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7190" w14:textId="0353DB17" w:rsidR="00DB42A5" w:rsidRPr="00DB42A5" w:rsidRDefault="00E86BE7" w:rsidP="002768A8">
      <w:pPr>
        <w:jc w:val="center"/>
      </w:pPr>
      <w:r>
        <w:rPr>
          <w:noProof/>
        </w:rPr>
        <w:drawing>
          <wp:inline distT="0" distB="0" distL="0" distR="0" wp14:anchorId="7A202A8C" wp14:editId="680E3BC7">
            <wp:extent cx="4159389" cy="1942174"/>
            <wp:effectExtent l="0" t="0" r="0" b="0"/>
            <wp:docPr id="502449790" name="Picture 502449790" descr="Department of Climate Change, Energy, the Environment an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449790"/>
                    <pic:cNvPicPr/>
                  </pic:nvPicPr>
                  <pic:blipFill>
                    <a:blip r:embed="rId11">
                      <a:extLst>
                        <a:ext uri="{28A0092B-C50C-407E-A947-70E740481C1C}">
                          <a14:useLocalDpi xmlns:a14="http://schemas.microsoft.com/office/drawing/2010/main" val="0"/>
                        </a:ext>
                      </a:extLst>
                    </a:blip>
                    <a:stretch>
                      <a:fillRect/>
                    </a:stretch>
                  </pic:blipFill>
                  <pic:spPr>
                    <a:xfrm>
                      <a:off x="0" y="0"/>
                      <a:ext cx="4159389" cy="1942174"/>
                    </a:xfrm>
                    <a:prstGeom prst="rect">
                      <a:avLst/>
                    </a:prstGeom>
                  </pic:spPr>
                </pic:pic>
              </a:graphicData>
            </a:graphic>
          </wp:inline>
        </w:drawing>
      </w:r>
    </w:p>
    <w:p w14:paraId="10989E3D" w14:textId="77777777" w:rsidR="00DB42A5" w:rsidRPr="00911808" w:rsidRDefault="00DB42A5" w:rsidP="007479C9">
      <w:pPr>
        <w:pStyle w:val="Title"/>
        <w:spacing w:before="1680" w:after="240"/>
        <w:jc w:val="center"/>
        <w:rPr>
          <w:color w:val="2E74B5" w:themeColor="accent1" w:themeShade="BF"/>
        </w:rPr>
      </w:pPr>
      <w:bookmarkStart w:id="0" w:name="_Toc214441549"/>
      <w:bookmarkStart w:id="1" w:name="OLE_LINK4"/>
      <w:bookmarkStart w:id="2" w:name="OLE_LINK5"/>
      <w:r w:rsidRPr="00911808">
        <w:rPr>
          <w:color w:val="2E74B5" w:themeColor="accent1" w:themeShade="BF"/>
        </w:rPr>
        <w:t>COST RECOVERY IMPLEMENTATION STATEMENT</w:t>
      </w:r>
      <w:bookmarkEnd w:id="0"/>
    </w:p>
    <w:p w14:paraId="26A2DA69" w14:textId="77777777" w:rsidR="008753A8" w:rsidRPr="008753A8" w:rsidRDefault="008753A8" w:rsidP="002768A8"/>
    <w:bookmarkEnd w:id="1"/>
    <w:bookmarkEnd w:id="2"/>
    <w:p w14:paraId="76BD15D0" w14:textId="6A7F0A40" w:rsidR="00027F8C" w:rsidRDefault="00027F8C" w:rsidP="002768A8">
      <w:pPr>
        <w:pStyle w:val="Pa4"/>
        <w:widowControl/>
        <w:autoSpaceDE/>
        <w:autoSpaceDN/>
        <w:adjustRightInd/>
        <w:spacing w:after="0" w:line="240" w:lineRule="auto"/>
        <w:jc w:val="center"/>
        <w:rPr>
          <w:rFonts w:asciiTheme="minorHAnsi" w:hAnsiTheme="minorHAnsi" w:cs="Times New Roman"/>
          <w:b/>
          <w:bCs/>
          <w:sz w:val="32"/>
          <w:szCs w:val="32"/>
          <w:lang w:val="en-AU"/>
        </w:rPr>
      </w:pPr>
      <w:r w:rsidRPr="00027F8C">
        <w:rPr>
          <w:rFonts w:asciiTheme="minorHAnsi" w:hAnsiTheme="minorHAnsi" w:cs="Times New Roman"/>
          <w:b/>
          <w:bCs/>
          <w:sz w:val="32"/>
          <w:szCs w:val="32"/>
          <w:lang w:val="en-AU"/>
        </w:rPr>
        <w:t>Commercial Building Disclosure Program</w:t>
      </w:r>
    </w:p>
    <w:p w14:paraId="51324BE5" w14:textId="66F89BD4" w:rsidR="001F3F05" w:rsidRPr="00027F8C" w:rsidRDefault="00C45BC2" w:rsidP="002768A8">
      <w:pPr>
        <w:pStyle w:val="Pa4"/>
        <w:widowControl/>
        <w:autoSpaceDE/>
        <w:autoSpaceDN/>
        <w:adjustRightInd/>
        <w:spacing w:after="480" w:line="240" w:lineRule="auto"/>
        <w:jc w:val="center"/>
        <w:rPr>
          <w:rFonts w:asciiTheme="minorHAnsi" w:hAnsiTheme="minorHAnsi" w:cs="Times New Roman"/>
          <w:b/>
          <w:bCs/>
          <w:sz w:val="32"/>
          <w:szCs w:val="32"/>
          <w:lang w:val="en-AU"/>
        </w:rPr>
      </w:pPr>
      <w:r>
        <w:rPr>
          <w:rFonts w:asciiTheme="minorHAnsi" w:hAnsiTheme="minorHAnsi"/>
          <w:b/>
          <w:sz w:val="32"/>
          <w:szCs w:val="32"/>
          <w:lang w:val="en-AU"/>
        </w:rPr>
        <w:t>202</w:t>
      </w:r>
      <w:r w:rsidR="00911808">
        <w:rPr>
          <w:rFonts w:asciiTheme="minorHAnsi" w:hAnsiTheme="minorHAnsi"/>
          <w:b/>
          <w:sz w:val="32"/>
          <w:szCs w:val="32"/>
          <w:lang w:val="en-AU"/>
        </w:rPr>
        <w:t>4</w:t>
      </w:r>
      <w:r w:rsidR="00E86BE7">
        <w:rPr>
          <w:rFonts w:asciiTheme="minorHAnsi" w:hAnsiTheme="minorHAnsi"/>
          <w:b/>
          <w:sz w:val="32"/>
          <w:szCs w:val="32"/>
          <w:lang w:val="en-AU"/>
        </w:rPr>
        <w:t>–</w:t>
      </w:r>
      <w:r>
        <w:rPr>
          <w:rFonts w:asciiTheme="minorHAnsi" w:hAnsiTheme="minorHAnsi"/>
          <w:b/>
          <w:sz w:val="32"/>
          <w:szCs w:val="32"/>
          <w:lang w:val="en-AU"/>
        </w:rPr>
        <w:t>2</w:t>
      </w:r>
      <w:r w:rsidR="00911808">
        <w:rPr>
          <w:rFonts w:asciiTheme="minorHAnsi" w:hAnsiTheme="minorHAnsi"/>
          <w:b/>
          <w:sz w:val="32"/>
          <w:szCs w:val="32"/>
          <w:lang w:val="en-AU"/>
        </w:rPr>
        <w:t>5</w:t>
      </w:r>
    </w:p>
    <w:p w14:paraId="3228A3D3" w14:textId="6A6EC598" w:rsidR="00DB42A5" w:rsidRDefault="00DB42A5" w:rsidP="002768A8"/>
    <w:p w14:paraId="3E69D434" w14:textId="61CA9EA5" w:rsidR="00F82787" w:rsidRPr="006B567F" w:rsidRDefault="00F82787" w:rsidP="00605357">
      <w:pPr>
        <w:jc w:val="both"/>
        <w:rPr>
          <w:rFonts w:eastAsia="SimSun"/>
        </w:rPr>
      </w:pPr>
      <w:r w:rsidRPr="006B567F">
        <w:rPr>
          <w:rFonts w:eastAsia="SimSun"/>
        </w:rPr>
        <w:t xml:space="preserve">Charging for regulatory activity involves government entities charging individuals or organisations in the non-government sector some or </w:t>
      </w:r>
      <w:r w:rsidR="005F2501" w:rsidRPr="006B567F">
        <w:rPr>
          <w:rFonts w:eastAsia="SimSun"/>
        </w:rPr>
        <w:t>all</w:t>
      </w:r>
      <w:r w:rsidRPr="006B567F">
        <w:rPr>
          <w:rFonts w:eastAsia="SimSun"/>
        </w:rPr>
        <w:t xml:space="preserve"> the minimum efficient costs of a specific government activity. The </w:t>
      </w:r>
      <w:r w:rsidR="00911808">
        <w:rPr>
          <w:rFonts w:eastAsia="SimSun"/>
        </w:rPr>
        <w:t>Australian Government Charging Policy (</w:t>
      </w:r>
      <w:r w:rsidR="00426276">
        <w:rPr>
          <w:rFonts w:eastAsia="SimSun"/>
        </w:rPr>
        <w:t>AGCP</w:t>
      </w:r>
      <w:r w:rsidR="00911808">
        <w:rPr>
          <w:rFonts w:eastAsia="SimSun"/>
        </w:rPr>
        <w:t xml:space="preserve">) and </w:t>
      </w:r>
      <w:r w:rsidR="00AE5E7B">
        <w:rPr>
          <w:rFonts w:eastAsia="SimSun"/>
        </w:rPr>
        <w:t xml:space="preserve">Cost Recovery Policy </w:t>
      </w:r>
      <w:r w:rsidRPr="006B567F">
        <w:rPr>
          <w:rFonts w:eastAsia="SimSun"/>
        </w:rPr>
        <w:t xml:space="preserve">set out the </w:t>
      </w:r>
      <w:r w:rsidR="00D03D35">
        <w:rPr>
          <w:rFonts w:eastAsia="SimSun"/>
        </w:rPr>
        <w:t>polic</w:t>
      </w:r>
      <w:r w:rsidR="00D94955">
        <w:rPr>
          <w:rFonts w:eastAsia="SimSun"/>
        </w:rPr>
        <w:t>ies</w:t>
      </w:r>
      <w:r w:rsidRPr="006B567F">
        <w:rPr>
          <w:rFonts w:eastAsia="SimSun"/>
        </w:rPr>
        <w:t xml:space="preserve"> under which government entities design, implement and review charging for regulatory activities. The </w:t>
      </w:r>
      <w:r w:rsidR="00176C92">
        <w:rPr>
          <w:rFonts w:eastAsia="SimSun"/>
        </w:rPr>
        <w:t xml:space="preserve">Cost Recovery Implementation Statement </w:t>
      </w:r>
      <w:r w:rsidRPr="006B567F">
        <w:rPr>
          <w:rFonts w:eastAsia="SimSun"/>
        </w:rPr>
        <w:t>is the public document to ensure transparency and accountability for the level of the charging and to demonstrate that the purpose for charg</w:t>
      </w:r>
      <w:r w:rsidR="005C7F49">
        <w:rPr>
          <w:rFonts w:eastAsia="SimSun"/>
        </w:rPr>
        <w:t>ing</w:t>
      </w:r>
      <w:r w:rsidRPr="006B567F">
        <w:rPr>
          <w:rFonts w:eastAsia="SimSun"/>
        </w:rPr>
        <w:t>, as decided by Government, is being achieved.</w:t>
      </w:r>
    </w:p>
    <w:p w14:paraId="7D47A0D5" w14:textId="0A09D1A8" w:rsidR="00F03C83" w:rsidRDefault="00F03C83" w:rsidP="002768A8">
      <w:r>
        <w:br w:type="page"/>
      </w:r>
    </w:p>
    <w:sdt>
      <w:sdtPr>
        <w:rPr>
          <w:rFonts w:asciiTheme="minorHAnsi" w:eastAsiaTheme="minorEastAsia" w:hAnsiTheme="minorHAnsi" w:cstheme="minorBidi"/>
          <w:color w:val="auto"/>
          <w:sz w:val="20"/>
          <w:szCs w:val="20"/>
        </w:rPr>
        <w:id w:val="-189685622"/>
        <w:docPartObj>
          <w:docPartGallery w:val="Table of Contents"/>
          <w:docPartUnique/>
        </w:docPartObj>
      </w:sdtPr>
      <w:sdtEndPr>
        <w:rPr>
          <w:b/>
          <w:bCs/>
          <w:noProof/>
        </w:rPr>
      </w:sdtEndPr>
      <w:sdtContent>
        <w:p w14:paraId="4E184B96" w14:textId="73F78940" w:rsidR="00016586" w:rsidRDefault="00016586" w:rsidP="002768A8">
          <w:pPr>
            <w:pStyle w:val="TOCHeading"/>
          </w:pPr>
          <w:r>
            <w:t>Contents</w:t>
          </w:r>
        </w:p>
        <w:p w14:paraId="26C2BED8" w14:textId="77777777" w:rsidR="00A84A62" w:rsidRPr="00A84A62" w:rsidRDefault="00A84A62" w:rsidP="002768A8"/>
        <w:p w14:paraId="759F455C" w14:textId="6C75F3DA" w:rsidR="0048285A" w:rsidRDefault="00016586">
          <w:pPr>
            <w:pStyle w:val="TOC1"/>
            <w:tabs>
              <w:tab w:val="right" w:leader="dot" w:pos="9180"/>
            </w:tabs>
            <w:rPr>
              <w:noProof/>
              <w:kern w:val="2"/>
              <w:sz w:val="24"/>
              <w:szCs w:val="24"/>
              <w:lang w:eastAsia="en-AU"/>
              <w14:ligatures w14:val="standardContextual"/>
            </w:rPr>
          </w:pPr>
          <w:r w:rsidRPr="070CBDA7">
            <w:fldChar w:fldCharType="begin"/>
          </w:r>
          <w:r>
            <w:instrText xml:space="preserve"> TOC \o "1-3" \h \z \u </w:instrText>
          </w:r>
          <w:r w:rsidRPr="070CBDA7">
            <w:fldChar w:fldCharType="separate"/>
          </w:r>
          <w:hyperlink w:anchor="_Toc214441549" w:history="1">
            <w:r w:rsidR="0048285A" w:rsidRPr="00584C73">
              <w:rPr>
                <w:rStyle w:val="Hyperlink"/>
                <w:noProof/>
              </w:rPr>
              <w:t>COST RECOVERY IMPLEMENTATION STATEMENT</w:t>
            </w:r>
            <w:r w:rsidR="0048285A">
              <w:rPr>
                <w:noProof/>
                <w:webHidden/>
              </w:rPr>
              <w:tab/>
            </w:r>
            <w:r w:rsidR="0048285A">
              <w:rPr>
                <w:noProof/>
                <w:webHidden/>
              </w:rPr>
              <w:fldChar w:fldCharType="begin"/>
            </w:r>
            <w:r w:rsidR="0048285A">
              <w:rPr>
                <w:noProof/>
                <w:webHidden/>
              </w:rPr>
              <w:instrText xml:space="preserve"> PAGEREF _Toc214441549 \h </w:instrText>
            </w:r>
            <w:r w:rsidR="0048285A">
              <w:rPr>
                <w:noProof/>
                <w:webHidden/>
              </w:rPr>
            </w:r>
            <w:r w:rsidR="0048285A">
              <w:rPr>
                <w:noProof/>
                <w:webHidden/>
              </w:rPr>
              <w:fldChar w:fldCharType="separate"/>
            </w:r>
            <w:r w:rsidR="0080290F">
              <w:rPr>
                <w:noProof/>
                <w:webHidden/>
              </w:rPr>
              <w:t>1</w:t>
            </w:r>
            <w:r w:rsidR="0048285A">
              <w:rPr>
                <w:noProof/>
                <w:webHidden/>
              </w:rPr>
              <w:fldChar w:fldCharType="end"/>
            </w:r>
          </w:hyperlink>
        </w:p>
        <w:p w14:paraId="7A34DB38" w14:textId="5B41743B" w:rsidR="0048285A" w:rsidRDefault="0048285A">
          <w:pPr>
            <w:pStyle w:val="TOC1"/>
            <w:tabs>
              <w:tab w:val="left" w:pos="480"/>
              <w:tab w:val="right" w:leader="dot" w:pos="9180"/>
            </w:tabs>
            <w:rPr>
              <w:noProof/>
              <w:kern w:val="2"/>
              <w:sz w:val="24"/>
              <w:szCs w:val="24"/>
              <w:lang w:eastAsia="en-AU"/>
              <w14:ligatures w14:val="standardContextual"/>
            </w:rPr>
          </w:pPr>
          <w:hyperlink w:anchor="_Toc214441550" w:history="1">
            <w:r w:rsidRPr="00584C73">
              <w:rPr>
                <w:rStyle w:val="Hyperlink"/>
                <w:noProof/>
              </w:rPr>
              <w:t>1.</w:t>
            </w:r>
            <w:r>
              <w:rPr>
                <w:noProof/>
                <w:kern w:val="2"/>
                <w:sz w:val="24"/>
                <w:szCs w:val="24"/>
                <w:lang w:eastAsia="en-AU"/>
                <w14:ligatures w14:val="standardContextual"/>
              </w:rPr>
              <w:tab/>
            </w:r>
            <w:r w:rsidRPr="00584C73">
              <w:rPr>
                <w:rStyle w:val="Hyperlink"/>
                <w:noProof/>
              </w:rPr>
              <w:t>INTRODUCTION</w:t>
            </w:r>
            <w:r>
              <w:rPr>
                <w:noProof/>
                <w:webHidden/>
              </w:rPr>
              <w:tab/>
            </w:r>
            <w:r>
              <w:rPr>
                <w:noProof/>
                <w:webHidden/>
              </w:rPr>
              <w:fldChar w:fldCharType="begin"/>
            </w:r>
            <w:r>
              <w:rPr>
                <w:noProof/>
                <w:webHidden/>
              </w:rPr>
              <w:instrText xml:space="preserve"> PAGEREF _Toc214441550 \h </w:instrText>
            </w:r>
            <w:r>
              <w:rPr>
                <w:noProof/>
                <w:webHidden/>
              </w:rPr>
            </w:r>
            <w:r>
              <w:rPr>
                <w:noProof/>
                <w:webHidden/>
              </w:rPr>
              <w:fldChar w:fldCharType="separate"/>
            </w:r>
            <w:r w:rsidR="0080290F">
              <w:rPr>
                <w:noProof/>
                <w:webHidden/>
              </w:rPr>
              <w:t>3</w:t>
            </w:r>
            <w:r>
              <w:rPr>
                <w:noProof/>
                <w:webHidden/>
              </w:rPr>
              <w:fldChar w:fldCharType="end"/>
            </w:r>
          </w:hyperlink>
        </w:p>
        <w:p w14:paraId="58CAFCD6" w14:textId="3082E1E0" w:rsidR="0048285A" w:rsidRDefault="0048285A">
          <w:pPr>
            <w:pStyle w:val="TOC2"/>
            <w:tabs>
              <w:tab w:val="left" w:pos="960"/>
              <w:tab w:val="right" w:leader="dot" w:pos="9180"/>
            </w:tabs>
            <w:rPr>
              <w:noProof/>
              <w:kern w:val="2"/>
              <w:sz w:val="24"/>
              <w:szCs w:val="24"/>
              <w:lang w:eastAsia="en-AU"/>
              <w14:ligatures w14:val="standardContextual"/>
            </w:rPr>
          </w:pPr>
          <w:hyperlink w:anchor="_Toc214441551" w:history="1">
            <w:r w:rsidRPr="00584C73">
              <w:rPr>
                <w:rStyle w:val="Hyperlink"/>
                <w:noProof/>
              </w:rPr>
              <w:t>1.1.</w:t>
            </w:r>
            <w:r>
              <w:rPr>
                <w:noProof/>
                <w:kern w:val="2"/>
                <w:sz w:val="24"/>
                <w:szCs w:val="24"/>
                <w:lang w:eastAsia="en-AU"/>
                <w14:ligatures w14:val="standardContextual"/>
              </w:rPr>
              <w:tab/>
            </w:r>
            <w:r w:rsidRPr="00584C73">
              <w:rPr>
                <w:rStyle w:val="Hyperlink"/>
                <w:noProof/>
              </w:rPr>
              <w:t>Purpose</w:t>
            </w:r>
            <w:r>
              <w:rPr>
                <w:noProof/>
                <w:webHidden/>
              </w:rPr>
              <w:tab/>
            </w:r>
            <w:r>
              <w:rPr>
                <w:noProof/>
                <w:webHidden/>
              </w:rPr>
              <w:fldChar w:fldCharType="begin"/>
            </w:r>
            <w:r>
              <w:rPr>
                <w:noProof/>
                <w:webHidden/>
              </w:rPr>
              <w:instrText xml:space="preserve"> PAGEREF _Toc214441551 \h </w:instrText>
            </w:r>
            <w:r>
              <w:rPr>
                <w:noProof/>
                <w:webHidden/>
              </w:rPr>
            </w:r>
            <w:r>
              <w:rPr>
                <w:noProof/>
                <w:webHidden/>
              </w:rPr>
              <w:fldChar w:fldCharType="separate"/>
            </w:r>
            <w:r w:rsidR="0080290F">
              <w:rPr>
                <w:noProof/>
                <w:webHidden/>
              </w:rPr>
              <w:t>3</w:t>
            </w:r>
            <w:r>
              <w:rPr>
                <w:noProof/>
                <w:webHidden/>
              </w:rPr>
              <w:fldChar w:fldCharType="end"/>
            </w:r>
          </w:hyperlink>
        </w:p>
        <w:p w14:paraId="7E528391" w14:textId="75B08C45" w:rsidR="0048285A" w:rsidRDefault="0048285A">
          <w:pPr>
            <w:pStyle w:val="TOC1"/>
            <w:tabs>
              <w:tab w:val="left" w:pos="480"/>
              <w:tab w:val="right" w:leader="dot" w:pos="9180"/>
            </w:tabs>
            <w:rPr>
              <w:noProof/>
              <w:kern w:val="2"/>
              <w:sz w:val="24"/>
              <w:szCs w:val="24"/>
              <w:lang w:eastAsia="en-AU"/>
              <w14:ligatures w14:val="standardContextual"/>
            </w:rPr>
          </w:pPr>
          <w:hyperlink w:anchor="_Toc214441552" w:history="1">
            <w:r w:rsidRPr="00584C73">
              <w:rPr>
                <w:rStyle w:val="Hyperlink"/>
                <w:noProof/>
              </w:rPr>
              <w:t>2.</w:t>
            </w:r>
            <w:r>
              <w:rPr>
                <w:noProof/>
                <w:kern w:val="2"/>
                <w:sz w:val="24"/>
                <w:szCs w:val="24"/>
                <w:lang w:eastAsia="en-AU"/>
                <w14:ligatures w14:val="standardContextual"/>
              </w:rPr>
              <w:tab/>
            </w:r>
            <w:r w:rsidRPr="00584C73">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_Toc214441552 \h </w:instrText>
            </w:r>
            <w:r>
              <w:rPr>
                <w:noProof/>
                <w:webHidden/>
              </w:rPr>
            </w:r>
            <w:r>
              <w:rPr>
                <w:noProof/>
                <w:webHidden/>
              </w:rPr>
              <w:fldChar w:fldCharType="separate"/>
            </w:r>
            <w:r w:rsidR="0080290F">
              <w:rPr>
                <w:noProof/>
                <w:webHidden/>
              </w:rPr>
              <w:t>4</w:t>
            </w:r>
            <w:r>
              <w:rPr>
                <w:noProof/>
                <w:webHidden/>
              </w:rPr>
              <w:fldChar w:fldCharType="end"/>
            </w:r>
          </w:hyperlink>
        </w:p>
        <w:p w14:paraId="3E8E4C1C" w14:textId="19C98E98" w:rsidR="0048285A" w:rsidRDefault="0048285A">
          <w:pPr>
            <w:pStyle w:val="TOC2"/>
            <w:tabs>
              <w:tab w:val="left" w:pos="960"/>
              <w:tab w:val="right" w:leader="dot" w:pos="9180"/>
            </w:tabs>
            <w:rPr>
              <w:noProof/>
              <w:kern w:val="2"/>
              <w:sz w:val="24"/>
              <w:szCs w:val="24"/>
              <w:lang w:eastAsia="en-AU"/>
              <w14:ligatures w14:val="standardContextual"/>
            </w:rPr>
          </w:pPr>
          <w:hyperlink w:anchor="_Toc214441553" w:history="1">
            <w:r w:rsidRPr="00584C73">
              <w:rPr>
                <w:rStyle w:val="Hyperlink"/>
                <w:noProof/>
              </w:rPr>
              <w:t>2.1.</w:t>
            </w:r>
            <w:r>
              <w:rPr>
                <w:noProof/>
                <w:kern w:val="2"/>
                <w:sz w:val="24"/>
                <w:szCs w:val="24"/>
                <w:lang w:eastAsia="en-AU"/>
                <w14:ligatures w14:val="standardContextual"/>
              </w:rPr>
              <w:tab/>
            </w:r>
            <w:r w:rsidRPr="00584C73">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_Toc214441553 \h </w:instrText>
            </w:r>
            <w:r>
              <w:rPr>
                <w:noProof/>
                <w:webHidden/>
              </w:rPr>
            </w:r>
            <w:r>
              <w:rPr>
                <w:noProof/>
                <w:webHidden/>
              </w:rPr>
              <w:fldChar w:fldCharType="separate"/>
            </w:r>
            <w:r w:rsidR="0080290F">
              <w:rPr>
                <w:noProof/>
                <w:webHidden/>
              </w:rPr>
              <w:t>4</w:t>
            </w:r>
            <w:r>
              <w:rPr>
                <w:noProof/>
                <w:webHidden/>
              </w:rPr>
              <w:fldChar w:fldCharType="end"/>
            </w:r>
          </w:hyperlink>
        </w:p>
        <w:p w14:paraId="740AA084" w14:textId="3E78FD95" w:rsidR="0048285A" w:rsidRDefault="0048285A">
          <w:pPr>
            <w:pStyle w:val="TOC2"/>
            <w:tabs>
              <w:tab w:val="left" w:pos="960"/>
              <w:tab w:val="right" w:leader="dot" w:pos="9180"/>
            </w:tabs>
            <w:rPr>
              <w:noProof/>
              <w:kern w:val="2"/>
              <w:sz w:val="24"/>
              <w:szCs w:val="24"/>
              <w:lang w:eastAsia="en-AU"/>
              <w14:ligatures w14:val="standardContextual"/>
            </w:rPr>
          </w:pPr>
          <w:hyperlink w:anchor="_Toc214441554" w:history="1">
            <w:r w:rsidRPr="00584C73">
              <w:rPr>
                <w:rStyle w:val="Hyperlink"/>
                <w:noProof/>
              </w:rPr>
              <w:t>2.2.</w:t>
            </w:r>
            <w:r>
              <w:rPr>
                <w:noProof/>
                <w:kern w:val="2"/>
                <w:sz w:val="24"/>
                <w:szCs w:val="24"/>
                <w:lang w:eastAsia="en-AU"/>
                <w14:ligatures w14:val="standardContextual"/>
              </w:rPr>
              <w:tab/>
            </w:r>
            <w:r w:rsidRPr="00584C73">
              <w:rPr>
                <w:rStyle w:val="Hyperlink"/>
                <w:noProof/>
              </w:rPr>
              <w:t>Statutory authority to charge</w:t>
            </w:r>
            <w:r>
              <w:rPr>
                <w:noProof/>
                <w:webHidden/>
              </w:rPr>
              <w:tab/>
            </w:r>
            <w:r>
              <w:rPr>
                <w:noProof/>
                <w:webHidden/>
              </w:rPr>
              <w:fldChar w:fldCharType="begin"/>
            </w:r>
            <w:r>
              <w:rPr>
                <w:noProof/>
                <w:webHidden/>
              </w:rPr>
              <w:instrText xml:space="preserve"> PAGEREF _Toc214441554 \h </w:instrText>
            </w:r>
            <w:r>
              <w:rPr>
                <w:noProof/>
                <w:webHidden/>
              </w:rPr>
            </w:r>
            <w:r>
              <w:rPr>
                <w:noProof/>
                <w:webHidden/>
              </w:rPr>
              <w:fldChar w:fldCharType="separate"/>
            </w:r>
            <w:r w:rsidR="0080290F">
              <w:rPr>
                <w:noProof/>
                <w:webHidden/>
              </w:rPr>
              <w:t>4</w:t>
            </w:r>
            <w:r>
              <w:rPr>
                <w:noProof/>
                <w:webHidden/>
              </w:rPr>
              <w:fldChar w:fldCharType="end"/>
            </w:r>
          </w:hyperlink>
        </w:p>
        <w:p w14:paraId="56BCD9B1" w14:textId="4F80BB85" w:rsidR="0048285A" w:rsidRDefault="0048285A">
          <w:pPr>
            <w:pStyle w:val="TOC1"/>
            <w:tabs>
              <w:tab w:val="left" w:pos="480"/>
              <w:tab w:val="right" w:leader="dot" w:pos="9180"/>
            </w:tabs>
            <w:rPr>
              <w:noProof/>
              <w:kern w:val="2"/>
              <w:sz w:val="24"/>
              <w:szCs w:val="24"/>
              <w:lang w:eastAsia="en-AU"/>
              <w14:ligatures w14:val="standardContextual"/>
            </w:rPr>
          </w:pPr>
          <w:hyperlink w:anchor="_Toc214441555" w:history="1">
            <w:r w:rsidRPr="00584C73">
              <w:rPr>
                <w:rStyle w:val="Hyperlink"/>
                <w:noProof/>
              </w:rPr>
              <w:t>3.</w:t>
            </w:r>
            <w:r>
              <w:rPr>
                <w:noProof/>
                <w:kern w:val="2"/>
                <w:sz w:val="24"/>
                <w:szCs w:val="24"/>
                <w:lang w:eastAsia="en-AU"/>
                <w14:ligatures w14:val="standardContextual"/>
              </w:rPr>
              <w:tab/>
            </w:r>
            <w:r w:rsidRPr="00584C73">
              <w:rPr>
                <w:rStyle w:val="Hyperlink"/>
                <w:noProof/>
              </w:rPr>
              <w:t>CHARGING (COST RECOVERY) MODEL</w:t>
            </w:r>
            <w:r>
              <w:rPr>
                <w:noProof/>
                <w:webHidden/>
              </w:rPr>
              <w:tab/>
            </w:r>
            <w:r>
              <w:rPr>
                <w:noProof/>
                <w:webHidden/>
              </w:rPr>
              <w:fldChar w:fldCharType="begin"/>
            </w:r>
            <w:r>
              <w:rPr>
                <w:noProof/>
                <w:webHidden/>
              </w:rPr>
              <w:instrText xml:space="preserve"> PAGEREF _Toc214441555 \h </w:instrText>
            </w:r>
            <w:r>
              <w:rPr>
                <w:noProof/>
                <w:webHidden/>
              </w:rPr>
            </w:r>
            <w:r>
              <w:rPr>
                <w:noProof/>
                <w:webHidden/>
              </w:rPr>
              <w:fldChar w:fldCharType="separate"/>
            </w:r>
            <w:r w:rsidR="0080290F">
              <w:rPr>
                <w:noProof/>
                <w:webHidden/>
              </w:rPr>
              <w:t>5</w:t>
            </w:r>
            <w:r>
              <w:rPr>
                <w:noProof/>
                <w:webHidden/>
              </w:rPr>
              <w:fldChar w:fldCharType="end"/>
            </w:r>
          </w:hyperlink>
        </w:p>
        <w:p w14:paraId="25F85151" w14:textId="4EF2A985" w:rsidR="0048285A" w:rsidRDefault="0048285A">
          <w:pPr>
            <w:pStyle w:val="TOC2"/>
            <w:tabs>
              <w:tab w:val="left" w:pos="960"/>
              <w:tab w:val="right" w:leader="dot" w:pos="9180"/>
            </w:tabs>
            <w:rPr>
              <w:noProof/>
              <w:kern w:val="2"/>
              <w:sz w:val="24"/>
              <w:szCs w:val="24"/>
              <w:lang w:eastAsia="en-AU"/>
              <w14:ligatures w14:val="standardContextual"/>
            </w:rPr>
          </w:pPr>
          <w:hyperlink w:anchor="_Toc214441556" w:history="1">
            <w:r w:rsidRPr="00584C73">
              <w:rPr>
                <w:rStyle w:val="Hyperlink"/>
                <w:noProof/>
              </w:rPr>
              <w:t>3.1.</w:t>
            </w:r>
            <w:r>
              <w:rPr>
                <w:noProof/>
                <w:kern w:val="2"/>
                <w:sz w:val="24"/>
                <w:szCs w:val="24"/>
                <w:lang w:eastAsia="en-AU"/>
                <w14:ligatures w14:val="standardContextual"/>
              </w:rPr>
              <w:tab/>
            </w:r>
            <w:r w:rsidRPr="00584C73">
              <w:rPr>
                <w:rStyle w:val="Hyperlink"/>
                <w:noProof/>
              </w:rPr>
              <w:t>Outputs and business processes of the activity</w:t>
            </w:r>
            <w:r>
              <w:rPr>
                <w:noProof/>
                <w:webHidden/>
              </w:rPr>
              <w:tab/>
            </w:r>
            <w:r>
              <w:rPr>
                <w:noProof/>
                <w:webHidden/>
              </w:rPr>
              <w:fldChar w:fldCharType="begin"/>
            </w:r>
            <w:r>
              <w:rPr>
                <w:noProof/>
                <w:webHidden/>
              </w:rPr>
              <w:instrText xml:space="preserve"> PAGEREF _Toc214441556 \h </w:instrText>
            </w:r>
            <w:r>
              <w:rPr>
                <w:noProof/>
                <w:webHidden/>
              </w:rPr>
            </w:r>
            <w:r>
              <w:rPr>
                <w:noProof/>
                <w:webHidden/>
              </w:rPr>
              <w:fldChar w:fldCharType="separate"/>
            </w:r>
            <w:r w:rsidR="0080290F">
              <w:rPr>
                <w:noProof/>
                <w:webHidden/>
              </w:rPr>
              <w:t>5</w:t>
            </w:r>
            <w:r>
              <w:rPr>
                <w:noProof/>
                <w:webHidden/>
              </w:rPr>
              <w:fldChar w:fldCharType="end"/>
            </w:r>
          </w:hyperlink>
        </w:p>
        <w:p w14:paraId="42544720" w14:textId="115E2205" w:rsidR="0048285A" w:rsidRDefault="0048285A">
          <w:pPr>
            <w:pStyle w:val="TOC2"/>
            <w:tabs>
              <w:tab w:val="left" w:pos="960"/>
              <w:tab w:val="right" w:leader="dot" w:pos="9180"/>
            </w:tabs>
            <w:rPr>
              <w:noProof/>
              <w:kern w:val="2"/>
              <w:sz w:val="24"/>
              <w:szCs w:val="24"/>
              <w:lang w:eastAsia="en-AU"/>
              <w14:ligatures w14:val="standardContextual"/>
            </w:rPr>
          </w:pPr>
          <w:hyperlink w:anchor="_Toc214441557" w:history="1">
            <w:r w:rsidRPr="00584C73">
              <w:rPr>
                <w:rStyle w:val="Hyperlink"/>
                <w:noProof/>
              </w:rPr>
              <w:t>3.2.</w:t>
            </w:r>
            <w:r>
              <w:rPr>
                <w:noProof/>
                <w:kern w:val="2"/>
                <w:sz w:val="24"/>
                <w:szCs w:val="24"/>
                <w:lang w:eastAsia="en-AU"/>
                <w14:ligatures w14:val="standardContextual"/>
              </w:rPr>
              <w:tab/>
            </w:r>
            <w:r w:rsidRPr="00584C73">
              <w:rPr>
                <w:rStyle w:val="Hyperlink"/>
                <w:noProof/>
              </w:rPr>
              <w:t>Costs of the regulatory activity</w:t>
            </w:r>
            <w:r>
              <w:rPr>
                <w:noProof/>
                <w:webHidden/>
              </w:rPr>
              <w:tab/>
            </w:r>
            <w:r>
              <w:rPr>
                <w:noProof/>
                <w:webHidden/>
              </w:rPr>
              <w:fldChar w:fldCharType="begin"/>
            </w:r>
            <w:r>
              <w:rPr>
                <w:noProof/>
                <w:webHidden/>
              </w:rPr>
              <w:instrText xml:space="preserve"> PAGEREF _Toc214441557 \h </w:instrText>
            </w:r>
            <w:r>
              <w:rPr>
                <w:noProof/>
                <w:webHidden/>
              </w:rPr>
            </w:r>
            <w:r>
              <w:rPr>
                <w:noProof/>
                <w:webHidden/>
              </w:rPr>
              <w:fldChar w:fldCharType="separate"/>
            </w:r>
            <w:r w:rsidR="0080290F">
              <w:rPr>
                <w:noProof/>
                <w:webHidden/>
              </w:rPr>
              <w:t>8</w:t>
            </w:r>
            <w:r>
              <w:rPr>
                <w:noProof/>
                <w:webHidden/>
              </w:rPr>
              <w:fldChar w:fldCharType="end"/>
            </w:r>
          </w:hyperlink>
        </w:p>
        <w:p w14:paraId="36396108" w14:textId="70964AD1" w:rsidR="0048285A" w:rsidRDefault="0048285A">
          <w:pPr>
            <w:pStyle w:val="TOC2"/>
            <w:tabs>
              <w:tab w:val="left" w:pos="960"/>
              <w:tab w:val="right" w:leader="dot" w:pos="9180"/>
            </w:tabs>
            <w:rPr>
              <w:noProof/>
              <w:kern w:val="2"/>
              <w:sz w:val="24"/>
              <w:szCs w:val="24"/>
              <w:lang w:eastAsia="en-AU"/>
              <w14:ligatures w14:val="standardContextual"/>
            </w:rPr>
          </w:pPr>
          <w:hyperlink w:anchor="_Toc214441558" w:history="1">
            <w:r w:rsidRPr="00584C73">
              <w:rPr>
                <w:rStyle w:val="Hyperlink"/>
                <w:noProof/>
              </w:rPr>
              <w:t>3.3.</w:t>
            </w:r>
            <w:r>
              <w:rPr>
                <w:noProof/>
                <w:kern w:val="2"/>
                <w:sz w:val="24"/>
                <w:szCs w:val="24"/>
                <w:lang w:eastAsia="en-AU"/>
                <w14:ligatures w14:val="standardContextual"/>
              </w:rPr>
              <w:tab/>
            </w:r>
            <w:r w:rsidRPr="00584C73">
              <w:rPr>
                <w:rStyle w:val="Hyperlink"/>
                <w:noProof/>
              </w:rPr>
              <w:t>Design of the regulatory charge</w:t>
            </w:r>
            <w:r>
              <w:rPr>
                <w:noProof/>
                <w:webHidden/>
              </w:rPr>
              <w:tab/>
            </w:r>
            <w:r>
              <w:rPr>
                <w:noProof/>
                <w:webHidden/>
              </w:rPr>
              <w:fldChar w:fldCharType="begin"/>
            </w:r>
            <w:r>
              <w:rPr>
                <w:noProof/>
                <w:webHidden/>
              </w:rPr>
              <w:instrText xml:space="preserve"> PAGEREF _Toc214441558 \h </w:instrText>
            </w:r>
            <w:r>
              <w:rPr>
                <w:noProof/>
                <w:webHidden/>
              </w:rPr>
            </w:r>
            <w:r>
              <w:rPr>
                <w:noProof/>
                <w:webHidden/>
              </w:rPr>
              <w:fldChar w:fldCharType="separate"/>
            </w:r>
            <w:r w:rsidR="0080290F">
              <w:rPr>
                <w:noProof/>
                <w:webHidden/>
              </w:rPr>
              <w:t>9</w:t>
            </w:r>
            <w:r>
              <w:rPr>
                <w:noProof/>
                <w:webHidden/>
              </w:rPr>
              <w:fldChar w:fldCharType="end"/>
            </w:r>
          </w:hyperlink>
        </w:p>
        <w:p w14:paraId="524C318B" w14:textId="1DEE53D7" w:rsidR="0048285A" w:rsidRDefault="0048285A">
          <w:pPr>
            <w:pStyle w:val="TOC1"/>
            <w:tabs>
              <w:tab w:val="left" w:pos="480"/>
              <w:tab w:val="right" w:leader="dot" w:pos="9180"/>
            </w:tabs>
            <w:rPr>
              <w:noProof/>
              <w:kern w:val="2"/>
              <w:sz w:val="24"/>
              <w:szCs w:val="24"/>
              <w:lang w:eastAsia="en-AU"/>
              <w14:ligatures w14:val="standardContextual"/>
            </w:rPr>
          </w:pPr>
          <w:hyperlink w:anchor="_Toc214441559" w:history="1">
            <w:r w:rsidRPr="00584C73">
              <w:rPr>
                <w:rStyle w:val="Hyperlink"/>
                <w:noProof/>
              </w:rPr>
              <w:t>4.</w:t>
            </w:r>
            <w:r>
              <w:rPr>
                <w:noProof/>
                <w:kern w:val="2"/>
                <w:sz w:val="24"/>
                <w:szCs w:val="24"/>
                <w:lang w:eastAsia="en-AU"/>
                <w14:ligatures w14:val="standardContextual"/>
              </w:rPr>
              <w:tab/>
            </w:r>
            <w:r w:rsidRPr="00584C73">
              <w:rPr>
                <w:rStyle w:val="Hyperlink"/>
                <w:noProof/>
              </w:rPr>
              <w:t>RISK ASSESSMENT</w:t>
            </w:r>
            <w:r>
              <w:rPr>
                <w:noProof/>
                <w:webHidden/>
              </w:rPr>
              <w:tab/>
            </w:r>
            <w:r>
              <w:rPr>
                <w:noProof/>
                <w:webHidden/>
              </w:rPr>
              <w:fldChar w:fldCharType="begin"/>
            </w:r>
            <w:r>
              <w:rPr>
                <w:noProof/>
                <w:webHidden/>
              </w:rPr>
              <w:instrText xml:space="preserve"> PAGEREF _Toc214441559 \h </w:instrText>
            </w:r>
            <w:r>
              <w:rPr>
                <w:noProof/>
                <w:webHidden/>
              </w:rPr>
            </w:r>
            <w:r>
              <w:rPr>
                <w:noProof/>
                <w:webHidden/>
              </w:rPr>
              <w:fldChar w:fldCharType="separate"/>
            </w:r>
            <w:r w:rsidR="0080290F">
              <w:rPr>
                <w:noProof/>
                <w:webHidden/>
              </w:rPr>
              <w:t>10</w:t>
            </w:r>
            <w:r>
              <w:rPr>
                <w:noProof/>
                <w:webHidden/>
              </w:rPr>
              <w:fldChar w:fldCharType="end"/>
            </w:r>
          </w:hyperlink>
        </w:p>
        <w:p w14:paraId="50157FD5" w14:textId="07B3B92C" w:rsidR="0048285A" w:rsidRDefault="0048285A">
          <w:pPr>
            <w:pStyle w:val="TOC1"/>
            <w:tabs>
              <w:tab w:val="left" w:pos="480"/>
              <w:tab w:val="right" w:leader="dot" w:pos="9180"/>
            </w:tabs>
            <w:rPr>
              <w:noProof/>
              <w:kern w:val="2"/>
              <w:sz w:val="24"/>
              <w:szCs w:val="24"/>
              <w:lang w:eastAsia="en-AU"/>
              <w14:ligatures w14:val="standardContextual"/>
            </w:rPr>
          </w:pPr>
          <w:hyperlink w:anchor="_Toc214441560" w:history="1">
            <w:r w:rsidRPr="00584C73">
              <w:rPr>
                <w:rStyle w:val="Hyperlink"/>
                <w:noProof/>
              </w:rPr>
              <w:t>5.</w:t>
            </w:r>
            <w:r>
              <w:rPr>
                <w:noProof/>
                <w:kern w:val="2"/>
                <w:sz w:val="24"/>
                <w:szCs w:val="24"/>
                <w:lang w:eastAsia="en-AU"/>
                <w14:ligatures w14:val="standardContextual"/>
              </w:rPr>
              <w:tab/>
            </w:r>
            <w:r w:rsidRPr="00584C73">
              <w:rPr>
                <w:rStyle w:val="Hyperlink"/>
                <w:noProof/>
              </w:rPr>
              <w:t>STAKEHOLDER ENGAGEMENT</w:t>
            </w:r>
            <w:r>
              <w:rPr>
                <w:noProof/>
                <w:webHidden/>
              </w:rPr>
              <w:tab/>
            </w:r>
            <w:r>
              <w:rPr>
                <w:noProof/>
                <w:webHidden/>
              </w:rPr>
              <w:fldChar w:fldCharType="begin"/>
            </w:r>
            <w:r>
              <w:rPr>
                <w:noProof/>
                <w:webHidden/>
              </w:rPr>
              <w:instrText xml:space="preserve"> PAGEREF _Toc214441560 \h </w:instrText>
            </w:r>
            <w:r>
              <w:rPr>
                <w:noProof/>
                <w:webHidden/>
              </w:rPr>
            </w:r>
            <w:r>
              <w:rPr>
                <w:noProof/>
                <w:webHidden/>
              </w:rPr>
              <w:fldChar w:fldCharType="separate"/>
            </w:r>
            <w:r w:rsidR="0080290F">
              <w:rPr>
                <w:noProof/>
                <w:webHidden/>
              </w:rPr>
              <w:t>10</w:t>
            </w:r>
            <w:r>
              <w:rPr>
                <w:noProof/>
                <w:webHidden/>
              </w:rPr>
              <w:fldChar w:fldCharType="end"/>
            </w:r>
          </w:hyperlink>
        </w:p>
        <w:p w14:paraId="63D5DC27" w14:textId="120AD3FF" w:rsidR="0048285A" w:rsidRDefault="0048285A">
          <w:pPr>
            <w:pStyle w:val="TOC1"/>
            <w:tabs>
              <w:tab w:val="left" w:pos="480"/>
              <w:tab w:val="right" w:leader="dot" w:pos="9180"/>
            </w:tabs>
            <w:rPr>
              <w:noProof/>
              <w:kern w:val="2"/>
              <w:sz w:val="24"/>
              <w:szCs w:val="24"/>
              <w:lang w:eastAsia="en-AU"/>
              <w14:ligatures w14:val="standardContextual"/>
            </w:rPr>
          </w:pPr>
          <w:hyperlink w:anchor="_Toc214441561" w:history="1">
            <w:r w:rsidRPr="00584C73">
              <w:rPr>
                <w:rStyle w:val="Hyperlink"/>
                <w:noProof/>
              </w:rPr>
              <w:t>6.</w:t>
            </w:r>
            <w:r>
              <w:rPr>
                <w:noProof/>
                <w:kern w:val="2"/>
                <w:sz w:val="24"/>
                <w:szCs w:val="24"/>
                <w:lang w:eastAsia="en-AU"/>
                <w14:ligatures w14:val="standardContextual"/>
              </w:rPr>
              <w:tab/>
            </w:r>
            <w:r w:rsidRPr="00584C73">
              <w:rPr>
                <w:rStyle w:val="Hyperlink"/>
                <w:noProof/>
              </w:rPr>
              <w:t>FINANCIAL PERFORMANCE</w:t>
            </w:r>
            <w:r>
              <w:rPr>
                <w:noProof/>
                <w:webHidden/>
              </w:rPr>
              <w:tab/>
            </w:r>
            <w:r>
              <w:rPr>
                <w:noProof/>
                <w:webHidden/>
              </w:rPr>
              <w:fldChar w:fldCharType="begin"/>
            </w:r>
            <w:r>
              <w:rPr>
                <w:noProof/>
                <w:webHidden/>
              </w:rPr>
              <w:instrText xml:space="preserve"> PAGEREF _Toc214441561 \h </w:instrText>
            </w:r>
            <w:r>
              <w:rPr>
                <w:noProof/>
                <w:webHidden/>
              </w:rPr>
            </w:r>
            <w:r>
              <w:rPr>
                <w:noProof/>
                <w:webHidden/>
              </w:rPr>
              <w:fldChar w:fldCharType="separate"/>
            </w:r>
            <w:r w:rsidR="0080290F">
              <w:rPr>
                <w:noProof/>
                <w:webHidden/>
              </w:rPr>
              <w:t>11</w:t>
            </w:r>
            <w:r>
              <w:rPr>
                <w:noProof/>
                <w:webHidden/>
              </w:rPr>
              <w:fldChar w:fldCharType="end"/>
            </w:r>
          </w:hyperlink>
        </w:p>
        <w:p w14:paraId="1E6BB2D7" w14:textId="23D75193" w:rsidR="0048285A" w:rsidRDefault="0048285A">
          <w:pPr>
            <w:pStyle w:val="TOC2"/>
            <w:tabs>
              <w:tab w:val="left" w:pos="960"/>
              <w:tab w:val="right" w:leader="dot" w:pos="9180"/>
            </w:tabs>
            <w:rPr>
              <w:noProof/>
              <w:kern w:val="2"/>
              <w:sz w:val="24"/>
              <w:szCs w:val="24"/>
              <w:lang w:eastAsia="en-AU"/>
              <w14:ligatures w14:val="standardContextual"/>
            </w:rPr>
          </w:pPr>
          <w:hyperlink w:anchor="_Toc214441562" w:history="1">
            <w:r w:rsidRPr="00584C73">
              <w:rPr>
                <w:rStyle w:val="Hyperlink"/>
                <w:noProof/>
              </w:rPr>
              <w:t>6.1.</w:t>
            </w:r>
            <w:r>
              <w:rPr>
                <w:noProof/>
                <w:kern w:val="2"/>
                <w:sz w:val="24"/>
                <w:szCs w:val="24"/>
                <w:lang w:eastAsia="en-AU"/>
                <w14:ligatures w14:val="standardContextual"/>
              </w:rPr>
              <w:tab/>
            </w:r>
            <w:r w:rsidRPr="00584C73">
              <w:rPr>
                <w:rStyle w:val="Hyperlink"/>
                <w:noProof/>
              </w:rPr>
              <w:t>Financial Estimates</w:t>
            </w:r>
            <w:r>
              <w:rPr>
                <w:noProof/>
                <w:webHidden/>
              </w:rPr>
              <w:tab/>
            </w:r>
            <w:r>
              <w:rPr>
                <w:noProof/>
                <w:webHidden/>
              </w:rPr>
              <w:fldChar w:fldCharType="begin"/>
            </w:r>
            <w:r>
              <w:rPr>
                <w:noProof/>
                <w:webHidden/>
              </w:rPr>
              <w:instrText xml:space="preserve"> PAGEREF _Toc214441562 \h </w:instrText>
            </w:r>
            <w:r>
              <w:rPr>
                <w:noProof/>
                <w:webHidden/>
              </w:rPr>
            </w:r>
            <w:r>
              <w:rPr>
                <w:noProof/>
                <w:webHidden/>
              </w:rPr>
              <w:fldChar w:fldCharType="separate"/>
            </w:r>
            <w:r w:rsidR="0080290F">
              <w:rPr>
                <w:noProof/>
                <w:webHidden/>
              </w:rPr>
              <w:t>11</w:t>
            </w:r>
            <w:r>
              <w:rPr>
                <w:noProof/>
                <w:webHidden/>
              </w:rPr>
              <w:fldChar w:fldCharType="end"/>
            </w:r>
          </w:hyperlink>
        </w:p>
        <w:p w14:paraId="24B8A073" w14:textId="2C73E42C" w:rsidR="0048285A" w:rsidRDefault="0048285A">
          <w:pPr>
            <w:pStyle w:val="TOC1"/>
            <w:tabs>
              <w:tab w:val="left" w:pos="480"/>
              <w:tab w:val="right" w:leader="dot" w:pos="9180"/>
            </w:tabs>
            <w:rPr>
              <w:noProof/>
              <w:kern w:val="2"/>
              <w:sz w:val="24"/>
              <w:szCs w:val="24"/>
              <w:lang w:eastAsia="en-AU"/>
              <w14:ligatures w14:val="standardContextual"/>
            </w:rPr>
          </w:pPr>
          <w:hyperlink w:anchor="_Toc214441563" w:history="1">
            <w:r w:rsidRPr="00584C73">
              <w:rPr>
                <w:rStyle w:val="Hyperlink"/>
                <w:noProof/>
              </w:rPr>
              <w:t>7.</w:t>
            </w:r>
            <w:r>
              <w:rPr>
                <w:noProof/>
                <w:kern w:val="2"/>
                <w:sz w:val="24"/>
                <w:szCs w:val="24"/>
                <w:lang w:eastAsia="en-AU"/>
                <w14:ligatures w14:val="standardContextual"/>
              </w:rPr>
              <w:tab/>
            </w:r>
            <w:r w:rsidRPr="00584C73">
              <w:rPr>
                <w:rStyle w:val="Hyperlink"/>
                <w:noProof/>
              </w:rPr>
              <w:t>NON-FINANCIAL PERFORMANCE</w:t>
            </w:r>
            <w:r>
              <w:rPr>
                <w:noProof/>
                <w:webHidden/>
              </w:rPr>
              <w:tab/>
            </w:r>
            <w:r>
              <w:rPr>
                <w:noProof/>
                <w:webHidden/>
              </w:rPr>
              <w:fldChar w:fldCharType="begin"/>
            </w:r>
            <w:r>
              <w:rPr>
                <w:noProof/>
                <w:webHidden/>
              </w:rPr>
              <w:instrText xml:space="preserve"> PAGEREF _Toc214441563 \h </w:instrText>
            </w:r>
            <w:r>
              <w:rPr>
                <w:noProof/>
                <w:webHidden/>
              </w:rPr>
            </w:r>
            <w:r>
              <w:rPr>
                <w:noProof/>
                <w:webHidden/>
              </w:rPr>
              <w:fldChar w:fldCharType="separate"/>
            </w:r>
            <w:r w:rsidR="0080290F">
              <w:rPr>
                <w:noProof/>
                <w:webHidden/>
              </w:rPr>
              <w:t>11</w:t>
            </w:r>
            <w:r>
              <w:rPr>
                <w:noProof/>
                <w:webHidden/>
              </w:rPr>
              <w:fldChar w:fldCharType="end"/>
            </w:r>
          </w:hyperlink>
        </w:p>
        <w:p w14:paraId="59F0140C" w14:textId="65DEA6A0" w:rsidR="0048285A" w:rsidRDefault="0048285A">
          <w:pPr>
            <w:pStyle w:val="TOC1"/>
            <w:tabs>
              <w:tab w:val="left" w:pos="480"/>
              <w:tab w:val="right" w:leader="dot" w:pos="9180"/>
            </w:tabs>
            <w:rPr>
              <w:noProof/>
              <w:kern w:val="2"/>
              <w:sz w:val="24"/>
              <w:szCs w:val="24"/>
              <w:lang w:eastAsia="en-AU"/>
              <w14:ligatures w14:val="standardContextual"/>
            </w:rPr>
          </w:pPr>
          <w:hyperlink w:anchor="_Toc214441564" w:history="1">
            <w:r w:rsidRPr="00584C73">
              <w:rPr>
                <w:rStyle w:val="Hyperlink"/>
                <w:noProof/>
              </w:rPr>
              <w:t>8.</w:t>
            </w:r>
            <w:r>
              <w:rPr>
                <w:noProof/>
                <w:kern w:val="2"/>
                <w:sz w:val="24"/>
                <w:szCs w:val="24"/>
                <w:lang w:eastAsia="en-AU"/>
                <w14:ligatures w14:val="standardContextual"/>
              </w:rPr>
              <w:tab/>
            </w:r>
            <w:r w:rsidRPr="00584C73">
              <w:rPr>
                <w:rStyle w:val="Hyperlink"/>
                <w:noProof/>
              </w:rPr>
              <w:t>KEY FORWARD DATES AND EVENTS</w:t>
            </w:r>
            <w:r>
              <w:rPr>
                <w:noProof/>
                <w:webHidden/>
              </w:rPr>
              <w:tab/>
            </w:r>
            <w:r>
              <w:rPr>
                <w:noProof/>
                <w:webHidden/>
              </w:rPr>
              <w:fldChar w:fldCharType="begin"/>
            </w:r>
            <w:r>
              <w:rPr>
                <w:noProof/>
                <w:webHidden/>
              </w:rPr>
              <w:instrText xml:space="preserve"> PAGEREF _Toc214441564 \h </w:instrText>
            </w:r>
            <w:r>
              <w:rPr>
                <w:noProof/>
                <w:webHidden/>
              </w:rPr>
            </w:r>
            <w:r>
              <w:rPr>
                <w:noProof/>
                <w:webHidden/>
              </w:rPr>
              <w:fldChar w:fldCharType="separate"/>
            </w:r>
            <w:r w:rsidR="0080290F">
              <w:rPr>
                <w:noProof/>
                <w:webHidden/>
              </w:rPr>
              <w:t>12</w:t>
            </w:r>
            <w:r>
              <w:rPr>
                <w:noProof/>
                <w:webHidden/>
              </w:rPr>
              <w:fldChar w:fldCharType="end"/>
            </w:r>
          </w:hyperlink>
        </w:p>
        <w:p w14:paraId="6A3DFA02" w14:textId="27877848" w:rsidR="0048285A" w:rsidRDefault="0048285A">
          <w:pPr>
            <w:pStyle w:val="TOC1"/>
            <w:tabs>
              <w:tab w:val="left" w:pos="480"/>
              <w:tab w:val="right" w:leader="dot" w:pos="9180"/>
            </w:tabs>
            <w:rPr>
              <w:noProof/>
              <w:kern w:val="2"/>
              <w:sz w:val="24"/>
              <w:szCs w:val="24"/>
              <w:lang w:eastAsia="en-AU"/>
              <w14:ligatures w14:val="standardContextual"/>
            </w:rPr>
          </w:pPr>
          <w:hyperlink w:anchor="_Toc214441565" w:history="1">
            <w:r w:rsidRPr="00584C73">
              <w:rPr>
                <w:rStyle w:val="Hyperlink"/>
                <w:noProof/>
              </w:rPr>
              <w:t>9.</w:t>
            </w:r>
            <w:r>
              <w:rPr>
                <w:noProof/>
                <w:kern w:val="2"/>
                <w:sz w:val="24"/>
                <w:szCs w:val="24"/>
                <w:lang w:eastAsia="en-AU"/>
                <w14:ligatures w14:val="standardContextual"/>
              </w:rPr>
              <w:tab/>
            </w:r>
            <w:r w:rsidRPr="00584C73">
              <w:rPr>
                <w:rStyle w:val="Hyperlink"/>
                <w:noProof/>
              </w:rPr>
              <w:t>CRIS APPROVAL AND CHANGE REGISTER</w:t>
            </w:r>
            <w:r>
              <w:rPr>
                <w:noProof/>
                <w:webHidden/>
              </w:rPr>
              <w:tab/>
            </w:r>
            <w:r>
              <w:rPr>
                <w:noProof/>
                <w:webHidden/>
              </w:rPr>
              <w:fldChar w:fldCharType="begin"/>
            </w:r>
            <w:r>
              <w:rPr>
                <w:noProof/>
                <w:webHidden/>
              </w:rPr>
              <w:instrText xml:space="preserve"> PAGEREF _Toc214441565 \h </w:instrText>
            </w:r>
            <w:r>
              <w:rPr>
                <w:noProof/>
                <w:webHidden/>
              </w:rPr>
            </w:r>
            <w:r>
              <w:rPr>
                <w:noProof/>
                <w:webHidden/>
              </w:rPr>
              <w:fldChar w:fldCharType="separate"/>
            </w:r>
            <w:r w:rsidR="0080290F">
              <w:rPr>
                <w:noProof/>
                <w:webHidden/>
              </w:rPr>
              <w:t>13</w:t>
            </w:r>
            <w:r>
              <w:rPr>
                <w:noProof/>
                <w:webHidden/>
              </w:rPr>
              <w:fldChar w:fldCharType="end"/>
            </w:r>
          </w:hyperlink>
        </w:p>
        <w:p w14:paraId="151890B6" w14:textId="66ACFCE9" w:rsidR="00016586" w:rsidRDefault="00016586" w:rsidP="002768A8">
          <w:r w:rsidRPr="070CBDA7">
            <w:rPr>
              <w:b/>
              <w:bCs/>
              <w:noProof/>
            </w:rPr>
            <w:fldChar w:fldCharType="end"/>
          </w:r>
        </w:p>
      </w:sdtContent>
    </w:sdt>
    <w:p w14:paraId="63590DAE" w14:textId="77777777" w:rsidR="001F3F05" w:rsidRDefault="001F3F05" w:rsidP="00B73B08">
      <w:pPr>
        <w:spacing w:after="160" w:line="259" w:lineRule="auto"/>
        <w:jc w:val="both"/>
      </w:pPr>
      <w:r>
        <w:br w:type="page"/>
      </w:r>
    </w:p>
    <w:p w14:paraId="7E1F2276" w14:textId="2A7D339B" w:rsidR="001F3F05" w:rsidRPr="00D57921" w:rsidRDefault="00063557" w:rsidP="00000F28">
      <w:pPr>
        <w:pStyle w:val="Heading1"/>
        <w:numPr>
          <w:ilvl w:val="0"/>
          <w:numId w:val="2"/>
        </w:numPr>
        <w:spacing w:after="240"/>
        <w:jc w:val="both"/>
      </w:pPr>
      <w:bookmarkStart w:id="3" w:name="_Toc214441550"/>
      <w:r w:rsidRPr="00D57921">
        <w:lastRenderedPageBreak/>
        <w:t>INTRODUCTION</w:t>
      </w:r>
      <w:bookmarkEnd w:id="3"/>
    </w:p>
    <w:p w14:paraId="3C19F25B" w14:textId="553E722E" w:rsidR="00165B41" w:rsidRPr="00D57921" w:rsidRDefault="007327A6" w:rsidP="00000F28">
      <w:pPr>
        <w:pStyle w:val="Heading2"/>
        <w:numPr>
          <w:ilvl w:val="1"/>
          <w:numId w:val="2"/>
        </w:numPr>
        <w:spacing w:before="320" w:after="240"/>
        <w:ind w:left="426"/>
        <w:jc w:val="both"/>
      </w:pPr>
      <w:r>
        <w:t xml:space="preserve"> </w:t>
      </w:r>
      <w:bookmarkStart w:id="4" w:name="_Toc214441551"/>
      <w:r w:rsidR="001F3F05" w:rsidRPr="00D57921">
        <w:t>Purpose</w:t>
      </w:r>
      <w:bookmarkEnd w:id="4"/>
    </w:p>
    <w:p w14:paraId="072F8B15" w14:textId="5DCC430F" w:rsidR="00F01B0E" w:rsidRDefault="00F01B0E" w:rsidP="00000F28">
      <w:pPr>
        <w:spacing w:before="320" w:after="240"/>
        <w:jc w:val="both"/>
        <w:rPr>
          <w:rFonts w:eastAsia="SimSun"/>
        </w:rPr>
      </w:pPr>
      <w:r w:rsidRPr="070CBDA7">
        <w:rPr>
          <w:rFonts w:eastAsia="SimSun"/>
        </w:rPr>
        <w:t xml:space="preserve">This Cost Recovery Implementation Statement (CRIS) provides information on how the Department of Climate Change, Energy, the Environment and Water (the department) </w:t>
      </w:r>
      <w:proofErr w:type="gramStart"/>
      <w:r w:rsidRPr="070CBDA7">
        <w:rPr>
          <w:rFonts w:eastAsia="SimSun"/>
        </w:rPr>
        <w:t>implements</w:t>
      </w:r>
      <w:proofErr w:type="gramEnd"/>
      <w:r w:rsidRPr="070CBDA7">
        <w:rPr>
          <w:rFonts w:eastAsia="SimSun"/>
        </w:rPr>
        <w:t xml:space="preserve"> cost recovery charging for the</w:t>
      </w:r>
      <w:r w:rsidR="001D5BAA" w:rsidRPr="070CBDA7">
        <w:rPr>
          <w:rFonts w:eastAsia="SimSun"/>
        </w:rPr>
        <w:t xml:space="preserve"> Commercial Building Disclosure</w:t>
      </w:r>
      <w:r w:rsidR="008430DF" w:rsidRPr="070CBDA7">
        <w:rPr>
          <w:rFonts w:eastAsia="SimSun"/>
        </w:rPr>
        <w:t xml:space="preserve"> (CBD)</w:t>
      </w:r>
      <w:r w:rsidR="001D5BAA" w:rsidRPr="070CBDA7">
        <w:rPr>
          <w:rFonts w:eastAsia="SimSun"/>
        </w:rPr>
        <w:t xml:space="preserve"> program</w:t>
      </w:r>
      <w:r w:rsidRPr="070CBDA7">
        <w:rPr>
          <w:rFonts w:eastAsia="SimSun"/>
        </w:rPr>
        <w:t xml:space="preserve">. It reports actual financial and non-financial performance information for the </w:t>
      </w:r>
      <w:r w:rsidR="008430DF" w:rsidRPr="070CBDA7">
        <w:rPr>
          <w:rFonts w:eastAsia="SimSun"/>
        </w:rPr>
        <w:t>CBD program</w:t>
      </w:r>
      <w:r w:rsidR="002F0072" w:rsidRPr="070CBDA7">
        <w:rPr>
          <w:rFonts w:eastAsia="SimSun"/>
        </w:rPr>
        <w:t xml:space="preserve"> </w:t>
      </w:r>
      <w:r w:rsidRPr="070CBDA7">
        <w:rPr>
          <w:rFonts w:eastAsia="SimSun"/>
        </w:rPr>
        <w:t>and contains financial and demand forecasts for 2024</w:t>
      </w:r>
      <w:r w:rsidR="00E86BE7" w:rsidRPr="070CBDA7">
        <w:rPr>
          <w:rFonts w:eastAsia="SimSun"/>
        </w:rPr>
        <w:t>–</w:t>
      </w:r>
      <w:r w:rsidRPr="070CBDA7">
        <w:rPr>
          <w:rFonts w:eastAsia="SimSun"/>
        </w:rPr>
        <w:t>25</w:t>
      </w:r>
      <w:r w:rsidR="00E86BE7" w:rsidRPr="070CBDA7">
        <w:rPr>
          <w:rFonts w:eastAsia="SimSun"/>
        </w:rPr>
        <w:t xml:space="preserve"> </w:t>
      </w:r>
      <w:r w:rsidRPr="070CBDA7">
        <w:rPr>
          <w:rFonts w:eastAsia="SimSun"/>
        </w:rPr>
        <w:t>and three forward years.</w:t>
      </w:r>
      <w:r w:rsidR="000737BF">
        <w:rPr>
          <w:rFonts w:eastAsia="SimSun"/>
        </w:rPr>
        <w:t xml:space="preserve"> </w:t>
      </w:r>
      <w:r w:rsidRPr="070CBDA7">
        <w:rPr>
          <w:rFonts w:eastAsia="SimSun"/>
        </w:rPr>
        <w:t>The department will maintain the CRIS until the activity or cost recovery for the activity has been discontinued.</w:t>
      </w:r>
    </w:p>
    <w:p w14:paraId="4325978E" w14:textId="67D9995D" w:rsidR="00FA4D26" w:rsidRDefault="00FA4D26" w:rsidP="00000F28">
      <w:pPr>
        <w:spacing w:before="320" w:after="240"/>
        <w:jc w:val="both"/>
        <w:rPr>
          <w:rFonts w:eastAsia="Calibri" w:cs="Arial"/>
        </w:rPr>
      </w:pPr>
      <w:r w:rsidRPr="00262FF1">
        <w:rPr>
          <w:rFonts w:eastAsia="Calibri" w:cs="Arial"/>
        </w:rPr>
        <w:t xml:space="preserve">The </w:t>
      </w:r>
      <w:r w:rsidR="00FB5F9A">
        <w:rPr>
          <w:rFonts w:eastAsia="Calibri" w:cs="Arial"/>
        </w:rPr>
        <w:t>CBD</w:t>
      </w:r>
      <w:r w:rsidRPr="00262FF1">
        <w:rPr>
          <w:rFonts w:eastAsia="Calibri" w:cs="Arial"/>
        </w:rPr>
        <w:t xml:space="preserve"> program </w:t>
      </w:r>
      <w:r w:rsidR="00FB5F9A" w:rsidRPr="006D5FDD">
        <w:rPr>
          <w:rFonts w:eastAsia="Calibri" w:cs="Arial"/>
        </w:rPr>
        <w:t>aims to improve the energy efficiency of Australia’s large office buildings</w:t>
      </w:r>
      <w:r w:rsidR="00FB5F9A" w:rsidRPr="00262FF1">
        <w:rPr>
          <w:rFonts w:eastAsia="Calibri" w:cs="Arial"/>
        </w:rPr>
        <w:t xml:space="preserve"> </w:t>
      </w:r>
      <w:r w:rsidR="00FB5F9A">
        <w:rPr>
          <w:rFonts w:eastAsia="Calibri" w:cs="Arial"/>
        </w:rPr>
        <w:t xml:space="preserve">and </w:t>
      </w:r>
      <w:r w:rsidRPr="00262FF1">
        <w:rPr>
          <w:rFonts w:eastAsia="Calibri" w:cs="Arial"/>
        </w:rPr>
        <w:t>requires building owners to disclose information about the energy efficiency of large commercial office buildings (</w:t>
      </w:r>
      <w:r>
        <w:rPr>
          <w:rFonts w:eastAsia="Calibri" w:cs="Arial"/>
        </w:rPr>
        <w:t>1</w:t>
      </w:r>
      <w:r w:rsidRPr="00262FF1">
        <w:rPr>
          <w:rFonts w:eastAsia="Calibri" w:cs="Arial"/>
        </w:rPr>
        <w:t xml:space="preserve">,000 square meters or more) at the time of sale, lease or sublease. To meet the program requirements, building owners </w:t>
      </w:r>
      <w:r>
        <w:rPr>
          <w:rFonts w:eastAsia="Calibri" w:cs="Arial"/>
        </w:rPr>
        <w:t>are obligated</w:t>
      </w:r>
      <w:r w:rsidRPr="00262FF1">
        <w:rPr>
          <w:rFonts w:eastAsia="Calibri" w:cs="Arial"/>
        </w:rPr>
        <w:t xml:space="preserve"> to obtain a </w:t>
      </w:r>
      <w:r w:rsidRPr="001E4E98">
        <w:t xml:space="preserve">Building Energy Efficiency Certificates </w:t>
      </w:r>
      <w:r>
        <w:t xml:space="preserve">(BEEC) </w:t>
      </w:r>
      <w:r>
        <w:rPr>
          <w:rFonts w:eastAsia="Calibri" w:cs="Arial"/>
        </w:rPr>
        <w:t xml:space="preserve">or an </w:t>
      </w:r>
      <w:r w:rsidR="00473141">
        <w:rPr>
          <w:rFonts w:eastAsia="Calibri" w:cs="Arial"/>
        </w:rPr>
        <w:t>e</w:t>
      </w:r>
      <w:r>
        <w:rPr>
          <w:rFonts w:eastAsia="Calibri" w:cs="Arial"/>
        </w:rPr>
        <w:t xml:space="preserve">xemption. BEECs </w:t>
      </w:r>
      <w:r w:rsidRPr="00262FF1">
        <w:rPr>
          <w:rFonts w:eastAsia="Calibri" w:cs="Arial"/>
        </w:rPr>
        <w:t>consist</w:t>
      </w:r>
      <w:r>
        <w:rPr>
          <w:rFonts w:eastAsia="Calibri" w:cs="Arial"/>
        </w:rPr>
        <w:t xml:space="preserve"> </w:t>
      </w:r>
      <w:r w:rsidRPr="00262FF1">
        <w:rPr>
          <w:rFonts w:eastAsia="Calibri" w:cs="Arial"/>
        </w:rPr>
        <w:t xml:space="preserve">of a National Australian Building Environment Rating System (NABERS) rating, </w:t>
      </w:r>
      <w:r>
        <w:rPr>
          <w:rFonts w:eastAsia="Calibri" w:cs="Arial"/>
        </w:rPr>
        <w:t xml:space="preserve">a </w:t>
      </w:r>
      <w:r w:rsidRPr="001E4E98">
        <w:t>Tenancy Lighting Assessment</w:t>
      </w:r>
      <w:r>
        <w:t xml:space="preserve"> (TLA)</w:t>
      </w:r>
      <w:r>
        <w:rPr>
          <w:rFonts w:eastAsia="Calibri" w:cs="Arial"/>
        </w:rPr>
        <w:t>,</w:t>
      </w:r>
      <w:r w:rsidRPr="00262FF1">
        <w:rPr>
          <w:rFonts w:eastAsia="Calibri" w:cs="Arial"/>
        </w:rPr>
        <w:t xml:space="preserve"> and </w:t>
      </w:r>
      <w:r>
        <w:rPr>
          <w:rFonts w:eastAsia="Calibri" w:cs="Arial"/>
        </w:rPr>
        <w:t>online</w:t>
      </w:r>
      <w:r w:rsidRPr="00262FF1">
        <w:rPr>
          <w:rFonts w:eastAsia="Calibri" w:cs="Arial"/>
        </w:rPr>
        <w:t xml:space="preserve"> guidance on how the energy efficiency of the office could be improved.</w:t>
      </w:r>
      <w:r>
        <w:rPr>
          <w:rFonts w:eastAsia="Calibri" w:cs="Arial"/>
        </w:rPr>
        <w:t xml:space="preserve"> All CBD assessments are conducted and submitted by CBD </w:t>
      </w:r>
      <w:r w:rsidR="0052467C">
        <w:rPr>
          <w:rFonts w:eastAsia="Calibri" w:cs="Arial"/>
        </w:rPr>
        <w:t>a</w:t>
      </w:r>
      <w:r>
        <w:rPr>
          <w:rFonts w:eastAsia="Calibri" w:cs="Arial"/>
        </w:rPr>
        <w:t xml:space="preserve">ccredited assessors. </w:t>
      </w:r>
      <w:r>
        <w:t xml:space="preserve">NABERS ratings are issued by the NABERS Program, which is a national initiative </w:t>
      </w:r>
      <w:r w:rsidRPr="00E731F1">
        <w:t xml:space="preserve">managed by the NSW </w:t>
      </w:r>
      <w:r w:rsidR="002768A8">
        <w:t>Department of Climate Change</w:t>
      </w:r>
      <w:r w:rsidR="00B73B08">
        <w:t>, Energy, the Environment and Water</w:t>
      </w:r>
      <w:r w:rsidRPr="00E731F1">
        <w:t xml:space="preserve"> on behalf of the </w:t>
      </w:r>
      <w:r w:rsidR="00D316F7">
        <w:t>Australian</w:t>
      </w:r>
      <w:r w:rsidRPr="00E731F1">
        <w:t xml:space="preserve">, </w:t>
      </w:r>
      <w:r w:rsidR="00D316F7">
        <w:t>s</w:t>
      </w:r>
      <w:r w:rsidRPr="00E731F1">
        <w:t xml:space="preserve">tate and </w:t>
      </w:r>
      <w:r w:rsidR="00D316F7">
        <w:t>t</w:t>
      </w:r>
      <w:r w:rsidRPr="00E731F1">
        <w:t>erritory governments</w:t>
      </w:r>
      <w:r>
        <w:t>.</w:t>
      </w:r>
    </w:p>
    <w:p w14:paraId="7CB8818D" w14:textId="75B5F598" w:rsidR="00C67F4F" w:rsidRDefault="00C67F4F" w:rsidP="00000F28">
      <w:pPr>
        <w:spacing w:before="320" w:after="240"/>
        <w:jc w:val="both"/>
        <w:rPr>
          <w:rFonts w:eastAsia="Calibri" w:cs="Arial"/>
        </w:rPr>
      </w:pPr>
      <w:r w:rsidRPr="00262FF1">
        <w:rPr>
          <w:rFonts w:eastAsia="Calibri" w:cs="Arial"/>
        </w:rPr>
        <w:t xml:space="preserve">The BEEC enables potential purchasers or lessees to include consideration of a building’s energy efficiency as part of their decision-making process. </w:t>
      </w:r>
      <w:r w:rsidR="001412F1">
        <w:rPr>
          <w:rFonts w:eastAsia="Calibri" w:cs="Arial"/>
        </w:rPr>
        <w:t xml:space="preserve">This </w:t>
      </w:r>
      <w:r w:rsidRPr="00C53220">
        <w:rPr>
          <w:rFonts w:eastAsia="Calibri" w:cs="Arial"/>
        </w:rPr>
        <w:t>creates a strong market-based incentive for owners to improve their properties with cost-effective energy efficient upgrades that are attractive to buyers and tenants and increase return on investment.</w:t>
      </w:r>
    </w:p>
    <w:p w14:paraId="4FC7575C" w14:textId="405C0907" w:rsidR="0065224B" w:rsidRDefault="0065224B" w:rsidP="00000F28">
      <w:pPr>
        <w:spacing w:before="320" w:after="240"/>
        <w:jc w:val="both"/>
        <w:rPr>
          <w:rFonts w:eastAsia="Calibri" w:cs="Arial"/>
        </w:rPr>
      </w:pPr>
      <w:r>
        <w:rPr>
          <w:rFonts w:eastAsia="Calibri" w:cs="Arial"/>
        </w:rPr>
        <w:t>The department administers the</w:t>
      </w:r>
      <w:r w:rsidR="00F748E7">
        <w:rPr>
          <w:rFonts w:eastAsia="Calibri" w:cs="Arial"/>
        </w:rPr>
        <w:t xml:space="preserve"> CBD</w:t>
      </w:r>
      <w:r>
        <w:rPr>
          <w:rFonts w:eastAsia="Calibri" w:cs="Arial"/>
        </w:rPr>
        <w:t xml:space="preserve"> program and </w:t>
      </w:r>
      <w:r w:rsidR="00D749A1" w:rsidRPr="007310C1">
        <w:rPr>
          <w:rFonts w:eastAsia="Calibri" w:cs="Arial"/>
        </w:rPr>
        <w:t>collaborates</w:t>
      </w:r>
      <w:r w:rsidRPr="007310C1">
        <w:rPr>
          <w:rFonts w:eastAsia="Calibri" w:cs="Arial"/>
        </w:rPr>
        <w:t xml:space="preserve"> with the regulatory community to help them comply with their disclosure obligations.</w:t>
      </w:r>
    </w:p>
    <w:p w14:paraId="46B8CBEE" w14:textId="26B92B38" w:rsidR="00FB1B8A" w:rsidRDefault="00693237" w:rsidP="00000F28">
      <w:pPr>
        <w:spacing w:before="320" w:after="240"/>
        <w:jc w:val="both"/>
      </w:pPr>
      <w:r w:rsidRPr="001E4E98">
        <w:t>The C</w:t>
      </w:r>
      <w:r>
        <w:t xml:space="preserve">BD </w:t>
      </w:r>
      <w:r w:rsidR="00C75883">
        <w:t>pr</w:t>
      </w:r>
      <w:r>
        <w:t xml:space="preserve">ogram </w:t>
      </w:r>
      <w:r w:rsidRPr="001E4E98">
        <w:t xml:space="preserve">provides four services: </w:t>
      </w:r>
      <w:r w:rsidR="00767571">
        <w:t>a</w:t>
      </w:r>
      <w:r w:rsidRPr="001E4E98">
        <w:t xml:space="preserve">ssessor </w:t>
      </w:r>
      <w:r w:rsidR="00767571">
        <w:t>a</w:t>
      </w:r>
      <w:r w:rsidRPr="001E4E98">
        <w:t>ccreditation, approval of applications for TLA</w:t>
      </w:r>
      <w:r>
        <w:t>s</w:t>
      </w:r>
      <w:r w:rsidRPr="001E4E98">
        <w:t xml:space="preserve">, </w:t>
      </w:r>
      <w:r>
        <w:t>BEECs</w:t>
      </w:r>
      <w:r w:rsidRPr="001E4E98">
        <w:t xml:space="preserve"> and exemptions. </w:t>
      </w:r>
      <w:r w:rsidR="00A31653">
        <w:t xml:space="preserve">The </w:t>
      </w:r>
      <w:r w:rsidR="00AD5308">
        <w:t>d</w:t>
      </w:r>
      <w:r>
        <w:t xml:space="preserve">epartment </w:t>
      </w:r>
      <w:r w:rsidR="00A31653">
        <w:t xml:space="preserve">however </w:t>
      </w:r>
      <w:r>
        <w:t>only charges for exemptions and accreditations</w:t>
      </w:r>
      <w:r w:rsidR="00A31653">
        <w:t xml:space="preserve"> in line with the </w:t>
      </w:r>
      <w:r w:rsidR="00A31653" w:rsidRPr="070CBDA7">
        <w:t>Australian Government’s charging policy decision</w:t>
      </w:r>
      <w:r w:rsidR="0022227B" w:rsidRPr="070CBDA7">
        <w:t xml:space="preserve">, and in accordance with the </w:t>
      </w:r>
      <w:r w:rsidR="0022227B" w:rsidRPr="070CBDA7">
        <w:rPr>
          <w:i/>
        </w:rPr>
        <w:t>Building Energy Efficiency Disclosure Act 2010</w:t>
      </w:r>
      <w:r w:rsidR="0022227B" w:rsidRPr="070CBDA7">
        <w:t xml:space="preserve"> (BEED Act)</w:t>
      </w:r>
      <w:r>
        <w:t>.</w:t>
      </w:r>
      <w:r w:rsidR="003D7DDB">
        <w:t xml:space="preserve"> This initial partial cost recovery decision was </w:t>
      </w:r>
      <w:r w:rsidR="00D93763">
        <w:t>taken</w:t>
      </w:r>
      <w:r w:rsidR="003D4E51">
        <w:t xml:space="preserve"> </w:t>
      </w:r>
      <w:r w:rsidR="00642720">
        <w:t>when the Act was made</w:t>
      </w:r>
      <w:r w:rsidR="00E70588">
        <w:t xml:space="preserve"> and reflects the government policy decision at the</w:t>
      </w:r>
      <w:r w:rsidR="004D6446">
        <w:t xml:space="preserve"> time</w:t>
      </w:r>
      <w:r w:rsidR="00E70588">
        <w:t xml:space="preserve"> to </w:t>
      </w:r>
      <w:r w:rsidR="00CB020C">
        <w:t>only charge for part of the costs of th</w:t>
      </w:r>
      <w:r w:rsidR="006F47DB">
        <w:t>e services.</w:t>
      </w:r>
      <w:r w:rsidR="00642720">
        <w:t xml:space="preserve"> </w:t>
      </w:r>
      <w:r w:rsidR="00C60A09">
        <w:t>T</w:t>
      </w:r>
      <w:r w:rsidR="00F27F14">
        <w:t xml:space="preserve">his decision included </w:t>
      </w:r>
      <w:r w:rsidR="000C0AC7">
        <w:t>a consideration of the overall</w:t>
      </w:r>
      <w:r w:rsidR="00C978E4">
        <w:t xml:space="preserve"> </w:t>
      </w:r>
      <w:r w:rsidR="009F5251">
        <w:t xml:space="preserve">costs to industry </w:t>
      </w:r>
      <w:r w:rsidR="007468B9">
        <w:t xml:space="preserve">from </w:t>
      </w:r>
      <w:r w:rsidR="0010352D">
        <w:t>introducing the Act</w:t>
      </w:r>
      <w:r w:rsidR="00724ED0">
        <w:t xml:space="preserve">, including </w:t>
      </w:r>
      <w:r w:rsidR="009E5A45">
        <w:t xml:space="preserve">non-statutory </w:t>
      </w:r>
      <w:r w:rsidR="00D15DA6">
        <w:t xml:space="preserve">costs </w:t>
      </w:r>
      <w:r w:rsidR="000437C4">
        <w:t xml:space="preserve">associated with obtaining a </w:t>
      </w:r>
      <w:r w:rsidR="00196F12">
        <w:t>certified NABERS rating.</w:t>
      </w:r>
    </w:p>
    <w:p w14:paraId="4DF97EB9" w14:textId="478EEEC0" w:rsidR="00A31653" w:rsidRDefault="003152CC" w:rsidP="00000F28">
      <w:pPr>
        <w:spacing w:before="320" w:after="240"/>
        <w:jc w:val="both"/>
      </w:pPr>
      <w:r>
        <w:t xml:space="preserve">Building owners who apply for an </w:t>
      </w:r>
      <w:r w:rsidR="00473141">
        <w:t>e</w:t>
      </w:r>
      <w:r>
        <w:t>xemption from their disclosure obligations</w:t>
      </w:r>
      <w:r w:rsidR="00AA6FAA">
        <w:t xml:space="preserve"> and individuals wishing to become CBD </w:t>
      </w:r>
      <w:r w:rsidR="00F9216F">
        <w:t>a</w:t>
      </w:r>
      <w:r w:rsidR="00AA6FAA">
        <w:t xml:space="preserve">ccredited </w:t>
      </w:r>
      <w:r w:rsidR="00F9216F">
        <w:t>a</w:t>
      </w:r>
      <w:r w:rsidR="00AA6FAA">
        <w:t>ssessor</w:t>
      </w:r>
      <w:r w:rsidR="00FC54C5">
        <w:t>s</w:t>
      </w:r>
      <w:r w:rsidR="00AA6FAA">
        <w:t xml:space="preserve"> pay an</w:t>
      </w:r>
      <w:r w:rsidR="00FC54C5">
        <w:t xml:space="preserve"> </w:t>
      </w:r>
      <w:r>
        <w:t>application fee.</w:t>
      </w:r>
      <w:r w:rsidR="00201D57">
        <w:t xml:space="preserve"> T</w:t>
      </w:r>
      <w:r w:rsidR="00A31653" w:rsidRPr="1DB10D80">
        <w:t xml:space="preserve">he remaining program costs </w:t>
      </w:r>
      <w:r w:rsidR="00A31653">
        <w:t>are</w:t>
      </w:r>
      <w:r w:rsidR="00A31653" w:rsidRPr="1DB10D80">
        <w:t xml:space="preserve"> funded through government appropriations.</w:t>
      </w:r>
    </w:p>
    <w:p w14:paraId="4852FF83" w14:textId="114C8A23" w:rsidR="003152CC" w:rsidRDefault="00FC54C5" w:rsidP="00000F28">
      <w:pPr>
        <w:spacing w:before="320" w:after="240"/>
        <w:jc w:val="both"/>
      </w:pPr>
      <w:r>
        <w:t>T</w:t>
      </w:r>
      <w:r w:rsidR="003152CC">
        <w:t xml:space="preserve">he CBD </w:t>
      </w:r>
      <w:r w:rsidR="000F559C">
        <w:t>p</w:t>
      </w:r>
      <w:r w:rsidR="003152CC">
        <w:t xml:space="preserve">rogram does not charge fees for BEECs or TLAs, however they result in a cost to building owners. Building owners are required to pay for the services of a CBD </w:t>
      </w:r>
      <w:r w:rsidR="00F9216F">
        <w:t xml:space="preserve">accredited </w:t>
      </w:r>
      <w:r w:rsidR="003152CC">
        <w:t>assessor to conduct an assessment on-site and apply for TLAs and BEECs on their behalf.</w:t>
      </w:r>
    </w:p>
    <w:p w14:paraId="332115BD" w14:textId="4989716D" w:rsidR="003152CC" w:rsidRDefault="003152CC" w:rsidP="00000F28">
      <w:pPr>
        <w:spacing w:before="320" w:after="240"/>
        <w:jc w:val="both"/>
      </w:pPr>
      <w:r>
        <w:t xml:space="preserve">Whilst </w:t>
      </w:r>
      <w:r w:rsidR="003C4E7B">
        <w:t>it is</w:t>
      </w:r>
      <w:r>
        <w:t xml:space="preserve"> possible to apply for TLAs, BEECs and </w:t>
      </w:r>
      <w:r w:rsidR="00473141">
        <w:t>e</w:t>
      </w:r>
      <w:r>
        <w:t xml:space="preserve">xemptions voluntarily, most owners </w:t>
      </w:r>
      <w:r w:rsidR="00044CB4">
        <w:t xml:space="preserve">apply and incur </w:t>
      </w:r>
      <w:r>
        <w:t>these costs because they are legally obligated to.</w:t>
      </w:r>
    </w:p>
    <w:p w14:paraId="3D8C0EA6" w14:textId="77777777" w:rsidR="003B53C9" w:rsidRDefault="003B53C9" w:rsidP="00000F28">
      <w:pPr>
        <w:spacing w:before="320" w:after="240"/>
        <w:jc w:val="both"/>
        <w:rPr>
          <w:rFonts w:asciiTheme="majorHAnsi" w:eastAsiaTheme="majorEastAsia" w:hAnsiTheme="majorHAnsi" w:cstheme="majorBidi"/>
          <w:color w:val="2E74B5" w:themeColor="accent1" w:themeShade="BF"/>
          <w:sz w:val="32"/>
          <w:szCs w:val="32"/>
        </w:rPr>
      </w:pPr>
      <w:r>
        <w:br w:type="page"/>
      </w:r>
    </w:p>
    <w:p w14:paraId="06FDB7D2" w14:textId="54C7CC42" w:rsidR="00063557" w:rsidRPr="00D57921" w:rsidRDefault="00063557" w:rsidP="00000F28">
      <w:pPr>
        <w:pStyle w:val="Heading1"/>
        <w:numPr>
          <w:ilvl w:val="0"/>
          <w:numId w:val="2"/>
        </w:numPr>
        <w:spacing w:after="240"/>
        <w:jc w:val="both"/>
      </w:pPr>
      <w:bookmarkStart w:id="5" w:name="_Toc214441552"/>
      <w:r w:rsidRPr="00D57921">
        <w:lastRenderedPageBreak/>
        <w:t xml:space="preserve">POLICY AND STATUTORY AUTHORITY TO </w:t>
      </w:r>
      <w:r w:rsidR="003460DF">
        <w:t>CHARGE</w:t>
      </w:r>
      <w:r w:rsidR="00DB0487">
        <w:t xml:space="preserve"> (</w:t>
      </w:r>
      <w:r w:rsidRPr="00D57921">
        <w:t>COST RECOVER</w:t>
      </w:r>
      <w:r w:rsidR="00DB0487">
        <w:t>)</w:t>
      </w:r>
      <w:bookmarkEnd w:id="5"/>
    </w:p>
    <w:p w14:paraId="44C7A8BD" w14:textId="628E568E" w:rsidR="00063557" w:rsidRDefault="007327A6" w:rsidP="00000F28">
      <w:pPr>
        <w:pStyle w:val="Heading2"/>
        <w:numPr>
          <w:ilvl w:val="1"/>
          <w:numId w:val="2"/>
        </w:numPr>
        <w:spacing w:before="320" w:after="240"/>
        <w:ind w:left="426"/>
        <w:jc w:val="both"/>
      </w:pPr>
      <w:r>
        <w:t xml:space="preserve"> </w:t>
      </w:r>
      <w:bookmarkStart w:id="6" w:name="_Toc214441553"/>
      <w:r w:rsidR="006036C2" w:rsidRPr="003E4F67">
        <w:t>Government policy approval to charge for this regulatory activity</w:t>
      </w:r>
      <w:bookmarkEnd w:id="6"/>
    </w:p>
    <w:p w14:paraId="30910C20" w14:textId="1EEF7264" w:rsidR="00BF4BD5" w:rsidRDefault="00BF4BD5" w:rsidP="00000F28">
      <w:pPr>
        <w:spacing w:before="320" w:after="240"/>
        <w:jc w:val="both"/>
      </w:pPr>
      <w:r w:rsidRPr="070CBDA7">
        <w:t xml:space="preserve">The Australian Government announced its decision to establish the </w:t>
      </w:r>
      <w:r w:rsidR="00A23A41" w:rsidRPr="070CBDA7">
        <w:t>CBD program</w:t>
      </w:r>
      <w:r w:rsidRPr="070CBDA7">
        <w:t xml:space="preserve"> </w:t>
      </w:r>
      <w:r w:rsidR="00AF111A" w:rsidRPr="070CBDA7">
        <w:t>as part of the 20</w:t>
      </w:r>
      <w:r w:rsidR="00B14D81" w:rsidRPr="070CBDA7">
        <w:t>09</w:t>
      </w:r>
      <w:r w:rsidR="00CD6012" w:rsidRPr="070CBDA7">
        <w:t>–</w:t>
      </w:r>
      <w:r w:rsidR="00B14D81" w:rsidRPr="070CBDA7">
        <w:t>10</w:t>
      </w:r>
      <w:r w:rsidR="00AF111A" w:rsidRPr="070CBDA7">
        <w:t xml:space="preserve"> Budget process</w:t>
      </w:r>
      <w:r w:rsidR="00930D09" w:rsidRPr="070CBDA7">
        <w:t xml:space="preserve">. </w:t>
      </w:r>
      <w:r w:rsidR="00206D90" w:rsidRPr="070CBDA7">
        <w:t xml:space="preserve">In the budget papers, funding </w:t>
      </w:r>
      <w:r w:rsidR="00754DFF" w:rsidRPr="070CBDA7">
        <w:t>of</w:t>
      </w:r>
      <w:r w:rsidR="00206D90" w:rsidRPr="070CBDA7">
        <w:t xml:space="preserve"> </w:t>
      </w:r>
      <w:r w:rsidR="002C3E0C" w:rsidRPr="070CBDA7">
        <w:t>$5.3</w:t>
      </w:r>
      <w:r w:rsidR="00AF111A" w:rsidRPr="070CBDA7">
        <w:t xml:space="preserve"> million over </w:t>
      </w:r>
      <w:r w:rsidR="0032209E" w:rsidRPr="070CBDA7">
        <w:t xml:space="preserve">four </w:t>
      </w:r>
      <w:r w:rsidR="00AF111A" w:rsidRPr="070CBDA7">
        <w:t xml:space="preserve">years </w:t>
      </w:r>
      <w:r w:rsidR="00754DFF" w:rsidRPr="070CBDA7">
        <w:t xml:space="preserve">was announced </w:t>
      </w:r>
      <w:r w:rsidR="00AF111A" w:rsidRPr="070CBDA7">
        <w:t xml:space="preserve">to </w:t>
      </w:r>
      <w:r w:rsidR="00CF7D3A" w:rsidRPr="070CBDA7">
        <w:t xml:space="preserve">accelerate and expand a national regime for the mandatory disclosure of commercial building energy efficiency at the point of sale or lease to improve awareness of building energy performance. </w:t>
      </w:r>
      <w:r w:rsidR="00360C94" w:rsidRPr="070CBDA7">
        <w:t>The funding was intended to cover both the initial phase of the scheme, covering office buildings, and the expansion of the scheme over the coming years to include other types of commercial buildings. Administration of the scheme would be undertaken with the objective of moving to full cost recovery.</w:t>
      </w:r>
    </w:p>
    <w:p w14:paraId="6F4BDD80" w14:textId="11C69DD7" w:rsidR="00C175A9" w:rsidRDefault="002A55CC" w:rsidP="00000F28">
      <w:pPr>
        <w:spacing w:before="320" w:after="240"/>
        <w:jc w:val="both"/>
      </w:pPr>
      <w:r w:rsidRPr="070CBDA7">
        <w:t xml:space="preserve">The budget papers can be found at </w:t>
      </w:r>
      <w:hyperlink r:id="rId12">
        <w:r w:rsidR="004964E9" w:rsidRPr="070CBDA7">
          <w:rPr>
            <w:rStyle w:val="Hyperlink"/>
            <w:rFonts w:cstheme="minorBidi"/>
            <w:color w:val="2E74B5" w:themeColor="accent1" w:themeShade="BF"/>
            <w:u w:val="single"/>
          </w:rPr>
          <w:t>Budget Measures Budget Paper No. 2 2009–10</w:t>
        </w:r>
      </w:hyperlink>
      <w:r w:rsidR="00324699">
        <w:t>.</w:t>
      </w:r>
    </w:p>
    <w:p w14:paraId="00774D5C" w14:textId="0BA1F556" w:rsidR="000716E7" w:rsidRDefault="000716E7" w:rsidP="00000F28">
      <w:pPr>
        <w:spacing w:before="320" w:after="240"/>
        <w:jc w:val="both"/>
      </w:pPr>
      <w:r w:rsidRPr="00CC2464">
        <w:t xml:space="preserve">The policy authority for the CBD program provides for </w:t>
      </w:r>
      <w:r w:rsidR="00807980">
        <w:t>partial cost recovery of the department’s expenditure on the CBD program</w:t>
      </w:r>
      <w:r w:rsidR="00930D09">
        <w:t xml:space="preserve">. </w:t>
      </w:r>
      <w:r w:rsidR="00807980">
        <w:t xml:space="preserve">Charging is applied to </w:t>
      </w:r>
      <w:r w:rsidRPr="00CC2464">
        <w:t>full</w:t>
      </w:r>
      <w:r w:rsidR="00807980">
        <w:t>y recover</w:t>
      </w:r>
      <w:r w:rsidR="0044708C">
        <w:t xml:space="preserve"> the</w:t>
      </w:r>
      <w:r w:rsidRPr="00CC2464">
        <w:t xml:space="preserve"> cost </w:t>
      </w:r>
      <w:r w:rsidR="00701922">
        <w:t>of</w:t>
      </w:r>
      <w:r w:rsidRPr="00CC2464">
        <w:t xml:space="preserve"> processing of exemptions and accreditations</w:t>
      </w:r>
      <w:r w:rsidR="00530A89">
        <w:t xml:space="preserve"> delivered within the program’s Issue Approvals and </w:t>
      </w:r>
      <w:r w:rsidR="00530A89" w:rsidRPr="0058289E">
        <w:t>Certification output</w:t>
      </w:r>
      <w:r w:rsidRPr="0058289E">
        <w:t>.</w:t>
      </w:r>
      <w:r w:rsidR="00E950D3" w:rsidRPr="0058289E">
        <w:t xml:space="preserve"> </w:t>
      </w:r>
      <w:r w:rsidRPr="0058289E">
        <w:t>The department implements this authority through the imposition of fees</w:t>
      </w:r>
      <w:r w:rsidR="005B3118" w:rsidRPr="0058289E">
        <w:t>-for-se</w:t>
      </w:r>
      <w:r w:rsidR="005A060D" w:rsidRPr="0058289E">
        <w:t>rvice</w:t>
      </w:r>
      <w:r w:rsidRPr="0058289E">
        <w:t>.</w:t>
      </w:r>
      <w:r w:rsidR="00E950D3" w:rsidRPr="0058289E">
        <w:t xml:space="preserve"> </w:t>
      </w:r>
      <w:r w:rsidRPr="0058289E">
        <w:t>These implementation settings are reviewed on an annual basis to determine whether charges continue to cover the program’s relevant outputs and associated costs.</w:t>
      </w:r>
    </w:p>
    <w:p w14:paraId="7DDB7339" w14:textId="17560B57" w:rsidR="006036C2" w:rsidRDefault="007327A6" w:rsidP="00000F28">
      <w:pPr>
        <w:pStyle w:val="Heading2"/>
        <w:numPr>
          <w:ilvl w:val="1"/>
          <w:numId w:val="2"/>
        </w:numPr>
        <w:spacing w:before="320" w:after="240"/>
        <w:ind w:left="426"/>
        <w:jc w:val="both"/>
      </w:pPr>
      <w:r>
        <w:t xml:space="preserve"> </w:t>
      </w:r>
      <w:bookmarkStart w:id="7" w:name="_Toc214441554"/>
      <w:r w:rsidR="006036C2" w:rsidRPr="00D57921">
        <w:t>Statutory authority to charge</w:t>
      </w:r>
      <w:bookmarkEnd w:id="7"/>
    </w:p>
    <w:p w14:paraId="3F5402EE" w14:textId="5F4D8882" w:rsidR="002B4437" w:rsidRPr="00E34F91" w:rsidRDefault="00867D1A" w:rsidP="00000F28">
      <w:pPr>
        <w:spacing w:before="320" w:after="240"/>
        <w:jc w:val="both"/>
        <w:rPr>
          <w:rFonts w:eastAsia="SimSun"/>
          <w:i/>
        </w:rPr>
      </w:pPr>
      <w:hyperlink r:id="rId13">
        <w:r w:rsidRPr="070CBDA7">
          <w:rPr>
            <w:rStyle w:val="Hyperlink"/>
            <w:rFonts w:eastAsia="SimSun" w:cstheme="minorBidi"/>
            <w:i/>
            <w:iCs/>
            <w:color w:val="2E74B5" w:themeColor="accent1" w:themeShade="BF"/>
            <w:u w:val="single"/>
          </w:rPr>
          <w:t>Building Energy Efficiency Disclosure Act 2010</w:t>
        </w:r>
        <w:r w:rsidR="00D85E1E" w:rsidRPr="070CBDA7">
          <w:rPr>
            <w:rStyle w:val="Hyperlink"/>
            <w:rFonts w:eastAsia="SimSun" w:cstheme="minorBidi"/>
            <w:color w:val="2E74B5" w:themeColor="accent1" w:themeShade="BF"/>
          </w:rPr>
          <w:t> </w:t>
        </w:r>
      </w:hyperlink>
      <w:r w:rsidR="00D85E1E" w:rsidRPr="070CBDA7">
        <w:rPr>
          <w:rFonts w:eastAsia="SimSun"/>
        </w:rPr>
        <w:t>(</w:t>
      </w:r>
      <w:r w:rsidR="000A57D3" w:rsidRPr="070CBDA7">
        <w:rPr>
          <w:rFonts w:eastAsia="SimSun"/>
        </w:rPr>
        <w:t>BEED</w:t>
      </w:r>
      <w:r w:rsidR="00D85E1E" w:rsidRPr="070CBDA7">
        <w:rPr>
          <w:rFonts w:eastAsia="SimSun"/>
        </w:rPr>
        <w:t xml:space="preserve"> Act)</w:t>
      </w:r>
    </w:p>
    <w:p w14:paraId="42F078FA" w14:textId="3C7AB9C5" w:rsidR="009716D4" w:rsidRDefault="004F4087" w:rsidP="00000F28">
      <w:pPr>
        <w:spacing w:before="320" w:after="240"/>
        <w:jc w:val="both"/>
        <w:textAlignment w:val="center"/>
        <w:rPr>
          <w:rFonts w:ascii="Calibri" w:hAnsi="Calibri" w:cs="Calibri"/>
        </w:rPr>
      </w:pPr>
      <w:r w:rsidRPr="003F7FE1">
        <w:rPr>
          <w:rFonts w:ascii="Calibri" w:hAnsi="Calibri" w:cs="Calibri"/>
        </w:rPr>
        <w:t>S</w:t>
      </w:r>
      <w:r w:rsidR="004749C3" w:rsidRPr="003F7FE1">
        <w:rPr>
          <w:rFonts w:ascii="Calibri" w:hAnsi="Calibri" w:cs="Calibri"/>
        </w:rPr>
        <w:t>ubsection</w:t>
      </w:r>
      <w:r w:rsidR="00CB39B7">
        <w:rPr>
          <w:rFonts w:ascii="Calibri" w:hAnsi="Calibri" w:cs="Calibri"/>
        </w:rPr>
        <w:t>s</w:t>
      </w:r>
      <w:r w:rsidRPr="003F7FE1">
        <w:rPr>
          <w:rFonts w:ascii="Calibri" w:hAnsi="Calibri" w:cs="Calibri"/>
        </w:rPr>
        <w:t xml:space="preserve"> 17</w:t>
      </w:r>
      <w:r w:rsidR="00AC578C" w:rsidRPr="003F7FE1">
        <w:rPr>
          <w:rFonts w:ascii="Calibri" w:hAnsi="Calibri" w:cs="Calibri"/>
        </w:rPr>
        <w:t>(2)(c)</w:t>
      </w:r>
      <w:r w:rsidRPr="003F7FE1">
        <w:rPr>
          <w:rFonts w:ascii="Calibri" w:hAnsi="Calibri" w:cs="Calibri"/>
        </w:rPr>
        <w:t xml:space="preserve"> </w:t>
      </w:r>
      <w:r w:rsidR="000B15FF">
        <w:rPr>
          <w:rFonts w:ascii="Calibri" w:hAnsi="Calibri" w:cs="Calibri"/>
        </w:rPr>
        <w:t xml:space="preserve">and </w:t>
      </w:r>
      <w:r w:rsidR="000B15FF" w:rsidRPr="003F7FE1">
        <w:rPr>
          <w:rFonts w:ascii="Calibri" w:hAnsi="Calibri" w:cs="Calibri"/>
        </w:rPr>
        <w:t xml:space="preserve">24(2)(c) </w:t>
      </w:r>
      <w:r w:rsidRPr="003F7FE1">
        <w:rPr>
          <w:rFonts w:ascii="Calibri" w:hAnsi="Calibri" w:cs="Calibri"/>
        </w:rPr>
        <w:t xml:space="preserve">of the BEED Act provide legislative </w:t>
      </w:r>
      <w:r w:rsidRPr="000C4CF0">
        <w:rPr>
          <w:rFonts w:ascii="Calibri" w:hAnsi="Calibri" w:cs="Calibri"/>
        </w:rPr>
        <w:t>authority for the imposition of fees for</w:t>
      </w:r>
      <w:r w:rsidRPr="003F7FE1">
        <w:rPr>
          <w:rFonts w:ascii="Calibri" w:hAnsi="Calibri" w:cs="Calibri"/>
        </w:rPr>
        <w:t xml:space="preserve"> </w:t>
      </w:r>
      <w:r w:rsidR="00A9323A" w:rsidRPr="003F7FE1">
        <w:rPr>
          <w:rFonts w:ascii="Calibri" w:hAnsi="Calibri" w:cs="Calibri"/>
        </w:rPr>
        <w:t>exemption</w:t>
      </w:r>
      <w:r w:rsidR="007164F9" w:rsidRPr="003F7FE1">
        <w:rPr>
          <w:rFonts w:ascii="Calibri" w:hAnsi="Calibri" w:cs="Calibri"/>
        </w:rPr>
        <w:t xml:space="preserve"> </w:t>
      </w:r>
      <w:r w:rsidR="009716D4">
        <w:rPr>
          <w:rFonts w:ascii="Calibri" w:hAnsi="Calibri" w:cs="Calibri"/>
        </w:rPr>
        <w:t xml:space="preserve">and </w:t>
      </w:r>
      <w:r w:rsidR="00CB39B7" w:rsidRPr="000C4CF0">
        <w:rPr>
          <w:rFonts w:ascii="Calibri" w:hAnsi="Calibri" w:cs="Calibri"/>
        </w:rPr>
        <w:t>accreditation</w:t>
      </w:r>
      <w:r w:rsidR="00CB39B7" w:rsidRPr="003F7FE1">
        <w:rPr>
          <w:rFonts w:ascii="Calibri" w:hAnsi="Calibri" w:cs="Calibri"/>
        </w:rPr>
        <w:t xml:space="preserve"> applications </w:t>
      </w:r>
      <w:r w:rsidR="009716D4">
        <w:rPr>
          <w:rFonts w:ascii="Calibri" w:hAnsi="Calibri" w:cs="Calibri"/>
        </w:rPr>
        <w:t xml:space="preserve">respectively </w:t>
      </w:r>
      <w:r w:rsidR="007164F9" w:rsidRPr="003F7FE1">
        <w:rPr>
          <w:rFonts w:ascii="Calibri" w:hAnsi="Calibri" w:cs="Calibri"/>
        </w:rPr>
        <w:t>as prescribed in the BEED Regulations.</w:t>
      </w:r>
    </w:p>
    <w:p w14:paraId="2F61FF18" w14:textId="48817575" w:rsidR="00D561B0" w:rsidRPr="00D561B0" w:rsidRDefault="00D561B0" w:rsidP="00000F28">
      <w:pPr>
        <w:spacing w:before="320" w:after="240"/>
        <w:jc w:val="both"/>
        <w:rPr>
          <w:rFonts w:eastAsia="SimSun"/>
          <w:i/>
        </w:rPr>
      </w:pPr>
      <w:hyperlink r:id="rId14">
        <w:r w:rsidRPr="070CBDA7">
          <w:rPr>
            <w:rStyle w:val="Hyperlink"/>
            <w:rFonts w:eastAsia="SimSun" w:cstheme="minorBidi"/>
            <w:i/>
            <w:iCs/>
            <w:color w:val="2E74B5" w:themeColor="accent1" w:themeShade="BF"/>
            <w:u w:val="single"/>
          </w:rPr>
          <w:t>Building Energy Efficiency Disclosure Regulations</w:t>
        </w:r>
      </w:hyperlink>
      <w:r w:rsidRPr="070CBDA7">
        <w:rPr>
          <w:rFonts w:eastAsia="SimSun"/>
          <w:color w:val="2E74B5" w:themeColor="accent1" w:themeShade="BF"/>
        </w:rPr>
        <w:t xml:space="preserve"> </w:t>
      </w:r>
      <w:r w:rsidRPr="070CBDA7">
        <w:rPr>
          <w:rFonts w:eastAsia="SimSun"/>
        </w:rPr>
        <w:t>(BEED Regulations)</w:t>
      </w:r>
    </w:p>
    <w:p w14:paraId="36114885" w14:textId="5F3C2C07" w:rsidR="00AC578C" w:rsidRPr="003F7FE1" w:rsidRDefault="00AC578C" w:rsidP="00000F28">
      <w:pPr>
        <w:spacing w:before="320" w:after="240"/>
        <w:jc w:val="both"/>
        <w:textAlignment w:val="center"/>
        <w:rPr>
          <w:rFonts w:ascii="Calibri" w:hAnsi="Calibri" w:cs="Calibri"/>
        </w:rPr>
      </w:pPr>
      <w:r w:rsidRPr="003F7FE1">
        <w:rPr>
          <w:rFonts w:ascii="Calibri" w:hAnsi="Calibri" w:cs="Calibri"/>
        </w:rPr>
        <w:t>Subsection</w:t>
      </w:r>
      <w:r w:rsidR="00713F3E">
        <w:rPr>
          <w:rFonts w:ascii="Calibri" w:hAnsi="Calibri" w:cs="Calibri"/>
        </w:rPr>
        <w:t>s</w:t>
      </w:r>
      <w:r w:rsidRPr="003F7FE1">
        <w:rPr>
          <w:rFonts w:ascii="Calibri" w:hAnsi="Calibri" w:cs="Calibri"/>
        </w:rPr>
        <w:t xml:space="preserve"> 5(3) </w:t>
      </w:r>
      <w:r w:rsidR="00713F3E">
        <w:rPr>
          <w:rFonts w:ascii="Calibri" w:hAnsi="Calibri" w:cs="Calibri"/>
        </w:rPr>
        <w:t xml:space="preserve">and </w:t>
      </w:r>
      <w:r w:rsidR="00713F3E" w:rsidRPr="003F7FE1">
        <w:rPr>
          <w:rFonts w:ascii="Calibri" w:hAnsi="Calibri" w:cs="Calibri"/>
        </w:rPr>
        <w:t xml:space="preserve">7(2) </w:t>
      </w:r>
      <w:r w:rsidRPr="003F7FE1">
        <w:rPr>
          <w:rFonts w:ascii="Calibri" w:hAnsi="Calibri" w:cs="Calibri"/>
        </w:rPr>
        <w:t>of the BEED Regulations prescribe fee</w:t>
      </w:r>
      <w:r w:rsidR="00211E2C">
        <w:rPr>
          <w:rFonts w:ascii="Calibri" w:hAnsi="Calibri" w:cs="Calibri"/>
        </w:rPr>
        <w:t>s</w:t>
      </w:r>
      <w:r w:rsidRPr="003F7FE1">
        <w:rPr>
          <w:rFonts w:ascii="Calibri" w:hAnsi="Calibri" w:cs="Calibri"/>
        </w:rPr>
        <w:t xml:space="preserve">, for the purposes of </w:t>
      </w:r>
      <w:r w:rsidR="00211E2C">
        <w:rPr>
          <w:rFonts w:ascii="Calibri" w:hAnsi="Calibri" w:cs="Calibri"/>
        </w:rPr>
        <w:t>S</w:t>
      </w:r>
      <w:r w:rsidRPr="003F7FE1">
        <w:rPr>
          <w:rFonts w:ascii="Calibri" w:hAnsi="Calibri" w:cs="Calibri"/>
        </w:rPr>
        <w:t>ubsection</w:t>
      </w:r>
      <w:r w:rsidR="00211E2C">
        <w:rPr>
          <w:rFonts w:ascii="Calibri" w:hAnsi="Calibri" w:cs="Calibri"/>
        </w:rPr>
        <w:t>s</w:t>
      </w:r>
      <w:r w:rsidRPr="003F7FE1">
        <w:rPr>
          <w:rFonts w:ascii="Calibri" w:hAnsi="Calibri" w:cs="Calibri"/>
        </w:rPr>
        <w:t xml:space="preserve"> 17(2)(c) </w:t>
      </w:r>
      <w:r w:rsidR="00211E2C">
        <w:rPr>
          <w:rFonts w:ascii="Calibri" w:hAnsi="Calibri" w:cs="Calibri"/>
        </w:rPr>
        <w:t xml:space="preserve">and </w:t>
      </w:r>
      <w:r w:rsidR="00211E2C" w:rsidRPr="003F7FE1">
        <w:rPr>
          <w:rFonts w:ascii="Calibri" w:hAnsi="Calibri" w:cs="Calibri"/>
        </w:rPr>
        <w:t xml:space="preserve">24(2)(c) </w:t>
      </w:r>
      <w:r w:rsidRPr="003F7FE1">
        <w:rPr>
          <w:rFonts w:ascii="Calibri" w:hAnsi="Calibri" w:cs="Calibri"/>
        </w:rPr>
        <w:t>of the BEED Act.</w:t>
      </w:r>
    </w:p>
    <w:p w14:paraId="62B587CE" w14:textId="319E41C5" w:rsidR="00424E27" w:rsidRDefault="00424E27" w:rsidP="00000F28">
      <w:pPr>
        <w:spacing w:before="320" w:after="240"/>
        <w:jc w:val="both"/>
      </w:pPr>
      <w:r w:rsidRPr="003F7FE1">
        <w:t xml:space="preserve">The fee amounts are </w:t>
      </w:r>
      <w:r w:rsidR="00E86AE9" w:rsidRPr="00E86AE9">
        <w:t xml:space="preserve">updated annually to account for any increase in the </w:t>
      </w:r>
      <w:r w:rsidR="00F91D8A">
        <w:t>CPI</w:t>
      </w:r>
      <w:r w:rsidR="00FD52A8" w:rsidRPr="00FD52A8">
        <w:t xml:space="preserve"> </w:t>
      </w:r>
      <w:r w:rsidR="000C4CF0">
        <w:t xml:space="preserve">in accordance with </w:t>
      </w:r>
      <w:r w:rsidR="00FD52A8" w:rsidRPr="00FD52A8">
        <w:t xml:space="preserve">Section 11 of the </w:t>
      </w:r>
      <w:r w:rsidR="007D36E4">
        <w:t>BEED</w:t>
      </w:r>
      <w:r w:rsidR="008A7E34">
        <w:t xml:space="preserve"> </w:t>
      </w:r>
      <w:r w:rsidR="007D36E4">
        <w:t>Regulations.</w:t>
      </w:r>
    </w:p>
    <w:p w14:paraId="4CCF0700" w14:textId="77777777" w:rsidR="00D433B1" w:rsidRDefault="00D433B1" w:rsidP="00000F28">
      <w:pPr>
        <w:spacing w:before="320" w:after="240"/>
        <w:rPr>
          <w:rFonts w:asciiTheme="majorHAnsi" w:eastAsiaTheme="majorEastAsia" w:hAnsiTheme="majorHAnsi" w:cstheme="majorBidi"/>
          <w:color w:val="2E74B5" w:themeColor="accent1" w:themeShade="BF"/>
          <w:sz w:val="32"/>
          <w:szCs w:val="32"/>
        </w:rPr>
      </w:pPr>
      <w:r>
        <w:br w:type="page"/>
      </w:r>
    </w:p>
    <w:p w14:paraId="2BF729FB" w14:textId="3D1E41CC" w:rsidR="006036C2" w:rsidRPr="00D57921" w:rsidRDefault="003460DF" w:rsidP="00000F28">
      <w:pPr>
        <w:pStyle w:val="Heading1"/>
        <w:numPr>
          <w:ilvl w:val="0"/>
          <w:numId w:val="2"/>
        </w:numPr>
        <w:spacing w:after="240"/>
        <w:jc w:val="both"/>
      </w:pPr>
      <w:bookmarkStart w:id="8" w:name="_Toc214441555"/>
      <w:r>
        <w:lastRenderedPageBreak/>
        <w:t>CHARGING (</w:t>
      </w:r>
      <w:r w:rsidR="006036C2" w:rsidRPr="00D57921">
        <w:t>COST</w:t>
      </w:r>
      <w:r w:rsidR="0061095D" w:rsidRPr="00D57921">
        <w:t xml:space="preserve"> RECOVERY</w:t>
      </w:r>
      <w:r>
        <w:t>)</w:t>
      </w:r>
      <w:r w:rsidR="006036C2" w:rsidRPr="00D57921">
        <w:t xml:space="preserve"> MODEL</w:t>
      </w:r>
      <w:bookmarkEnd w:id="8"/>
    </w:p>
    <w:p w14:paraId="1ADBA0F0" w14:textId="7A5EFCD0" w:rsidR="006036C2" w:rsidRPr="00D57921" w:rsidRDefault="00AD0880" w:rsidP="00000F28">
      <w:pPr>
        <w:pStyle w:val="Heading2"/>
        <w:numPr>
          <w:ilvl w:val="1"/>
          <w:numId w:val="2"/>
        </w:numPr>
        <w:spacing w:before="320" w:after="240"/>
        <w:ind w:left="426"/>
        <w:jc w:val="both"/>
      </w:pPr>
      <w:r w:rsidRPr="00D57921">
        <w:t xml:space="preserve"> </w:t>
      </w:r>
      <w:bookmarkStart w:id="9" w:name="_Toc214441556"/>
      <w:r w:rsidR="006036C2" w:rsidRPr="00D57921">
        <w:t>Outputs and business processes of the activity</w:t>
      </w:r>
      <w:bookmarkEnd w:id="9"/>
    </w:p>
    <w:p w14:paraId="7EF5090E" w14:textId="2E0AE8AB" w:rsidR="00D845A5" w:rsidRDefault="00F74317" w:rsidP="00000F28">
      <w:pPr>
        <w:spacing w:before="320" w:after="240"/>
        <w:jc w:val="both"/>
        <w:rPr>
          <w:rFonts w:eastAsia="SimSun"/>
          <w:iCs/>
        </w:rPr>
      </w:pPr>
      <w:r>
        <w:rPr>
          <w:rFonts w:eastAsia="SimSun"/>
          <w:iCs/>
        </w:rPr>
        <w:t xml:space="preserve">The outputs, description of business processes and specific examples relating to the CBD program are described </w:t>
      </w:r>
      <w:r w:rsidR="00D845A5">
        <w:rPr>
          <w:rFonts w:eastAsia="SimSun"/>
          <w:iCs/>
        </w:rPr>
        <w:t>in Table 3.1.1 below.</w:t>
      </w:r>
    </w:p>
    <w:p w14:paraId="196969C1" w14:textId="7CEF44C9" w:rsidR="00D845A5" w:rsidRDefault="00D845A5" w:rsidP="00000F28">
      <w:pPr>
        <w:spacing w:before="320" w:after="240"/>
        <w:jc w:val="both"/>
        <w:rPr>
          <w:rFonts w:eastAsia="SimSun"/>
          <w:b/>
          <w:bCs/>
          <w:iCs/>
        </w:rPr>
      </w:pPr>
      <w:r w:rsidRPr="00C81626">
        <w:rPr>
          <w:rFonts w:eastAsia="SimSun"/>
          <w:b/>
          <w:bCs/>
          <w:iCs/>
        </w:rPr>
        <w:t xml:space="preserve">Table 3.1.1 – </w:t>
      </w:r>
      <w:r w:rsidR="0044741D">
        <w:rPr>
          <w:rFonts w:eastAsia="SimSun"/>
          <w:b/>
          <w:bCs/>
          <w:iCs/>
        </w:rPr>
        <w:t xml:space="preserve">CBD </w:t>
      </w:r>
      <w:r w:rsidRPr="00C81626">
        <w:rPr>
          <w:rFonts w:eastAsia="SimSun"/>
          <w:b/>
          <w:bCs/>
          <w:iCs/>
        </w:rPr>
        <w:t xml:space="preserve">outputs and business </w:t>
      </w:r>
      <w:r w:rsidRPr="00E03994">
        <w:rPr>
          <w:rFonts w:eastAsia="SimSun"/>
          <w:b/>
          <w:bCs/>
          <w:iCs/>
        </w:rPr>
        <w:t>processes included in the</w:t>
      </w:r>
      <w:r w:rsidRPr="00C81626">
        <w:rPr>
          <w:rFonts w:eastAsia="SimSun"/>
          <w:b/>
          <w:bCs/>
          <w:iCs/>
        </w:rPr>
        <w:t xml:space="preserve"> charging arrangement</w:t>
      </w:r>
    </w:p>
    <w:tbl>
      <w:tblPr>
        <w:tblStyle w:val="TableGrid"/>
        <w:tblW w:w="9776" w:type="dxa"/>
        <w:tblLook w:val="04A0" w:firstRow="1" w:lastRow="0" w:firstColumn="1" w:lastColumn="0" w:noHBand="0" w:noVBand="1"/>
        <w:tblCaption w:val="Table 1 WELS scheme activities and business processes"/>
        <w:tblDescription w:val="Table 1 shows WELS scheme charging activities (i.e. Assessment and Issue approvals/certification), which partially fund all other scheme activities. Regulatory activities and the business processes which support their delivery are identified."/>
      </w:tblPr>
      <w:tblGrid>
        <w:gridCol w:w="1443"/>
        <w:gridCol w:w="8333"/>
      </w:tblGrid>
      <w:tr w:rsidR="00D76FA1" w:rsidRPr="004B165F" w14:paraId="0CB85526" w14:textId="77777777">
        <w:trPr>
          <w:cantSplit/>
          <w:tblHeader/>
        </w:trPr>
        <w:tc>
          <w:tcPr>
            <w:tcW w:w="1443" w:type="dxa"/>
            <w:shd w:val="clear" w:color="auto" w:fill="DEEAF6" w:themeFill="accent1" w:themeFillTint="33"/>
          </w:tcPr>
          <w:p w14:paraId="15A8C1EC" w14:textId="77777777" w:rsidR="00D76FA1" w:rsidRPr="007B0DA2" w:rsidRDefault="00D76FA1" w:rsidP="0050744D">
            <w:pPr>
              <w:jc w:val="both"/>
              <w:rPr>
                <w:rFonts w:asciiTheme="minorHAnsi" w:hAnsiTheme="minorHAnsi" w:cstheme="minorBidi"/>
                <w:b/>
              </w:rPr>
            </w:pPr>
            <w:r w:rsidRPr="070CBDA7">
              <w:rPr>
                <w:rFonts w:asciiTheme="minorHAnsi" w:hAnsiTheme="minorHAnsi" w:cstheme="minorBidi"/>
                <w:b/>
              </w:rPr>
              <w:t>Cost group</w:t>
            </w:r>
          </w:p>
        </w:tc>
        <w:tc>
          <w:tcPr>
            <w:tcW w:w="8333" w:type="dxa"/>
            <w:shd w:val="clear" w:color="auto" w:fill="DEEAF6" w:themeFill="accent1" w:themeFillTint="33"/>
          </w:tcPr>
          <w:p w14:paraId="062440DF" w14:textId="77777777" w:rsidR="00D76FA1" w:rsidRPr="007B0DA2" w:rsidRDefault="00D76FA1" w:rsidP="0050744D">
            <w:pPr>
              <w:jc w:val="both"/>
              <w:rPr>
                <w:rFonts w:asciiTheme="minorHAnsi" w:hAnsiTheme="minorHAnsi" w:cstheme="minorBidi"/>
                <w:b/>
              </w:rPr>
            </w:pPr>
            <w:r w:rsidRPr="070CBDA7">
              <w:rPr>
                <w:rFonts w:asciiTheme="minorHAnsi" w:hAnsiTheme="minorHAnsi" w:cstheme="minorBidi"/>
                <w:b/>
              </w:rPr>
              <w:t>Outputs</w:t>
            </w:r>
          </w:p>
          <w:p w14:paraId="37D95F16" w14:textId="77777777" w:rsidR="00D76FA1" w:rsidRPr="007B0DA2" w:rsidRDefault="00D76FA1" w:rsidP="0050744D">
            <w:pPr>
              <w:jc w:val="both"/>
              <w:rPr>
                <w:rFonts w:asciiTheme="minorHAnsi" w:hAnsiTheme="minorHAnsi" w:cstheme="minorBidi"/>
              </w:rPr>
            </w:pPr>
            <w:r w:rsidRPr="070CBDA7">
              <w:rPr>
                <w:rFonts w:asciiTheme="minorHAnsi" w:hAnsiTheme="minorHAnsi" w:cstheme="minorBidi"/>
              </w:rPr>
              <w:t>Business Processes</w:t>
            </w:r>
          </w:p>
          <w:p w14:paraId="2921B20D" w14:textId="77777777" w:rsidR="00D76FA1" w:rsidRPr="007B0DA2" w:rsidRDefault="00D76FA1" w:rsidP="0050744D">
            <w:pPr>
              <w:jc w:val="both"/>
              <w:rPr>
                <w:rFonts w:asciiTheme="minorHAnsi" w:hAnsiTheme="minorHAnsi" w:cstheme="minorBidi"/>
                <w:i/>
              </w:rPr>
            </w:pPr>
            <w:r w:rsidRPr="070CBDA7">
              <w:rPr>
                <w:rFonts w:asciiTheme="minorHAnsi" w:hAnsiTheme="minorHAnsi" w:cstheme="minorBidi"/>
                <w:i/>
              </w:rPr>
              <w:t>Examples</w:t>
            </w:r>
          </w:p>
        </w:tc>
      </w:tr>
      <w:tr w:rsidR="00D76FA1" w:rsidRPr="004B165F" w14:paraId="1EEAE81F" w14:textId="77777777">
        <w:tc>
          <w:tcPr>
            <w:tcW w:w="1443" w:type="dxa"/>
            <w:vMerge w:val="restart"/>
          </w:tcPr>
          <w:p w14:paraId="16A73DAB" w14:textId="77777777" w:rsidR="00D76FA1" w:rsidRPr="007B0DA2" w:rsidRDefault="00D76FA1" w:rsidP="00CF3DF4">
            <w:pPr>
              <w:spacing w:after="240"/>
              <w:rPr>
                <w:rFonts w:asciiTheme="minorHAnsi" w:hAnsiTheme="minorHAnsi" w:cstheme="minorBidi"/>
                <w:b/>
              </w:rPr>
            </w:pPr>
            <w:r w:rsidRPr="070CBDA7">
              <w:rPr>
                <w:rFonts w:asciiTheme="minorHAnsi" w:hAnsiTheme="minorHAnsi" w:cstheme="minorBidi"/>
                <w:b/>
              </w:rPr>
              <w:t>Program management and administration</w:t>
            </w:r>
          </w:p>
        </w:tc>
        <w:tc>
          <w:tcPr>
            <w:tcW w:w="8333" w:type="dxa"/>
          </w:tcPr>
          <w:p w14:paraId="28F578B4" w14:textId="5EE9D55E" w:rsidR="00D76FA1" w:rsidRPr="007B0DA2" w:rsidRDefault="00D76FA1" w:rsidP="00CF3DF4">
            <w:pPr>
              <w:spacing w:after="240"/>
              <w:rPr>
                <w:rFonts w:asciiTheme="minorHAnsi" w:hAnsiTheme="minorHAnsi" w:cstheme="minorBidi"/>
              </w:rPr>
            </w:pPr>
            <w:r w:rsidRPr="070CBDA7">
              <w:rPr>
                <w:rFonts w:asciiTheme="minorHAnsi" w:hAnsiTheme="minorHAnsi" w:cstheme="minorBidi"/>
                <w:b/>
              </w:rPr>
              <w:t>Workforce and Business Management</w:t>
            </w:r>
          </w:p>
          <w:p w14:paraId="6C2451FA" w14:textId="77777777" w:rsidR="00D76FA1" w:rsidRDefault="00D76FA1" w:rsidP="00CF3DF4">
            <w:pPr>
              <w:spacing w:after="240"/>
              <w:rPr>
                <w:rFonts w:asciiTheme="minorHAnsi" w:hAnsiTheme="minorHAnsi" w:cstheme="minorBidi"/>
              </w:rPr>
            </w:pPr>
            <w:r w:rsidRPr="070CBDA7">
              <w:rPr>
                <w:rFonts w:asciiTheme="minorHAnsi" w:hAnsiTheme="minorHAnsi" w:cstheme="minorBidi"/>
              </w:rPr>
              <w:t>Managing employees, business planning and reporting, procurement, financial management, information management and corporate enabling services.</w:t>
            </w:r>
          </w:p>
          <w:p w14:paraId="4869D3B0" w14:textId="6AA035CE" w:rsidR="00D76FA1" w:rsidRPr="00F85C77" w:rsidRDefault="001B701E" w:rsidP="00CF3DF4">
            <w:pPr>
              <w:spacing w:after="240"/>
              <w:jc w:val="both"/>
              <w:rPr>
                <w:rFonts w:asciiTheme="minorHAnsi" w:hAnsiTheme="minorHAnsi" w:cstheme="minorBidi"/>
                <w:i/>
              </w:rPr>
            </w:pPr>
            <w:r w:rsidRPr="070CBDA7">
              <w:rPr>
                <w:rFonts w:asciiTheme="minorHAnsi" w:hAnsiTheme="minorHAnsi" w:cstheme="minorBidi"/>
                <w:i/>
              </w:rPr>
              <w:t>Specific examples include</w:t>
            </w:r>
            <w:r w:rsidR="003B0719" w:rsidRPr="070CBDA7">
              <w:rPr>
                <w:rFonts w:asciiTheme="minorHAnsi" w:hAnsiTheme="minorHAnsi" w:cstheme="minorBidi"/>
                <w:i/>
              </w:rPr>
              <w:t xml:space="preserve"> CBD </w:t>
            </w:r>
            <w:r w:rsidR="00DC33C5" w:rsidRPr="070CBDA7">
              <w:rPr>
                <w:rFonts w:asciiTheme="minorHAnsi" w:hAnsiTheme="minorHAnsi" w:cstheme="minorBidi"/>
                <w:i/>
              </w:rPr>
              <w:t>p</w:t>
            </w:r>
            <w:r w:rsidR="003B0719" w:rsidRPr="070CBDA7">
              <w:rPr>
                <w:rFonts w:asciiTheme="minorHAnsi" w:hAnsiTheme="minorHAnsi" w:cstheme="minorBidi"/>
                <w:i/>
              </w:rPr>
              <w:t xml:space="preserve">rogram data analysis and reporting, </w:t>
            </w:r>
            <w:r w:rsidR="00A60D72">
              <w:rPr>
                <w:rFonts w:asciiTheme="minorHAnsi" w:hAnsiTheme="minorHAnsi" w:cstheme="minorBidi"/>
                <w:i/>
              </w:rPr>
              <w:t xml:space="preserve">updating internal and external user guides, </w:t>
            </w:r>
            <w:r w:rsidR="003B0719" w:rsidRPr="070CBDA7">
              <w:rPr>
                <w:rFonts w:asciiTheme="minorHAnsi" w:hAnsiTheme="minorHAnsi" w:cstheme="minorBidi"/>
                <w:i/>
              </w:rPr>
              <w:t xml:space="preserve">publishing of Program statistics on the public CBD </w:t>
            </w:r>
            <w:r w:rsidR="00DC33C5" w:rsidRPr="070CBDA7">
              <w:rPr>
                <w:rFonts w:asciiTheme="minorHAnsi" w:hAnsiTheme="minorHAnsi" w:cstheme="minorBidi"/>
                <w:i/>
              </w:rPr>
              <w:t>p</w:t>
            </w:r>
            <w:r w:rsidR="003B0719" w:rsidRPr="070CBDA7">
              <w:rPr>
                <w:rFonts w:asciiTheme="minorHAnsi" w:hAnsiTheme="minorHAnsi" w:cstheme="minorBidi"/>
                <w:i/>
              </w:rPr>
              <w:t>rogram website</w:t>
            </w:r>
            <w:r w:rsidR="0025380C" w:rsidRPr="070CBDA7">
              <w:rPr>
                <w:rFonts w:asciiTheme="minorHAnsi" w:hAnsiTheme="minorHAnsi" w:cstheme="minorBidi"/>
                <w:i/>
              </w:rPr>
              <w:t xml:space="preserve"> and management of supplier contracts for enabling services</w:t>
            </w:r>
            <w:r w:rsidR="00387F57" w:rsidRPr="070CBDA7">
              <w:rPr>
                <w:rFonts w:asciiTheme="minorHAnsi" w:hAnsiTheme="minorHAnsi" w:cstheme="minorBidi"/>
                <w:i/>
              </w:rPr>
              <w:t>.</w:t>
            </w:r>
          </w:p>
        </w:tc>
      </w:tr>
      <w:tr w:rsidR="00D76FA1" w:rsidRPr="004B165F" w14:paraId="00B93AD2" w14:textId="77777777">
        <w:tc>
          <w:tcPr>
            <w:tcW w:w="1443" w:type="dxa"/>
            <w:vMerge/>
          </w:tcPr>
          <w:p w14:paraId="34D7B74B" w14:textId="77777777" w:rsidR="00D76FA1" w:rsidRPr="007B0DA2" w:rsidRDefault="00D76FA1" w:rsidP="00CF3DF4">
            <w:pPr>
              <w:spacing w:after="240"/>
              <w:rPr>
                <w:rFonts w:asciiTheme="minorHAnsi" w:hAnsiTheme="minorHAnsi" w:cstheme="minorHAnsi"/>
                <w:b/>
                <w:bCs/>
              </w:rPr>
            </w:pPr>
            <w:bookmarkStart w:id="10" w:name="_Hlk112079009"/>
          </w:p>
        </w:tc>
        <w:tc>
          <w:tcPr>
            <w:tcW w:w="8333" w:type="dxa"/>
          </w:tcPr>
          <w:p w14:paraId="529F7D67" w14:textId="3C499709" w:rsidR="00D76FA1" w:rsidRPr="007B0DA2" w:rsidRDefault="00D76FA1" w:rsidP="00CF3DF4">
            <w:pPr>
              <w:spacing w:after="240"/>
              <w:rPr>
                <w:rFonts w:asciiTheme="minorHAnsi" w:hAnsiTheme="minorHAnsi" w:cstheme="minorBidi"/>
                <w:b/>
              </w:rPr>
            </w:pPr>
            <w:r w:rsidRPr="070CBDA7">
              <w:rPr>
                <w:rFonts w:asciiTheme="minorHAnsi" w:hAnsiTheme="minorHAnsi" w:cstheme="minorBidi"/>
                <w:b/>
              </w:rPr>
              <w:t>Business System Administration</w:t>
            </w:r>
          </w:p>
          <w:p w14:paraId="752D6FF9" w14:textId="77777777" w:rsidR="00D76FA1" w:rsidRDefault="00D76FA1" w:rsidP="00CF3DF4">
            <w:pPr>
              <w:pStyle w:val="Heading5"/>
              <w:spacing w:before="0" w:after="240"/>
              <w:rPr>
                <w:rFonts w:asciiTheme="minorHAnsi" w:hAnsiTheme="minorHAnsi" w:cstheme="minorBidi"/>
                <w:color w:val="auto"/>
                <w:sz w:val="20"/>
                <w:szCs w:val="20"/>
              </w:rPr>
            </w:pPr>
            <w:r w:rsidRPr="070CBDA7">
              <w:rPr>
                <w:rFonts w:asciiTheme="minorHAnsi" w:hAnsiTheme="minorHAnsi" w:cstheme="minorBidi"/>
                <w:color w:val="auto"/>
                <w:sz w:val="20"/>
                <w:szCs w:val="20"/>
              </w:rPr>
              <w:t>Developing, acquiring, testing, implementing, and supporting applications and business systems.</w:t>
            </w:r>
          </w:p>
          <w:p w14:paraId="7F47CE10" w14:textId="1307107A" w:rsidR="000D46AF" w:rsidRPr="001F7DD9" w:rsidRDefault="000E0193" w:rsidP="00CF3DF4">
            <w:pPr>
              <w:spacing w:after="240"/>
              <w:jc w:val="both"/>
              <w:rPr>
                <w:rFonts w:asciiTheme="minorHAnsi" w:hAnsiTheme="minorHAnsi" w:cstheme="minorBidi"/>
                <w:i/>
              </w:rPr>
            </w:pPr>
            <w:r w:rsidRPr="070CBDA7">
              <w:rPr>
                <w:rFonts w:asciiTheme="minorHAnsi" w:eastAsiaTheme="minorEastAsia" w:hAnsiTheme="minorHAnsi" w:cstheme="minorBidi"/>
                <w:i/>
              </w:rPr>
              <w:t xml:space="preserve">Specific examples include developing, </w:t>
            </w:r>
            <w:r w:rsidR="00930D09" w:rsidRPr="070CBDA7">
              <w:rPr>
                <w:rFonts w:asciiTheme="minorHAnsi" w:eastAsiaTheme="minorEastAsia" w:hAnsiTheme="minorHAnsi" w:cstheme="minorBidi"/>
                <w:i/>
              </w:rPr>
              <w:t>testing</w:t>
            </w:r>
            <w:r w:rsidR="00930D09" w:rsidRPr="070CBDA7">
              <w:rPr>
                <w:i/>
              </w:rPr>
              <w:t>,</w:t>
            </w:r>
            <w:r w:rsidRPr="070CBDA7">
              <w:rPr>
                <w:rFonts w:asciiTheme="minorHAnsi" w:eastAsiaTheme="minorEastAsia" w:hAnsiTheme="minorHAnsi" w:cstheme="minorBidi"/>
                <w:i/>
              </w:rPr>
              <w:t xml:space="preserve"> and implementing necessary changes to the CBD </w:t>
            </w:r>
            <w:r w:rsidR="00DC33C5" w:rsidRPr="070CBDA7">
              <w:rPr>
                <w:rFonts w:asciiTheme="minorHAnsi" w:eastAsiaTheme="minorEastAsia" w:hAnsiTheme="minorHAnsi" w:cstheme="minorBidi"/>
                <w:i/>
              </w:rPr>
              <w:t>p</w:t>
            </w:r>
            <w:r w:rsidRPr="070CBDA7">
              <w:rPr>
                <w:rFonts w:asciiTheme="minorHAnsi" w:eastAsiaTheme="minorEastAsia" w:hAnsiTheme="minorHAnsi" w:cstheme="minorBidi"/>
                <w:i/>
              </w:rPr>
              <w:t xml:space="preserve">rogram ICT platform </w:t>
            </w:r>
            <w:r w:rsidR="000E7CF1" w:rsidRPr="070CBDA7">
              <w:rPr>
                <w:rFonts w:asciiTheme="minorHAnsi" w:eastAsiaTheme="minorEastAsia" w:hAnsiTheme="minorHAnsi" w:cstheme="minorBidi"/>
                <w:i/>
              </w:rPr>
              <w:t>and</w:t>
            </w:r>
            <w:r w:rsidRPr="070CBDA7">
              <w:rPr>
                <w:rFonts w:asciiTheme="minorHAnsi" w:eastAsiaTheme="minorEastAsia" w:hAnsiTheme="minorHAnsi" w:cstheme="minorBidi"/>
                <w:i/>
              </w:rPr>
              <w:t xml:space="preserve"> CBD </w:t>
            </w:r>
            <w:r w:rsidR="00DC33C5" w:rsidRPr="070CBDA7">
              <w:rPr>
                <w:rFonts w:asciiTheme="minorHAnsi" w:eastAsiaTheme="minorEastAsia" w:hAnsiTheme="minorHAnsi" w:cstheme="minorBidi"/>
                <w:i/>
              </w:rPr>
              <w:t>assessor</w:t>
            </w:r>
            <w:r w:rsidRPr="070CBDA7">
              <w:rPr>
                <w:rFonts w:asciiTheme="minorHAnsi" w:eastAsiaTheme="minorEastAsia" w:hAnsiTheme="minorHAnsi" w:cstheme="minorBidi"/>
                <w:i/>
              </w:rPr>
              <w:t xml:space="preserve"> </w:t>
            </w:r>
            <w:r w:rsidR="00DC33C5" w:rsidRPr="070CBDA7">
              <w:rPr>
                <w:rFonts w:asciiTheme="minorHAnsi" w:eastAsiaTheme="minorEastAsia" w:hAnsiTheme="minorHAnsi" w:cstheme="minorBidi"/>
                <w:i/>
              </w:rPr>
              <w:t>p</w:t>
            </w:r>
            <w:r w:rsidRPr="070CBDA7">
              <w:rPr>
                <w:rFonts w:asciiTheme="minorHAnsi" w:eastAsiaTheme="minorEastAsia" w:hAnsiTheme="minorHAnsi" w:cstheme="minorBidi"/>
                <w:i/>
              </w:rPr>
              <w:t>ortal</w:t>
            </w:r>
            <w:r w:rsidR="000E7CF1" w:rsidRPr="070CBDA7">
              <w:rPr>
                <w:rFonts w:asciiTheme="minorHAnsi" w:eastAsiaTheme="minorEastAsia" w:hAnsiTheme="minorHAnsi" w:cstheme="minorBidi"/>
                <w:i/>
              </w:rPr>
              <w:t xml:space="preserve"> such as annual fee updates.</w:t>
            </w:r>
          </w:p>
        </w:tc>
      </w:tr>
      <w:tr w:rsidR="00D76FA1" w:rsidRPr="004B165F" w14:paraId="2C7A33F7" w14:textId="77777777">
        <w:tc>
          <w:tcPr>
            <w:tcW w:w="1443" w:type="dxa"/>
            <w:vMerge/>
          </w:tcPr>
          <w:p w14:paraId="5D123945" w14:textId="77777777" w:rsidR="00D76FA1" w:rsidRPr="007B0DA2" w:rsidRDefault="00D76FA1" w:rsidP="00CF3DF4">
            <w:pPr>
              <w:spacing w:after="240"/>
              <w:rPr>
                <w:rFonts w:asciiTheme="minorHAnsi" w:hAnsiTheme="minorHAnsi" w:cstheme="minorHAnsi"/>
                <w:b/>
                <w:bCs/>
              </w:rPr>
            </w:pPr>
            <w:bookmarkStart w:id="11" w:name="_Hlk112079076"/>
            <w:bookmarkEnd w:id="10"/>
          </w:p>
        </w:tc>
        <w:tc>
          <w:tcPr>
            <w:tcW w:w="8333" w:type="dxa"/>
          </w:tcPr>
          <w:p w14:paraId="1F2BE1A3" w14:textId="29BF825B" w:rsidR="00D76FA1" w:rsidRPr="007B0DA2" w:rsidRDefault="00D76FA1" w:rsidP="00CF3DF4">
            <w:pPr>
              <w:spacing w:after="240"/>
              <w:rPr>
                <w:rFonts w:asciiTheme="minorHAnsi" w:hAnsiTheme="minorHAnsi" w:cstheme="minorBidi"/>
                <w:b/>
              </w:rPr>
            </w:pPr>
            <w:r w:rsidRPr="070CBDA7">
              <w:rPr>
                <w:rFonts w:asciiTheme="minorHAnsi" w:hAnsiTheme="minorHAnsi" w:cstheme="minorBidi"/>
                <w:b/>
              </w:rPr>
              <w:t>Stakeholder Engagement</w:t>
            </w:r>
          </w:p>
          <w:p w14:paraId="717BF9C9" w14:textId="77777777" w:rsidR="00D76FA1" w:rsidRDefault="00D76FA1" w:rsidP="00CF3DF4">
            <w:pPr>
              <w:pStyle w:val="Heading5"/>
              <w:spacing w:before="0" w:after="240"/>
              <w:rPr>
                <w:rFonts w:asciiTheme="minorHAnsi" w:hAnsiTheme="minorHAnsi" w:cstheme="minorBidi"/>
                <w:color w:val="auto"/>
                <w:sz w:val="20"/>
                <w:szCs w:val="20"/>
              </w:rPr>
            </w:pPr>
            <w:r w:rsidRPr="070CBDA7">
              <w:rPr>
                <w:rFonts w:asciiTheme="minorHAnsi" w:hAnsiTheme="minorHAnsi" w:cstheme="minorBidi"/>
                <w:color w:val="auto"/>
                <w:sz w:val="20"/>
                <w:szCs w:val="20"/>
              </w:rPr>
              <w:t>Engaging with persons, businesses, organisations, and peak industry bodies, attending consultative committees and industry meetings, and the maintenance of public facing information.</w:t>
            </w:r>
          </w:p>
          <w:p w14:paraId="47F566EC" w14:textId="6403C7B5" w:rsidR="00D76FA1" w:rsidRPr="001F7DD9" w:rsidRDefault="00D76FA1" w:rsidP="00CF3DF4">
            <w:pPr>
              <w:spacing w:after="240"/>
              <w:rPr>
                <w:rFonts w:asciiTheme="minorHAnsi" w:hAnsiTheme="minorHAnsi" w:cstheme="minorBidi"/>
                <w:i/>
                <w:iCs/>
              </w:rPr>
            </w:pPr>
            <w:r w:rsidRPr="070CBDA7">
              <w:rPr>
                <w:rFonts w:asciiTheme="minorHAnsi" w:hAnsiTheme="minorHAnsi" w:cstheme="minorBidi"/>
                <w:i/>
              </w:rPr>
              <w:t xml:space="preserve">Specific examples include </w:t>
            </w:r>
            <w:r w:rsidR="002E5CF2" w:rsidRPr="070CBDA7">
              <w:rPr>
                <w:rFonts w:asciiTheme="minorHAnsi" w:hAnsiTheme="minorHAnsi" w:cstheme="minorBidi"/>
                <w:i/>
              </w:rPr>
              <w:t xml:space="preserve">responding to </w:t>
            </w:r>
            <w:r w:rsidR="00D33792" w:rsidRPr="070CBDA7">
              <w:rPr>
                <w:rFonts w:asciiTheme="minorHAnsi" w:hAnsiTheme="minorHAnsi" w:cstheme="minorBidi"/>
                <w:i/>
              </w:rPr>
              <w:t xml:space="preserve">building owner and </w:t>
            </w:r>
            <w:r w:rsidR="002E5CF2" w:rsidRPr="070CBDA7">
              <w:rPr>
                <w:rFonts w:asciiTheme="minorHAnsi" w:hAnsiTheme="minorHAnsi" w:cstheme="minorBidi"/>
                <w:i/>
              </w:rPr>
              <w:t>assessor enquiries via phone</w:t>
            </w:r>
            <w:r w:rsidR="00D33792" w:rsidRPr="070CBDA7">
              <w:rPr>
                <w:rFonts w:asciiTheme="minorHAnsi" w:hAnsiTheme="minorHAnsi" w:cstheme="minorBidi"/>
                <w:i/>
              </w:rPr>
              <w:t xml:space="preserve"> and email</w:t>
            </w:r>
            <w:r w:rsidR="002E5CF2" w:rsidRPr="070CBDA7">
              <w:rPr>
                <w:rFonts w:asciiTheme="minorHAnsi" w:hAnsiTheme="minorHAnsi" w:cstheme="minorBidi"/>
                <w:i/>
              </w:rPr>
              <w:t xml:space="preserve"> and providing relevant program information, engaging with real estate agents on non-compliant listings</w:t>
            </w:r>
            <w:r w:rsidR="009A25AF" w:rsidRPr="070CBDA7">
              <w:rPr>
                <w:rFonts w:asciiTheme="minorHAnsi" w:hAnsiTheme="minorHAnsi" w:cstheme="minorBidi"/>
                <w:i/>
              </w:rPr>
              <w:t xml:space="preserve"> and engaging with real estate lawyers</w:t>
            </w:r>
            <w:r w:rsidR="002E5CF2" w:rsidRPr="070CBDA7">
              <w:rPr>
                <w:rFonts w:asciiTheme="minorHAnsi" w:hAnsiTheme="minorHAnsi" w:cstheme="minorBidi"/>
                <w:i/>
              </w:rPr>
              <w:t>.</w:t>
            </w:r>
          </w:p>
        </w:tc>
      </w:tr>
      <w:bookmarkEnd w:id="11"/>
      <w:tr w:rsidR="00D76FA1" w:rsidRPr="004B165F" w14:paraId="299DDF4E" w14:textId="77777777">
        <w:tc>
          <w:tcPr>
            <w:tcW w:w="1443" w:type="dxa"/>
            <w:vMerge/>
          </w:tcPr>
          <w:p w14:paraId="67286877" w14:textId="77777777" w:rsidR="00D76FA1" w:rsidRPr="007B0DA2" w:rsidRDefault="00D76FA1" w:rsidP="00CF3DF4">
            <w:pPr>
              <w:spacing w:after="240"/>
              <w:rPr>
                <w:rFonts w:asciiTheme="minorHAnsi" w:hAnsiTheme="minorHAnsi" w:cstheme="minorHAnsi"/>
                <w:b/>
                <w:bCs/>
              </w:rPr>
            </w:pPr>
          </w:p>
        </w:tc>
        <w:tc>
          <w:tcPr>
            <w:tcW w:w="8333" w:type="dxa"/>
          </w:tcPr>
          <w:p w14:paraId="143C7FFD" w14:textId="40CBB4BD" w:rsidR="00D76FA1" w:rsidRPr="007B0DA2" w:rsidRDefault="00D76FA1" w:rsidP="00CF3DF4">
            <w:pPr>
              <w:spacing w:after="240"/>
              <w:rPr>
                <w:rFonts w:asciiTheme="minorHAnsi" w:hAnsiTheme="minorHAnsi" w:cstheme="minorBidi"/>
                <w:b/>
              </w:rPr>
            </w:pPr>
            <w:r w:rsidRPr="070CBDA7">
              <w:rPr>
                <w:rFonts w:asciiTheme="minorHAnsi" w:hAnsiTheme="minorHAnsi" w:cstheme="minorBidi"/>
                <w:b/>
              </w:rPr>
              <w:t>Policy and Instructional Material</w:t>
            </w:r>
          </w:p>
          <w:p w14:paraId="7CB0E714" w14:textId="0B619DF0" w:rsidR="00ED4B41" w:rsidRPr="00CF3DF4" w:rsidRDefault="00D76FA1" w:rsidP="00CF3DF4">
            <w:pPr>
              <w:pStyle w:val="Heading5"/>
              <w:spacing w:before="0" w:after="240"/>
              <w:rPr>
                <w:rFonts w:asciiTheme="minorHAnsi" w:hAnsiTheme="minorHAnsi" w:cstheme="minorBidi"/>
                <w:color w:val="auto"/>
                <w:sz w:val="20"/>
                <w:szCs w:val="20"/>
              </w:rPr>
            </w:pPr>
            <w:r w:rsidRPr="070CBDA7">
              <w:rPr>
                <w:rFonts w:asciiTheme="minorHAnsi" w:hAnsiTheme="minorHAnsi" w:cstheme="minorBidi"/>
                <w:color w:val="auto"/>
                <w:sz w:val="20"/>
                <w:szCs w:val="20"/>
              </w:rPr>
              <w:t xml:space="preserve">Developing, </w:t>
            </w:r>
            <w:r w:rsidR="00930D09" w:rsidRPr="070CBDA7">
              <w:rPr>
                <w:rFonts w:asciiTheme="minorHAnsi" w:hAnsiTheme="minorHAnsi" w:cstheme="minorBidi"/>
                <w:color w:val="auto"/>
                <w:sz w:val="20"/>
                <w:szCs w:val="20"/>
              </w:rPr>
              <w:t>maintaining,</w:t>
            </w:r>
            <w:r w:rsidRPr="070CBDA7">
              <w:rPr>
                <w:rFonts w:asciiTheme="minorHAnsi" w:hAnsiTheme="minorHAnsi" w:cstheme="minorBidi"/>
                <w:color w:val="auto"/>
                <w:sz w:val="20"/>
                <w:szCs w:val="20"/>
              </w:rPr>
              <w:t xml:space="preserve"> and communicating the program’s instructional and guidance material, such as standard operating procedures, work instructions and public facing guidelines.</w:t>
            </w:r>
          </w:p>
        </w:tc>
      </w:tr>
      <w:tr w:rsidR="00D76FA1" w:rsidRPr="004B165F" w14:paraId="19924918" w14:textId="77777777">
        <w:tc>
          <w:tcPr>
            <w:tcW w:w="1443" w:type="dxa"/>
            <w:vMerge/>
          </w:tcPr>
          <w:p w14:paraId="288C82B0" w14:textId="77777777" w:rsidR="00D76FA1" w:rsidRPr="007B0DA2" w:rsidRDefault="00D76FA1" w:rsidP="00CF3DF4">
            <w:pPr>
              <w:spacing w:after="240"/>
              <w:rPr>
                <w:rFonts w:asciiTheme="minorHAnsi" w:hAnsiTheme="minorHAnsi" w:cstheme="minorHAnsi"/>
                <w:b/>
                <w:bCs/>
              </w:rPr>
            </w:pPr>
          </w:p>
        </w:tc>
        <w:tc>
          <w:tcPr>
            <w:tcW w:w="8333" w:type="dxa"/>
          </w:tcPr>
          <w:p w14:paraId="317E5B20" w14:textId="3AF4A56D" w:rsidR="00D76FA1" w:rsidRPr="007B0DA2" w:rsidRDefault="00D76FA1" w:rsidP="00CF3DF4">
            <w:pPr>
              <w:spacing w:after="240"/>
              <w:rPr>
                <w:rFonts w:asciiTheme="minorHAnsi" w:hAnsiTheme="minorHAnsi" w:cstheme="minorBidi"/>
                <w:b/>
              </w:rPr>
            </w:pPr>
            <w:r w:rsidRPr="070CBDA7">
              <w:rPr>
                <w:rFonts w:asciiTheme="minorHAnsi" w:hAnsiTheme="minorHAnsi" w:cstheme="minorBidi"/>
                <w:b/>
              </w:rPr>
              <w:t>Business Improvement</w:t>
            </w:r>
          </w:p>
          <w:p w14:paraId="577AB583" w14:textId="05134515" w:rsidR="00D433B1" w:rsidRPr="00555288" w:rsidRDefault="00D76FA1" w:rsidP="00555288">
            <w:pPr>
              <w:pStyle w:val="Heading5"/>
              <w:spacing w:before="0" w:after="240"/>
              <w:rPr>
                <w:rFonts w:asciiTheme="minorHAnsi" w:hAnsiTheme="minorHAnsi" w:cstheme="minorBidi"/>
                <w:color w:val="auto"/>
                <w:sz w:val="20"/>
                <w:szCs w:val="20"/>
              </w:rPr>
            </w:pPr>
            <w:r w:rsidRPr="00D433B1">
              <w:rPr>
                <w:rFonts w:asciiTheme="minorHAnsi" w:hAnsiTheme="minorHAnsi" w:cstheme="minorBidi"/>
                <w:color w:val="auto"/>
                <w:sz w:val="20"/>
                <w:szCs w:val="20"/>
              </w:rPr>
              <w:t xml:space="preserve">Assessing, </w:t>
            </w:r>
            <w:r w:rsidR="00930D09" w:rsidRPr="00D433B1">
              <w:rPr>
                <w:rFonts w:asciiTheme="minorHAnsi" w:hAnsiTheme="minorHAnsi" w:cstheme="minorBidi"/>
                <w:color w:val="auto"/>
                <w:sz w:val="20"/>
                <w:szCs w:val="20"/>
              </w:rPr>
              <w:t>monitoring,</w:t>
            </w:r>
            <w:r w:rsidRPr="00D433B1">
              <w:rPr>
                <w:rFonts w:asciiTheme="minorHAnsi" w:hAnsiTheme="minorHAnsi" w:cstheme="minorBidi"/>
                <w:color w:val="auto"/>
                <w:sz w:val="20"/>
                <w:szCs w:val="20"/>
              </w:rPr>
              <w:t xml:space="preserve"> and managing business performance, including improvements to regulatory authority, business processes and cost management.</w:t>
            </w:r>
          </w:p>
        </w:tc>
      </w:tr>
      <w:tr w:rsidR="00D76FA1" w:rsidRPr="004B165F" w14:paraId="4A0D2917" w14:textId="77777777">
        <w:tc>
          <w:tcPr>
            <w:tcW w:w="1443" w:type="dxa"/>
            <w:vMerge w:val="restart"/>
          </w:tcPr>
          <w:p w14:paraId="1C0AE3C7" w14:textId="77777777" w:rsidR="00D76FA1" w:rsidRPr="007B0DA2" w:rsidRDefault="00D76FA1" w:rsidP="00CF3DF4">
            <w:pPr>
              <w:spacing w:after="240"/>
              <w:rPr>
                <w:rFonts w:asciiTheme="minorHAnsi" w:hAnsiTheme="minorHAnsi" w:cstheme="minorBidi"/>
                <w:b/>
              </w:rPr>
            </w:pPr>
            <w:r w:rsidRPr="070CBDA7">
              <w:rPr>
                <w:rFonts w:asciiTheme="minorHAnsi" w:hAnsiTheme="minorHAnsi" w:cstheme="minorBidi"/>
                <w:b/>
              </w:rPr>
              <w:t>Assurance</w:t>
            </w:r>
          </w:p>
        </w:tc>
        <w:tc>
          <w:tcPr>
            <w:tcW w:w="8333" w:type="dxa"/>
          </w:tcPr>
          <w:p w14:paraId="68D11CC3" w14:textId="6D36D97D" w:rsidR="00D76FA1" w:rsidRPr="007B0DA2" w:rsidRDefault="00D76FA1" w:rsidP="00CF3DF4">
            <w:pPr>
              <w:spacing w:after="240"/>
              <w:rPr>
                <w:rFonts w:asciiTheme="minorHAnsi" w:hAnsiTheme="minorHAnsi" w:cstheme="minorBidi"/>
                <w:b/>
              </w:rPr>
            </w:pPr>
            <w:r w:rsidRPr="070CBDA7">
              <w:rPr>
                <w:rFonts w:asciiTheme="minorHAnsi" w:hAnsiTheme="minorHAnsi" w:cstheme="minorBidi"/>
                <w:b/>
              </w:rPr>
              <w:t>Risk Management</w:t>
            </w:r>
          </w:p>
          <w:p w14:paraId="3A64DA08" w14:textId="5D205219" w:rsidR="001B701E" w:rsidRPr="001B701E" w:rsidRDefault="00D76FA1" w:rsidP="00CF3DF4">
            <w:pPr>
              <w:spacing w:after="240"/>
              <w:rPr>
                <w:rFonts w:asciiTheme="minorHAnsi" w:hAnsiTheme="minorHAnsi" w:cstheme="minorBidi"/>
              </w:rPr>
            </w:pPr>
            <w:r w:rsidRPr="070CBDA7">
              <w:rPr>
                <w:rFonts w:asciiTheme="minorHAnsi" w:hAnsiTheme="minorHAnsi" w:cstheme="minorBidi"/>
              </w:rPr>
              <w:t>Assessing and managing the risks posed to achieving the stated financial and non-financial regulatory outcomes. This includes communicating results of risk analysis, modelling and forecasting to operational areas and the collection, receipt and use of reliable compliance data and intelligence to meet the department’s compliance objectives.</w:t>
            </w:r>
          </w:p>
        </w:tc>
      </w:tr>
      <w:tr w:rsidR="00D76FA1" w:rsidRPr="004B165F" w14:paraId="0D303FFF" w14:textId="77777777">
        <w:tc>
          <w:tcPr>
            <w:tcW w:w="1443" w:type="dxa"/>
            <w:vMerge/>
          </w:tcPr>
          <w:p w14:paraId="75EE3C6E" w14:textId="77777777" w:rsidR="00D76FA1" w:rsidRPr="007B0DA2" w:rsidRDefault="00D76FA1" w:rsidP="00CF3DF4">
            <w:pPr>
              <w:spacing w:after="240"/>
              <w:rPr>
                <w:rFonts w:asciiTheme="minorHAnsi" w:hAnsiTheme="minorHAnsi" w:cstheme="minorHAnsi"/>
                <w:b/>
                <w:bCs/>
              </w:rPr>
            </w:pPr>
          </w:p>
        </w:tc>
        <w:tc>
          <w:tcPr>
            <w:tcW w:w="8333" w:type="dxa"/>
          </w:tcPr>
          <w:p w14:paraId="4F914970" w14:textId="6C42714A" w:rsidR="00D76FA1" w:rsidRPr="007B0DA2" w:rsidRDefault="00D76FA1" w:rsidP="00CF3DF4">
            <w:pPr>
              <w:spacing w:after="240"/>
              <w:rPr>
                <w:rFonts w:asciiTheme="minorHAnsi" w:hAnsiTheme="minorHAnsi" w:cstheme="minorBidi"/>
                <w:b/>
              </w:rPr>
            </w:pPr>
            <w:r w:rsidRPr="070CBDA7">
              <w:rPr>
                <w:rFonts w:asciiTheme="minorHAnsi" w:hAnsiTheme="minorHAnsi" w:cstheme="minorBidi"/>
                <w:b/>
              </w:rPr>
              <w:t>Verification</w:t>
            </w:r>
          </w:p>
          <w:p w14:paraId="13BB22BC" w14:textId="490C055F" w:rsidR="00A968ED" w:rsidRPr="007B0DA2" w:rsidRDefault="00D76FA1" w:rsidP="00555288">
            <w:pPr>
              <w:spacing w:after="240"/>
              <w:rPr>
                <w:rFonts w:asciiTheme="minorHAnsi" w:hAnsiTheme="minorHAnsi" w:cstheme="minorBidi"/>
              </w:rPr>
            </w:pPr>
            <w:r w:rsidRPr="070CBDA7">
              <w:rPr>
                <w:rFonts w:asciiTheme="minorHAnsi" w:hAnsiTheme="minorHAnsi" w:cstheme="minorBidi"/>
              </w:rPr>
              <w:t>Activities undertaken to provide stakeholders and departmental executive with confidence that systems and processes are operating in accordance with their intended design and associated documentation.</w:t>
            </w:r>
          </w:p>
        </w:tc>
      </w:tr>
      <w:tr w:rsidR="00D76FA1" w:rsidRPr="004B165F" w14:paraId="012A8A8C" w14:textId="77777777">
        <w:tc>
          <w:tcPr>
            <w:tcW w:w="1443" w:type="dxa"/>
            <w:vMerge/>
          </w:tcPr>
          <w:p w14:paraId="0F13C7DF" w14:textId="77777777" w:rsidR="00D76FA1" w:rsidRPr="007B0DA2" w:rsidRDefault="00D76FA1" w:rsidP="00CF3DF4">
            <w:pPr>
              <w:spacing w:after="240"/>
              <w:rPr>
                <w:rFonts w:asciiTheme="minorHAnsi" w:hAnsiTheme="minorHAnsi" w:cstheme="minorHAnsi"/>
                <w:b/>
                <w:bCs/>
              </w:rPr>
            </w:pPr>
          </w:p>
        </w:tc>
        <w:tc>
          <w:tcPr>
            <w:tcW w:w="8333" w:type="dxa"/>
          </w:tcPr>
          <w:p w14:paraId="04E76C44" w14:textId="05EE7859" w:rsidR="00D76FA1" w:rsidRPr="007B0DA2" w:rsidRDefault="00D76FA1" w:rsidP="00CF3DF4">
            <w:pPr>
              <w:spacing w:after="240"/>
              <w:rPr>
                <w:rFonts w:asciiTheme="minorHAnsi" w:hAnsiTheme="minorHAnsi" w:cstheme="minorBidi"/>
                <w:b/>
              </w:rPr>
            </w:pPr>
            <w:r w:rsidRPr="070CBDA7">
              <w:rPr>
                <w:rFonts w:asciiTheme="minorHAnsi" w:hAnsiTheme="minorHAnsi" w:cstheme="minorBidi"/>
                <w:b/>
              </w:rPr>
              <w:t>Surveillance</w:t>
            </w:r>
          </w:p>
          <w:p w14:paraId="3D310D4C" w14:textId="77777777" w:rsidR="00D76FA1" w:rsidRDefault="00D76FA1" w:rsidP="00CF3DF4">
            <w:pPr>
              <w:spacing w:after="240"/>
              <w:rPr>
                <w:rFonts w:asciiTheme="minorHAnsi" w:hAnsiTheme="minorHAnsi" w:cstheme="minorBidi"/>
              </w:rPr>
            </w:pPr>
            <w:r w:rsidRPr="070CBDA7">
              <w:rPr>
                <w:rFonts w:asciiTheme="minorHAnsi" w:hAnsiTheme="minorHAnsi" w:cstheme="minorBidi"/>
              </w:rPr>
              <w:t>Monitoring the activities, documentation and behaviour of regulated entities or groups to assess overall program compliance. Surveillance differs from inspection as it is conducted on the regulatory system and not against the behaviour of individual participants.</w:t>
            </w:r>
          </w:p>
          <w:p w14:paraId="2D9A5FA2" w14:textId="515EB752" w:rsidR="00AD0995" w:rsidRPr="00AD0995" w:rsidRDefault="00AD0995" w:rsidP="00CF3DF4">
            <w:pPr>
              <w:spacing w:after="240"/>
              <w:rPr>
                <w:rFonts w:asciiTheme="minorHAnsi" w:hAnsiTheme="minorHAnsi" w:cstheme="minorBidi"/>
                <w:i/>
              </w:rPr>
            </w:pPr>
            <w:r w:rsidRPr="070CBDA7">
              <w:rPr>
                <w:rFonts w:asciiTheme="minorHAnsi" w:hAnsiTheme="minorHAnsi" w:cstheme="minorBidi"/>
                <w:i/>
              </w:rPr>
              <w:t>Compliance monitoring may be undertaken through a range of activities including:</w:t>
            </w:r>
          </w:p>
          <w:p w14:paraId="1653899F" w14:textId="77777777" w:rsidR="00AD0995" w:rsidRPr="0047129E" w:rsidRDefault="00AD0995" w:rsidP="00FF2A35">
            <w:pPr>
              <w:pStyle w:val="ListParagraph"/>
              <w:spacing w:after="0"/>
              <w:ind w:left="429" w:hanging="284"/>
              <w:jc w:val="both"/>
              <w:rPr>
                <w:rFonts w:asciiTheme="minorHAnsi" w:hAnsiTheme="minorHAnsi" w:cstheme="minorBidi"/>
                <w:i/>
                <w:sz w:val="20"/>
                <w:szCs w:val="20"/>
              </w:rPr>
            </w:pPr>
            <w:r w:rsidRPr="070CBDA7">
              <w:rPr>
                <w:rFonts w:asciiTheme="minorHAnsi" w:eastAsia="Times New Roman" w:hAnsiTheme="minorHAnsi" w:cstheme="minorBidi"/>
                <w:i/>
                <w:sz w:val="20"/>
                <w:szCs w:val="20"/>
              </w:rPr>
              <w:t>analysis of information gathered from advertisements for sale, lease or sublease</w:t>
            </w:r>
          </w:p>
          <w:p w14:paraId="1DD352FC" w14:textId="77777777" w:rsidR="00AD0995" w:rsidRPr="0047129E" w:rsidRDefault="00AD0995" w:rsidP="00FF2A35">
            <w:pPr>
              <w:pStyle w:val="ListParagraph"/>
              <w:spacing w:after="0"/>
              <w:ind w:left="429" w:hanging="284"/>
              <w:jc w:val="both"/>
              <w:rPr>
                <w:rFonts w:asciiTheme="minorHAnsi" w:eastAsia="Times New Roman" w:hAnsiTheme="minorHAnsi" w:cstheme="minorBidi"/>
                <w:i/>
                <w:sz w:val="20"/>
                <w:szCs w:val="20"/>
              </w:rPr>
            </w:pPr>
            <w:r w:rsidRPr="070CBDA7">
              <w:rPr>
                <w:rFonts w:asciiTheme="minorHAnsi" w:eastAsia="Times New Roman" w:hAnsiTheme="minorHAnsi" w:cstheme="minorBidi"/>
                <w:i/>
                <w:sz w:val="20"/>
                <w:szCs w:val="20"/>
              </w:rPr>
              <w:t>analysis of and cross reference with information from other sources, such as state title records</w:t>
            </w:r>
          </w:p>
          <w:p w14:paraId="4F234631" w14:textId="77777777" w:rsidR="00AD0995" w:rsidRPr="0047129E" w:rsidRDefault="00AD0995" w:rsidP="00FF2A35">
            <w:pPr>
              <w:pStyle w:val="ListParagraph"/>
              <w:spacing w:after="0"/>
              <w:ind w:left="429" w:hanging="284"/>
              <w:jc w:val="both"/>
              <w:rPr>
                <w:rFonts w:asciiTheme="minorHAnsi" w:eastAsia="Times New Roman" w:hAnsiTheme="minorHAnsi" w:cstheme="minorBidi"/>
                <w:i/>
                <w:sz w:val="20"/>
                <w:szCs w:val="20"/>
              </w:rPr>
            </w:pPr>
            <w:r w:rsidRPr="070CBDA7">
              <w:rPr>
                <w:rFonts w:asciiTheme="minorHAnsi" w:eastAsia="Times New Roman" w:hAnsiTheme="minorHAnsi" w:cstheme="minorBidi"/>
                <w:i/>
                <w:sz w:val="20"/>
                <w:szCs w:val="20"/>
              </w:rPr>
              <w:t>desk top auditing of assessments</w:t>
            </w:r>
          </w:p>
          <w:p w14:paraId="1DD7F6FA" w14:textId="7A4013CD" w:rsidR="00D76FA1" w:rsidRPr="00900679" w:rsidRDefault="00AD0995" w:rsidP="00FF2A35">
            <w:pPr>
              <w:pStyle w:val="ListParagraph"/>
              <w:ind w:left="429" w:hanging="284"/>
              <w:jc w:val="both"/>
              <w:rPr>
                <w:rFonts w:asciiTheme="minorHAnsi" w:hAnsiTheme="minorHAnsi" w:cstheme="minorBidi"/>
                <w:i/>
                <w:iCs/>
                <w:sz w:val="20"/>
                <w:szCs w:val="20"/>
              </w:rPr>
            </w:pPr>
            <w:r w:rsidRPr="070CBDA7">
              <w:rPr>
                <w:rFonts w:asciiTheme="minorHAnsi" w:eastAsia="Times New Roman" w:hAnsiTheme="minorHAnsi" w:cstheme="minorBidi"/>
                <w:i/>
                <w:sz w:val="20"/>
                <w:szCs w:val="20"/>
              </w:rPr>
              <w:t>targeted onsite audits using appointed auditors.</w:t>
            </w:r>
          </w:p>
        </w:tc>
      </w:tr>
      <w:tr w:rsidR="00D76FA1" w:rsidRPr="004B165F" w14:paraId="48F53207" w14:textId="77777777">
        <w:tc>
          <w:tcPr>
            <w:tcW w:w="1443" w:type="dxa"/>
            <w:vMerge w:val="restart"/>
          </w:tcPr>
          <w:p w14:paraId="5811D966" w14:textId="77777777" w:rsidR="00D76FA1" w:rsidRPr="007B0DA2" w:rsidRDefault="00D76FA1" w:rsidP="00CF3DF4">
            <w:pPr>
              <w:spacing w:after="240"/>
              <w:rPr>
                <w:rFonts w:asciiTheme="minorHAnsi" w:hAnsiTheme="minorHAnsi" w:cstheme="minorBidi"/>
                <w:b/>
              </w:rPr>
            </w:pPr>
            <w:r w:rsidRPr="070CBDA7">
              <w:rPr>
                <w:rFonts w:asciiTheme="minorHAnsi" w:hAnsiTheme="minorHAnsi" w:cstheme="minorBidi"/>
                <w:b/>
              </w:rPr>
              <w:t>Incident management</w:t>
            </w:r>
          </w:p>
        </w:tc>
        <w:tc>
          <w:tcPr>
            <w:tcW w:w="8333" w:type="dxa"/>
          </w:tcPr>
          <w:p w14:paraId="3FCE1544" w14:textId="2E751731" w:rsidR="00D76FA1" w:rsidRPr="007B0DA2" w:rsidRDefault="00D76FA1" w:rsidP="00CF3DF4">
            <w:pPr>
              <w:spacing w:after="240"/>
              <w:rPr>
                <w:rFonts w:asciiTheme="minorHAnsi" w:hAnsiTheme="minorHAnsi" w:cstheme="minorBidi"/>
              </w:rPr>
            </w:pPr>
            <w:r w:rsidRPr="070CBDA7">
              <w:rPr>
                <w:rFonts w:asciiTheme="minorHAnsi" w:hAnsiTheme="minorHAnsi" w:cstheme="minorBidi"/>
                <w:b/>
              </w:rPr>
              <w:t>Incident Management and Investigation Support</w:t>
            </w:r>
          </w:p>
          <w:p w14:paraId="6012B6A1" w14:textId="1FCDBEEF" w:rsidR="00D433B1" w:rsidRPr="007B0DA2" w:rsidRDefault="00D76FA1" w:rsidP="00CF3DF4">
            <w:pPr>
              <w:spacing w:after="240"/>
              <w:rPr>
                <w:rFonts w:asciiTheme="minorHAnsi" w:hAnsiTheme="minorHAnsi" w:cstheme="minorBidi"/>
              </w:rPr>
            </w:pPr>
            <w:r w:rsidRPr="070CBDA7">
              <w:rPr>
                <w:rFonts w:asciiTheme="minorHAnsi" w:hAnsiTheme="minorHAnsi" w:cstheme="minorBidi"/>
              </w:rPr>
              <w:t>Activities to coordinate and manage any incident of non-compliance.</w:t>
            </w:r>
          </w:p>
        </w:tc>
      </w:tr>
      <w:tr w:rsidR="00D76FA1" w:rsidRPr="004B165F" w14:paraId="45F60BD4" w14:textId="77777777">
        <w:tc>
          <w:tcPr>
            <w:tcW w:w="1443" w:type="dxa"/>
            <w:vMerge/>
          </w:tcPr>
          <w:p w14:paraId="018D13D5" w14:textId="77777777" w:rsidR="00D76FA1" w:rsidRPr="007B0DA2" w:rsidRDefault="00D76FA1" w:rsidP="00CF3DF4">
            <w:pPr>
              <w:spacing w:after="240"/>
              <w:rPr>
                <w:rFonts w:asciiTheme="minorHAnsi" w:hAnsiTheme="minorHAnsi" w:cstheme="minorHAnsi"/>
                <w:b/>
                <w:bCs/>
              </w:rPr>
            </w:pPr>
          </w:p>
        </w:tc>
        <w:tc>
          <w:tcPr>
            <w:tcW w:w="8333" w:type="dxa"/>
          </w:tcPr>
          <w:p w14:paraId="1C3E8B54" w14:textId="6BD910B0" w:rsidR="00D76FA1" w:rsidRPr="007B0DA2" w:rsidRDefault="00D76FA1" w:rsidP="00CF3DF4">
            <w:pPr>
              <w:spacing w:after="240"/>
              <w:rPr>
                <w:rFonts w:asciiTheme="minorHAnsi" w:hAnsiTheme="minorHAnsi" w:cstheme="minorBidi"/>
                <w:b/>
              </w:rPr>
            </w:pPr>
            <w:r w:rsidRPr="070CBDA7">
              <w:rPr>
                <w:rFonts w:asciiTheme="minorHAnsi" w:hAnsiTheme="minorHAnsi" w:cstheme="minorBidi"/>
                <w:b/>
              </w:rPr>
              <w:t>Corrective Action</w:t>
            </w:r>
          </w:p>
          <w:p w14:paraId="43379258" w14:textId="7D14F3F9" w:rsidR="00D76FA1" w:rsidRPr="00920E4D" w:rsidRDefault="00D76FA1" w:rsidP="00CF3DF4">
            <w:pPr>
              <w:spacing w:after="240"/>
              <w:rPr>
                <w:rFonts w:asciiTheme="minorHAnsi" w:hAnsiTheme="minorHAnsi" w:cstheme="minorBidi"/>
              </w:rPr>
            </w:pPr>
            <w:r w:rsidRPr="070CBDA7">
              <w:rPr>
                <w:rFonts w:asciiTheme="minorHAnsi" w:hAnsiTheme="minorHAnsi" w:cstheme="minorBidi"/>
              </w:rPr>
              <w:t>Actions taken to bring about compliance or enforceable actions arising from non–compliance or contravention of legislation.</w:t>
            </w:r>
          </w:p>
        </w:tc>
      </w:tr>
      <w:tr w:rsidR="008D1522" w:rsidRPr="004B165F" w14:paraId="1F8F5877" w14:textId="77777777">
        <w:tc>
          <w:tcPr>
            <w:tcW w:w="1443" w:type="dxa"/>
            <w:vMerge w:val="restart"/>
          </w:tcPr>
          <w:p w14:paraId="0B309BAF" w14:textId="12143960" w:rsidR="008D1522" w:rsidRPr="007B0DA2" w:rsidRDefault="008D1522" w:rsidP="00CF3DF4">
            <w:pPr>
              <w:spacing w:after="240"/>
              <w:rPr>
                <w:rFonts w:asciiTheme="minorHAnsi" w:hAnsiTheme="minorHAnsi" w:cstheme="minorBidi"/>
                <w:b/>
              </w:rPr>
            </w:pPr>
            <w:r w:rsidRPr="070CBDA7">
              <w:rPr>
                <w:rFonts w:asciiTheme="minorHAnsi" w:hAnsiTheme="minorHAnsi" w:cstheme="minorBidi"/>
                <w:b/>
              </w:rPr>
              <w:t>Intervention</w:t>
            </w:r>
          </w:p>
        </w:tc>
        <w:tc>
          <w:tcPr>
            <w:tcW w:w="8333" w:type="dxa"/>
          </w:tcPr>
          <w:p w14:paraId="62D14FFB" w14:textId="016230D1" w:rsidR="008D1522" w:rsidRPr="007B0DA2" w:rsidRDefault="008D1522" w:rsidP="00CF3DF4">
            <w:pPr>
              <w:spacing w:after="240"/>
              <w:rPr>
                <w:rFonts w:asciiTheme="minorHAnsi" w:hAnsiTheme="minorHAnsi" w:cstheme="minorBidi"/>
              </w:rPr>
            </w:pPr>
            <w:r w:rsidRPr="070CBDA7">
              <w:rPr>
                <w:rFonts w:asciiTheme="minorHAnsi" w:hAnsiTheme="minorHAnsi" w:cstheme="minorBidi"/>
                <w:b/>
              </w:rPr>
              <w:t>Assessment</w:t>
            </w:r>
          </w:p>
          <w:p w14:paraId="432FE5CA" w14:textId="43C18433" w:rsidR="00337FDD" w:rsidRPr="00337FDD" w:rsidRDefault="008D1522" w:rsidP="00CF3DF4">
            <w:pPr>
              <w:spacing w:after="240"/>
              <w:rPr>
                <w:rFonts w:asciiTheme="minorHAnsi" w:hAnsiTheme="minorHAnsi" w:cstheme="minorBidi"/>
              </w:rPr>
            </w:pPr>
            <w:r w:rsidRPr="070CBDA7">
              <w:rPr>
                <w:rFonts w:asciiTheme="minorHAnsi" w:hAnsiTheme="minorHAnsi" w:cstheme="minorBidi"/>
              </w:rPr>
              <w:t>Assessing information to determine if it meets necessary requirements and conditions. This includes all preparatory work (such as confirming necessary requirements and conditions) and post work (such as assessment report preparation).</w:t>
            </w:r>
          </w:p>
        </w:tc>
      </w:tr>
      <w:tr w:rsidR="008D1522" w:rsidRPr="004B165F" w14:paraId="195EDF10" w14:textId="77777777">
        <w:tc>
          <w:tcPr>
            <w:tcW w:w="1443" w:type="dxa"/>
            <w:vMerge/>
          </w:tcPr>
          <w:p w14:paraId="46F7EDBA" w14:textId="77777777" w:rsidR="008D1522" w:rsidRPr="007B0DA2" w:rsidRDefault="008D1522" w:rsidP="00CF3DF4">
            <w:pPr>
              <w:spacing w:after="240"/>
              <w:rPr>
                <w:rFonts w:cstheme="minorHAnsi"/>
                <w:b/>
                <w:bCs/>
              </w:rPr>
            </w:pPr>
          </w:p>
        </w:tc>
        <w:tc>
          <w:tcPr>
            <w:tcW w:w="8333" w:type="dxa"/>
          </w:tcPr>
          <w:p w14:paraId="23605478" w14:textId="3784B28B" w:rsidR="008D1522" w:rsidRPr="007B0DA2" w:rsidRDefault="008D1522" w:rsidP="00CF3DF4">
            <w:pPr>
              <w:spacing w:after="240"/>
              <w:rPr>
                <w:rFonts w:asciiTheme="minorHAnsi" w:hAnsiTheme="minorHAnsi" w:cstheme="minorBidi"/>
                <w:b/>
              </w:rPr>
            </w:pPr>
            <w:r w:rsidRPr="070CBDA7">
              <w:rPr>
                <w:rFonts w:asciiTheme="minorHAnsi" w:hAnsiTheme="minorHAnsi" w:cstheme="minorBidi"/>
                <w:b/>
              </w:rPr>
              <w:t>Inspections</w:t>
            </w:r>
          </w:p>
          <w:p w14:paraId="3067CE37" w14:textId="60F53ECE" w:rsidR="00CC37D1" w:rsidRPr="00D80F33" w:rsidRDefault="008D1522" w:rsidP="00CF3DF4">
            <w:pPr>
              <w:spacing w:after="240"/>
              <w:rPr>
                <w:rFonts w:asciiTheme="minorHAnsi" w:hAnsiTheme="minorHAnsi" w:cstheme="minorBidi"/>
              </w:rPr>
            </w:pPr>
            <w:r w:rsidRPr="070CBDA7">
              <w:rPr>
                <w:rFonts w:asciiTheme="minorHAnsi" w:hAnsiTheme="minorHAnsi" w:cstheme="minorBidi"/>
              </w:rPr>
              <w:t xml:space="preserve">The physical examination (and supervision of a physical examination) of products, </w:t>
            </w:r>
            <w:r w:rsidR="00D749A1" w:rsidRPr="070CBDA7">
              <w:rPr>
                <w:rFonts w:asciiTheme="minorHAnsi" w:hAnsiTheme="minorHAnsi" w:cstheme="minorBidi"/>
              </w:rPr>
              <w:t>goods</w:t>
            </w:r>
            <w:r w:rsidR="00D749A1" w:rsidRPr="070CBDA7">
              <w:t>,</w:t>
            </w:r>
            <w:r w:rsidRPr="070CBDA7">
              <w:rPr>
                <w:rFonts w:asciiTheme="minorHAnsi" w:hAnsiTheme="minorHAnsi" w:cstheme="minorBidi"/>
              </w:rPr>
              <w:t xml:space="preserve"> and processes to determine compliance with obligations.</w:t>
            </w:r>
          </w:p>
        </w:tc>
      </w:tr>
      <w:tr w:rsidR="008D1522" w:rsidRPr="004B165F" w14:paraId="50EEDBD9" w14:textId="77777777">
        <w:tc>
          <w:tcPr>
            <w:tcW w:w="1443" w:type="dxa"/>
            <w:vMerge/>
          </w:tcPr>
          <w:p w14:paraId="513038C2" w14:textId="77777777" w:rsidR="008D1522" w:rsidRPr="007B0DA2" w:rsidRDefault="008D1522" w:rsidP="00CF3DF4">
            <w:pPr>
              <w:spacing w:after="240"/>
              <w:rPr>
                <w:rFonts w:cstheme="minorHAnsi"/>
                <w:b/>
                <w:bCs/>
              </w:rPr>
            </w:pPr>
          </w:p>
        </w:tc>
        <w:tc>
          <w:tcPr>
            <w:tcW w:w="8333" w:type="dxa"/>
          </w:tcPr>
          <w:p w14:paraId="14538586" w14:textId="610A8E84" w:rsidR="008D1522" w:rsidRPr="007B0DA2" w:rsidRDefault="008D1522" w:rsidP="00CF3DF4">
            <w:pPr>
              <w:spacing w:after="240"/>
              <w:rPr>
                <w:rFonts w:asciiTheme="minorHAnsi" w:hAnsiTheme="minorHAnsi" w:cstheme="minorBidi"/>
                <w:b/>
              </w:rPr>
            </w:pPr>
            <w:r w:rsidRPr="070CBDA7">
              <w:rPr>
                <w:rFonts w:asciiTheme="minorHAnsi" w:hAnsiTheme="minorHAnsi" w:cstheme="minorBidi"/>
                <w:b/>
              </w:rPr>
              <w:t>Issue approvals/certification</w:t>
            </w:r>
          </w:p>
          <w:p w14:paraId="63362332" w14:textId="77777777" w:rsidR="008D1522" w:rsidRDefault="008D1522" w:rsidP="00CF3DF4">
            <w:pPr>
              <w:spacing w:after="240"/>
              <w:rPr>
                <w:rFonts w:asciiTheme="minorHAnsi" w:hAnsiTheme="minorHAnsi" w:cstheme="minorBidi"/>
              </w:rPr>
            </w:pPr>
            <w:r w:rsidRPr="070CBDA7">
              <w:rPr>
                <w:rFonts w:asciiTheme="minorHAnsi" w:hAnsiTheme="minorHAnsi" w:cstheme="minorBidi"/>
              </w:rPr>
              <w:t>Issuing decisions to grant an approval or permission in relation to an assessment of information. This includes activity relating to the creation of evidence for a decision.</w:t>
            </w:r>
          </w:p>
          <w:p w14:paraId="41FE3974" w14:textId="2F19EB6A" w:rsidR="003D62B3" w:rsidRPr="00BA38AA" w:rsidRDefault="008D1522" w:rsidP="00CF3DF4">
            <w:pPr>
              <w:spacing w:after="240"/>
              <w:rPr>
                <w:rFonts w:asciiTheme="minorHAnsi" w:hAnsiTheme="minorHAnsi" w:cstheme="minorBidi"/>
                <w:i/>
              </w:rPr>
            </w:pPr>
            <w:r w:rsidRPr="070CBDA7">
              <w:rPr>
                <w:rFonts w:asciiTheme="minorHAnsi" w:hAnsiTheme="minorHAnsi" w:cstheme="minorBidi"/>
                <w:i/>
              </w:rPr>
              <w:t xml:space="preserve">Specific examples include activities provided to an individual, </w:t>
            </w:r>
            <w:r w:rsidR="00D749A1" w:rsidRPr="070CBDA7">
              <w:rPr>
                <w:rFonts w:asciiTheme="minorHAnsi" w:hAnsiTheme="minorHAnsi" w:cstheme="minorBidi"/>
                <w:i/>
              </w:rPr>
              <w:t>business</w:t>
            </w:r>
            <w:r w:rsidR="00D749A1" w:rsidRPr="070CBDA7">
              <w:rPr>
                <w:i/>
              </w:rPr>
              <w:t>,</w:t>
            </w:r>
            <w:r w:rsidRPr="070CBDA7">
              <w:rPr>
                <w:rFonts w:asciiTheme="minorHAnsi" w:hAnsiTheme="minorHAnsi" w:cstheme="minorBidi"/>
                <w:i/>
              </w:rPr>
              <w:t xml:space="preserve"> or organisation by the department to communicate the approval of an application for an exemption or to become an accredited assessor.</w:t>
            </w:r>
          </w:p>
        </w:tc>
      </w:tr>
      <w:tr w:rsidR="008D1522" w:rsidRPr="004B165F" w14:paraId="76C42EA6" w14:textId="77777777">
        <w:tc>
          <w:tcPr>
            <w:tcW w:w="1443" w:type="dxa"/>
            <w:vMerge/>
          </w:tcPr>
          <w:p w14:paraId="57ECAF65" w14:textId="77777777" w:rsidR="008D1522" w:rsidRPr="007B0DA2" w:rsidRDefault="008D1522" w:rsidP="00CF3DF4">
            <w:pPr>
              <w:spacing w:after="240"/>
              <w:rPr>
                <w:rFonts w:cstheme="minorHAnsi"/>
                <w:b/>
                <w:bCs/>
              </w:rPr>
            </w:pPr>
          </w:p>
        </w:tc>
        <w:tc>
          <w:tcPr>
            <w:tcW w:w="8333" w:type="dxa"/>
          </w:tcPr>
          <w:p w14:paraId="5FCCF48D" w14:textId="0DB0BFED" w:rsidR="008D1522" w:rsidRPr="007B0DA2" w:rsidRDefault="008D1522" w:rsidP="00CF3DF4">
            <w:pPr>
              <w:spacing w:after="240"/>
              <w:rPr>
                <w:rFonts w:asciiTheme="minorHAnsi" w:hAnsiTheme="minorHAnsi" w:cstheme="minorBidi"/>
                <w:b/>
              </w:rPr>
            </w:pPr>
            <w:r w:rsidRPr="070CBDA7">
              <w:rPr>
                <w:rFonts w:asciiTheme="minorHAnsi" w:hAnsiTheme="minorHAnsi" w:cstheme="minorBidi"/>
                <w:b/>
              </w:rPr>
              <w:t>Audit</w:t>
            </w:r>
          </w:p>
          <w:p w14:paraId="106C5FDB" w14:textId="77777777" w:rsidR="008D1522" w:rsidRDefault="008D1522" w:rsidP="00CF3DF4">
            <w:pPr>
              <w:spacing w:after="240"/>
              <w:rPr>
                <w:rFonts w:asciiTheme="minorHAnsi" w:hAnsiTheme="minorHAnsi" w:cstheme="minorBidi"/>
              </w:rPr>
            </w:pPr>
            <w:r w:rsidRPr="070CBDA7">
              <w:rPr>
                <w:rFonts w:asciiTheme="minorHAnsi" w:hAnsiTheme="minorHAnsi" w:cstheme="minorBidi"/>
              </w:rPr>
              <w:t>Systematic examination to determine whether the activities and processes of regulated entities comply with legal and other requirements.</w:t>
            </w:r>
          </w:p>
          <w:p w14:paraId="75D80B48" w14:textId="4CABE56E" w:rsidR="003A536F" w:rsidRPr="0005503B" w:rsidRDefault="00CD43F0" w:rsidP="00CF3DF4">
            <w:pPr>
              <w:spacing w:after="240"/>
              <w:rPr>
                <w:rFonts w:asciiTheme="minorHAnsi" w:hAnsiTheme="minorHAnsi" w:cstheme="minorBidi"/>
                <w:i/>
              </w:rPr>
            </w:pPr>
            <w:r w:rsidRPr="070CBDA7">
              <w:rPr>
                <w:rFonts w:asciiTheme="minorHAnsi" w:hAnsiTheme="minorHAnsi" w:cstheme="minorBidi"/>
                <w:i/>
              </w:rPr>
              <w:lastRenderedPageBreak/>
              <w:t xml:space="preserve">A Level 2 Audit may lead to the revision or withdrawal of a Tenancy Lighting Assessment (TLA) or exemption, with serious implications for rating clients, building owners, and tenants. </w:t>
            </w:r>
            <w:r w:rsidR="003F6A65" w:rsidRPr="070CBDA7">
              <w:rPr>
                <w:rFonts w:asciiTheme="minorHAnsi" w:hAnsiTheme="minorHAnsi" w:cstheme="minorBidi"/>
                <w:i/>
              </w:rPr>
              <w:t xml:space="preserve">These parties must fully cooperate with the CBD </w:t>
            </w:r>
            <w:r w:rsidR="00F9216F">
              <w:rPr>
                <w:rFonts w:asciiTheme="minorHAnsi" w:hAnsiTheme="minorHAnsi" w:cstheme="minorBidi"/>
                <w:i/>
              </w:rPr>
              <w:t>accredited a</w:t>
            </w:r>
            <w:r w:rsidR="003F6A65" w:rsidRPr="070CBDA7">
              <w:rPr>
                <w:rFonts w:asciiTheme="minorHAnsi" w:hAnsiTheme="minorHAnsi" w:cstheme="minorBidi"/>
                <w:i/>
              </w:rPr>
              <w:t>ssessor—providing access to the premises, complete and compliant documentation from the start, and any additional materials required during the audit.</w:t>
            </w:r>
          </w:p>
          <w:p w14:paraId="2E11AA6F" w14:textId="753F0506" w:rsidR="005A666A" w:rsidRPr="00B05F0C" w:rsidRDefault="00561EF8" w:rsidP="00CF3DF4">
            <w:pPr>
              <w:spacing w:after="240"/>
              <w:rPr>
                <w:rFonts w:asciiTheme="minorHAnsi" w:hAnsiTheme="minorHAnsi" w:cstheme="minorBidi"/>
                <w:i/>
              </w:rPr>
            </w:pPr>
            <w:r w:rsidRPr="070CBDA7">
              <w:rPr>
                <w:rFonts w:asciiTheme="minorHAnsi" w:hAnsiTheme="minorHAnsi" w:cstheme="minorBidi"/>
                <w:i/>
              </w:rPr>
              <w:t>If concerns arise about an assessor’s conduct or evidence of collusion is found, the case may be escalated to a Level 3 Audit. This involves an on-site inspection by an auditor to verify the submitted information and evidence.</w:t>
            </w:r>
          </w:p>
        </w:tc>
      </w:tr>
    </w:tbl>
    <w:p w14:paraId="47E66A04" w14:textId="77777777" w:rsidR="00DE1B10" w:rsidRDefault="00DE1B10" w:rsidP="00000F28">
      <w:pPr>
        <w:spacing w:before="320" w:after="240"/>
        <w:rPr>
          <w:rFonts w:eastAsia="SimSun"/>
          <w:b/>
        </w:rPr>
      </w:pPr>
      <w:bookmarkStart w:id="12" w:name="_Toc81919366"/>
      <w:bookmarkStart w:id="13" w:name="_Toc82703178"/>
      <w:bookmarkEnd w:id="12"/>
      <w:bookmarkEnd w:id="13"/>
      <w:r w:rsidRPr="070CBDA7">
        <w:rPr>
          <w:rFonts w:eastAsia="SimSun"/>
          <w:b/>
        </w:rPr>
        <w:lastRenderedPageBreak/>
        <w:br w:type="page"/>
      </w:r>
    </w:p>
    <w:p w14:paraId="6178792F" w14:textId="78EF5B0B" w:rsidR="006036C2" w:rsidRPr="00D57921" w:rsidRDefault="007327A6" w:rsidP="00000F28">
      <w:pPr>
        <w:pStyle w:val="Heading2"/>
        <w:numPr>
          <w:ilvl w:val="1"/>
          <w:numId w:val="2"/>
        </w:numPr>
        <w:spacing w:before="320" w:after="240"/>
        <w:ind w:left="426"/>
      </w:pPr>
      <w:r>
        <w:lastRenderedPageBreak/>
        <w:t xml:space="preserve"> </w:t>
      </w:r>
      <w:bookmarkStart w:id="14" w:name="_Toc214441557"/>
      <w:r w:rsidR="006036C2" w:rsidRPr="00D57921">
        <w:t>Cost</w:t>
      </w:r>
      <w:r w:rsidR="00F46EFF" w:rsidRPr="00D57921">
        <w:t>s</w:t>
      </w:r>
      <w:r w:rsidR="006036C2" w:rsidRPr="00D57921">
        <w:t xml:space="preserve"> of the </w:t>
      </w:r>
      <w:r w:rsidR="00D1329C" w:rsidRPr="00D57921">
        <w:t xml:space="preserve">regulatory </w:t>
      </w:r>
      <w:r w:rsidR="006036C2" w:rsidRPr="00D57921">
        <w:t>activity</w:t>
      </w:r>
      <w:bookmarkEnd w:id="14"/>
    </w:p>
    <w:p w14:paraId="76FB6E69" w14:textId="3A50CF8F" w:rsidR="00B13D41" w:rsidRDefault="00D81F0D" w:rsidP="00000F28">
      <w:pPr>
        <w:spacing w:before="320" w:after="240"/>
        <w:jc w:val="both"/>
        <w:rPr>
          <w:rFonts w:ascii="Calibri" w:hAnsi="Calibri" w:cs="Calibri"/>
        </w:rPr>
      </w:pPr>
      <w:r w:rsidRPr="00F8178D">
        <w:rPr>
          <w:rFonts w:ascii="Calibri" w:hAnsi="Calibri" w:cs="Calibri"/>
        </w:rPr>
        <w:t>The department’s total</w:t>
      </w:r>
      <w:r w:rsidR="0022540E" w:rsidRPr="00F8178D">
        <w:rPr>
          <w:rFonts w:ascii="Calibri" w:hAnsi="Calibri" w:cs="Calibri"/>
        </w:rPr>
        <w:t xml:space="preserve"> </w:t>
      </w:r>
      <w:r w:rsidR="001E1D57">
        <w:rPr>
          <w:rFonts w:ascii="Calibri" w:hAnsi="Calibri" w:cs="Calibri"/>
        </w:rPr>
        <w:t xml:space="preserve">recoverable </w:t>
      </w:r>
      <w:r w:rsidRPr="00F8178D">
        <w:rPr>
          <w:rFonts w:ascii="Calibri" w:hAnsi="Calibri" w:cs="Calibri"/>
        </w:rPr>
        <w:t>expenditure to administer the CBD program in 2024</w:t>
      </w:r>
      <w:r w:rsidRPr="00F8178D">
        <w:rPr>
          <w:rFonts w:eastAsia="SimSun"/>
        </w:rPr>
        <w:t>–</w:t>
      </w:r>
      <w:r w:rsidRPr="00F8178D">
        <w:rPr>
          <w:rFonts w:ascii="Calibri" w:hAnsi="Calibri" w:cs="Calibri"/>
        </w:rPr>
        <w:t>25 is estimated at $</w:t>
      </w:r>
      <w:r w:rsidR="00101F22" w:rsidRPr="00F8178D">
        <w:rPr>
          <w:rFonts w:ascii="Calibri" w:hAnsi="Calibri" w:cs="Calibri"/>
        </w:rPr>
        <w:t>1.38</w:t>
      </w:r>
      <w:r w:rsidR="00932D64" w:rsidRPr="00F8178D">
        <w:rPr>
          <w:rFonts w:ascii="Calibri" w:hAnsi="Calibri" w:cs="Calibri"/>
        </w:rPr>
        <w:t xml:space="preserve"> </w:t>
      </w:r>
      <w:r w:rsidRPr="00F8178D">
        <w:rPr>
          <w:rFonts w:ascii="Calibri" w:hAnsi="Calibri" w:cs="Calibri"/>
        </w:rPr>
        <w:t>million, of which $</w:t>
      </w:r>
      <w:r w:rsidR="00932D64" w:rsidRPr="00F8178D">
        <w:rPr>
          <w:rFonts w:ascii="Calibri" w:hAnsi="Calibri" w:cs="Calibri"/>
        </w:rPr>
        <w:t>0.199</w:t>
      </w:r>
      <w:r w:rsidRPr="00F8178D">
        <w:rPr>
          <w:rFonts w:ascii="Calibri" w:hAnsi="Calibri" w:cs="Calibri"/>
        </w:rPr>
        <w:t xml:space="preserve"> million </w:t>
      </w:r>
      <w:r w:rsidR="00305C4E">
        <w:rPr>
          <w:rFonts w:ascii="Calibri" w:hAnsi="Calibri" w:cs="Calibri"/>
        </w:rPr>
        <w:t>of the Issue Approvals and Certification Output</w:t>
      </w:r>
      <w:r w:rsidRPr="00F8178D">
        <w:rPr>
          <w:rFonts w:ascii="Calibri" w:hAnsi="Calibri" w:cs="Calibri"/>
        </w:rPr>
        <w:t xml:space="preserve"> is to be cost recovered. </w:t>
      </w:r>
      <w:r w:rsidR="00A51A2F" w:rsidRPr="00F8178D">
        <w:rPr>
          <w:rFonts w:ascii="Calibri" w:hAnsi="Calibri" w:cs="Calibri"/>
        </w:rPr>
        <w:t>The estimated c</w:t>
      </w:r>
      <w:r w:rsidR="00B13D41" w:rsidRPr="00F8178D">
        <w:rPr>
          <w:rFonts w:ascii="Calibri" w:hAnsi="Calibri" w:cs="Calibri"/>
        </w:rPr>
        <w:t>ost</w:t>
      </w:r>
      <w:r w:rsidR="00A51A2F" w:rsidRPr="00F8178D">
        <w:rPr>
          <w:rFonts w:ascii="Calibri" w:hAnsi="Calibri" w:cs="Calibri"/>
        </w:rPr>
        <w:t>s</w:t>
      </w:r>
      <w:r w:rsidR="00B13D41" w:rsidRPr="00F8178D">
        <w:rPr>
          <w:rFonts w:ascii="Calibri" w:hAnsi="Calibri" w:cs="Calibri"/>
        </w:rPr>
        <w:t xml:space="preserve"> for the 202</w:t>
      </w:r>
      <w:r w:rsidR="00004F1F" w:rsidRPr="00F8178D">
        <w:rPr>
          <w:rFonts w:ascii="Calibri" w:hAnsi="Calibri" w:cs="Calibri"/>
        </w:rPr>
        <w:t>4</w:t>
      </w:r>
      <w:r w:rsidR="00AA3429">
        <w:rPr>
          <w:rFonts w:ascii="Calibri" w:hAnsi="Calibri" w:cs="Calibri"/>
        </w:rPr>
        <w:t>–</w:t>
      </w:r>
      <w:r w:rsidR="00B13D41" w:rsidRPr="00F8178D">
        <w:rPr>
          <w:rFonts w:ascii="Calibri" w:hAnsi="Calibri" w:cs="Calibri"/>
        </w:rPr>
        <w:t>2</w:t>
      </w:r>
      <w:r w:rsidR="00004F1F" w:rsidRPr="00F8178D">
        <w:rPr>
          <w:rFonts w:ascii="Calibri" w:hAnsi="Calibri" w:cs="Calibri"/>
        </w:rPr>
        <w:t>5</w:t>
      </w:r>
      <w:r w:rsidR="00AA3429">
        <w:rPr>
          <w:rFonts w:ascii="Calibri" w:hAnsi="Calibri" w:cs="Calibri"/>
        </w:rPr>
        <w:t xml:space="preserve"> </w:t>
      </w:r>
      <w:r w:rsidR="00B13D41" w:rsidRPr="00F8178D">
        <w:rPr>
          <w:rFonts w:ascii="Calibri" w:hAnsi="Calibri" w:cs="Calibri"/>
        </w:rPr>
        <w:t xml:space="preserve">year </w:t>
      </w:r>
      <w:r w:rsidR="00C66450" w:rsidRPr="00F8178D">
        <w:rPr>
          <w:rFonts w:ascii="Calibri" w:hAnsi="Calibri" w:cs="Calibri"/>
        </w:rPr>
        <w:t>are</w:t>
      </w:r>
      <w:r w:rsidR="00B13D41" w:rsidRPr="00F8178D">
        <w:rPr>
          <w:rFonts w:ascii="Calibri" w:hAnsi="Calibri" w:cs="Calibri"/>
        </w:rPr>
        <w:t xml:space="preserve"> outlined in Table 3.2.1 below</w:t>
      </w:r>
      <w:r w:rsidR="0005208C" w:rsidRPr="00F8178D">
        <w:rPr>
          <w:rFonts w:ascii="Calibri" w:hAnsi="Calibri" w:cs="Calibri"/>
        </w:rPr>
        <w:t>.</w:t>
      </w:r>
    </w:p>
    <w:p w14:paraId="51C49604" w14:textId="4B6807D3" w:rsidR="00CF0E81" w:rsidRPr="00EE62C7" w:rsidRDefault="00CF0E81" w:rsidP="00000F28">
      <w:pPr>
        <w:spacing w:before="320" w:after="240"/>
        <w:jc w:val="both"/>
        <w:rPr>
          <w:b/>
          <w:bCs/>
        </w:rPr>
      </w:pPr>
      <w:r w:rsidRPr="00EE62C7">
        <w:rPr>
          <w:b/>
          <w:bCs/>
        </w:rPr>
        <w:t xml:space="preserve">Table 3.2.1 - cost breakdown estimates for </w:t>
      </w:r>
      <w:r>
        <w:rPr>
          <w:b/>
          <w:bCs/>
        </w:rPr>
        <w:t>202</w:t>
      </w:r>
      <w:r w:rsidR="00004F1F">
        <w:rPr>
          <w:b/>
          <w:bCs/>
        </w:rPr>
        <w:t>4</w:t>
      </w:r>
      <w:r w:rsidR="00303AC3" w:rsidRPr="070CBDA7">
        <w:rPr>
          <w:b/>
          <w:bCs/>
        </w:rPr>
        <w:t>–</w:t>
      </w:r>
      <w:r>
        <w:rPr>
          <w:b/>
          <w:bCs/>
        </w:rPr>
        <w:t>2</w:t>
      </w:r>
      <w:r w:rsidR="00004F1F">
        <w:rPr>
          <w:b/>
          <w:bCs/>
        </w:rPr>
        <w:t>5</w:t>
      </w:r>
    </w:p>
    <w:tbl>
      <w:tblPr>
        <w:tblStyle w:val="TableGrid"/>
        <w:tblW w:w="0" w:type="auto"/>
        <w:tblLayout w:type="fixed"/>
        <w:tblLook w:val="04A0" w:firstRow="1" w:lastRow="0" w:firstColumn="1" w:lastColumn="0" w:noHBand="0" w:noVBand="1"/>
      </w:tblPr>
      <w:tblGrid>
        <w:gridCol w:w="4390"/>
        <w:gridCol w:w="1559"/>
        <w:gridCol w:w="1559"/>
        <w:gridCol w:w="1508"/>
      </w:tblGrid>
      <w:tr w:rsidR="000C0D61" w:rsidRPr="007A75DD" w14:paraId="521AA1E4" w14:textId="77777777">
        <w:tc>
          <w:tcPr>
            <w:tcW w:w="4390" w:type="dxa"/>
            <w:shd w:val="clear" w:color="auto" w:fill="DEEAF6" w:themeFill="accent1" w:themeFillTint="33"/>
          </w:tcPr>
          <w:p w14:paraId="7F0B37AB" w14:textId="77777777" w:rsidR="000C0D61" w:rsidRPr="007A75DD" w:rsidRDefault="000C0D61" w:rsidP="00443886">
            <w:pPr>
              <w:jc w:val="both"/>
              <w:rPr>
                <w:rFonts w:asciiTheme="minorHAnsi" w:hAnsiTheme="minorHAnsi" w:cstheme="minorBidi"/>
                <w:b/>
              </w:rPr>
            </w:pPr>
            <w:r w:rsidRPr="070CBDA7">
              <w:rPr>
                <w:rFonts w:asciiTheme="minorHAnsi" w:hAnsiTheme="minorHAnsi" w:cstheme="minorBidi"/>
                <w:b/>
              </w:rPr>
              <w:t>Output</w:t>
            </w:r>
          </w:p>
        </w:tc>
        <w:tc>
          <w:tcPr>
            <w:tcW w:w="1559" w:type="dxa"/>
            <w:shd w:val="clear" w:color="auto" w:fill="DEEAF6" w:themeFill="accent1" w:themeFillTint="33"/>
          </w:tcPr>
          <w:p w14:paraId="6C638DFC" w14:textId="77777777" w:rsidR="000C0D61" w:rsidRPr="007A75DD" w:rsidRDefault="000C0D61" w:rsidP="00443886">
            <w:pPr>
              <w:jc w:val="center"/>
              <w:rPr>
                <w:rFonts w:asciiTheme="minorHAnsi" w:hAnsiTheme="minorHAnsi" w:cstheme="minorBidi"/>
                <w:b/>
              </w:rPr>
            </w:pPr>
            <w:r w:rsidRPr="070CBDA7">
              <w:rPr>
                <w:rFonts w:asciiTheme="minorHAnsi" w:hAnsiTheme="minorHAnsi" w:cstheme="minorBidi"/>
                <w:b/>
              </w:rPr>
              <w:t>Direct costs ($m)</w:t>
            </w:r>
          </w:p>
        </w:tc>
        <w:tc>
          <w:tcPr>
            <w:tcW w:w="1559" w:type="dxa"/>
            <w:shd w:val="clear" w:color="auto" w:fill="DEEAF6" w:themeFill="accent1" w:themeFillTint="33"/>
          </w:tcPr>
          <w:p w14:paraId="424AE7EB" w14:textId="77777777" w:rsidR="000C0D61" w:rsidRPr="007A75DD" w:rsidRDefault="000C0D61" w:rsidP="00443886">
            <w:pPr>
              <w:jc w:val="center"/>
              <w:rPr>
                <w:rFonts w:asciiTheme="minorHAnsi" w:hAnsiTheme="minorHAnsi" w:cstheme="minorBidi"/>
                <w:b/>
              </w:rPr>
            </w:pPr>
            <w:r w:rsidRPr="070CBDA7">
              <w:rPr>
                <w:rFonts w:asciiTheme="minorHAnsi" w:hAnsiTheme="minorHAnsi" w:cstheme="minorBidi"/>
                <w:b/>
              </w:rPr>
              <w:t>Indirect costs ($m)</w:t>
            </w:r>
          </w:p>
        </w:tc>
        <w:tc>
          <w:tcPr>
            <w:tcW w:w="1508" w:type="dxa"/>
            <w:shd w:val="clear" w:color="auto" w:fill="DEEAF6" w:themeFill="accent1" w:themeFillTint="33"/>
          </w:tcPr>
          <w:p w14:paraId="4EB00773" w14:textId="77777777" w:rsidR="000C0D61" w:rsidRPr="007A75DD" w:rsidRDefault="000C0D61" w:rsidP="00443886">
            <w:pPr>
              <w:jc w:val="center"/>
              <w:rPr>
                <w:rFonts w:asciiTheme="minorHAnsi" w:hAnsiTheme="minorHAnsi" w:cstheme="minorBidi"/>
                <w:b/>
              </w:rPr>
            </w:pPr>
            <w:r w:rsidRPr="070CBDA7">
              <w:rPr>
                <w:rFonts w:asciiTheme="minorHAnsi" w:hAnsiTheme="minorHAnsi" w:cstheme="minorBidi"/>
                <w:b/>
              </w:rPr>
              <w:t>Capital costs ($m)</w:t>
            </w:r>
          </w:p>
        </w:tc>
      </w:tr>
      <w:tr w:rsidR="00352C07" w:rsidRPr="007A75DD" w14:paraId="39BA9669" w14:textId="77777777" w:rsidTr="00352C07">
        <w:tc>
          <w:tcPr>
            <w:tcW w:w="4390" w:type="dxa"/>
          </w:tcPr>
          <w:p w14:paraId="13148A63" w14:textId="77777777" w:rsidR="00352C07" w:rsidRPr="007A75DD" w:rsidRDefault="00352C07" w:rsidP="00443886">
            <w:pPr>
              <w:jc w:val="both"/>
              <w:rPr>
                <w:rFonts w:asciiTheme="minorHAnsi" w:hAnsiTheme="minorHAnsi" w:cstheme="minorBidi"/>
              </w:rPr>
            </w:pPr>
            <w:r w:rsidRPr="070CBDA7">
              <w:rPr>
                <w:rFonts w:asciiTheme="minorHAnsi" w:hAnsiTheme="minorHAnsi" w:cstheme="minorBidi"/>
              </w:rPr>
              <w:t>Policy and Instructional Material</w:t>
            </w:r>
          </w:p>
        </w:tc>
        <w:tc>
          <w:tcPr>
            <w:tcW w:w="1559" w:type="dxa"/>
          </w:tcPr>
          <w:p w14:paraId="160DC6A4" w14:textId="77777777" w:rsidR="00352C07" w:rsidRPr="007A75DD" w:rsidRDefault="00352C07" w:rsidP="00443886">
            <w:pPr>
              <w:jc w:val="center"/>
              <w:rPr>
                <w:rFonts w:asciiTheme="minorHAnsi" w:hAnsiTheme="minorHAnsi" w:cstheme="minorBidi"/>
              </w:rPr>
            </w:pPr>
            <w:r w:rsidRPr="070CBDA7">
              <w:rPr>
                <w:rFonts w:asciiTheme="minorHAnsi" w:hAnsiTheme="minorHAnsi" w:cstheme="minorBidi"/>
              </w:rPr>
              <w:t>-</w:t>
            </w:r>
          </w:p>
        </w:tc>
        <w:tc>
          <w:tcPr>
            <w:tcW w:w="1559" w:type="dxa"/>
          </w:tcPr>
          <w:p w14:paraId="298A50C7" w14:textId="77777777" w:rsidR="00352C07" w:rsidRPr="007A75DD" w:rsidRDefault="00352C07" w:rsidP="00443886">
            <w:pPr>
              <w:jc w:val="center"/>
              <w:rPr>
                <w:rFonts w:asciiTheme="minorHAnsi" w:hAnsiTheme="minorHAnsi" w:cstheme="minorBidi"/>
              </w:rPr>
            </w:pPr>
            <w:r w:rsidRPr="070CBDA7">
              <w:rPr>
                <w:rFonts w:asciiTheme="minorHAnsi" w:hAnsiTheme="minorHAnsi" w:cstheme="minorBidi"/>
              </w:rPr>
              <w:t>-</w:t>
            </w:r>
          </w:p>
        </w:tc>
        <w:tc>
          <w:tcPr>
            <w:tcW w:w="1508" w:type="dxa"/>
          </w:tcPr>
          <w:p w14:paraId="3A49BBE8" w14:textId="77777777" w:rsidR="00352C07" w:rsidRPr="007A75DD" w:rsidRDefault="00352C07" w:rsidP="00443886">
            <w:pPr>
              <w:jc w:val="center"/>
              <w:rPr>
                <w:rFonts w:asciiTheme="minorHAnsi" w:hAnsiTheme="minorHAnsi" w:cstheme="minorBidi"/>
              </w:rPr>
            </w:pPr>
            <w:r w:rsidRPr="070CBDA7">
              <w:rPr>
                <w:rFonts w:asciiTheme="minorHAnsi" w:hAnsiTheme="minorHAnsi" w:cstheme="minorBidi"/>
              </w:rPr>
              <w:t>-</w:t>
            </w:r>
          </w:p>
        </w:tc>
      </w:tr>
      <w:tr w:rsidR="000C0D61" w:rsidRPr="007A75DD" w14:paraId="062520B1" w14:textId="77777777">
        <w:tc>
          <w:tcPr>
            <w:tcW w:w="4390" w:type="dxa"/>
          </w:tcPr>
          <w:p w14:paraId="62C17CDF" w14:textId="77777777" w:rsidR="000C0D61" w:rsidRPr="007A75DD" w:rsidRDefault="000C0D61" w:rsidP="00443886">
            <w:pPr>
              <w:jc w:val="both"/>
              <w:rPr>
                <w:rFonts w:asciiTheme="minorHAnsi" w:hAnsiTheme="minorHAnsi" w:cstheme="minorBidi"/>
              </w:rPr>
            </w:pPr>
            <w:r w:rsidRPr="070CBDA7">
              <w:rPr>
                <w:rFonts w:asciiTheme="minorHAnsi" w:hAnsiTheme="minorHAnsi" w:cstheme="minorBidi"/>
              </w:rPr>
              <w:t>Workforce and Business Management</w:t>
            </w:r>
          </w:p>
        </w:tc>
        <w:tc>
          <w:tcPr>
            <w:tcW w:w="1559" w:type="dxa"/>
          </w:tcPr>
          <w:p w14:paraId="33E05712" w14:textId="23ED13A1" w:rsidR="000C0D61" w:rsidRPr="007A75DD" w:rsidRDefault="003114D8" w:rsidP="00443886">
            <w:pPr>
              <w:jc w:val="center"/>
              <w:rPr>
                <w:rFonts w:asciiTheme="minorHAnsi" w:hAnsiTheme="minorHAnsi" w:cstheme="minorBidi"/>
              </w:rPr>
            </w:pPr>
            <w:r w:rsidRPr="070CBDA7">
              <w:rPr>
                <w:rFonts w:asciiTheme="minorHAnsi" w:hAnsiTheme="minorHAnsi" w:cstheme="minorBidi"/>
              </w:rPr>
              <w:t>0.2</w:t>
            </w:r>
            <w:r w:rsidR="001005C0" w:rsidRPr="070CBDA7">
              <w:rPr>
                <w:rFonts w:asciiTheme="minorHAnsi" w:hAnsiTheme="minorHAnsi" w:cstheme="minorBidi"/>
              </w:rPr>
              <w:t>11</w:t>
            </w:r>
          </w:p>
        </w:tc>
        <w:tc>
          <w:tcPr>
            <w:tcW w:w="1559" w:type="dxa"/>
          </w:tcPr>
          <w:p w14:paraId="40792222" w14:textId="51EAD95B" w:rsidR="000C0D61" w:rsidRPr="007A75DD" w:rsidRDefault="00BC292B" w:rsidP="00443886">
            <w:pPr>
              <w:jc w:val="center"/>
              <w:rPr>
                <w:rFonts w:asciiTheme="minorHAnsi" w:hAnsiTheme="minorHAnsi" w:cstheme="minorBidi"/>
              </w:rPr>
            </w:pPr>
            <w:r w:rsidRPr="070CBDA7">
              <w:rPr>
                <w:rFonts w:asciiTheme="minorHAnsi" w:hAnsiTheme="minorHAnsi" w:cstheme="minorBidi"/>
              </w:rPr>
              <w:t>0</w:t>
            </w:r>
            <w:r w:rsidR="00AF710A" w:rsidRPr="070CBDA7">
              <w:rPr>
                <w:rFonts w:asciiTheme="minorHAnsi" w:hAnsiTheme="minorHAnsi" w:cstheme="minorBidi"/>
              </w:rPr>
              <w:t>.056</w:t>
            </w:r>
          </w:p>
        </w:tc>
        <w:tc>
          <w:tcPr>
            <w:tcW w:w="1508" w:type="dxa"/>
          </w:tcPr>
          <w:p w14:paraId="021F4EF8"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r>
      <w:tr w:rsidR="000C0D61" w:rsidRPr="007A75DD" w14:paraId="34FE4B43" w14:textId="77777777">
        <w:tc>
          <w:tcPr>
            <w:tcW w:w="4390" w:type="dxa"/>
          </w:tcPr>
          <w:p w14:paraId="5963DA4D" w14:textId="77777777" w:rsidR="000C0D61" w:rsidRPr="007A75DD" w:rsidRDefault="000C0D61" w:rsidP="00443886">
            <w:pPr>
              <w:jc w:val="both"/>
              <w:rPr>
                <w:rFonts w:asciiTheme="minorHAnsi" w:hAnsiTheme="minorHAnsi" w:cstheme="minorBidi"/>
              </w:rPr>
            </w:pPr>
            <w:r w:rsidRPr="070CBDA7">
              <w:rPr>
                <w:rFonts w:asciiTheme="minorHAnsi" w:hAnsiTheme="minorHAnsi" w:cstheme="minorBidi"/>
              </w:rPr>
              <w:t>Business Systems Administration</w:t>
            </w:r>
          </w:p>
        </w:tc>
        <w:tc>
          <w:tcPr>
            <w:tcW w:w="1559" w:type="dxa"/>
          </w:tcPr>
          <w:p w14:paraId="66BAAF0D" w14:textId="7BC7710E" w:rsidR="000C0D61" w:rsidRPr="007A75DD" w:rsidRDefault="00E71342" w:rsidP="00443886">
            <w:pPr>
              <w:jc w:val="center"/>
              <w:rPr>
                <w:rFonts w:asciiTheme="minorHAnsi" w:hAnsiTheme="minorHAnsi" w:cstheme="minorBidi"/>
              </w:rPr>
            </w:pPr>
            <w:r w:rsidRPr="070CBDA7">
              <w:rPr>
                <w:rFonts w:asciiTheme="minorHAnsi" w:hAnsiTheme="minorHAnsi" w:cstheme="minorBidi"/>
              </w:rPr>
              <w:t>-</w:t>
            </w:r>
          </w:p>
        </w:tc>
        <w:tc>
          <w:tcPr>
            <w:tcW w:w="1559" w:type="dxa"/>
          </w:tcPr>
          <w:p w14:paraId="22DA76A4" w14:textId="31736377" w:rsidR="000C0D61" w:rsidRPr="007A75DD" w:rsidRDefault="004C3166" w:rsidP="00443886">
            <w:pPr>
              <w:jc w:val="center"/>
              <w:rPr>
                <w:rFonts w:asciiTheme="minorHAnsi" w:hAnsiTheme="minorHAnsi" w:cstheme="minorBidi"/>
              </w:rPr>
            </w:pPr>
            <w:r w:rsidRPr="070CBDA7">
              <w:rPr>
                <w:rFonts w:asciiTheme="minorHAnsi" w:hAnsiTheme="minorHAnsi" w:cstheme="minorBidi"/>
              </w:rPr>
              <w:t>-</w:t>
            </w:r>
          </w:p>
        </w:tc>
        <w:tc>
          <w:tcPr>
            <w:tcW w:w="1508" w:type="dxa"/>
          </w:tcPr>
          <w:p w14:paraId="32064127"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r>
      <w:tr w:rsidR="000C0D61" w:rsidRPr="007A75DD" w14:paraId="40338089" w14:textId="77777777">
        <w:tc>
          <w:tcPr>
            <w:tcW w:w="4390" w:type="dxa"/>
          </w:tcPr>
          <w:p w14:paraId="1A9A17DE" w14:textId="77777777" w:rsidR="000C0D61" w:rsidRPr="007A75DD" w:rsidRDefault="000C0D61" w:rsidP="00443886">
            <w:pPr>
              <w:jc w:val="both"/>
              <w:rPr>
                <w:rFonts w:asciiTheme="minorHAnsi" w:hAnsiTheme="minorHAnsi" w:cstheme="minorBidi"/>
              </w:rPr>
            </w:pPr>
            <w:r w:rsidRPr="070CBDA7">
              <w:rPr>
                <w:rFonts w:asciiTheme="minorHAnsi" w:hAnsiTheme="minorHAnsi" w:cstheme="minorBidi"/>
              </w:rPr>
              <w:t>Stakeholder Engagement</w:t>
            </w:r>
          </w:p>
        </w:tc>
        <w:tc>
          <w:tcPr>
            <w:tcW w:w="1559" w:type="dxa"/>
          </w:tcPr>
          <w:p w14:paraId="249260EA" w14:textId="7E84DF35" w:rsidR="000C0D61" w:rsidRPr="007A75DD" w:rsidRDefault="000C0D61" w:rsidP="00443886">
            <w:pPr>
              <w:jc w:val="center"/>
              <w:rPr>
                <w:rFonts w:asciiTheme="minorHAnsi" w:hAnsiTheme="minorHAnsi" w:cstheme="minorBidi"/>
              </w:rPr>
            </w:pPr>
            <w:r w:rsidRPr="070CBDA7">
              <w:rPr>
                <w:rFonts w:asciiTheme="minorHAnsi" w:hAnsiTheme="minorHAnsi" w:cstheme="minorBidi"/>
              </w:rPr>
              <w:t>0</w:t>
            </w:r>
            <w:r w:rsidR="00E71342" w:rsidRPr="070CBDA7">
              <w:rPr>
                <w:rFonts w:asciiTheme="minorHAnsi" w:hAnsiTheme="minorHAnsi" w:cstheme="minorBidi"/>
              </w:rPr>
              <w:t>.019</w:t>
            </w:r>
          </w:p>
        </w:tc>
        <w:tc>
          <w:tcPr>
            <w:tcW w:w="1559" w:type="dxa"/>
          </w:tcPr>
          <w:p w14:paraId="1E9CAC81" w14:textId="7DE0C9F0" w:rsidR="000C0D61" w:rsidRPr="007A75DD" w:rsidRDefault="00AF710A" w:rsidP="00443886">
            <w:pPr>
              <w:jc w:val="center"/>
              <w:rPr>
                <w:rFonts w:asciiTheme="minorHAnsi" w:hAnsiTheme="minorHAnsi" w:cstheme="minorBidi"/>
              </w:rPr>
            </w:pPr>
            <w:r w:rsidRPr="070CBDA7">
              <w:rPr>
                <w:rFonts w:asciiTheme="minorHAnsi" w:hAnsiTheme="minorHAnsi" w:cstheme="minorBidi"/>
              </w:rPr>
              <w:t>-</w:t>
            </w:r>
          </w:p>
        </w:tc>
        <w:tc>
          <w:tcPr>
            <w:tcW w:w="1508" w:type="dxa"/>
          </w:tcPr>
          <w:p w14:paraId="7B928CE1"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r>
      <w:tr w:rsidR="000C0D61" w:rsidRPr="007A75DD" w14:paraId="1C5DAF19" w14:textId="77777777">
        <w:tc>
          <w:tcPr>
            <w:tcW w:w="4390" w:type="dxa"/>
          </w:tcPr>
          <w:p w14:paraId="3B46E2C7" w14:textId="77777777" w:rsidR="000C0D61" w:rsidRPr="007A75DD" w:rsidRDefault="000C0D61" w:rsidP="00443886">
            <w:pPr>
              <w:jc w:val="both"/>
              <w:rPr>
                <w:rFonts w:asciiTheme="minorHAnsi" w:hAnsiTheme="minorHAnsi" w:cstheme="minorBidi"/>
              </w:rPr>
            </w:pPr>
            <w:r w:rsidRPr="070CBDA7">
              <w:rPr>
                <w:rFonts w:asciiTheme="minorHAnsi" w:hAnsiTheme="minorHAnsi" w:cstheme="minorBidi"/>
              </w:rPr>
              <w:t>Business Improvement</w:t>
            </w:r>
          </w:p>
        </w:tc>
        <w:tc>
          <w:tcPr>
            <w:tcW w:w="1559" w:type="dxa"/>
          </w:tcPr>
          <w:p w14:paraId="2976BC18" w14:textId="2243748A" w:rsidR="000C0D61" w:rsidRPr="007A75DD" w:rsidRDefault="00E71342" w:rsidP="00443886">
            <w:pPr>
              <w:jc w:val="center"/>
              <w:rPr>
                <w:rFonts w:asciiTheme="minorHAnsi" w:hAnsiTheme="minorHAnsi" w:cstheme="minorBidi"/>
              </w:rPr>
            </w:pPr>
            <w:r w:rsidRPr="070CBDA7">
              <w:rPr>
                <w:rFonts w:asciiTheme="minorHAnsi" w:hAnsiTheme="minorHAnsi" w:cstheme="minorBidi"/>
              </w:rPr>
              <w:t>-</w:t>
            </w:r>
          </w:p>
        </w:tc>
        <w:tc>
          <w:tcPr>
            <w:tcW w:w="1559" w:type="dxa"/>
          </w:tcPr>
          <w:p w14:paraId="4B1AA95A" w14:textId="4545AE92" w:rsidR="000C0D61" w:rsidRPr="007A75DD" w:rsidRDefault="004C3166" w:rsidP="00443886">
            <w:pPr>
              <w:jc w:val="center"/>
              <w:rPr>
                <w:rFonts w:asciiTheme="minorHAnsi" w:hAnsiTheme="minorHAnsi" w:cstheme="minorBidi"/>
              </w:rPr>
            </w:pPr>
            <w:r w:rsidRPr="070CBDA7">
              <w:rPr>
                <w:rFonts w:asciiTheme="minorHAnsi" w:hAnsiTheme="minorHAnsi" w:cstheme="minorBidi"/>
              </w:rPr>
              <w:t>-</w:t>
            </w:r>
          </w:p>
        </w:tc>
        <w:tc>
          <w:tcPr>
            <w:tcW w:w="1508" w:type="dxa"/>
          </w:tcPr>
          <w:p w14:paraId="58DFCA38"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r>
      <w:tr w:rsidR="000C0D61" w:rsidRPr="007A75DD" w14:paraId="781BC6E5" w14:textId="77777777">
        <w:tc>
          <w:tcPr>
            <w:tcW w:w="4390" w:type="dxa"/>
          </w:tcPr>
          <w:p w14:paraId="51130302" w14:textId="77777777" w:rsidR="000C0D61" w:rsidRPr="007A75DD" w:rsidRDefault="000C0D61" w:rsidP="00443886">
            <w:pPr>
              <w:jc w:val="both"/>
              <w:rPr>
                <w:rFonts w:asciiTheme="minorHAnsi" w:hAnsiTheme="minorHAnsi" w:cstheme="minorBidi"/>
              </w:rPr>
            </w:pPr>
            <w:r w:rsidRPr="070CBDA7">
              <w:rPr>
                <w:rFonts w:asciiTheme="minorHAnsi" w:hAnsiTheme="minorHAnsi" w:cstheme="minorBidi"/>
              </w:rPr>
              <w:t>Risk Management</w:t>
            </w:r>
          </w:p>
        </w:tc>
        <w:tc>
          <w:tcPr>
            <w:tcW w:w="1559" w:type="dxa"/>
          </w:tcPr>
          <w:p w14:paraId="61675504"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c>
          <w:tcPr>
            <w:tcW w:w="1559" w:type="dxa"/>
          </w:tcPr>
          <w:p w14:paraId="54356CDE"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c>
          <w:tcPr>
            <w:tcW w:w="1508" w:type="dxa"/>
          </w:tcPr>
          <w:p w14:paraId="209E6880"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r>
      <w:tr w:rsidR="000C0D61" w:rsidRPr="007A75DD" w14:paraId="0BE8CB57" w14:textId="77777777">
        <w:tc>
          <w:tcPr>
            <w:tcW w:w="4390" w:type="dxa"/>
          </w:tcPr>
          <w:p w14:paraId="5CAA3B92" w14:textId="77777777" w:rsidR="000C0D61" w:rsidRPr="007A75DD" w:rsidRDefault="000C0D61" w:rsidP="00443886">
            <w:pPr>
              <w:jc w:val="both"/>
              <w:rPr>
                <w:rFonts w:asciiTheme="minorHAnsi" w:hAnsiTheme="minorHAnsi" w:cstheme="minorBidi"/>
              </w:rPr>
            </w:pPr>
            <w:r w:rsidRPr="070CBDA7">
              <w:rPr>
                <w:rFonts w:asciiTheme="minorHAnsi" w:hAnsiTheme="minorHAnsi" w:cstheme="minorBidi"/>
              </w:rPr>
              <w:t>Verification</w:t>
            </w:r>
          </w:p>
        </w:tc>
        <w:tc>
          <w:tcPr>
            <w:tcW w:w="1559" w:type="dxa"/>
          </w:tcPr>
          <w:p w14:paraId="09BC3DF6" w14:textId="38EEE495" w:rsidR="000C0D61" w:rsidRPr="007A75DD" w:rsidRDefault="00E71342" w:rsidP="00443886">
            <w:pPr>
              <w:jc w:val="center"/>
              <w:rPr>
                <w:rFonts w:asciiTheme="minorHAnsi" w:hAnsiTheme="minorHAnsi" w:cstheme="minorBidi"/>
              </w:rPr>
            </w:pPr>
            <w:r w:rsidRPr="070CBDA7">
              <w:rPr>
                <w:rFonts w:asciiTheme="minorHAnsi" w:hAnsiTheme="minorHAnsi" w:cstheme="minorBidi"/>
              </w:rPr>
              <w:t>-</w:t>
            </w:r>
          </w:p>
        </w:tc>
        <w:tc>
          <w:tcPr>
            <w:tcW w:w="1559" w:type="dxa"/>
          </w:tcPr>
          <w:p w14:paraId="15A1CBC1" w14:textId="461DB334" w:rsidR="000C0D61" w:rsidRPr="007A75DD" w:rsidRDefault="004C3166" w:rsidP="00443886">
            <w:pPr>
              <w:jc w:val="center"/>
              <w:rPr>
                <w:rFonts w:asciiTheme="minorHAnsi" w:hAnsiTheme="minorHAnsi" w:cstheme="minorBidi"/>
              </w:rPr>
            </w:pPr>
            <w:r w:rsidRPr="070CBDA7">
              <w:rPr>
                <w:rFonts w:asciiTheme="minorHAnsi" w:hAnsiTheme="minorHAnsi" w:cstheme="minorBidi"/>
              </w:rPr>
              <w:t>-</w:t>
            </w:r>
          </w:p>
        </w:tc>
        <w:tc>
          <w:tcPr>
            <w:tcW w:w="1508" w:type="dxa"/>
          </w:tcPr>
          <w:p w14:paraId="7B12663A"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r>
      <w:tr w:rsidR="000C0D61" w:rsidRPr="007A75DD" w14:paraId="7CC03865" w14:textId="77777777">
        <w:tc>
          <w:tcPr>
            <w:tcW w:w="4390" w:type="dxa"/>
          </w:tcPr>
          <w:p w14:paraId="7CCD7D47" w14:textId="77777777" w:rsidR="000C0D61" w:rsidRPr="007A75DD" w:rsidRDefault="000C0D61" w:rsidP="00443886">
            <w:pPr>
              <w:jc w:val="both"/>
              <w:rPr>
                <w:rFonts w:asciiTheme="minorHAnsi" w:hAnsiTheme="minorHAnsi" w:cstheme="minorBidi"/>
              </w:rPr>
            </w:pPr>
            <w:r w:rsidRPr="070CBDA7">
              <w:rPr>
                <w:rFonts w:asciiTheme="minorHAnsi" w:hAnsiTheme="minorHAnsi" w:cstheme="minorBidi"/>
              </w:rPr>
              <w:t>Surveillance</w:t>
            </w:r>
          </w:p>
        </w:tc>
        <w:tc>
          <w:tcPr>
            <w:tcW w:w="1559" w:type="dxa"/>
          </w:tcPr>
          <w:p w14:paraId="724C013B" w14:textId="1A4A9705" w:rsidR="000C0D61" w:rsidRPr="007A75DD" w:rsidRDefault="000C0D61" w:rsidP="00443886">
            <w:pPr>
              <w:jc w:val="center"/>
              <w:rPr>
                <w:rFonts w:asciiTheme="minorHAnsi" w:hAnsiTheme="minorHAnsi" w:cstheme="minorBidi"/>
              </w:rPr>
            </w:pPr>
            <w:r w:rsidRPr="070CBDA7">
              <w:rPr>
                <w:rFonts w:asciiTheme="minorHAnsi" w:hAnsiTheme="minorHAnsi" w:cstheme="minorBidi"/>
              </w:rPr>
              <w:t>0.</w:t>
            </w:r>
            <w:r w:rsidR="009E1AA4" w:rsidRPr="070CBDA7">
              <w:rPr>
                <w:rFonts w:asciiTheme="minorHAnsi" w:hAnsiTheme="minorHAnsi" w:cstheme="minorBidi"/>
              </w:rPr>
              <w:t>242</w:t>
            </w:r>
          </w:p>
        </w:tc>
        <w:tc>
          <w:tcPr>
            <w:tcW w:w="1559" w:type="dxa"/>
          </w:tcPr>
          <w:p w14:paraId="68D818C3" w14:textId="4E982FE2" w:rsidR="000C0D61" w:rsidRPr="007A75DD" w:rsidRDefault="00AF710A" w:rsidP="00443886">
            <w:pPr>
              <w:jc w:val="center"/>
              <w:rPr>
                <w:rFonts w:asciiTheme="minorHAnsi" w:hAnsiTheme="minorHAnsi" w:cstheme="minorBidi"/>
              </w:rPr>
            </w:pPr>
            <w:r w:rsidRPr="070CBDA7">
              <w:rPr>
                <w:rFonts w:asciiTheme="minorHAnsi" w:hAnsiTheme="minorHAnsi" w:cstheme="minorBidi"/>
              </w:rPr>
              <w:t>0.06</w:t>
            </w:r>
            <w:r w:rsidR="00623FD3" w:rsidRPr="070CBDA7">
              <w:rPr>
                <w:rFonts w:asciiTheme="minorHAnsi" w:hAnsiTheme="minorHAnsi" w:cstheme="minorBidi"/>
              </w:rPr>
              <w:t>5</w:t>
            </w:r>
          </w:p>
        </w:tc>
        <w:tc>
          <w:tcPr>
            <w:tcW w:w="1508" w:type="dxa"/>
          </w:tcPr>
          <w:p w14:paraId="453AD312"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r>
      <w:tr w:rsidR="000C0D61" w:rsidRPr="007A75DD" w14:paraId="724AFEA1" w14:textId="77777777">
        <w:tc>
          <w:tcPr>
            <w:tcW w:w="4390" w:type="dxa"/>
          </w:tcPr>
          <w:p w14:paraId="7540793E" w14:textId="77777777" w:rsidR="000C0D61" w:rsidRPr="007A75DD" w:rsidRDefault="000C0D61" w:rsidP="00443886">
            <w:pPr>
              <w:jc w:val="both"/>
              <w:rPr>
                <w:rFonts w:asciiTheme="minorHAnsi" w:hAnsiTheme="minorHAnsi" w:cstheme="minorBidi"/>
              </w:rPr>
            </w:pPr>
            <w:r w:rsidRPr="070CBDA7">
              <w:rPr>
                <w:rFonts w:asciiTheme="minorHAnsi" w:hAnsiTheme="minorHAnsi" w:cstheme="minorBidi"/>
              </w:rPr>
              <w:t>Incident Management and Investigation Support</w:t>
            </w:r>
          </w:p>
        </w:tc>
        <w:tc>
          <w:tcPr>
            <w:tcW w:w="1559" w:type="dxa"/>
          </w:tcPr>
          <w:p w14:paraId="457837C9"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c>
          <w:tcPr>
            <w:tcW w:w="1559" w:type="dxa"/>
          </w:tcPr>
          <w:p w14:paraId="3000E207"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c>
          <w:tcPr>
            <w:tcW w:w="1508" w:type="dxa"/>
          </w:tcPr>
          <w:p w14:paraId="2CEBEF60"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r>
      <w:tr w:rsidR="000C0D61" w:rsidRPr="007A75DD" w14:paraId="7D4AEF28" w14:textId="77777777">
        <w:tc>
          <w:tcPr>
            <w:tcW w:w="4390" w:type="dxa"/>
          </w:tcPr>
          <w:p w14:paraId="42174EA4" w14:textId="77777777" w:rsidR="000C0D61" w:rsidRPr="007A75DD" w:rsidRDefault="000C0D61" w:rsidP="00443886">
            <w:pPr>
              <w:jc w:val="both"/>
              <w:rPr>
                <w:rFonts w:asciiTheme="minorHAnsi" w:hAnsiTheme="minorHAnsi" w:cstheme="minorBidi"/>
              </w:rPr>
            </w:pPr>
            <w:r w:rsidRPr="070CBDA7">
              <w:rPr>
                <w:rFonts w:asciiTheme="minorHAnsi" w:hAnsiTheme="minorHAnsi" w:cstheme="minorBidi"/>
              </w:rPr>
              <w:t>Corrective Action</w:t>
            </w:r>
          </w:p>
        </w:tc>
        <w:tc>
          <w:tcPr>
            <w:tcW w:w="1559" w:type="dxa"/>
          </w:tcPr>
          <w:p w14:paraId="1330AFA4"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c>
          <w:tcPr>
            <w:tcW w:w="1559" w:type="dxa"/>
          </w:tcPr>
          <w:p w14:paraId="4DCED3AF"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c>
          <w:tcPr>
            <w:tcW w:w="1508" w:type="dxa"/>
          </w:tcPr>
          <w:p w14:paraId="129BC7C1"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r>
      <w:tr w:rsidR="000C0D61" w:rsidRPr="007A75DD" w14:paraId="6D4A484A" w14:textId="77777777">
        <w:tc>
          <w:tcPr>
            <w:tcW w:w="4390" w:type="dxa"/>
          </w:tcPr>
          <w:p w14:paraId="3EC5CCA4" w14:textId="77777777" w:rsidR="000C0D61" w:rsidRPr="007A75DD" w:rsidRDefault="000C0D61" w:rsidP="00443886">
            <w:pPr>
              <w:jc w:val="both"/>
              <w:rPr>
                <w:rFonts w:asciiTheme="minorHAnsi" w:hAnsiTheme="minorHAnsi" w:cstheme="minorBidi"/>
              </w:rPr>
            </w:pPr>
            <w:r w:rsidRPr="070CBDA7">
              <w:rPr>
                <w:rFonts w:asciiTheme="minorHAnsi" w:hAnsiTheme="minorHAnsi" w:cstheme="minorBidi"/>
              </w:rPr>
              <w:t>Assessment</w:t>
            </w:r>
          </w:p>
        </w:tc>
        <w:tc>
          <w:tcPr>
            <w:tcW w:w="1559" w:type="dxa"/>
          </w:tcPr>
          <w:p w14:paraId="454873D6" w14:textId="76533D77" w:rsidR="000C0D61" w:rsidRPr="007A75DD" w:rsidRDefault="003805C8" w:rsidP="00443886">
            <w:pPr>
              <w:jc w:val="center"/>
              <w:rPr>
                <w:rFonts w:asciiTheme="minorHAnsi" w:hAnsiTheme="minorHAnsi" w:cstheme="minorBidi"/>
              </w:rPr>
            </w:pPr>
            <w:r w:rsidRPr="070CBDA7">
              <w:rPr>
                <w:rFonts w:asciiTheme="minorHAnsi" w:hAnsiTheme="minorHAnsi" w:cstheme="minorBidi"/>
              </w:rPr>
              <w:t>-</w:t>
            </w:r>
          </w:p>
        </w:tc>
        <w:tc>
          <w:tcPr>
            <w:tcW w:w="1559" w:type="dxa"/>
          </w:tcPr>
          <w:p w14:paraId="0790C4CB" w14:textId="304065C9" w:rsidR="000C0D61" w:rsidRPr="007A75DD" w:rsidRDefault="004C3166" w:rsidP="00443886">
            <w:pPr>
              <w:jc w:val="center"/>
              <w:rPr>
                <w:rFonts w:asciiTheme="minorHAnsi" w:hAnsiTheme="minorHAnsi" w:cstheme="minorBidi"/>
              </w:rPr>
            </w:pPr>
            <w:r w:rsidRPr="070CBDA7">
              <w:rPr>
                <w:rFonts w:asciiTheme="minorHAnsi" w:hAnsiTheme="minorHAnsi" w:cstheme="minorBidi"/>
              </w:rPr>
              <w:t>-</w:t>
            </w:r>
          </w:p>
        </w:tc>
        <w:tc>
          <w:tcPr>
            <w:tcW w:w="1508" w:type="dxa"/>
          </w:tcPr>
          <w:p w14:paraId="57DA5060" w14:textId="77777777" w:rsidR="000C0D61" w:rsidRPr="007A75DD" w:rsidRDefault="000C0D61" w:rsidP="00443886">
            <w:pPr>
              <w:jc w:val="center"/>
              <w:rPr>
                <w:rFonts w:asciiTheme="minorHAnsi" w:hAnsiTheme="minorHAnsi" w:cstheme="minorBidi"/>
              </w:rPr>
            </w:pPr>
            <w:r w:rsidRPr="070CBDA7">
              <w:rPr>
                <w:rFonts w:asciiTheme="minorHAnsi" w:hAnsiTheme="minorHAnsi" w:cstheme="minorBidi"/>
              </w:rPr>
              <w:t>-</w:t>
            </w:r>
          </w:p>
        </w:tc>
      </w:tr>
      <w:tr w:rsidR="000C0D61" w:rsidRPr="007A75DD" w14:paraId="0A984326" w14:textId="77777777">
        <w:tc>
          <w:tcPr>
            <w:tcW w:w="4390" w:type="dxa"/>
          </w:tcPr>
          <w:p w14:paraId="55C441C8" w14:textId="399E4F68" w:rsidR="000C0D61" w:rsidRPr="007A75DD" w:rsidRDefault="000C0D61" w:rsidP="00443886">
            <w:pPr>
              <w:jc w:val="both"/>
              <w:rPr>
                <w:rFonts w:cstheme="minorBidi"/>
              </w:rPr>
            </w:pPr>
            <w:r w:rsidRPr="070CBDA7">
              <w:rPr>
                <w:rFonts w:asciiTheme="minorHAnsi" w:hAnsiTheme="minorHAnsi" w:cstheme="minorBidi"/>
              </w:rPr>
              <w:t>Issue Approvals/Certification</w:t>
            </w:r>
          </w:p>
        </w:tc>
        <w:tc>
          <w:tcPr>
            <w:tcW w:w="1559" w:type="dxa"/>
          </w:tcPr>
          <w:p w14:paraId="651C7C15" w14:textId="5E066B5C" w:rsidR="000C0D61" w:rsidRPr="00AB0755" w:rsidRDefault="003805C8" w:rsidP="00443886">
            <w:pPr>
              <w:jc w:val="center"/>
              <w:rPr>
                <w:rFonts w:asciiTheme="minorHAnsi" w:hAnsiTheme="minorHAnsi" w:cstheme="minorBidi"/>
              </w:rPr>
            </w:pPr>
            <w:r w:rsidRPr="070CBDA7">
              <w:rPr>
                <w:rFonts w:asciiTheme="minorHAnsi" w:hAnsiTheme="minorHAnsi" w:cstheme="minorBidi"/>
              </w:rPr>
              <w:t>0.</w:t>
            </w:r>
            <w:r w:rsidR="009E1AA4" w:rsidRPr="070CBDA7">
              <w:rPr>
                <w:rFonts w:asciiTheme="minorHAnsi" w:hAnsiTheme="minorHAnsi" w:cstheme="minorBidi"/>
              </w:rPr>
              <w:t>560</w:t>
            </w:r>
          </w:p>
        </w:tc>
        <w:tc>
          <w:tcPr>
            <w:tcW w:w="1559" w:type="dxa"/>
          </w:tcPr>
          <w:p w14:paraId="10D11716" w14:textId="17C9DFE5" w:rsidR="000C0D61" w:rsidRPr="00AB0755" w:rsidRDefault="00623FD3" w:rsidP="00443886">
            <w:pPr>
              <w:jc w:val="center"/>
              <w:rPr>
                <w:rFonts w:asciiTheme="minorHAnsi" w:hAnsiTheme="minorHAnsi" w:cstheme="minorBidi"/>
              </w:rPr>
            </w:pPr>
            <w:r w:rsidRPr="070CBDA7">
              <w:rPr>
                <w:rFonts w:asciiTheme="minorHAnsi" w:hAnsiTheme="minorHAnsi" w:cstheme="minorBidi"/>
              </w:rPr>
              <w:t>0.151</w:t>
            </w:r>
          </w:p>
        </w:tc>
        <w:tc>
          <w:tcPr>
            <w:tcW w:w="1508" w:type="dxa"/>
          </w:tcPr>
          <w:p w14:paraId="406F5838" w14:textId="5C198FCF" w:rsidR="000C0D61" w:rsidRPr="007A75DD" w:rsidRDefault="0042208B" w:rsidP="00443886">
            <w:pPr>
              <w:jc w:val="center"/>
              <w:rPr>
                <w:rFonts w:cstheme="minorBidi"/>
              </w:rPr>
            </w:pPr>
            <w:r w:rsidRPr="070CBDA7">
              <w:rPr>
                <w:rFonts w:cstheme="minorBidi"/>
              </w:rPr>
              <w:t>-</w:t>
            </w:r>
          </w:p>
        </w:tc>
      </w:tr>
      <w:tr w:rsidR="003114D8" w:rsidRPr="003805C8" w14:paraId="657100EA" w14:textId="77777777">
        <w:tc>
          <w:tcPr>
            <w:tcW w:w="4390" w:type="dxa"/>
          </w:tcPr>
          <w:p w14:paraId="6114EB3E" w14:textId="5DC3E5DC" w:rsidR="003114D8" w:rsidRPr="003805C8" w:rsidRDefault="003114D8" w:rsidP="00443886">
            <w:pPr>
              <w:jc w:val="both"/>
              <w:rPr>
                <w:rFonts w:asciiTheme="minorHAnsi" w:hAnsiTheme="minorHAnsi" w:cstheme="minorBidi"/>
              </w:rPr>
            </w:pPr>
            <w:r w:rsidRPr="070CBDA7">
              <w:rPr>
                <w:rFonts w:asciiTheme="minorHAnsi" w:hAnsiTheme="minorHAnsi" w:cstheme="minorBidi"/>
              </w:rPr>
              <w:t>Audit</w:t>
            </w:r>
          </w:p>
        </w:tc>
        <w:tc>
          <w:tcPr>
            <w:tcW w:w="1559" w:type="dxa"/>
          </w:tcPr>
          <w:p w14:paraId="7A9199C3" w14:textId="568C4918" w:rsidR="003114D8" w:rsidRPr="003805C8" w:rsidRDefault="003805C8" w:rsidP="00443886">
            <w:pPr>
              <w:jc w:val="center"/>
              <w:rPr>
                <w:rFonts w:asciiTheme="minorHAnsi" w:hAnsiTheme="minorHAnsi" w:cstheme="minorBidi"/>
              </w:rPr>
            </w:pPr>
            <w:r w:rsidRPr="070CBDA7">
              <w:rPr>
                <w:rFonts w:asciiTheme="minorHAnsi" w:hAnsiTheme="minorHAnsi" w:cstheme="minorBidi"/>
              </w:rPr>
              <w:t>0.076</w:t>
            </w:r>
          </w:p>
        </w:tc>
        <w:tc>
          <w:tcPr>
            <w:tcW w:w="1559" w:type="dxa"/>
          </w:tcPr>
          <w:p w14:paraId="3EC4D1CA" w14:textId="0033485C" w:rsidR="003114D8" w:rsidRPr="003805C8" w:rsidRDefault="00AF710A" w:rsidP="00443886">
            <w:pPr>
              <w:jc w:val="center"/>
              <w:rPr>
                <w:rFonts w:asciiTheme="minorHAnsi" w:hAnsiTheme="minorHAnsi" w:cstheme="minorBidi"/>
              </w:rPr>
            </w:pPr>
            <w:r w:rsidRPr="070CBDA7">
              <w:rPr>
                <w:rFonts w:asciiTheme="minorHAnsi" w:hAnsiTheme="minorHAnsi" w:cstheme="minorBidi"/>
              </w:rPr>
              <w:t>-</w:t>
            </w:r>
          </w:p>
        </w:tc>
        <w:tc>
          <w:tcPr>
            <w:tcW w:w="1508" w:type="dxa"/>
          </w:tcPr>
          <w:p w14:paraId="1FB10747" w14:textId="4608ACBA" w:rsidR="003114D8" w:rsidRPr="003805C8" w:rsidRDefault="0042208B" w:rsidP="00443886">
            <w:pPr>
              <w:jc w:val="center"/>
              <w:rPr>
                <w:rFonts w:asciiTheme="minorHAnsi" w:hAnsiTheme="minorHAnsi" w:cstheme="minorBidi"/>
              </w:rPr>
            </w:pPr>
            <w:r w:rsidRPr="070CBDA7">
              <w:rPr>
                <w:rFonts w:asciiTheme="minorHAnsi" w:hAnsiTheme="minorHAnsi" w:cstheme="minorBidi"/>
              </w:rPr>
              <w:t>-</w:t>
            </w:r>
          </w:p>
        </w:tc>
      </w:tr>
      <w:tr w:rsidR="000C0D61" w:rsidRPr="007A75DD" w14:paraId="241DD955" w14:textId="77777777">
        <w:tc>
          <w:tcPr>
            <w:tcW w:w="4390" w:type="dxa"/>
          </w:tcPr>
          <w:p w14:paraId="0E54C460" w14:textId="4731C9B4" w:rsidR="000C0D61" w:rsidRPr="00482189" w:rsidRDefault="000C0D61" w:rsidP="00443886">
            <w:pPr>
              <w:jc w:val="both"/>
              <w:rPr>
                <w:rFonts w:asciiTheme="minorHAnsi" w:hAnsiTheme="minorHAnsi" w:cstheme="minorBidi"/>
                <w:b/>
                <w:bCs/>
              </w:rPr>
            </w:pPr>
            <w:r w:rsidRPr="070CBDA7">
              <w:rPr>
                <w:rFonts w:asciiTheme="minorHAnsi" w:hAnsiTheme="minorHAnsi" w:cstheme="minorBidi"/>
                <w:b/>
              </w:rPr>
              <w:t>Total</w:t>
            </w:r>
          </w:p>
        </w:tc>
        <w:tc>
          <w:tcPr>
            <w:tcW w:w="1559" w:type="dxa"/>
          </w:tcPr>
          <w:p w14:paraId="64FE59DC" w14:textId="25C630FD" w:rsidR="000C0D61" w:rsidRPr="007A75DD" w:rsidRDefault="001A4C46" w:rsidP="00443886">
            <w:pPr>
              <w:jc w:val="center"/>
              <w:rPr>
                <w:rFonts w:asciiTheme="minorHAnsi" w:hAnsiTheme="minorHAnsi" w:cstheme="minorBidi"/>
                <w:b/>
              </w:rPr>
            </w:pPr>
            <w:r w:rsidRPr="070CBDA7">
              <w:rPr>
                <w:rFonts w:asciiTheme="minorHAnsi" w:hAnsiTheme="minorHAnsi" w:cstheme="minorBidi"/>
                <w:b/>
              </w:rPr>
              <w:t>1.</w:t>
            </w:r>
            <w:r w:rsidR="00E84B01" w:rsidRPr="070CBDA7">
              <w:rPr>
                <w:rFonts w:asciiTheme="minorHAnsi" w:hAnsiTheme="minorHAnsi" w:cstheme="minorBidi"/>
                <w:b/>
              </w:rPr>
              <w:t>108</w:t>
            </w:r>
          </w:p>
        </w:tc>
        <w:tc>
          <w:tcPr>
            <w:tcW w:w="1559" w:type="dxa"/>
          </w:tcPr>
          <w:p w14:paraId="0CCA359A" w14:textId="157F26BB" w:rsidR="000C0D61" w:rsidRPr="007A75DD" w:rsidRDefault="00623FD3" w:rsidP="00443886">
            <w:pPr>
              <w:jc w:val="center"/>
              <w:rPr>
                <w:rFonts w:asciiTheme="minorHAnsi" w:hAnsiTheme="minorHAnsi" w:cstheme="minorBidi"/>
                <w:b/>
              </w:rPr>
            </w:pPr>
            <w:r w:rsidRPr="070CBDA7">
              <w:rPr>
                <w:rFonts w:asciiTheme="minorHAnsi" w:hAnsiTheme="minorHAnsi" w:cstheme="minorBidi"/>
                <w:b/>
              </w:rPr>
              <w:t>0.272</w:t>
            </w:r>
          </w:p>
        </w:tc>
        <w:tc>
          <w:tcPr>
            <w:tcW w:w="1508" w:type="dxa"/>
          </w:tcPr>
          <w:p w14:paraId="4476FEE8" w14:textId="77777777" w:rsidR="000C0D61" w:rsidRPr="007A75DD" w:rsidRDefault="000C0D61" w:rsidP="00443886">
            <w:pPr>
              <w:jc w:val="center"/>
              <w:rPr>
                <w:rFonts w:asciiTheme="minorHAnsi" w:hAnsiTheme="minorHAnsi" w:cstheme="minorBidi"/>
                <w:b/>
              </w:rPr>
            </w:pPr>
            <w:r w:rsidRPr="070CBDA7">
              <w:rPr>
                <w:rFonts w:asciiTheme="minorHAnsi" w:hAnsiTheme="minorHAnsi" w:cstheme="minorBidi"/>
                <w:b/>
              </w:rPr>
              <w:t>-</w:t>
            </w:r>
          </w:p>
        </w:tc>
      </w:tr>
    </w:tbl>
    <w:p w14:paraId="78158C7E" w14:textId="18853B85" w:rsidR="009C61C6" w:rsidRPr="00665205" w:rsidRDefault="009C61C6" w:rsidP="00000F28">
      <w:pPr>
        <w:spacing w:before="320" w:after="240"/>
        <w:jc w:val="both"/>
        <w:rPr>
          <w:sz w:val="16"/>
          <w:szCs w:val="16"/>
        </w:rPr>
      </w:pPr>
      <w:r w:rsidRPr="070CBDA7">
        <w:rPr>
          <w:sz w:val="16"/>
          <w:szCs w:val="16"/>
        </w:rPr>
        <w:t xml:space="preserve">* </w:t>
      </w:r>
      <w:r w:rsidR="007409C7" w:rsidRPr="070CBDA7">
        <w:rPr>
          <w:sz w:val="16"/>
          <w:szCs w:val="16"/>
        </w:rPr>
        <w:t>Indirect costs are calculated a</w:t>
      </w:r>
      <w:r w:rsidR="006740DD" w:rsidRPr="070CBDA7">
        <w:rPr>
          <w:sz w:val="16"/>
          <w:szCs w:val="16"/>
        </w:rPr>
        <w:t>s</w:t>
      </w:r>
      <w:r w:rsidR="007409C7" w:rsidRPr="070CBDA7">
        <w:rPr>
          <w:sz w:val="16"/>
          <w:szCs w:val="16"/>
        </w:rPr>
        <w:t xml:space="preserve"> </w:t>
      </w:r>
      <w:r w:rsidR="0050106D" w:rsidRPr="070CBDA7">
        <w:rPr>
          <w:sz w:val="16"/>
          <w:szCs w:val="16"/>
        </w:rPr>
        <w:t xml:space="preserve">approximately </w:t>
      </w:r>
      <w:r w:rsidR="005C0EF9" w:rsidRPr="070CBDA7">
        <w:rPr>
          <w:sz w:val="16"/>
          <w:szCs w:val="16"/>
        </w:rPr>
        <w:t>27</w:t>
      </w:r>
      <w:r w:rsidR="007409C7" w:rsidRPr="070CBDA7">
        <w:rPr>
          <w:sz w:val="16"/>
          <w:szCs w:val="16"/>
        </w:rPr>
        <w:t xml:space="preserve">% of </w:t>
      </w:r>
      <w:r w:rsidR="00A15377" w:rsidRPr="070CBDA7">
        <w:rPr>
          <w:sz w:val="16"/>
          <w:szCs w:val="16"/>
        </w:rPr>
        <w:t>d</w:t>
      </w:r>
      <w:r w:rsidR="007409C7" w:rsidRPr="070CBDA7">
        <w:rPr>
          <w:sz w:val="16"/>
          <w:szCs w:val="16"/>
        </w:rPr>
        <w:t xml:space="preserve">irect </w:t>
      </w:r>
      <w:r w:rsidR="005A1A3E" w:rsidRPr="070CBDA7">
        <w:rPr>
          <w:sz w:val="16"/>
          <w:szCs w:val="16"/>
        </w:rPr>
        <w:t xml:space="preserve">employee </w:t>
      </w:r>
      <w:r w:rsidR="00A15377" w:rsidRPr="070CBDA7">
        <w:rPr>
          <w:sz w:val="16"/>
          <w:szCs w:val="16"/>
        </w:rPr>
        <w:t>e</w:t>
      </w:r>
      <w:r w:rsidR="007409C7" w:rsidRPr="070CBDA7">
        <w:rPr>
          <w:sz w:val="16"/>
          <w:szCs w:val="16"/>
        </w:rPr>
        <w:t>xpenses.</w:t>
      </w:r>
    </w:p>
    <w:p w14:paraId="478FAFF7" w14:textId="31CFB4D8" w:rsidR="00DD47F8" w:rsidRPr="00A03ECE" w:rsidRDefault="00DD47F8" w:rsidP="004E3966">
      <w:pPr>
        <w:spacing w:before="320" w:after="240"/>
        <w:jc w:val="both"/>
        <w:rPr>
          <w:iCs/>
        </w:rPr>
      </w:pPr>
      <w:r w:rsidRPr="00A03ECE">
        <w:rPr>
          <w:iCs/>
        </w:rPr>
        <w:t>Direct cost</w:t>
      </w:r>
      <w:r w:rsidR="0003025C">
        <w:rPr>
          <w:iCs/>
        </w:rPr>
        <w:t>s</w:t>
      </w:r>
      <w:r w:rsidRPr="00A03ECE">
        <w:rPr>
          <w:iCs/>
        </w:rPr>
        <w:t xml:space="preserve"> </w:t>
      </w:r>
      <w:r w:rsidR="00A80087">
        <w:rPr>
          <w:iCs/>
        </w:rPr>
        <w:t>incurred</w:t>
      </w:r>
      <w:r w:rsidR="00A80087" w:rsidRPr="00A03ECE">
        <w:rPr>
          <w:iCs/>
        </w:rPr>
        <w:t xml:space="preserve"> </w:t>
      </w:r>
      <w:r w:rsidRPr="00A03ECE">
        <w:rPr>
          <w:iCs/>
        </w:rPr>
        <w:t xml:space="preserve">by the </w:t>
      </w:r>
      <w:r w:rsidR="00500D1E">
        <w:rPr>
          <w:iCs/>
        </w:rPr>
        <w:t xml:space="preserve">department </w:t>
      </w:r>
      <w:r w:rsidR="00A80087">
        <w:rPr>
          <w:iCs/>
        </w:rPr>
        <w:t xml:space="preserve">and </w:t>
      </w:r>
      <w:r w:rsidR="005C0EF9">
        <w:rPr>
          <w:iCs/>
        </w:rPr>
        <w:t>which are</w:t>
      </w:r>
      <w:r w:rsidRPr="00A03ECE">
        <w:rPr>
          <w:iCs/>
        </w:rPr>
        <w:t xml:space="preserve"> included </w:t>
      </w:r>
      <w:r w:rsidR="0003025C">
        <w:rPr>
          <w:iCs/>
        </w:rPr>
        <w:t xml:space="preserve">in the </w:t>
      </w:r>
      <w:r w:rsidRPr="00A03ECE">
        <w:rPr>
          <w:iCs/>
        </w:rPr>
        <w:t>charging arrangement cover:</w:t>
      </w:r>
    </w:p>
    <w:p w14:paraId="6E5E7536" w14:textId="0827CC95" w:rsidR="00DD47F8" w:rsidRPr="00902E40" w:rsidRDefault="006B6E58" w:rsidP="004E3966">
      <w:pPr>
        <w:numPr>
          <w:ilvl w:val="0"/>
          <w:numId w:val="7"/>
        </w:numPr>
        <w:spacing w:before="320" w:after="240"/>
        <w:jc w:val="both"/>
      </w:pPr>
      <w:r w:rsidRPr="070CBDA7">
        <w:t>t</w:t>
      </w:r>
      <w:r w:rsidR="00DD47F8" w:rsidRPr="070CBDA7">
        <w:t>he cost of employee salaries and salary on-cost</w:t>
      </w:r>
      <w:r w:rsidR="000D70E5" w:rsidRPr="070CBDA7">
        <w:t>s</w:t>
      </w:r>
      <w:r w:rsidR="00DD47F8" w:rsidRPr="070CBDA7">
        <w:t xml:space="preserve">, such as superannuation loadings and long service leave loadings. Employee costs are allocated to the charging arrangement based on the amount of effort </w:t>
      </w:r>
      <w:r w:rsidR="00122C6F" w:rsidRPr="070CBDA7">
        <w:t>a</w:t>
      </w:r>
      <w:r w:rsidR="00E2661B" w:rsidRPr="070CBDA7">
        <w:t>pplied</w:t>
      </w:r>
      <w:r w:rsidR="00122C6F" w:rsidRPr="070CBDA7">
        <w:t xml:space="preserve"> </w:t>
      </w:r>
      <w:r w:rsidR="00DD47F8" w:rsidRPr="070CBDA7">
        <w:t xml:space="preserve">to the </w:t>
      </w:r>
      <w:r w:rsidR="00123234" w:rsidRPr="070CBDA7">
        <w:t xml:space="preserve">CBD </w:t>
      </w:r>
      <w:r w:rsidR="00DC33C5" w:rsidRPr="070CBDA7">
        <w:t>p</w:t>
      </w:r>
      <w:r w:rsidR="00123234" w:rsidRPr="070CBDA7">
        <w:t>rogram</w:t>
      </w:r>
      <w:r w:rsidR="0025671D" w:rsidRPr="070CBDA7">
        <w:t xml:space="preserve"> </w:t>
      </w:r>
      <w:r w:rsidR="00122C6F" w:rsidRPr="070CBDA7">
        <w:t xml:space="preserve">from department </w:t>
      </w:r>
      <w:r w:rsidR="00DD47F8" w:rsidRPr="070CBDA7">
        <w:t>staff.</w:t>
      </w:r>
    </w:p>
    <w:p w14:paraId="38C39AB2" w14:textId="65FD2BCD" w:rsidR="00DD47F8" w:rsidRPr="000D70E5" w:rsidRDefault="006B6E58" w:rsidP="004E3966">
      <w:pPr>
        <w:numPr>
          <w:ilvl w:val="0"/>
          <w:numId w:val="7"/>
        </w:numPr>
        <w:spacing w:before="320" w:after="240"/>
        <w:ind w:left="714" w:hanging="357"/>
        <w:jc w:val="both"/>
      </w:pPr>
      <w:r w:rsidRPr="070CBDA7">
        <w:t>t</w:t>
      </w:r>
      <w:r w:rsidR="00DD47F8" w:rsidRPr="070CBDA7">
        <w:t xml:space="preserve">he cost of materials and services supplied to the department in direct relation to </w:t>
      </w:r>
      <w:r w:rsidR="00F417DB" w:rsidRPr="070CBDA7">
        <w:t xml:space="preserve">CBD </w:t>
      </w:r>
      <w:r w:rsidR="00E868FD" w:rsidRPr="070CBDA7">
        <w:t>activities</w:t>
      </w:r>
      <w:r w:rsidR="00DD47F8" w:rsidRPr="070CBDA7">
        <w:t>. Th</w:t>
      </w:r>
      <w:r w:rsidR="00CB4E20" w:rsidRPr="070CBDA7">
        <w:t>is</w:t>
      </w:r>
      <w:r w:rsidR="00DD47F8" w:rsidRPr="070CBDA7">
        <w:t xml:space="preserve"> include</w:t>
      </w:r>
      <w:r w:rsidR="00CB4E20" w:rsidRPr="070CBDA7">
        <w:t>s</w:t>
      </w:r>
      <w:r w:rsidR="00DD47F8" w:rsidRPr="070CBDA7">
        <w:t xml:space="preserve"> </w:t>
      </w:r>
      <w:r w:rsidR="000D70E5" w:rsidRPr="070CBDA7">
        <w:t xml:space="preserve">labour hire, consultancy expertise and provision of </w:t>
      </w:r>
      <w:r w:rsidR="001D3D80" w:rsidRPr="070CBDA7">
        <w:t xml:space="preserve">communication, </w:t>
      </w:r>
      <w:r w:rsidR="00D749A1" w:rsidRPr="070CBDA7">
        <w:t>data,</w:t>
      </w:r>
      <w:r w:rsidR="001D3D80" w:rsidRPr="070CBDA7">
        <w:t xml:space="preserve"> and </w:t>
      </w:r>
      <w:r w:rsidR="000D70E5" w:rsidRPr="070CBDA7">
        <w:t>ICT services.</w:t>
      </w:r>
    </w:p>
    <w:p w14:paraId="43125EBA" w14:textId="26158EA2" w:rsidR="00DD47F8" w:rsidRPr="00B559FD" w:rsidRDefault="00DD47F8" w:rsidP="004E3966">
      <w:pPr>
        <w:spacing w:before="320" w:after="240"/>
        <w:jc w:val="both"/>
        <w:rPr>
          <w:iCs/>
        </w:rPr>
      </w:pPr>
      <w:r w:rsidRPr="00B559FD">
        <w:rPr>
          <w:iCs/>
        </w:rPr>
        <w:t xml:space="preserve">Indirect costs are also included in the charging arrangement to fund the necessary contribution to </w:t>
      </w:r>
      <w:r w:rsidR="00F417DB">
        <w:rPr>
          <w:iCs/>
        </w:rPr>
        <w:t>CBD</w:t>
      </w:r>
      <w:r w:rsidR="00011416">
        <w:rPr>
          <w:iCs/>
        </w:rPr>
        <w:t xml:space="preserve"> </w:t>
      </w:r>
      <w:r w:rsidR="00E868FD">
        <w:rPr>
          <w:iCs/>
        </w:rPr>
        <w:t xml:space="preserve">activities </w:t>
      </w:r>
      <w:r w:rsidRPr="00B559FD">
        <w:rPr>
          <w:iCs/>
        </w:rPr>
        <w:t>from the department’s enabling services functions. These enabling services provide infrastructure, expertise and support human resource, financial management and information and communications needs.</w:t>
      </w:r>
    </w:p>
    <w:p w14:paraId="32AC957F" w14:textId="6BF5C84D" w:rsidR="002A01FB" w:rsidRPr="002A01FB" w:rsidRDefault="00DD47F8" w:rsidP="004E3966">
      <w:pPr>
        <w:spacing w:before="320" w:after="240"/>
        <w:jc w:val="both"/>
        <w:rPr>
          <w:iCs/>
        </w:rPr>
      </w:pPr>
      <w:r w:rsidRPr="003F3136">
        <w:rPr>
          <w:iCs/>
        </w:rPr>
        <w:t xml:space="preserve">There </w:t>
      </w:r>
      <w:proofErr w:type="gramStart"/>
      <w:r w:rsidR="007A0015">
        <w:rPr>
          <w:iCs/>
        </w:rPr>
        <w:t>are</w:t>
      </w:r>
      <w:proofErr w:type="gramEnd"/>
      <w:r w:rsidR="007A0015">
        <w:rPr>
          <w:iCs/>
        </w:rPr>
        <w:t xml:space="preserve"> </w:t>
      </w:r>
      <w:r w:rsidRPr="003F3136">
        <w:rPr>
          <w:iCs/>
        </w:rPr>
        <w:t xml:space="preserve">no capital costs included in the </w:t>
      </w:r>
      <w:r w:rsidR="00105A5F">
        <w:rPr>
          <w:iCs/>
        </w:rPr>
        <w:t xml:space="preserve">current </w:t>
      </w:r>
      <w:r w:rsidRPr="003F3136">
        <w:rPr>
          <w:iCs/>
        </w:rPr>
        <w:t>charging arrangement.</w:t>
      </w:r>
      <w:r w:rsidR="002A01FB">
        <w:rPr>
          <w:iCs/>
        </w:rPr>
        <w:t xml:space="preserve"> </w:t>
      </w:r>
      <w:r w:rsidR="002A01FB" w:rsidRPr="002A01FB">
        <w:rPr>
          <w:iCs/>
        </w:rPr>
        <w:t xml:space="preserve">Should capital investment requirements increase significantly in future years, the CBD </w:t>
      </w:r>
      <w:r w:rsidR="00DC33C5">
        <w:t>p</w:t>
      </w:r>
      <w:r w:rsidR="002A01FB">
        <w:t>rogram</w:t>
      </w:r>
      <w:r w:rsidR="002A01FB" w:rsidRPr="002A01FB">
        <w:rPr>
          <w:iCs/>
        </w:rPr>
        <w:t xml:space="preserve"> cost model will be revised.</w:t>
      </w:r>
    </w:p>
    <w:p w14:paraId="29CA69E3" w14:textId="64B6A4BA" w:rsidR="005637F8" w:rsidRPr="003F3136" w:rsidRDefault="005637F8" w:rsidP="004E3966">
      <w:pPr>
        <w:spacing w:before="320" w:after="240"/>
        <w:jc w:val="both"/>
        <w:rPr>
          <w:iCs/>
        </w:rPr>
      </w:pPr>
      <w:r w:rsidRPr="003F3136">
        <w:rPr>
          <w:iCs/>
        </w:rPr>
        <w:t xml:space="preserve">The direct and indirect costs are allocated to the outputs based on the effort applied toward those outputs. Employee costs, including indirect costs, are allocated to the </w:t>
      </w:r>
      <w:r w:rsidRPr="006D0539">
        <w:rPr>
          <w:iCs/>
        </w:rPr>
        <w:t xml:space="preserve">outputs based on </w:t>
      </w:r>
      <w:r w:rsidR="006D0539" w:rsidRPr="006D0539">
        <w:rPr>
          <w:iCs/>
        </w:rPr>
        <w:t>management estimates of effort</w:t>
      </w:r>
      <w:r w:rsidRPr="006D0539">
        <w:rPr>
          <w:iCs/>
        </w:rPr>
        <w:t>. Supplier costs are allocated to the outputs using a similar methodology to that for employee costs.</w:t>
      </w:r>
    </w:p>
    <w:p w14:paraId="5266EB49" w14:textId="1666E5FD" w:rsidR="006D0539" w:rsidRDefault="00913C74" w:rsidP="004E3966">
      <w:pPr>
        <w:spacing w:before="320" w:after="240"/>
        <w:jc w:val="both"/>
      </w:pPr>
      <w:r w:rsidRPr="070CBDA7">
        <w:t xml:space="preserve">The main cost driver for the </w:t>
      </w:r>
      <w:r w:rsidR="00F558A0" w:rsidRPr="070CBDA7">
        <w:t xml:space="preserve">CBD </w:t>
      </w:r>
      <w:r w:rsidR="004E5FA2" w:rsidRPr="070CBDA7">
        <w:t xml:space="preserve">charging arrangement is the </w:t>
      </w:r>
      <w:r w:rsidR="00587FFB" w:rsidRPr="070CBDA7">
        <w:t xml:space="preserve">number of commercial </w:t>
      </w:r>
      <w:r w:rsidR="00F41E77" w:rsidRPr="070CBDA7">
        <w:t xml:space="preserve">buildings that are subject to regulation and the risk that </w:t>
      </w:r>
      <w:r w:rsidR="007C1FDA" w:rsidRPr="070CBDA7">
        <w:t xml:space="preserve">non-compliant </w:t>
      </w:r>
      <w:r w:rsidR="00941021" w:rsidRPr="070CBDA7">
        <w:t xml:space="preserve">buildings are offered for </w:t>
      </w:r>
      <w:r w:rsidR="00941021" w:rsidRPr="002D62EF">
        <w:rPr>
          <w:rFonts w:eastAsia="Calibri" w:cs="Arial"/>
        </w:rPr>
        <w:t xml:space="preserve">sale, </w:t>
      </w:r>
      <w:r w:rsidR="00D749A1" w:rsidRPr="002D62EF">
        <w:rPr>
          <w:rFonts w:eastAsia="Calibri" w:cs="Arial"/>
        </w:rPr>
        <w:t>lease,</w:t>
      </w:r>
      <w:r w:rsidR="00941021" w:rsidRPr="002D62EF">
        <w:rPr>
          <w:rFonts w:eastAsia="Calibri" w:cs="Arial"/>
        </w:rPr>
        <w:t xml:space="preserve"> or sublease</w:t>
      </w:r>
      <w:r w:rsidR="004E5FA2" w:rsidRPr="070CBDA7">
        <w:t>.</w:t>
      </w:r>
    </w:p>
    <w:p w14:paraId="48343B5A" w14:textId="13D977CE" w:rsidR="00937E39" w:rsidRDefault="00C4307D" w:rsidP="00000F28">
      <w:pPr>
        <w:spacing w:before="320" w:after="240"/>
        <w:jc w:val="both"/>
        <w:rPr>
          <w:iCs/>
        </w:rPr>
      </w:pPr>
      <w:r>
        <w:rPr>
          <w:iCs/>
        </w:rPr>
        <w:lastRenderedPageBreak/>
        <w:t xml:space="preserve">The </w:t>
      </w:r>
      <w:r w:rsidRPr="00C4307D">
        <w:rPr>
          <w:iCs/>
        </w:rPr>
        <w:t>Issue Approvals</w:t>
      </w:r>
      <w:r w:rsidR="002D62EF">
        <w:rPr>
          <w:iCs/>
        </w:rPr>
        <w:t xml:space="preserve"> and </w:t>
      </w:r>
      <w:r w:rsidRPr="00C4307D">
        <w:rPr>
          <w:iCs/>
        </w:rPr>
        <w:t>Certification</w:t>
      </w:r>
      <w:r>
        <w:rPr>
          <w:iCs/>
        </w:rPr>
        <w:t xml:space="preserve"> </w:t>
      </w:r>
      <w:r w:rsidR="00783FCF" w:rsidRPr="003F3136">
        <w:rPr>
          <w:iCs/>
        </w:rPr>
        <w:t>output</w:t>
      </w:r>
      <w:r>
        <w:rPr>
          <w:iCs/>
        </w:rPr>
        <w:t xml:space="preserve"> </w:t>
      </w:r>
      <w:r w:rsidR="00783FCF" w:rsidRPr="003F3136">
        <w:rPr>
          <w:iCs/>
        </w:rPr>
        <w:t>and associated costs are variable in relation to the volume of</w:t>
      </w:r>
      <w:r w:rsidR="00B62696">
        <w:rPr>
          <w:iCs/>
        </w:rPr>
        <w:t xml:space="preserve"> </w:t>
      </w:r>
      <w:r w:rsidR="00783FCF" w:rsidRPr="003F3136">
        <w:rPr>
          <w:iCs/>
        </w:rPr>
        <w:t xml:space="preserve">applications. </w:t>
      </w:r>
      <w:r w:rsidR="00B62696">
        <w:rPr>
          <w:iCs/>
        </w:rPr>
        <w:t>This output is</w:t>
      </w:r>
      <w:r w:rsidR="00783FCF" w:rsidRPr="003F3136">
        <w:rPr>
          <w:iCs/>
        </w:rPr>
        <w:t xml:space="preserve"> delivered in direct response to the level of industry activity and demand. Costs are allocated based on the level of effort required from </w:t>
      </w:r>
      <w:r w:rsidR="00B62696">
        <w:rPr>
          <w:iCs/>
        </w:rPr>
        <w:t>CBD</w:t>
      </w:r>
      <w:r w:rsidR="00783FCF" w:rsidRPr="003F3136">
        <w:rPr>
          <w:iCs/>
        </w:rPr>
        <w:t xml:space="preserve"> staff to meet that demand.</w:t>
      </w:r>
    </w:p>
    <w:p w14:paraId="16D5CB75" w14:textId="77777777" w:rsidR="00937E39" w:rsidRPr="003F3136" w:rsidRDefault="00937E39" w:rsidP="00000F28">
      <w:pPr>
        <w:spacing w:before="320" w:after="240"/>
        <w:jc w:val="both"/>
        <w:rPr>
          <w:iCs/>
        </w:rPr>
      </w:pPr>
      <w:r w:rsidRPr="003F3136">
        <w:rPr>
          <w:iCs/>
        </w:rPr>
        <w:t>The level of effort required by and allocated to the outputs is monitored throughout the year and adjusted annually where required.</w:t>
      </w:r>
    </w:p>
    <w:p w14:paraId="4F17482E" w14:textId="0491E4B8" w:rsidR="00A41FC9" w:rsidRDefault="007327A6" w:rsidP="00000F28">
      <w:pPr>
        <w:pStyle w:val="Heading2"/>
        <w:numPr>
          <w:ilvl w:val="1"/>
          <w:numId w:val="2"/>
        </w:numPr>
        <w:spacing w:before="320" w:after="240"/>
        <w:ind w:left="426"/>
        <w:jc w:val="both"/>
      </w:pPr>
      <w:r>
        <w:t xml:space="preserve"> </w:t>
      </w:r>
      <w:bookmarkStart w:id="15" w:name="_Toc214441558"/>
      <w:r w:rsidR="00A41FC9" w:rsidRPr="00D57921">
        <w:t xml:space="preserve">Design of the regulatory </w:t>
      </w:r>
      <w:r w:rsidR="006E1600">
        <w:t>charge</w:t>
      </w:r>
      <w:bookmarkEnd w:id="15"/>
    </w:p>
    <w:p w14:paraId="5335CF75" w14:textId="307036F7" w:rsidR="00D61372" w:rsidRDefault="00D61372" w:rsidP="00000F28">
      <w:pPr>
        <w:spacing w:before="320" w:after="240"/>
        <w:jc w:val="both"/>
        <w:rPr>
          <w:color w:val="212529"/>
          <w:shd w:val="clear" w:color="auto" w:fill="FFFFFF"/>
        </w:rPr>
      </w:pPr>
      <w:r w:rsidRPr="070CBDA7">
        <w:rPr>
          <w:color w:val="212529"/>
          <w:shd w:val="clear" w:color="auto" w:fill="FFFFFF"/>
        </w:rPr>
        <w:t xml:space="preserve">The relationship between outputs and the charge types </w:t>
      </w:r>
      <w:r w:rsidR="00947152" w:rsidRPr="070CBDA7">
        <w:rPr>
          <w:color w:val="212529"/>
          <w:shd w:val="clear" w:color="auto" w:fill="FFFFFF"/>
        </w:rPr>
        <w:t xml:space="preserve">is </w:t>
      </w:r>
      <w:r w:rsidRPr="070CBDA7">
        <w:rPr>
          <w:color w:val="212529"/>
          <w:shd w:val="clear" w:color="auto" w:fill="FFFFFF"/>
        </w:rPr>
        <w:t>summarised in Table 3.3.1 below.</w:t>
      </w:r>
    </w:p>
    <w:p w14:paraId="14EFD74B" w14:textId="7DB95A6D" w:rsidR="004E0B32" w:rsidRPr="006C09E2" w:rsidRDefault="006C09E2" w:rsidP="00000F28">
      <w:pPr>
        <w:spacing w:before="320" w:after="240"/>
        <w:jc w:val="both"/>
        <w:rPr>
          <w:b/>
          <w:bCs/>
        </w:rPr>
      </w:pPr>
      <w:r w:rsidRPr="00EE62C7">
        <w:rPr>
          <w:b/>
          <w:bCs/>
        </w:rPr>
        <w:t>Table 3.3.1 – relationship of output to charge type</w:t>
      </w:r>
    </w:p>
    <w:tbl>
      <w:tblPr>
        <w:tblStyle w:val="TableGrid"/>
        <w:tblW w:w="9209" w:type="dxa"/>
        <w:tblLayout w:type="fixed"/>
        <w:tblLook w:val="04A0" w:firstRow="1" w:lastRow="0" w:firstColumn="1" w:lastColumn="0" w:noHBand="0" w:noVBand="1"/>
      </w:tblPr>
      <w:tblGrid>
        <w:gridCol w:w="3397"/>
        <w:gridCol w:w="3969"/>
        <w:gridCol w:w="1843"/>
      </w:tblGrid>
      <w:tr w:rsidR="00A37E4B" w:rsidRPr="007A75DD" w14:paraId="00FB835B" w14:textId="77777777" w:rsidTr="00FD300B">
        <w:tc>
          <w:tcPr>
            <w:tcW w:w="3397" w:type="dxa"/>
            <w:shd w:val="clear" w:color="auto" w:fill="DEEAF6" w:themeFill="accent1" w:themeFillTint="33"/>
          </w:tcPr>
          <w:p w14:paraId="536A6217" w14:textId="77777777" w:rsidR="00A37E4B" w:rsidRPr="007A75DD" w:rsidRDefault="00A37E4B" w:rsidP="00FA2B0D">
            <w:pPr>
              <w:jc w:val="both"/>
              <w:rPr>
                <w:rFonts w:asciiTheme="minorHAnsi" w:hAnsiTheme="minorHAnsi" w:cstheme="minorBidi"/>
                <w:b/>
              </w:rPr>
            </w:pPr>
            <w:r w:rsidRPr="070CBDA7">
              <w:rPr>
                <w:rFonts w:asciiTheme="minorHAnsi" w:hAnsiTheme="minorHAnsi" w:cstheme="minorBidi"/>
                <w:b/>
              </w:rPr>
              <w:t>Output</w:t>
            </w:r>
          </w:p>
        </w:tc>
        <w:tc>
          <w:tcPr>
            <w:tcW w:w="3969" w:type="dxa"/>
            <w:shd w:val="clear" w:color="auto" w:fill="DEEAF6" w:themeFill="accent1" w:themeFillTint="33"/>
          </w:tcPr>
          <w:p w14:paraId="3341FB2D" w14:textId="2B3F87B2" w:rsidR="00A37E4B" w:rsidRPr="007A75DD" w:rsidRDefault="00A37E4B" w:rsidP="00FA2B0D">
            <w:pPr>
              <w:jc w:val="both"/>
              <w:rPr>
                <w:rFonts w:asciiTheme="minorHAnsi" w:hAnsiTheme="minorHAnsi" w:cstheme="minorBidi"/>
                <w:b/>
              </w:rPr>
            </w:pPr>
            <w:r w:rsidRPr="070CBDA7">
              <w:rPr>
                <w:rFonts w:asciiTheme="minorHAnsi" w:hAnsiTheme="minorHAnsi" w:cstheme="minorBidi"/>
                <w:b/>
              </w:rPr>
              <w:t>Nature of the output</w:t>
            </w:r>
          </w:p>
        </w:tc>
        <w:tc>
          <w:tcPr>
            <w:tcW w:w="1843" w:type="dxa"/>
            <w:shd w:val="clear" w:color="auto" w:fill="DEEAF6" w:themeFill="accent1" w:themeFillTint="33"/>
          </w:tcPr>
          <w:p w14:paraId="054DB9A1" w14:textId="0BC8A510" w:rsidR="00A37E4B" w:rsidRPr="007A75DD" w:rsidRDefault="00A37E4B" w:rsidP="00FA2B0D">
            <w:pPr>
              <w:jc w:val="both"/>
              <w:rPr>
                <w:rFonts w:asciiTheme="minorHAnsi" w:hAnsiTheme="minorHAnsi" w:cstheme="minorBidi"/>
                <w:b/>
              </w:rPr>
            </w:pPr>
            <w:r w:rsidRPr="070CBDA7">
              <w:rPr>
                <w:rFonts w:asciiTheme="minorHAnsi" w:hAnsiTheme="minorHAnsi" w:cstheme="minorBidi"/>
                <w:b/>
              </w:rPr>
              <w:t>Charge type</w:t>
            </w:r>
          </w:p>
        </w:tc>
      </w:tr>
      <w:tr w:rsidR="00DC39CF" w:rsidRPr="007A75DD" w14:paraId="67C95A88" w14:textId="77777777" w:rsidTr="00FE7046">
        <w:trPr>
          <w:trHeight w:val="877"/>
        </w:trPr>
        <w:tc>
          <w:tcPr>
            <w:tcW w:w="3397" w:type="dxa"/>
          </w:tcPr>
          <w:p w14:paraId="4BEAEAD6" w14:textId="72024A57" w:rsidR="00DC39CF" w:rsidRPr="007A75DD" w:rsidRDefault="00540521" w:rsidP="00FA2B0D">
            <w:pPr>
              <w:jc w:val="both"/>
              <w:rPr>
                <w:rFonts w:asciiTheme="minorHAnsi" w:hAnsiTheme="minorHAnsi" w:cstheme="minorBidi"/>
              </w:rPr>
            </w:pPr>
            <w:r w:rsidRPr="070CBDA7">
              <w:rPr>
                <w:rFonts w:asciiTheme="minorHAnsi" w:hAnsiTheme="minorHAnsi" w:cstheme="minorBidi"/>
              </w:rPr>
              <w:t>Issue Approvals/Certification</w:t>
            </w:r>
          </w:p>
        </w:tc>
        <w:tc>
          <w:tcPr>
            <w:tcW w:w="3969" w:type="dxa"/>
            <w:vAlign w:val="center"/>
          </w:tcPr>
          <w:p w14:paraId="0E3FF71A" w14:textId="0102C7F8" w:rsidR="00DC39CF" w:rsidRPr="007A75DD" w:rsidRDefault="002E579D" w:rsidP="00FA2B0D">
            <w:pPr>
              <w:rPr>
                <w:rFonts w:asciiTheme="minorHAnsi" w:hAnsiTheme="minorHAnsi" w:cstheme="minorBidi"/>
              </w:rPr>
            </w:pPr>
            <w:r w:rsidRPr="070CBDA7">
              <w:rPr>
                <w:rFonts w:asciiTheme="minorHAnsi" w:hAnsiTheme="minorHAnsi" w:cstheme="minorBidi"/>
              </w:rPr>
              <w:t>Provided to a specific individual or organisation at their request and for their immediate benefit.</w:t>
            </w:r>
          </w:p>
        </w:tc>
        <w:tc>
          <w:tcPr>
            <w:tcW w:w="1843" w:type="dxa"/>
          </w:tcPr>
          <w:p w14:paraId="46F759D7" w14:textId="4132D9D0" w:rsidR="00DC39CF" w:rsidRPr="007A75DD" w:rsidRDefault="003702E1" w:rsidP="00FA2B0D">
            <w:pPr>
              <w:jc w:val="both"/>
              <w:rPr>
                <w:rFonts w:asciiTheme="minorHAnsi" w:hAnsiTheme="minorHAnsi" w:cstheme="minorBidi"/>
              </w:rPr>
            </w:pPr>
            <w:r w:rsidRPr="070CBDA7">
              <w:rPr>
                <w:rFonts w:asciiTheme="minorHAnsi" w:hAnsiTheme="minorHAnsi" w:cstheme="minorBidi"/>
              </w:rPr>
              <w:t>Fee-for-Service</w:t>
            </w:r>
          </w:p>
        </w:tc>
      </w:tr>
    </w:tbl>
    <w:p w14:paraId="6C28270B" w14:textId="5CEAE5F6" w:rsidR="007A237A" w:rsidRPr="00E00143" w:rsidRDefault="007A237A" w:rsidP="00000F28">
      <w:pPr>
        <w:spacing w:before="320" w:after="240"/>
        <w:jc w:val="both"/>
      </w:pPr>
      <w:r w:rsidRPr="00E00143">
        <w:t>Under current settings</w:t>
      </w:r>
      <w:r>
        <w:t>,</w:t>
      </w:r>
      <w:r w:rsidRPr="00E00143">
        <w:t xml:space="preserve"> </w:t>
      </w:r>
      <w:r>
        <w:t>costs associated with the Issue Approvals/Certification outputs</w:t>
      </w:r>
      <w:r w:rsidR="00720928">
        <w:t xml:space="preserve"> </w:t>
      </w:r>
      <w:r>
        <w:t>are</w:t>
      </w:r>
      <w:r w:rsidRPr="00E00143">
        <w:t xml:space="preserve"> </w:t>
      </w:r>
      <w:r w:rsidR="006A33E7">
        <w:t>partially</w:t>
      </w:r>
      <w:r w:rsidRPr="00E00143">
        <w:t xml:space="preserve"> recovered through </w:t>
      </w:r>
      <w:r>
        <w:t>a</w:t>
      </w:r>
      <w:r w:rsidRPr="00E00143">
        <w:t xml:space="preserve"> </w:t>
      </w:r>
      <w:r w:rsidR="00720928">
        <w:t>fee</w:t>
      </w:r>
      <w:r w:rsidR="0073601C">
        <w:t>-for-service</w:t>
      </w:r>
      <w:r w:rsidRPr="00E00143">
        <w:t>.</w:t>
      </w:r>
    </w:p>
    <w:p w14:paraId="62CF9CFF" w14:textId="5D28236C" w:rsidR="00B945E8" w:rsidRDefault="007A237A" w:rsidP="00000F28">
      <w:pPr>
        <w:spacing w:before="320" w:after="240"/>
        <w:jc w:val="both"/>
      </w:pPr>
      <w:r w:rsidRPr="070CBDA7">
        <w:t xml:space="preserve">The charge point for the recovery of </w:t>
      </w:r>
      <w:r w:rsidR="0073601C" w:rsidRPr="070CBDA7">
        <w:t>CBD</w:t>
      </w:r>
      <w:r w:rsidRPr="070CBDA7">
        <w:t xml:space="preserve"> costs is established against </w:t>
      </w:r>
      <w:r w:rsidR="002C7CFA" w:rsidRPr="070CBDA7">
        <w:t xml:space="preserve">the application for an exemption </w:t>
      </w:r>
      <w:r w:rsidR="004D47C6" w:rsidRPr="070CBDA7">
        <w:t xml:space="preserve">or </w:t>
      </w:r>
      <w:r w:rsidR="00CE04E1" w:rsidRPr="070CBDA7">
        <w:t>accreditation</w:t>
      </w:r>
      <w:r w:rsidRPr="070CBDA7">
        <w:t>.</w:t>
      </w:r>
      <w:r w:rsidR="004D47C6" w:rsidRPr="070CBDA7">
        <w:t xml:space="preserve"> The </w:t>
      </w:r>
      <w:r w:rsidR="00044E9F" w:rsidRPr="070CBDA7">
        <w:t xml:space="preserve">implementation settings are applied to recover the immediate costs of processing exemption and accreditation </w:t>
      </w:r>
      <w:r w:rsidR="00BF4926" w:rsidRPr="070CBDA7">
        <w:t>applications.</w:t>
      </w:r>
      <w:r w:rsidR="00B945E8" w:rsidRPr="070CBDA7">
        <w:t xml:space="preserve"> </w:t>
      </w:r>
      <w:r w:rsidR="00B945E8" w:rsidRPr="00427FB8">
        <w:t xml:space="preserve">A fee-for-service applies to each </w:t>
      </w:r>
      <w:r w:rsidR="00B945E8">
        <w:t xml:space="preserve">accreditation and exemption </w:t>
      </w:r>
      <w:r w:rsidR="00B945E8" w:rsidRPr="00427FB8">
        <w:t>application lodged</w:t>
      </w:r>
      <w:r w:rsidR="00B945E8">
        <w:t xml:space="preserve"> for</w:t>
      </w:r>
      <w:r w:rsidR="00B945E8" w:rsidRPr="00427FB8">
        <w:t xml:space="preserve"> the assessment of the application</w:t>
      </w:r>
      <w:r w:rsidR="00B945E8">
        <w:t>.</w:t>
      </w:r>
    </w:p>
    <w:p w14:paraId="34D2226D" w14:textId="6C3A878E" w:rsidR="00CE5511" w:rsidRDefault="009E1805" w:rsidP="00000F28">
      <w:pPr>
        <w:spacing w:before="320" w:after="240"/>
        <w:jc w:val="both"/>
      </w:pPr>
      <w:r w:rsidRPr="070CBDA7">
        <w:t xml:space="preserve">The </w:t>
      </w:r>
      <w:r w:rsidR="00ED246F" w:rsidRPr="070CBDA7">
        <w:t xml:space="preserve">charge rates </w:t>
      </w:r>
      <w:r w:rsidR="000D719C" w:rsidRPr="070CBDA7">
        <w:t xml:space="preserve">in Table 3.3.2 </w:t>
      </w:r>
      <w:r w:rsidR="00ED246F" w:rsidRPr="070CBDA7">
        <w:t xml:space="preserve">are prescribed </w:t>
      </w:r>
      <w:r w:rsidR="008A1E4B" w:rsidRPr="070CBDA7">
        <w:t>in</w:t>
      </w:r>
      <w:r w:rsidR="00ED246F" w:rsidRPr="070CBDA7">
        <w:t xml:space="preserve"> the </w:t>
      </w:r>
      <w:r w:rsidR="00ED246F">
        <w:t>BEED Regulations</w:t>
      </w:r>
      <w:r w:rsidR="00E22DD3" w:rsidRPr="070CBDA7">
        <w:t xml:space="preserve"> and</w:t>
      </w:r>
      <w:r w:rsidR="00F30BB6" w:rsidRPr="070CBDA7">
        <w:t xml:space="preserve"> </w:t>
      </w:r>
      <w:r w:rsidR="00F30BB6" w:rsidRPr="00E86AE9">
        <w:t>updated annually</w:t>
      </w:r>
      <w:r w:rsidR="00BB634D">
        <w:t xml:space="preserve"> </w:t>
      </w:r>
      <w:r w:rsidR="00F30BB6" w:rsidRPr="00E86AE9">
        <w:t xml:space="preserve">to account for any increase in the </w:t>
      </w:r>
      <w:r w:rsidR="00F30BB6">
        <w:t>CPI</w:t>
      </w:r>
      <w:r w:rsidR="000D719C" w:rsidRPr="070CBDA7">
        <w:t>.</w:t>
      </w:r>
    </w:p>
    <w:p w14:paraId="3A2E4402" w14:textId="5FE8A381" w:rsidR="00002EA5" w:rsidRPr="00416172" w:rsidRDefault="00002EA5" w:rsidP="00000F28">
      <w:pPr>
        <w:spacing w:before="320" w:after="240"/>
        <w:jc w:val="both"/>
        <w:rPr>
          <w:rFonts w:eastAsia="SimSun"/>
        </w:rPr>
      </w:pPr>
      <w:r w:rsidRPr="070CBDA7">
        <w:rPr>
          <w:rFonts w:eastAsia="SimSun"/>
          <w:b/>
        </w:rPr>
        <w:t xml:space="preserve">Table 3.3.2 – </w:t>
      </w:r>
      <w:r w:rsidR="007F1F64" w:rsidRPr="070CBDA7">
        <w:rPr>
          <w:rFonts w:eastAsia="SimSun"/>
          <w:b/>
        </w:rPr>
        <w:t xml:space="preserve">Charge rates for </w:t>
      </w:r>
      <w:r w:rsidR="000519FC" w:rsidRPr="070CBDA7">
        <w:rPr>
          <w:rFonts w:eastAsia="SimSun"/>
          <w:b/>
        </w:rPr>
        <w:t>applications</w:t>
      </w:r>
    </w:p>
    <w:tbl>
      <w:tblPr>
        <w:tblW w:w="65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9"/>
        <w:gridCol w:w="1984"/>
        <w:gridCol w:w="1843"/>
      </w:tblGrid>
      <w:tr w:rsidR="00F75841" w:rsidRPr="00D15616" w14:paraId="6ADED9C5" w14:textId="45C1E62C" w:rsidTr="00443EAA">
        <w:trPr>
          <w:trHeight w:val="366"/>
          <w:tblHeader/>
        </w:trPr>
        <w:tc>
          <w:tcPr>
            <w:tcW w:w="2689" w:type="dxa"/>
            <w:tcBorders>
              <w:top w:val="single" w:sz="6" w:space="0" w:color="auto"/>
              <w:left w:val="single" w:sz="4" w:space="0" w:color="auto"/>
              <w:bottom w:val="single" w:sz="6" w:space="0" w:color="000000" w:themeColor="text1"/>
              <w:right w:val="single" w:sz="6" w:space="0" w:color="auto"/>
            </w:tcBorders>
            <w:shd w:val="clear" w:color="auto" w:fill="DEEAF6" w:themeFill="accent1" w:themeFillTint="33"/>
            <w:hideMark/>
          </w:tcPr>
          <w:p w14:paraId="1BF3E163" w14:textId="77777777" w:rsidR="00F75841" w:rsidRPr="00D6672E" w:rsidRDefault="00F75841" w:rsidP="0035132C">
            <w:pPr>
              <w:pStyle w:val="paragraph"/>
              <w:spacing w:before="0" w:beforeAutospacing="0" w:after="0" w:afterAutospacing="0"/>
              <w:jc w:val="both"/>
              <w:textAlignment w:val="baseline"/>
              <w:rPr>
                <w:rFonts w:ascii="Calibri" w:hAnsi="Calibri" w:cs="Calibri"/>
                <w:b/>
                <w:bCs/>
                <w:color w:val="262626" w:themeColor="text1" w:themeTint="D9"/>
                <w:sz w:val="20"/>
                <w:szCs w:val="20"/>
              </w:rPr>
            </w:pPr>
            <w:r w:rsidRPr="00D6672E">
              <w:rPr>
                <w:rStyle w:val="normaltextrun"/>
                <w:rFonts w:ascii="Calibri" w:hAnsi="Calibri" w:cs="Calibri"/>
                <w:b/>
                <w:bCs/>
                <w:color w:val="262626" w:themeColor="text1" w:themeTint="D9"/>
                <w:sz w:val="20"/>
                <w:szCs w:val="20"/>
              </w:rPr>
              <w:t>Charge</w:t>
            </w:r>
            <w:r>
              <w:rPr>
                <w:rStyle w:val="normaltextrun"/>
                <w:rFonts w:ascii="Calibri" w:hAnsi="Calibri" w:cs="Calibri"/>
                <w:b/>
                <w:bCs/>
                <w:color w:val="262626" w:themeColor="text1" w:themeTint="D9"/>
                <w:sz w:val="20"/>
                <w:szCs w:val="20"/>
              </w:rPr>
              <w:t xml:space="preserve"> Point</w:t>
            </w:r>
          </w:p>
        </w:tc>
        <w:tc>
          <w:tcPr>
            <w:tcW w:w="1984" w:type="dxa"/>
            <w:tcBorders>
              <w:top w:val="single" w:sz="6" w:space="0" w:color="auto"/>
              <w:left w:val="nil"/>
              <w:bottom w:val="single" w:sz="4" w:space="0" w:color="auto"/>
              <w:right w:val="single" w:sz="6" w:space="0" w:color="auto"/>
            </w:tcBorders>
            <w:shd w:val="clear" w:color="auto" w:fill="DEEAF6" w:themeFill="accent1" w:themeFillTint="33"/>
          </w:tcPr>
          <w:p w14:paraId="761A5293" w14:textId="4AFE1CDC" w:rsidR="00F75841" w:rsidRPr="00D6672E" w:rsidRDefault="00F75841" w:rsidP="0035132C">
            <w:pPr>
              <w:pStyle w:val="paragraph"/>
              <w:spacing w:before="0" w:beforeAutospacing="0" w:after="0" w:afterAutospacing="0"/>
              <w:jc w:val="both"/>
              <w:textAlignment w:val="baseline"/>
              <w:rPr>
                <w:rFonts w:ascii="Calibri" w:hAnsi="Calibri" w:cs="Calibri"/>
                <w:b/>
                <w:bCs/>
                <w:color w:val="262626" w:themeColor="text1" w:themeTint="D9"/>
                <w:sz w:val="20"/>
                <w:szCs w:val="20"/>
              </w:rPr>
            </w:pPr>
            <w:r>
              <w:rPr>
                <w:rFonts w:ascii="Calibri" w:hAnsi="Calibri" w:cs="Calibri"/>
                <w:b/>
                <w:bCs/>
                <w:color w:val="262626" w:themeColor="text1" w:themeTint="D9"/>
                <w:sz w:val="20"/>
                <w:szCs w:val="20"/>
              </w:rPr>
              <w:t>Charge Type</w:t>
            </w:r>
          </w:p>
        </w:tc>
        <w:tc>
          <w:tcPr>
            <w:tcW w:w="1843" w:type="dxa"/>
            <w:tcBorders>
              <w:top w:val="single" w:sz="6" w:space="0" w:color="auto"/>
              <w:left w:val="nil"/>
              <w:bottom w:val="single" w:sz="4" w:space="0" w:color="auto"/>
              <w:right w:val="single" w:sz="6" w:space="0" w:color="auto"/>
            </w:tcBorders>
            <w:shd w:val="clear" w:color="auto" w:fill="DEEAF6" w:themeFill="accent1" w:themeFillTint="33"/>
          </w:tcPr>
          <w:p w14:paraId="3AA7FE2D" w14:textId="3D397274" w:rsidR="005773C3" w:rsidRDefault="00F75841" w:rsidP="0035132C">
            <w:pPr>
              <w:pStyle w:val="paragraph"/>
              <w:spacing w:before="0" w:beforeAutospacing="0" w:after="0" w:afterAutospacing="0"/>
              <w:jc w:val="both"/>
              <w:textAlignment w:val="baseline"/>
              <w:rPr>
                <w:rFonts w:ascii="Calibri" w:hAnsi="Calibri" w:cs="Calibri"/>
                <w:b/>
                <w:bCs/>
                <w:color w:val="262626" w:themeColor="text1" w:themeTint="D9"/>
                <w:sz w:val="20"/>
                <w:szCs w:val="20"/>
              </w:rPr>
            </w:pPr>
            <w:r>
              <w:rPr>
                <w:rFonts w:ascii="Calibri" w:hAnsi="Calibri" w:cs="Calibri"/>
                <w:b/>
                <w:bCs/>
                <w:color w:val="262626" w:themeColor="text1" w:themeTint="D9"/>
                <w:sz w:val="20"/>
                <w:szCs w:val="20"/>
              </w:rPr>
              <w:t>Rate of Charge</w:t>
            </w:r>
          </w:p>
        </w:tc>
      </w:tr>
      <w:tr w:rsidR="00006623" w:rsidRPr="00D15616" w14:paraId="6E8A7199" w14:textId="31AC2E43" w:rsidTr="070CBDA7">
        <w:trPr>
          <w:trHeight w:val="300"/>
        </w:trPr>
        <w:tc>
          <w:tcPr>
            <w:tcW w:w="2689" w:type="dxa"/>
            <w:tcBorders>
              <w:top w:val="single" w:sz="6" w:space="0" w:color="000000" w:themeColor="text1"/>
              <w:left w:val="single" w:sz="4" w:space="0" w:color="auto"/>
              <w:bottom w:val="single" w:sz="4" w:space="0" w:color="auto"/>
              <w:right w:val="single" w:sz="4" w:space="0" w:color="auto"/>
            </w:tcBorders>
            <w:hideMark/>
          </w:tcPr>
          <w:p w14:paraId="02554AE3" w14:textId="3037BBB0" w:rsidR="00006623" w:rsidRPr="00035C24" w:rsidRDefault="00006623" w:rsidP="0035132C">
            <w:pPr>
              <w:pStyle w:val="paragraph"/>
              <w:spacing w:before="0" w:beforeAutospacing="0" w:after="0" w:afterAutospacing="0"/>
              <w:jc w:val="both"/>
              <w:textAlignment w:val="baseline"/>
              <w:rPr>
                <w:rStyle w:val="eop"/>
                <w:rFonts w:asciiTheme="minorHAnsi" w:eastAsiaTheme="minorEastAsia" w:hAnsiTheme="minorHAnsi" w:cstheme="minorBidi"/>
                <w:color w:val="000000"/>
                <w:sz w:val="20"/>
                <w:szCs w:val="20"/>
                <w:lang w:eastAsia="en-US"/>
              </w:rPr>
            </w:pPr>
            <w:r w:rsidRPr="070CBDA7">
              <w:rPr>
                <w:rStyle w:val="eop"/>
                <w:rFonts w:asciiTheme="minorHAnsi" w:hAnsiTheme="minorHAnsi" w:cstheme="minorBidi"/>
                <w:color w:val="000000" w:themeColor="text1"/>
                <w:sz w:val="20"/>
                <w:szCs w:val="20"/>
              </w:rPr>
              <w:t xml:space="preserve"> Assessment-Accreditation</w:t>
            </w:r>
          </w:p>
        </w:tc>
        <w:tc>
          <w:tcPr>
            <w:tcW w:w="1984" w:type="dxa"/>
            <w:tcBorders>
              <w:top w:val="single" w:sz="4" w:space="0" w:color="auto"/>
              <w:left w:val="single" w:sz="4" w:space="0" w:color="auto"/>
              <w:bottom w:val="single" w:sz="4" w:space="0" w:color="auto"/>
              <w:right w:val="single" w:sz="4" w:space="0" w:color="auto"/>
            </w:tcBorders>
          </w:tcPr>
          <w:p w14:paraId="1D26A4BC" w14:textId="67958D9D" w:rsidR="00006623" w:rsidRPr="001D2491" w:rsidRDefault="00006623" w:rsidP="0035132C">
            <w:pPr>
              <w:spacing w:after="0" w:line="240" w:lineRule="auto"/>
              <w:jc w:val="both"/>
              <w:rPr>
                <w:rFonts w:eastAsia="Times New Roman"/>
                <w:lang w:eastAsia="en-AU"/>
              </w:rPr>
            </w:pPr>
            <w:r w:rsidRPr="00DB2F6D">
              <w:t>Fee-for-Service</w:t>
            </w:r>
          </w:p>
        </w:tc>
        <w:tc>
          <w:tcPr>
            <w:tcW w:w="1843" w:type="dxa"/>
            <w:tcBorders>
              <w:top w:val="single" w:sz="4" w:space="0" w:color="auto"/>
              <w:left w:val="single" w:sz="4" w:space="0" w:color="auto"/>
              <w:bottom w:val="single" w:sz="4" w:space="0" w:color="auto"/>
              <w:right w:val="single" w:sz="4" w:space="0" w:color="auto"/>
            </w:tcBorders>
          </w:tcPr>
          <w:p w14:paraId="35778CFE" w14:textId="5C5CA170" w:rsidR="00006623" w:rsidRPr="001D2491" w:rsidRDefault="002E557C" w:rsidP="0035132C">
            <w:pPr>
              <w:spacing w:after="0" w:line="240" w:lineRule="auto"/>
              <w:jc w:val="both"/>
              <w:rPr>
                <w:rFonts w:eastAsia="Times New Roman"/>
                <w:lang w:eastAsia="en-AU"/>
              </w:rPr>
            </w:pPr>
            <w:r w:rsidRPr="070CBDA7">
              <w:rPr>
                <w:rFonts w:eastAsia="Times New Roman"/>
                <w:lang w:eastAsia="en-AU"/>
              </w:rPr>
              <w:t>$500</w:t>
            </w:r>
          </w:p>
        </w:tc>
      </w:tr>
      <w:tr w:rsidR="00006623" w:rsidRPr="00D15616" w14:paraId="3C521505" w14:textId="496A0AD0" w:rsidTr="000D719C">
        <w:trPr>
          <w:trHeight w:val="300"/>
        </w:trPr>
        <w:tc>
          <w:tcPr>
            <w:tcW w:w="2689" w:type="dxa"/>
            <w:tcBorders>
              <w:top w:val="single" w:sz="4" w:space="0" w:color="auto"/>
              <w:left w:val="single" w:sz="4" w:space="0" w:color="auto"/>
              <w:bottom w:val="single" w:sz="4" w:space="0" w:color="auto"/>
              <w:right w:val="single" w:sz="4" w:space="0" w:color="auto"/>
            </w:tcBorders>
            <w:hideMark/>
          </w:tcPr>
          <w:p w14:paraId="5034FF5B" w14:textId="5F19530B" w:rsidR="00006623" w:rsidRPr="00035C24" w:rsidRDefault="00006623" w:rsidP="0035132C">
            <w:pPr>
              <w:pStyle w:val="paragraph"/>
              <w:spacing w:before="0" w:beforeAutospacing="0" w:after="0" w:afterAutospacing="0"/>
              <w:jc w:val="both"/>
              <w:textAlignment w:val="baseline"/>
              <w:rPr>
                <w:rStyle w:val="eop"/>
                <w:rFonts w:asciiTheme="minorHAnsi" w:eastAsiaTheme="minorEastAsia" w:hAnsiTheme="minorHAnsi" w:cstheme="minorBidi"/>
                <w:color w:val="000000"/>
                <w:sz w:val="20"/>
                <w:szCs w:val="20"/>
                <w:lang w:eastAsia="en-US"/>
              </w:rPr>
            </w:pPr>
            <w:r w:rsidRPr="070CBDA7">
              <w:rPr>
                <w:rStyle w:val="eop"/>
                <w:rFonts w:asciiTheme="minorHAnsi" w:hAnsiTheme="minorHAnsi" w:cstheme="minorBidi"/>
                <w:color w:val="000000" w:themeColor="text1"/>
                <w:sz w:val="20"/>
                <w:szCs w:val="20"/>
              </w:rPr>
              <w:t xml:space="preserve"> Assessment-Exemption</w:t>
            </w:r>
          </w:p>
        </w:tc>
        <w:tc>
          <w:tcPr>
            <w:tcW w:w="1984" w:type="dxa"/>
            <w:tcBorders>
              <w:top w:val="single" w:sz="4" w:space="0" w:color="auto"/>
              <w:left w:val="single" w:sz="4" w:space="0" w:color="auto"/>
              <w:bottom w:val="single" w:sz="4" w:space="0" w:color="auto"/>
              <w:right w:val="single" w:sz="4" w:space="0" w:color="auto"/>
            </w:tcBorders>
          </w:tcPr>
          <w:p w14:paraId="1C351ACE" w14:textId="53BBB7E6" w:rsidR="00006623" w:rsidRPr="001D2491" w:rsidRDefault="00006623" w:rsidP="0035132C">
            <w:pPr>
              <w:spacing w:after="0" w:line="240" w:lineRule="auto"/>
              <w:jc w:val="both"/>
              <w:rPr>
                <w:rFonts w:eastAsia="Times New Roman"/>
                <w:lang w:eastAsia="en-AU"/>
              </w:rPr>
            </w:pPr>
            <w:r w:rsidRPr="00DB2F6D">
              <w:t>Fee-for-Service</w:t>
            </w:r>
          </w:p>
        </w:tc>
        <w:tc>
          <w:tcPr>
            <w:tcW w:w="1843" w:type="dxa"/>
            <w:tcBorders>
              <w:top w:val="single" w:sz="4" w:space="0" w:color="auto"/>
              <w:left w:val="single" w:sz="4" w:space="0" w:color="auto"/>
              <w:bottom w:val="single" w:sz="4" w:space="0" w:color="auto"/>
              <w:right w:val="single" w:sz="4" w:space="0" w:color="auto"/>
            </w:tcBorders>
          </w:tcPr>
          <w:p w14:paraId="042D9F50" w14:textId="171A0109" w:rsidR="00006623" w:rsidRPr="001D2491" w:rsidRDefault="002E557C" w:rsidP="0035132C">
            <w:pPr>
              <w:spacing w:after="0" w:line="240" w:lineRule="auto"/>
              <w:jc w:val="both"/>
              <w:rPr>
                <w:rFonts w:eastAsia="Times New Roman"/>
                <w:lang w:eastAsia="en-AU"/>
              </w:rPr>
            </w:pPr>
            <w:r w:rsidRPr="070CBDA7">
              <w:rPr>
                <w:rFonts w:eastAsia="Times New Roman"/>
                <w:lang w:eastAsia="en-AU"/>
              </w:rPr>
              <w:t>$500</w:t>
            </w:r>
          </w:p>
        </w:tc>
      </w:tr>
    </w:tbl>
    <w:p w14:paraId="52FCB8D8" w14:textId="0EBC1BAF" w:rsidR="00873108" w:rsidRDefault="00FD1229" w:rsidP="009A537B">
      <w:pPr>
        <w:spacing w:after="240"/>
        <w:jc w:val="both"/>
      </w:pPr>
      <w:r>
        <w:t>* Note these fees are scheduled to increase to $512 from 1 July 2025 in line with CPI increases.</w:t>
      </w:r>
    </w:p>
    <w:p w14:paraId="31AA7888" w14:textId="6993A94E" w:rsidR="0071485E" w:rsidRDefault="00124ED2" w:rsidP="00000F28">
      <w:pPr>
        <w:spacing w:before="320" w:after="240"/>
        <w:jc w:val="both"/>
      </w:pPr>
      <w:r>
        <w:t xml:space="preserve">The </w:t>
      </w:r>
      <w:r w:rsidR="00165906">
        <w:t xml:space="preserve">relationship between outputs, </w:t>
      </w:r>
      <w:r w:rsidR="00FE6B62">
        <w:t xml:space="preserve">types </w:t>
      </w:r>
      <w:r w:rsidR="006A7E44">
        <w:t xml:space="preserve">and rates of </w:t>
      </w:r>
      <w:r w:rsidR="00FE6B62">
        <w:t>charge</w:t>
      </w:r>
      <w:r w:rsidR="00F41510">
        <w:t xml:space="preserve"> and estimated total cost and estimated total</w:t>
      </w:r>
      <w:r w:rsidR="006D5AB2">
        <w:t xml:space="preserve"> </w:t>
      </w:r>
      <w:r w:rsidR="00F41510">
        <w:t xml:space="preserve">revenue is summarised </w:t>
      </w:r>
      <w:r w:rsidR="00FE6B62">
        <w:t xml:space="preserve">in Table </w:t>
      </w:r>
      <w:r w:rsidR="00064B6D">
        <w:t>3.</w:t>
      </w:r>
      <w:r w:rsidR="005740AB">
        <w:t>3</w:t>
      </w:r>
      <w:r w:rsidR="00064B6D">
        <w:t>.3 below.</w:t>
      </w:r>
    </w:p>
    <w:p w14:paraId="418A2DAE" w14:textId="376AA6A2" w:rsidR="00336826" w:rsidRDefault="00336826" w:rsidP="00000F28">
      <w:pPr>
        <w:spacing w:before="320" w:after="240"/>
        <w:jc w:val="both"/>
        <w:rPr>
          <w:b/>
          <w:bCs/>
        </w:rPr>
      </w:pPr>
      <w:r w:rsidRPr="00A15377">
        <w:rPr>
          <w:b/>
          <w:bCs/>
        </w:rPr>
        <w:t>Table 3.</w:t>
      </w:r>
      <w:r w:rsidR="005740AB">
        <w:rPr>
          <w:b/>
          <w:bCs/>
        </w:rPr>
        <w:t>3</w:t>
      </w:r>
      <w:r w:rsidRPr="00A15377">
        <w:rPr>
          <w:b/>
          <w:bCs/>
        </w:rPr>
        <w:t>.3</w:t>
      </w:r>
      <w:r w:rsidR="00A15377">
        <w:rPr>
          <w:b/>
          <w:bCs/>
        </w:rPr>
        <w:t xml:space="preserve"> – Cost/revenue relationship</w:t>
      </w:r>
    </w:p>
    <w:tbl>
      <w:tblPr>
        <w:tblStyle w:val="TableGrid"/>
        <w:tblW w:w="9918" w:type="dxa"/>
        <w:tblLook w:val="04A0" w:firstRow="1" w:lastRow="0" w:firstColumn="1" w:lastColumn="0" w:noHBand="0" w:noVBand="1"/>
      </w:tblPr>
      <w:tblGrid>
        <w:gridCol w:w="2822"/>
        <w:gridCol w:w="2686"/>
        <w:gridCol w:w="1051"/>
        <w:gridCol w:w="795"/>
        <w:gridCol w:w="1146"/>
        <w:gridCol w:w="1418"/>
      </w:tblGrid>
      <w:tr w:rsidR="00A31902" w:rsidRPr="005C2AC6" w14:paraId="0491FFD2" w14:textId="77777777" w:rsidTr="009A537B">
        <w:trPr>
          <w:trHeight w:val="884"/>
        </w:trPr>
        <w:tc>
          <w:tcPr>
            <w:tcW w:w="2822" w:type="dxa"/>
            <w:shd w:val="clear" w:color="auto" w:fill="DEEAF6" w:themeFill="accent1" w:themeFillTint="33"/>
            <w:hideMark/>
          </w:tcPr>
          <w:p w14:paraId="30268818" w14:textId="77777777" w:rsidR="00217967" w:rsidRPr="00217967" w:rsidRDefault="00217967" w:rsidP="009A537B">
            <w:pPr>
              <w:jc w:val="both"/>
              <w:rPr>
                <w:rFonts w:asciiTheme="minorHAnsi" w:hAnsiTheme="minorHAnsi" w:cstheme="minorBidi"/>
                <w:b/>
              </w:rPr>
            </w:pPr>
            <w:r w:rsidRPr="070CBDA7">
              <w:rPr>
                <w:rFonts w:asciiTheme="minorHAnsi" w:hAnsiTheme="minorHAnsi" w:cstheme="minorBidi"/>
                <w:b/>
              </w:rPr>
              <w:t>Output</w:t>
            </w:r>
          </w:p>
        </w:tc>
        <w:tc>
          <w:tcPr>
            <w:tcW w:w="2686" w:type="dxa"/>
            <w:shd w:val="clear" w:color="auto" w:fill="DEEAF6" w:themeFill="accent1" w:themeFillTint="33"/>
            <w:hideMark/>
          </w:tcPr>
          <w:p w14:paraId="513FDA2F" w14:textId="77777777" w:rsidR="00217967" w:rsidRPr="00217967" w:rsidRDefault="00217967" w:rsidP="009A537B">
            <w:pPr>
              <w:rPr>
                <w:rFonts w:asciiTheme="minorHAnsi" w:hAnsiTheme="minorHAnsi" w:cstheme="minorBidi"/>
                <w:b/>
              </w:rPr>
            </w:pPr>
            <w:r w:rsidRPr="070CBDA7">
              <w:rPr>
                <w:rFonts w:asciiTheme="minorHAnsi" w:hAnsiTheme="minorHAnsi" w:cstheme="minorBidi"/>
                <w:b/>
              </w:rPr>
              <w:t>Fee-for-Service Charge Point</w:t>
            </w:r>
          </w:p>
        </w:tc>
        <w:tc>
          <w:tcPr>
            <w:tcW w:w="1051" w:type="dxa"/>
            <w:shd w:val="clear" w:color="auto" w:fill="DEEAF6" w:themeFill="accent1" w:themeFillTint="33"/>
          </w:tcPr>
          <w:p w14:paraId="42BCE5E4" w14:textId="77777777" w:rsidR="009026DD" w:rsidRPr="00217967" w:rsidRDefault="009026DD" w:rsidP="009A537B">
            <w:pPr>
              <w:jc w:val="center"/>
              <w:rPr>
                <w:rFonts w:asciiTheme="minorHAnsi" w:hAnsiTheme="minorHAnsi" w:cstheme="minorBidi"/>
                <w:b/>
              </w:rPr>
            </w:pPr>
            <w:r w:rsidRPr="070CBDA7">
              <w:rPr>
                <w:rFonts w:asciiTheme="minorHAnsi" w:hAnsiTheme="minorHAnsi" w:cstheme="minorBidi"/>
                <w:b/>
              </w:rPr>
              <w:t>Estimated total cost</w:t>
            </w:r>
          </w:p>
          <w:p w14:paraId="5DEC8F72" w14:textId="63CC2C13" w:rsidR="009026DD" w:rsidRPr="00217967" w:rsidRDefault="009026DD" w:rsidP="009A537B">
            <w:pPr>
              <w:jc w:val="center"/>
              <w:rPr>
                <w:rFonts w:cstheme="minorBidi"/>
                <w:b/>
              </w:rPr>
            </w:pPr>
            <w:r w:rsidRPr="070CBDA7">
              <w:rPr>
                <w:rFonts w:asciiTheme="minorHAnsi" w:hAnsiTheme="minorHAnsi" w:cstheme="minorBidi"/>
                <w:b/>
              </w:rPr>
              <w:t>($m)</w:t>
            </w:r>
          </w:p>
        </w:tc>
        <w:tc>
          <w:tcPr>
            <w:tcW w:w="795" w:type="dxa"/>
            <w:shd w:val="clear" w:color="auto" w:fill="DEEAF6" w:themeFill="accent1" w:themeFillTint="33"/>
            <w:hideMark/>
          </w:tcPr>
          <w:p w14:paraId="168BA762" w14:textId="77777777" w:rsidR="00217967" w:rsidRPr="00217967" w:rsidRDefault="00217967" w:rsidP="009A537B">
            <w:pPr>
              <w:jc w:val="center"/>
              <w:rPr>
                <w:rFonts w:asciiTheme="minorHAnsi" w:hAnsiTheme="minorHAnsi" w:cstheme="minorBidi"/>
                <w:b/>
              </w:rPr>
            </w:pPr>
            <w:r w:rsidRPr="070CBDA7">
              <w:rPr>
                <w:rFonts w:asciiTheme="minorHAnsi" w:hAnsiTheme="minorHAnsi" w:cstheme="minorBidi"/>
                <w:b/>
              </w:rPr>
              <w:t>Charge Rate</w:t>
            </w:r>
          </w:p>
          <w:p w14:paraId="06A111AD" w14:textId="77777777" w:rsidR="00217967" w:rsidRPr="00217967" w:rsidRDefault="00217967" w:rsidP="009A537B">
            <w:pPr>
              <w:jc w:val="center"/>
              <w:rPr>
                <w:rFonts w:asciiTheme="minorHAnsi" w:hAnsiTheme="minorHAnsi" w:cstheme="minorBidi"/>
                <w:b/>
              </w:rPr>
            </w:pPr>
            <w:r w:rsidRPr="070CBDA7">
              <w:rPr>
                <w:rFonts w:asciiTheme="minorHAnsi" w:hAnsiTheme="minorHAnsi" w:cstheme="minorBidi"/>
                <w:b/>
              </w:rPr>
              <w:t>($)</w:t>
            </w:r>
          </w:p>
        </w:tc>
        <w:tc>
          <w:tcPr>
            <w:tcW w:w="1146" w:type="dxa"/>
            <w:shd w:val="clear" w:color="auto" w:fill="DEEAF6" w:themeFill="accent1" w:themeFillTint="33"/>
            <w:hideMark/>
          </w:tcPr>
          <w:p w14:paraId="6C2FE0BA" w14:textId="77777777" w:rsidR="00217967" w:rsidRPr="00217967" w:rsidRDefault="00217967" w:rsidP="009A537B">
            <w:pPr>
              <w:jc w:val="center"/>
              <w:rPr>
                <w:rFonts w:asciiTheme="minorHAnsi" w:hAnsiTheme="minorHAnsi" w:cstheme="minorBidi"/>
                <w:b/>
              </w:rPr>
            </w:pPr>
            <w:r w:rsidRPr="070CBDA7">
              <w:rPr>
                <w:rFonts w:asciiTheme="minorHAnsi" w:hAnsiTheme="minorHAnsi" w:cstheme="minorBidi"/>
                <w:b/>
              </w:rPr>
              <w:t>Estimated volume</w:t>
            </w:r>
          </w:p>
        </w:tc>
        <w:tc>
          <w:tcPr>
            <w:tcW w:w="1418" w:type="dxa"/>
            <w:shd w:val="clear" w:color="auto" w:fill="DEEAF6" w:themeFill="accent1" w:themeFillTint="33"/>
            <w:hideMark/>
          </w:tcPr>
          <w:p w14:paraId="41261A9C" w14:textId="77777777" w:rsidR="00217967" w:rsidRPr="00217967" w:rsidRDefault="00217967" w:rsidP="009A537B">
            <w:pPr>
              <w:jc w:val="center"/>
              <w:rPr>
                <w:rFonts w:asciiTheme="minorHAnsi" w:hAnsiTheme="minorHAnsi" w:cstheme="minorBidi"/>
                <w:b/>
              </w:rPr>
            </w:pPr>
            <w:r w:rsidRPr="070CBDA7">
              <w:rPr>
                <w:rFonts w:asciiTheme="minorHAnsi" w:hAnsiTheme="minorHAnsi" w:cstheme="minorBidi"/>
                <w:b/>
              </w:rPr>
              <w:t>Estimated total revenue</w:t>
            </w:r>
          </w:p>
          <w:p w14:paraId="6DD7A2EB" w14:textId="77777777" w:rsidR="00217967" w:rsidRPr="00217967" w:rsidRDefault="00217967" w:rsidP="009A537B">
            <w:pPr>
              <w:jc w:val="center"/>
              <w:rPr>
                <w:rFonts w:asciiTheme="minorHAnsi" w:hAnsiTheme="minorHAnsi" w:cstheme="minorBidi"/>
                <w:b/>
              </w:rPr>
            </w:pPr>
            <w:r w:rsidRPr="070CBDA7">
              <w:rPr>
                <w:rFonts w:asciiTheme="minorHAnsi" w:hAnsiTheme="minorHAnsi" w:cstheme="minorBidi"/>
                <w:b/>
              </w:rPr>
              <w:t>($m)</w:t>
            </w:r>
          </w:p>
        </w:tc>
      </w:tr>
      <w:tr w:rsidR="00A31902" w:rsidRPr="005C2AC6" w14:paraId="650F07B7" w14:textId="77777777" w:rsidTr="009A537B">
        <w:trPr>
          <w:trHeight w:val="270"/>
        </w:trPr>
        <w:tc>
          <w:tcPr>
            <w:tcW w:w="2822" w:type="dxa"/>
          </w:tcPr>
          <w:p w14:paraId="40965FB9" w14:textId="73732764" w:rsidR="00FF5C97" w:rsidRPr="002E2E95" w:rsidRDefault="00FF5C97" w:rsidP="009A537B">
            <w:pPr>
              <w:jc w:val="both"/>
              <w:rPr>
                <w:rFonts w:ascii="Calibri" w:hAnsi="Calibri" w:cs="Calibri"/>
              </w:rPr>
            </w:pPr>
            <w:r w:rsidRPr="070CBDA7">
              <w:rPr>
                <w:rFonts w:asciiTheme="minorHAnsi" w:hAnsiTheme="minorHAnsi" w:cstheme="minorBidi"/>
              </w:rPr>
              <w:t>Issue Approvals / Certification</w:t>
            </w:r>
          </w:p>
        </w:tc>
        <w:tc>
          <w:tcPr>
            <w:tcW w:w="2686" w:type="dxa"/>
          </w:tcPr>
          <w:p w14:paraId="63E321F5" w14:textId="772C90FA" w:rsidR="00FF5C97" w:rsidRPr="00E43C75" w:rsidRDefault="00FF5C97" w:rsidP="009A537B">
            <w:pPr>
              <w:jc w:val="both"/>
              <w:rPr>
                <w:rFonts w:asciiTheme="minorHAnsi" w:hAnsiTheme="minorHAnsi" w:cstheme="minorBidi"/>
              </w:rPr>
            </w:pPr>
            <w:r w:rsidRPr="070CBDA7">
              <w:rPr>
                <w:rFonts w:asciiTheme="minorHAnsi" w:hAnsiTheme="minorHAnsi" w:cstheme="minorBidi"/>
              </w:rPr>
              <w:t>Assessment - Accreditation</w:t>
            </w:r>
          </w:p>
        </w:tc>
        <w:tc>
          <w:tcPr>
            <w:tcW w:w="1051" w:type="dxa"/>
          </w:tcPr>
          <w:p w14:paraId="21C85D24" w14:textId="45A57AF2" w:rsidR="009026DD" w:rsidRDefault="009026DD" w:rsidP="00A663A2">
            <w:pPr>
              <w:jc w:val="center"/>
              <w:rPr>
                <w:rFonts w:ascii="Calibri" w:hAnsi="Calibri" w:cs="Calibri"/>
              </w:rPr>
            </w:pPr>
            <w:r>
              <w:rPr>
                <w:rFonts w:ascii="Calibri" w:hAnsi="Calibri" w:cs="Calibri"/>
              </w:rPr>
              <w:t>0.020</w:t>
            </w:r>
          </w:p>
        </w:tc>
        <w:tc>
          <w:tcPr>
            <w:tcW w:w="795" w:type="dxa"/>
          </w:tcPr>
          <w:p w14:paraId="17177CEA" w14:textId="2A13CCE1" w:rsidR="00FF5C97" w:rsidRPr="002E2E95" w:rsidRDefault="00FF5C97" w:rsidP="00A663A2">
            <w:pPr>
              <w:jc w:val="center"/>
              <w:rPr>
                <w:rFonts w:ascii="Calibri" w:hAnsi="Calibri" w:cs="Calibri"/>
              </w:rPr>
            </w:pPr>
            <w:r w:rsidRPr="002E2E95">
              <w:rPr>
                <w:rFonts w:ascii="Calibri" w:hAnsi="Calibri" w:cs="Calibri"/>
              </w:rPr>
              <w:t>5</w:t>
            </w:r>
            <w:r>
              <w:rPr>
                <w:rFonts w:ascii="Calibri" w:hAnsi="Calibri" w:cs="Calibri"/>
              </w:rPr>
              <w:t>00</w:t>
            </w:r>
          </w:p>
        </w:tc>
        <w:tc>
          <w:tcPr>
            <w:tcW w:w="1146" w:type="dxa"/>
          </w:tcPr>
          <w:p w14:paraId="7B1FDA12" w14:textId="1296C202" w:rsidR="00FF5C97" w:rsidRPr="002E2E95" w:rsidRDefault="00FF5C97" w:rsidP="00A663A2">
            <w:pPr>
              <w:jc w:val="center"/>
              <w:rPr>
                <w:rFonts w:ascii="Calibri" w:hAnsi="Calibri" w:cs="Calibri"/>
              </w:rPr>
            </w:pPr>
            <w:r>
              <w:rPr>
                <w:rFonts w:ascii="Calibri" w:hAnsi="Calibri" w:cs="Calibri"/>
              </w:rPr>
              <w:t>50</w:t>
            </w:r>
          </w:p>
        </w:tc>
        <w:tc>
          <w:tcPr>
            <w:tcW w:w="1418" w:type="dxa"/>
          </w:tcPr>
          <w:p w14:paraId="1A73BC64" w14:textId="4A108E7F" w:rsidR="00FF5C97" w:rsidRPr="002E2E95" w:rsidRDefault="00FF5C97" w:rsidP="00A663A2">
            <w:pPr>
              <w:jc w:val="center"/>
              <w:rPr>
                <w:rFonts w:ascii="Calibri" w:hAnsi="Calibri" w:cs="Calibri"/>
              </w:rPr>
            </w:pPr>
            <w:r w:rsidRPr="002E2E95">
              <w:rPr>
                <w:rFonts w:ascii="Calibri" w:hAnsi="Calibri" w:cs="Calibri"/>
              </w:rPr>
              <w:t>0.0</w:t>
            </w:r>
            <w:r>
              <w:rPr>
                <w:rFonts w:ascii="Calibri" w:hAnsi="Calibri" w:cs="Calibri"/>
              </w:rPr>
              <w:t>25</w:t>
            </w:r>
          </w:p>
        </w:tc>
      </w:tr>
      <w:tr w:rsidR="00A31902" w:rsidRPr="005C2AC6" w14:paraId="2D8414BA" w14:textId="77777777" w:rsidTr="009A537B">
        <w:trPr>
          <w:trHeight w:val="270"/>
        </w:trPr>
        <w:tc>
          <w:tcPr>
            <w:tcW w:w="2822" w:type="dxa"/>
          </w:tcPr>
          <w:p w14:paraId="0CA7EAF3" w14:textId="5B58FBA3" w:rsidR="00FF5C97" w:rsidRPr="002E2E95" w:rsidRDefault="00FF5C97" w:rsidP="009A537B">
            <w:pPr>
              <w:jc w:val="both"/>
              <w:rPr>
                <w:rFonts w:ascii="Calibri" w:hAnsi="Calibri" w:cs="Calibri"/>
              </w:rPr>
            </w:pPr>
            <w:r w:rsidRPr="070CBDA7">
              <w:rPr>
                <w:rFonts w:asciiTheme="minorHAnsi" w:hAnsiTheme="minorHAnsi" w:cstheme="minorBidi"/>
              </w:rPr>
              <w:t>Issue Approvals / Certification</w:t>
            </w:r>
          </w:p>
        </w:tc>
        <w:tc>
          <w:tcPr>
            <w:tcW w:w="2686" w:type="dxa"/>
          </w:tcPr>
          <w:p w14:paraId="20ED1C3C" w14:textId="36069176" w:rsidR="00FF5C97" w:rsidRPr="00E43C75" w:rsidRDefault="00FF5C97" w:rsidP="009A537B">
            <w:pPr>
              <w:jc w:val="both"/>
              <w:rPr>
                <w:rFonts w:asciiTheme="minorHAnsi" w:hAnsiTheme="minorHAnsi" w:cstheme="minorBidi"/>
              </w:rPr>
            </w:pPr>
            <w:r w:rsidRPr="070CBDA7">
              <w:rPr>
                <w:rFonts w:asciiTheme="minorHAnsi" w:hAnsiTheme="minorHAnsi" w:cstheme="minorBidi"/>
              </w:rPr>
              <w:t>Assessment - Exemption</w:t>
            </w:r>
          </w:p>
        </w:tc>
        <w:tc>
          <w:tcPr>
            <w:tcW w:w="1051" w:type="dxa"/>
          </w:tcPr>
          <w:p w14:paraId="4811EBB9" w14:textId="4B5C77E9" w:rsidR="009026DD" w:rsidRDefault="009026DD" w:rsidP="00A663A2">
            <w:pPr>
              <w:jc w:val="center"/>
              <w:rPr>
                <w:rFonts w:ascii="Calibri" w:hAnsi="Calibri" w:cs="Calibri"/>
              </w:rPr>
            </w:pPr>
            <w:r>
              <w:rPr>
                <w:rFonts w:ascii="Calibri" w:hAnsi="Calibri" w:cs="Calibri"/>
              </w:rPr>
              <w:t>0.179</w:t>
            </w:r>
          </w:p>
        </w:tc>
        <w:tc>
          <w:tcPr>
            <w:tcW w:w="795" w:type="dxa"/>
          </w:tcPr>
          <w:p w14:paraId="7785878B" w14:textId="25553B58" w:rsidR="00FF5C97" w:rsidRPr="002E2E95" w:rsidRDefault="00FF5C97" w:rsidP="00A663A2">
            <w:pPr>
              <w:jc w:val="center"/>
              <w:rPr>
                <w:rFonts w:ascii="Calibri" w:hAnsi="Calibri" w:cs="Calibri"/>
              </w:rPr>
            </w:pPr>
            <w:r>
              <w:rPr>
                <w:rFonts w:ascii="Calibri" w:hAnsi="Calibri" w:cs="Calibri"/>
              </w:rPr>
              <w:t>500</w:t>
            </w:r>
          </w:p>
        </w:tc>
        <w:tc>
          <w:tcPr>
            <w:tcW w:w="1146" w:type="dxa"/>
          </w:tcPr>
          <w:p w14:paraId="58ADE8D7" w14:textId="7DEAC793" w:rsidR="00FF5C97" w:rsidRPr="002E2E95" w:rsidRDefault="00FF5C97" w:rsidP="00A663A2">
            <w:pPr>
              <w:jc w:val="center"/>
              <w:rPr>
                <w:rFonts w:ascii="Calibri" w:hAnsi="Calibri" w:cs="Calibri"/>
              </w:rPr>
            </w:pPr>
            <w:r>
              <w:rPr>
                <w:rFonts w:ascii="Calibri" w:hAnsi="Calibri" w:cs="Calibri"/>
              </w:rPr>
              <w:t>100</w:t>
            </w:r>
          </w:p>
        </w:tc>
        <w:tc>
          <w:tcPr>
            <w:tcW w:w="1418" w:type="dxa"/>
          </w:tcPr>
          <w:p w14:paraId="479EADF3" w14:textId="0B1B810D" w:rsidR="00FF5C97" w:rsidRPr="002E2E95" w:rsidRDefault="00FF5C97" w:rsidP="00A663A2">
            <w:pPr>
              <w:jc w:val="center"/>
              <w:rPr>
                <w:rFonts w:ascii="Calibri" w:hAnsi="Calibri" w:cs="Calibri"/>
              </w:rPr>
            </w:pPr>
            <w:r w:rsidRPr="002E2E95">
              <w:rPr>
                <w:rFonts w:ascii="Calibri" w:hAnsi="Calibri" w:cs="Calibri"/>
              </w:rPr>
              <w:t>0.0</w:t>
            </w:r>
            <w:r>
              <w:rPr>
                <w:rFonts w:ascii="Calibri" w:hAnsi="Calibri" w:cs="Calibri"/>
              </w:rPr>
              <w:t>50</w:t>
            </w:r>
          </w:p>
        </w:tc>
      </w:tr>
      <w:tr w:rsidR="00A31902" w:rsidRPr="005C2AC6" w14:paraId="1F7BDAF0" w14:textId="77777777" w:rsidTr="009A537B">
        <w:trPr>
          <w:trHeight w:val="270"/>
        </w:trPr>
        <w:tc>
          <w:tcPr>
            <w:tcW w:w="2822" w:type="dxa"/>
            <w:hideMark/>
          </w:tcPr>
          <w:p w14:paraId="3F1BE80E" w14:textId="77777777" w:rsidR="00217967" w:rsidRPr="005C2AC6" w:rsidRDefault="00217967" w:rsidP="009A537B">
            <w:pPr>
              <w:jc w:val="both"/>
              <w:rPr>
                <w:rFonts w:ascii="Calibri" w:hAnsi="Calibri" w:cs="Calibri"/>
                <w:b/>
                <w:bCs/>
              </w:rPr>
            </w:pPr>
            <w:r w:rsidRPr="005C2AC6">
              <w:rPr>
                <w:rFonts w:ascii="Calibri" w:hAnsi="Calibri" w:cs="Calibri"/>
                <w:b/>
                <w:bCs/>
              </w:rPr>
              <w:t>TOTAL</w:t>
            </w:r>
          </w:p>
        </w:tc>
        <w:tc>
          <w:tcPr>
            <w:tcW w:w="2686" w:type="dxa"/>
            <w:hideMark/>
          </w:tcPr>
          <w:p w14:paraId="2CA23BAD" w14:textId="77777777" w:rsidR="00217967" w:rsidRPr="005C2AC6" w:rsidRDefault="00217967" w:rsidP="009A537B">
            <w:pPr>
              <w:jc w:val="both"/>
              <w:rPr>
                <w:rFonts w:ascii="Calibri" w:hAnsi="Calibri" w:cs="Calibri"/>
                <w:b/>
                <w:bCs/>
              </w:rPr>
            </w:pPr>
          </w:p>
        </w:tc>
        <w:tc>
          <w:tcPr>
            <w:tcW w:w="1051" w:type="dxa"/>
          </w:tcPr>
          <w:p w14:paraId="28ACCBA0" w14:textId="3329FD22" w:rsidR="009026DD" w:rsidRDefault="009026DD" w:rsidP="00A663A2">
            <w:pPr>
              <w:jc w:val="center"/>
              <w:rPr>
                <w:rFonts w:ascii="Calibri" w:hAnsi="Calibri" w:cs="Calibri"/>
                <w:b/>
                <w:bCs/>
              </w:rPr>
            </w:pPr>
            <w:r>
              <w:rPr>
                <w:rFonts w:ascii="Calibri" w:hAnsi="Calibri" w:cs="Calibri"/>
                <w:b/>
                <w:bCs/>
              </w:rPr>
              <w:t>0.199</w:t>
            </w:r>
          </w:p>
        </w:tc>
        <w:tc>
          <w:tcPr>
            <w:tcW w:w="795" w:type="dxa"/>
            <w:hideMark/>
          </w:tcPr>
          <w:p w14:paraId="0D48ECDE" w14:textId="77777777" w:rsidR="00217967" w:rsidRPr="005C2AC6" w:rsidRDefault="00217967" w:rsidP="00A663A2">
            <w:pPr>
              <w:jc w:val="center"/>
              <w:rPr>
                <w:rFonts w:ascii="Calibri" w:hAnsi="Calibri" w:cs="Calibri"/>
                <w:b/>
                <w:bCs/>
              </w:rPr>
            </w:pPr>
          </w:p>
        </w:tc>
        <w:tc>
          <w:tcPr>
            <w:tcW w:w="1146" w:type="dxa"/>
            <w:hideMark/>
          </w:tcPr>
          <w:p w14:paraId="41B3AC42" w14:textId="15A88BFE" w:rsidR="00217967" w:rsidRPr="005C2AC6" w:rsidRDefault="0046226A" w:rsidP="00A663A2">
            <w:pPr>
              <w:jc w:val="center"/>
              <w:rPr>
                <w:rFonts w:ascii="Calibri" w:hAnsi="Calibri" w:cs="Calibri"/>
                <w:b/>
                <w:bCs/>
              </w:rPr>
            </w:pPr>
            <w:r>
              <w:rPr>
                <w:rFonts w:ascii="Calibri" w:hAnsi="Calibri" w:cs="Calibri"/>
                <w:b/>
                <w:bCs/>
              </w:rPr>
              <w:t>150</w:t>
            </w:r>
          </w:p>
        </w:tc>
        <w:tc>
          <w:tcPr>
            <w:tcW w:w="1418" w:type="dxa"/>
            <w:hideMark/>
          </w:tcPr>
          <w:p w14:paraId="60E72B7A" w14:textId="7E1E9CDC" w:rsidR="00217967" w:rsidRPr="005C2AC6" w:rsidRDefault="00217967" w:rsidP="00A663A2">
            <w:pPr>
              <w:jc w:val="center"/>
              <w:rPr>
                <w:rFonts w:ascii="Calibri" w:hAnsi="Calibri" w:cs="Calibri"/>
                <w:b/>
                <w:bCs/>
              </w:rPr>
            </w:pPr>
            <w:r>
              <w:rPr>
                <w:rFonts w:ascii="Calibri" w:hAnsi="Calibri" w:cs="Calibri"/>
                <w:b/>
                <w:bCs/>
              </w:rPr>
              <w:t>0.</w:t>
            </w:r>
            <w:r w:rsidR="00EC1189">
              <w:rPr>
                <w:rFonts w:ascii="Calibri" w:hAnsi="Calibri" w:cs="Calibri"/>
                <w:b/>
                <w:bCs/>
              </w:rPr>
              <w:t>075</w:t>
            </w:r>
          </w:p>
        </w:tc>
      </w:tr>
    </w:tbl>
    <w:p w14:paraId="0A6B9068" w14:textId="77777777" w:rsidR="009B6A61" w:rsidRDefault="009B6A61" w:rsidP="00000F28">
      <w:pPr>
        <w:spacing w:before="320" w:after="240"/>
        <w:jc w:val="both"/>
        <w:rPr>
          <w:rFonts w:asciiTheme="majorHAnsi" w:eastAsiaTheme="majorEastAsia" w:hAnsiTheme="majorHAnsi" w:cstheme="majorBidi"/>
          <w:color w:val="2E74B5" w:themeColor="accent1" w:themeShade="BF"/>
          <w:sz w:val="32"/>
          <w:szCs w:val="32"/>
        </w:rPr>
      </w:pPr>
      <w:r>
        <w:br w:type="page"/>
      </w:r>
    </w:p>
    <w:p w14:paraId="22CF7B8B" w14:textId="57D7BC9C" w:rsidR="00016586" w:rsidRDefault="00016586" w:rsidP="00000F28">
      <w:pPr>
        <w:pStyle w:val="Heading1"/>
        <w:numPr>
          <w:ilvl w:val="0"/>
          <w:numId w:val="2"/>
        </w:numPr>
        <w:spacing w:after="240"/>
      </w:pPr>
      <w:bookmarkStart w:id="16" w:name="_Toc214441559"/>
      <w:r w:rsidRPr="00D57921">
        <w:lastRenderedPageBreak/>
        <w:t>RISK ASSESSMENT</w:t>
      </w:r>
      <w:bookmarkEnd w:id="16"/>
    </w:p>
    <w:p w14:paraId="331DFABE" w14:textId="3B53569F" w:rsidR="00E41BEC" w:rsidRDefault="001F1CF6" w:rsidP="004E3966">
      <w:pPr>
        <w:spacing w:after="240"/>
        <w:jc w:val="both"/>
      </w:pPr>
      <w:r>
        <w:t xml:space="preserve">A Charging Risk Assessment (CRA) </w:t>
      </w:r>
      <w:r w:rsidR="00912E21">
        <w:t>has been undertaken on</w:t>
      </w:r>
      <w:r>
        <w:t xml:space="preserve"> the CBD program</w:t>
      </w:r>
      <w:r w:rsidR="00777A54">
        <w:t xml:space="preserve"> cost recovery</w:t>
      </w:r>
      <w:r w:rsidR="0085597A">
        <w:t xml:space="preserve"> arrangement</w:t>
      </w:r>
      <w:r>
        <w:t xml:space="preserve">. </w:t>
      </w:r>
      <w:r w:rsidR="001F428F" w:rsidRPr="070CBDA7">
        <w:t xml:space="preserve">The CRA assesses the risks of whether </w:t>
      </w:r>
      <w:r w:rsidR="0085597A">
        <w:t>any</w:t>
      </w:r>
      <w:r w:rsidR="001F428F" w:rsidRPr="070CBDA7">
        <w:t xml:space="preserve"> change in the charging arrangement may adversely impact on its regulated entities, and/or be inconsistent with government policy and legislative requirements.</w:t>
      </w:r>
    </w:p>
    <w:p w14:paraId="3CD4F5BC" w14:textId="7F6BA04E" w:rsidR="001F1CF6" w:rsidRDefault="00E41BEC" w:rsidP="004E3966">
      <w:pPr>
        <w:spacing w:after="240"/>
        <w:jc w:val="both"/>
      </w:pPr>
      <w:r w:rsidRPr="070CBDA7">
        <w:t>The cost recovery arrangement was assessed as having</w:t>
      </w:r>
      <w:r w:rsidR="00994D37">
        <w:t xml:space="preserve"> a ‘medium</w:t>
      </w:r>
      <w:r w:rsidR="00D749A1">
        <w:t xml:space="preserve">’ </w:t>
      </w:r>
      <w:r w:rsidR="00D749A1" w:rsidRPr="070CBDA7">
        <w:t>risk</w:t>
      </w:r>
      <w:r w:rsidR="00B536E5" w:rsidRPr="070CBDA7">
        <w:t xml:space="preserve"> level. The department </w:t>
      </w:r>
      <w:r w:rsidR="00935EA8" w:rsidRPr="070CBDA7">
        <w:t>views the risks associated with the charging arrangement as being appropriately managed</w:t>
      </w:r>
      <w:r w:rsidR="00BE6016" w:rsidRPr="070CBDA7">
        <w:t xml:space="preserve">. </w:t>
      </w:r>
      <w:r w:rsidR="001F1CF6">
        <w:t xml:space="preserve">This </w:t>
      </w:r>
      <w:r w:rsidR="00BE6016">
        <w:t xml:space="preserve">conclusion </w:t>
      </w:r>
      <w:r w:rsidR="001F1CF6">
        <w:t>is based on the following factors:</w:t>
      </w:r>
    </w:p>
    <w:p w14:paraId="50E3F66D" w14:textId="258EBFB2" w:rsidR="001F1CF6" w:rsidRPr="004B1B52" w:rsidRDefault="001F1CF6" w:rsidP="004E3966">
      <w:pPr>
        <w:pStyle w:val="ListParagraph"/>
        <w:numPr>
          <w:ilvl w:val="0"/>
          <w:numId w:val="9"/>
        </w:numPr>
        <w:spacing w:after="0"/>
        <w:ind w:left="714" w:hanging="357"/>
        <w:jc w:val="both"/>
        <w:rPr>
          <w:rFonts w:asciiTheme="minorHAnsi" w:hAnsiTheme="minorHAnsi"/>
          <w:sz w:val="20"/>
          <w:szCs w:val="20"/>
        </w:rPr>
      </w:pPr>
      <w:r w:rsidRPr="070CBDA7">
        <w:rPr>
          <w:rFonts w:asciiTheme="minorHAnsi" w:hAnsiTheme="minorHAnsi"/>
          <w:sz w:val="20"/>
          <w:szCs w:val="20"/>
        </w:rPr>
        <w:t>The program has a multi-million-dollar operating budget yet currently recovers less than $10</w:t>
      </w:r>
      <w:r w:rsidR="00F742B4" w:rsidRPr="070CBDA7">
        <w:rPr>
          <w:rFonts w:asciiTheme="minorHAnsi" w:hAnsiTheme="minorHAnsi"/>
          <w:sz w:val="20"/>
          <w:szCs w:val="20"/>
        </w:rPr>
        <w:t>0</w:t>
      </w:r>
      <w:r w:rsidRPr="070CBDA7">
        <w:rPr>
          <w:rFonts w:asciiTheme="minorHAnsi" w:hAnsiTheme="minorHAnsi"/>
          <w:sz w:val="20"/>
          <w:szCs w:val="20"/>
        </w:rPr>
        <w:t xml:space="preserve">,000 annually from industry representing under </w:t>
      </w:r>
      <w:r w:rsidR="001906ED" w:rsidRPr="070CBDA7">
        <w:rPr>
          <w:rFonts w:asciiTheme="minorHAnsi" w:hAnsiTheme="minorHAnsi"/>
          <w:sz w:val="20"/>
          <w:szCs w:val="20"/>
        </w:rPr>
        <w:t>10</w:t>
      </w:r>
      <w:r w:rsidRPr="070CBDA7">
        <w:rPr>
          <w:rFonts w:asciiTheme="minorHAnsi" w:hAnsiTheme="minorHAnsi"/>
          <w:sz w:val="20"/>
          <w:szCs w:val="20"/>
        </w:rPr>
        <w:t>% of total program costs.</w:t>
      </w:r>
    </w:p>
    <w:p w14:paraId="5471983A" w14:textId="2153C8CC" w:rsidR="001F1CF6" w:rsidRPr="004B1B52" w:rsidRDefault="001F1CF6" w:rsidP="004E3966">
      <w:pPr>
        <w:pStyle w:val="ListParagraph"/>
        <w:numPr>
          <w:ilvl w:val="0"/>
          <w:numId w:val="9"/>
        </w:numPr>
        <w:spacing w:after="0"/>
        <w:ind w:left="714" w:hanging="357"/>
        <w:jc w:val="both"/>
        <w:rPr>
          <w:rFonts w:asciiTheme="minorHAnsi" w:hAnsiTheme="minorHAnsi"/>
          <w:sz w:val="20"/>
          <w:szCs w:val="20"/>
        </w:rPr>
      </w:pPr>
      <w:r w:rsidRPr="070CBDA7">
        <w:rPr>
          <w:rFonts w:asciiTheme="minorHAnsi" w:hAnsiTheme="minorHAnsi"/>
          <w:sz w:val="20"/>
          <w:szCs w:val="20"/>
        </w:rPr>
        <w:t>There are no proposed changes to the existing cost model, and no immediate cost impacts are expected for regulated entities. While there may be future changes, the current revenue collected through cost recovery is minimal.</w:t>
      </w:r>
    </w:p>
    <w:p w14:paraId="24E9C0BD" w14:textId="6C1FC903" w:rsidR="001F1CF6" w:rsidRPr="004B1B52" w:rsidRDefault="001F1CF6" w:rsidP="004E3966">
      <w:pPr>
        <w:pStyle w:val="ListParagraph"/>
        <w:numPr>
          <w:ilvl w:val="0"/>
          <w:numId w:val="9"/>
        </w:numPr>
        <w:ind w:left="714" w:hanging="357"/>
        <w:jc w:val="both"/>
        <w:rPr>
          <w:rFonts w:asciiTheme="minorHAnsi" w:hAnsiTheme="minorHAnsi"/>
          <w:sz w:val="20"/>
          <w:szCs w:val="20"/>
        </w:rPr>
      </w:pPr>
      <w:r w:rsidRPr="070CBDA7">
        <w:rPr>
          <w:rFonts w:asciiTheme="minorHAnsi" w:hAnsiTheme="minorHAnsi"/>
          <w:sz w:val="20"/>
          <w:szCs w:val="20"/>
        </w:rPr>
        <w:t xml:space="preserve">Revenue and activity levels under the CBD </w:t>
      </w:r>
      <w:r w:rsidR="002772B6" w:rsidRPr="070CBDA7">
        <w:rPr>
          <w:rFonts w:asciiTheme="minorHAnsi" w:hAnsiTheme="minorHAnsi"/>
          <w:sz w:val="20"/>
          <w:szCs w:val="20"/>
        </w:rPr>
        <w:t>p</w:t>
      </w:r>
      <w:r w:rsidRPr="070CBDA7">
        <w:rPr>
          <w:rFonts w:asciiTheme="minorHAnsi" w:hAnsiTheme="minorHAnsi"/>
          <w:sz w:val="20"/>
          <w:szCs w:val="20"/>
        </w:rPr>
        <w:t>rogram’s cost recovery framework are demand driven.</w:t>
      </w:r>
    </w:p>
    <w:p w14:paraId="4C5D6211" w14:textId="4FB99923" w:rsidR="004B1B52" w:rsidRDefault="001F1CF6" w:rsidP="004E3966">
      <w:pPr>
        <w:spacing w:after="240"/>
        <w:jc w:val="both"/>
      </w:pPr>
      <w:r>
        <w:t xml:space="preserve">The department regularly monitors and reviews revenue and activity levels on an annual basis. This approach enables early identification of any emerging issues or trends, allowing the department to adjust </w:t>
      </w:r>
      <w:r w:rsidR="003C4E7B">
        <w:t>resources,</w:t>
      </w:r>
      <w:r>
        <w:t xml:space="preserve"> as necessary.</w:t>
      </w:r>
    </w:p>
    <w:p w14:paraId="14460505" w14:textId="5F1C8761" w:rsidR="00016586" w:rsidRPr="00D57921" w:rsidRDefault="00016586" w:rsidP="00000F28">
      <w:pPr>
        <w:pStyle w:val="Heading1"/>
        <w:numPr>
          <w:ilvl w:val="0"/>
          <w:numId w:val="2"/>
        </w:numPr>
        <w:spacing w:after="240"/>
      </w:pPr>
      <w:bookmarkStart w:id="17" w:name="_Toc214441560"/>
      <w:r w:rsidRPr="00D57921">
        <w:t>STAKEHOLDER ENGAGEMENT</w:t>
      </w:r>
      <w:bookmarkEnd w:id="17"/>
    </w:p>
    <w:p w14:paraId="2389616D" w14:textId="60A21674" w:rsidR="002B2204" w:rsidRDefault="002B2204" w:rsidP="004E3966">
      <w:pPr>
        <w:spacing w:after="240"/>
        <w:jc w:val="both"/>
      </w:pPr>
      <w:r>
        <w:t xml:space="preserve">Building owners are the primary CBD </w:t>
      </w:r>
      <w:r w:rsidR="00F9700E">
        <w:t>p</w:t>
      </w:r>
      <w:r>
        <w:t>rogram stakeholders. Owners</w:t>
      </w:r>
      <w:r w:rsidRPr="000E67A8">
        <w:t xml:space="preserve"> </w:t>
      </w:r>
      <w:r>
        <w:t>e</w:t>
      </w:r>
      <w:r w:rsidRPr="000E67A8">
        <w:t xml:space="preserve">ngage accredited assessors to </w:t>
      </w:r>
      <w:r>
        <w:t xml:space="preserve">complete assessments </w:t>
      </w:r>
      <w:r w:rsidRPr="000E67A8">
        <w:t>and submit applications to the department on their behalf</w:t>
      </w:r>
      <w:r>
        <w:t>, to meet their legal obligations under the BEED Act and BEED Regulations</w:t>
      </w:r>
      <w:r w:rsidRPr="000E67A8">
        <w:t>.</w:t>
      </w:r>
    </w:p>
    <w:p w14:paraId="686B4865" w14:textId="4E5EC56A" w:rsidR="002B2204" w:rsidRDefault="002B2204" w:rsidP="004E3966">
      <w:pPr>
        <w:spacing w:after="240"/>
        <w:jc w:val="both"/>
      </w:pPr>
      <w:r>
        <w:t xml:space="preserve">The department communicates with stakeholders through various channels, including phone calls, emails, and information published on the CBD </w:t>
      </w:r>
      <w:r w:rsidR="002767C9">
        <w:t>program</w:t>
      </w:r>
      <w:r>
        <w:t xml:space="preserve"> website. Each year, CBD </w:t>
      </w:r>
      <w:r w:rsidR="00AC17FC">
        <w:t>accredited</w:t>
      </w:r>
      <w:r>
        <w:t xml:space="preserve"> </w:t>
      </w:r>
      <w:r w:rsidR="00804FB2">
        <w:t xml:space="preserve">assessors </w:t>
      </w:r>
      <w:r w:rsidR="00AC17FC">
        <w:t xml:space="preserve">are notified </w:t>
      </w:r>
      <w:r>
        <w:t xml:space="preserve">of fee changes </w:t>
      </w:r>
      <w:r w:rsidR="00804FB2">
        <w:t xml:space="preserve">(if any) </w:t>
      </w:r>
      <w:r w:rsidR="00F7034D">
        <w:t>in line</w:t>
      </w:r>
      <w:r>
        <w:t xml:space="preserve"> with first quarter CPI adjustments</w:t>
      </w:r>
      <w:r w:rsidR="00F33342">
        <w:t>.</w:t>
      </w:r>
    </w:p>
    <w:p w14:paraId="76C53490" w14:textId="3DAD5EBD" w:rsidR="002B2204" w:rsidRDefault="002B2204" w:rsidP="004E3966">
      <w:pPr>
        <w:spacing w:after="240"/>
        <w:jc w:val="both"/>
      </w:pPr>
      <w:r>
        <w:t>The department also</w:t>
      </w:r>
      <w:r w:rsidRPr="1DB10D80">
        <w:t xml:space="preserve"> </w:t>
      </w:r>
      <w:r>
        <w:t xml:space="preserve">engages with </w:t>
      </w:r>
      <w:r w:rsidRPr="1DB10D80">
        <w:t xml:space="preserve">federal and state government to better understand their </w:t>
      </w:r>
      <w:r>
        <w:t xml:space="preserve">perspectives, </w:t>
      </w:r>
      <w:r w:rsidRPr="1DB10D80">
        <w:t xml:space="preserve">concerns, and overall satisfaction with the </w:t>
      </w:r>
      <w:r>
        <w:t>d</w:t>
      </w:r>
      <w:r w:rsidRPr="1DB10D80">
        <w:t xml:space="preserve">epartment’s services. This feedback </w:t>
      </w:r>
      <w:r>
        <w:t xml:space="preserve">plays a crucial role in driving </w:t>
      </w:r>
      <w:r w:rsidRPr="1DB10D80">
        <w:t xml:space="preserve">improvements to the </w:t>
      </w:r>
      <w:r w:rsidR="00AC17FC">
        <w:t>program’s</w:t>
      </w:r>
      <w:r w:rsidRPr="1DB10D80">
        <w:t xml:space="preserve"> efficiency and effectiveness</w:t>
      </w:r>
      <w:r>
        <w:t>.</w:t>
      </w:r>
    </w:p>
    <w:p w14:paraId="3102211F" w14:textId="7F73D6E0" w:rsidR="001B6199" w:rsidRDefault="000501DC" w:rsidP="004E3966">
      <w:pPr>
        <w:spacing w:after="240"/>
        <w:jc w:val="both"/>
      </w:pPr>
      <w:r>
        <w:t xml:space="preserve">The inaugural CBD </w:t>
      </w:r>
      <w:r w:rsidR="00A42500">
        <w:t>p</w:t>
      </w:r>
      <w:r>
        <w:t xml:space="preserve">rogram annual assessor survey was initiated by the department to better gauge and understand the experiences, needs, and perspectives of CBD </w:t>
      </w:r>
      <w:r w:rsidR="00F9216F">
        <w:t xml:space="preserve">accredited </w:t>
      </w:r>
      <w:r>
        <w:t xml:space="preserve">assessors regarding CBD </w:t>
      </w:r>
      <w:r w:rsidR="00A42500">
        <w:t>p</w:t>
      </w:r>
      <w:r>
        <w:t>rogram operations and stakeholder engagement</w:t>
      </w:r>
      <w:r w:rsidR="00D749A1">
        <w:t xml:space="preserve">. </w:t>
      </w:r>
      <w:r>
        <w:t xml:space="preserve">The survey ran from 1 </w:t>
      </w:r>
      <w:r w:rsidR="003C4E7B">
        <w:t>March</w:t>
      </w:r>
      <w:r w:rsidR="503D3F52">
        <w:t xml:space="preserve"> to </w:t>
      </w:r>
      <w:r>
        <w:t>31 March 2025</w:t>
      </w:r>
      <w:r w:rsidR="00012393">
        <w:t xml:space="preserve">, with aggregated results to be published on the public CBD </w:t>
      </w:r>
      <w:r w:rsidR="00A42500">
        <w:t>p</w:t>
      </w:r>
      <w:r w:rsidR="00012393">
        <w:t>rogram website.</w:t>
      </w:r>
    </w:p>
    <w:p w14:paraId="067E6B68" w14:textId="3EA1F846" w:rsidR="002B2204" w:rsidRDefault="002B2204" w:rsidP="004E3966">
      <w:pPr>
        <w:spacing w:after="240"/>
        <w:jc w:val="both"/>
      </w:pPr>
      <w:r w:rsidRPr="0026668E">
        <w:t xml:space="preserve">From 14 June to 13 September </w:t>
      </w:r>
      <w:r>
        <w:t>2024, t</w:t>
      </w:r>
      <w:r w:rsidRPr="1DB10D80">
        <w:t xml:space="preserve">he </w:t>
      </w:r>
      <w:r>
        <w:t xml:space="preserve">department </w:t>
      </w:r>
      <w:r w:rsidR="00012393">
        <w:t xml:space="preserve">also </w:t>
      </w:r>
      <w:r>
        <w:t>undertook</w:t>
      </w:r>
      <w:r w:rsidRPr="1DB10D80">
        <w:t xml:space="preserve"> </w:t>
      </w:r>
      <w:hyperlink r:id="rId15">
        <w:r w:rsidRPr="070CBDA7">
          <w:rPr>
            <w:rStyle w:val="Hyperlink"/>
            <w:rFonts w:cstheme="minorBidi"/>
            <w:color w:val="2E74B5" w:themeColor="accent1" w:themeShade="BF"/>
            <w:u w:val="single"/>
          </w:rPr>
          <w:t>public consultation</w:t>
        </w:r>
      </w:hyperlink>
      <w:r w:rsidRPr="00CF5AEE">
        <w:rPr>
          <w:color w:val="2E74B5" w:themeColor="accent1" w:themeShade="BF"/>
          <w:u w:val="single"/>
        </w:rPr>
        <w:t xml:space="preserve"> </w:t>
      </w:r>
      <w:r w:rsidRPr="1DB10D80">
        <w:t>seek</w:t>
      </w:r>
      <w:r>
        <w:t>ing</w:t>
      </w:r>
      <w:r w:rsidRPr="1DB10D80">
        <w:t xml:space="preserve"> input from the commercial building sector </w:t>
      </w:r>
      <w:r>
        <w:t xml:space="preserve">and other interested stakeholders </w:t>
      </w:r>
      <w:r w:rsidRPr="1DB10D80">
        <w:t xml:space="preserve">regarding </w:t>
      </w:r>
      <w:r>
        <w:t xml:space="preserve">potential </w:t>
      </w:r>
      <w:r w:rsidRPr="00CF5AEE">
        <w:rPr>
          <w:rFonts w:cs="Times New Roman"/>
        </w:rPr>
        <w:t xml:space="preserve">expansion of the CBD </w:t>
      </w:r>
      <w:r w:rsidR="00CF5AEE">
        <w:rPr>
          <w:rFonts w:cs="Times New Roman"/>
        </w:rPr>
        <w:t>p</w:t>
      </w:r>
      <w:r w:rsidRPr="00CF5AEE">
        <w:rPr>
          <w:rFonts w:cs="Times New Roman"/>
        </w:rPr>
        <w:t>rogram to other building types</w:t>
      </w:r>
      <w:r w:rsidRPr="1DB10D80">
        <w:t xml:space="preserve">. </w:t>
      </w:r>
      <w:r>
        <w:t>Further industry consultation will be undertaken t</w:t>
      </w:r>
      <w:r w:rsidRPr="00F07506">
        <w:t xml:space="preserve">o </w:t>
      </w:r>
      <w:r>
        <w:t>inform</w:t>
      </w:r>
      <w:r w:rsidRPr="00F07506">
        <w:t xml:space="preserve"> </w:t>
      </w:r>
      <w:r>
        <w:t xml:space="preserve">any future decision regarding improvements to the cost recovery model, including any fee increases or </w:t>
      </w:r>
      <w:r w:rsidRPr="00F07506">
        <w:t>introduction of new charge points.</w:t>
      </w:r>
    </w:p>
    <w:p w14:paraId="0DC50C31" w14:textId="5749F084" w:rsidR="00F00F5F" w:rsidRDefault="002B2204" w:rsidP="004E3966">
      <w:pPr>
        <w:spacing w:after="240"/>
        <w:jc w:val="both"/>
      </w:pPr>
      <w:r w:rsidRPr="1DB10D80">
        <w:t xml:space="preserve">The </w:t>
      </w:r>
      <w:r>
        <w:t>d</w:t>
      </w:r>
      <w:r w:rsidRPr="1DB10D80">
        <w:t xml:space="preserve">epartment will continue to monitor the effectiveness of the current charging </w:t>
      </w:r>
      <w:r>
        <w:t>arrangement</w:t>
      </w:r>
      <w:r w:rsidRPr="1DB10D80">
        <w:t xml:space="preserve"> and assess the appropriateness of charge rates. </w:t>
      </w:r>
      <w:r>
        <w:t xml:space="preserve">Any consideration of changes to the cost recovery model will take account of the wider non-regulatory costs on industry to comply with the CBD </w:t>
      </w:r>
      <w:r w:rsidR="002767C9">
        <w:t>p</w:t>
      </w:r>
      <w:r>
        <w:t>rogram. This</w:t>
      </w:r>
      <w:r w:rsidR="00F00F5F">
        <w:t xml:space="preserve"> includes the costs of engaging an accredited energy assessor to undertake a NABERS assessment and obtaining a certified NABERS rating.</w:t>
      </w:r>
    </w:p>
    <w:p w14:paraId="399EA504" w14:textId="2C8114B3" w:rsidR="00EB3384" w:rsidRDefault="00F00F5F" w:rsidP="004E3966">
      <w:pPr>
        <w:spacing w:after="240"/>
        <w:jc w:val="both"/>
      </w:pPr>
      <w:r w:rsidRPr="00A45A62">
        <w:t xml:space="preserve">The department will publish </w:t>
      </w:r>
      <w:r>
        <w:t xml:space="preserve">an updated CRIS including </w:t>
      </w:r>
      <w:r w:rsidRPr="00A45A62">
        <w:t xml:space="preserve">non-financial performance data annually to support transparency and uphold the integrity of the </w:t>
      </w:r>
      <w:r w:rsidR="00DB3155">
        <w:t>p</w:t>
      </w:r>
      <w:r w:rsidRPr="00A45A62">
        <w:t>rogram.</w:t>
      </w:r>
      <w:r w:rsidR="00EB3384">
        <w:br w:type="page"/>
      </w:r>
    </w:p>
    <w:p w14:paraId="2A4D4C27" w14:textId="516DDA33" w:rsidR="003D5987" w:rsidRPr="00D57921" w:rsidRDefault="00021D3A" w:rsidP="00000F28">
      <w:pPr>
        <w:pStyle w:val="Heading1"/>
        <w:numPr>
          <w:ilvl w:val="0"/>
          <w:numId w:val="2"/>
        </w:numPr>
        <w:spacing w:after="240"/>
      </w:pPr>
      <w:bookmarkStart w:id="18" w:name="_Toc214441561"/>
      <w:r w:rsidRPr="00D57921">
        <w:lastRenderedPageBreak/>
        <w:t xml:space="preserve">FINANCIAL </w:t>
      </w:r>
      <w:r w:rsidR="00EE2622" w:rsidRPr="00D57921">
        <w:t>PERFORMANCE</w:t>
      </w:r>
      <w:bookmarkEnd w:id="18"/>
    </w:p>
    <w:p w14:paraId="52595ADC" w14:textId="7B0808E9" w:rsidR="0055327C" w:rsidRDefault="0055327C" w:rsidP="004E3966">
      <w:pPr>
        <w:spacing w:before="320" w:after="240"/>
        <w:jc w:val="both"/>
      </w:pPr>
      <w:r>
        <w:t>Information on the financial performance of the combined total of all outputs is presented in the following sections.</w:t>
      </w:r>
    </w:p>
    <w:p w14:paraId="0D38CD5E" w14:textId="4E35FAE2" w:rsidR="007C1E69" w:rsidRDefault="007327A6" w:rsidP="00000F28">
      <w:pPr>
        <w:pStyle w:val="Heading2"/>
        <w:numPr>
          <w:ilvl w:val="1"/>
          <w:numId w:val="2"/>
        </w:numPr>
        <w:spacing w:before="320" w:after="240"/>
        <w:ind w:left="426"/>
      </w:pPr>
      <w:r>
        <w:t xml:space="preserve"> </w:t>
      </w:r>
      <w:bookmarkStart w:id="19" w:name="_Toc214441562"/>
      <w:r w:rsidR="007C1E69">
        <w:t>Financial Estimates</w:t>
      </w:r>
      <w:bookmarkEnd w:id="19"/>
    </w:p>
    <w:p w14:paraId="549C3AD9" w14:textId="4633460B" w:rsidR="0055327C" w:rsidRDefault="00961940" w:rsidP="00000F28">
      <w:pPr>
        <w:spacing w:before="320" w:after="240"/>
      </w:pPr>
      <w:r>
        <w:t>Financial estimates</w:t>
      </w:r>
      <w:r w:rsidR="0055327C">
        <w:t xml:space="preserve"> for the </w:t>
      </w:r>
      <w:r w:rsidR="00D15FC4">
        <w:t>202</w:t>
      </w:r>
      <w:r w:rsidR="00612A87">
        <w:t>4</w:t>
      </w:r>
      <w:r w:rsidR="00FB15D7">
        <w:t>–</w:t>
      </w:r>
      <w:r w:rsidR="00D15FC4">
        <w:t>2</w:t>
      </w:r>
      <w:r w:rsidR="00612A87">
        <w:t>5</w:t>
      </w:r>
      <w:r w:rsidR="0055327C">
        <w:t xml:space="preserve"> budget year and the three forward years are presented in Table 6.1.1.</w:t>
      </w:r>
    </w:p>
    <w:p w14:paraId="68E281D8" w14:textId="7EA29F48" w:rsidR="0055327C" w:rsidRPr="009336FC" w:rsidRDefault="009336FC" w:rsidP="00000F28">
      <w:pPr>
        <w:spacing w:before="320" w:after="240"/>
        <w:rPr>
          <w:b/>
          <w:bCs/>
        </w:rPr>
      </w:pPr>
      <w:r>
        <w:rPr>
          <w:b/>
          <w:bCs/>
        </w:rPr>
        <w:t xml:space="preserve">Table 6.1.1 – </w:t>
      </w:r>
      <w:r w:rsidR="00C32B27">
        <w:rPr>
          <w:b/>
          <w:bCs/>
        </w:rPr>
        <w:t>F</w:t>
      </w:r>
      <w:r w:rsidR="00AE1E0E">
        <w:rPr>
          <w:b/>
          <w:bCs/>
        </w:rPr>
        <w:t xml:space="preserve">inancial </w:t>
      </w:r>
      <w:r w:rsidR="00961940">
        <w:rPr>
          <w:b/>
          <w:bCs/>
        </w:rPr>
        <w:t>e</w:t>
      </w:r>
      <w:r w:rsidR="00782524">
        <w:rPr>
          <w:b/>
          <w:bCs/>
        </w:rPr>
        <w:t xml:space="preserve">stimates for the </w:t>
      </w:r>
      <w:r>
        <w:rPr>
          <w:b/>
          <w:bCs/>
        </w:rPr>
        <w:t>budget year and forward year</w:t>
      </w:r>
      <w:r w:rsidR="00782524">
        <w:rPr>
          <w:b/>
          <w:bCs/>
        </w:rPr>
        <w:t>s</w:t>
      </w:r>
    </w:p>
    <w:tbl>
      <w:tblPr>
        <w:tblpPr w:leftFromText="180" w:rightFromText="180" w:vertAnchor="text" w:horzAnchor="margin" w:tblpXSpec="center" w:tblpY="143"/>
        <w:tblW w:w="5000" w:type="pct"/>
        <w:tblLook w:val="04A0" w:firstRow="1" w:lastRow="0" w:firstColumn="1" w:lastColumn="0" w:noHBand="0" w:noVBand="1"/>
      </w:tblPr>
      <w:tblGrid>
        <w:gridCol w:w="2736"/>
        <w:gridCol w:w="1610"/>
        <w:gridCol w:w="1612"/>
        <w:gridCol w:w="1612"/>
        <w:gridCol w:w="1610"/>
      </w:tblGrid>
      <w:tr w:rsidR="00BF7654" w:rsidRPr="009D7F79" w14:paraId="6E80D4B0" w14:textId="77777777" w:rsidTr="00287A12">
        <w:trPr>
          <w:trHeight w:val="418"/>
        </w:trPr>
        <w:tc>
          <w:tcPr>
            <w:tcW w:w="149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0C8D8B5" w14:textId="77777777" w:rsidR="00BF7654" w:rsidRPr="002244BB" w:rsidRDefault="00BF7654" w:rsidP="00287A12">
            <w:pPr>
              <w:spacing w:after="0"/>
              <w:jc w:val="both"/>
              <w:rPr>
                <w:b/>
                <w:i/>
                <w:color w:val="000000"/>
                <w:u w:val="single"/>
                <w:lang w:eastAsia="en-AU"/>
              </w:rPr>
            </w:pPr>
            <w:r w:rsidRPr="002244BB">
              <w:rPr>
                <w:b/>
                <w:bCs/>
              </w:rPr>
              <w:t>Financial Item</w:t>
            </w:r>
          </w:p>
        </w:tc>
        <w:tc>
          <w:tcPr>
            <w:tcW w:w="877"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247AD90" w14:textId="59A7FE59" w:rsidR="00BF7654" w:rsidRPr="002244BB" w:rsidRDefault="00BF7654" w:rsidP="00287A12">
            <w:pPr>
              <w:keepNext/>
              <w:spacing w:after="0"/>
              <w:jc w:val="center"/>
              <w:rPr>
                <w:b/>
                <w:color w:val="000000"/>
                <w:lang w:eastAsia="en-AU"/>
              </w:rPr>
            </w:pPr>
            <w:r w:rsidRPr="070CBDA7">
              <w:rPr>
                <w:b/>
                <w:color w:val="000000" w:themeColor="text1"/>
                <w:lang w:eastAsia="en-AU"/>
              </w:rPr>
              <w:t>202</w:t>
            </w:r>
            <w:r w:rsidR="00267E3F" w:rsidRPr="070CBDA7">
              <w:rPr>
                <w:b/>
                <w:color w:val="000000" w:themeColor="text1"/>
                <w:lang w:eastAsia="en-AU"/>
              </w:rPr>
              <w:t>4</w:t>
            </w:r>
            <w:r w:rsidR="19C8A3A0" w:rsidRPr="070CBDA7">
              <w:rPr>
                <w:b/>
                <w:bCs/>
              </w:rPr>
              <w:t>–</w:t>
            </w:r>
            <w:r w:rsidRPr="070CBDA7">
              <w:rPr>
                <w:b/>
                <w:color w:val="000000" w:themeColor="text1"/>
                <w:lang w:eastAsia="en-AU"/>
              </w:rPr>
              <w:t>2</w:t>
            </w:r>
            <w:r w:rsidR="00267E3F" w:rsidRPr="070CBDA7">
              <w:rPr>
                <w:b/>
                <w:color w:val="000000" w:themeColor="text1"/>
                <w:lang w:eastAsia="en-AU"/>
              </w:rPr>
              <w:t>5</w:t>
            </w:r>
          </w:p>
          <w:p w14:paraId="7310AF8D" w14:textId="7CAA581C" w:rsidR="00BF7654" w:rsidRPr="002244BB" w:rsidRDefault="00BF7654" w:rsidP="00287A12">
            <w:pPr>
              <w:keepNext/>
              <w:spacing w:after="0"/>
              <w:jc w:val="center"/>
              <w:rPr>
                <w:b/>
                <w:color w:val="000000"/>
                <w:lang w:eastAsia="en-AU"/>
              </w:rPr>
            </w:pPr>
            <w:r w:rsidRPr="070CBDA7">
              <w:rPr>
                <w:b/>
                <w:color w:val="000000" w:themeColor="text1"/>
                <w:lang w:eastAsia="en-AU"/>
              </w:rPr>
              <w:t>($m)</w:t>
            </w:r>
          </w:p>
        </w:tc>
        <w:tc>
          <w:tcPr>
            <w:tcW w:w="878" w:type="pct"/>
            <w:tcBorders>
              <w:top w:val="single" w:sz="4" w:space="0" w:color="auto"/>
              <w:left w:val="nil"/>
              <w:bottom w:val="single" w:sz="4" w:space="0" w:color="auto"/>
              <w:right w:val="single" w:sz="4" w:space="0" w:color="000000" w:themeColor="text1"/>
            </w:tcBorders>
            <w:shd w:val="clear" w:color="auto" w:fill="DEEAF6" w:themeFill="accent1" w:themeFillTint="33"/>
            <w:hideMark/>
          </w:tcPr>
          <w:p w14:paraId="5891A0F3" w14:textId="45345B5F" w:rsidR="00BF7654" w:rsidRPr="002244BB" w:rsidRDefault="00BF7654" w:rsidP="00287A12">
            <w:pPr>
              <w:keepNext/>
              <w:spacing w:after="0"/>
              <w:jc w:val="center"/>
              <w:rPr>
                <w:b/>
                <w:color w:val="000000"/>
                <w:lang w:eastAsia="en-AU"/>
              </w:rPr>
            </w:pPr>
            <w:r w:rsidRPr="070CBDA7">
              <w:rPr>
                <w:b/>
                <w:color w:val="000000" w:themeColor="text1"/>
                <w:lang w:eastAsia="en-AU"/>
              </w:rPr>
              <w:t>202</w:t>
            </w:r>
            <w:r w:rsidR="00267E3F" w:rsidRPr="070CBDA7">
              <w:rPr>
                <w:b/>
                <w:color w:val="000000" w:themeColor="text1"/>
                <w:lang w:eastAsia="en-AU"/>
              </w:rPr>
              <w:t>5</w:t>
            </w:r>
            <w:r w:rsidR="19C8A3A0" w:rsidRPr="070CBDA7">
              <w:rPr>
                <w:b/>
                <w:bCs/>
              </w:rPr>
              <w:t>–</w:t>
            </w:r>
            <w:r w:rsidRPr="070CBDA7">
              <w:rPr>
                <w:b/>
                <w:color w:val="000000" w:themeColor="text1"/>
                <w:lang w:eastAsia="en-AU"/>
              </w:rPr>
              <w:t>2</w:t>
            </w:r>
            <w:r w:rsidR="00267E3F" w:rsidRPr="070CBDA7">
              <w:rPr>
                <w:b/>
                <w:color w:val="000000" w:themeColor="text1"/>
                <w:lang w:eastAsia="en-AU"/>
              </w:rPr>
              <w:t>6</w:t>
            </w:r>
          </w:p>
          <w:p w14:paraId="33B7E4BE" w14:textId="65D87AE5" w:rsidR="00BF7654" w:rsidRPr="002244BB" w:rsidRDefault="00BF7654" w:rsidP="00287A12">
            <w:pPr>
              <w:keepNext/>
              <w:spacing w:after="0"/>
              <w:jc w:val="center"/>
              <w:rPr>
                <w:b/>
                <w:color w:val="000000"/>
                <w:lang w:eastAsia="en-AU"/>
              </w:rPr>
            </w:pPr>
            <w:r w:rsidRPr="070CBDA7">
              <w:rPr>
                <w:b/>
                <w:color w:val="000000" w:themeColor="text1"/>
                <w:lang w:eastAsia="en-AU"/>
              </w:rPr>
              <w:t>($m)</w:t>
            </w:r>
          </w:p>
        </w:tc>
        <w:tc>
          <w:tcPr>
            <w:tcW w:w="878" w:type="pct"/>
            <w:tcBorders>
              <w:top w:val="single" w:sz="4" w:space="0" w:color="auto"/>
              <w:left w:val="nil"/>
              <w:bottom w:val="single" w:sz="4" w:space="0" w:color="auto"/>
              <w:right w:val="single" w:sz="4" w:space="0" w:color="000000" w:themeColor="text1"/>
            </w:tcBorders>
            <w:shd w:val="clear" w:color="auto" w:fill="DEEAF6" w:themeFill="accent1" w:themeFillTint="33"/>
          </w:tcPr>
          <w:p w14:paraId="1805DD5E" w14:textId="5A40ADB9" w:rsidR="00BF7654" w:rsidRPr="002244BB" w:rsidRDefault="00BF7654" w:rsidP="00287A12">
            <w:pPr>
              <w:keepNext/>
              <w:spacing w:after="0"/>
              <w:jc w:val="center"/>
              <w:rPr>
                <w:b/>
                <w:color w:val="000000"/>
                <w:lang w:eastAsia="en-AU"/>
              </w:rPr>
            </w:pPr>
            <w:r w:rsidRPr="070CBDA7">
              <w:rPr>
                <w:b/>
                <w:color w:val="000000" w:themeColor="text1"/>
                <w:lang w:eastAsia="en-AU"/>
              </w:rPr>
              <w:t>202</w:t>
            </w:r>
            <w:r w:rsidR="00267E3F" w:rsidRPr="070CBDA7">
              <w:rPr>
                <w:b/>
                <w:color w:val="000000" w:themeColor="text1"/>
                <w:lang w:eastAsia="en-AU"/>
              </w:rPr>
              <w:t>6</w:t>
            </w:r>
            <w:r w:rsidR="19C8A3A0" w:rsidRPr="070CBDA7">
              <w:rPr>
                <w:b/>
                <w:bCs/>
              </w:rPr>
              <w:t>–</w:t>
            </w:r>
            <w:r w:rsidRPr="070CBDA7">
              <w:rPr>
                <w:b/>
                <w:color w:val="000000" w:themeColor="text1"/>
                <w:lang w:eastAsia="en-AU"/>
              </w:rPr>
              <w:t>2</w:t>
            </w:r>
            <w:r w:rsidR="00267E3F" w:rsidRPr="070CBDA7">
              <w:rPr>
                <w:b/>
                <w:color w:val="000000" w:themeColor="text1"/>
                <w:lang w:eastAsia="en-AU"/>
              </w:rPr>
              <w:t>7</w:t>
            </w:r>
          </w:p>
          <w:p w14:paraId="3119B01C" w14:textId="340A2056" w:rsidR="00BF7654" w:rsidRPr="002244BB" w:rsidRDefault="00BF7654" w:rsidP="00287A12">
            <w:pPr>
              <w:keepNext/>
              <w:spacing w:after="0"/>
              <w:jc w:val="center"/>
              <w:rPr>
                <w:b/>
                <w:color w:val="000000"/>
                <w:lang w:eastAsia="en-AU"/>
              </w:rPr>
            </w:pPr>
            <w:r w:rsidRPr="070CBDA7">
              <w:rPr>
                <w:b/>
                <w:color w:val="000000" w:themeColor="text1"/>
                <w:lang w:eastAsia="en-AU"/>
              </w:rPr>
              <w:t>($m)</w:t>
            </w:r>
          </w:p>
        </w:tc>
        <w:tc>
          <w:tcPr>
            <w:tcW w:w="877" w:type="pct"/>
            <w:tcBorders>
              <w:top w:val="single" w:sz="4" w:space="0" w:color="auto"/>
              <w:left w:val="nil"/>
              <w:bottom w:val="single" w:sz="4" w:space="0" w:color="auto"/>
              <w:right w:val="single" w:sz="4" w:space="0" w:color="000000" w:themeColor="text1"/>
            </w:tcBorders>
            <w:shd w:val="clear" w:color="auto" w:fill="DEEAF6" w:themeFill="accent1" w:themeFillTint="33"/>
          </w:tcPr>
          <w:p w14:paraId="0B05D7ED" w14:textId="2D9D7FDA" w:rsidR="00BF7654" w:rsidRPr="002244BB" w:rsidRDefault="00BF7654" w:rsidP="00287A12">
            <w:pPr>
              <w:keepNext/>
              <w:spacing w:after="0"/>
              <w:jc w:val="center"/>
              <w:rPr>
                <w:b/>
                <w:color w:val="000000"/>
                <w:lang w:eastAsia="en-AU"/>
              </w:rPr>
            </w:pPr>
            <w:r w:rsidRPr="070CBDA7">
              <w:rPr>
                <w:b/>
                <w:color w:val="000000" w:themeColor="text1"/>
                <w:lang w:eastAsia="en-AU"/>
              </w:rPr>
              <w:t>202</w:t>
            </w:r>
            <w:r w:rsidR="00267E3F" w:rsidRPr="070CBDA7">
              <w:rPr>
                <w:b/>
                <w:color w:val="000000" w:themeColor="text1"/>
                <w:lang w:eastAsia="en-AU"/>
              </w:rPr>
              <w:t>7</w:t>
            </w:r>
            <w:r w:rsidR="19C8A3A0" w:rsidRPr="070CBDA7">
              <w:rPr>
                <w:b/>
                <w:bCs/>
              </w:rPr>
              <w:t>–</w:t>
            </w:r>
            <w:r w:rsidR="00267E3F" w:rsidRPr="070CBDA7">
              <w:rPr>
                <w:b/>
                <w:color w:val="000000" w:themeColor="text1"/>
                <w:lang w:eastAsia="en-AU"/>
              </w:rPr>
              <w:t>28</w:t>
            </w:r>
          </w:p>
          <w:p w14:paraId="7DBD9EC5" w14:textId="7A3966F3" w:rsidR="00BF7654" w:rsidRPr="002244BB" w:rsidRDefault="00BF7654" w:rsidP="00287A12">
            <w:pPr>
              <w:keepNext/>
              <w:spacing w:after="0"/>
              <w:jc w:val="center"/>
              <w:rPr>
                <w:b/>
                <w:color w:val="000000"/>
                <w:lang w:eastAsia="en-AU"/>
              </w:rPr>
            </w:pPr>
            <w:r w:rsidRPr="070CBDA7">
              <w:rPr>
                <w:b/>
                <w:color w:val="000000" w:themeColor="text1"/>
                <w:lang w:eastAsia="en-AU"/>
              </w:rPr>
              <w:t>($m)</w:t>
            </w:r>
          </w:p>
        </w:tc>
      </w:tr>
      <w:tr w:rsidR="00DF468A" w:rsidRPr="009D7F79" w14:paraId="6963092F" w14:textId="77777777" w:rsidTr="004D2971">
        <w:trPr>
          <w:trHeight w:val="315"/>
        </w:trPr>
        <w:tc>
          <w:tcPr>
            <w:tcW w:w="1490" w:type="pct"/>
            <w:tcBorders>
              <w:top w:val="single" w:sz="4" w:space="0" w:color="auto"/>
              <w:left w:val="single" w:sz="4" w:space="0" w:color="auto"/>
              <w:bottom w:val="single" w:sz="4" w:space="0" w:color="auto"/>
              <w:right w:val="single" w:sz="4" w:space="0" w:color="auto"/>
            </w:tcBorders>
            <w:vAlign w:val="center"/>
            <w:hideMark/>
          </w:tcPr>
          <w:p w14:paraId="5F6C5E25" w14:textId="77777777" w:rsidR="00DF468A" w:rsidRPr="009D7F79" w:rsidRDefault="00DF468A" w:rsidP="00287A12">
            <w:pPr>
              <w:spacing w:after="0"/>
              <w:jc w:val="both"/>
              <w:rPr>
                <w:b/>
                <w:color w:val="000000"/>
                <w:lang w:eastAsia="en-AU"/>
              </w:rPr>
            </w:pPr>
            <w:r w:rsidRPr="070CBDA7">
              <w:rPr>
                <w:rFonts w:ascii="Calibri" w:hAnsi="Calibri" w:cs="Calibri"/>
                <w:b/>
                <w:color w:val="000000" w:themeColor="text1"/>
              </w:rPr>
              <w:t>Total expenses</w:t>
            </w:r>
          </w:p>
        </w:tc>
        <w:tc>
          <w:tcPr>
            <w:tcW w:w="877" w:type="pct"/>
            <w:tcBorders>
              <w:top w:val="single" w:sz="4" w:space="0" w:color="auto"/>
              <w:left w:val="single" w:sz="4" w:space="0" w:color="auto"/>
              <w:bottom w:val="single" w:sz="4" w:space="0" w:color="auto"/>
              <w:right w:val="single" w:sz="4" w:space="0" w:color="auto"/>
            </w:tcBorders>
            <w:vAlign w:val="center"/>
          </w:tcPr>
          <w:p w14:paraId="5B64952B" w14:textId="20A16C0C" w:rsidR="00DF468A" w:rsidRPr="009D7F79" w:rsidRDefault="007B5373" w:rsidP="004E3966">
            <w:pPr>
              <w:spacing w:after="0"/>
              <w:jc w:val="center"/>
              <w:rPr>
                <w:b/>
                <w:color w:val="000000"/>
                <w:lang w:eastAsia="en-AU"/>
              </w:rPr>
            </w:pPr>
            <w:r w:rsidRPr="070CBDA7">
              <w:rPr>
                <w:b/>
                <w:color w:val="000000" w:themeColor="text1"/>
                <w:lang w:eastAsia="en-AU"/>
              </w:rPr>
              <w:t>1.3</w:t>
            </w:r>
            <w:r w:rsidR="00F0505C" w:rsidRPr="070CBDA7">
              <w:rPr>
                <w:b/>
                <w:color w:val="000000" w:themeColor="text1"/>
                <w:lang w:eastAsia="en-AU"/>
              </w:rPr>
              <w:t>80</w:t>
            </w:r>
          </w:p>
        </w:tc>
        <w:tc>
          <w:tcPr>
            <w:tcW w:w="878" w:type="pct"/>
            <w:tcBorders>
              <w:top w:val="single" w:sz="4" w:space="0" w:color="auto"/>
              <w:left w:val="single" w:sz="4" w:space="0" w:color="auto"/>
              <w:bottom w:val="single" w:sz="4" w:space="0" w:color="auto"/>
              <w:right w:val="single" w:sz="4" w:space="0" w:color="auto"/>
            </w:tcBorders>
            <w:vAlign w:val="center"/>
          </w:tcPr>
          <w:p w14:paraId="3CBB89C2" w14:textId="3E8C21EB" w:rsidR="00DF468A" w:rsidRPr="009D7F79" w:rsidRDefault="00F0505C" w:rsidP="004E3966">
            <w:pPr>
              <w:spacing w:after="0"/>
              <w:jc w:val="center"/>
              <w:rPr>
                <w:b/>
                <w:color w:val="000000"/>
                <w:lang w:eastAsia="en-AU"/>
              </w:rPr>
            </w:pPr>
            <w:r w:rsidRPr="070CBDA7">
              <w:rPr>
                <w:rFonts w:ascii="Calibri" w:hAnsi="Calibri" w:cs="Calibri"/>
                <w:b/>
                <w:color w:val="000000" w:themeColor="text1"/>
              </w:rPr>
              <w:t>1.441</w:t>
            </w:r>
          </w:p>
        </w:tc>
        <w:tc>
          <w:tcPr>
            <w:tcW w:w="878" w:type="pct"/>
            <w:tcBorders>
              <w:top w:val="single" w:sz="4" w:space="0" w:color="auto"/>
              <w:left w:val="single" w:sz="4" w:space="0" w:color="auto"/>
              <w:bottom w:val="single" w:sz="4" w:space="0" w:color="auto"/>
              <w:right w:val="single" w:sz="4" w:space="0" w:color="auto"/>
            </w:tcBorders>
            <w:vAlign w:val="center"/>
          </w:tcPr>
          <w:p w14:paraId="01A0A9FA" w14:textId="764402E7" w:rsidR="00DF468A" w:rsidRPr="009D7F79" w:rsidRDefault="00F0505C" w:rsidP="004E3966">
            <w:pPr>
              <w:spacing w:after="0"/>
              <w:jc w:val="center"/>
              <w:rPr>
                <w:b/>
                <w:color w:val="000000"/>
                <w:lang w:eastAsia="en-AU"/>
              </w:rPr>
            </w:pPr>
            <w:r w:rsidRPr="070CBDA7">
              <w:rPr>
                <w:rFonts w:ascii="Calibri" w:hAnsi="Calibri" w:cs="Calibri"/>
                <w:b/>
                <w:color w:val="000000" w:themeColor="text1"/>
              </w:rPr>
              <w:t>1.490</w:t>
            </w:r>
          </w:p>
        </w:tc>
        <w:tc>
          <w:tcPr>
            <w:tcW w:w="877" w:type="pct"/>
            <w:tcBorders>
              <w:top w:val="single" w:sz="4" w:space="0" w:color="auto"/>
              <w:left w:val="single" w:sz="4" w:space="0" w:color="auto"/>
              <w:bottom w:val="single" w:sz="4" w:space="0" w:color="auto"/>
              <w:right w:val="single" w:sz="4" w:space="0" w:color="auto"/>
            </w:tcBorders>
            <w:vAlign w:val="center"/>
          </w:tcPr>
          <w:p w14:paraId="0BA58EC6" w14:textId="0C791C1F" w:rsidR="00DF468A" w:rsidRPr="009D7F79" w:rsidRDefault="00F0505C" w:rsidP="004E3966">
            <w:pPr>
              <w:spacing w:after="0"/>
              <w:jc w:val="center"/>
              <w:rPr>
                <w:b/>
                <w:color w:val="000000"/>
                <w:lang w:eastAsia="en-AU"/>
              </w:rPr>
            </w:pPr>
            <w:r w:rsidRPr="070CBDA7">
              <w:rPr>
                <w:rFonts w:ascii="Calibri" w:hAnsi="Calibri" w:cs="Calibri"/>
                <w:b/>
                <w:color w:val="000000" w:themeColor="text1"/>
              </w:rPr>
              <w:t>1.541</w:t>
            </w:r>
          </w:p>
        </w:tc>
      </w:tr>
      <w:tr w:rsidR="00A927BB" w:rsidRPr="009D7F79" w14:paraId="1F3583D6" w14:textId="77777777" w:rsidTr="000273B1">
        <w:trPr>
          <w:trHeight w:val="315"/>
        </w:trPr>
        <w:tc>
          <w:tcPr>
            <w:tcW w:w="1490" w:type="pct"/>
            <w:tcBorders>
              <w:top w:val="single" w:sz="4" w:space="0" w:color="auto"/>
              <w:left w:val="single" w:sz="4" w:space="0" w:color="auto"/>
              <w:bottom w:val="single" w:sz="4" w:space="0" w:color="auto"/>
              <w:right w:val="single" w:sz="4" w:space="0" w:color="auto"/>
            </w:tcBorders>
            <w:vAlign w:val="center"/>
          </w:tcPr>
          <w:p w14:paraId="73E2D6A9" w14:textId="763E4E8B" w:rsidR="00A927BB" w:rsidRPr="00367E27" w:rsidRDefault="00A927BB" w:rsidP="00287A12">
            <w:pPr>
              <w:tabs>
                <w:tab w:val="left" w:pos="1600"/>
              </w:tabs>
              <w:spacing w:after="0"/>
              <w:ind w:left="314"/>
              <w:jc w:val="both"/>
              <w:rPr>
                <w:rFonts w:ascii="Calibri" w:hAnsi="Calibri" w:cs="Calibri"/>
                <w:i/>
                <w:iCs/>
                <w:color w:val="000000"/>
                <w:sz w:val="18"/>
                <w:szCs w:val="18"/>
              </w:rPr>
            </w:pPr>
            <w:r w:rsidRPr="070CBDA7">
              <w:rPr>
                <w:rFonts w:ascii="Calibri" w:hAnsi="Calibri" w:cs="Calibri"/>
                <w:i/>
                <w:color w:val="000000" w:themeColor="text1"/>
                <w:sz w:val="18"/>
                <w:szCs w:val="18"/>
              </w:rPr>
              <w:t>Activities Charged For</w:t>
            </w:r>
          </w:p>
        </w:tc>
        <w:tc>
          <w:tcPr>
            <w:tcW w:w="877" w:type="pct"/>
            <w:tcBorders>
              <w:top w:val="single" w:sz="4" w:space="0" w:color="auto"/>
              <w:left w:val="single" w:sz="4" w:space="0" w:color="auto"/>
              <w:bottom w:val="single" w:sz="4" w:space="0" w:color="auto"/>
              <w:right w:val="single" w:sz="4" w:space="0" w:color="auto"/>
            </w:tcBorders>
          </w:tcPr>
          <w:p w14:paraId="60521471" w14:textId="30C36C87" w:rsidR="00A927BB" w:rsidRPr="00367E27" w:rsidRDefault="00285C85" w:rsidP="004E3966">
            <w:pPr>
              <w:spacing w:after="0"/>
              <w:jc w:val="center"/>
              <w:rPr>
                <w:rFonts w:ascii="Calibri" w:hAnsi="Calibri" w:cs="Calibri"/>
                <w:i/>
                <w:iCs/>
                <w:color w:val="000000"/>
                <w:sz w:val="18"/>
                <w:szCs w:val="18"/>
              </w:rPr>
            </w:pPr>
            <w:r w:rsidRPr="070CBDA7">
              <w:rPr>
                <w:rFonts w:ascii="Calibri" w:hAnsi="Calibri" w:cs="Calibri"/>
                <w:i/>
                <w:color w:val="000000" w:themeColor="text1"/>
                <w:sz w:val="18"/>
                <w:szCs w:val="18"/>
              </w:rPr>
              <w:t>0.199</w:t>
            </w:r>
          </w:p>
        </w:tc>
        <w:tc>
          <w:tcPr>
            <w:tcW w:w="878" w:type="pct"/>
            <w:tcBorders>
              <w:top w:val="single" w:sz="4" w:space="0" w:color="auto"/>
              <w:left w:val="single" w:sz="4" w:space="0" w:color="auto"/>
              <w:bottom w:val="single" w:sz="4" w:space="0" w:color="auto"/>
              <w:right w:val="single" w:sz="4" w:space="0" w:color="auto"/>
            </w:tcBorders>
          </w:tcPr>
          <w:p w14:paraId="47E7276A" w14:textId="7B0AC2F3" w:rsidR="00A927BB" w:rsidRPr="00367E27" w:rsidRDefault="004612A2" w:rsidP="004E3966">
            <w:pPr>
              <w:spacing w:after="0"/>
              <w:jc w:val="center"/>
              <w:rPr>
                <w:rFonts w:ascii="Calibri" w:hAnsi="Calibri" w:cs="Calibri"/>
                <w:i/>
                <w:iCs/>
                <w:color w:val="000000"/>
                <w:sz w:val="18"/>
                <w:szCs w:val="18"/>
              </w:rPr>
            </w:pPr>
            <w:r w:rsidRPr="070CBDA7">
              <w:rPr>
                <w:rFonts w:ascii="Calibri" w:hAnsi="Calibri" w:cs="Calibri"/>
                <w:i/>
                <w:color w:val="000000" w:themeColor="text1"/>
                <w:sz w:val="18"/>
                <w:szCs w:val="18"/>
              </w:rPr>
              <w:t>0.207</w:t>
            </w:r>
          </w:p>
        </w:tc>
        <w:tc>
          <w:tcPr>
            <w:tcW w:w="878" w:type="pct"/>
            <w:tcBorders>
              <w:top w:val="single" w:sz="4" w:space="0" w:color="auto"/>
              <w:left w:val="single" w:sz="4" w:space="0" w:color="auto"/>
              <w:bottom w:val="single" w:sz="4" w:space="0" w:color="auto"/>
              <w:right w:val="single" w:sz="4" w:space="0" w:color="auto"/>
            </w:tcBorders>
          </w:tcPr>
          <w:p w14:paraId="09DFEAB9" w14:textId="4B036365" w:rsidR="00A927BB" w:rsidRPr="00367E27" w:rsidRDefault="004612A2" w:rsidP="004E3966">
            <w:pPr>
              <w:spacing w:after="0"/>
              <w:jc w:val="center"/>
              <w:rPr>
                <w:rFonts w:ascii="Calibri" w:hAnsi="Calibri" w:cs="Calibri"/>
                <w:i/>
                <w:iCs/>
                <w:color w:val="000000"/>
                <w:sz w:val="18"/>
                <w:szCs w:val="18"/>
              </w:rPr>
            </w:pPr>
            <w:r w:rsidRPr="070CBDA7">
              <w:rPr>
                <w:rFonts w:ascii="Calibri" w:hAnsi="Calibri" w:cs="Calibri"/>
                <w:i/>
                <w:color w:val="000000" w:themeColor="text1"/>
                <w:sz w:val="18"/>
                <w:szCs w:val="18"/>
              </w:rPr>
              <w:t>0.214</w:t>
            </w:r>
          </w:p>
        </w:tc>
        <w:tc>
          <w:tcPr>
            <w:tcW w:w="877" w:type="pct"/>
            <w:tcBorders>
              <w:top w:val="single" w:sz="4" w:space="0" w:color="auto"/>
              <w:left w:val="single" w:sz="4" w:space="0" w:color="auto"/>
              <w:bottom w:val="single" w:sz="4" w:space="0" w:color="auto"/>
              <w:right w:val="single" w:sz="4" w:space="0" w:color="auto"/>
            </w:tcBorders>
          </w:tcPr>
          <w:p w14:paraId="6E3C6D2F" w14:textId="513E0F51" w:rsidR="00A927BB" w:rsidRPr="00367E27" w:rsidRDefault="004612A2" w:rsidP="004E3966">
            <w:pPr>
              <w:spacing w:after="0"/>
              <w:jc w:val="center"/>
              <w:rPr>
                <w:rFonts w:ascii="Calibri" w:hAnsi="Calibri" w:cs="Calibri"/>
                <w:i/>
                <w:iCs/>
                <w:color w:val="000000"/>
                <w:sz w:val="18"/>
                <w:szCs w:val="18"/>
              </w:rPr>
            </w:pPr>
            <w:r w:rsidRPr="070CBDA7">
              <w:rPr>
                <w:rFonts w:ascii="Calibri" w:hAnsi="Calibri" w:cs="Calibri"/>
                <w:i/>
                <w:color w:val="000000" w:themeColor="text1"/>
                <w:sz w:val="18"/>
                <w:szCs w:val="18"/>
              </w:rPr>
              <w:t>0.221</w:t>
            </w:r>
          </w:p>
        </w:tc>
      </w:tr>
      <w:tr w:rsidR="00DF468A" w:rsidRPr="009D7F79" w14:paraId="0F30021D" w14:textId="77777777" w:rsidTr="004D2971">
        <w:trPr>
          <w:trHeight w:val="315"/>
        </w:trPr>
        <w:tc>
          <w:tcPr>
            <w:tcW w:w="1490" w:type="pct"/>
            <w:tcBorders>
              <w:top w:val="single" w:sz="4" w:space="0" w:color="auto"/>
              <w:left w:val="single" w:sz="4" w:space="0" w:color="auto"/>
              <w:bottom w:val="single" w:sz="4" w:space="0" w:color="auto"/>
              <w:right w:val="single" w:sz="4" w:space="0" w:color="auto"/>
            </w:tcBorders>
            <w:vAlign w:val="center"/>
          </w:tcPr>
          <w:p w14:paraId="05EB1DFE" w14:textId="0E0BF4B8" w:rsidR="00DF468A" w:rsidRPr="00367E27" w:rsidRDefault="008E4327" w:rsidP="00287A12">
            <w:pPr>
              <w:tabs>
                <w:tab w:val="left" w:pos="1600"/>
              </w:tabs>
              <w:spacing w:after="0"/>
              <w:ind w:left="314"/>
              <w:jc w:val="both"/>
              <w:rPr>
                <w:rFonts w:ascii="Calibri" w:hAnsi="Calibri" w:cs="Calibri"/>
                <w:i/>
                <w:iCs/>
                <w:color w:val="000000"/>
                <w:sz w:val="18"/>
                <w:szCs w:val="18"/>
              </w:rPr>
            </w:pPr>
            <w:r w:rsidRPr="070CBDA7">
              <w:rPr>
                <w:rFonts w:ascii="Calibri" w:hAnsi="Calibri" w:cs="Calibri"/>
                <w:i/>
                <w:color w:val="000000" w:themeColor="text1"/>
                <w:sz w:val="18"/>
                <w:szCs w:val="18"/>
              </w:rPr>
              <w:t>Activities not Charged For</w:t>
            </w:r>
          </w:p>
        </w:tc>
        <w:tc>
          <w:tcPr>
            <w:tcW w:w="877" w:type="pct"/>
            <w:tcBorders>
              <w:top w:val="single" w:sz="4" w:space="0" w:color="auto"/>
              <w:left w:val="single" w:sz="4" w:space="0" w:color="auto"/>
              <w:bottom w:val="single" w:sz="4" w:space="0" w:color="auto"/>
              <w:right w:val="single" w:sz="4" w:space="0" w:color="auto"/>
            </w:tcBorders>
            <w:vAlign w:val="center"/>
          </w:tcPr>
          <w:p w14:paraId="27EA42EF" w14:textId="68B53302" w:rsidR="00DF468A" w:rsidRPr="00367E27" w:rsidRDefault="00F0505C" w:rsidP="004E3966">
            <w:pPr>
              <w:spacing w:after="0"/>
              <w:jc w:val="center"/>
              <w:rPr>
                <w:rFonts w:ascii="Calibri" w:hAnsi="Calibri" w:cs="Calibri"/>
                <w:i/>
                <w:iCs/>
                <w:color w:val="000000"/>
                <w:sz w:val="18"/>
                <w:szCs w:val="18"/>
              </w:rPr>
            </w:pPr>
            <w:r w:rsidRPr="070CBDA7">
              <w:rPr>
                <w:rFonts w:ascii="Calibri" w:hAnsi="Calibri" w:cs="Calibri"/>
                <w:i/>
                <w:color w:val="000000" w:themeColor="text1"/>
                <w:sz w:val="18"/>
                <w:szCs w:val="18"/>
              </w:rPr>
              <w:t>1.1</w:t>
            </w:r>
            <w:r w:rsidR="00FB6339" w:rsidRPr="070CBDA7">
              <w:rPr>
                <w:rFonts w:ascii="Calibri" w:hAnsi="Calibri" w:cs="Calibri"/>
                <w:i/>
                <w:color w:val="000000" w:themeColor="text1"/>
                <w:sz w:val="18"/>
                <w:szCs w:val="18"/>
              </w:rPr>
              <w:t>81</w:t>
            </w:r>
          </w:p>
        </w:tc>
        <w:tc>
          <w:tcPr>
            <w:tcW w:w="878" w:type="pct"/>
            <w:tcBorders>
              <w:top w:val="single" w:sz="4" w:space="0" w:color="auto"/>
              <w:left w:val="single" w:sz="4" w:space="0" w:color="auto"/>
              <w:bottom w:val="single" w:sz="4" w:space="0" w:color="auto"/>
              <w:right w:val="single" w:sz="4" w:space="0" w:color="auto"/>
            </w:tcBorders>
            <w:vAlign w:val="center"/>
          </w:tcPr>
          <w:p w14:paraId="6116A45D" w14:textId="5DFE33BD" w:rsidR="00DF468A" w:rsidRPr="00367E27" w:rsidRDefault="00FB6339" w:rsidP="004E3966">
            <w:pPr>
              <w:spacing w:after="0"/>
              <w:jc w:val="center"/>
              <w:rPr>
                <w:rFonts w:ascii="Calibri" w:hAnsi="Calibri" w:cs="Calibri"/>
                <w:i/>
                <w:iCs/>
                <w:color w:val="000000"/>
                <w:sz w:val="18"/>
                <w:szCs w:val="18"/>
              </w:rPr>
            </w:pPr>
            <w:r w:rsidRPr="070CBDA7">
              <w:rPr>
                <w:rFonts w:ascii="Calibri" w:hAnsi="Calibri" w:cs="Calibri"/>
                <w:i/>
                <w:color w:val="000000" w:themeColor="text1"/>
                <w:sz w:val="18"/>
                <w:szCs w:val="18"/>
              </w:rPr>
              <w:t>1.234</w:t>
            </w:r>
          </w:p>
        </w:tc>
        <w:tc>
          <w:tcPr>
            <w:tcW w:w="878" w:type="pct"/>
            <w:tcBorders>
              <w:top w:val="single" w:sz="4" w:space="0" w:color="auto"/>
              <w:left w:val="single" w:sz="4" w:space="0" w:color="auto"/>
              <w:bottom w:val="single" w:sz="4" w:space="0" w:color="auto"/>
              <w:right w:val="single" w:sz="4" w:space="0" w:color="auto"/>
            </w:tcBorders>
            <w:vAlign w:val="center"/>
          </w:tcPr>
          <w:p w14:paraId="3CAC5FF3" w14:textId="6F24D1DC" w:rsidR="00DF468A" w:rsidRPr="00367E27" w:rsidRDefault="00FB6339" w:rsidP="004E3966">
            <w:pPr>
              <w:spacing w:after="0"/>
              <w:jc w:val="center"/>
              <w:rPr>
                <w:rFonts w:ascii="Calibri" w:hAnsi="Calibri" w:cs="Calibri"/>
                <w:i/>
                <w:iCs/>
                <w:color w:val="000000"/>
                <w:sz w:val="18"/>
                <w:szCs w:val="18"/>
              </w:rPr>
            </w:pPr>
            <w:r w:rsidRPr="070CBDA7">
              <w:rPr>
                <w:rFonts w:ascii="Calibri" w:hAnsi="Calibri" w:cs="Calibri"/>
                <w:i/>
                <w:color w:val="000000" w:themeColor="text1"/>
                <w:sz w:val="18"/>
                <w:szCs w:val="18"/>
              </w:rPr>
              <w:t>1.276</w:t>
            </w:r>
          </w:p>
        </w:tc>
        <w:tc>
          <w:tcPr>
            <w:tcW w:w="877" w:type="pct"/>
            <w:tcBorders>
              <w:top w:val="single" w:sz="4" w:space="0" w:color="auto"/>
              <w:left w:val="single" w:sz="4" w:space="0" w:color="auto"/>
              <w:bottom w:val="single" w:sz="4" w:space="0" w:color="auto"/>
              <w:right w:val="single" w:sz="4" w:space="0" w:color="auto"/>
            </w:tcBorders>
            <w:vAlign w:val="center"/>
          </w:tcPr>
          <w:p w14:paraId="3BE9B0CA" w14:textId="7D4B469D" w:rsidR="00DF468A" w:rsidRPr="00367E27" w:rsidRDefault="00FB6339" w:rsidP="004E3966">
            <w:pPr>
              <w:spacing w:after="0"/>
              <w:jc w:val="center"/>
              <w:rPr>
                <w:rFonts w:ascii="Calibri" w:hAnsi="Calibri" w:cs="Calibri"/>
                <w:i/>
                <w:iCs/>
                <w:color w:val="000000"/>
                <w:sz w:val="18"/>
                <w:szCs w:val="18"/>
              </w:rPr>
            </w:pPr>
            <w:r w:rsidRPr="070CBDA7">
              <w:rPr>
                <w:rFonts w:ascii="Calibri" w:hAnsi="Calibri" w:cs="Calibri"/>
                <w:i/>
                <w:color w:val="000000" w:themeColor="text1"/>
                <w:sz w:val="18"/>
                <w:szCs w:val="18"/>
              </w:rPr>
              <w:t>1.3</w:t>
            </w:r>
            <w:r w:rsidR="00DE74FB" w:rsidRPr="070CBDA7">
              <w:rPr>
                <w:rFonts w:ascii="Calibri" w:hAnsi="Calibri" w:cs="Calibri"/>
                <w:i/>
                <w:color w:val="000000" w:themeColor="text1"/>
                <w:sz w:val="18"/>
                <w:szCs w:val="18"/>
              </w:rPr>
              <w:t>20</w:t>
            </w:r>
          </w:p>
        </w:tc>
      </w:tr>
      <w:tr w:rsidR="00DF468A" w:rsidRPr="009D7F79" w14:paraId="7E96C4AB" w14:textId="77777777" w:rsidTr="004D2971">
        <w:trPr>
          <w:trHeight w:val="315"/>
        </w:trPr>
        <w:tc>
          <w:tcPr>
            <w:tcW w:w="1490" w:type="pct"/>
            <w:tcBorders>
              <w:top w:val="single" w:sz="4" w:space="0" w:color="auto"/>
              <w:left w:val="single" w:sz="4" w:space="0" w:color="auto"/>
              <w:bottom w:val="single" w:sz="4" w:space="0" w:color="auto"/>
              <w:right w:val="single" w:sz="4" w:space="0" w:color="auto"/>
            </w:tcBorders>
            <w:vAlign w:val="center"/>
            <w:hideMark/>
          </w:tcPr>
          <w:p w14:paraId="176451D1" w14:textId="77777777" w:rsidR="00DF468A" w:rsidRPr="009D7F79" w:rsidRDefault="00DF468A" w:rsidP="00287A12">
            <w:pPr>
              <w:spacing w:after="0"/>
              <w:jc w:val="both"/>
              <w:rPr>
                <w:b/>
                <w:color w:val="000000"/>
                <w:lang w:eastAsia="en-AU"/>
              </w:rPr>
            </w:pPr>
            <w:r w:rsidRPr="070CBDA7">
              <w:rPr>
                <w:rFonts w:ascii="Calibri" w:hAnsi="Calibri" w:cs="Calibri"/>
                <w:b/>
                <w:color w:val="000000" w:themeColor="text1"/>
              </w:rPr>
              <w:t>Total revenue</w:t>
            </w:r>
          </w:p>
        </w:tc>
        <w:tc>
          <w:tcPr>
            <w:tcW w:w="877" w:type="pct"/>
            <w:tcBorders>
              <w:top w:val="single" w:sz="4" w:space="0" w:color="auto"/>
              <w:left w:val="single" w:sz="4" w:space="0" w:color="auto"/>
              <w:bottom w:val="single" w:sz="4" w:space="0" w:color="auto"/>
              <w:right w:val="single" w:sz="4" w:space="0" w:color="auto"/>
            </w:tcBorders>
          </w:tcPr>
          <w:p w14:paraId="7EA372C6" w14:textId="14DC741B" w:rsidR="00DF468A" w:rsidRPr="009D7F79" w:rsidRDefault="00DE74FB" w:rsidP="004E3966">
            <w:pPr>
              <w:spacing w:after="0"/>
              <w:jc w:val="center"/>
              <w:rPr>
                <w:b/>
                <w:color w:val="000000"/>
                <w:lang w:eastAsia="en-AU"/>
              </w:rPr>
            </w:pPr>
            <w:r w:rsidRPr="070CBDA7">
              <w:rPr>
                <w:b/>
                <w:color w:val="000000" w:themeColor="text1"/>
                <w:lang w:eastAsia="en-AU"/>
              </w:rPr>
              <w:t>1.256</w:t>
            </w:r>
          </w:p>
        </w:tc>
        <w:tc>
          <w:tcPr>
            <w:tcW w:w="878" w:type="pct"/>
            <w:tcBorders>
              <w:top w:val="single" w:sz="4" w:space="0" w:color="auto"/>
              <w:left w:val="single" w:sz="4" w:space="0" w:color="auto"/>
              <w:bottom w:val="single" w:sz="4" w:space="0" w:color="auto"/>
              <w:right w:val="single" w:sz="4" w:space="0" w:color="auto"/>
            </w:tcBorders>
            <w:vAlign w:val="center"/>
          </w:tcPr>
          <w:p w14:paraId="5F770A71" w14:textId="27D032A6" w:rsidR="00DF468A" w:rsidRPr="009D7F79" w:rsidRDefault="00F955BA" w:rsidP="004E3966">
            <w:pPr>
              <w:spacing w:after="0"/>
              <w:jc w:val="center"/>
              <w:rPr>
                <w:b/>
              </w:rPr>
            </w:pPr>
            <w:r w:rsidRPr="070CBDA7">
              <w:rPr>
                <w:b/>
              </w:rPr>
              <w:t>1.312</w:t>
            </w:r>
          </w:p>
        </w:tc>
        <w:tc>
          <w:tcPr>
            <w:tcW w:w="878" w:type="pct"/>
            <w:tcBorders>
              <w:top w:val="single" w:sz="4" w:space="0" w:color="auto"/>
              <w:left w:val="single" w:sz="4" w:space="0" w:color="auto"/>
              <w:bottom w:val="single" w:sz="4" w:space="0" w:color="auto"/>
              <w:right w:val="single" w:sz="4" w:space="0" w:color="auto"/>
            </w:tcBorders>
            <w:vAlign w:val="center"/>
          </w:tcPr>
          <w:p w14:paraId="74D87C45" w14:textId="6C6A49D1" w:rsidR="00DF468A" w:rsidRPr="009D7F79" w:rsidRDefault="00F955BA" w:rsidP="004E3966">
            <w:pPr>
              <w:spacing w:after="0"/>
              <w:jc w:val="center"/>
              <w:rPr>
                <w:b/>
              </w:rPr>
            </w:pPr>
            <w:r w:rsidRPr="070CBDA7">
              <w:rPr>
                <w:b/>
              </w:rPr>
              <w:t>1.357</w:t>
            </w:r>
          </w:p>
        </w:tc>
        <w:tc>
          <w:tcPr>
            <w:tcW w:w="877" w:type="pct"/>
            <w:tcBorders>
              <w:top w:val="single" w:sz="4" w:space="0" w:color="auto"/>
              <w:left w:val="single" w:sz="4" w:space="0" w:color="auto"/>
              <w:bottom w:val="single" w:sz="4" w:space="0" w:color="auto"/>
              <w:right w:val="single" w:sz="4" w:space="0" w:color="auto"/>
            </w:tcBorders>
            <w:vAlign w:val="center"/>
          </w:tcPr>
          <w:p w14:paraId="3024607F" w14:textId="25EB9DEE" w:rsidR="00DF468A" w:rsidRPr="009D7F79" w:rsidRDefault="00F955BA" w:rsidP="004E3966">
            <w:pPr>
              <w:spacing w:after="0"/>
              <w:jc w:val="center"/>
              <w:rPr>
                <w:b/>
              </w:rPr>
            </w:pPr>
            <w:r w:rsidRPr="070CBDA7">
              <w:rPr>
                <w:b/>
              </w:rPr>
              <w:t>1.403</w:t>
            </w:r>
          </w:p>
        </w:tc>
      </w:tr>
      <w:tr w:rsidR="000B6FE4" w:rsidRPr="007C4DE4" w14:paraId="09852DFF" w14:textId="77777777" w:rsidTr="000273B1">
        <w:trPr>
          <w:trHeight w:val="315"/>
        </w:trPr>
        <w:tc>
          <w:tcPr>
            <w:tcW w:w="1490" w:type="pct"/>
            <w:tcBorders>
              <w:top w:val="single" w:sz="4" w:space="0" w:color="auto"/>
              <w:left w:val="single" w:sz="4" w:space="0" w:color="auto"/>
              <w:bottom w:val="single" w:sz="4" w:space="0" w:color="auto"/>
              <w:right w:val="single" w:sz="4" w:space="0" w:color="auto"/>
            </w:tcBorders>
            <w:vAlign w:val="center"/>
          </w:tcPr>
          <w:p w14:paraId="6D241839" w14:textId="19F485FB" w:rsidR="000B6FE4" w:rsidRPr="00367E27" w:rsidRDefault="000B6FE4" w:rsidP="00287A12">
            <w:pPr>
              <w:tabs>
                <w:tab w:val="left" w:pos="1600"/>
              </w:tabs>
              <w:spacing w:after="0"/>
              <w:ind w:left="314"/>
              <w:jc w:val="both"/>
              <w:rPr>
                <w:rFonts w:ascii="Calibri" w:hAnsi="Calibri" w:cs="Calibri"/>
                <w:i/>
                <w:iCs/>
                <w:color w:val="000000"/>
                <w:sz w:val="18"/>
                <w:szCs w:val="18"/>
              </w:rPr>
            </w:pPr>
            <w:r w:rsidRPr="070CBDA7">
              <w:rPr>
                <w:rFonts w:ascii="Calibri" w:hAnsi="Calibri" w:cs="Calibri"/>
                <w:i/>
                <w:color w:val="000000" w:themeColor="text1"/>
                <w:sz w:val="18"/>
                <w:szCs w:val="18"/>
              </w:rPr>
              <w:t>Charging income</w:t>
            </w:r>
          </w:p>
        </w:tc>
        <w:tc>
          <w:tcPr>
            <w:tcW w:w="877" w:type="pct"/>
            <w:tcBorders>
              <w:top w:val="single" w:sz="4" w:space="0" w:color="auto"/>
              <w:left w:val="single" w:sz="4" w:space="0" w:color="auto"/>
              <w:bottom w:val="single" w:sz="4" w:space="0" w:color="auto"/>
              <w:right w:val="single" w:sz="4" w:space="0" w:color="auto"/>
            </w:tcBorders>
          </w:tcPr>
          <w:p w14:paraId="1CC231D4" w14:textId="49B5E2D3" w:rsidR="000B6FE4" w:rsidRPr="00D87EAD" w:rsidRDefault="000B6FE4" w:rsidP="004E3966">
            <w:pPr>
              <w:spacing w:after="0"/>
              <w:jc w:val="center"/>
              <w:rPr>
                <w:rFonts w:ascii="Calibri" w:hAnsi="Calibri" w:cs="Calibri"/>
                <w:i/>
                <w:iCs/>
                <w:color w:val="000000"/>
                <w:sz w:val="18"/>
                <w:szCs w:val="18"/>
              </w:rPr>
            </w:pPr>
            <w:r w:rsidRPr="070CBDA7">
              <w:rPr>
                <w:rFonts w:ascii="Calibri" w:hAnsi="Calibri" w:cs="Calibri"/>
                <w:i/>
                <w:color w:val="000000" w:themeColor="text1"/>
                <w:sz w:val="18"/>
                <w:szCs w:val="18"/>
              </w:rPr>
              <w:t>0.075</w:t>
            </w:r>
          </w:p>
        </w:tc>
        <w:tc>
          <w:tcPr>
            <w:tcW w:w="878" w:type="pct"/>
            <w:tcBorders>
              <w:top w:val="single" w:sz="4" w:space="0" w:color="auto"/>
              <w:left w:val="single" w:sz="4" w:space="0" w:color="auto"/>
              <w:bottom w:val="single" w:sz="4" w:space="0" w:color="auto"/>
              <w:right w:val="single" w:sz="4" w:space="0" w:color="auto"/>
            </w:tcBorders>
          </w:tcPr>
          <w:p w14:paraId="60FE53E0" w14:textId="59F65AFD" w:rsidR="000B6FE4" w:rsidRPr="00D87EAD" w:rsidRDefault="000B6FE4" w:rsidP="004E3966">
            <w:pPr>
              <w:spacing w:after="0"/>
              <w:jc w:val="center"/>
              <w:rPr>
                <w:rFonts w:ascii="Calibri" w:hAnsi="Calibri" w:cs="Calibri"/>
                <w:i/>
                <w:iCs/>
                <w:color w:val="000000"/>
                <w:sz w:val="18"/>
                <w:szCs w:val="18"/>
              </w:rPr>
            </w:pPr>
            <w:r w:rsidRPr="070CBDA7">
              <w:rPr>
                <w:rFonts w:ascii="Calibri" w:hAnsi="Calibri" w:cs="Calibri"/>
                <w:i/>
                <w:color w:val="000000" w:themeColor="text1"/>
                <w:sz w:val="18"/>
                <w:szCs w:val="18"/>
              </w:rPr>
              <w:t>0.078</w:t>
            </w:r>
          </w:p>
        </w:tc>
        <w:tc>
          <w:tcPr>
            <w:tcW w:w="878" w:type="pct"/>
            <w:tcBorders>
              <w:top w:val="single" w:sz="4" w:space="0" w:color="auto"/>
              <w:left w:val="single" w:sz="4" w:space="0" w:color="auto"/>
              <w:bottom w:val="single" w:sz="4" w:space="0" w:color="auto"/>
              <w:right w:val="single" w:sz="4" w:space="0" w:color="auto"/>
            </w:tcBorders>
          </w:tcPr>
          <w:p w14:paraId="17E4AB9E" w14:textId="2E1D7BEA" w:rsidR="000B6FE4" w:rsidRPr="00D87EAD" w:rsidRDefault="000B6FE4" w:rsidP="004E3966">
            <w:pPr>
              <w:spacing w:after="0"/>
              <w:jc w:val="center"/>
              <w:rPr>
                <w:rFonts w:ascii="Calibri" w:hAnsi="Calibri" w:cs="Calibri"/>
                <w:i/>
                <w:iCs/>
                <w:color w:val="000000"/>
                <w:sz w:val="18"/>
                <w:szCs w:val="18"/>
              </w:rPr>
            </w:pPr>
            <w:r w:rsidRPr="070CBDA7">
              <w:rPr>
                <w:rFonts w:ascii="Calibri" w:hAnsi="Calibri" w:cs="Calibri"/>
                <w:i/>
                <w:color w:val="000000" w:themeColor="text1"/>
                <w:sz w:val="18"/>
                <w:szCs w:val="18"/>
              </w:rPr>
              <w:t>0.081</w:t>
            </w:r>
          </w:p>
        </w:tc>
        <w:tc>
          <w:tcPr>
            <w:tcW w:w="877" w:type="pct"/>
            <w:tcBorders>
              <w:top w:val="single" w:sz="4" w:space="0" w:color="auto"/>
              <w:left w:val="single" w:sz="4" w:space="0" w:color="auto"/>
              <w:bottom w:val="single" w:sz="4" w:space="0" w:color="auto"/>
              <w:right w:val="single" w:sz="4" w:space="0" w:color="auto"/>
            </w:tcBorders>
          </w:tcPr>
          <w:p w14:paraId="3A988DD0" w14:textId="55A212E0" w:rsidR="000B6FE4" w:rsidRPr="00D87EAD" w:rsidRDefault="000B6FE4" w:rsidP="004E3966">
            <w:pPr>
              <w:spacing w:after="0"/>
              <w:jc w:val="center"/>
              <w:rPr>
                <w:rFonts w:ascii="Calibri" w:hAnsi="Calibri" w:cs="Calibri"/>
                <w:i/>
                <w:iCs/>
                <w:color w:val="000000"/>
                <w:sz w:val="18"/>
                <w:szCs w:val="18"/>
              </w:rPr>
            </w:pPr>
            <w:r w:rsidRPr="070CBDA7">
              <w:rPr>
                <w:rFonts w:ascii="Calibri" w:hAnsi="Calibri" w:cs="Calibri"/>
                <w:i/>
                <w:color w:val="000000" w:themeColor="text1"/>
                <w:sz w:val="18"/>
                <w:szCs w:val="18"/>
              </w:rPr>
              <w:t>0.083</w:t>
            </w:r>
          </w:p>
        </w:tc>
      </w:tr>
      <w:tr w:rsidR="008E00F2" w:rsidRPr="009D7F79" w14:paraId="707E43D2" w14:textId="77777777" w:rsidTr="000273B1">
        <w:trPr>
          <w:trHeight w:val="315"/>
        </w:trPr>
        <w:tc>
          <w:tcPr>
            <w:tcW w:w="1490" w:type="pct"/>
            <w:tcBorders>
              <w:top w:val="single" w:sz="4" w:space="0" w:color="auto"/>
              <w:left w:val="single" w:sz="4" w:space="0" w:color="auto"/>
              <w:bottom w:val="single" w:sz="4" w:space="0" w:color="auto"/>
              <w:right w:val="single" w:sz="4" w:space="0" w:color="auto"/>
            </w:tcBorders>
            <w:vAlign w:val="center"/>
          </w:tcPr>
          <w:p w14:paraId="7CFB40DC" w14:textId="6116A22F" w:rsidR="008E00F2" w:rsidRPr="00367E27" w:rsidRDefault="4FEBC937" w:rsidP="00287A12">
            <w:pPr>
              <w:tabs>
                <w:tab w:val="left" w:pos="1600"/>
              </w:tabs>
              <w:spacing w:after="0"/>
              <w:ind w:left="314"/>
              <w:jc w:val="both"/>
              <w:rPr>
                <w:rFonts w:ascii="Calibri" w:hAnsi="Calibri" w:cs="Calibri"/>
                <w:i/>
                <w:iCs/>
                <w:color w:val="000000"/>
                <w:sz w:val="18"/>
                <w:szCs w:val="18"/>
              </w:rPr>
            </w:pPr>
            <w:r w:rsidRPr="46641200">
              <w:rPr>
                <w:rFonts w:ascii="Calibri" w:hAnsi="Calibri" w:cs="Calibri"/>
                <w:i/>
                <w:iCs/>
                <w:color w:val="000000" w:themeColor="text1"/>
                <w:sz w:val="18"/>
                <w:szCs w:val="18"/>
              </w:rPr>
              <w:t>Government</w:t>
            </w:r>
            <w:r w:rsidR="008E00F2" w:rsidRPr="070CBDA7">
              <w:rPr>
                <w:rFonts w:ascii="Calibri" w:hAnsi="Calibri" w:cs="Calibri"/>
                <w:i/>
                <w:color w:val="000000" w:themeColor="text1"/>
                <w:sz w:val="18"/>
                <w:szCs w:val="18"/>
              </w:rPr>
              <w:t xml:space="preserve"> Contributions</w:t>
            </w:r>
          </w:p>
        </w:tc>
        <w:tc>
          <w:tcPr>
            <w:tcW w:w="877" w:type="pct"/>
            <w:tcBorders>
              <w:top w:val="single" w:sz="4" w:space="0" w:color="auto"/>
              <w:left w:val="single" w:sz="4" w:space="0" w:color="auto"/>
              <w:bottom w:val="single" w:sz="4" w:space="0" w:color="auto"/>
              <w:right w:val="single" w:sz="4" w:space="0" w:color="auto"/>
            </w:tcBorders>
            <w:vAlign w:val="center"/>
          </w:tcPr>
          <w:p w14:paraId="4DF424CB" w14:textId="0D29E8F6" w:rsidR="008E00F2" w:rsidRPr="00367E27" w:rsidRDefault="008E00F2" w:rsidP="004E3966">
            <w:pPr>
              <w:spacing w:after="0"/>
              <w:jc w:val="center"/>
              <w:rPr>
                <w:i/>
                <w:color w:val="000000"/>
                <w:sz w:val="18"/>
                <w:szCs w:val="18"/>
                <w:lang w:eastAsia="en-AU"/>
              </w:rPr>
            </w:pPr>
            <w:r w:rsidRPr="070CBDA7">
              <w:rPr>
                <w:rFonts w:ascii="Calibri" w:hAnsi="Calibri" w:cs="Calibri"/>
                <w:i/>
                <w:color w:val="000000" w:themeColor="text1"/>
                <w:sz w:val="18"/>
                <w:szCs w:val="18"/>
              </w:rPr>
              <w:t>1.181</w:t>
            </w:r>
          </w:p>
        </w:tc>
        <w:tc>
          <w:tcPr>
            <w:tcW w:w="878" w:type="pct"/>
            <w:tcBorders>
              <w:top w:val="single" w:sz="4" w:space="0" w:color="auto"/>
              <w:left w:val="single" w:sz="4" w:space="0" w:color="auto"/>
              <w:bottom w:val="single" w:sz="4" w:space="0" w:color="auto"/>
              <w:right w:val="single" w:sz="4" w:space="0" w:color="auto"/>
            </w:tcBorders>
            <w:vAlign w:val="center"/>
          </w:tcPr>
          <w:p w14:paraId="2A3456BD" w14:textId="3436B9BB" w:rsidR="008E00F2" w:rsidRPr="00367E27" w:rsidRDefault="008E00F2" w:rsidP="004E3966">
            <w:pPr>
              <w:spacing w:after="0"/>
              <w:jc w:val="center"/>
              <w:rPr>
                <w:i/>
                <w:sz w:val="18"/>
                <w:szCs w:val="18"/>
              </w:rPr>
            </w:pPr>
            <w:r w:rsidRPr="070CBDA7">
              <w:rPr>
                <w:rFonts w:ascii="Calibri" w:hAnsi="Calibri" w:cs="Calibri"/>
                <w:i/>
                <w:color w:val="000000" w:themeColor="text1"/>
                <w:sz w:val="18"/>
                <w:szCs w:val="18"/>
              </w:rPr>
              <w:t>1.234</w:t>
            </w:r>
          </w:p>
        </w:tc>
        <w:tc>
          <w:tcPr>
            <w:tcW w:w="878" w:type="pct"/>
            <w:tcBorders>
              <w:top w:val="single" w:sz="4" w:space="0" w:color="auto"/>
              <w:left w:val="single" w:sz="4" w:space="0" w:color="auto"/>
              <w:bottom w:val="single" w:sz="4" w:space="0" w:color="auto"/>
              <w:right w:val="single" w:sz="4" w:space="0" w:color="auto"/>
            </w:tcBorders>
            <w:vAlign w:val="center"/>
          </w:tcPr>
          <w:p w14:paraId="34F06614" w14:textId="74599C3D" w:rsidR="008E00F2" w:rsidRPr="00367E27" w:rsidRDefault="008E00F2" w:rsidP="004E3966">
            <w:pPr>
              <w:spacing w:after="0"/>
              <w:jc w:val="center"/>
              <w:rPr>
                <w:i/>
                <w:sz w:val="18"/>
                <w:szCs w:val="18"/>
              </w:rPr>
            </w:pPr>
            <w:r w:rsidRPr="070CBDA7">
              <w:rPr>
                <w:rFonts w:ascii="Calibri" w:hAnsi="Calibri" w:cs="Calibri"/>
                <w:i/>
                <w:color w:val="000000" w:themeColor="text1"/>
                <w:sz w:val="18"/>
                <w:szCs w:val="18"/>
              </w:rPr>
              <w:t>1.276</w:t>
            </w:r>
          </w:p>
        </w:tc>
        <w:tc>
          <w:tcPr>
            <w:tcW w:w="877" w:type="pct"/>
            <w:tcBorders>
              <w:top w:val="single" w:sz="4" w:space="0" w:color="auto"/>
              <w:left w:val="single" w:sz="4" w:space="0" w:color="auto"/>
              <w:bottom w:val="single" w:sz="4" w:space="0" w:color="auto"/>
              <w:right w:val="single" w:sz="4" w:space="0" w:color="auto"/>
            </w:tcBorders>
            <w:vAlign w:val="center"/>
          </w:tcPr>
          <w:p w14:paraId="0588E9CE" w14:textId="22B1C9C6" w:rsidR="008E00F2" w:rsidRPr="00367E27" w:rsidRDefault="008E00F2" w:rsidP="004E3966">
            <w:pPr>
              <w:spacing w:after="0"/>
              <w:jc w:val="center"/>
              <w:rPr>
                <w:i/>
                <w:sz w:val="18"/>
                <w:szCs w:val="18"/>
              </w:rPr>
            </w:pPr>
            <w:r w:rsidRPr="070CBDA7">
              <w:rPr>
                <w:rFonts w:ascii="Calibri" w:hAnsi="Calibri" w:cs="Calibri"/>
                <w:i/>
                <w:color w:val="000000" w:themeColor="text1"/>
                <w:sz w:val="18"/>
                <w:szCs w:val="18"/>
              </w:rPr>
              <w:t>1.320</w:t>
            </w:r>
          </w:p>
        </w:tc>
      </w:tr>
      <w:tr w:rsidR="00DF468A" w:rsidRPr="009D7F79" w14:paraId="64821E29" w14:textId="77777777" w:rsidTr="004D2971">
        <w:trPr>
          <w:trHeight w:val="300"/>
        </w:trPr>
        <w:tc>
          <w:tcPr>
            <w:tcW w:w="1490" w:type="pct"/>
            <w:tcBorders>
              <w:top w:val="single" w:sz="4" w:space="0" w:color="auto"/>
              <w:left w:val="single" w:sz="4" w:space="0" w:color="auto"/>
              <w:bottom w:val="single" w:sz="4" w:space="0" w:color="auto"/>
              <w:right w:val="single" w:sz="4" w:space="0" w:color="auto"/>
            </w:tcBorders>
            <w:vAlign w:val="center"/>
            <w:hideMark/>
          </w:tcPr>
          <w:p w14:paraId="7903E0D5" w14:textId="1659BC12" w:rsidR="00DF468A" w:rsidRPr="009D7F79" w:rsidRDefault="00DF468A" w:rsidP="00287A12">
            <w:pPr>
              <w:spacing w:after="0"/>
              <w:jc w:val="both"/>
              <w:rPr>
                <w:color w:val="000000"/>
                <w:lang w:eastAsia="en-AU"/>
              </w:rPr>
            </w:pPr>
            <w:r w:rsidRPr="070CBDA7">
              <w:rPr>
                <w:rFonts w:ascii="Calibri" w:hAnsi="Calibri" w:cs="Calibri"/>
                <w:color w:val="000000" w:themeColor="text1"/>
              </w:rPr>
              <w:t xml:space="preserve">Balance= </w:t>
            </w:r>
            <w:r w:rsidR="009925B1" w:rsidRPr="070CBDA7">
              <w:rPr>
                <w:rFonts w:ascii="Calibri" w:hAnsi="Calibri" w:cs="Calibri"/>
                <w:color w:val="000000" w:themeColor="text1"/>
              </w:rPr>
              <w:t>revenue</w:t>
            </w:r>
            <w:r w:rsidR="009925B1">
              <w:rPr>
                <w:rFonts w:ascii="Calibri" w:hAnsi="Calibri" w:cs="Calibri"/>
                <w:color w:val="000000" w:themeColor="text1"/>
              </w:rPr>
              <w:t xml:space="preserve"> - </w:t>
            </w:r>
            <w:r w:rsidRPr="070CBDA7">
              <w:rPr>
                <w:rFonts w:ascii="Calibri" w:hAnsi="Calibri" w:cs="Calibri"/>
                <w:color w:val="000000" w:themeColor="text1"/>
              </w:rPr>
              <w:t>expenses</w:t>
            </w:r>
            <w:r w:rsidRPr="070CBDA7">
              <w:rPr>
                <w:rFonts w:ascii="Calibri" w:hAnsi="Calibri" w:cs="Calibri"/>
                <w:color w:val="000000" w:themeColor="text1"/>
                <w:vertAlign w:val="superscript"/>
              </w:rPr>
              <w:t xml:space="preserve"> </w:t>
            </w:r>
          </w:p>
        </w:tc>
        <w:tc>
          <w:tcPr>
            <w:tcW w:w="877" w:type="pct"/>
            <w:tcBorders>
              <w:top w:val="single" w:sz="4" w:space="0" w:color="auto"/>
              <w:left w:val="single" w:sz="4" w:space="0" w:color="auto"/>
              <w:bottom w:val="single" w:sz="4" w:space="0" w:color="auto"/>
              <w:right w:val="single" w:sz="4" w:space="0" w:color="auto"/>
            </w:tcBorders>
            <w:vAlign w:val="center"/>
          </w:tcPr>
          <w:p w14:paraId="24D55061" w14:textId="6B0B284B" w:rsidR="00DF468A" w:rsidRPr="009D7F79" w:rsidRDefault="003F2E1B" w:rsidP="004E3966">
            <w:pPr>
              <w:spacing w:after="0"/>
              <w:jc w:val="center"/>
            </w:pPr>
            <w:r w:rsidRPr="070CBDA7">
              <w:t>-</w:t>
            </w:r>
            <w:r w:rsidR="00BA1D19" w:rsidRPr="070CBDA7">
              <w:t>0.124</w:t>
            </w:r>
          </w:p>
        </w:tc>
        <w:tc>
          <w:tcPr>
            <w:tcW w:w="878" w:type="pct"/>
            <w:tcBorders>
              <w:top w:val="single" w:sz="4" w:space="0" w:color="auto"/>
              <w:left w:val="single" w:sz="4" w:space="0" w:color="auto"/>
              <w:bottom w:val="single" w:sz="4" w:space="0" w:color="auto"/>
              <w:right w:val="single" w:sz="4" w:space="0" w:color="auto"/>
            </w:tcBorders>
            <w:vAlign w:val="center"/>
          </w:tcPr>
          <w:p w14:paraId="26795C9A" w14:textId="2615B26B" w:rsidR="00DF468A" w:rsidRPr="009D7F79" w:rsidRDefault="003F2E1B" w:rsidP="004E3966">
            <w:pPr>
              <w:spacing w:after="0"/>
              <w:jc w:val="center"/>
            </w:pPr>
            <w:r w:rsidRPr="070CBDA7">
              <w:t>-</w:t>
            </w:r>
            <w:r w:rsidR="00BA1D19" w:rsidRPr="070CBDA7">
              <w:t>0.129</w:t>
            </w:r>
          </w:p>
        </w:tc>
        <w:tc>
          <w:tcPr>
            <w:tcW w:w="878" w:type="pct"/>
            <w:tcBorders>
              <w:top w:val="single" w:sz="4" w:space="0" w:color="auto"/>
              <w:left w:val="single" w:sz="4" w:space="0" w:color="auto"/>
              <w:bottom w:val="single" w:sz="4" w:space="0" w:color="auto"/>
              <w:right w:val="single" w:sz="4" w:space="0" w:color="auto"/>
            </w:tcBorders>
            <w:vAlign w:val="center"/>
          </w:tcPr>
          <w:p w14:paraId="18E23EBD" w14:textId="296A7F60" w:rsidR="00DF468A" w:rsidRPr="009D7F79" w:rsidRDefault="003F2E1B" w:rsidP="004E3966">
            <w:pPr>
              <w:spacing w:after="0"/>
              <w:jc w:val="center"/>
            </w:pPr>
            <w:r w:rsidRPr="070CBDA7">
              <w:t>-</w:t>
            </w:r>
            <w:r w:rsidR="00BA1D19" w:rsidRPr="070CBDA7">
              <w:t>0.133</w:t>
            </w:r>
          </w:p>
        </w:tc>
        <w:tc>
          <w:tcPr>
            <w:tcW w:w="877" w:type="pct"/>
            <w:tcBorders>
              <w:top w:val="single" w:sz="4" w:space="0" w:color="auto"/>
              <w:left w:val="single" w:sz="4" w:space="0" w:color="auto"/>
              <w:bottom w:val="single" w:sz="4" w:space="0" w:color="auto"/>
              <w:right w:val="single" w:sz="4" w:space="0" w:color="auto"/>
            </w:tcBorders>
            <w:vAlign w:val="center"/>
          </w:tcPr>
          <w:p w14:paraId="3A8D9461" w14:textId="75A54ACE" w:rsidR="00DF468A" w:rsidRPr="009D7F79" w:rsidRDefault="003F2E1B" w:rsidP="004E3966">
            <w:pPr>
              <w:spacing w:after="0"/>
              <w:jc w:val="center"/>
            </w:pPr>
            <w:r w:rsidRPr="070CBDA7">
              <w:t>-</w:t>
            </w:r>
            <w:r w:rsidR="00BA1D19" w:rsidRPr="070CBDA7">
              <w:t>0.138</w:t>
            </w:r>
          </w:p>
        </w:tc>
      </w:tr>
      <w:tr w:rsidR="00DF468A" w:rsidRPr="00D33336" w14:paraId="49A06739" w14:textId="77777777" w:rsidTr="004D2971">
        <w:trPr>
          <w:trHeight w:val="300"/>
        </w:trPr>
        <w:tc>
          <w:tcPr>
            <w:tcW w:w="1490" w:type="pct"/>
            <w:tcBorders>
              <w:top w:val="single" w:sz="4" w:space="0" w:color="auto"/>
              <w:left w:val="single" w:sz="4" w:space="0" w:color="auto"/>
              <w:bottom w:val="single" w:sz="4" w:space="0" w:color="auto"/>
              <w:right w:val="single" w:sz="4" w:space="0" w:color="auto"/>
            </w:tcBorders>
            <w:vAlign w:val="center"/>
            <w:hideMark/>
          </w:tcPr>
          <w:p w14:paraId="6ECBEB53" w14:textId="77777777" w:rsidR="00DF468A" w:rsidRPr="00CD066E" w:rsidRDefault="00DF468A" w:rsidP="00287A12">
            <w:pPr>
              <w:spacing w:after="0"/>
              <w:jc w:val="both"/>
              <w:rPr>
                <w:b/>
                <w:color w:val="000000"/>
                <w:lang w:eastAsia="en-AU"/>
              </w:rPr>
            </w:pPr>
            <w:r w:rsidRPr="070CBDA7">
              <w:rPr>
                <w:rFonts w:ascii="Calibri" w:hAnsi="Calibri" w:cs="Calibri"/>
                <w:b/>
                <w:color w:val="000000" w:themeColor="text1"/>
              </w:rPr>
              <w:t>Cumulative balance</w:t>
            </w:r>
          </w:p>
        </w:tc>
        <w:tc>
          <w:tcPr>
            <w:tcW w:w="877" w:type="pct"/>
            <w:tcBorders>
              <w:top w:val="single" w:sz="4" w:space="0" w:color="auto"/>
              <w:left w:val="single" w:sz="4" w:space="0" w:color="auto"/>
              <w:bottom w:val="single" w:sz="4" w:space="0" w:color="auto"/>
              <w:right w:val="single" w:sz="4" w:space="0" w:color="auto"/>
            </w:tcBorders>
            <w:vAlign w:val="center"/>
          </w:tcPr>
          <w:p w14:paraId="200FC697" w14:textId="6EAAC06D" w:rsidR="00DF468A" w:rsidRPr="00CD066E" w:rsidRDefault="006B0672" w:rsidP="004E3966">
            <w:pPr>
              <w:spacing w:after="0"/>
              <w:jc w:val="center"/>
              <w:rPr>
                <w:b/>
              </w:rPr>
            </w:pPr>
            <w:r w:rsidRPr="070CBDA7">
              <w:rPr>
                <w:b/>
              </w:rPr>
              <w:t>-</w:t>
            </w:r>
            <w:r w:rsidR="0080624D" w:rsidRPr="070CBDA7">
              <w:rPr>
                <w:b/>
              </w:rPr>
              <w:t>0.538</w:t>
            </w:r>
          </w:p>
        </w:tc>
        <w:tc>
          <w:tcPr>
            <w:tcW w:w="878" w:type="pct"/>
            <w:tcBorders>
              <w:top w:val="single" w:sz="4" w:space="0" w:color="auto"/>
              <w:left w:val="single" w:sz="4" w:space="0" w:color="auto"/>
              <w:bottom w:val="single" w:sz="4" w:space="0" w:color="auto"/>
              <w:right w:val="single" w:sz="4" w:space="0" w:color="auto"/>
            </w:tcBorders>
            <w:vAlign w:val="center"/>
          </w:tcPr>
          <w:p w14:paraId="18425704" w14:textId="36EE729C" w:rsidR="00DF468A" w:rsidRPr="00CD066E" w:rsidRDefault="0080624D" w:rsidP="004E3966">
            <w:pPr>
              <w:spacing w:after="0"/>
              <w:jc w:val="center"/>
              <w:rPr>
                <w:b/>
              </w:rPr>
            </w:pPr>
            <w:r w:rsidRPr="070CBDA7">
              <w:rPr>
                <w:b/>
              </w:rPr>
              <w:t>-0.667</w:t>
            </w:r>
          </w:p>
        </w:tc>
        <w:tc>
          <w:tcPr>
            <w:tcW w:w="878" w:type="pct"/>
            <w:tcBorders>
              <w:top w:val="single" w:sz="4" w:space="0" w:color="auto"/>
              <w:left w:val="single" w:sz="4" w:space="0" w:color="auto"/>
              <w:bottom w:val="single" w:sz="4" w:space="0" w:color="auto"/>
              <w:right w:val="single" w:sz="4" w:space="0" w:color="auto"/>
            </w:tcBorders>
            <w:vAlign w:val="center"/>
          </w:tcPr>
          <w:p w14:paraId="4410E4DB" w14:textId="25F2A111" w:rsidR="00DF468A" w:rsidRPr="00CD066E" w:rsidRDefault="0080624D" w:rsidP="004E3966">
            <w:pPr>
              <w:spacing w:after="0"/>
              <w:jc w:val="center"/>
              <w:rPr>
                <w:b/>
              </w:rPr>
            </w:pPr>
            <w:r w:rsidRPr="070CBDA7">
              <w:rPr>
                <w:b/>
              </w:rPr>
              <w:t>-</w:t>
            </w:r>
            <w:r w:rsidR="00330E9D" w:rsidRPr="070CBDA7">
              <w:rPr>
                <w:b/>
              </w:rPr>
              <w:t>0.800</w:t>
            </w:r>
          </w:p>
        </w:tc>
        <w:tc>
          <w:tcPr>
            <w:tcW w:w="877" w:type="pct"/>
            <w:tcBorders>
              <w:top w:val="single" w:sz="4" w:space="0" w:color="auto"/>
              <w:left w:val="single" w:sz="4" w:space="0" w:color="auto"/>
              <w:bottom w:val="single" w:sz="4" w:space="0" w:color="auto"/>
              <w:right w:val="single" w:sz="4" w:space="0" w:color="auto"/>
            </w:tcBorders>
            <w:vAlign w:val="center"/>
          </w:tcPr>
          <w:p w14:paraId="57288C6F" w14:textId="119F2ABC" w:rsidR="00DF468A" w:rsidRPr="00CD066E" w:rsidRDefault="00330E9D" w:rsidP="004E3966">
            <w:pPr>
              <w:spacing w:after="0"/>
              <w:jc w:val="center"/>
              <w:rPr>
                <w:b/>
              </w:rPr>
            </w:pPr>
            <w:r w:rsidRPr="070CBDA7">
              <w:rPr>
                <w:b/>
              </w:rPr>
              <w:t>-0.938</w:t>
            </w:r>
          </w:p>
        </w:tc>
      </w:tr>
    </w:tbl>
    <w:p w14:paraId="326F1589" w14:textId="4F117C38" w:rsidR="00B32645" w:rsidRPr="00A63A16" w:rsidRDefault="00A63A16" w:rsidP="00B32645">
      <w:pPr>
        <w:spacing w:before="240" w:after="240"/>
        <w:jc w:val="both"/>
        <w:rPr>
          <w:rFonts w:eastAsia="Times New Roman" w:cstheme="minorHAnsi"/>
          <w:lang w:eastAsia="en-AU"/>
        </w:rPr>
      </w:pPr>
      <w:r w:rsidRPr="00A63A16">
        <w:rPr>
          <w:rFonts w:eastAsia="Times New Roman" w:cstheme="minorHAnsi"/>
          <w:lang w:eastAsia="en-AU"/>
        </w:rPr>
        <w:t>Historical financial results for the period 2020</w:t>
      </w:r>
      <w:r w:rsidR="00525212">
        <w:rPr>
          <w:rFonts w:eastAsia="Times New Roman" w:cstheme="minorHAnsi"/>
          <w:lang w:eastAsia="en-AU"/>
        </w:rPr>
        <w:t>–</w:t>
      </w:r>
      <w:r w:rsidRPr="00A63A16">
        <w:rPr>
          <w:rFonts w:eastAsia="Times New Roman" w:cstheme="minorHAnsi"/>
          <w:lang w:eastAsia="en-AU"/>
        </w:rPr>
        <w:t>21</w:t>
      </w:r>
      <w:r w:rsidR="00525212">
        <w:rPr>
          <w:rFonts w:eastAsia="Times New Roman" w:cstheme="minorHAnsi"/>
          <w:lang w:eastAsia="en-AU"/>
        </w:rPr>
        <w:t xml:space="preserve"> </w:t>
      </w:r>
      <w:r w:rsidRPr="00A63A16">
        <w:rPr>
          <w:rFonts w:eastAsia="Times New Roman" w:cstheme="minorHAnsi"/>
          <w:lang w:eastAsia="en-AU"/>
        </w:rPr>
        <w:t>to 2023</w:t>
      </w:r>
      <w:r w:rsidR="00525212">
        <w:rPr>
          <w:rFonts w:eastAsia="Times New Roman" w:cstheme="minorHAnsi"/>
          <w:lang w:eastAsia="en-AU"/>
        </w:rPr>
        <w:t>–</w:t>
      </w:r>
      <w:r w:rsidRPr="00A63A16">
        <w:rPr>
          <w:rFonts w:eastAsia="Times New Roman" w:cstheme="minorHAnsi"/>
          <w:lang w:eastAsia="en-AU"/>
        </w:rPr>
        <w:t xml:space="preserve">24 have not been included in this </w:t>
      </w:r>
      <w:r w:rsidR="00B73FA5" w:rsidRPr="00A63A16">
        <w:rPr>
          <w:rFonts w:eastAsia="Times New Roman" w:cstheme="minorHAnsi"/>
          <w:lang w:eastAsia="en-AU"/>
        </w:rPr>
        <w:t>CRIS but</w:t>
      </w:r>
      <w:r w:rsidRPr="00A63A16">
        <w:rPr>
          <w:rFonts w:eastAsia="Times New Roman" w:cstheme="minorHAnsi"/>
          <w:lang w:eastAsia="en-AU"/>
        </w:rPr>
        <w:t xml:space="preserve"> will be presented in the 2025</w:t>
      </w:r>
      <w:r w:rsidR="00CB721D">
        <w:rPr>
          <w:rFonts w:eastAsia="Times New Roman" w:cstheme="minorHAnsi"/>
          <w:lang w:eastAsia="en-AU"/>
        </w:rPr>
        <w:t>–</w:t>
      </w:r>
      <w:r w:rsidRPr="00A63A16">
        <w:rPr>
          <w:rFonts w:eastAsia="Times New Roman" w:cstheme="minorHAnsi"/>
          <w:lang w:eastAsia="en-AU"/>
        </w:rPr>
        <w:t>26</w:t>
      </w:r>
      <w:r w:rsidR="00CB721D">
        <w:rPr>
          <w:rFonts w:eastAsia="Times New Roman" w:cstheme="minorHAnsi"/>
          <w:lang w:eastAsia="en-AU"/>
        </w:rPr>
        <w:t xml:space="preserve"> </w:t>
      </w:r>
      <w:r w:rsidRPr="00A63A16">
        <w:rPr>
          <w:rFonts w:eastAsia="Times New Roman" w:cstheme="minorHAnsi"/>
          <w:lang w:eastAsia="en-AU"/>
        </w:rPr>
        <w:t>CRIS following alignment to the current calculation methodology</w:t>
      </w:r>
      <w:r w:rsidR="006730A9" w:rsidRPr="00A63A16">
        <w:rPr>
          <w:rFonts w:eastAsia="Times New Roman" w:cstheme="minorHAnsi"/>
          <w:lang w:eastAsia="en-AU"/>
        </w:rPr>
        <w:t>.</w:t>
      </w:r>
    </w:p>
    <w:p w14:paraId="4299546E" w14:textId="1046F357" w:rsidR="009B6A61" w:rsidRDefault="00021D3A" w:rsidP="00000F28">
      <w:pPr>
        <w:pStyle w:val="Heading1"/>
        <w:numPr>
          <w:ilvl w:val="0"/>
          <w:numId w:val="2"/>
        </w:numPr>
        <w:spacing w:after="240"/>
        <w:jc w:val="both"/>
      </w:pPr>
      <w:bookmarkStart w:id="20" w:name="_Toc214441563"/>
      <w:r w:rsidRPr="00D1274B">
        <w:t>NON-FINANCIAL PERFORMANCE</w:t>
      </w:r>
      <w:bookmarkEnd w:id="20"/>
    </w:p>
    <w:p w14:paraId="22330813" w14:textId="3A6965C7" w:rsidR="002E21F3" w:rsidRDefault="002E21F3" w:rsidP="004E3966">
      <w:pPr>
        <w:spacing w:before="320" w:after="240"/>
        <w:jc w:val="both"/>
      </w:pPr>
      <w:r>
        <w:t xml:space="preserve">Since its commencement in 2010, the CBD </w:t>
      </w:r>
      <w:r w:rsidR="00617691">
        <w:t>p</w:t>
      </w:r>
      <w:r>
        <w:t xml:space="preserve">rogram has had a significant impact on the Australian commercial office property market, particularly in driving improvements in energy efficiency and reducing emissions. Independent reviews of the </w:t>
      </w:r>
      <w:r w:rsidR="00617691">
        <w:t>p</w:t>
      </w:r>
      <w:r>
        <w:t>rogram were undertaken in 2016 and 2019. Details of these review</w:t>
      </w:r>
      <w:r w:rsidR="00C4688A">
        <w:t>s</w:t>
      </w:r>
      <w:r>
        <w:t xml:space="preserve"> can be found on the CBD </w:t>
      </w:r>
      <w:r w:rsidR="00542CC6">
        <w:t>p</w:t>
      </w:r>
      <w:r>
        <w:t>rogram website.</w:t>
      </w:r>
    </w:p>
    <w:p w14:paraId="1AC984DD" w14:textId="3BEB71B8" w:rsidR="002E21F3" w:rsidRDefault="002E21F3" w:rsidP="004E3966">
      <w:pPr>
        <w:spacing w:after="240"/>
        <w:jc w:val="both"/>
      </w:pPr>
      <w:r>
        <w:t xml:space="preserve">The 2019 </w:t>
      </w:r>
      <w:r w:rsidR="00542CC6">
        <w:t>p</w:t>
      </w:r>
      <w:r>
        <w:t>rogram review (not finalised due to the impacts of COVID-19) found:</w:t>
      </w:r>
    </w:p>
    <w:p w14:paraId="3FFAE275" w14:textId="2E1693AC" w:rsidR="002E21F3" w:rsidRDefault="002E21F3" w:rsidP="004E3966">
      <w:pPr>
        <w:numPr>
          <w:ilvl w:val="0"/>
          <w:numId w:val="7"/>
        </w:numPr>
        <w:spacing w:after="240"/>
        <w:jc w:val="both"/>
      </w:pPr>
      <w:r>
        <w:t xml:space="preserve">The </w:t>
      </w:r>
      <w:r w:rsidR="00DA54CD">
        <w:t>p</w:t>
      </w:r>
      <w:r>
        <w:t xml:space="preserve">rogram has been effective in promoting energy efficiency and emissions abatement. This includes benefits to building owners/tenants, because savings in energy bills outweigh the costs of the improvements made and community benefits from reduced greenhouse gas emissions </w:t>
      </w:r>
    </w:p>
    <w:p w14:paraId="16CE89FC" w14:textId="58CB69AD" w:rsidR="002E21F3" w:rsidRDefault="002E21F3" w:rsidP="004E3966">
      <w:pPr>
        <w:numPr>
          <w:ilvl w:val="0"/>
          <w:numId w:val="7"/>
        </w:numPr>
        <w:spacing w:after="240"/>
        <w:jc w:val="both"/>
      </w:pPr>
      <w:r>
        <w:t>After accounting for all the costs and benefits of achieving energy savings, and including impacts from changes already made to buildings and that will occur over the next ten years, the Centre for International Economics (CIE) estimated the net benefits of the program to be $86 million in net present value terms</w:t>
      </w:r>
    </w:p>
    <w:p w14:paraId="0C90361B" w14:textId="2041B22E" w:rsidR="002E21F3" w:rsidRDefault="002E21F3" w:rsidP="004E3966">
      <w:pPr>
        <w:numPr>
          <w:ilvl w:val="0"/>
          <w:numId w:val="7"/>
        </w:numPr>
        <w:spacing w:after="240"/>
        <w:jc w:val="both"/>
      </w:pPr>
      <w:r>
        <w:t xml:space="preserve">These benefits are expected to increase over time. Under a ‘business as usual’ scenario, CIE estimates that the net benefits of the CBD </w:t>
      </w:r>
      <w:r w:rsidR="00A42500">
        <w:t>p</w:t>
      </w:r>
      <w:r>
        <w:t>rogram will increase to $217.2 million by 2030.</w:t>
      </w:r>
    </w:p>
    <w:p w14:paraId="3D858740" w14:textId="76232F61" w:rsidR="002E21F3" w:rsidRDefault="002E21F3" w:rsidP="004E3966">
      <w:pPr>
        <w:spacing w:after="240"/>
        <w:jc w:val="both"/>
      </w:pPr>
      <w:r>
        <w:t xml:space="preserve">Raw data for the history of the </w:t>
      </w:r>
      <w:r w:rsidR="0088498F">
        <w:t>p</w:t>
      </w:r>
      <w:r>
        <w:t xml:space="preserve">rogram is available on the CBD </w:t>
      </w:r>
      <w:r w:rsidR="00C4688A">
        <w:t>p</w:t>
      </w:r>
      <w:r>
        <w:t>rogram website</w:t>
      </w:r>
      <w:r w:rsidR="0099136C">
        <w:t>. Th</w:t>
      </w:r>
      <w:r w:rsidR="00F3000F">
        <w:t>is includes</w:t>
      </w:r>
      <w:r>
        <w:t xml:space="preserve"> all data published on</w:t>
      </w:r>
      <w:r w:rsidR="00C4688A">
        <w:t xml:space="preserve"> the </w:t>
      </w:r>
      <w:r>
        <w:t xml:space="preserve">public register on BEECs including NABERS office energy ratings and details of functional spaces assessed through TLAs. Interactive visualisations of published data are </w:t>
      </w:r>
      <w:r w:rsidR="0088498F">
        <w:t>al</w:t>
      </w:r>
      <w:r w:rsidR="0099136C">
        <w:t xml:space="preserve">so </w:t>
      </w:r>
      <w:r>
        <w:t>available on the reporting page.</w:t>
      </w:r>
    </w:p>
    <w:p w14:paraId="55A21923" w14:textId="6342CDE5" w:rsidR="00AB5C15" w:rsidRPr="00AB5C15" w:rsidRDefault="00AB5C15" w:rsidP="004E3966">
      <w:pPr>
        <w:spacing w:after="240"/>
        <w:jc w:val="both"/>
      </w:pPr>
      <w:r w:rsidRPr="00AB5C15">
        <w:lastRenderedPageBreak/>
        <w:t xml:space="preserve">The CBD </w:t>
      </w:r>
      <w:r>
        <w:t>program team</w:t>
      </w:r>
      <w:r w:rsidRPr="00AB5C15">
        <w:t xml:space="preserve"> process</w:t>
      </w:r>
      <w:r w:rsidR="003621D0">
        <w:t>es</w:t>
      </w:r>
      <w:r w:rsidRPr="00AB5C15">
        <w:t xml:space="preserve"> a </w:t>
      </w:r>
      <w:r w:rsidR="003C4E7B" w:rsidRPr="00AB5C15">
        <w:t>substantial number</w:t>
      </w:r>
      <w:r w:rsidRPr="00AB5C15">
        <w:t xml:space="preserve"> of applications annually including:</w:t>
      </w:r>
    </w:p>
    <w:p w14:paraId="46AB3D97" w14:textId="77777777" w:rsidR="00AB5C15" w:rsidRPr="00AB5C15" w:rsidRDefault="00AB5C15" w:rsidP="004E3966">
      <w:pPr>
        <w:numPr>
          <w:ilvl w:val="0"/>
          <w:numId w:val="10"/>
        </w:numPr>
        <w:spacing w:after="0"/>
        <w:jc w:val="both"/>
      </w:pPr>
      <w:r w:rsidRPr="00AB5C15">
        <w:t>BEECs</w:t>
      </w:r>
    </w:p>
    <w:p w14:paraId="32669695" w14:textId="77777777" w:rsidR="00AB5C15" w:rsidRPr="00AB5C15" w:rsidRDefault="00AB5C15" w:rsidP="004E3966">
      <w:pPr>
        <w:numPr>
          <w:ilvl w:val="0"/>
          <w:numId w:val="10"/>
        </w:numPr>
        <w:spacing w:after="0"/>
        <w:jc w:val="both"/>
      </w:pPr>
      <w:r w:rsidRPr="00AB5C15">
        <w:t>TLAs</w:t>
      </w:r>
    </w:p>
    <w:p w14:paraId="24ABABF8" w14:textId="77777777" w:rsidR="00AB5C15" w:rsidRPr="00AB5C15" w:rsidRDefault="00AB5C15" w:rsidP="004E3966">
      <w:pPr>
        <w:numPr>
          <w:ilvl w:val="0"/>
          <w:numId w:val="10"/>
        </w:numPr>
        <w:spacing w:after="0"/>
        <w:jc w:val="both"/>
      </w:pPr>
      <w:r w:rsidRPr="00AB5C15">
        <w:t>Exemption applications (including unsolicited offers)</w:t>
      </w:r>
    </w:p>
    <w:p w14:paraId="68F11AC3" w14:textId="57ECC59E" w:rsidR="00AB5C15" w:rsidRDefault="00AB5C15" w:rsidP="004E3966">
      <w:pPr>
        <w:numPr>
          <w:ilvl w:val="0"/>
          <w:numId w:val="10"/>
        </w:numPr>
        <w:jc w:val="both"/>
      </w:pPr>
      <w:r w:rsidRPr="00AB5C15">
        <w:t xml:space="preserve">Accreditation of new and re-accreditation of existing CBD </w:t>
      </w:r>
      <w:r w:rsidR="00F9216F">
        <w:t>a</w:t>
      </w:r>
      <w:r w:rsidRPr="00AB5C15">
        <w:t>ssessors.</w:t>
      </w:r>
    </w:p>
    <w:p w14:paraId="049CAA99" w14:textId="29DADF92" w:rsidR="00AB5C15" w:rsidRDefault="00AB5C15" w:rsidP="004E3966">
      <w:pPr>
        <w:spacing w:after="240"/>
        <w:jc w:val="both"/>
      </w:pPr>
      <w:r w:rsidRPr="00AB5C15">
        <w:t>Details of historical application volumes are provided in</w:t>
      </w:r>
      <w:r w:rsidR="005D610B">
        <w:t xml:space="preserve"> Table 7.1 below</w:t>
      </w:r>
      <w:r w:rsidRPr="00AB5C15">
        <w:t>.</w:t>
      </w:r>
    </w:p>
    <w:p w14:paraId="09495773" w14:textId="5209A114" w:rsidR="00AB5C15" w:rsidRPr="00AB5C15" w:rsidRDefault="00AB5C15" w:rsidP="00000F28">
      <w:pPr>
        <w:spacing w:before="320" w:after="240"/>
        <w:rPr>
          <w:b/>
          <w:bCs/>
          <w:iCs/>
        </w:rPr>
      </w:pPr>
      <w:bookmarkStart w:id="21" w:name="_Ref198886502"/>
      <w:r w:rsidRPr="00AB5C15">
        <w:rPr>
          <w:b/>
          <w:bCs/>
          <w:iCs/>
        </w:rPr>
        <w:t xml:space="preserve">Table </w:t>
      </w:r>
      <w:r w:rsidR="005D610B">
        <w:rPr>
          <w:b/>
          <w:bCs/>
          <w:iCs/>
        </w:rPr>
        <w:t>7.1</w:t>
      </w:r>
      <w:bookmarkEnd w:id="21"/>
      <w:r w:rsidRPr="00AB5C15">
        <w:rPr>
          <w:b/>
          <w:bCs/>
          <w:iCs/>
        </w:rPr>
        <w:t xml:space="preserve"> - Non-financial performance</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988"/>
        <w:gridCol w:w="1134"/>
        <w:gridCol w:w="992"/>
        <w:gridCol w:w="993"/>
      </w:tblGrid>
      <w:tr w:rsidR="006554BE" w:rsidRPr="00AB5C15" w14:paraId="19B48CC6" w14:textId="77777777" w:rsidTr="006554BE">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685" w:type="dxa"/>
            <w:shd w:val="clear" w:color="auto" w:fill="DEEAF6" w:themeFill="accent1" w:themeFillTint="33"/>
            <w:vAlign w:val="center"/>
          </w:tcPr>
          <w:p w14:paraId="5DAC7C2A" w14:textId="77777777" w:rsidR="00AB5C15" w:rsidRPr="00AB5C15" w:rsidRDefault="00AB5C15" w:rsidP="009925B1">
            <w:pPr>
              <w:spacing w:line="264" w:lineRule="auto"/>
            </w:pPr>
            <w:r w:rsidRPr="00AB5C15">
              <w:t>Application type</w:t>
            </w:r>
          </w:p>
        </w:tc>
        <w:tc>
          <w:tcPr>
            <w:tcW w:w="988" w:type="dxa"/>
            <w:shd w:val="clear" w:color="auto" w:fill="DEEAF6" w:themeFill="accent1" w:themeFillTint="33"/>
            <w:vAlign w:val="center"/>
          </w:tcPr>
          <w:p w14:paraId="3D244999" w14:textId="2C7F5B1F" w:rsidR="00AB5C15" w:rsidRPr="00AB5C15" w:rsidRDefault="00AB5C15" w:rsidP="009925B1">
            <w:pPr>
              <w:spacing w:line="264" w:lineRule="auto"/>
              <w:jc w:val="center"/>
              <w:cnfStyle w:val="100000000000" w:firstRow="1" w:lastRow="0" w:firstColumn="0" w:lastColumn="0" w:oddVBand="0" w:evenVBand="0" w:oddHBand="0" w:evenHBand="0" w:firstRowFirstColumn="0" w:firstRowLastColumn="0" w:lastRowFirstColumn="0" w:lastRowLastColumn="0"/>
            </w:pPr>
            <w:r w:rsidRPr="00AB5C15">
              <w:t>2020</w:t>
            </w:r>
            <w:r w:rsidR="28304091">
              <w:t>–</w:t>
            </w:r>
            <w:r w:rsidRPr="00AB5C15">
              <w:t>21</w:t>
            </w:r>
          </w:p>
        </w:tc>
        <w:tc>
          <w:tcPr>
            <w:tcW w:w="1134" w:type="dxa"/>
            <w:shd w:val="clear" w:color="auto" w:fill="DEEAF6" w:themeFill="accent1" w:themeFillTint="33"/>
            <w:vAlign w:val="center"/>
          </w:tcPr>
          <w:p w14:paraId="34285377" w14:textId="349A8A55" w:rsidR="00AB5C15" w:rsidRPr="00AB5C15" w:rsidRDefault="00AB5C15" w:rsidP="009925B1">
            <w:pPr>
              <w:spacing w:line="264" w:lineRule="auto"/>
              <w:jc w:val="center"/>
              <w:cnfStyle w:val="100000000000" w:firstRow="1" w:lastRow="0" w:firstColumn="0" w:lastColumn="0" w:oddVBand="0" w:evenVBand="0" w:oddHBand="0" w:evenHBand="0" w:firstRowFirstColumn="0" w:firstRowLastColumn="0" w:lastRowFirstColumn="0" w:lastRowLastColumn="0"/>
            </w:pPr>
            <w:r w:rsidRPr="00AB5C15">
              <w:t>2021</w:t>
            </w:r>
            <w:r w:rsidR="28304091">
              <w:t>–</w:t>
            </w:r>
            <w:r w:rsidRPr="00AB5C15">
              <w:t>22</w:t>
            </w:r>
          </w:p>
        </w:tc>
        <w:tc>
          <w:tcPr>
            <w:tcW w:w="992" w:type="dxa"/>
            <w:shd w:val="clear" w:color="auto" w:fill="DEEAF6" w:themeFill="accent1" w:themeFillTint="33"/>
            <w:vAlign w:val="center"/>
          </w:tcPr>
          <w:p w14:paraId="0A16D0C1" w14:textId="1946CFA9" w:rsidR="00AB5C15" w:rsidRPr="00AB5C15" w:rsidRDefault="00AB5C15" w:rsidP="009925B1">
            <w:pPr>
              <w:spacing w:line="264" w:lineRule="auto"/>
              <w:jc w:val="center"/>
              <w:cnfStyle w:val="100000000000" w:firstRow="1" w:lastRow="0" w:firstColumn="0" w:lastColumn="0" w:oddVBand="0" w:evenVBand="0" w:oddHBand="0" w:evenHBand="0" w:firstRowFirstColumn="0" w:firstRowLastColumn="0" w:lastRowFirstColumn="0" w:lastRowLastColumn="0"/>
            </w:pPr>
            <w:r w:rsidRPr="00AB5C15">
              <w:t>2022</w:t>
            </w:r>
            <w:r w:rsidR="28304091">
              <w:t>–</w:t>
            </w:r>
            <w:r w:rsidRPr="00AB5C15">
              <w:t>23</w:t>
            </w:r>
          </w:p>
        </w:tc>
        <w:tc>
          <w:tcPr>
            <w:tcW w:w="993" w:type="dxa"/>
            <w:shd w:val="clear" w:color="auto" w:fill="DEEAF6" w:themeFill="accent1" w:themeFillTint="33"/>
            <w:vAlign w:val="center"/>
          </w:tcPr>
          <w:p w14:paraId="28532B65" w14:textId="2CA73930" w:rsidR="00AB5C15" w:rsidRPr="00AB5C15" w:rsidRDefault="00AB5C15" w:rsidP="009925B1">
            <w:pPr>
              <w:spacing w:line="264" w:lineRule="auto"/>
              <w:jc w:val="center"/>
              <w:cnfStyle w:val="100000000000" w:firstRow="1" w:lastRow="0" w:firstColumn="0" w:lastColumn="0" w:oddVBand="0" w:evenVBand="0" w:oddHBand="0" w:evenHBand="0" w:firstRowFirstColumn="0" w:firstRowLastColumn="0" w:lastRowFirstColumn="0" w:lastRowLastColumn="0"/>
            </w:pPr>
            <w:r w:rsidRPr="00AB5C15">
              <w:t>2023</w:t>
            </w:r>
            <w:r w:rsidR="28304091">
              <w:t>–</w:t>
            </w:r>
            <w:r w:rsidRPr="00AB5C15">
              <w:t>24</w:t>
            </w:r>
          </w:p>
        </w:tc>
      </w:tr>
      <w:tr w:rsidR="00AB5C15" w:rsidRPr="00AB5C15" w14:paraId="638A99D7" w14:textId="77777777" w:rsidTr="006554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bottom w:val="none" w:sz="0" w:space="0" w:color="auto"/>
            </w:tcBorders>
            <w:vAlign w:val="center"/>
          </w:tcPr>
          <w:p w14:paraId="3E893B8E" w14:textId="77777777" w:rsidR="00AB5C15" w:rsidRPr="00AB5C15" w:rsidRDefault="00AB5C15" w:rsidP="009925B1">
            <w:pPr>
              <w:spacing w:line="264" w:lineRule="auto"/>
              <w:jc w:val="both"/>
            </w:pPr>
            <w:r w:rsidRPr="00AB5C15">
              <w:t>BEECs</w:t>
            </w:r>
          </w:p>
        </w:tc>
        <w:tc>
          <w:tcPr>
            <w:tcW w:w="988" w:type="dxa"/>
            <w:tcBorders>
              <w:top w:val="none" w:sz="0" w:space="0" w:color="auto"/>
              <w:bottom w:val="none" w:sz="0" w:space="0" w:color="auto"/>
            </w:tcBorders>
            <w:vAlign w:val="bottom"/>
          </w:tcPr>
          <w:p w14:paraId="31BE9632" w14:textId="77777777" w:rsidR="00AB5C15" w:rsidRPr="00AB5C15" w:rsidRDefault="00AB5C15" w:rsidP="009925B1">
            <w:pPr>
              <w:spacing w:line="264" w:lineRule="auto"/>
              <w:jc w:val="center"/>
              <w:cnfStyle w:val="000000100000" w:firstRow="0" w:lastRow="0" w:firstColumn="0" w:lastColumn="0" w:oddVBand="0" w:evenVBand="0" w:oddHBand="1" w:evenHBand="0" w:firstRowFirstColumn="0" w:firstRowLastColumn="0" w:lastRowFirstColumn="0" w:lastRowLastColumn="0"/>
            </w:pPr>
            <w:r w:rsidRPr="00AB5C15">
              <w:t>1,521</w:t>
            </w:r>
          </w:p>
        </w:tc>
        <w:tc>
          <w:tcPr>
            <w:tcW w:w="1134" w:type="dxa"/>
            <w:tcBorders>
              <w:top w:val="none" w:sz="0" w:space="0" w:color="auto"/>
              <w:bottom w:val="none" w:sz="0" w:space="0" w:color="auto"/>
            </w:tcBorders>
            <w:vAlign w:val="bottom"/>
          </w:tcPr>
          <w:p w14:paraId="7794CD4F" w14:textId="77777777" w:rsidR="00AB5C15" w:rsidRPr="00AB5C15" w:rsidRDefault="00AB5C15" w:rsidP="009925B1">
            <w:pPr>
              <w:spacing w:line="264" w:lineRule="auto"/>
              <w:jc w:val="center"/>
              <w:cnfStyle w:val="000000100000" w:firstRow="0" w:lastRow="0" w:firstColumn="0" w:lastColumn="0" w:oddVBand="0" w:evenVBand="0" w:oddHBand="1" w:evenHBand="0" w:firstRowFirstColumn="0" w:firstRowLastColumn="0" w:lastRowFirstColumn="0" w:lastRowLastColumn="0"/>
            </w:pPr>
            <w:r w:rsidRPr="00AB5C15">
              <w:t>1,699</w:t>
            </w:r>
          </w:p>
        </w:tc>
        <w:tc>
          <w:tcPr>
            <w:tcW w:w="992" w:type="dxa"/>
            <w:tcBorders>
              <w:top w:val="none" w:sz="0" w:space="0" w:color="auto"/>
              <w:bottom w:val="none" w:sz="0" w:space="0" w:color="auto"/>
            </w:tcBorders>
            <w:vAlign w:val="bottom"/>
          </w:tcPr>
          <w:p w14:paraId="2295450A" w14:textId="77777777" w:rsidR="00AB5C15" w:rsidRPr="00AB5C15" w:rsidRDefault="00AB5C15" w:rsidP="009925B1">
            <w:pPr>
              <w:spacing w:line="264" w:lineRule="auto"/>
              <w:jc w:val="center"/>
              <w:cnfStyle w:val="000000100000" w:firstRow="0" w:lastRow="0" w:firstColumn="0" w:lastColumn="0" w:oddVBand="0" w:evenVBand="0" w:oddHBand="1" w:evenHBand="0" w:firstRowFirstColumn="0" w:firstRowLastColumn="0" w:lastRowFirstColumn="0" w:lastRowLastColumn="0"/>
            </w:pPr>
            <w:r w:rsidRPr="00AB5C15">
              <w:t>1,686</w:t>
            </w:r>
          </w:p>
        </w:tc>
        <w:tc>
          <w:tcPr>
            <w:tcW w:w="993" w:type="dxa"/>
            <w:tcBorders>
              <w:top w:val="none" w:sz="0" w:space="0" w:color="auto"/>
              <w:bottom w:val="none" w:sz="0" w:space="0" w:color="auto"/>
            </w:tcBorders>
            <w:vAlign w:val="bottom"/>
          </w:tcPr>
          <w:p w14:paraId="5386557E" w14:textId="77777777" w:rsidR="00AB5C15" w:rsidRPr="00AB5C15" w:rsidRDefault="00AB5C15" w:rsidP="009925B1">
            <w:pPr>
              <w:spacing w:line="264" w:lineRule="auto"/>
              <w:jc w:val="center"/>
              <w:cnfStyle w:val="000000100000" w:firstRow="0" w:lastRow="0" w:firstColumn="0" w:lastColumn="0" w:oddVBand="0" w:evenVBand="0" w:oddHBand="1" w:evenHBand="0" w:firstRowFirstColumn="0" w:firstRowLastColumn="0" w:lastRowFirstColumn="0" w:lastRowLastColumn="0"/>
            </w:pPr>
            <w:r w:rsidRPr="00AB5C15">
              <w:t>1,617</w:t>
            </w:r>
          </w:p>
        </w:tc>
      </w:tr>
      <w:tr w:rsidR="00AB5C15" w:rsidRPr="00AB5C15" w14:paraId="332D1DDD" w14:textId="77777777" w:rsidTr="006554BE">
        <w:trPr>
          <w:trHeight w:val="300"/>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573CA97E" w14:textId="77777777" w:rsidR="00AB5C15" w:rsidRPr="00AB5C15" w:rsidRDefault="00AB5C15" w:rsidP="009925B1">
            <w:pPr>
              <w:spacing w:line="264" w:lineRule="auto"/>
              <w:jc w:val="both"/>
            </w:pPr>
            <w:r w:rsidRPr="00AB5C15">
              <w:t>TLAs</w:t>
            </w:r>
          </w:p>
        </w:tc>
        <w:tc>
          <w:tcPr>
            <w:tcW w:w="988" w:type="dxa"/>
            <w:vAlign w:val="bottom"/>
          </w:tcPr>
          <w:p w14:paraId="4D3F1F30" w14:textId="77777777" w:rsidR="00AB5C15" w:rsidRPr="00AB5C15" w:rsidRDefault="00AB5C15" w:rsidP="009925B1">
            <w:pPr>
              <w:spacing w:line="264" w:lineRule="auto"/>
              <w:jc w:val="center"/>
              <w:cnfStyle w:val="000000000000" w:firstRow="0" w:lastRow="0" w:firstColumn="0" w:lastColumn="0" w:oddVBand="0" w:evenVBand="0" w:oddHBand="0" w:evenHBand="0" w:firstRowFirstColumn="0" w:firstRowLastColumn="0" w:lastRowFirstColumn="0" w:lastRowLastColumn="0"/>
            </w:pPr>
            <w:r w:rsidRPr="00AB5C15">
              <w:t>325</w:t>
            </w:r>
          </w:p>
        </w:tc>
        <w:tc>
          <w:tcPr>
            <w:tcW w:w="1134" w:type="dxa"/>
            <w:vAlign w:val="bottom"/>
          </w:tcPr>
          <w:p w14:paraId="099C5B2B" w14:textId="77777777" w:rsidR="00AB5C15" w:rsidRPr="00AB5C15" w:rsidRDefault="00AB5C15" w:rsidP="009925B1">
            <w:pPr>
              <w:spacing w:line="264" w:lineRule="auto"/>
              <w:jc w:val="center"/>
              <w:cnfStyle w:val="000000000000" w:firstRow="0" w:lastRow="0" w:firstColumn="0" w:lastColumn="0" w:oddVBand="0" w:evenVBand="0" w:oddHBand="0" w:evenHBand="0" w:firstRowFirstColumn="0" w:firstRowLastColumn="0" w:lastRowFirstColumn="0" w:lastRowLastColumn="0"/>
            </w:pPr>
            <w:r w:rsidRPr="00AB5C15">
              <w:t>815</w:t>
            </w:r>
          </w:p>
        </w:tc>
        <w:tc>
          <w:tcPr>
            <w:tcW w:w="992" w:type="dxa"/>
            <w:vAlign w:val="bottom"/>
          </w:tcPr>
          <w:p w14:paraId="4E623538" w14:textId="77777777" w:rsidR="00AB5C15" w:rsidRPr="00AB5C15" w:rsidRDefault="00AB5C15" w:rsidP="009925B1">
            <w:pPr>
              <w:spacing w:line="264" w:lineRule="auto"/>
              <w:jc w:val="center"/>
              <w:cnfStyle w:val="000000000000" w:firstRow="0" w:lastRow="0" w:firstColumn="0" w:lastColumn="0" w:oddVBand="0" w:evenVBand="0" w:oddHBand="0" w:evenHBand="0" w:firstRowFirstColumn="0" w:firstRowLastColumn="0" w:lastRowFirstColumn="0" w:lastRowLastColumn="0"/>
            </w:pPr>
            <w:r w:rsidRPr="00AB5C15">
              <w:t>663</w:t>
            </w:r>
          </w:p>
        </w:tc>
        <w:tc>
          <w:tcPr>
            <w:tcW w:w="993" w:type="dxa"/>
            <w:vAlign w:val="bottom"/>
          </w:tcPr>
          <w:p w14:paraId="28A092D1" w14:textId="77777777" w:rsidR="00AB5C15" w:rsidRPr="00AB5C15" w:rsidRDefault="00AB5C15" w:rsidP="009925B1">
            <w:pPr>
              <w:spacing w:line="264" w:lineRule="auto"/>
              <w:jc w:val="center"/>
              <w:cnfStyle w:val="000000000000" w:firstRow="0" w:lastRow="0" w:firstColumn="0" w:lastColumn="0" w:oddVBand="0" w:evenVBand="0" w:oddHBand="0" w:evenHBand="0" w:firstRowFirstColumn="0" w:firstRowLastColumn="0" w:lastRowFirstColumn="0" w:lastRowLastColumn="0"/>
            </w:pPr>
            <w:r w:rsidRPr="00AB5C15">
              <w:t>382</w:t>
            </w:r>
          </w:p>
        </w:tc>
      </w:tr>
      <w:tr w:rsidR="00AB5C15" w:rsidRPr="00AB5C15" w14:paraId="152B8102" w14:textId="77777777" w:rsidTr="006554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bottom w:val="none" w:sz="0" w:space="0" w:color="auto"/>
            </w:tcBorders>
            <w:vAlign w:val="center"/>
          </w:tcPr>
          <w:p w14:paraId="64DF7B21" w14:textId="77777777" w:rsidR="00AB5C15" w:rsidRPr="00AB5C15" w:rsidRDefault="00AB5C15" w:rsidP="009925B1">
            <w:pPr>
              <w:spacing w:line="264" w:lineRule="auto"/>
              <w:jc w:val="both"/>
            </w:pPr>
            <w:r w:rsidRPr="00AB5C15">
              <w:t xml:space="preserve">Accreditations and re-accreditations </w:t>
            </w:r>
          </w:p>
        </w:tc>
        <w:tc>
          <w:tcPr>
            <w:tcW w:w="988" w:type="dxa"/>
            <w:tcBorders>
              <w:top w:val="none" w:sz="0" w:space="0" w:color="auto"/>
              <w:bottom w:val="none" w:sz="0" w:space="0" w:color="auto"/>
            </w:tcBorders>
          </w:tcPr>
          <w:p w14:paraId="6C8384A4" w14:textId="77777777" w:rsidR="00AB5C15" w:rsidRPr="00AB5C15" w:rsidRDefault="00AB5C15" w:rsidP="009925B1">
            <w:pPr>
              <w:spacing w:line="264" w:lineRule="auto"/>
              <w:jc w:val="center"/>
              <w:cnfStyle w:val="000000100000" w:firstRow="0" w:lastRow="0" w:firstColumn="0" w:lastColumn="0" w:oddVBand="0" w:evenVBand="0" w:oddHBand="1" w:evenHBand="0" w:firstRowFirstColumn="0" w:firstRowLastColumn="0" w:lastRowFirstColumn="0" w:lastRowLastColumn="0"/>
            </w:pPr>
            <w:r w:rsidRPr="00AB5C15">
              <w:t>41</w:t>
            </w:r>
          </w:p>
        </w:tc>
        <w:tc>
          <w:tcPr>
            <w:tcW w:w="1134" w:type="dxa"/>
            <w:tcBorders>
              <w:top w:val="none" w:sz="0" w:space="0" w:color="auto"/>
              <w:bottom w:val="none" w:sz="0" w:space="0" w:color="auto"/>
            </w:tcBorders>
          </w:tcPr>
          <w:p w14:paraId="0C8477C0" w14:textId="77777777" w:rsidR="00AB5C15" w:rsidRPr="00AB5C15" w:rsidRDefault="00AB5C15" w:rsidP="009925B1">
            <w:pPr>
              <w:spacing w:line="264" w:lineRule="auto"/>
              <w:jc w:val="center"/>
              <w:cnfStyle w:val="000000100000" w:firstRow="0" w:lastRow="0" w:firstColumn="0" w:lastColumn="0" w:oddVBand="0" w:evenVBand="0" w:oddHBand="1" w:evenHBand="0" w:firstRowFirstColumn="0" w:firstRowLastColumn="0" w:lastRowFirstColumn="0" w:lastRowLastColumn="0"/>
            </w:pPr>
            <w:r w:rsidRPr="00AB5C15">
              <w:t>34</w:t>
            </w:r>
          </w:p>
        </w:tc>
        <w:tc>
          <w:tcPr>
            <w:tcW w:w="992" w:type="dxa"/>
            <w:tcBorders>
              <w:top w:val="none" w:sz="0" w:space="0" w:color="auto"/>
              <w:bottom w:val="none" w:sz="0" w:space="0" w:color="auto"/>
            </w:tcBorders>
          </w:tcPr>
          <w:p w14:paraId="50F2B114" w14:textId="77777777" w:rsidR="00AB5C15" w:rsidRPr="00AB5C15" w:rsidRDefault="00AB5C15" w:rsidP="009925B1">
            <w:pPr>
              <w:spacing w:line="264" w:lineRule="auto"/>
              <w:jc w:val="center"/>
              <w:cnfStyle w:val="000000100000" w:firstRow="0" w:lastRow="0" w:firstColumn="0" w:lastColumn="0" w:oddVBand="0" w:evenVBand="0" w:oddHBand="1" w:evenHBand="0" w:firstRowFirstColumn="0" w:firstRowLastColumn="0" w:lastRowFirstColumn="0" w:lastRowLastColumn="0"/>
            </w:pPr>
            <w:r w:rsidRPr="00AB5C15">
              <w:t>56</w:t>
            </w:r>
          </w:p>
        </w:tc>
        <w:tc>
          <w:tcPr>
            <w:tcW w:w="993" w:type="dxa"/>
            <w:tcBorders>
              <w:top w:val="none" w:sz="0" w:space="0" w:color="auto"/>
              <w:bottom w:val="none" w:sz="0" w:space="0" w:color="auto"/>
            </w:tcBorders>
          </w:tcPr>
          <w:p w14:paraId="09802C2D" w14:textId="77777777" w:rsidR="00AB5C15" w:rsidRPr="00AB5C15" w:rsidRDefault="00AB5C15" w:rsidP="009925B1">
            <w:pPr>
              <w:spacing w:line="264" w:lineRule="auto"/>
              <w:jc w:val="center"/>
              <w:cnfStyle w:val="000000100000" w:firstRow="0" w:lastRow="0" w:firstColumn="0" w:lastColumn="0" w:oddVBand="0" w:evenVBand="0" w:oddHBand="1" w:evenHBand="0" w:firstRowFirstColumn="0" w:firstRowLastColumn="0" w:lastRowFirstColumn="0" w:lastRowLastColumn="0"/>
            </w:pPr>
            <w:r w:rsidRPr="00AB5C15">
              <w:t>85</w:t>
            </w:r>
          </w:p>
        </w:tc>
      </w:tr>
      <w:tr w:rsidR="00AB5C15" w:rsidRPr="00AB5C15" w14:paraId="4DAB598B" w14:textId="77777777" w:rsidTr="006554BE">
        <w:trPr>
          <w:trHeight w:val="300"/>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4100E838" w14:textId="77777777" w:rsidR="00AB5C15" w:rsidRPr="00AB5C15" w:rsidRDefault="00AB5C15" w:rsidP="009925B1">
            <w:pPr>
              <w:spacing w:line="264" w:lineRule="auto"/>
              <w:jc w:val="both"/>
            </w:pPr>
            <w:r w:rsidRPr="00AB5C15">
              <w:t xml:space="preserve">Exemptions </w:t>
            </w:r>
          </w:p>
        </w:tc>
        <w:tc>
          <w:tcPr>
            <w:tcW w:w="988" w:type="dxa"/>
            <w:vAlign w:val="center"/>
          </w:tcPr>
          <w:p w14:paraId="5AD9728D" w14:textId="77777777" w:rsidR="00AB5C15" w:rsidRPr="00AB5C15" w:rsidRDefault="00AB5C15" w:rsidP="009925B1">
            <w:pPr>
              <w:spacing w:line="264" w:lineRule="auto"/>
              <w:jc w:val="center"/>
              <w:cnfStyle w:val="000000000000" w:firstRow="0" w:lastRow="0" w:firstColumn="0" w:lastColumn="0" w:oddVBand="0" w:evenVBand="0" w:oddHBand="0" w:evenHBand="0" w:firstRowFirstColumn="0" w:firstRowLastColumn="0" w:lastRowFirstColumn="0" w:lastRowLastColumn="0"/>
            </w:pPr>
            <w:r w:rsidRPr="00AB5C15">
              <w:t>117</w:t>
            </w:r>
          </w:p>
        </w:tc>
        <w:tc>
          <w:tcPr>
            <w:tcW w:w="1134" w:type="dxa"/>
            <w:vAlign w:val="center"/>
          </w:tcPr>
          <w:p w14:paraId="630C6CA1" w14:textId="77777777" w:rsidR="00AB5C15" w:rsidRPr="00AB5C15" w:rsidRDefault="00AB5C15" w:rsidP="009925B1">
            <w:pPr>
              <w:spacing w:line="264" w:lineRule="auto"/>
              <w:jc w:val="center"/>
              <w:cnfStyle w:val="000000000000" w:firstRow="0" w:lastRow="0" w:firstColumn="0" w:lastColumn="0" w:oddVBand="0" w:evenVBand="0" w:oddHBand="0" w:evenHBand="0" w:firstRowFirstColumn="0" w:firstRowLastColumn="0" w:lastRowFirstColumn="0" w:lastRowLastColumn="0"/>
            </w:pPr>
            <w:r w:rsidRPr="00AB5C15">
              <w:t>108</w:t>
            </w:r>
          </w:p>
        </w:tc>
        <w:tc>
          <w:tcPr>
            <w:tcW w:w="992" w:type="dxa"/>
            <w:vAlign w:val="center"/>
          </w:tcPr>
          <w:p w14:paraId="6EB03B6B" w14:textId="77777777" w:rsidR="00AB5C15" w:rsidRPr="00AB5C15" w:rsidRDefault="00AB5C15" w:rsidP="009925B1">
            <w:pPr>
              <w:spacing w:line="264" w:lineRule="auto"/>
              <w:jc w:val="center"/>
              <w:cnfStyle w:val="000000000000" w:firstRow="0" w:lastRow="0" w:firstColumn="0" w:lastColumn="0" w:oddVBand="0" w:evenVBand="0" w:oddHBand="0" w:evenHBand="0" w:firstRowFirstColumn="0" w:firstRowLastColumn="0" w:lastRowFirstColumn="0" w:lastRowLastColumn="0"/>
            </w:pPr>
            <w:r w:rsidRPr="00AB5C15">
              <w:t>70</w:t>
            </w:r>
          </w:p>
        </w:tc>
        <w:tc>
          <w:tcPr>
            <w:tcW w:w="993" w:type="dxa"/>
            <w:vAlign w:val="center"/>
          </w:tcPr>
          <w:p w14:paraId="79E47D64" w14:textId="77777777" w:rsidR="00AB5C15" w:rsidRPr="00AB5C15" w:rsidRDefault="00AB5C15" w:rsidP="009925B1">
            <w:pPr>
              <w:spacing w:line="264" w:lineRule="auto"/>
              <w:jc w:val="center"/>
              <w:cnfStyle w:val="000000000000" w:firstRow="0" w:lastRow="0" w:firstColumn="0" w:lastColumn="0" w:oddVBand="0" w:evenVBand="0" w:oddHBand="0" w:evenHBand="0" w:firstRowFirstColumn="0" w:firstRowLastColumn="0" w:lastRowFirstColumn="0" w:lastRowLastColumn="0"/>
            </w:pPr>
            <w:r w:rsidRPr="00AB5C15">
              <w:t>96</w:t>
            </w:r>
          </w:p>
        </w:tc>
      </w:tr>
    </w:tbl>
    <w:p w14:paraId="57D55E05" w14:textId="77777777" w:rsidR="00AB5C15" w:rsidRPr="00AB5C15" w:rsidRDefault="00AB5C15" w:rsidP="00000F28">
      <w:pPr>
        <w:spacing w:before="320" w:after="240"/>
        <w:jc w:val="both"/>
      </w:pPr>
      <w:r w:rsidRPr="00AB5C15">
        <w:t>With BEECs, NABERS star ratings of 4.5 to 5 (with 6 being the highest possible) are the most common. The top three states by application volume are New South Wales, Victoria, and Queensland.</w:t>
      </w:r>
    </w:p>
    <w:p w14:paraId="395B722B" w14:textId="7B3D552A" w:rsidR="00021D3A" w:rsidRPr="00027359" w:rsidRDefault="00021D3A" w:rsidP="00000F28">
      <w:pPr>
        <w:pStyle w:val="Heading1"/>
        <w:numPr>
          <w:ilvl w:val="0"/>
          <w:numId w:val="2"/>
        </w:numPr>
        <w:spacing w:after="240"/>
      </w:pPr>
      <w:bookmarkStart w:id="22" w:name="_Toc214441564"/>
      <w:r w:rsidRPr="00027359">
        <w:t>KEY FORWARD DATES AND EVENTS</w:t>
      </w:r>
      <w:bookmarkEnd w:id="22"/>
    </w:p>
    <w:p w14:paraId="692CF67C" w14:textId="255679B0" w:rsidR="00FF717D" w:rsidRPr="00027359" w:rsidRDefault="00FF717D" w:rsidP="004E3966">
      <w:pPr>
        <w:spacing w:before="320" w:after="240"/>
        <w:jc w:val="both"/>
      </w:pPr>
      <w:r w:rsidRPr="00027359">
        <w:t xml:space="preserve">While the CBD program currently focuses on office buildings, it may expand to other types of commercial </w:t>
      </w:r>
      <w:r w:rsidR="00994802" w:rsidRPr="00027359">
        <w:t>buildings</w:t>
      </w:r>
      <w:r w:rsidRPr="00027359">
        <w:t xml:space="preserve"> in the future. For more information on CBD expansion, please visit </w:t>
      </w:r>
      <w:hyperlink r:id="rId16" w:history="1">
        <w:r w:rsidRPr="00027359">
          <w:rPr>
            <w:rStyle w:val="Hyperlink"/>
            <w:rFonts w:cstheme="minorBidi"/>
            <w:color w:val="2E74B5" w:themeColor="accent1" w:themeShade="BF"/>
            <w:u w:val="single"/>
          </w:rPr>
          <w:t>CBD Program Expansion</w:t>
        </w:r>
      </w:hyperlink>
      <w:r w:rsidRPr="00027359">
        <w:t>.</w:t>
      </w:r>
    </w:p>
    <w:p w14:paraId="6D379B78" w14:textId="68040051" w:rsidR="00FD2A38" w:rsidRPr="00027359" w:rsidRDefault="00994802" w:rsidP="004E3966">
      <w:pPr>
        <w:spacing w:before="320" w:after="240"/>
        <w:jc w:val="both"/>
      </w:pPr>
      <w:r w:rsidRPr="00027359">
        <w:t>Any e</w:t>
      </w:r>
      <w:r w:rsidR="009654F6" w:rsidRPr="00027359">
        <w:t>xpansion would require legislative change to the underlying legal framework of the CBD Prog</w:t>
      </w:r>
      <w:r w:rsidR="00255B27" w:rsidRPr="00027359">
        <w:t>r</w:t>
      </w:r>
      <w:r w:rsidR="009654F6" w:rsidRPr="00027359">
        <w:t xml:space="preserve">am. The government </w:t>
      </w:r>
      <w:r w:rsidRPr="00027359">
        <w:t>may</w:t>
      </w:r>
      <w:r w:rsidR="009654F6" w:rsidRPr="00027359">
        <w:t xml:space="preserve"> use </w:t>
      </w:r>
      <w:r w:rsidRPr="00027359">
        <w:t xml:space="preserve">any future change in legislation </w:t>
      </w:r>
      <w:r w:rsidR="009654F6" w:rsidRPr="00027359">
        <w:t xml:space="preserve">as an opportunity to review the current </w:t>
      </w:r>
      <w:r w:rsidR="006B4395" w:rsidRPr="00027359">
        <w:t>charging arrangement</w:t>
      </w:r>
      <w:r w:rsidRPr="00027359">
        <w:t>s</w:t>
      </w:r>
      <w:r w:rsidR="009F4839" w:rsidRPr="00027359">
        <w:t>,</w:t>
      </w:r>
      <w:r w:rsidR="00255B27" w:rsidRPr="00027359">
        <w:t xml:space="preserve"> </w:t>
      </w:r>
      <w:r w:rsidRPr="00027359">
        <w:t xml:space="preserve">including </w:t>
      </w:r>
      <w:r w:rsidR="004B1A4E" w:rsidRPr="00027359">
        <w:t>before</w:t>
      </w:r>
      <w:r w:rsidR="00FD2A38" w:rsidRPr="00027359">
        <w:t xml:space="preserve"> </w:t>
      </w:r>
      <w:r w:rsidR="00F747E3" w:rsidRPr="00027359">
        <w:t>the</w:t>
      </w:r>
      <w:r w:rsidR="00FD2A38" w:rsidRPr="00027359" w:rsidDel="00185491">
        <w:t xml:space="preserve"> </w:t>
      </w:r>
      <w:r w:rsidR="004B1A4E" w:rsidRPr="00027359">
        <w:rPr>
          <w:iCs/>
        </w:rPr>
        <w:t>October 2027</w:t>
      </w:r>
      <w:r w:rsidR="00F747E3" w:rsidRPr="00027359">
        <w:rPr>
          <w:iCs/>
        </w:rPr>
        <w:t xml:space="preserve"> sunsetting of the </w:t>
      </w:r>
      <w:r w:rsidR="000C7E03" w:rsidRPr="00027359">
        <w:rPr>
          <w:iCs/>
        </w:rPr>
        <w:t xml:space="preserve">related </w:t>
      </w:r>
      <w:r w:rsidR="00494D75" w:rsidRPr="00027359">
        <w:rPr>
          <w:iCs/>
        </w:rPr>
        <w:t>legislati</w:t>
      </w:r>
      <w:r w:rsidR="000C7E03" w:rsidRPr="00027359">
        <w:rPr>
          <w:iCs/>
        </w:rPr>
        <w:t>ve instruments,</w:t>
      </w:r>
      <w:r w:rsidR="00BC0505" w:rsidRPr="00027359">
        <w:rPr>
          <w:iCs/>
        </w:rPr>
        <w:t xml:space="preserve"> with </w:t>
      </w:r>
      <w:r w:rsidRPr="00027359">
        <w:rPr>
          <w:iCs/>
        </w:rPr>
        <w:t xml:space="preserve">any </w:t>
      </w:r>
      <w:r w:rsidR="00AB72C8" w:rsidRPr="00027359">
        <w:t>outcomes documented in an amended CRIS</w:t>
      </w:r>
      <w:r w:rsidR="00FD2A38" w:rsidRPr="00027359">
        <w:t>:</w:t>
      </w:r>
    </w:p>
    <w:p w14:paraId="2285CF54" w14:textId="29060E45" w:rsidR="008F678A" w:rsidRPr="00027359" w:rsidRDefault="008F678A" w:rsidP="004E3966">
      <w:pPr>
        <w:numPr>
          <w:ilvl w:val="0"/>
          <w:numId w:val="7"/>
        </w:numPr>
        <w:spacing w:after="240"/>
        <w:jc w:val="both"/>
      </w:pPr>
      <w:r w:rsidRPr="00027359">
        <w:t>This would ensure that any amendments to the cost recovery regime could be designed to align with broader program changes that result from these ongoing review processes.</w:t>
      </w:r>
    </w:p>
    <w:p w14:paraId="7E98CA60" w14:textId="7620BD23" w:rsidR="00FD2A38" w:rsidRPr="00027359" w:rsidRDefault="00FD2A38" w:rsidP="004E3966">
      <w:pPr>
        <w:numPr>
          <w:ilvl w:val="0"/>
          <w:numId w:val="7"/>
        </w:numPr>
        <w:spacing w:after="240"/>
        <w:jc w:val="both"/>
      </w:pPr>
      <w:r w:rsidRPr="00027359">
        <w:t xml:space="preserve">Appropriate stakeholder consultation will be undertaken, with feedback </w:t>
      </w:r>
      <w:r w:rsidR="003152A4" w:rsidRPr="00027359">
        <w:t>considered.</w:t>
      </w:r>
    </w:p>
    <w:p w14:paraId="4698D3FD" w14:textId="62E62236" w:rsidR="00FD2A38" w:rsidRPr="00027359" w:rsidRDefault="00FD2A38" w:rsidP="004E3966">
      <w:pPr>
        <w:numPr>
          <w:ilvl w:val="0"/>
          <w:numId w:val="7"/>
        </w:numPr>
        <w:spacing w:after="240"/>
        <w:jc w:val="both"/>
      </w:pPr>
      <w:r w:rsidRPr="00027359">
        <w:t>Appropriate delegation will be sought by both the Minister for Finance and the Minister for Climate Change and Energy</w:t>
      </w:r>
      <w:r w:rsidR="003152A4" w:rsidRPr="00027359">
        <w:t>.</w:t>
      </w:r>
    </w:p>
    <w:p w14:paraId="33F51D90" w14:textId="3A4986A2" w:rsidR="00FD2A38" w:rsidRPr="00027359" w:rsidRDefault="00A822B5" w:rsidP="00994802">
      <w:pPr>
        <w:numPr>
          <w:ilvl w:val="0"/>
          <w:numId w:val="7"/>
        </w:numPr>
        <w:spacing w:after="240"/>
      </w:pPr>
      <w:r w:rsidRPr="00027359">
        <w:t xml:space="preserve">Consider </w:t>
      </w:r>
      <w:r w:rsidR="00994802" w:rsidRPr="00027359">
        <w:t xml:space="preserve">and implement </w:t>
      </w:r>
      <w:r w:rsidRPr="00027359">
        <w:t xml:space="preserve">recommendations from </w:t>
      </w:r>
      <w:r w:rsidR="00994802" w:rsidRPr="00027359">
        <w:t xml:space="preserve">any legislative </w:t>
      </w:r>
      <w:r w:rsidRPr="00027359">
        <w:t xml:space="preserve">review </w:t>
      </w:r>
      <w:r w:rsidR="00994802" w:rsidRPr="00027359">
        <w:t>process</w:t>
      </w:r>
      <w:r w:rsidR="00FD2A38" w:rsidRPr="00027359">
        <w:t>.</w:t>
      </w:r>
    </w:p>
    <w:p w14:paraId="3C118020" w14:textId="77777777" w:rsidR="00433FB8" w:rsidRDefault="00433FB8">
      <w:r>
        <w:br w:type="page"/>
      </w:r>
    </w:p>
    <w:p w14:paraId="723F0DAA" w14:textId="37791B1A" w:rsidR="00C16BC0" w:rsidRPr="00027359" w:rsidRDefault="00C16BC0" w:rsidP="004E3966">
      <w:pPr>
        <w:spacing w:before="320" w:after="240"/>
        <w:jc w:val="both"/>
      </w:pPr>
      <w:r w:rsidRPr="00027359">
        <w:lastRenderedPageBreak/>
        <w:t xml:space="preserve">Key events scheduled and anticipated to occur over the life of this CRIS (2024–25 to 2026–27) </w:t>
      </w:r>
      <w:r w:rsidR="009839D7" w:rsidRPr="00027359">
        <w:t xml:space="preserve">and beyond </w:t>
      </w:r>
      <w:r w:rsidRPr="00027359">
        <w:t>are listed below.</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4"/>
        <w:gridCol w:w="2296"/>
      </w:tblGrid>
      <w:tr w:rsidR="00C12294" w:rsidRPr="00027359" w14:paraId="754F893E" w14:textId="77777777">
        <w:trPr>
          <w:cantSplit/>
          <w:tblHeader/>
        </w:trPr>
        <w:tc>
          <w:tcPr>
            <w:tcW w:w="3751" w:type="pct"/>
            <w:tcBorders>
              <w:top w:val="single" w:sz="4" w:space="0" w:color="auto"/>
              <w:bottom w:val="single" w:sz="4" w:space="0" w:color="auto"/>
            </w:tcBorders>
          </w:tcPr>
          <w:p w14:paraId="3251A3E9" w14:textId="77777777" w:rsidR="00C12294" w:rsidRPr="00027359" w:rsidRDefault="00C12294" w:rsidP="00CD6CB0">
            <w:pPr>
              <w:pStyle w:val="TableHeading"/>
              <w:spacing w:before="0" w:after="240"/>
              <w:rPr>
                <w:rFonts w:asciiTheme="minorHAnsi" w:hAnsiTheme="minorHAnsi" w:cstheme="minorBidi"/>
                <w:sz w:val="20"/>
                <w:szCs w:val="20"/>
              </w:rPr>
            </w:pPr>
            <w:r w:rsidRPr="00027359">
              <w:rPr>
                <w:rFonts w:asciiTheme="minorHAnsi" w:hAnsiTheme="minorHAnsi" w:cstheme="minorBidi"/>
                <w:sz w:val="20"/>
                <w:szCs w:val="20"/>
              </w:rPr>
              <w:t>Key forward events schedule</w:t>
            </w:r>
          </w:p>
        </w:tc>
        <w:tc>
          <w:tcPr>
            <w:tcW w:w="1249" w:type="pct"/>
            <w:tcBorders>
              <w:top w:val="single" w:sz="4" w:space="0" w:color="auto"/>
              <w:bottom w:val="single" w:sz="4" w:space="0" w:color="auto"/>
            </w:tcBorders>
          </w:tcPr>
          <w:p w14:paraId="0109F02C" w14:textId="77777777" w:rsidR="00C12294" w:rsidRPr="00027359" w:rsidRDefault="00C12294" w:rsidP="00CD6CB0">
            <w:pPr>
              <w:pStyle w:val="TableHeading"/>
              <w:spacing w:before="0" w:after="240"/>
              <w:rPr>
                <w:rFonts w:asciiTheme="minorHAnsi" w:hAnsiTheme="minorHAnsi" w:cstheme="minorBidi"/>
                <w:sz w:val="20"/>
                <w:szCs w:val="20"/>
              </w:rPr>
            </w:pPr>
            <w:r w:rsidRPr="00027359">
              <w:rPr>
                <w:rFonts w:asciiTheme="minorHAnsi" w:hAnsiTheme="minorHAnsi" w:cstheme="minorBidi"/>
                <w:sz w:val="20"/>
                <w:szCs w:val="20"/>
              </w:rPr>
              <w:t>Date</w:t>
            </w:r>
          </w:p>
        </w:tc>
      </w:tr>
      <w:tr w:rsidR="00C12294" w:rsidRPr="00027359" w14:paraId="6405264C" w14:textId="77777777" w:rsidTr="000273B1">
        <w:tc>
          <w:tcPr>
            <w:tcW w:w="3751" w:type="pct"/>
          </w:tcPr>
          <w:p w14:paraId="075117BF" w14:textId="7C42AF90" w:rsidR="00C12294" w:rsidRPr="00027359" w:rsidRDefault="00C12294" w:rsidP="00CD6CB0">
            <w:pPr>
              <w:pStyle w:val="TableText"/>
              <w:spacing w:before="0" w:after="240"/>
              <w:rPr>
                <w:rFonts w:asciiTheme="minorHAnsi" w:hAnsiTheme="minorHAnsi" w:cstheme="minorBidi"/>
                <w:sz w:val="20"/>
                <w:szCs w:val="20"/>
              </w:rPr>
            </w:pPr>
            <w:r w:rsidRPr="00027359">
              <w:rPr>
                <w:rFonts w:asciiTheme="minorHAnsi" w:hAnsiTheme="minorHAnsi" w:cstheme="minorBidi"/>
                <w:sz w:val="20"/>
                <w:szCs w:val="20"/>
              </w:rPr>
              <w:t>Publish 2024</w:t>
            </w:r>
            <w:r w:rsidR="004E71D4" w:rsidRPr="00027359">
              <w:rPr>
                <w:rFonts w:asciiTheme="minorHAnsi" w:hAnsiTheme="minorHAnsi" w:cstheme="minorBidi"/>
                <w:sz w:val="20"/>
                <w:szCs w:val="20"/>
              </w:rPr>
              <w:t>–</w:t>
            </w:r>
            <w:r w:rsidRPr="00027359">
              <w:rPr>
                <w:rFonts w:asciiTheme="minorHAnsi" w:hAnsiTheme="minorHAnsi" w:cstheme="minorBidi"/>
                <w:sz w:val="20"/>
                <w:szCs w:val="20"/>
              </w:rPr>
              <w:t>25 CRIS</w:t>
            </w:r>
          </w:p>
        </w:tc>
        <w:tc>
          <w:tcPr>
            <w:tcW w:w="1249" w:type="pct"/>
          </w:tcPr>
          <w:p w14:paraId="4D08C1F1" w14:textId="77777777" w:rsidR="00C12294" w:rsidRPr="00027359" w:rsidRDefault="00C12294" w:rsidP="00CD6CB0">
            <w:pPr>
              <w:pStyle w:val="TableText"/>
              <w:spacing w:before="0" w:after="240"/>
              <w:rPr>
                <w:rFonts w:asciiTheme="minorHAnsi" w:hAnsiTheme="minorHAnsi" w:cstheme="minorBidi"/>
                <w:sz w:val="20"/>
                <w:szCs w:val="20"/>
              </w:rPr>
            </w:pPr>
            <w:r w:rsidRPr="00027359">
              <w:rPr>
                <w:rFonts w:asciiTheme="minorHAnsi" w:hAnsiTheme="minorHAnsi" w:cstheme="minorBidi"/>
                <w:sz w:val="20"/>
                <w:szCs w:val="20"/>
              </w:rPr>
              <w:t>2025</w:t>
            </w:r>
          </w:p>
        </w:tc>
      </w:tr>
      <w:tr w:rsidR="00C30B07" w:rsidRPr="00027359" w14:paraId="4136AAED" w14:textId="77777777" w:rsidTr="000273B1">
        <w:tc>
          <w:tcPr>
            <w:tcW w:w="3751" w:type="pct"/>
          </w:tcPr>
          <w:p w14:paraId="22574188" w14:textId="1B527F35" w:rsidR="00C30B07" w:rsidRPr="00C30B07" w:rsidRDefault="00C30B07" w:rsidP="00C30B07">
            <w:pPr>
              <w:pStyle w:val="TableText"/>
              <w:spacing w:before="0" w:after="240"/>
              <w:rPr>
                <w:rFonts w:asciiTheme="minorHAnsi" w:hAnsiTheme="minorHAnsi" w:cstheme="minorBidi"/>
                <w:sz w:val="20"/>
                <w:szCs w:val="20"/>
              </w:rPr>
            </w:pPr>
            <w:bookmarkStart w:id="23" w:name="_Hlk77329544"/>
            <w:r w:rsidRPr="00C30B07">
              <w:rPr>
                <w:rFonts w:asciiTheme="minorHAnsi" w:hAnsiTheme="minorHAnsi" w:cstheme="minorBidi"/>
                <w:sz w:val="20"/>
                <w:szCs w:val="20"/>
              </w:rPr>
              <w:t>Publish 2025–26 CRIS</w:t>
            </w:r>
          </w:p>
        </w:tc>
        <w:tc>
          <w:tcPr>
            <w:tcW w:w="1249" w:type="pct"/>
          </w:tcPr>
          <w:p w14:paraId="0879BC3A" w14:textId="46E6CBA0" w:rsidR="00C30B07" w:rsidRPr="00C30B07" w:rsidRDefault="00C30B07" w:rsidP="00C30B07">
            <w:pPr>
              <w:pStyle w:val="TableText"/>
              <w:spacing w:before="0" w:after="240"/>
              <w:rPr>
                <w:rFonts w:asciiTheme="minorHAnsi" w:hAnsiTheme="minorHAnsi" w:cstheme="minorBidi"/>
                <w:sz w:val="20"/>
                <w:szCs w:val="20"/>
              </w:rPr>
            </w:pPr>
            <w:r w:rsidRPr="00C30B07">
              <w:rPr>
                <w:rFonts w:asciiTheme="minorHAnsi" w:hAnsiTheme="minorHAnsi" w:cstheme="minorBidi"/>
                <w:sz w:val="20"/>
                <w:szCs w:val="20"/>
              </w:rPr>
              <w:t xml:space="preserve">2025–26 </w:t>
            </w:r>
          </w:p>
        </w:tc>
      </w:tr>
      <w:tr w:rsidR="00C30B07" w:rsidRPr="00027359" w14:paraId="1DD727AF" w14:textId="77777777" w:rsidTr="000273B1">
        <w:tc>
          <w:tcPr>
            <w:tcW w:w="3751" w:type="pct"/>
          </w:tcPr>
          <w:p w14:paraId="76326181" w14:textId="02B22414" w:rsidR="00C30B07" w:rsidRPr="00C30B07" w:rsidRDefault="00C30B07" w:rsidP="00C30B07">
            <w:pPr>
              <w:pStyle w:val="TableText"/>
              <w:spacing w:before="0" w:after="240"/>
              <w:rPr>
                <w:rFonts w:asciiTheme="minorHAnsi" w:hAnsiTheme="minorHAnsi"/>
                <w:sz w:val="20"/>
                <w:szCs w:val="20"/>
              </w:rPr>
            </w:pPr>
            <w:r w:rsidRPr="00C30B07">
              <w:rPr>
                <w:rFonts w:asciiTheme="minorHAnsi" w:hAnsiTheme="minorHAnsi" w:cstheme="minorBidi"/>
                <w:sz w:val="20"/>
                <w:szCs w:val="20"/>
              </w:rPr>
              <w:t>Potential legislative amendments to CBD Program legal framework</w:t>
            </w:r>
          </w:p>
        </w:tc>
        <w:tc>
          <w:tcPr>
            <w:tcW w:w="1249" w:type="pct"/>
          </w:tcPr>
          <w:p w14:paraId="05D37FB6" w14:textId="071EC70B" w:rsidR="00C30B07" w:rsidRPr="00C30B07" w:rsidRDefault="00C30B07" w:rsidP="00C30B07">
            <w:pPr>
              <w:pStyle w:val="TableText"/>
              <w:spacing w:before="0" w:after="240"/>
              <w:rPr>
                <w:rFonts w:asciiTheme="minorHAnsi" w:hAnsiTheme="minorHAnsi"/>
                <w:sz w:val="20"/>
                <w:szCs w:val="20"/>
              </w:rPr>
            </w:pPr>
            <w:r w:rsidRPr="00C30B07">
              <w:rPr>
                <w:rFonts w:asciiTheme="minorHAnsi" w:hAnsiTheme="minorHAnsi" w:cstheme="minorBidi"/>
                <w:sz w:val="20"/>
                <w:szCs w:val="20"/>
              </w:rPr>
              <w:t>2026</w:t>
            </w:r>
          </w:p>
        </w:tc>
      </w:tr>
      <w:tr w:rsidR="00C30B07" w:rsidRPr="00027359" w14:paraId="3343BA56" w14:textId="77777777" w:rsidTr="000273B1">
        <w:tc>
          <w:tcPr>
            <w:tcW w:w="3751" w:type="pct"/>
          </w:tcPr>
          <w:p w14:paraId="6563AC51" w14:textId="618EC37B" w:rsidR="00C30B07" w:rsidRPr="00027359" w:rsidRDefault="00C30B07" w:rsidP="00C30B07">
            <w:pPr>
              <w:pStyle w:val="TableText"/>
              <w:spacing w:before="0" w:after="240"/>
              <w:rPr>
                <w:rFonts w:asciiTheme="minorHAnsi" w:hAnsiTheme="minorHAnsi" w:cstheme="minorBidi"/>
                <w:sz w:val="20"/>
                <w:szCs w:val="20"/>
              </w:rPr>
            </w:pPr>
            <w:r w:rsidRPr="00027359">
              <w:rPr>
                <w:rFonts w:asciiTheme="minorHAnsi" w:hAnsiTheme="minorHAnsi" w:cstheme="minorBidi"/>
                <w:sz w:val="20"/>
                <w:szCs w:val="20"/>
              </w:rPr>
              <w:t>Consider recommendations arising from any legislative review process</w:t>
            </w:r>
          </w:p>
        </w:tc>
        <w:tc>
          <w:tcPr>
            <w:tcW w:w="1249" w:type="pct"/>
          </w:tcPr>
          <w:p w14:paraId="3BD69CA2" w14:textId="16AF242E" w:rsidR="00C30B07" w:rsidRPr="00027359" w:rsidRDefault="00C30B07" w:rsidP="00C30B07">
            <w:pPr>
              <w:pStyle w:val="TableText"/>
              <w:spacing w:before="0" w:after="240"/>
              <w:rPr>
                <w:rFonts w:asciiTheme="minorHAnsi" w:hAnsiTheme="minorHAnsi" w:cstheme="minorBidi"/>
                <w:sz w:val="20"/>
                <w:szCs w:val="20"/>
              </w:rPr>
            </w:pPr>
            <w:r w:rsidRPr="00027359">
              <w:rPr>
                <w:rFonts w:asciiTheme="minorHAnsi" w:hAnsiTheme="minorHAnsi" w:cstheme="minorBidi"/>
                <w:sz w:val="20"/>
                <w:szCs w:val="20"/>
              </w:rPr>
              <w:t>2027–28</w:t>
            </w:r>
          </w:p>
        </w:tc>
      </w:tr>
      <w:tr w:rsidR="00C30B07" w:rsidRPr="00F53B09" w14:paraId="2844C162" w14:textId="77777777" w:rsidTr="000273B1">
        <w:tc>
          <w:tcPr>
            <w:tcW w:w="3751" w:type="pct"/>
          </w:tcPr>
          <w:p w14:paraId="485033A8" w14:textId="77777777" w:rsidR="00C30B07" w:rsidRPr="00027359" w:rsidRDefault="00C30B07" w:rsidP="00C30B07">
            <w:pPr>
              <w:pStyle w:val="TableText"/>
              <w:spacing w:before="0" w:after="240"/>
              <w:rPr>
                <w:rFonts w:asciiTheme="minorHAnsi" w:hAnsiTheme="minorHAnsi" w:cstheme="minorBidi"/>
                <w:sz w:val="20"/>
                <w:szCs w:val="20"/>
              </w:rPr>
            </w:pPr>
            <w:r w:rsidRPr="00027359">
              <w:rPr>
                <w:rFonts w:asciiTheme="minorHAnsi" w:hAnsiTheme="minorHAnsi" w:cstheme="minorBidi"/>
                <w:sz w:val="20"/>
                <w:szCs w:val="20"/>
              </w:rPr>
              <w:t>Portfolio Charging Review</w:t>
            </w:r>
          </w:p>
        </w:tc>
        <w:tc>
          <w:tcPr>
            <w:tcW w:w="1249" w:type="pct"/>
          </w:tcPr>
          <w:p w14:paraId="47DA99A2" w14:textId="77777777" w:rsidR="00C30B07" w:rsidRPr="00355BAF" w:rsidRDefault="00C30B07" w:rsidP="00C30B07">
            <w:pPr>
              <w:pStyle w:val="TableText"/>
              <w:spacing w:before="0" w:after="240"/>
              <w:rPr>
                <w:rFonts w:asciiTheme="minorHAnsi" w:hAnsiTheme="minorHAnsi" w:cstheme="minorBidi"/>
                <w:sz w:val="20"/>
                <w:szCs w:val="20"/>
              </w:rPr>
            </w:pPr>
            <w:r w:rsidRPr="00027359">
              <w:rPr>
                <w:rFonts w:asciiTheme="minorHAnsi" w:hAnsiTheme="minorHAnsi" w:cstheme="minorBidi"/>
                <w:sz w:val="20"/>
                <w:szCs w:val="20"/>
              </w:rPr>
              <w:t>2028</w:t>
            </w:r>
          </w:p>
        </w:tc>
      </w:tr>
    </w:tbl>
    <w:p w14:paraId="5377C86F" w14:textId="07D80910" w:rsidR="00021D3A" w:rsidRDefault="00021D3A" w:rsidP="00000F28">
      <w:pPr>
        <w:pStyle w:val="Heading1"/>
        <w:numPr>
          <w:ilvl w:val="0"/>
          <w:numId w:val="2"/>
        </w:numPr>
        <w:spacing w:after="240"/>
      </w:pPr>
      <w:bookmarkStart w:id="24" w:name="_Toc214441565"/>
      <w:bookmarkEnd w:id="23"/>
      <w:r w:rsidRPr="00D57921">
        <w:t>CRIS APPROVAL AND CHANGE REGISTER</w:t>
      </w:r>
      <w:bookmarkEnd w:id="24"/>
    </w:p>
    <w:tbl>
      <w:tblPr>
        <w:tblStyle w:val="TableGrid"/>
        <w:tblpPr w:leftFromText="180" w:rightFromText="180" w:vertAnchor="text" w:horzAnchor="margin" w:tblpX="137" w:tblpY="54"/>
        <w:tblOverlap w:val="never"/>
        <w:tblW w:w="8884" w:type="dxa"/>
        <w:tblLayout w:type="fixed"/>
        <w:tblLook w:val="04A0" w:firstRow="1" w:lastRow="0" w:firstColumn="1" w:lastColumn="0" w:noHBand="0" w:noVBand="1"/>
      </w:tblPr>
      <w:tblGrid>
        <w:gridCol w:w="1271"/>
        <w:gridCol w:w="1701"/>
        <w:gridCol w:w="3077"/>
        <w:gridCol w:w="2835"/>
      </w:tblGrid>
      <w:tr w:rsidR="00225F22" w:rsidRPr="00512618" w14:paraId="76C64430" w14:textId="77777777" w:rsidTr="000222C7">
        <w:tc>
          <w:tcPr>
            <w:tcW w:w="1271" w:type="dxa"/>
            <w:shd w:val="clear" w:color="auto" w:fill="D5DCE4" w:themeFill="text2" w:themeFillTint="33"/>
          </w:tcPr>
          <w:p w14:paraId="234998BB" w14:textId="77777777" w:rsidR="00225F22" w:rsidRPr="00987D2F" w:rsidRDefault="00225F22" w:rsidP="00F775F6">
            <w:pPr>
              <w:rPr>
                <w:rFonts w:asciiTheme="minorHAnsi" w:hAnsiTheme="minorHAnsi" w:cstheme="minorBidi"/>
                <w:b/>
                <w:bCs/>
              </w:rPr>
            </w:pPr>
            <w:r w:rsidRPr="00987D2F">
              <w:rPr>
                <w:rFonts w:asciiTheme="minorHAnsi" w:hAnsiTheme="minorHAnsi" w:cstheme="minorBidi"/>
                <w:b/>
                <w:bCs/>
              </w:rPr>
              <w:t>Date of change</w:t>
            </w:r>
          </w:p>
        </w:tc>
        <w:tc>
          <w:tcPr>
            <w:tcW w:w="1701" w:type="dxa"/>
            <w:shd w:val="clear" w:color="auto" w:fill="D5DCE4" w:themeFill="text2" w:themeFillTint="33"/>
          </w:tcPr>
          <w:p w14:paraId="597507F7" w14:textId="77777777" w:rsidR="00225F22" w:rsidRPr="00987D2F" w:rsidRDefault="00225F22" w:rsidP="00F775F6">
            <w:pPr>
              <w:rPr>
                <w:rFonts w:asciiTheme="minorHAnsi" w:hAnsiTheme="minorHAnsi" w:cstheme="minorBidi"/>
                <w:b/>
                <w:bCs/>
              </w:rPr>
            </w:pPr>
            <w:r w:rsidRPr="00987D2F">
              <w:rPr>
                <w:rFonts w:asciiTheme="minorHAnsi" w:hAnsiTheme="minorHAnsi" w:cstheme="minorBidi"/>
                <w:b/>
                <w:bCs/>
              </w:rPr>
              <w:t>CRIS change</w:t>
            </w:r>
          </w:p>
        </w:tc>
        <w:tc>
          <w:tcPr>
            <w:tcW w:w="3077" w:type="dxa"/>
            <w:shd w:val="clear" w:color="auto" w:fill="D5DCE4" w:themeFill="text2" w:themeFillTint="33"/>
          </w:tcPr>
          <w:p w14:paraId="79BF6AE4" w14:textId="77777777" w:rsidR="00225F22" w:rsidRPr="00987D2F" w:rsidRDefault="00225F22" w:rsidP="00F775F6">
            <w:pPr>
              <w:rPr>
                <w:rFonts w:asciiTheme="minorHAnsi" w:hAnsiTheme="minorHAnsi" w:cstheme="minorBidi"/>
                <w:b/>
                <w:bCs/>
              </w:rPr>
            </w:pPr>
            <w:r w:rsidRPr="00987D2F">
              <w:rPr>
                <w:rFonts w:asciiTheme="minorHAnsi" w:hAnsiTheme="minorHAnsi" w:cstheme="minorBidi"/>
                <w:b/>
                <w:bCs/>
              </w:rPr>
              <w:t>Approver</w:t>
            </w:r>
          </w:p>
        </w:tc>
        <w:tc>
          <w:tcPr>
            <w:tcW w:w="2835" w:type="dxa"/>
            <w:shd w:val="clear" w:color="auto" w:fill="D5DCE4" w:themeFill="text2" w:themeFillTint="33"/>
          </w:tcPr>
          <w:p w14:paraId="3F7496B4" w14:textId="77777777" w:rsidR="00225F22" w:rsidRPr="00987D2F" w:rsidRDefault="00225F22" w:rsidP="00F775F6">
            <w:pPr>
              <w:rPr>
                <w:rFonts w:asciiTheme="minorHAnsi" w:hAnsiTheme="minorHAnsi" w:cstheme="minorBidi"/>
                <w:b/>
                <w:bCs/>
              </w:rPr>
            </w:pPr>
            <w:r w:rsidRPr="00987D2F">
              <w:rPr>
                <w:rFonts w:asciiTheme="minorHAnsi" w:hAnsiTheme="minorHAnsi" w:cstheme="minorBidi"/>
                <w:b/>
                <w:bCs/>
              </w:rPr>
              <w:t>Basis for change</w:t>
            </w:r>
          </w:p>
        </w:tc>
      </w:tr>
      <w:tr w:rsidR="000349CD" w:rsidRPr="00512618" w14:paraId="76BD4C21" w14:textId="77777777" w:rsidTr="000222C7">
        <w:tc>
          <w:tcPr>
            <w:tcW w:w="1271" w:type="dxa"/>
          </w:tcPr>
          <w:p w14:paraId="2F32EC9C" w14:textId="17FF8062" w:rsidR="000349CD" w:rsidRPr="00355BAF" w:rsidRDefault="000222C7" w:rsidP="00F775F6">
            <w:pPr>
              <w:rPr>
                <w:rFonts w:asciiTheme="minorHAnsi" w:hAnsiTheme="minorHAnsi" w:cstheme="minorBidi"/>
              </w:rPr>
            </w:pPr>
            <w:r>
              <w:rPr>
                <w:rFonts w:asciiTheme="minorHAnsi" w:hAnsiTheme="minorHAnsi" w:cstheme="minorBidi"/>
              </w:rPr>
              <w:t>02/07/2025</w:t>
            </w:r>
          </w:p>
        </w:tc>
        <w:tc>
          <w:tcPr>
            <w:tcW w:w="1701" w:type="dxa"/>
          </w:tcPr>
          <w:p w14:paraId="4FABEA39" w14:textId="3D4EFDB0" w:rsidR="000349CD" w:rsidRPr="00355BAF" w:rsidRDefault="000349CD" w:rsidP="00F775F6">
            <w:pPr>
              <w:rPr>
                <w:rFonts w:asciiTheme="minorHAnsi" w:hAnsiTheme="minorHAnsi" w:cstheme="minorBidi"/>
              </w:rPr>
            </w:pPr>
            <w:r w:rsidRPr="070CBDA7">
              <w:rPr>
                <w:rFonts w:asciiTheme="minorHAnsi" w:hAnsiTheme="minorHAnsi" w:cstheme="minorBidi"/>
              </w:rPr>
              <w:t>Certification of CRIS</w:t>
            </w:r>
          </w:p>
        </w:tc>
        <w:tc>
          <w:tcPr>
            <w:tcW w:w="3077" w:type="dxa"/>
          </w:tcPr>
          <w:p w14:paraId="11456679" w14:textId="0666415D" w:rsidR="000349CD" w:rsidRPr="00355BAF" w:rsidRDefault="000349CD" w:rsidP="00F775F6">
            <w:pPr>
              <w:rPr>
                <w:rFonts w:asciiTheme="minorHAnsi" w:hAnsiTheme="minorHAnsi" w:cstheme="minorBidi"/>
              </w:rPr>
            </w:pPr>
            <w:r w:rsidRPr="070CBDA7">
              <w:rPr>
                <w:rFonts w:asciiTheme="minorHAnsi" w:hAnsiTheme="minorHAnsi" w:cstheme="minorBidi"/>
              </w:rPr>
              <w:t>Secretary, Department of Climate Change, Energy, the Environment and Water</w:t>
            </w:r>
          </w:p>
        </w:tc>
        <w:tc>
          <w:tcPr>
            <w:tcW w:w="2835" w:type="dxa"/>
          </w:tcPr>
          <w:p w14:paraId="723502E7" w14:textId="0D67D76A" w:rsidR="000349CD" w:rsidRPr="00C77DD2" w:rsidRDefault="00D51B07" w:rsidP="00F775F6">
            <w:pPr>
              <w:rPr>
                <w:rFonts w:asciiTheme="minorHAnsi" w:hAnsiTheme="minorHAnsi" w:cstheme="minorBidi"/>
                <w:highlight w:val="yellow"/>
              </w:rPr>
            </w:pPr>
            <w:r w:rsidRPr="070CBDA7">
              <w:rPr>
                <w:rFonts w:asciiTheme="minorHAnsi" w:hAnsiTheme="minorHAnsi" w:cstheme="minorBidi"/>
                <w:color w:val="313131"/>
                <w:shd w:val="clear" w:color="auto" w:fill="FFFFFF"/>
              </w:rPr>
              <w:t>Initial CRIS</w:t>
            </w:r>
            <w:r w:rsidR="00156BA6" w:rsidRPr="070CBDA7">
              <w:rPr>
                <w:rFonts w:asciiTheme="minorHAnsi" w:hAnsiTheme="minorHAnsi" w:cstheme="minorBidi"/>
                <w:color w:val="313131"/>
                <w:shd w:val="clear" w:color="auto" w:fill="FFFFFF"/>
              </w:rPr>
              <w:t xml:space="preserve"> for</w:t>
            </w:r>
            <w:r w:rsidR="000349CD" w:rsidRPr="070CBDA7">
              <w:rPr>
                <w:rFonts w:asciiTheme="minorHAnsi" w:hAnsiTheme="minorHAnsi" w:cstheme="minorBidi"/>
                <w:color w:val="313131"/>
                <w:shd w:val="clear" w:color="auto" w:fill="FFFFFF"/>
              </w:rPr>
              <w:t xml:space="preserve"> cost recovered activity</w:t>
            </w:r>
          </w:p>
        </w:tc>
      </w:tr>
      <w:tr w:rsidR="000349CD" w:rsidRPr="00512618" w14:paraId="68E08C9B" w14:textId="77777777" w:rsidTr="000222C7">
        <w:tc>
          <w:tcPr>
            <w:tcW w:w="1271" w:type="dxa"/>
          </w:tcPr>
          <w:p w14:paraId="3F46CF2D" w14:textId="2B40E6FD" w:rsidR="000349CD" w:rsidRPr="00355BAF" w:rsidRDefault="000222C7" w:rsidP="00F775F6">
            <w:pPr>
              <w:rPr>
                <w:rFonts w:asciiTheme="minorHAnsi" w:hAnsiTheme="minorHAnsi" w:cstheme="minorBidi"/>
              </w:rPr>
            </w:pPr>
            <w:r>
              <w:rPr>
                <w:rFonts w:asciiTheme="minorHAnsi" w:hAnsiTheme="minorHAnsi" w:cstheme="minorBidi"/>
              </w:rPr>
              <w:t>22/08/2025</w:t>
            </w:r>
          </w:p>
        </w:tc>
        <w:tc>
          <w:tcPr>
            <w:tcW w:w="1701" w:type="dxa"/>
          </w:tcPr>
          <w:p w14:paraId="1A86BCCE" w14:textId="34D64B99" w:rsidR="000349CD" w:rsidRPr="00355BAF" w:rsidRDefault="000349CD" w:rsidP="00F775F6">
            <w:pPr>
              <w:rPr>
                <w:rFonts w:asciiTheme="minorHAnsi" w:hAnsiTheme="minorHAnsi" w:cstheme="minorBidi"/>
              </w:rPr>
            </w:pPr>
            <w:r w:rsidRPr="070CBDA7">
              <w:rPr>
                <w:rFonts w:asciiTheme="minorHAnsi" w:hAnsiTheme="minorHAnsi" w:cstheme="minorBidi"/>
              </w:rPr>
              <w:t>Approval of CRIS</w:t>
            </w:r>
          </w:p>
        </w:tc>
        <w:tc>
          <w:tcPr>
            <w:tcW w:w="3077" w:type="dxa"/>
          </w:tcPr>
          <w:p w14:paraId="3E05DAF1" w14:textId="116AACB3" w:rsidR="000349CD" w:rsidRPr="00355BAF" w:rsidRDefault="000349CD" w:rsidP="00F775F6">
            <w:pPr>
              <w:rPr>
                <w:rFonts w:asciiTheme="minorHAnsi" w:hAnsiTheme="minorHAnsi" w:cstheme="minorBidi"/>
              </w:rPr>
            </w:pPr>
            <w:r w:rsidRPr="070CBDA7">
              <w:rPr>
                <w:rFonts w:asciiTheme="minorHAnsi" w:hAnsiTheme="minorHAnsi" w:cstheme="minorBidi"/>
              </w:rPr>
              <w:t>Assistant Minister for Climate Change and Energy</w:t>
            </w:r>
          </w:p>
        </w:tc>
        <w:tc>
          <w:tcPr>
            <w:tcW w:w="2835" w:type="dxa"/>
          </w:tcPr>
          <w:p w14:paraId="01AD1A8F" w14:textId="7E1B4464" w:rsidR="000349CD" w:rsidRPr="00C77DD2" w:rsidRDefault="00156BA6" w:rsidP="00F775F6">
            <w:pPr>
              <w:rPr>
                <w:rFonts w:asciiTheme="minorHAnsi" w:hAnsiTheme="minorHAnsi" w:cstheme="minorBidi"/>
                <w:highlight w:val="yellow"/>
              </w:rPr>
            </w:pPr>
            <w:r w:rsidRPr="070CBDA7">
              <w:rPr>
                <w:rFonts w:asciiTheme="minorHAnsi" w:hAnsiTheme="minorHAnsi" w:cstheme="minorBidi"/>
                <w:color w:val="313131"/>
                <w:shd w:val="clear" w:color="auto" w:fill="FFFFFF"/>
              </w:rPr>
              <w:t>Initial CRIS for cost recovered activity</w:t>
            </w:r>
          </w:p>
        </w:tc>
      </w:tr>
    </w:tbl>
    <w:p w14:paraId="2240A269" w14:textId="654664E8" w:rsidR="003A755D" w:rsidRPr="00646C27" w:rsidRDefault="003A755D" w:rsidP="00F775F6">
      <w:pPr>
        <w:spacing w:before="320" w:after="240"/>
        <w:jc w:val="both"/>
        <w:rPr>
          <w:iCs/>
        </w:rPr>
      </w:pPr>
    </w:p>
    <w:sectPr w:rsidR="003A755D" w:rsidRPr="00646C27" w:rsidSect="000A7DA0">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440"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7B03" w14:textId="77777777" w:rsidR="001F51C6" w:rsidRDefault="001F51C6" w:rsidP="00DB42A5">
      <w:r>
        <w:separator/>
      </w:r>
    </w:p>
  </w:endnote>
  <w:endnote w:type="continuationSeparator" w:id="0">
    <w:p w14:paraId="26D1D15C" w14:textId="77777777" w:rsidR="001F51C6" w:rsidRDefault="001F51C6" w:rsidP="00DB42A5">
      <w:r>
        <w:continuationSeparator/>
      </w:r>
    </w:p>
  </w:endnote>
  <w:endnote w:type="continuationNotice" w:id="1">
    <w:p w14:paraId="351504A6" w14:textId="77777777" w:rsidR="001F51C6" w:rsidRDefault="001F5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8D1B" w14:textId="0846528D" w:rsidR="00911808" w:rsidRDefault="00911808">
    <w:pPr>
      <w:pStyle w:val="Footer"/>
    </w:pPr>
    <w:r>
      <w:rPr>
        <w:noProof/>
      </w:rPr>
      <mc:AlternateContent>
        <mc:Choice Requires="wps">
          <w:drawing>
            <wp:anchor distT="0" distB="0" distL="0" distR="0" simplePos="0" relativeHeight="251658244" behindDoc="0" locked="0" layoutInCell="1" allowOverlap="1" wp14:anchorId="0CD9B03C" wp14:editId="37C0A6B1">
              <wp:simplePos x="635" y="635"/>
              <wp:positionH relativeFrom="page">
                <wp:align>center</wp:align>
              </wp:positionH>
              <wp:positionV relativeFrom="page">
                <wp:align>bottom</wp:align>
              </wp:positionV>
              <wp:extent cx="551815" cy="394970"/>
              <wp:effectExtent l="0" t="0" r="635" b="0"/>
              <wp:wrapNone/>
              <wp:docPr id="8578287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4FB37C8B" w14:textId="33BDC02E" w:rsidR="00911808" w:rsidRPr="00911808" w:rsidRDefault="00911808" w:rsidP="00911808">
                          <w:pPr>
                            <w:spacing w:after="0"/>
                            <w:rPr>
                              <w:rFonts w:ascii="Calibri" w:eastAsia="Calibri" w:hAnsi="Calibri" w:cs="Calibri"/>
                              <w:noProof/>
                              <w:color w:val="FF0000"/>
                              <w:sz w:val="24"/>
                              <w:szCs w:val="24"/>
                            </w:rPr>
                          </w:pPr>
                          <w:r w:rsidRPr="0091180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9B03C" id="_x0000_t202" coordsize="21600,21600" o:spt="202" path="m,l,21600r21600,l21600,xe">
              <v:stroke joinstyle="miter"/>
              <v:path gradientshapeok="t" o:connecttype="rect"/>
            </v:shapetype>
            <v:shape id="Text Box 5" o:spid="_x0000_s1028" type="#_x0000_t202" alt="OFFICIAL" style="position:absolute;margin-left:0;margin-top:0;width:43.45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17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D68s17EAIA&#10;ABwEAAAOAAAAAAAAAAAAAAAAAC4CAABkcnMvZTJvRG9jLnhtbFBLAQItABQABgAIAAAAIQDj409W&#10;2wAAAAMBAAAPAAAAAAAAAAAAAAAAAGoEAABkcnMvZG93bnJldi54bWxQSwUGAAAAAAQABADzAAAA&#10;cgUAAAAA&#10;" filled="f" stroked="f">
              <v:textbox style="mso-fit-shape-to-text:t" inset="0,0,0,15pt">
                <w:txbxContent>
                  <w:p w14:paraId="4FB37C8B" w14:textId="33BDC02E" w:rsidR="00911808" w:rsidRPr="00911808" w:rsidRDefault="00911808" w:rsidP="00911808">
                    <w:pPr>
                      <w:spacing w:after="0"/>
                      <w:rPr>
                        <w:rFonts w:ascii="Calibri" w:eastAsia="Calibri" w:hAnsi="Calibri" w:cs="Calibri"/>
                        <w:noProof/>
                        <w:color w:val="FF0000"/>
                        <w:sz w:val="24"/>
                        <w:szCs w:val="24"/>
                      </w:rPr>
                    </w:pPr>
                    <w:r w:rsidRPr="0091180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058773"/>
      <w:docPartObj>
        <w:docPartGallery w:val="Page Numbers (Bottom of Page)"/>
        <w:docPartUnique/>
      </w:docPartObj>
    </w:sdtPr>
    <w:sdtEndPr>
      <w:rPr>
        <w:noProof/>
      </w:rPr>
    </w:sdtEndPr>
    <w:sdtContent>
      <w:p w14:paraId="5EF861F4" w14:textId="484A58C3" w:rsidR="003D5AD4" w:rsidRDefault="003D5A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151995" w14:textId="44006A3C" w:rsidR="00911808" w:rsidRDefault="00911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2024" w14:textId="70F4247D" w:rsidR="00911808" w:rsidRDefault="00911808">
    <w:pPr>
      <w:pStyle w:val="Footer"/>
    </w:pPr>
    <w:r>
      <w:rPr>
        <w:noProof/>
      </w:rPr>
      <mc:AlternateContent>
        <mc:Choice Requires="wps">
          <w:drawing>
            <wp:anchor distT="0" distB="0" distL="0" distR="0" simplePos="0" relativeHeight="251658243" behindDoc="0" locked="0" layoutInCell="1" allowOverlap="1" wp14:anchorId="6128D1EF" wp14:editId="10BEF2F7">
              <wp:simplePos x="635" y="635"/>
              <wp:positionH relativeFrom="page">
                <wp:align>center</wp:align>
              </wp:positionH>
              <wp:positionV relativeFrom="page">
                <wp:align>bottom</wp:align>
              </wp:positionV>
              <wp:extent cx="551815" cy="394970"/>
              <wp:effectExtent l="0" t="0" r="635" b="0"/>
              <wp:wrapNone/>
              <wp:docPr id="6205248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5B5D7BE2" w14:textId="2C666D76" w:rsidR="00911808" w:rsidRPr="00911808" w:rsidRDefault="00911808" w:rsidP="00911808">
                          <w:pPr>
                            <w:spacing w:after="0"/>
                            <w:rPr>
                              <w:rFonts w:ascii="Calibri" w:eastAsia="Calibri" w:hAnsi="Calibri" w:cs="Calibri"/>
                              <w:noProof/>
                              <w:color w:val="FF0000"/>
                              <w:sz w:val="24"/>
                              <w:szCs w:val="24"/>
                            </w:rPr>
                          </w:pPr>
                          <w:r w:rsidRPr="0091180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8D1EF" id="_x0000_t202" coordsize="21600,21600" o:spt="202" path="m,l,21600r21600,l21600,xe">
              <v:stroke joinstyle="miter"/>
              <v:path gradientshapeok="t" o:connecttype="rect"/>
            </v:shapetype>
            <v:shape id="Text Box 4" o:spid="_x0000_s1030" type="#_x0000_t202" alt="OFFICIAL" style="position:absolute;margin-left:0;margin-top:0;width:43.45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CUcWL2EAIA&#10;ABwEAAAOAAAAAAAAAAAAAAAAAC4CAABkcnMvZTJvRG9jLnhtbFBLAQItABQABgAIAAAAIQDj409W&#10;2wAAAAMBAAAPAAAAAAAAAAAAAAAAAGoEAABkcnMvZG93bnJldi54bWxQSwUGAAAAAAQABADzAAAA&#10;cgUAAAAA&#10;" filled="f" stroked="f">
              <v:textbox style="mso-fit-shape-to-text:t" inset="0,0,0,15pt">
                <w:txbxContent>
                  <w:p w14:paraId="5B5D7BE2" w14:textId="2C666D76" w:rsidR="00911808" w:rsidRPr="00911808" w:rsidRDefault="00911808" w:rsidP="00911808">
                    <w:pPr>
                      <w:spacing w:after="0"/>
                      <w:rPr>
                        <w:rFonts w:ascii="Calibri" w:eastAsia="Calibri" w:hAnsi="Calibri" w:cs="Calibri"/>
                        <w:noProof/>
                        <w:color w:val="FF0000"/>
                        <w:sz w:val="24"/>
                        <w:szCs w:val="24"/>
                      </w:rPr>
                    </w:pPr>
                    <w:r w:rsidRPr="00911808">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E02E" w14:textId="77777777" w:rsidR="001F51C6" w:rsidRDefault="001F51C6" w:rsidP="00DB42A5">
      <w:r>
        <w:separator/>
      </w:r>
    </w:p>
  </w:footnote>
  <w:footnote w:type="continuationSeparator" w:id="0">
    <w:p w14:paraId="60D2798A" w14:textId="77777777" w:rsidR="001F51C6" w:rsidRDefault="001F51C6" w:rsidP="00DB42A5">
      <w:r>
        <w:continuationSeparator/>
      </w:r>
    </w:p>
  </w:footnote>
  <w:footnote w:type="continuationNotice" w:id="1">
    <w:p w14:paraId="23056B58" w14:textId="77777777" w:rsidR="001F51C6" w:rsidRDefault="001F5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7FB78805" w:rsidR="003460DF" w:rsidRDefault="00911808">
    <w:pPr>
      <w:pStyle w:val="Header"/>
    </w:pPr>
    <w:r>
      <w:rPr>
        <w:noProof/>
      </w:rPr>
      <mc:AlternateContent>
        <mc:Choice Requires="wps">
          <w:drawing>
            <wp:anchor distT="0" distB="0" distL="0" distR="0" simplePos="0" relativeHeight="251658241" behindDoc="0" locked="0" layoutInCell="1" allowOverlap="1" wp14:anchorId="3EEA161C" wp14:editId="3E8F8B76">
              <wp:simplePos x="635" y="635"/>
              <wp:positionH relativeFrom="page">
                <wp:align>center</wp:align>
              </wp:positionH>
              <wp:positionV relativeFrom="page">
                <wp:align>top</wp:align>
              </wp:positionV>
              <wp:extent cx="551815" cy="394970"/>
              <wp:effectExtent l="0" t="0" r="635" b="5080"/>
              <wp:wrapNone/>
              <wp:docPr id="19163011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1C37CDEF" w14:textId="23E40B3D" w:rsidR="00911808" w:rsidRPr="00911808" w:rsidRDefault="00911808" w:rsidP="00911808">
                          <w:pPr>
                            <w:spacing w:after="0"/>
                            <w:rPr>
                              <w:rFonts w:ascii="Calibri" w:eastAsia="Calibri" w:hAnsi="Calibri" w:cs="Calibri"/>
                              <w:noProof/>
                              <w:color w:val="FF0000"/>
                              <w:sz w:val="24"/>
                              <w:szCs w:val="24"/>
                            </w:rPr>
                          </w:pPr>
                          <w:r w:rsidRPr="0091180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EA161C"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textbox style="mso-fit-shape-to-text:t" inset="0,15pt,0,0">
                <w:txbxContent>
                  <w:p w14:paraId="1C37CDEF" w14:textId="23E40B3D" w:rsidR="00911808" w:rsidRPr="00911808" w:rsidRDefault="00911808" w:rsidP="00911808">
                    <w:pPr>
                      <w:spacing w:after="0"/>
                      <w:rPr>
                        <w:rFonts w:ascii="Calibri" w:eastAsia="Calibri" w:hAnsi="Calibri" w:cs="Calibri"/>
                        <w:noProof/>
                        <w:color w:val="FF0000"/>
                        <w:sz w:val="24"/>
                        <w:szCs w:val="24"/>
                      </w:rPr>
                    </w:pPr>
                    <w:r w:rsidRPr="0091180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CA50" w14:textId="66E22A90" w:rsidR="003460DF" w:rsidRDefault="00911808">
    <w:pPr>
      <w:pStyle w:val="Header"/>
    </w:pPr>
    <w:r>
      <w:rPr>
        <w:noProof/>
      </w:rPr>
      <mc:AlternateContent>
        <mc:Choice Requires="wps">
          <w:drawing>
            <wp:anchor distT="0" distB="0" distL="0" distR="0" simplePos="0" relativeHeight="251658242" behindDoc="0" locked="0" layoutInCell="1" allowOverlap="1" wp14:anchorId="53C96F66" wp14:editId="310250BE">
              <wp:simplePos x="811033" y="453224"/>
              <wp:positionH relativeFrom="page">
                <wp:align>center</wp:align>
              </wp:positionH>
              <wp:positionV relativeFrom="page">
                <wp:align>top</wp:align>
              </wp:positionV>
              <wp:extent cx="551815" cy="394970"/>
              <wp:effectExtent l="0" t="0" r="635" b="5080"/>
              <wp:wrapNone/>
              <wp:docPr id="16586813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F1C6FE7" w14:textId="40FDB913" w:rsidR="00911808" w:rsidRPr="00911808" w:rsidRDefault="00911808" w:rsidP="00911808">
                          <w:pPr>
                            <w:spacing w:after="0"/>
                            <w:rPr>
                              <w:rFonts w:ascii="Calibri" w:eastAsia="Calibri" w:hAnsi="Calibri" w:cs="Calibri"/>
                              <w:noProof/>
                              <w:color w:val="FF0000"/>
                              <w:sz w:val="24"/>
                              <w:szCs w:val="24"/>
                            </w:rPr>
                          </w:pPr>
                          <w:r w:rsidRPr="0091180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96F66" id="_x0000_t202" coordsize="21600,21600" o:spt="202" path="m,l,21600r21600,l21600,xe">
              <v:stroke joinstyle="miter"/>
              <v:path gradientshapeok="t" o:connecttype="rect"/>
            </v:shapetype>
            <v:shape id="Text Box 3" o:spid="_x0000_s1027" type="#_x0000_t202" alt="OFFICIAL" style="position:absolute;margin-left:0;margin-top:0;width:43.4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" filled="f" stroked="f">
              <v:textbox style="mso-fit-shape-to-text:t" inset="0,15pt,0,0">
                <w:txbxContent>
                  <w:p w14:paraId="3F1C6FE7" w14:textId="40FDB913" w:rsidR="00911808" w:rsidRPr="00911808" w:rsidRDefault="00911808" w:rsidP="00911808">
                    <w:pPr>
                      <w:spacing w:after="0"/>
                      <w:rPr>
                        <w:rFonts w:ascii="Calibri" w:eastAsia="Calibri" w:hAnsi="Calibri" w:cs="Calibri"/>
                        <w:noProof/>
                        <w:color w:val="FF0000"/>
                        <w:sz w:val="24"/>
                        <w:szCs w:val="24"/>
                      </w:rPr>
                    </w:pPr>
                    <w:r w:rsidRPr="00911808">
                      <w:rPr>
                        <w:rFonts w:ascii="Calibri" w:eastAsia="Calibri" w:hAnsi="Calibri" w:cs="Calibri"/>
                        <w:noProof/>
                        <w:color w:val="FF0000"/>
                        <w:sz w:val="24"/>
                        <w:szCs w:val="24"/>
                      </w:rPr>
                      <w:t>OFFICIAL</w:t>
                    </w:r>
                  </w:p>
                </w:txbxContent>
              </v:textbox>
              <w10:wrap anchorx="page" anchory="page"/>
            </v:shape>
          </w:pict>
        </mc:Fallback>
      </mc:AlternateContent>
    </w:r>
  </w:p>
  <w:p w14:paraId="143F2388" w14:textId="59AE7F6C" w:rsidR="003460DF" w:rsidRDefault="00346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26CCA64E" w:rsidR="003460DF" w:rsidRDefault="00911808">
    <w:pPr>
      <w:pStyle w:val="Header"/>
    </w:pPr>
    <w:r>
      <w:rPr>
        <w:noProof/>
      </w:rPr>
      <mc:AlternateContent>
        <mc:Choice Requires="wps">
          <w:drawing>
            <wp:anchor distT="0" distB="0" distL="0" distR="0" simplePos="0" relativeHeight="251658240" behindDoc="0" locked="0" layoutInCell="1" allowOverlap="1" wp14:anchorId="1414D33C" wp14:editId="1701522B">
              <wp:simplePos x="635" y="635"/>
              <wp:positionH relativeFrom="page">
                <wp:align>center</wp:align>
              </wp:positionH>
              <wp:positionV relativeFrom="page">
                <wp:align>top</wp:align>
              </wp:positionV>
              <wp:extent cx="551815" cy="394970"/>
              <wp:effectExtent l="0" t="0" r="635" b="5080"/>
              <wp:wrapNone/>
              <wp:docPr id="18781346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A37346C" w14:textId="72E2EF2B" w:rsidR="00911808" w:rsidRPr="00911808" w:rsidRDefault="00911808" w:rsidP="00911808">
                          <w:pPr>
                            <w:spacing w:after="0"/>
                            <w:rPr>
                              <w:rFonts w:ascii="Calibri" w:eastAsia="Calibri" w:hAnsi="Calibri" w:cs="Calibri"/>
                              <w:noProof/>
                              <w:color w:val="FF0000"/>
                              <w:sz w:val="24"/>
                              <w:szCs w:val="24"/>
                            </w:rPr>
                          </w:pPr>
                          <w:r w:rsidRPr="0091180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14D33C" id="_x0000_t202" coordsize="21600,21600" o:spt="202" path="m,l,21600r21600,l21600,xe">
              <v:stroke joinstyle="miter"/>
              <v:path gradientshapeok="t" o:connecttype="rect"/>
            </v:shapetype>
            <v:shape id="Text Box 1" o:spid="_x0000_s1029" type="#_x0000_t202" alt="OFFICIAL" style="position:absolute;margin-left:0;margin-top:0;width:43.45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" filled="f" stroked="f">
              <v:textbox style="mso-fit-shape-to-text:t" inset="0,15pt,0,0">
                <w:txbxContent>
                  <w:p w14:paraId="3A37346C" w14:textId="72E2EF2B" w:rsidR="00911808" w:rsidRPr="00911808" w:rsidRDefault="00911808" w:rsidP="00911808">
                    <w:pPr>
                      <w:spacing w:after="0"/>
                      <w:rPr>
                        <w:rFonts w:ascii="Calibri" w:eastAsia="Calibri" w:hAnsi="Calibri" w:cs="Calibri"/>
                        <w:noProof/>
                        <w:color w:val="FF0000"/>
                        <w:sz w:val="24"/>
                        <w:szCs w:val="24"/>
                      </w:rPr>
                    </w:pPr>
                    <w:r w:rsidRPr="0091180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1BB1089"/>
    <w:multiLevelType w:val="hybridMultilevel"/>
    <w:tmpl w:val="C298C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915B6"/>
    <w:multiLevelType w:val="hybridMultilevel"/>
    <w:tmpl w:val="37BC8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E341AA"/>
    <w:multiLevelType w:val="hybridMultilevel"/>
    <w:tmpl w:val="960AA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D72C29"/>
    <w:multiLevelType w:val="hybridMultilevel"/>
    <w:tmpl w:val="87425488"/>
    <w:lvl w:ilvl="0" w:tplc="1BA6225C">
      <w:start w:val="2025"/>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FA17AC"/>
    <w:multiLevelType w:val="hybridMultilevel"/>
    <w:tmpl w:val="AD949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2A7F86"/>
    <w:multiLevelType w:val="hybridMultilevel"/>
    <w:tmpl w:val="10944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FF1AA3"/>
    <w:multiLevelType w:val="hybridMultilevel"/>
    <w:tmpl w:val="0D607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D51DFD"/>
    <w:multiLevelType w:val="hybridMultilevel"/>
    <w:tmpl w:val="8214A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1547212">
    <w:abstractNumId w:val="3"/>
  </w:num>
  <w:num w:numId="2" w16cid:durableId="1003168712">
    <w:abstractNumId w:val="6"/>
  </w:num>
  <w:num w:numId="3" w16cid:durableId="1624728892">
    <w:abstractNumId w:val="5"/>
  </w:num>
  <w:num w:numId="4" w16cid:durableId="1122767515">
    <w:abstractNumId w:val="1"/>
  </w:num>
  <w:num w:numId="5" w16cid:durableId="1329098646">
    <w:abstractNumId w:val="0"/>
  </w:num>
  <w:num w:numId="6" w16cid:durableId="970093725">
    <w:abstractNumId w:val="2"/>
  </w:num>
  <w:num w:numId="7" w16cid:durableId="1309091538">
    <w:abstractNumId w:val="9"/>
  </w:num>
  <w:num w:numId="8" w16cid:durableId="829492013">
    <w:abstractNumId w:val="8"/>
  </w:num>
  <w:num w:numId="9" w16cid:durableId="449053374">
    <w:abstractNumId w:val="7"/>
  </w:num>
  <w:num w:numId="10" w16cid:durableId="187721077">
    <w:abstractNumId w:val="10"/>
  </w:num>
  <w:num w:numId="11" w16cid:durableId="23239659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38F"/>
    <w:rsid w:val="00000F28"/>
    <w:rsid w:val="000017CC"/>
    <w:rsid w:val="00001A6E"/>
    <w:rsid w:val="00002EA5"/>
    <w:rsid w:val="00003B05"/>
    <w:rsid w:val="000041C2"/>
    <w:rsid w:val="00004F1F"/>
    <w:rsid w:val="0000533E"/>
    <w:rsid w:val="00006623"/>
    <w:rsid w:val="0000752F"/>
    <w:rsid w:val="00007BF1"/>
    <w:rsid w:val="00011416"/>
    <w:rsid w:val="00012393"/>
    <w:rsid w:val="00013CCE"/>
    <w:rsid w:val="0001431B"/>
    <w:rsid w:val="00014739"/>
    <w:rsid w:val="00015575"/>
    <w:rsid w:val="000156FE"/>
    <w:rsid w:val="00016586"/>
    <w:rsid w:val="000168CE"/>
    <w:rsid w:val="00017F3B"/>
    <w:rsid w:val="00021D3A"/>
    <w:rsid w:val="000222C7"/>
    <w:rsid w:val="00022A6D"/>
    <w:rsid w:val="0002312A"/>
    <w:rsid w:val="00024157"/>
    <w:rsid w:val="00024330"/>
    <w:rsid w:val="000247C8"/>
    <w:rsid w:val="000255F0"/>
    <w:rsid w:val="00027359"/>
    <w:rsid w:val="000273B1"/>
    <w:rsid w:val="00027F8C"/>
    <w:rsid w:val="0003025C"/>
    <w:rsid w:val="000306E0"/>
    <w:rsid w:val="00030B2C"/>
    <w:rsid w:val="000319ED"/>
    <w:rsid w:val="00031E8A"/>
    <w:rsid w:val="000349CD"/>
    <w:rsid w:val="00035509"/>
    <w:rsid w:val="00035B82"/>
    <w:rsid w:val="00035C24"/>
    <w:rsid w:val="00036301"/>
    <w:rsid w:val="00036C36"/>
    <w:rsid w:val="00036D6F"/>
    <w:rsid w:val="0003710D"/>
    <w:rsid w:val="00041AFB"/>
    <w:rsid w:val="00041FE2"/>
    <w:rsid w:val="0004212E"/>
    <w:rsid w:val="000437C4"/>
    <w:rsid w:val="00043A91"/>
    <w:rsid w:val="00043B2C"/>
    <w:rsid w:val="00043D2D"/>
    <w:rsid w:val="00043ED4"/>
    <w:rsid w:val="00044129"/>
    <w:rsid w:val="00044CB4"/>
    <w:rsid w:val="00044E9F"/>
    <w:rsid w:val="000467BC"/>
    <w:rsid w:val="00047253"/>
    <w:rsid w:val="00047949"/>
    <w:rsid w:val="000501DC"/>
    <w:rsid w:val="000504D3"/>
    <w:rsid w:val="000506E4"/>
    <w:rsid w:val="00050891"/>
    <w:rsid w:val="00051586"/>
    <w:rsid w:val="000519FC"/>
    <w:rsid w:val="00051FAD"/>
    <w:rsid w:val="0005208C"/>
    <w:rsid w:val="000532BF"/>
    <w:rsid w:val="00053940"/>
    <w:rsid w:val="00053BCF"/>
    <w:rsid w:val="00054280"/>
    <w:rsid w:val="0005484B"/>
    <w:rsid w:val="000549AC"/>
    <w:rsid w:val="0005503B"/>
    <w:rsid w:val="0005590A"/>
    <w:rsid w:val="00055AE3"/>
    <w:rsid w:val="00061BC8"/>
    <w:rsid w:val="00061F13"/>
    <w:rsid w:val="00062A9C"/>
    <w:rsid w:val="00063557"/>
    <w:rsid w:val="00064B6D"/>
    <w:rsid w:val="00066322"/>
    <w:rsid w:val="00066E4E"/>
    <w:rsid w:val="00067109"/>
    <w:rsid w:val="0006769A"/>
    <w:rsid w:val="00067A9D"/>
    <w:rsid w:val="000716E7"/>
    <w:rsid w:val="0007347E"/>
    <w:rsid w:val="000737BF"/>
    <w:rsid w:val="000741BD"/>
    <w:rsid w:val="00074296"/>
    <w:rsid w:val="00075136"/>
    <w:rsid w:val="000763A3"/>
    <w:rsid w:val="000776FF"/>
    <w:rsid w:val="00080259"/>
    <w:rsid w:val="000809B2"/>
    <w:rsid w:val="00081590"/>
    <w:rsid w:val="000815E1"/>
    <w:rsid w:val="00081F15"/>
    <w:rsid w:val="0008204D"/>
    <w:rsid w:val="0008245B"/>
    <w:rsid w:val="00084F33"/>
    <w:rsid w:val="00085F58"/>
    <w:rsid w:val="000861FD"/>
    <w:rsid w:val="00086210"/>
    <w:rsid w:val="00086C37"/>
    <w:rsid w:val="000873FC"/>
    <w:rsid w:val="00087ED1"/>
    <w:rsid w:val="00090234"/>
    <w:rsid w:val="000906CF"/>
    <w:rsid w:val="00090A6D"/>
    <w:rsid w:val="000914FC"/>
    <w:rsid w:val="0009227F"/>
    <w:rsid w:val="0009258B"/>
    <w:rsid w:val="00092829"/>
    <w:rsid w:val="00093EA3"/>
    <w:rsid w:val="00093FF1"/>
    <w:rsid w:val="00094ED4"/>
    <w:rsid w:val="000951C2"/>
    <w:rsid w:val="00095CA7"/>
    <w:rsid w:val="00095D8C"/>
    <w:rsid w:val="000A0EC6"/>
    <w:rsid w:val="000A1ABD"/>
    <w:rsid w:val="000A20C7"/>
    <w:rsid w:val="000A20FA"/>
    <w:rsid w:val="000A2351"/>
    <w:rsid w:val="000A3E0F"/>
    <w:rsid w:val="000A519B"/>
    <w:rsid w:val="000A57D3"/>
    <w:rsid w:val="000A5B89"/>
    <w:rsid w:val="000A6425"/>
    <w:rsid w:val="000A690B"/>
    <w:rsid w:val="000A6CE1"/>
    <w:rsid w:val="000A75F1"/>
    <w:rsid w:val="000A7DA0"/>
    <w:rsid w:val="000B0074"/>
    <w:rsid w:val="000B15FF"/>
    <w:rsid w:val="000B21B2"/>
    <w:rsid w:val="000B301F"/>
    <w:rsid w:val="000B4646"/>
    <w:rsid w:val="000B4A41"/>
    <w:rsid w:val="000B4E25"/>
    <w:rsid w:val="000B534A"/>
    <w:rsid w:val="000B55E4"/>
    <w:rsid w:val="000B6389"/>
    <w:rsid w:val="000B68AA"/>
    <w:rsid w:val="000B6FE4"/>
    <w:rsid w:val="000B7A45"/>
    <w:rsid w:val="000C0221"/>
    <w:rsid w:val="000C05E8"/>
    <w:rsid w:val="000C0AC7"/>
    <w:rsid w:val="000C0D61"/>
    <w:rsid w:val="000C10EE"/>
    <w:rsid w:val="000C2946"/>
    <w:rsid w:val="000C2A44"/>
    <w:rsid w:val="000C3121"/>
    <w:rsid w:val="000C37A8"/>
    <w:rsid w:val="000C4CF0"/>
    <w:rsid w:val="000C528B"/>
    <w:rsid w:val="000C5399"/>
    <w:rsid w:val="000C6831"/>
    <w:rsid w:val="000C7E03"/>
    <w:rsid w:val="000D19E6"/>
    <w:rsid w:val="000D46AF"/>
    <w:rsid w:val="000D478E"/>
    <w:rsid w:val="000D592E"/>
    <w:rsid w:val="000D6F7D"/>
    <w:rsid w:val="000D70E5"/>
    <w:rsid w:val="000D719C"/>
    <w:rsid w:val="000E0193"/>
    <w:rsid w:val="000E1393"/>
    <w:rsid w:val="000E16A5"/>
    <w:rsid w:val="000E1D7F"/>
    <w:rsid w:val="000E39A5"/>
    <w:rsid w:val="000E3C1A"/>
    <w:rsid w:val="000E41B9"/>
    <w:rsid w:val="000E7223"/>
    <w:rsid w:val="000E734C"/>
    <w:rsid w:val="000E7CF1"/>
    <w:rsid w:val="000F0500"/>
    <w:rsid w:val="000F0FDB"/>
    <w:rsid w:val="000F1E0C"/>
    <w:rsid w:val="000F227D"/>
    <w:rsid w:val="000F2955"/>
    <w:rsid w:val="000F2D4C"/>
    <w:rsid w:val="000F2DDE"/>
    <w:rsid w:val="000F415B"/>
    <w:rsid w:val="000F4826"/>
    <w:rsid w:val="000F559C"/>
    <w:rsid w:val="000F5A4D"/>
    <w:rsid w:val="000F5B31"/>
    <w:rsid w:val="000F5B4A"/>
    <w:rsid w:val="000F6147"/>
    <w:rsid w:val="001005C0"/>
    <w:rsid w:val="0010137D"/>
    <w:rsid w:val="00101F22"/>
    <w:rsid w:val="0010352D"/>
    <w:rsid w:val="00103B47"/>
    <w:rsid w:val="00104E50"/>
    <w:rsid w:val="00105A5F"/>
    <w:rsid w:val="00105A96"/>
    <w:rsid w:val="00106548"/>
    <w:rsid w:val="00106E51"/>
    <w:rsid w:val="00110267"/>
    <w:rsid w:val="0011091E"/>
    <w:rsid w:val="0011347E"/>
    <w:rsid w:val="00113D47"/>
    <w:rsid w:val="001147B1"/>
    <w:rsid w:val="00114D0F"/>
    <w:rsid w:val="00115220"/>
    <w:rsid w:val="0011534C"/>
    <w:rsid w:val="0011543D"/>
    <w:rsid w:val="00115C2E"/>
    <w:rsid w:val="00120612"/>
    <w:rsid w:val="00120D6F"/>
    <w:rsid w:val="001220EF"/>
    <w:rsid w:val="00122C6F"/>
    <w:rsid w:val="00123234"/>
    <w:rsid w:val="00124768"/>
    <w:rsid w:val="00124ED2"/>
    <w:rsid w:val="00125969"/>
    <w:rsid w:val="00125ECE"/>
    <w:rsid w:val="00126F03"/>
    <w:rsid w:val="00127F75"/>
    <w:rsid w:val="00130DDB"/>
    <w:rsid w:val="0013168D"/>
    <w:rsid w:val="0013270B"/>
    <w:rsid w:val="00132760"/>
    <w:rsid w:val="00132A04"/>
    <w:rsid w:val="00132FDE"/>
    <w:rsid w:val="00133047"/>
    <w:rsid w:val="00134F0F"/>
    <w:rsid w:val="00135B6E"/>
    <w:rsid w:val="00136660"/>
    <w:rsid w:val="0013756C"/>
    <w:rsid w:val="00137ECB"/>
    <w:rsid w:val="00140418"/>
    <w:rsid w:val="00141183"/>
    <w:rsid w:val="001412F1"/>
    <w:rsid w:val="0014141C"/>
    <w:rsid w:val="00141B74"/>
    <w:rsid w:val="0014344D"/>
    <w:rsid w:val="00144117"/>
    <w:rsid w:val="00144B32"/>
    <w:rsid w:val="00144E7D"/>
    <w:rsid w:val="001454B0"/>
    <w:rsid w:val="001456CA"/>
    <w:rsid w:val="0014744E"/>
    <w:rsid w:val="00150E6E"/>
    <w:rsid w:val="0015300B"/>
    <w:rsid w:val="00153BB3"/>
    <w:rsid w:val="00153F5B"/>
    <w:rsid w:val="00154714"/>
    <w:rsid w:val="001548F4"/>
    <w:rsid w:val="00154B6C"/>
    <w:rsid w:val="00154DD5"/>
    <w:rsid w:val="00155E89"/>
    <w:rsid w:val="001561E7"/>
    <w:rsid w:val="001563DD"/>
    <w:rsid w:val="00156BA6"/>
    <w:rsid w:val="00156D60"/>
    <w:rsid w:val="00157867"/>
    <w:rsid w:val="00157C86"/>
    <w:rsid w:val="00160936"/>
    <w:rsid w:val="00162B57"/>
    <w:rsid w:val="00163799"/>
    <w:rsid w:val="00164454"/>
    <w:rsid w:val="0016539E"/>
    <w:rsid w:val="00165906"/>
    <w:rsid w:val="00165B41"/>
    <w:rsid w:val="00165E86"/>
    <w:rsid w:val="001669E6"/>
    <w:rsid w:val="001676C1"/>
    <w:rsid w:val="0016786E"/>
    <w:rsid w:val="0017052A"/>
    <w:rsid w:val="00171741"/>
    <w:rsid w:val="00171C93"/>
    <w:rsid w:val="0017219E"/>
    <w:rsid w:val="00174B67"/>
    <w:rsid w:val="00176C2C"/>
    <w:rsid w:val="00176C92"/>
    <w:rsid w:val="00180DF5"/>
    <w:rsid w:val="00183359"/>
    <w:rsid w:val="001833AA"/>
    <w:rsid w:val="00184057"/>
    <w:rsid w:val="00184EE5"/>
    <w:rsid w:val="0018536A"/>
    <w:rsid w:val="00185491"/>
    <w:rsid w:val="00185E03"/>
    <w:rsid w:val="00186D08"/>
    <w:rsid w:val="00187117"/>
    <w:rsid w:val="00187C70"/>
    <w:rsid w:val="00187C98"/>
    <w:rsid w:val="001906ED"/>
    <w:rsid w:val="00192E96"/>
    <w:rsid w:val="00193398"/>
    <w:rsid w:val="00194E1B"/>
    <w:rsid w:val="00196603"/>
    <w:rsid w:val="00196F12"/>
    <w:rsid w:val="00197099"/>
    <w:rsid w:val="001A0FE5"/>
    <w:rsid w:val="001A13D3"/>
    <w:rsid w:val="001A32FE"/>
    <w:rsid w:val="001A3FBA"/>
    <w:rsid w:val="001A4689"/>
    <w:rsid w:val="001A49C1"/>
    <w:rsid w:val="001A4C46"/>
    <w:rsid w:val="001A4D17"/>
    <w:rsid w:val="001A4D82"/>
    <w:rsid w:val="001A6167"/>
    <w:rsid w:val="001A7670"/>
    <w:rsid w:val="001A7B93"/>
    <w:rsid w:val="001B2A23"/>
    <w:rsid w:val="001B3521"/>
    <w:rsid w:val="001B3FFA"/>
    <w:rsid w:val="001B46A2"/>
    <w:rsid w:val="001B6199"/>
    <w:rsid w:val="001B639E"/>
    <w:rsid w:val="001B701E"/>
    <w:rsid w:val="001B7CD9"/>
    <w:rsid w:val="001C0BA8"/>
    <w:rsid w:val="001C1482"/>
    <w:rsid w:val="001C267B"/>
    <w:rsid w:val="001C28C8"/>
    <w:rsid w:val="001C29A3"/>
    <w:rsid w:val="001C36C4"/>
    <w:rsid w:val="001C3F22"/>
    <w:rsid w:val="001C3FF4"/>
    <w:rsid w:val="001C4005"/>
    <w:rsid w:val="001C4A9F"/>
    <w:rsid w:val="001C6961"/>
    <w:rsid w:val="001C6A74"/>
    <w:rsid w:val="001C72A4"/>
    <w:rsid w:val="001D0167"/>
    <w:rsid w:val="001D159D"/>
    <w:rsid w:val="001D184C"/>
    <w:rsid w:val="001D1B5A"/>
    <w:rsid w:val="001D1D1C"/>
    <w:rsid w:val="001D2491"/>
    <w:rsid w:val="001D297B"/>
    <w:rsid w:val="001D3D80"/>
    <w:rsid w:val="001D5BAA"/>
    <w:rsid w:val="001D7FC3"/>
    <w:rsid w:val="001E1746"/>
    <w:rsid w:val="001E1D57"/>
    <w:rsid w:val="001E222B"/>
    <w:rsid w:val="001E2CC8"/>
    <w:rsid w:val="001E2FAF"/>
    <w:rsid w:val="001E311C"/>
    <w:rsid w:val="001E3BC7"/>
    <w:rsid w:val="001E4081"/>
    <w:rsid w:val="001E4D12"/>
    <w:rsid w:val="001E507A"/>
    <w:rsid w:val="001E6658"/>
    <w:rsid w:val="001E7505"/>
    <w:rsid w:val="001E75C2"/>
    <w:rsid w:val="001F0AE2"/>
    <w:rsid w:val="001F1CF6"/>
    <w:rsid w:val="001F1FA5"/>
    <w:rsid w:val="001F2061"/>
    <w:rsid w:val="001F21FE"/>
    <w:rsid w:val="001F2962"/>
    <w:rsid w:val="001F3F05"/>
    <w:rsid w:val="001F3F6F"/>
    <w:rsid w:val="001F428F"/>
    <w:rsid w:val="001F4334"/>
    <w:rsid w:val="001F4681"/>
    <w:rsid w:val="001F4C47"/>
    <w:rsid w:val="001F4DAF"/>
    <w:rsid w:val="001F4F4C"/>
    <w:rsid w:val="001F51C6"/>
    <w:rsid w:val="001F7DD9"/>
    <w:rsid w:val="00200224"/>
    <w:rsid w:val="00200765"/>
    <w:rsid w:val="00201D57"/>
    <w:rsid w:val="00202F54"/>
    <w:rsid w:val="00202FC3"/>
    <w:rsid w:val="00204310"/>
    <w:rsid w:val="002043A5"/>
    <w:rsid w:val="00206AFE"/>
    <w:rsid w:val="00206D90"/>
    <w:rsid w:val="00207ACB"/>
    <w:rsid w:val="00210161"/>
    <w:rsid w:val="0021138F"/>
    <w:rsid w:val="00211E2C"/>
    <w:rsid w:val="002121BF"/>
    <w:rsid w:val="00213FD6"/>
    <w:rsid w:val="00216FCF"/>
    <w:rsid w:val="00217967"/>
    <w:rsid w:val="002204FB"/>
    <w:rsid w:val="0022227B"/>
    <w:rsid w:val="00222565"/>
    <w:rsid w:val="00222F27"/>
    <w:rsid w:val="00223343"/>
    <w:rsid w:val="00224264"/>
    <w:rsid w:val="002244BB"/>
    <w:rsid w:val="0022540E"/>
    <w:rsid w:val="00225F22"/>
    <w:rsid w:val="002260AC"/>
    <w:rsid w:val="002260F0"/>
    <w:rsid w:val="0022644A"/>
    <w:rsid w:val="00230A5C"/>
    <w:rsid w:val="00230AFA"/>
    <w:rsid w:val="00230F52"/>
    <w:rsid w:val="002310E9"/>
    <w:rsid w:val="00231229"/>
    <w:rsid w:val="00231A33"/>
    <w:rsid w:val="0023257A"/>
    <w:rsid w:val="002338E7"/>
    <w:rsid w:val="002339CF"/>
    <w:rsid w:val="002347A9"/>
    <w:rsid w:val="0023592F"/>
    <w:rsid w:val="00235AFB"/>
    <w:rsid w:val="00235D27"/>
    <w:rsid w:val="00236145"/>
    <w:rsid w:val="0023696E"/>
    <w:rsid w:val="00236A22"/>
    <w:rsid w:val="00236E4C"/>
    <w:rsid w:val="0024015B"/>
    <w:rsid w:val="00242CCF"/>
    <w:rsid w:val="00243808"/>
    <w:rsid w:val="00245CDB"/>
    <w:rsid w:val="00247DDB"/>
    <w:rsid w:val="0025124D"/>
    <w:rsid w:val="00252DB6"/>
    <w:rsid w:val="002536BD"/>
    <w:rsid w:val="0025380C"/>
    <w:rsid w:val="0025415C"/>
    <w:rsid w:val="0025554E"/>
    <w:rsid w:val="002555B4"/>
    <w:rsid w:val="0025574F"/>
    <w:rsid w:val="00255B27"/>
    <w:rsid w:val="00256539"/>
    <w:rsid w:val="0025671D"/>
    <w:rsid w:val="00257136"/>
    <w:rsid w:val="00260673"/>
    <w:rsid w:val="002609A5"/>
    <w:rsid w:val="0026151F"/>
    <w:rsid w:val="00261ACB"/>
    <w:rsid w:val="00267E3F"/>
    <w:rsid w:val="00270238"/>
    <w:rsid w:val="00270CF6"/>
    <w:rsid w:val="0027108D"/>
    <w:rsid w:val="00271206"/>
    <w:rsid w:val="002718F7"/>
    <w:rsid w:val="00271B79"/>
    <w:rsid w:val="00272FEB"/>
    <w:rsid w:val="002754B8"/>
    <w:rsid w:val="00276212"/>
    <w:rsid w:val="002767C9"/>
    <w:rsid w:val="002768A8"/>
    <w:rsid w:val="002769FE"/>
    <w:rsid w:val="002772B6"/>
    <w:rsid w:val="0028008C"/>
    <w:rsid w:val="00280BC2"/>
    <w:rsid w:val="00281CDD"/>
    <w:rsid w:val="00281DC6"/>
    <w:rsid w:val="00282518"/>
    <w:rsid w:val="00282A2F"/>
    <w:rsid w:val="002835D7"/>
    <w:rsid w:val="0028378A"/>
    <w:rsid w:val="0028392F"/>
    <w:rsid w:val="0028412E"/>
    <w:rsid w:val="002847BE"/>
    <w:rsid w:val="00285C69"/>
    <w:rsid w:val="00285C85"/>
    <w:rsid w:val="00286957"/>
    <w:rsid w:val="002870E7"/>
    <w:rsid w:val="002879E5"/>
    <w:rsid w:val="00287A12"/>
    <w:rsid w:val="00290076"/>
    <w:rsid w:val="002907E9"/>
    <w:rsid w:val="00290A6F"/>
    <w:rsid w:val="00290F59"/>
    <w:rsid w:val="00292858"/>
    <w:rsid w:val="00292ED3"/>
    <w:rsid w:val="002933A6"/>
    <w:rsid w:val="00293AE5"/>
    <w:rsid w:val="00293D06"/>
    <w:rsid w:val="00294DD9"/>
    <w:rsid w:val="00294F74"/>
    <w:rsid w:val="00295BB8"/>
    <w:rsid w:val="002963CF"/>
    <w:rsid w:val="00297C04"/>
    <w:rsid w:val="00297C86"/>
    <w:rsid w:val="002A01FB"/>
    <w:rsid w:val="002A043A"/>
    <w:rsid w:val="002A35B8"/>
    <w:rsid w:val="002A53D9"/>
    <w:rsid w:val="002A55CC"/>
    <w:rsid w:val="002A5FBB"/>
    <w:rsid w:val="002A681E"/>
    <w:rsid w:val="002A7E62"/>
    <w:rsid w:val="002B0765"/>
    <w:rsid w:val="002B0F7B"/>
    <w:rsid w:val="002B17AF"/>
    <w:rsid w:val="002B2204"/>
    <w:rsid w:val="002B27B1"/>
    <w:rsid w:val="002B3FF5"/>
    <w:rsid w:val="002B401C"/>
    <w:rsid w:val="002B4437"/>
    <w:rsid w:val="002B4970"/>
    <w:rsid w:val="002B4B4F"/>
    <w:rsid w:val="002B6AC7"/>
    <w:rsid w:val="002B6E20"/>
    <w:rsid w:val="002B730B"/>
    <w:rsid w:val="002B7F77"/>
    <w:rsid w:val="002C0B1B"/>
    <w:rsid w:val="002C0E8B"/>
    <w:rsid w:val="002C27E2"/>
    <w:rsid w:val="002C31E9"/>
    <w:rsid w:val="002C3D59"/>
    <w:rsid w:val="002C3E0C"/>
    <w:rsid w:val="002C443F"/>
    <w:rsid w:val="002C4532"/>
    <w:rsid w:val="002C60A1"/>
    <w:rsid w:val="002C6544"/>
    <w:rsid w:val="002C77FA"/>
    <w:rsid w:val="002C7CFA"/>
    <w:rsid w:val="002D3056"/>
    <w:rsid w:val="002D62EF"/>
    <w:rsid w:val="002D67A5"/>
    <w:rsid w:val="002E09F0"/>
    <w:rsid w:val="002E0DAB"/>
    <w:rsid w:val="002E18E1"/>
    <w:rsid w:val="002E1C1D"/>
    <w:rsid w:val="002E21F3"/>
    <w:rsid w:val="002E382E"/>
    <w:rsid w:val="002E4CEA"/>
    <w:rsid w:val="002E557C"/>
    <w:rsid w:val="002E579D"/>
    <w:rsid w:val="002E5CF2"/>
    <w:rsid w:val="002E6710"/>
    <w:rsid w:val="002E73B2"/>
    <w:rsid w:val="002E77AF"/>
    <w:rsid w:val="002E79AA"/>
    <w:rsid w:val="002E7A1C"/>
    <w:rsid w:val="002E7F60"/>
    <w:rsid w:val="002F0072"/>
    <w:rsid w:val="002F068E"/>
    <w:rsid w:val="002F0CE0"/>
    <w:rsid w:val="002F2736"/>
    <w:rsid w:val="002F28BC"/>
    <w:rsid w:val="002F2BC9"/>
    <w:rsid w:val="002F35AD"/>
    <w:rsid w:val="002F5604"/>
    <w:rsid w:val="002F7173"/>
    <w:rsid w:val="003008E2"/>
    <w:rsid w:val="003016CD"/>
    <w:rsid w:val="00301FC6"/>
    <w:rsid w:val="00302BC2"/>
    <w:rsid w:val="00302D24"/>
    <w:rsid w:val="00303864"/>
    <w:rsid w:val="00303AC3"/>
    <w:rsid w:val="0030444C"/>
    <w:rsid w:val="00304985"/>
    <w:rsid w:val="00304A92"/>
    <w:rsid w:val="00305C4E"/>
    <w:rsid w:val="00305FA4"/>
    <w:rsid w:val="00306FAF"/>
    <w:rsid w:val="003079C5"/>
    <w:rsid w:val="00307E24"/>
    <w:rsid w:val="00310DFC"/>
    <w:rsid w:val="003114D8"/>
    <w:rsid w:val="00312B2C"/>
    <w:rsid w:val="00312C78"/>
    <w:rsid w:val="0031312F"/>
    <w:rsid w:val="00313209"/>
    <w:rsid w:val="003138B6"/>
    <w:rsid w:val="00313CD1"/>
    <w:rsid w:val="0031438B"/>
    <w:rsid w:val="00314C1B"/>
    <w:rsid w:val="00314C9A"/>
    <w:rsid w:val="00315196"/>
    <w:rsid w:val="003152A4"/>
    <w:rsid w:val="003152CC"/>
    <w:rsid w:val="003162A6"/>
    <w:rsid w:val="00317AD5"/>
    <w:rsid w:val="003209DC"/>
    <w:rsid w:val="00321163"/>
    <w:rsid w:val="0032193C"/>
    <w:rsid w:val="0032209E"/>
    <w:rsid w:val="00322143"/>
    <w:rsid w:val="00322E0F"/>
    <w:rsid w:val="00323A16"/>
    <w:rsid w:val="00323BD8"/>
    <w:rsid w:val="00323C04"/>
    <w:rsid w:val="003244A9"/>
    <w:rsid w:val="00324699"/>
    <w:rsid w:val="00324805"/>
    <w:rsid w:val="0032526C"/>
    <w:rsid w:val="00325BCD"/>
    <w:rsid w:val="00325CA0"/>
    <w:rsid w:val="0032659C"/>
    <w:rsid w:val="0032705F"/>
    <w:rsid w:val="00330B12"/>
    <w:rsid w:val="00330E9D"/>
    <w:rsid w:val="003310A7"/>
    <w:rsid w:val="003324AA"/>
    <w:rsid w:val="003325B9"/>
    <w:rsid w:val="00332C90"/>
    <w:rsid w:val="00333228"/>
    <w:rsid w:val="003335AC"/>
    <w:rsid w:val="003336AD"/>
    <w:rsid w:val="00333B5D"/>
    <w:rsid w:val="00334D7A"/>
    <w:rsid w:val="0033618F"/>
    <w:rsid w:val="00336826"/>
    <w:rsid w:val="003368B8"/>
    <w:rsid w:val="003374FE"/>
    <w:rsid w:val="00337FDD"/>
    <w:rsid w:val="00340B45"/>
    <w:rsid w:val="003412E6"/>
    <w:rsid w:val="003452FE"/>
    <w:rsid w:val="00345A5A"/>
    <w:rsid w:val="003460DF"/>
    <w:rsid w:val="00346A0C"/>
    <w:rsid w:val="00346FC5"/>
    <w:rsid w:val="00347123"/>
    <w:rsid w:val="00350003"/>
    <w:rsid w:val="00350941"/>
    <w:rsid w:val="0035132C"/>
    <w:rsid w:val="00351B9E"/>
    <w:rsid w:val="00351C0F"/>
    <w:rsid w:val="00351EFD"/>
    <w:rsid w:val="00352C07"/>
    <w:rsid w:val="00352FCF"/>
    <w:rsid w:val="003532EE"/>
    <w:rsid w:val="00353F28"/>
    <w:rsid w:val="00354152"/>
    <w:rsid w:val="00354153"/>
    <w:rsid w:val="00354A3F"/>
    <w:rsid w:val="00354AA1"/>
    <w:rsid w:val="00355530"/>
    <w:rsid w:val="00355BAF"/>
    <w:rsid w:val="00356CEC"/>
    <w:rsid w:val="00357627"/>
    <w:rsid w:val="00360233"/>
    <w:rsid w:val="00360C94"/>
    <w:rsid w:val="00360CE9"/>
    <w:rsid w:val="00361534"/>
    <w:rsid w:val="003621D0"/>
    <w:rsid w:val="0036282E"/>
    <w:rsid w:val="0036389F"/>
    <w:rsid w:val="00363C1C"/>
    <w:rsid w:val="00364639"/>
    <w:rsid w:val="003651FE"/>
    <w:rsid w:val="0036554A"/>
    <w:rsid w:val="00367E27"/>
    <w:rsid w:val="003702E1"/>
    <w:rsid w:val="003708F3"/>
    <w:rsid w:val="00370DAA"/>
    <w:rsid w:val="00371869"/>
    <w:rsid w:val="003718C8"/>
    <w:rsid w:val="00371A81"/>
    <w:rsid w:val="0037303F"/>
    <w:rsid w:val="003733C3"/>
    <w:rsid w:val="00373FDD"/>
    <w:rsid w:val="00374D87"/>
    <w:rsid w:val="00377167"/>
    <w:rsid w:val="003805C8"/>
    <w:rsid w:val="0038198C"/>
    <w:rsid w:val="00382055"/>
    <w:rsid w:val="00383BC1"/>
    <w:rsid w:val="00383E7D"/>
    <w:rsid w:val="0038430A"/>
    <w:rsid w:val="0038465C"/>
    <w:rsid w:val="00385F12"/>
    <w:rsid w:val="00386A80"/>
    <w:rsid w:val="00387953"/>
    <w:rsid w:val="00387C1E"/>
    <w:rsid w:val="00387F57"/>
    <w:rsid w:val="00391031"/>
    <w:rsid w:val="003911C4"/>
    <w:rsid w:val="00392187"/>
    <w:rsid w:val="0039273E"/>
    <w:rsid w:val="00392F6F"/>
    <w:rsid w:val="0039399B"/>
    <w:rsid w:val="0039481D"/>
    <w:rsid w:val="00394C81"/>
    <w:rsid w:val="00395344"/>
    <w:rsid w:val="00396198"/>
    <w:rsid w:val="00397452"/>
    <w:rsid w:val="003A02C2"/>
    <w:rsid w:val="003A04BB"/>
    <w:rsid w:val="003A0EC9"/>
    <w:rsid w:val="003A130F"/>
    <w:rsid w:val="003A13F1"/>
    <w:rsid w:val="003A245A"/>
    <w:rsid w:val="003A536F"/>
    <w:rsid w:val="003A56E6"/>
    <w:rsid w:val="003A5F3E"/>
    <w:rsid w:val="003A6161"/>
    <w:rsid w:val="003A658D"/>
    <w:rsid w:val="003A6BB6"/>
    <w:rsid w:val="003A7154"/>
    <w:rsid w:val="003A755D"/>
    <w:rsid w:val="003B06C8"/>
    <w:rsid w:val="003B0719"/>
    <w:rsid w:val="003B0748"/>
    <w:rsid w:val="003B3205"/>
    <w:rsid w:val="003B4B18"/>
    <w:rsid w:val="003B4CF5"/>
    <w:rsid w:val="003B53C9"/>
    <w:rsid w:val="003B5C73"/>
    <w:rsid w:val="003B60F1"/>
    <w:rsid w:val="003B6724"/>
    <w:rsid w:val="003B6C79"/>
    <w:rsid w:val="003B6FF9"/>
    <w:rsid w:val="003B7C7E"/>
    <w:rsid w:val="003C0126"/>
    <w:rsid w:val="003C1271"/>
    <w:rsid w:val="003C32C6"/>
    <w:rsid w:val="003C3F8B"/>
    <w:rsid w:val="003C4E7B"/>
    <w:rsid w:val="003C50A6"/>
    <w:rsid w:val="003C5186"/>
    <w:rsid w:val="003C6F0E"/>
    <w:rsid w:val="003C7700"/>
    <w:rsid w:val="003C7A32"/>
    <w:rsid w:val="003D2DC4"/>
    <w:rsid w:val="003D4E51"/>
    <w:rsid w:val="003D5014"/>
    <w:rsid w:val="003D54AA"/>
    <w:rsid w:val="003D5987"/>
    <w:rsid w:val="003D5A3F"/>
    <w:rsid w:val="003D5AD4"/>
    <w:rsid w:val="003D62B3"/>
    <w:rsid w:val="003D77B5"/>
    <w:rsid w:val="003D7AAA"/>
    <w:rsid w:val="003D7DDB"/>
    <w:rsid w:val="003D7F64"/>
    <w:rsid w:val="003E0AE8"/>
    <w:rsid w:val="003E189C"/>
    <w:rsid w:val="003E212D"/>
    <w:rsid w:val="003E2B5C"/>
    <w:rsid w:val="003E4719"/>
    <w:rsid w:val="003E4F67"/>
    <w:rsid w:val="003E55D0"/>
    <w:rsid w:val="003E6E98"/>
    <w:rsid w:val="003E6F9B"/>
    <w:rsid w:val="003E76CD"/>
    <w:rsid w:val="003F10B5"/>
    <w:rsid w:val="003F199C"/>
    <w:rsid w:val="003F19D1"/>
    <w:rsid w:val="003F2E1B"/>
    <w:rsid w:val="003F3136"/>
    <w:rsid w:val="003F3153"/>
    <w:rsid w:val="003F38E2"/>
    <w:rsid w:val="003F440B"/>
    <w:rsid w:val="003F4EE8"/>
    <w:rsid w:val="003F586A"/>
    <w:rsid w:val="003F6044"/>
    <w:rsid w:val="003F638B"/>
    <w:rsid w:val="003F6A65"/>
    <w:rsid w:val="003F6BEC"/>
    <w:rsid w:val="003F7977"/>
    <w:rsid w:val="003F797F"/>
    <w:rsid w:val="003F7FE1"/>
    <w:rsid w:val="00400BFF"/>
    <w:rsid w:val="00403726"/>
    <w:rsid w:val="0040474C"/>
    <w:rsid w:val="00405724"/>
    <w:rsid w:val="00406A67"/>
    <w:rsid w:val="00407C12"/>
    <w:rsid w:val="00407E1C"/>
    <w:rsid w:val="004117A1"/>
    <w:rsid w:val="0041199F"/>
    <w:rsid w:val="00411FEF"/>
    <w:rsid w:val="004121E2"/>
    <w:rsid w:val="00412433"/>
    <w:rsid w:val="0041361E"/>
    <w:rsid w:val="00416172"/>
    <w:rsid w:val="004205CF"/>
    <w:rsid w:val="0042208B"/>
    <w:rsid w:val="00423567"/>
    <w:rsid w:val="00424E27"/>
    <w:rsid w:val="00426276"/>
    <w:rsid w:val="00426A1C"/>
    <w:rsid w:val="00426D05"/>
    <w:rsid w:val="00427FB8"/>
    <w:rsid w:val="00427FFD"/>
    <w:rsid w:val="004301E5"/>
    <w:rsid w:val="00430449"/>
    <w:rsid w:val="00431B90"/>
    <w:rsid w:val="00431CD2"/>
    <w:rsid w:val="0043328B"/>
    <w:rsid w:val="00433FB8"/>
    <w:rsid w:val="004352B5"/>
    <w:rsid w:val="004362F5"/>
    <w:rsid w:val="004365F6"/>
    <w:rsid w:val="00437A97"/>
    <w:rsid w:val="00437C3C"/>
    <w:rsid w:val="00437CDF"/>
    <w:rsid w:val="004401E7"/>
    <w:rsid w:val="00441A67"/>
    <w:rsid w:val="00441E16"/>
    <w:rsid w:val="00442357"/>
    <w:rsid w:val="00443530"/>
    <w:rsid w:val="00443886"/>
    <w:rsid w:val="00443D67"/>
    <w:rsid w:val="00443EAA"/>
    <w:rsid w:val="004449D1"/>
    <w:rsid w:val="004452F5"/>
    <w:rsid w:val="00445448"/>
    <w:rsid w:val="00445459"/>
    <w:rsid w:val="004457D2"/>
    <w:rsid w:val="00445E6E"/>
    <w:rsid w:val="0044689F"/>
    <w:rsid w:val="0044708C"/>
    <w:rsid w:val="0044741D"/>
    <w:rsid w:val="0044745B"/>
    <w:rsid w:val="00450309"/>
    <w:rsid w:val="00451D7F"/>
    <w:rsid w:val="00452104"/>
    <w:rsid w:val="00453D38"/>
    <w:rsid w:val="00457041"/>
    <w:rsid w:val="0045733A"/>
    <w:rsid w:val="00457B7E"/>
    <w:rsid w:val="00460978"/>
    <w:rsid w:val="00460A5E"/>
    <w:rsid w:val="00461069"/>
    <w:rsid w:val="004612A2"/>
    <w:rsid w:val="004612B4"/>
    <w:rsid w:val="0046226A"/>
    <w:rsid w:val="00462E20"/>
    <w:rsid w:val="00463225"/>
    <w:rsid w:val="00463DC1"/>
    <w:rsid w:val="00464489"/>
    <w:rsid w:val="004647DB"/>
    <w:rsid w:val="0046592A"/>
    <w:rsid w:val="00466C23"/>
    <w:rsid w:val="004675FE"/>
    <w:rsid w:val="00467B14"/>
    <w:rsid w:val="0047129E"/>
    <w:rsid w:val="0047163D"/>
    <w:rsid w:val="0047182D"/>
    <w:rsid w:val="00472A7D"/>
    <w:rsid w:val="00473141"/>
    <w:rsid w:val="004733E0"/>
    <w:rsid w:val="00473B03"/>
    <w:rsid w:val="00473D67"/>
    <w:rsid w:val="004743E6"/>
    <w:rsid w:val="004748D9"/>
    <w:rsid w:val="004749C3"/>
    <w:rsid w:val="004757A7"/>
    <w:rsid w:val="004813D9"/>
    <w:rsid w:val="00481467"/>
    <w:rsid w:val="00481F70"/>
    <w:rsid w:val="00482189"/>
    <w:rsid w:val="0048285A"/>
    <w:rsid w:val="0048311F"/>
    <w:rsid w:val="004838F8"/>
    <w:rsid w:val="0048402E"/>
    <w:rsid w:val="004843B3"/>
    <w:rsid w:val="00484545"/>
    <w:rsid w:val="00484D1B"/>
    <w:rsid w:val="00484D5A"/>
    <w:rsid w:val="00486488"/>
    <w:rsid w:val="00486DF6"/>
    <w:rsid w:val="00486E72"/>
    <w:rsid w:val="00487465"/>
    <w:rsid w:val="00490D3C"/>
    <w:rsid w:val="004932D5"/>
    <w:rsid w:val="00494A16"/>
    <w:rsid w:val="00494D75"/>
    <w:rsid w:val="004964E9"/>
    <w:rsid w:val="00497B88"/>
    <w:rsid w:val="004A1163"/>
    <w:rsid w:val="004A15BD"/>
    <w:rsid w:val="004A30F0"/>
    <w:rsid w:val="004A31AD"/>
    <w:rsid w:val="004A3628"/>
    <w:rsid w:val="004A6EA1"/>
    <w:rsid w:val="004A78D7"/>
    <w:rsid w:val="004B1A4E"/>
    <w:rsid w:val="004B1B25"/>
    <w:rsid w:val="004B1B52"/>
    <w:rsid w:val="004B1B6D"/>
    <w:rsid w:val="004B2AC0"/>
    <w:rsid w:val="004B3565"/>
    <w:rsid w:val="004B43CE"/>
    <w:rsid w:val="004B5BA9"/>
    <w:rsid w:val="004B749F"/>
    <w:rsid w:val="004C04FE"/>
    <w:rsid w:val="004C061D"/>
    <w:rsid w:val="004C0E82"/>
    <w:rsid w:val="004C0EAE"/>
    <w:rsid w:val="004C1730"/>
    <w:rsid w:val="004C1E4C"/>
    <w:rsid w:val="004C2104"/>
    <w:rsid w:val="004C3166"/>
    <w:rsid w:val="004C590E"/>
    <w:rsid w:val="004D17C7"/>
    <w:rsid w:val="004D1F3B"/>
    <w:rsid w:val="004D21BB"/>
    <w:rsid w:val="004D2971"/>
    <w:rsid w:val="004D30C7"/>
    <w:rsid w:val="004D3265"/>
    <w:rsid w:val="004D36EF"/>
    <w:rsid w:val="004D47C6"/>
    <w:rsid w:val="004D4A01"/>
    <w:rsid w:val="004D5070"/>
    <w:rsid w:val="004D6446"/>
    <w:rsid w:val="004D6666"/>
    <w:rsid w:val="004D681E"/>
    <w:rsid w:val="004D7996"/>
    <w:rsid w:val="004D7B5C"/>
    <w:rsid w:val="004E0B32"/>
    <w:rsid w:val="004E105D"/>
    <w:rsid w:val="004E1514"/>
    <w:rsid w:val="004E1C1E"/>
    <w:rsid w:val="004E234C"/>
    <w:rsid w:val="004E3707"/>
    <w:rsid w:val="004E3966"/>
    <w:rsid w:val="004E3B9E"/>
    <w:rsid w:val="004E4252"/>
    <w:rsid w:val="004E5149"/>
    <w:rsid w:val="004E5FA2"/>
    <w:rsid w:val="004E6992"/>
    <w:rsid w:val="004E701F"/>
    <w:rsid w:val="004E71D4"/>
    <w:rsid w:val="004E7C60"/>
    <w:rsid w:val="004F08C4"/>
    <w:rsid w:val="004F0F56"/>
    <w:rsid w:val="004F1A52"/>
    <w:rsid w:val="004F4087"/>
    <w:rsid w:val="00500D1E"/>
    <w:rsid w:val="0050106D"/>
    <w:rsid w:val="005025DF"/>
    <w:rsid w:val="00505CBF"/>
    <w:rsid w:val="0050744D"/>
    <w:rsid w:val="005077C1"/>
    <w:rsid w:val="00507B02"/>
    <w:rsid w:val="00511728"/>
    <w:rsid w:val="005134E9"/>
    <w:rsid w:val="00514026"/>
    <w:rsid w:val="00517033"/>
    <w:rsid w:val="00520429"/>
    <w:rsid w:val="00520BAE"/>
    <w:rsid w:val="005238AD"/>
    <w:rsid w:val="00523D0D"/>
    <w:rsid w:val="0052467C"/>
    <w:rsid w:val="00525212"/>
    <w:rsid w:val="0052566A"/>
    <w:rsid w:val="00525CDB"/>
    <w:rsid w:val="005279F8"/>
    <w:rsid w:val="00527ECF"/>
    <w:rsid w:val="00530A89"/>
    <w:rsid w:val="00531230"/>
    <w:rsid w:val="00531F25"/>
    <w:rsid w:val="00532D9A"/>
    <w:rsid w:val="00535E42"/>
    <w:rsid w:val="00536881"/>
    <w:rsid w:val="005378D4"/>
    <w:rsid w:val="00540521"/>
    <w:rsid w:val="0054052F"/>
    <w:rsid w:val="00542C09"/>
    <w:rsid w:val="00542CC6"/>
    <w:rsid w:val="0054549B"/>
    <w:rsid w:val="005454B4"/>
    <w:rsid w:val="00546128"/>
    <w:rsid w:val="00546BE9"/>
    <w:rsid w:val="005513BE"/>
    <w:rsid w:val="0055327C"/>
    <w:rsid w:val="0055396B"/>
    <w:rsid w:val="00555254"/>
    <w:rsid w:val="00555288"/>
    <w:rsid w:val="00555FA5"/>
    <w:rsid w:val="005564AF"/>
    <w:rsid w:val="005570AB"/>
    <w:rsid w:val="005575DA"/>
    <w:rsid w:val="00560DF1"/>
    <w:rsid w:val="00561EF8"/>
    <w:rsid w:val="005626EC"/>
    <w:rsid w:val="005637F8"/>
    <w:rsid w:val="00564305"/>
    <w:rsid w:val="005644D3"/>
    <w:rsid w:val="0056476E"/>
    <w:rsid w:val="0056503F"/>
    <w:rsid w:val="005654D8"/>
    <w:rsid w:val="00566F34"/>
    <w:rsid w:val="00567607"/>
    <w:rsid w:val="00567FF8"/>
    <w:rsid w:val="00571F94"/>
    <w:rsid w:val="005720C9"/>
    <w:rsid w:val="005740AB"/>
    <w:rsid w:val="00574901"/>
    <w:rsid w:val="00574A16"/>
    <w:rsid w:val="00575136"/>
    <w:rsid w:val="00575629"/>
    <w:rsid w:val="005773C3"/>
    <w:rsid w:val="0058055A"/>
    <w:rsid w:val="00581286"/>
    <w:rsid w:val="0058185C"/>
    <w:rsid w:val="00582496"/>
    <w:rsid w:val="0058289E"/>
    <w:rsid w:val="00584172"/>
    <w:rsid w:val="0058477A"/>
    <w:rsid w:val="00584BAC"/>
    <w:rsid w:val="00587841"/>
    <w:rsid w:val="00587C37"/>
    <w:rsid w:val="00587FFB"/>
    <w:rsid w:val="00592361"/>
    <w:rsid w:val="005968DB"/>
    <w:rsid w:val="005973DC"/>
    <w:rsid w:val="00597417"/>
    <w:rsid w:val="005A00E1"/>
    <w:rsid w:val="005A060D"/>
    <w:rsid w:val="005A0A4B"/>
    <w:rsid w:val="005A1959"/>
    <w:rsid w:val="005A1A3E"/>
    <w:rsid w:val="005A2FB5"/>
    <w:rsid w:val="005A37BB"/>
    <w:rsid w:val="005A42EA"/>
    <w:rsid w:val="005A460E"/>
    <w:rsid w:val="005A520B"/>
    <w:rsid w:val="005A6323"/>
    <w:rsid w:val="005A666A"/>
    <w:rsid w:val="005A68B9"/>
    <w:rsid w:val="005B0161"/>
    <w:rsid w:val="005B0877"/>
    <w:rsid w:val="005B0A48"/>
    <w:rsid w:val="005B3118"/>
    <w:rsid w:val="005B3204"/>
    <w:rsid w:val="005B349C"/>
    <w:rsid w:val="005B50F1"/>
    <w:rsid w:val="005B57F1"/>
    <w:rsid w:val="005B5B19"/>
    <w:rsid w:val="005B5BC1"/>
    <w:rsid w:val="005B62B6"/>
    <w:rsid w:val="005B65F3"/>
    <w:rsid w:val="005B66B3"/>
    <w:rsid w:val="005B7421"/>
    <w:rsid w:val="005B7ED9"/>
    <w:rsid w:val="005C00AC"/>
    <w:rsid w:val="005C0EF9"/>
    <w:rsid w:val="005C118D"/>
    <w:rsid w:val="005C1B1C"/>
    <w:rsid w:val="005C30B1"/>
    <w:rsid w:val="005C3891"/>
    <w:rsid w:val="005C38C5"/>
    <w:rsid w:val="005C3DFB"/>
    <w:rsid w:val="005C5455"/>
    <w:rsid w:val="005C7F49"/>
    <w:rsid w:val="005D18E2"/>
    <w:rsid w:val="005D1D60"/>
    <w:rsid w:val="005D23DC"/>
    <w:rsid w:val="005D25C7"/>
    <w:rsid w:val="005D4A5E"/>
    <w:rsid w:val="005D51CE"/>
    <w:rsid w:val="005D5BC1"/>
    <w:rsid w:val="005D5CF8"/>
    <w:rsid w:val="005D610B"/>
    <w:rsid w:val="005D699F"/>
    <w:rsid w:val="005D7E97"/>
    <w:rsid w:val="005E0935"/>
    <w:rsid w:val="005E1A70"/>
    <w:rsid w:val="005E1C40"/>
    <w:rsid w:val="005E2516"/>
    <w:rsid w:val="005E57C2"/>
    <w:rsid w:val="005E7201"/>
    <w:rsid w:val="005E7899"/>
    <w:rsid w:val="005F00C0"/>
    <w:rsid w:val="005F0654"/>
    <w:rsid w:val="005F06A2"/>
    <w:rsid w:val="005F073A"/>
    <w:rsid w:val="005F1150"/>
    <w:rsid w:val="005F19A4"/>
    <w:rsid w:val="005F2501"/>
    <w:rsid w:val="005F70B1"/>
    <w:rsid w:val="005F72B4"/>
    <w:rsid w:val="005F7A46"/>
    <w:rsid w:val="00600170"/>
    <w:rsid w:val="006027CC"/>
    <w:rsid w:val="00602BFB"/>
    <w:rsid w:val="00603059"/>
    <w:rsid w:val="006034BE"/>
    <w:rsid w:val="006036C2"/>
    <w:rsid w:val="00605357"/>
    <w:rsid w:val="0060574C"/>
    <w:rsid w:val="00606DFE"/>
    <w:rsid w:val="006071EE"/>
    <w:rsid w:val="0060725B"/>
    <w:rsid w:val="006077E3"/>
    <w:rsid w:val="0060788C"/>
    <w:rsid w:val="0061095D"/>
    <w:rsid w:val="0061258F"/>
    <w:rsid w:val="00612A87"/>
    <w:rsid w:val="00613700"/>
    <w:rsid w:val="0061375A"/>
    <w:rsid w:val="00613A04"/>
    <w:rsid w:val="00613E84"/>
    <w:rsid w:val="00614305"/>
    <w:rsid w:val="00614A5B"/>
    <w:rsid w:val="00614D94"/>
    <w:rsid w:val="006168A6"/>
    <w:rsid w:val="00616B67"/>
    <w:rsid w:val="00617022"/>
    <w:rsid w:val="00617691"/>
    <w:rsid w:val="00617D0C"/>
    <w:rsid w:val="00621C79"/>
    <w:rsid w:val="00623FD3"/>
    <w:rsid w:val="0062608B"/>
    <w:rsid w:val="00626A97"/>
    <w:rsid w:val="0062795A"/>
    <w:rsid w:val="00632438"/>
    <w:rsid w:val="00633764"/>
    <w:rsid w:val="00633F03"/>
    <w:rsid w:val="006347BC"/>
    <w:rsid w:val="00634A5E"/>
    <w:rsid w:val="00635049"/>
    <w:rsid w:val="00635802"/>
    <w:rsid w:val="00635F5C"/>
    <w:rsid w:val="00636AA2"/>
    <w:rsid w:val="006424CF"/>
    <w:rsid w:val="00642720"/>
    <w:rsid w:val="0064285F"/>
    <w:rsid w:val="00642EAF"/>
    <w:rsid w:val="00645E6A"/>
    <w:rsid w:val="00646141"/>
    <w:rsid w:val="0064631B"/>
    <w:rsid w:val="0064660E"/>
    <w:rsid w:val="0064691A"/>
    <w:rsid w:val="00646C27"/>
    <w:rsid w:val="00646F9B"/>
    <w:rsid w:val="00646FB9"/>
    <w:rsid w:val="00650477"/>
    <w:rsid w:val="006505EF"/>
    <w:rsid w:val="006514F7"/>
    <w:rsid w:val="0065224B"/>
    <w:rsid w:val="006529A9"/>
    <w:rsid w:val="00653740"/>
    <w:rsid w:val="00653874"/>
    <w:rsid w:val="00653D11"/>
    <w:rsid w:val="006554BE"/>
    <w:rsid w:val="006572C1"/>
    <w:rsid w:val="00657547"/>
    <w:rsid w:val="00663F0F"/>
    <w:rsid w:val="00664403"/>
    <w:rsid w:val="006651E0"/>
    <w:rsid w:val="00665205"/>
    <w:rsid w:val="006657ED"/>
    <w:rsid w:val="00666169"/>
    <w:rsid w:val="006662F9"/>
    <w:rsid w:val="00667012"/>
    <w:rsid w:val="00667C11"/>
    <w:rsid w:val="00667D01"/>
    <w:rsid w:val="00670357"/>
    <w:rsid w:val="006707B7"/>
    <w:rsid w:val="0067098E"/>
    <w:rsid w:val="006730A9"/>
    <w:rsid w:val="00673D3A"/>
    <w:rsid w:val="006740DD"/>
    <w:rsid w:val="00677BF2"/>
    <w:rsid w:val="00677D37"/>
    <w:rsid w:val="00681112"/>
    <w:rsid w:val="0068118C"/>
    <w:rsid w:val="00681D31"/>
    <w:rsid w:val="00683158"/>
    <w:rsid w:val="006834A5"/>
    <w:rsid w:val="0068437C"/>
    <w:rsid w:val="00684ED0"/>
    <w:rsid w:val="0068531C"/>
    <w:rsid w:val="00685354"/>
    <w:rsid w:val="00685454"/>
    <w:rsid w:val="0068711F"/>
    <w:rsid w:val="00690081"/>
    <w:rsid w:val="00690985"/>
    <w:rsid w:val="00691EC2"/>
    <w:rsid w:val="006921A7"/>
    <w:rsid w:val="006931EB"/>
    <w:rsid w:val="00693237"/>
    <w:rsid w:val="006936BE"/>
    <w:rsid w:val="00693727"/>
    <w:rsid w:val="006943EC"/>
    <w:rsid w:val="00694DDD"/>
    <w:rsid w:val="00696029"/>
    <w:rsid w:val="0069645F"/>
    <w:rsid w:val="006964DC"/>
    <w:rsid w:val="006979E5"/>
    <w:rsid w:val="006A1C97"/>
    <w:rsid w:val="006A247D"/>
    <w:rsid w:val="006A28EB"/>
    <w:rsid w:val="006A2EE8"/>
    <w:rsid w:val="006A3229"/>
    <w:rsid w:val="006A33E7"/>
    <w:rsid w:val="006A57AD"/>
    <w:rsid w:val="006A6374"/>
    <w:rsid w:val="006A7E44"/>
    <w:rsid w:val="006B0672"/>
    <w:rsid w:val="006B166C"/>
    <w:rsid w:val="006B4395"/>
    <w:rsid w:val="006B567F"/>
    <w:rsid w:val="006B5F68"/>
    <w:rsid w:val="006B648A"/>
    <w:rsid w:val="006B6BE8"/>
    <w:rsid w:val="006B6DE1"/>
    <w:rsid w:val="006B6E58"/>
    <w:rsid w:val="006B7073"/>
    <w:rsid w:val="006C09DD"/>
    <w:rsid w:val="006C09E2"/>
    <w:rsid w:val="006C0BE8"/>
    <w:rsid w:val="006C22B1"/>
    <w:rsid w:val="006C41CE"/>
    <w:rsid w:val="006C4433"/>
    <w:rsid w:val="006C4B86"/>
    <w:rsid w:val="006C59EF"/>
    <w:rsid w:val="006C6008"/>
    <w:rsid w:val="006C73D9"/>
    <w:rsid w:val="006C7D97"/>
    <w:rsid w:val="006D0539"/>
    <w:rsid w:val="006D1741"/>
    <w:rsid w:val="006D1E72"/>
    <w:rsid w:val="006D2D66"/>
    <w:rsid w:val="006D4E64"/>
    <w:rsid w:val="006D5422"/>
    <w:rsid w:val="006D5AB2"/>
    <w:rsid w:val="006D5FDD"/>
    <w:rsid w:val="006E01AC"/>
    <w:rsid w:val="006E01BC"/>
    <w:rsid w:val="006E0BEF"/>
    <w:rsid w:val="006E1600"/>
    <w:rsid w:val="006E1C0F"/>
    <w:rsid w:val="006E383C"/>
    <w:rsid w:val="006E38E1"/>
    <w:rsid w:val="006E3EEC"/>
    <w:rsid w:val="006E6420"/>
    <w:rsid w:val="006F0BA3"/>
    <w:rsid w:val="006F0C90"/>
    <w:rsid w:val="006F14CC"/>
    <w:rsid w:val="006F1E0E"/>
    <w:rsid w:val="006F3574"/>
    <w:rsid w:val="006F47DB"/>
    <w:rsid w:val="006F4EA4"/>
    <w:rsid w:val="006F503B"/>
    <w:rsid w:val="006F5414"/>
    <w:rsid w:val="006F6888"/>
    <w:rsid w:val="006F7680"/>
    <w:rsid w:val="007002F7"/>
    <w:rsid w:val="007011A7"/>
    <w:rsid w:val="00701922"/>
    <w:rsid w:val="00702289"/>
    <w:rsid w:val="00702F8A"/>
    <w:rsid w:val="00706CBC"/>
    <w:rsid w:val="00706F6D"/>
    <w:rsid w:val="007104EF"/>
    <w:rsid w:val="0071160E"/>
    <w:rsid w:val="007116A1"/>
    <w:rsid w:val="007121EC"/>
    <w:rsid w:val="00712E46"/>
    <w:rsid w:val="007138E8"/>
    <w:rsid w:val="00713F3E"/>
    <w:rsid w:val="0071485E"/>
    <w:rsid w:val="0071556B"/>
    <w:rsid w:val="0071590D"/>
    <w:rsid w:val="00716420"/>
    <w:rsid w:val="007164F9"/>
    <w:rsid w:val="0071788F"/>
    <w:rsid w:val="00720928"/>
    <w:rsid w:val="00721949"/>
    <w:rsid w:val="00722095"/>
    <w:rsid w:val="007235EE"/>
    <w:rsid w:val="00723F47"/>
    <w:rsid w:val="00724145"/>
    <w:rsid w:val="007243B4"/>
    <w:rsid w:val="00724BCE"/>
    <w:rsid w:val="00724ED0"/>
    <w:rsid w:val="007271E0"/>
    <w:rsid w:val="00727392"/>
    <w:rsid w:val="00727669"/>
    <w:rsid w:val="007304A8"/>
    <w:rsid w:val="007310C1"/>
    <w:rsid w:val="00731743"/>
    <w:rsid w:val="007327A6"/>
    <w:rsid w:val="00732F36"/>
    <w:rsid w:val="007334B1"/>
    <w:rsid w:val="0073601C"/>
    <w:rsid w:val="0073621B"/>
    <w:rsid w:val="00737983"/>
    <w:rsid w:val="0074018E"/>
    <w:rsid w:val="007409C7"/>
    <w:rsid w:val="00740D84"/>
    <w:rsid w:val="00740EB8"/>
    <w:rsid w:val="0074118C"/>
    <w:rsid w:val="00741BB2"/>
    <w:rsid w:val="00742109"/>
    <w:rsid w:val="00742638"/>
    <w:rsid w:val="0074444D"/>
    <w:rsid w:val="0074644E"/>
    <w:rsid w:val="007468B9"/>
    <w:rsid w:val="007469A9"/>
    <w:rsid w:val="007477BA"/>
    <w:rsid w:val="007479C9"/>
    <w:rsid w:val="00747A84"/>
    <w:rsid w:val="00747AA3"/>
    <w:rsid w:val="00747F24"/>
    <w:rsid w:val="00750576"/>
    <w:rsid w:val="0075100A"/>
    <w:rsid w:val="00752894"/>
    <w:rsid w:val="007528CB"/>
    <w:rsid w:val="007535B2"/>
    <w:rsid w:val="007544E3"/>
    <w:rsid w:val="00754DFF"/>
    <w:rsid w:val="00755741"/>
    <w:rsid w:val="00755D8F"/>
    <w:rsid w:val="007604C6"/>
    <w:rsid w:val="007609CF"/>
    <w:rsid w:val="0076164F"/>
    <w:rsid w:val="00761AD5"/>
    <w:rsid w:val="00761AD9"/>
    <w:rsid w:val="00761AFA"/>
    <w:rsid w:val="007632F0"/>
    <w:rsid w:val="007636F8"/>
    <w:rsid w:val="00764157"/>
    <w:rsid w:val="00764EA5"/>
    <w:rsid w:val="007653DF"/>
    <w:rsid w:val="00766859"/>
    <w:rsid w:val="00767571"/>
    <w:rsid w:val="00767CB6"/>
    <w:rsid w:val="00767CC9"/>
    <w:rsid w:val="00770724"/>
    <w:rsid w:val="00770753"/>
    <w:rsid w:val="00770795"/>
    <w:rsid w:val="00773097"/>
    <w:rsid w:val="00773662"/>
    <w:rsid w:val="00773D0E"/>
    <w:rsid w:val="007743A2"/>
    <w:rsid w:val="007757CF"/>
    <w:rsid w:val="00776D96"/>
    <w:rsid w:val="00777A54"/>
    <w:rsid w:val="00777E6B"/>
    <w:rsid w:val="00777FF4"/>
    <w:rsid w:val="00780C07"/>
    <w:rsid w:val="00780DB7"/>
    <w:rsid w:val="00780FA6"/>
    <w:rsid w:val="0078161F"/>
    <w:rsid w:val="007816DB"/>
    <w:rsid w:val="00781EBC"/>
    <w:rsid w:val="007821BE"/>
    <w:rsid w:val="007824DD"/>
    <w:rsid w:val="00782524"/>
    <w:rsid w:val="00782B99"/>
    <w:rsid w:val="00782C6F"/>
    <w:rsid w:val="00783FCF"/>
    <w:rsid w:val="0078402E"/>
    <w:rsid w:val="00784139"/>
    <w:rsid w:val="00785620"/>
    <w:rsid w:val="00786475"/>
    <w:rsid w:val="007874F1"/>
    <w:rsid w:val="00787875"/>
    <w:rsid w:val="00787987"/>
    <w:rsid w:val="00790A2C"/>
    <w:rsid w:val="00792C0F"/>
    <w:rsid w:val="00793DCA"/>
    <w:rsid w:val="007960EB"/>
    <w:rsid w:val="0079619F"/>
    <w:rsid w:val="007963FB"/>
    <w:rsid w:val="007A0015"/>
    <w:rsid w:val="007A237A"/>
    <w:rsid w:val="007A2F42"/>
    <w:rsid w:val="007A3115"/>
    <w:rsid w:val="007A3A6A"/>
    <w:rsid w:val="007A45D5"/>
    <w:rsid w:val="007A4C23"/>
    <w:rsid w:val="007A75DD"/>
    <w:rsid w:val="007B05FD"/>
    <w:rsid w:val="007B07B6"/>
    <w:rsid w:val="007B0863"/>
    <w:rsid w:val="007B091E"/>
    <w:rsid w:val="007B0DA2"/>
    <w:rsid w:val="007B2C01"/>
    <w:rsid w:val="007B3312"/>
    <w:rsid w:val="007B5373"/>
    <w:rsid w:val="007B6A3B"/>
    <w:rsid w:val="007B726A"/>
    <w:rsid w:val="007C02A8"/>
    <w:rsid w:val="007C0C98"/>
    <w:rsid w:val="007C1591"/>
    <w:rsid w:val="007C1CE6"/>
    <w:rsid w:val="007C1E69"/>
    <w:rsid w:val="007C1FDA"/>
    <w:rsid w:val="007C2183"/>
    <w:rsid w:val="007C3F34"/>
    <w:rsid w:val="007C4DE4"/>
    <w:rsid w:val="007C51F7"/>
    <w:rsid w:val="007C656A"/>
    <w:rsid w:val="007C6FA5"/>
    <w:rsid w:val="007D012D"/>
    <w:rsid w:val="007D1840"/>
    <w:rsid w:val="007D32FC"/>
    <w:rsid w:val="007D3547"/>
    <w:rsid w:val="007D36E4"/>
    <w:rsid w:val="007D386A"/>
    <w:rsid w:val="007D3AF8"/>
    <w:rsid w:val="007D5CDB"/>
    <w:rsid w:val="007D5F8B"/>
    <w:rsid w:val="007D6096"/>
    <w:rsid w:val="007D64A7"/>
    <w:rsid w:val="007D73D8"/>
    <w:rsid w:val="007E027C"/>
    <w:rsid w:val="007E2262"/>
    <w:rsid w:val="007E259B"/>
    <w:rsid w:val="007E337E"/>
    <w:rsid w:val="007E3A33"/>
    <w:rsid w:val="007E45B1"/>
    <w:rsid w:val="007E461E"/>
    <w:rsid w:val="007E4881"/>
    <w:rsid w:val="007E5609"/>
    <w:rsid w:val="007E6107"/>
    <w:rsid w:val="007E6AF8"/>
    <w:rsid w:val="007E7103"/>
    <w:rsid w:val="007E739A"/>
    <w:rsid w:val="007E7E1B"/>
    <w:rsid w:val="007F08F0"/>
    <w:rsid w:val="007F0C04"/>
    <w:rsid w:val="007F0F9E"/>
    <w:rsid w:val="007F13EE"/>
    <w:rsid w:val="007F141B"/>
    <w:rsid w:val="007F18BC"/>
    <w:rsid w:val="007F1F64"/>
    <w:rsid w:val="007F27EA"/>
    <w:rsid w:val="007F515F"/>
    <w:rsid w:val="007F64CC"/>
    <w:rsid w:val="007F675E"/>
    <w:rsid w:val="007F77DC"/>
    <w:rsid w:val="007F7887"/>
    <w:rsid w:val="008003FE"/>
    <w:rsid w:val="0080117D"/>
    <w:rsid w:val="008012ED"/>
    <w:rsid w:val="00801B9D"/>
    <w:rsid w:val="0080290F"/>
    <w:rsid w:val="00804A9A"/>
    <w:rsid w:val="00804FB2"/>
    <w:rsid w:val="00805467"/>
    <w:rsid w:val="00805B00"/>
    <w:rsid w:val="0080624D"/>
    <w:rsid w:val="00806BAB"/>
    <w:rsid w:val="00807980"/>
    <w:rsid w:val="00807A39"/>
    <w:rsid w:val="008104DD"/>
    <w:rsid w:val="00810EFC"/>
    <w:rsid w:val="00812548"/>
    <w:rsid w:val="00812C24"/>
    <w:rsid w:val="00812F23"/>
    <w:rsid w:val="00813300"/>
    <w:rsid w:val="0081342B"/>
    <w:rsid w:val="00813F14"/>
    <w:rsid w:val="00815364"/>
    <w:rsid w:val="0081602B"/>
    <w:rsid w:val="00816C06"/>
    <w:rsid w:val="0082067F"/>
    <w:rsid w:val="00821144"/>
    <w:rsid w:val="008217AE"/>
    <w:rsid w:val="0082183D"/>
    <w:rsid w:val="00822023"/>
    <w:rsid w:val="00822B62"/>
    <w:rsid w:val="00823739"/>
    <w:rsid w:val="00824471"/>
    <w:rsid w:val="0082480C"/>
    <w:rsid w:val="00825B1B"/>
    <w:rsid w:val="00827D32"/>
    <w:rsid w:val="00831A35"/>
    <w:rsid w:val="00831AAB"/>
    <w:rsid w:val="00831BF7"/>
    <w:rsid w:val="008321B1"/>
    <w:rsid w:val="00832C0E"/>
    <w:rsid w:val="008339EF"/>
    <w:rsid w:val="0083467F"/>
    <w:rsid w:val="0083731D"/>
    <w:rsid w:val="008376C1"/>
    <w:rsid w:val="008377FF"/>
    <w:rsid w:val="008404E4"/>
    <w:rsid w:val="008411D4"/>
    <w:rsid w:val="00841C85"/>
    <w:rsid w:val="0084258F"/>
    <w:rsid w:val="008430DF"/>
    <w:rsid w:val="0084325E"/>
    <w:rsid w:val="00843799"/>
    <w:rsid w:val="008439E1"/>
    <w:rsid w:val="008449D4"/>
    <w:rsid w:val="008449FF"/>
    <w:rsid w:val="00846C29"/>
    <w:rsid w:val="00846D10"/>
    <w:rsid w:val="00850A03"/>
    <w:rsid w:val="008512DA"/>
    <w:rsid w:val="00851937"/>
    <w:rsid w:val="00851A03"/>
    <w:rsid w:val="008529AF"/>
    <w:rsid w:val="0085357F"/>
    <w:rsid w:val="008535A8"/>
    <w:rsid w:val="00854EEF"/>
    <w:rsid w:val="0085597A"/>
    <w:rsid w:val="00857221"/>
    <w:rsid w:val="00857A39"/>
    <w:rsid w:val="00860EBA"/>
    <w:rsid w:val="008615E6"/>
    <w:rsid w:val="008616F3"/>
    <w:rsid w:val="00862E3A"/>
    <w:rsid w:val="00864143"/>
    <w:rsid w:val="00864191"/>
    <w:rsid w:val="00864C20"/>
    <w:rsid w:val="0086566B"/>
    <w:rsid w:val="00866E6F"/>
    <w:rsid w:val="00867D1A"/>
    <w:rsid w:val="00870C32"/>
    <w:rsid w:val="00871A8F"/>
    <w:rsid w:val="00871BEB"/>
    <w:rsid w:val="008723E9"/>
    <w:rsid w:val="0087240F"/>
    <w:rsid w:val="00873108"/>
    <w:rsid w:val="008736BA"/>
    <w:rsid w:val="0087450C"/>
    <w:rsid w:val="00874681"/>
    <w:rsid w:val="00874F66"/>
    <w:rsid w:val="008753A8"/>
    <w:rsid w:val="008753B3"/>
    <w:rsid w:val="00875880"/>
    <w:rsid w:val="00877149"/>
    <w:rsid w:val="00877529"/>
    <w:rsid w:val="0087786C"/>
    <w:rsid w:val="00880212"/>
    <w:rsid w:val="0088026E"/>
    <w:rsid w:val="00880CD2"/>
    <w:rsid w:val="00882FB3"/>
    <w:rsid w:val="00883AC6"/>
    <w:rsid w:val="00883AD7"/>
    <w:rsid w:val="00883D60"/>
    <w:rsid w:val="0088498F"/>
    <w:rsid w:val="00885B6C"/>
    <w:rsid w:val="00885E01"/>
    <w:rsid w:val="00885E1F"/>
    <w:rsid w:val="00885F63"/>
    <w:rsid w:val="008873D8"/>
    <w:rsid w:val="00887DF3"/>
    <w:rsid w:val="0089064B"/>
    <w:rsid w:val="008922C7"/>
    <w:rsid w:val="0089474A"/>
    <w:rsid w:val="00894C90"/>
    <w:rsid w:val="00896173"/>
    <w:rsid w:val="00896B80"/>
    <w:rsid w:val="00896C96"/>
    <w:rsid w:val="0089760A"/>
    <w:rsid w:val="00897DE4"/>
    <w:rsid w:val="008A0C26"/>
    <w:rsid w:val="008A107A"/>
    <w:rsid w:val="008A15BA"/>
    <w:rsid w:val="008A1E4B"/>
    <w:rsid w:val="008A25D5"/>
    <w:rsid w:val="008A2C35"/>
    <w:rsid w:val="008A2E29"/>
    <w:rsid w:val="008A3D1C"/>
    <w:rsid w:val="008A414B"/>
    <w:rsid w:val="008A4EB7"/>
    <w:rsid w:val="008A5346"/>
    <w:rsid w:val="008A55CC"/>
    <w:rsid w:val="008A5B73"/>
    <w:rsid w:val="008A5FF5"/>
    <w:rsid w:val="008A6333"/>
    <w:rsid w:val="008A6539"/>
    <w:rsid w:val="008A70E0"/>
    <w:rsid w:val="008A7AF0"/>
    <w:rsid w:val="008A7E34"/>
    <w:rsid w:val="008A7E70"/>
    <w:rsid w:val="008B1055"/>
    <w:rsid w:val="008B1EBD"/>
    <w:rsid w:val="008B241F"/>
    <w:rsid w:val="008B338E"/>
    <w:rsid w:val="008B5EBD"/>
    <w:rsid w:val="008C066A"/>
    <w:rsid w:val="008C0BE8"/>
    <w:rsid w:val="008C1B6F"/>
    <w:rsid w:val="008C3322"/>
    <w:rsid w:val="008C40CA"/>
    <w:rsid w:val="008C45FF"/>
    <w:rsid w:val="008C46A0"/>
    <w:rsid w:val="008C5AE2"/>
    <w:rsid w:val="008C779F"/>
    <w:rsid w:val="008C7F20"/>
    <w:rsid w:val="008D1522"/>
    <w:rsid w:val="008D218B"/>
    <w:rsid w:val="008D2A39"/>
    <w:rsid w:val="008D3E19"/>
    <w:rsid w:val="008D4CB7"/>
    <w:rsid w:val="008D52D1"/>
    <w:rsid w:val="008D6C94"/>
    <w:rsid w:val="008D7711"/>
    <w:rsid w:val="008E00F2"/>
    <w:rsid w:val="008E289A"/>
    <w:rsid w:val="008E4327"/>
    <w:rsid w:val="008E47C1"/>
    <w:rsid w:val="008E4905"/>
    <w:rsid w:val="008E4C4A"/>
    <w:rsid w:val="008E6AAF"/>
    <w:rsid w:val="008E6B20"/>
    <w:rsid w:val="008E739F"/>
    <w:rsid w:val="008E74A4"/>
    <w:rsid w:val="008E74A8"/>
    <w:rsid w:val="008E7CDE"/>
    <w:rsid w:val="008F0365"/>
    <w:rsid w:val="008F0888"/>
    <w:rsid w:val="008F1AFC"/>
    <w:rsid w:val="008F1DF3"/>
    <w:rsid w:val="008F294B"/>
    <w:rsid w:val="008F2E85"/>
    <w:rsid w:val="008F3BDC"/>
    <w:rsid w:val="008F3CBE"/>
    <w:rsid w:val="008F55C0"/>
    <w:rsid w:val="008F5CC2"/>
    <w:rsid w:val="008F5F8F"/>
    <w:rsid w:val="008F678A"/>
    <w:rsid w:val="008F6892"/>
    <w:rsid w:val="00900679"/>
    <w:rsid w:val="00900B4D"/>
    <w:rsid w:val="009026DD"/>
    <w:rsid w:val="00902E2D"/>
    <w:rsid w:val="00902E40"/>
    <w:rsid w:val="00906F30"/>
    <w:rsid w:val="00910FF8"/>
    <w:rsid w:val="00911808"/>
    <w:rsid w:val="009119D1"/>
    <w:rsid w:val="009121E2"/>
    <w:rsid w:val="00912519"/>
    <w:rsid w:val="00912985"/>
    <w:rsid w:val="00912E21"/>
    <w:rsid w:val="00913C74"/>
    <w:rsid w:val="00913EF7"/>
    <w:rsid w:val="00914B69"/>
    <w:rsid w:val="009162CD"/>
    <w:rsid w:val="00920E4D"/>
    <w:rsid w:val="00921669"/>
    <w:rsid w:val="00921FB0"/>
    <w:rsid w:val="0092208B"/>
    <w:rsid w:val="00922F93"/>
    <w:rsid w:val="009233E9"/>
    <w:rsid w:val="00924130"/>
    <w:rsid w:val="00924214"/>
    <w:rsid w:val="0092595B"/>
    <w:rsid w:val="00926513"/>
    <w:rsid w:val="00926638"/>
    <w:rsid w:val="00926967"/>
    <w:rsid w:val="009277DE"/>
    <w:rsid w:val="00930D09"/>
    <w:rsid w:val="00932031"/>
    <w:rsid w:val="00932D64"/>
    <w:rsid w:val="00932F4D"/>
    <w:rsid w:val="009333A9"/>
    <w:rsid w:val="009336FC"/>
    <w:rsid w:val="00933850"/>
    <w:rsid w:val="0093393B"/>
    <w:rsid w:val="00935DDB"/>
    <w:rsid w:val="00935EA8"/>
    <w:rsid w:val="0093631C"/>
    <w:rsid w:val="00936AA3"/>
    <w:rsid w:val="00937E39"/>
    <w:rsid w:val="00937EAA"/>
    <w:rsid w:val="00940535"/>
    <w:rsid w:val="0094088D"/>
    <w:rsid w:val="00941021"/>
    <w:rsid w:val="009422A0"/>
    <w:rsid w:val="00942571"/>
    <w:rsid w:val="009430D5"/>
    <w:rsid w:val="0094386E"/>
    <w:rsid w:val="00943FA8"/>
    <w:rsid w:val="00944155"/>
    <w:rsid w:val="009448B7"/>
    <w:rsid w:val="00946936"/>
    <w:rsid w:val="00947152"/>
    <w:rsid w:val="0094754B"/>
    <w:rsid w:val="00947F03"/>
    <w:rsid w:val="00951169"/>
    <w:rsid w:val="00951246"/>
    <w:rsid w:val="00952D2F"/>
    <w:rsid w:val="00953ADD"/>
    <w:rsid w:val="00953D44"/>
    <w:rsid w:val="00953D53"/>
    <w:rsid w:val="0095501E"/>
    <w:rsid w:val="009558D9"/>
    <w:rsid w:val="00956360"/>
    <w:rsid w:val="00956B24"/>
    <w:rsid w:val="00957439"/>
    <w:rsid w:val="00957665"/>
    <w:rsid w:val="009602E2"/>
    <w:rsid w:val="0096044F"/>
    <w:rsid w:val="009605D0"/>
    <w:rsid w:val="00960F52"/>
    <w:rsid w:val="00961539"/>
    <w:rsid w:val="00961940"/>
    <w:rsid w:val="00961BC5"/>
    <w:rsid w:val="00961DDA"/>
    <w:rsid w:val="00963C5B"/>
    <w:rsid w:val="009642F0"/>
    <w:rsid w:val="009645E7"/>
    <w:rsid w:val="009654F6"/>
    <w:rsid w:val="0096635D"/>
    <w:rsid w:val="009672A5"/>
    <w:rsid w:val="00970A18"/>
    <w:rsid w:val="009711D9"/>
    <w:rsid w:val="009716D4"/>
    <w:rsid w:val="00972A19"/>
    <w:rsid w:val="009733D4"/>
    <w:rsid w:val="009735E8"/>
    <w:rsid w:val="00974078"/>
    <w:rsid w:val="0097583F"/>
    <w:rsid w:val="00977BBD"/>
    <w:rsid w:val="009801AC"/>
    <w:rsid w:val="0098037A"/>
    <w:rsid w:val="00982527"/>
    <w:rsid w:val="00982A64"/>
    <w:rsid w:val="009839D7"/>
    <w:rsid w:val="00984DB0"/>
    <w:rsid w:val="009862CA"/>
    <w:rsid w:val="00986A47"/>
    <w:rsid w:val="00987CDC"/>
    <w:rsid w:val="00987D2F"/>
    <w:rsid w:val="00987F0B"/>
    <w:rsid w:val="009901DB"/>
    <w:rsid w:val="00991023"/>
    <w:rsid w:val="0099120E"/>
    <w:rsid w:val="0099136C"/>
    <w:rsid w:val="00991F70"/>
    <w:rsid w:val="00992054"/>
    <w:rsid w:val="009925B1"/>
    <w:rsid w:val="009928B7"/>
    <w:rsid w:val="00993235"/>
    <w:rsid w:val="00993482"/>
    <w:rsid w:val="00993C83"/>
    <w:rsid w:val="00994802"/>
    <w:rsid w:val="00994D37"/>
    <w:rsid w:val="009A0BB5"/>
    <w:rsid w:val="009A0D7F"/>
    <w:rsid w:val="009A14BF"/>
    <w:rsid w:val="009A1E55"/>
    <w:rsid w:val="009A25AF"/>
    <w:rsid w:val="009A2AC8"/>
    <w:rsid w:val="009A2B1F"/>
    <w:rsid w:val="009A2BEF"/>
    <w:rsid w:val="009A3993"/>
    <w:rsid w:val="009A3E60"/>
    <w:rsid w:val="009A43B5"/>
    <w:rsid w:val="009A466D"/>
    <w:rsid w:val="009A4D4F"/>
    <w:rsid w:val="009A537B"/>
    <w:rsid w:val="009A5FD6"/>
    <w:rsid w:val="009B0909"/>
    <w:rsid w:val="009B0D02"/>
    <w:rsid w:val="009B2142"/>
    <w:rsid w:val="009B320B"/>
    <w:rsid w:val="009B3CF1"/>
    <w:rsid w:val="009B4316"/>
    <w:rsid w:val="009B454F"/>
    <w:rsid w:val="009B459E"/>
    <w:rsid w:val="009B5927"/>
    <w:rsid w:val="009B6A61"/>
    <w:rsid w:val="009B7282"/>
    <w:rsid w:val="009B7C34"/>
    <w:rsid w:val="009C0493"/>
    <w:rsid w:val="009C089D"/>
    <w:rsid w:val="009C119E"/>
    <w:rsid w:val="009C14EE"/>
    <w:rsid w:val="009C1709"/>
    <w:rsid w:val="009C2FD0"/>
    <w:rsid w:val="009C43A5"/>
    <w:rsid w:val="009C44E8"/>
    <w:rsid w:val="009C45B4"/>
    <w:rsid w:val="009C4B8D"/>
    <w:rsid w:val="009C56DC"/>
    <w:rsid w:val="009C5806"/>
    <w:rsid w:val="009C59DE"/>
    <w:rsid w:val="009C61C6"/>
    <w:rsid w:val="009C66B2"/>
    <w:rsid w:val="009C685E"/>
    <w:rsid w:val="009C71C5"/>
    <w:rsid w:val="009C7857"/>
    <w:rsid w:val="009D0DC3"/>
    <w:rsid w:val="009D2E68"/>
    <w:rsid w:val="009D336A"/>
    <w:rsid w:val="009D472A"/>
    <w:rsid w:val="009D5277"/>
    <w:rsid w:val="009D5C31"/>
    <w:rsid w:val="009D7C64"/>
    <w:rsid w:val="009D7F79"/>
    <w:rsid w:val="009E1805"/>
    <w:rsid w:val="009E1AA4"/>
    <w:rsid w:val="009E1C80"/>
    <w:rsid w:val="009E3377"/>
    <w:rsid w:val="009E5073"/>
    <w:rsid w:val="009E5746"/>
    <w:rsid w:val="009E5A45"/>
    <w:rsid w:val="009E5F19"/>
    <w:rsid w:val="009E62CC"/>
    <w:rsid w:val="009F0273"/>
    <w:rsid w:val="009F02D5"/>
    <w:rsid w:val="009F05B8"/>
    <w:rsid w:val="009F1E60"/>
    <w:rsid w:val="009F35CA"/>
    <w:rsid w:val="009F3DA6"/>
    <w:rsid w:val="009F4355"/>
    <w:rsid w:val="009F47BB"/>
    <w:rsid w:val="009F4839"/>
    <w:rsid w:val="009F5251"/>
    <w:rsid w:val="009F609F"/>
    <w:rsid w:val="009F70C7"/>
    <w:rsid w:val="009F7AA2"/>
    <w:rsid w:val="009F7B6A"/>
    <w:rsid w:val="009F7F6E"/>
    <w:rsid w:val="00A00EAF"/>
    <w:rsid w:val="00A01279"/>
    <w:rsid w:val="00A01834"/>
    <w:rsid w:val="00A031DA"/>
    <w:rsid w:val="00A0332E"/>
    <w:rsid w:val="00A03ECE"/>
    <w:rsid w:val="00A03EDC"/>
    <w:rsid w:val="00A0402A"/>
    <w:rsid w:val="00A052B4"/>
    <w:rsid w:val="00A0668D"/>
    <w:rsid w:val="00A06E8C"/>
    <w:rsid w:val="00A07452"/>
    <w:rsid w:val="00A10FB9"/>
    <w:rsid w:val="00A1485A"/>
    <w:rsid w:val="00A14A7B"/>
    <w:rsid w:val="00A14BAE"/>
    <w:rsid w:val="00A15377"/>
    <w:rsid w:val="00A15A6F"/>
    <w:rsid w:val="00A16122"/>
    <w:rsid w:val="00A1632C"/>
    <w:rsid w:val="00A17272"/>
    <w:rsid w:val="00A20CBA"/>
    <w:rsid w:val="00A22084"/>
    <w:rsid w:val="00A2248C"/>
    <w:rsid w:val="00A234AF"/>
    <w:rsid w:val="00A23A41"/>
    <w:rsid w:val="00A24E5B"/>
    <w:rsid w:val="00A25047"/>
    <w:rsid w:val="00A25172"/>
    <w:rsid w:val="00A2524F"/>
    <w:rsid w:val="00A25E21"/>
    <w:rsid w:val="00A26128"/>
    <w:rsid w:val="00A26152"/>
    <w:rsid w:val="00A2686D"/>
    <w:rsid w:val="00A26DBE"/>
    <w:rsid w:val="00A27436"/>
    <w:rsid w:val="00A27DE8"/>
    <w:rsid w:val="00A300BB"/>
    <w:rsid w:val="00A30233"/>
    <w:rsid w:val="00A3026D"/>
    <w:rsid w:val="00A30675"/>
    <w:rsid w:val="00A30B6A"/>
    <w:rsid w:val="00A3153F"/>
    <w:rsid w:val="00A315E6"/>
    <w:rsid w:val="00A31653"/>
    <w:rsid w:val="00A31902"/>
    <w:rsid w:val="00A32CBD"/>
    <w:rsid w:val="00A36066"/>
    <w:rsid w:val="00A365F7"/>
    <w:rsid w:val="00A36BED"/>
    <w:rsid w:val="00A36D21"/>
    <w:rsid w:val="00A37E4B"/>
    <w:rsid w:val="00A403BF"/>
    <w:rsid w:val="00A40F69"/>
    <w:rsid w:val="00A41FC9"/>
    <w:rsid w:val="00A42485"/>
    <w:rsid w:val="00A42500"/>
    <w:rsid w:val="00A42852"/>
    <w:rsid w:val="00A42951"/>
    <w:rsid w:val="00A4539C"/>
    <w:rsid w:val="00A518F2"/>
    <w:rsid w:val="00A51A2F"/>
    <w:rsid w:val="00A51A88"/>
    <w:rsid w:val="00A51BD0"/>
    <w:rsid w:val="00A52184"/>
    <w:rsid w:val="00A527BB"/>
    <w:rsid w:val="00A53626"/>
    <w:rsid w:val="00A541AB"/>
    <w:rsid w:val="00A54E98"/>
    <w:rsid w:val="00A556FD"/>
    <w:rsid w:val="00A56C39"/>
    <w:rsid w:val="00A57411"/>
    <w:rsid w:val="00A60D72"/>
    <w:rsid w:val="00A61867"/>
    <w:rsid w:val="00A627BC"/>
    <w:rsid w:val="00A62E9B"/>
    <w:rsid w:val="00A634EB"/>
    <w:rsid w:val="00A63A16"/>
    <w:rsid w:val="00A643E2"/>
    <w:rsid w:val="00A64594"/>
    <w:rsid w:val="00A645A5"/>
    <w:rsid w:val="00A64BA7"/>
    <w:rsid w:val="00A64E55"/>
    <w:rsid w:val="00A66301"/>
    <w:rsid w:val="00A663A2"/>
    <w:rsid w:val="00A669CA"/>
    <w:rsid w:val="00A669F6"/>
    <w:rsid w:val="00A66D02"/>
    <w:rsid w:val="00A66F01"/>
    <w:rsid w:val="00A67BA0"/>
    <w:rsid w:val="00A70FDE"/>
    <w:rsid w:val="00A737B9"/>
    <w:rsid w:val="00A73A39"/>
    <w:rsid w:val="00A73E67"/>
    <w:rsid w:val="00A74D3D"/>
    <w:rsid w:val="00A74DE0"/>
    <w:rsid w:val="00A771BC"/>
    <w:rsid w:val="00A77A8F"/>
    <w:rsid w:val="00A80087"/>
    <w:rsid w:val="00A806F4"/>
    <w:rsid w:val="00A807C9"/>
    <w:rsid w:val="00A819A2"/>
    <w:rsid w:val="00A81A0E"/>
    <w:rsid w:val="00A81C40"/>
    <w:rsid w:val="00A822B5"/>
    <w:rsid w:val="00A8297F"/>
    <w:rsid w:val="00A831F9"/>
    <w:rsid w:val="00A835A8"/>
    <w:rsid w:val="00A84A62"/>
    <w:rsid w:val="00A84EFE"/>
    <w:rsid w:val="00A8645A"/>
    <w:rsid w:val="00A86DD2"/>
    <w:rsid w:val="00A909FD"/>
    <w:rsid w:val="00A90D22"/>
    <w:rsid w:val="00A90E13"/>
    <w:rsid w:val="00A920A4"/>
    <w:rsid w:val="00A92128"/>
    <w:rsid w:val="00A927BB"/>
    <w:rsid w:val="00A9323A"/>
    <w:rsid w:val="00A93C88"/>
    <w:rsid w:val="00A94DAB"/>
    <w:rsid w:val="00A968ED"/>
    <w:rsid w:val="00AA032C"/>
    <w:rsid w:val="00AA0A5B"/>
    <w:rsid w:val="00AA2022"/>
    <w:rsid w:val="00AA27DB"/>
    <w:rsid w:val="00AA3429"/>
    <w:rsid w:val="00AA3569"/>
    <w:rsid w:val="00AA6FAA"/>
    <w:rsid w:val="00AB101C"/>
    <w:rsid w:val="00AB1B77"/>
    <w:rsid w:val="00AB2251"/>
    <w:rsid w:val="00AB273D"/>
    <w:rsid w:val="00AB4600"/>
    <w:rsid w:val="00AB4BBC"/>
    <w:rsid w:val="00AB5774"/>
    <w:rsid w:val="00AB5C15"/>
    <w:rsid w:val="00AB6B39"/>
    <w:rsid w:val="00AB72C8"/>
    <w:rsid w:val="00AB743E"/>
    <w:rsid w:val="00AB7A6C"/>
    <w:rsid w:val="00AC0FA2"/>
    <w:rsid w:val="00AC1466"/>
    <w:rsid w:val="00AC1742"/>
    <w:rsid w:val="00AC17FC"/>
    <w:rsid w:val="00AC2357"/>
    <w:rsid w:val="00AC306D"/>
    <w:rsid w:val="00AC41A5"/>
    <w:rsid w:val="00AC578C"/>
    <w:rsid w:val="00AC635E"/>
    <w:rsid w:val="00AC6410"/>
    <w:rsid w:val="00AC688B"/>
    <w:rsid w:val="00AC6FD2"/>
    <w:rsid w:val="00AC73B4"/>
    <w:rsid w:val="00AD03E1"/>
    <w:rsid w:val="00AD0880"/>
    <w:rsid w:val="00AD0995"/>
    <w:rsid w:val="00AD0F0F"/>
    <w:rsid w:val="00AD1C75"/>
    <w:rsid w:val="00AD25B4"/>
    <w:rsid w:val="00AD25F1"/>
    <w:rsid w:val="00AD26F0"/>
    <w:rsid w:val="00AD29AF"/>
    <w:rsid w:val="00AD2DC6"/>
    <w:rsid w:val="00AD42CB"/>
    <w:rsid w:val="00AD47F3"/>
    <w:rsid w:val="00AD5308"/>
    <w:rsid w:val="00AD5DD9"/>
    <w:rsid w:val="00AD7287"/>
    <w:rsid w:val="00AD7764"/>
    <w:rsid w:val="00AD7BF2"/>
    <w:rsid w:val="00AE0E49"/>
    <w:rsid w:val="00AE1763"/>
    <w:rsid w:val="00AE1BDF"/>
    <w:rsid w:val="00AE1E0E"/>
    <w:rsid w:val="00AE20E4"/>
    <w:rsid w:val="00AE2715"/>
    <w:rsid w:val="00AE34C8"/>
    <w:rsid w:val="00AE34E5"/>
    <w:rsid w:val="00AE4E85"/>
    <w:rsid w:val="00AE5E7B"/>
    <w:rsid w:val="00AE65DF"/>
    <w:rsid w:val="00AE7211"/>
    <w:rsid w:val="00AF0058"/>
    <w:rsid w:val="00AF0412"/>
    <w:rsid w:val="00AF05E8"/>
    <w:rsid w:val="00AF0718"/>
    <w:rsid w:val="00AF0940"/>
    <w:rsid w:val="00AF0B07"/>
    <w:rsid w:val="00AF0F94"/>
    <w:rsid w:val="00AF111A"/>
    <w:rsid w:val="00AF2401"/>
    <w:rsid w:val="00AF56BC"/>
    <w:rsid w:val="00AF710A"/>
    <w:rsid w:val="00B00506"/>
    <w:rsid w:val="00B0295A"/>
    <w:rsid w:val="00B0307B"/>
    <w:rsid w:val="00B034D6"/>
    <w:rsid w:val="00B04E15"/>
    <w:rsid w:val="00B050B4"/>
    <w:rsid w:val="00B057F6"/>
    <w:rsid w:val="00B05F0C"/>
    <w:rsid w:val="00B072CB"/>
    <w:rsid w:val="00B07805"/>
    <w:rsid w:val="00B13D41"/>
    <w:rsid w:val="00B13D5A"/>
    <w:rsid w:val="00B14D81"/>
    <w:rsid w:val="00B156B7"/>
    <w:rsid w:val="00B165DF"/>
    <w:rsid w:val="00B16D67"/>
    <w:rsid w:val="00B17184"/>
    <w:rsid w:val="00B173C1"/>
    <w:rsid w:val="00B17FFD"/>
    <w:rsid w:val="00B2020C"/>
    <w:rsid w:val="00B20D06"/>
    <w:rsid w:val="00B21139"/>
    <w:rsid w:val="00B217B0"/>
    <w:rsid w:val="00B228C7"/>
    <w:rsid w:val="00B22C77"/>
    <w:rsid w:val="00B231BB"/>
    <w:rsid w:val="00B2394B"/>
    <w:rsid w:val="00B268C8"/>
    <w:rsid w:val="00B27D8E"/>
    <w:rsid w:val="00B27EEF"/>
    <w:rsid w:val="00B30267"/>
    <w:rsid w:val="00B316FC"/>
    <w:rsid w:val="00B32645"/>
    <w:rsid w:val="00B32C83"/>
    <w:rsid w:val="00B34CC2"/>
    <w:rsid w:val="00B34EAC"/>
    <w:rsid w:val="00B36BD3"/>
    <w:rsid w:val="00B373D6"/>
    <w:rsid w:val="00B407CD"/>
    <w:rsid w:val="00B410E5"/>
    <w:rsid w:val="00B425B4"/>
    <w:rsid w:val="00B429FF"/>
    <w:rsid w:val="00B42D7B"/>
    <w:rsid w:val="00B43344"/>
    <w:rsid w:val="00B43F9A"/>
    <w:rsid w:val="00B4430D"/>
    <w:rsid w:val="00B44979"/>
    <w:rsid w:val="00B44F99"/>
    <w:rsid w:val="00B44FB1"/>
    <w:rsid w:val="00B45F6B"/>
    <w:rsid w:val="00B46B9A"/>
    <w:rsid w:val="00B46EDC"/>
    <w:rsid w:val="00B4710A"/>
    <w:rsid w:val="00B52BF5"/>
    <w:rsid w:val="00B536E5"/>
    <w:rsid w:val="00B53E8D"/>
    <w:rsid w:val="00B54ED0"/>
    <w:rsid w:val="00B5505B"/>
    <w:rsid w:val="00B55783"/>
    <w:rsid w:val="00B559FD"/>
    <w:rsid w:val="00B5626C"/>
    <w:rsid w:val="00B579FA"/>
    <w:rsid w:val="00B60DB2"/>
    <w:rsid w:val="00B62696"/>
    <w:rsid w:val="00B62770"/>
    <w:rsid w:val="00B63B0D"/>
    <w:rsid w:val="00B652BE"/>
    <w:rsid w:val="00B656D0"/>
    <w:rsid w:val="00B663E7"/>
    <w:rsid w:val="00B66EAB"/>
    <w:rsid w:val="00B66FEC"/>
    <w:rsid w:val="00B67459"/>
    <w:rsid w:val="00B674AD"/>
    <w:rsid w:val="00B70661"/>
    <w:rsid w:val="00B719F7"/>
    <w:rsid w:val="00B72784"/>
    <w:rsid w:val="00B72AE7"/>
    <w:rsid w:val="00B73530"/>
    <w:rsid w:val="00B73B08"/>
    <w:rsid w:val="00B73FA5"/>
    <w:rsid w:val="00B74209"/>
    <w:rsid w:val="00B7433D"/>
    <w:rsid w:val="00B76673"/>
    <w:rsid w:val="00B766C0"/>
    <w:rsid w:val="00B77203"/>
    <w:rsid w:val="00B813B5"/>
    <w:rsid w:val="00B81BA0"/>
    <w:rsid w:val="00B81DCC"/>
    <w:rsid w:val="00B83DCE"/>
    <w:rsid w:val="00B84EBB"/>
    <w:rsid w:val="00B84F69"/>
    <w:rsid w:val="00B853F6"/>
    <w:rsid w:val="00B85BF3"/>
    <w:rsid w:val="00B868DA"/>
    <w:rsid w:val="00B86B8B"/>
    <w:rsid w:val="00B87C52"/>
    <w:rsid w:val="00B9043A"/>
    <w:rsid w:val="00B921C1"/>
    <w:rsid w:val="00B92A3A"/>
    <w:rsid w:val="00B94345"/>
    <w:rsid w:val="00B94513"/>
    <w:rsid w:val="00B945E8"/>
    <w:rsid w:val="00B94840"/>
    <w:rsid w:val="00B94B2A"/>
    <w:rsid w:val="00B95B05"/>
    <w:rsid w:val="00BA047E"/>
    <w:rsid w:val="00BA0BDA"/>
    <w:rsid w:val="00BA1D19"/>
    <w:rsid w:val="00BA1F2A"/>
    <w:rsid w:val="00BA344F"/>
    <w:rsid w:val="00BA38AA"/>
    <w:rsid w:val="00BA394B"/>
    <w:rsid w:val="00BA42C8"/>
    <w:rsid w:val="00BA54A2"/>
    <w:rsid w:val="00BA7D0A"/>
    <w:rsid w:val="00BB1A51"/>
    <w:rsid w:val="00BB2600"/>
    <w:rsid w:val="00BB284B"/>
    <w:rsid w:val="00BB2CAB"/>
    <w:rsid w:val="00BB2CAD"/>
    <w:rsid w:val="00BB3181"/>
    <w:rsid w:val="00BB37F6"/>
    <w:rsid w:val="00BB3C6D"/>
    <w:rsid w:val="00BB45D7"/>
    <w:rsid w:val="00BB4716"/>
    <w:rsid w:val="00BB4B5F"/>
    <w:rsid w:val="00BB548B"/>
    <w:rsid w:val="00BB634D"/>
    <w:rsid w:val="00BB63F2"/>
    <w:rsid w:val="00BB7102"/>
    <w:rsid w:val="00BB7494"/>
    <w:rsid w:val="00BB7624"/>
    <w:rsid w:val="00BB765B"/>
    <w:rsid w:val="00BC00E0"/>
    <w:rsid w:val="00BC0505"/>
    <w:rsid w:val="00BC0C09"/>
    <w:rsid w:val="00BC2319"/>
    <w:rsid w:val="00BC2334"/>
    <w:rsid w:val="00BC292B"/>
    <w:rsid w:val="00BC3C5E"/>
    <w:rsid w:val="00BC452F"/>
    <w:rsid w:val="00BC631A"/>
    <w:rsid w:val="00BD08BF"/>
    <w:rsid w:val="00BD1303"/>
    <w:rsid w:val="00BD1EC9"/>
    <w:rsid w:val="00BD22AC"/>
    <w:rsid w:val="00BD3498"/>
    <w:rsid w:val="00BD3ED9"/>
    <w:rsid w:val="00BD4541"/>
    <w:rsid w:val="00BD4EA5"/>
    <w:rsid w:val="00BD62AD"/>
    <w:rsid w:val="00BE025D"/>
    <w:rsid w:val="00BE21CD"/>
    <w:rsid w:val="00BE24B2"/>
    <w:rsid w:val="00BE2A26"/>
    <w:rsid w:val="00BE5069"/>
    <w:rsid w:val="00BE5799"/>
    <w:rsid w:val="00BE6016"/>
    <w:rsid w:val="00BE61F8"/>
    <w:rsid w:val="00BE6547"/>
    <w:rsid w:val="00BE6986"/>
    <w:rsid w:val="00BE7088"/>
    <w:rsid w:val="00BE796D"/>
    <w:rsid w:val="00BE7E11"/>
    <w:rsid w:val="00BF0063"/>
    <w:rsid w:val="00BF07EF"/>
    <w:rsid w:val="00BF084D"/>
    <w:rsid w:val="00BF3B5B"/>
    <w:rsid w:val="00BF42C5"/>
    <w:rsid w:val="00BF476E"/>
    <w:rsid w:val="00BF478C"/>
    <w:rsid w:val="00BF478F"/>
    <w:rsid w:val="00BF4926"/>
    <w:rsid w:val="00BF4BD5"/>
    <w:rsid w:val="00BF6839"/>
    <w:rsid w:val="00BF7654"/>
    <w:rsid w:val="00C019F1"/>
    <w:rsid w:val="00C01F91"/>
    <w:rsid w:val="00C01F9E"/>
    <w:rsid w:val="00C02012"/>
    <w:rsid w:val="00C025E7"/>
    <w:rsid w:val="00C02D45"/>
    <w:rsid w:val="00C03026"/>
    <w:rsid w:val="00C0365F"/>
    <w:rsid w:val="00C03992"/>
    <w:rsid w:val="00C0423B"/>
    <w:rsid w:val="00C0476A"/>
    <w:rsid w:val="00C04B18"/>
    <w:rsid w:val="00C04DD0"/>
    <w:rsid w:val="00C04E10"/>
    <w:rsid w:val="00C07AB6"/>
    <w:rsid w:val="00C10C88"/>
    <w:rsid w:val="00C11113"/>
    <w:rsid w:val="00C11AEC"/>
    <w:rsid w:val="00C12294"/>
    <w:rsid w:val="00C129C5"/>
    <w:rsid w:val="00C132AD"/>
    <w:rsid w:val="00C146CF"/>
    <w:rsid w:val="00C155A7"/>
    <w:rsid w:val="00C157F8"/>
    <w:rsid w:val="00C1627C"/>
    <w:rsid w:val="00C16BC0"/>
    <w:rsid w:val="00C17529"/>
    <w:rsid w:val="00C175A9"/>
    <w:rsid w:val="00C17781"/>
    <w:rsid w:val="00C2068A"/>
    <w:rsid w:val="00C208D9"/>
    <w:rsid w:val="00C20F21"/>
    <w:rsid w:val="00C22ADB"/>
    <w:rsid w:val="00C22FAD"/>
    <w:rsid w:val="00C231F8"/>
    <w:rsid w:val="00C23697"/>
    <w:rsid w:val="00C23BDF"/>
    <w:rsid w:val="00C253CD"/>
    <w:rsid w:val="00C25B59"/>
    <w:rsid w:val="00C26F0E"/>
    <w:rsid w:val="00C27DC5"/>
    <w:rsid w:val="00C307AC"/>
    <w:rsid w:val="00C30B07"/>
    <w:rsid w:val="00C31CD4"/>
    <w:rsid w:val="00C32B27"/>
    <w:rsid w:val="00C32B7D"/>
    <w:rsid w:val="00C32BB8"/>
    <w:rsid w:val="00C3453C"/>
    <w:rsid w:val="00C36150"/>
    <w:rsid w:val="00C36973"/>
    <w:rsid w:val="00C4039D"/>
    <w:rsid w:val="00C403C9"/>
    <w:rsid w:val="00C40678"/>
    <w:rsid w:val="00C40E38"/>
    <w:rsid w:val="00C41083"/>
    <w:rsid w:val="00C42000"/>
    <w:rsid w:val="00C4307D"/>
    <w:rsid w:val="00C43E78"/>
    <w:rsid w:val="00C44B93"/>
    <w:rsid w:val="00C45610"/>
    <w:rsid w:val="00C45BC2"/>
    <w:rsid w:val="00C4650C"/>
    <w:rsid w:val="00C46726"/>
    <w:rsid w:val="00C4688A"/>
    <w:rsid w:val="00C46897"/>
    <w:rsid w:val="00C46963"/>
    <w:rsid w:val="00C471EB"/>
    <w:rsid w:val="00C50719"/>
    <w:rsid w:val="00C5087C"/>
    <w:rsid w:val="00C5099C"/>
    <w:rsid w:val="00C52290"/>
    <w:rsid w:val="00C527AF"/>
    <w:rsid w:val="00C540D5"/>
    <w:rsid w:val="00C55C8F"/>
    <w:rsid w:val="00C56278"/>
    <w:rsid w:val="00C56895"/>
    <w:rsid w:val="00C5760A"/>
    <w:rsid w:val="00C60A09"/>
    <w:rsid w:val="00C61A16"/>
    <w:rsid w:val="00C61BAA"/>
    <w:rsid w:val="00C6229B"/>
    <w:rsid w:val="00C66450"/>
    <w:rsid w:val="00C67644"/>
    <w:rsid w:val="00C67F4F"/>
    <w:rsid w:val="00C7019F"/>
    <w:rsid w:val="00C70BF0"/>
    <w:rsid w:val="00C711C2"/>
    <w:rsid w:val="00C714CA"/>
    <w:rsid w:val="00C71625"/>
    <w:rsid w:val="00C71976"/>
    <w:rsid w:val="00C722DB"/>
    <w:rsid w:val="00C723C4"/>
    <w:rsid w:val="00C7297C"/>
    <w:rsid w:val="00C72C97"/>
    <w:rsid w:val="00C740F5"/>
    <w:rsid w:val="00C75883"/>
    <w:rsid w:val="00C764E2"/>
    <w:rsid w:val="00C77DD2"/>
    <w:rsid w:val="00C8010D"/>
    <w:rsid w:val="00C80BDF"/>
    <w:rsid w:val="00C80FE9"/>
    <w:rsid w:val="00C83F71"/>
    <w:rsid w:val="00C8400A"/>
    <w:rsid w:val="00C843FE"/>
    <w:rsid w:val="00C84555"/>
    <w:rsid w:val="00C859EF"/>
    <w:rsid w:val="00C87679"/>
    <w:rsid w:val="00C87B7D"/>
    <w:rsid w:val="00C9208E"/>
    <w:rsid w:val="00C92182"/>
    <w:rsid w:val="00C92416"/>
    <w:rsid w:val="00C932F3"/>
    <w:rsid w:val="00C9350F"/>
    <w:rsid w:val="00C94A55"/>
    <w:rsid w:val="00C94C24"/>
    <w:rsid w:val="00C96028"/>
    <w:rsid w:val="00C96F19"/>
    <w:rsid w:val="00C978E4"/>
    <w:rsid w:val="00CA2015"/>
    <w:rsid w:val="00CA34CC"/>
    <w:rsid w:val="00CA5489"/>
    <w:rsid w:val="00CA5B7D"/>
    <w:rsid w:val="00CA5EB5"/>
    <w:rsid w:val="00CA707E"/>
    <w:rsid w:val="00CA77D2"/>
    <w:rsid w:val="00CA788C"/>
    <w:rsid w:val="00CB020C"/>
    <w:rsid w:val="00CB0A6C"/>
    <w:rsid w:val="00CB132C"/>
    <w:rsid w:val="00CB2A58"/>
    <w:rsid w:val="00CB2BC6"/>
    <w:rsid w:val="00CB39B7"/>
    <w:rsid w:val="00CB3D1E"/>
    <w:rsid w:val="00CB462E"/>
    <w:rsid w:val="00CB4B50"/>
    <w:rsid w:val="00CB4E20"/>
    <w:rsid w:val="00CB721D"/>
    <w:rsid w:val="00CB7D8E"/>
    <w:rsid w:val="00CC03AE"/>
    <w:rsid w:val="00CC095A"/>
    <w:rsid w:val="00CC09B7"/>
    <w:rsid w:val="00CC0AF2"/>
    <w:rsid w:val="00CC1B1A"/>
    <w:rsid w:val="00CC20C5"/>
    <w:rsid w:val="00CC22A5"/>
    <w:rsid w:val="00CC2464"/>
    <w:rsid w:val="00CC2931"/>
    <w:rsid w:val="00CC29F7"/>
    <w:rsid w:val="00CC2C55"/>
    <w:rsid w:val="00CC37D1"/>
    <w:rsid w:val="00CC4942"/>
    <w:rsid w:val="00CC7F37"/>
    <w:rsid w:val="00CD066E"/>
    <w:rsid w:val="00CD1896"/>
    <w:rsid w:val="00CD1B7A"/>
    <w:rsid w:val="00CD1C5F"/>
    <w:rsid w:val="00CD2829"/>
    <w:rsid w:val="00CD43F0"/>
    <w:rsid w:val="00CD5748"/>
    <w:rsid w:val="00CD593E"/>
    <w:rsid w:val="00CD6012"/>
    <w:rsid w:val="00CD67F5"/>
    <w:rsid w:val="00CD6CB0"/>
    <w:rsid w:val="00CD6E07"/>
    <w:rsid w:val="00CD75A7"/>
    <w:rsid w:val="00CE04E1"/>
    <w:rsid w:val="00CE33D5"/>
    <w:rsid w:val="00CE375A"/>
    <w:rsid w:val="00CE5511"/>
    <w:rsid w:val="00CE5978"/>
    <w:rsid w:val="00CE6466"/>
    <w:rsid w:val="00CE74E9"/>
    <w:rsid w:val="00CE783C"/>
    <w:rsid w:val="00CE7AB2"/>
    <w:rsid w:val="00CF062C"/>
    <w:rsid w:val="00CF0E81"/>
    <w:rsid w:val="00CF0EBD"/>
    <w:rsid w:val="00CF10E3"/>
    <w:rsid w:val="00CF1EC8"/>
    <w:rsid w:val="00CF3691"/>
    <w:rsid w:val="00CF3DF4"/>
    <w:rsid w:val="00CF3FE6"/>
    <w:rsid w:val="00CF514F"/>
    <w:rsid w:val="00CF5AEE"/>
    <w:rsid w:val="00CF7D3A"/>
    <w:rsid w:val="00CF7EB7"/>
    <w:rsid w:val="00D003E7"/>
    <w:rsid w:val="00D0077A"/>
    <w:rsid w:val="00D0121F"/>
    <w:rsid w:val="00D01237"/>
    <w:rsid w:val="00D02F26"/>
    <w:rsid w:val="00D031C8"/>
    <w:rsid w:val="00D03D35"/>
    <w:rsid w:val="00D04E89"/>
    <w:rsid w:val="00D054CD"/>
    <w:rsid w:val="00D0565A"/>
    <w:rsid w:val="00D056C9"/>
    <w:rsid w:val="00D0641E"/>
    <w:rsid w:val="00D06945"/>
    <w:rsid w:val="00D07ED5"/>
    <w:rsid w:val="00D11FB0"/>
    <w:rsid w:val="00D1329C"/>
    <w:rsid w:val="00D134F3"/>
    <w:rsid w:val="00D13809"/>
    <w:rsid w:val="00D14EE0"/>
    <w:rsid w:val="00D15153"/>
    <w:rsid w:val="00D15257"/>
    <w:rsid w:val="00D15616"/>
    <w:rsid w:val="00D15DA6"/>
    <w:rsid w:val="00D15FC4"/>
    <w:rsid w:val="00D175D9"/>
    <w:rsid w:val="00D17D49"/>
    <w:rsid w:val="00D17DDA"/>
    <w:rsid w:val="00D20FBF"/>
    <w:rsid w:val="00D213DB"/>
    <w:rsid w:val="00D222E2"/>
    <w:rsid w:val="00D2244E"/>
    <w:rsid w:val="00D22FA4"/>
    <w:rsid w:val="00D248F1"/>
    <w:rsid w:val="00D25114"/>
    <w:rsid w:val="00D25F5B"/>
    <w:rsid w:val="00D316F7"/>
    <w:rsid w:val="00D32D05"/>
    <w:rsid w:val="00D32DA4"/>
    <w:rsid w:val="00D33336"/>
    <w:rsid w:val="00D33792"/>
    <w:rsid w:val="00D34C02"/>
    <w:rsid w:val="00D34C88"/>
    <w:rsid w:val="00D36C93"/>
    <w:rsid w:val="00D3774A"/>
    <w:rsid w:val="00D4050F"/>
    <w:rsid w:val="00D40C39"/>
    <w:rsid w:val="00D41ACF"/>
    <w:rsid w:val="00D42DCE"/>
    <w:rsid w:val="00D433B1"/>
    <w:rsid w:val="00D43501"/>
    <w:rsid w:val="00D43FEF"/>
    <w:rsid w:val="00D447C7"/>
    <w:rsid w:val="00D44D49"/>
    <w:rsid w:val="00D4537A"/>
    <w:rsid w:val="00D45710"/>
    <w:rsid w:val="00D461DB"/>
    <w:rsid w:val="00D46D6C"/>
    <w:rsid w:val="00D46F78"/>
    <w:rsid w:val="00D474B3"/>
    <w:rsid w:val="00D51B07"/>
    <w:rsid w:val="00D52771"/>
    <w:rsid w:val="00D53D22"/>
    <w:rsid w:val="00D561B0"/>
    <w:rsid w:val="00D57803"/>
    <w:rsid w:val="00D57921"/>
    <w:rsid w:val="00D6127F"/>
    <w:rsid w:val="00D61372"/>
    <w:rsid w:val="00D63343"/>
    <w:rsid w:val="00D65B89"/>
    <w:rsid w:val="00D6672E"/>
    <w:rsid w:val="00D671F0"/>
    <w:rsid w:val="00D6777E"/>
    <w:rsid w:val="00D7044F"/>
    <w:rsid w:val="00D717D9"/>
    <w:rsid w:val="00D732C1"/>
    <w:rsid w:val="00D749A1"/>
    <w:rsid w:val="00D75CC8"/>
    <w:rsid w:val="00D76C21"/>
    <w:rsid w:val="00D76FA1"/>
    <w:rsid w:val="00D80F33"/>
    <w:rsid w:val="00D81735"/>
    <w:rsid w:val="00D81E95"/>
    <w:rsid w:val="00D81F0D"/>
    <w:rsid w:val="00D84368"/>
    <w:rsid w:val="00D845A5"/>
    <w:rsid w:val="00D85AEE"/>
    <w:rsid w:val="00D85CD3"/>
    <w:rsid w:val="00D85D56"/>
    <w:rsid w:val="00D85E1E"/>
    <w:rsid w:val="00D866C6"/>
    <w:rsid w:val="00D86768"/>
    <w:rsid w:val="00D86B90"/>
    <w:rsid w:val="00D87EAD"/>
    <w:rsid w:val="00D9001D"/>
    <w:rsid w:val="00D907F0"/>
    <w:rsid w:val="00D91181"/>
    <w:rsid w:val="00D91360"/>
    <w:rsid w:val="00D9137A"/>
    <w:rsid w:val="00D91A78"/>
    <w:rsid w:val="00D92FAC"/>
    <w:rsid w:val="00D93763"/>
    <w:rsid w:val="00D94955"/>
    <w:rsid w:val="00D96061"/>
    <w:rsid w:val="00D96EEA"/>
    <w:rsid w:val="00DA0D87"/>
    <w:rsid w:val="00DA11B4"/>
    <w:rsid w:val="00DA14D2"/>
    <w:rsid w:val="00DA20DA"/>
    <w:rsid w:val="00DA2627"/>
    <w:rsid w:val="00DA41C0"/>
    <w:rsid w:val="00DA54A1"/>
    <w:rsid w:val="00DA54CD"/>
    <w:rsid w:val="00DA5D0F"/>
    <w:rsid w:val="00DA6A1A"/>
    <w:rsid w:val="00DB03C4"/>
    <w:rsid w:val="00DB0487"/>
    <w:rsid w:val="00DB079F"/>
    <w:rsid w:val="00DB0BE3"/>
    <w:rsid w:val="00DB0CA5"/>
    <w:rsid w:val="00DB30A9"/>
    <w:rsid w:val="00DB3155"/>
    <w:rsid w:val="00DB42A5"/>
    <w:rsid w:val="00DB42C2"/>
    <w:rsid w:val="00DC1639"/>
    <w:rsid w:val="00DC2650"/>
    <w:rsid w:val="00DC26E5"/>
    <w:rsid w:val="00DC33C5"/>
    <w:rsid w:val="00DC39CF"/>
    <w:rsid w:val="00DC3BE2"/>
    <w:rsid w:val="00DC64FA"/>
    <w:rsid w:val="00DC661C"/>
    <w:rsid w:val="00DC68C2"/>
    <w:rsid w:val="00DC69A1"/>
    <w:rsid w:val="00DD0A4A"/>
    <w:rsid w:val="00DD0DF6"/>
    <w:rsid w:val="00DD4164"/>
    <w:rsid w:val="00DD44F8"/>
    <w:rsid w:val="00DD4531"/>
    <w:rsid w:val="00DD47F8"/>
    <w:rsid w:val="00DD6CE2"/>
    <w:rsid w:val="00DE0A85"/>
    <w:rsid w:val="00DE15F9"/>
    <w:rsid w:val="00DE18C6"/>
    <w:rsid w:val="00DE19F7"/>
    <w:rsid w:val="00DE1B10"/>
    <w:rsid w:val="00DE1E67"/>
    <w:rsid w:val="00DE3604"/>
    <w:rsid w:val="00DE370D"/>
    <w:rsid w:val="00DE3FF1"/>
    <w:rsid w:val="00DE4040"/>
    <w:rsid w:val="00DE55A5"/>
    <w:rsid w:val="00DE613B"/>
    <w:rsid w:val="00DE74FB"/>
    <w:rsid w:val="00DE753D"/>
    <w:rsid w:val="00DE7963"/>
    <w:rsid w:val="00DE7AFC"/>
    <w:rsid w:val="00DF0927"/>
    <w:rsid w:val="00DF2F6C"/>
    <w:rsid w:val="00DF3237"/>
    <w:rsid w:val="00DF3875"/>
    <w:rsid w:val="00DF3EFD"/>
    <w:rsid w:val="00DF468A"/>
    <w:rsid w:val="00DF5056"/>
    <w:rsid w:val="00DF5990"/>
    <w:rsid w:val="00DF5E9F"/>
    <w:rsid w:val="00DF5EF0"/>
    <w:rsid w:val="00DF6F12"/>
    <w:rsid w:val="00DF7685"/>
    <w:rsid w:val="00DF7DA9"/>
    <w:rsid w:val="00DF7E12"/>
    <w:rsid w:val="00DF7E82"/>
    <w:rsid w:val="00E00BEF"/>
    <w:rsid w:val="00E01FBA"/>
    <w:rsid w:val="00E02219"/>
    <w:rsid w:val="00E028DB"/>
    <w:rsid w:val="00E02BC0"/>
    <w:rsid w:val="00E03994"/>
    <w:rsid w:val="00E0441D"/>
    <w:rsid w:val="00E04EFA"/>
    <w:rsid w:val="00E05AE1"/>
    <w:rsid w:val="00E05B65"/>
    <w:rsid w:val="00E10F48"/>
    <w:rsid w:val="00E115E0"/>
    <w:rsid w:val="00E11C5A"/>
    <w:rsid w:val="00E123AC"/>
    <w:rsid w:val="00E13589"/>
    <w:rsid w:val="00E13D7E"/>
    <w:rsid w:val="00E157E0"/>
    <w:rsid w:val="00E15AF1"/>
    <w:rsid w:val="00E169BA"/>
    <w:rsid w:val="00E1725A"/>
    <w:rsid w:val="00E208AF"/>
    <w:rsid w:val="00E213A2"/>
    <w:rsid w:val="00E2286C"/>
    <w:rsid w:val="00E22DD3"/>
    <w:rsid w:val="00E230F9"/>
    <w:rsid w:val="00E237A5"/>
    <w:rsid w:val="00E25064"/>
    <w:rsid w:val="00E25093"/>
    <w:rsid w:val="00E25297"/>
    <w:rsid w:val="00E255EA"/>
    <w:rsid w:val="00E26183"/>
    <w:rsid w:val="00E2661B"/>
    <w:rsid w:val="00E26ADA"/>
    <w:rsid w:val="00E278F8"/>
    <w:rsid w:val="00E30CDB"/>
    <w:rsid w:val="00E30D74"/>
    <w:rsid w:val="00E3115C"/>
    <w:rsid w:val="00E321E2"/>
    <w:rsid w:val="00E32364"/>
    <w:rsid w:val="00E33219"/>
    <w:rsid w:val="00E343E9"/>
    <w:rsid w:val="00E34F91"/>
    <w:rsid w:val="00E36234"/>
    <w:rsid w:val="00E36AF3"/>
    <w:rsid w:val="00E40632"/>
    <w:rsid w:val="00E41BEC"/>
    <w:rsid w:val="00E42163"/>
    <w:rsid w:val="00E42BCA"/>
    <w:rsid w:val="00E436B9"/>
    <w:rsid w:val="00E43A19"/>
    <w:rsid w:val="00E43C75"/>
    <w:rsid w:val="00E448C3"/>
    <w:rsid w:val="00E44A7D"/>
    <w:rsid w:val="00E45413"/>
    <w:rsid w:val="00E45638"/>
    <w:rsid w:val="00E46ABF"/>
    <w:rsid w:val="00E46AC2"/>
    <w:rsid w:val="00E478C0"/>
    <w:rsid w:val="00E501E0"/>
    <w:rsid w:val="00E51FA3"/>
    <w:rsid w:val="00E53589"/>
    <w:rsid w:val="00E53B30"/>
    <w:rsid w:val="00E54484"/>
    <w:rsid w:val="00E54803"/>
    <w:rsid w:val="00E54F24"/>
    <w:rsid w:val="00E56169"/>
    <w:rsid w:val="00E5727D"/>
    <w:rsid w:val="00E60DCD"/>
    <w:rsid w:val="00E61CC1"/>
    <w:rsid w:val="00E62358"/>
    <w:rsid w:val="00E62CD9"/>
    <w:rsid w:val="00E6444D"/>
    <w:rsid w:val="00E648F4"/>
    <w:rsid w:val="00E65290"/>
    <w:rsid w:val="00E654AC"/>
    <w:rsid w:val="00E659A6"/>
    <w:rsid w:val="00E66251"/>
    <w:rsid w:val="00E66DD3"/>
    <w:rsid w:val="00E672A9"/>
    <w:rsid w:val="00E70588"/>
    <w:rsid w:val="00E70C78"/>
    <w:rsid w:val="00E71323"/>
    <w:rsid w:val="00E71342"/>
    <w:rsid w:val="00E73742"/>
    <w:rsid w:val="00E747E1"/>
    <w:rsid w:val="00E766D1"/>
    <w:rsid w:val="00E76971"/>
    <w:rsid w:val="00E82A92"/>
    <w:rsid w:val="00E82DF5"/>
    <w:rsid w:val="00E84B01"/>
    <w:rsid w:val="00E85760"/>
    <w:rsid w:val="00E861D1"/>
    <w:rsid w:val="00E868FD"/>
    <w:rsid w:val="00E86AE9"/>
    <w:rsid w:val="00E86BE7"/>
    <w:rsid w:val="00E87BA1"/>
    <w:rsid w:val="00E87CD0"/>
    <w:rsid w:val="00E92177"/>
    <w:rsid w:val="00E936E2"/>
    <w:rsid w:val="00E9375A"/>
    <w:rsid w:val="00E93783"/>
    <w:rsid w:val="00E94214"/>
    <w:rsid w:val="00E950D3"/>
    <w:rsid w:val="00E9541D"/>
    <w:rsid w:val="00EA0EAB"/>
    <w:rsid w:val="00EA254C"/>
    <w:rsid w:val="00EA34E7"/>
    <w:rsid w:val="00EA4057"/>
    <w:rsid w:val="00EA4AF3"/>
    <w:rsid w:val="00EA4C95"/>
    <w:rsid w:val="00EA4EE6"/>
    <w:rsid w:val="00EA70E7"/>
    <w:rsid w:val="00EA750C"/>
    <w:rsid w:val="00EA7B39"/>
    <w:rsid w:val="00EB07E1"/>
    <w:rsid w:val="00EB0BEF"/>
    <w:rsid w:val="00EB10BD"/>
    <w:rsid w:val="00EB240B"/>
    <w:rsid w:val="00EB3384"/>
    <w:rsid w:val="00EB52C7"/>
    <w:rsid w:val="00EB5AF3"/>
    <w:rsid w:val="00EB5B23"/>
    <w:rsid w:val="00EB5E39"/>
    <w:rsid w:val="00EB5F52"/>
    <w:rsid w:val="00EB60F2"/>
    <w:rsid w:val="00EB6265"/>
    <w:rsid w:val="00EC0173"/>
    <w:rsid w:val="00EC1189"/>
    <w:rsid w:val="00EC1A31"/>
    <w:rsid w:val="00EC21CF"/>
    <w:rsid w:val="00EC223F"/>
    <w:rsid w:val="00EC2DC4"/>
    <w:rsid w:val="00EC3216"/>
    <w:rsid w:val="00EC3C71"/>
    <w:rsid w:val="00EC600A"/>
    <w:rsid w:val="00EC6B6D"/>
    <w:rsid w:val="00ED0C1E"/>
    <w:rsid w:val="00ED1135"/>
    <w:rsid w:val="00ED1974"/>
    <w:rsid w:val="00ED1D0A"/>
    <w:rsid w:val="00ED23D8"/>
    <w:rsid w:val="00ED246F"/>
    <w:rsid w:val="00ED2FEF"/>
    <w:rsid w:val="00ED4B41"/>
    <w:rsid w:val="00ED5266"/>
    <w:rsid w:val="00ED5A36"/>
    <w:rsid w:val="00ED696D"/>
    <w:rsid w:val="00EE16DD"/>
    <w:rsid w:val="00EE2274"/>
    <w:rsid w:val="00EE2622"/>
    <w:rsid w:val="00EE2CB1"/>
    <w:rsid w:val="00EE3506"/>
    <w:rsid w:val="00EE414B"/>
    <w:rsid w:val="00EE41DA"/>
    <w:rsid w:val="00EE435B"/>
    <w:rsid w:val="00EE499B"/>
    <w:rsid w:val="00EE53E1"/>
    <w:rsid w:val="00EE7975"/>
    <w:rsid w:val="00EF436F"/>
    <w:rsid w:val="00EF444B"/>
    <w:rsid w:val="00EF564B"/>
    <w:rsid w:val="00EF6524"/>
    <w:rsid w:val="00EF6F8A"/>
    <w:rsid w:val="00F000CE"/>
    <w:rsid w:val="00F00139"/>
    <w:rsid w:val="00F00F5F"/>
    <w:rsid w:val="00F01047"/>
    <w:rsid w:val="00F01B0E"/>
    <w:rsid w:val="00F023DE"/>
    <w:rsid w:val="00F02421"/>
    <w:rsid w:val="00F0294F"/>
    <w:rsid w:val="00F03C83"/>
    <w:rsid w:val="00F0505C"/>
    <w:rsid w:val="00F0527B"/>
    <w:rsid w:val="00F055D7"/>
    <w:rsid w:val="00F05C06"/>
    <w:rsid w:val="00F067E1"/>
    <w:rsid w:val="00F06E32"/>
    <w:rsid w:val="00F0765B"/>
    <w:rsid w:val="00F1038A"/>
    <w:rsid w:val="00F1201A"/>
    <w:rsid w:val="00F12AF1"/>
    <w:rsid w:val="00F12FAF"/>
    <w:rsid w:val="00F14860"/>
    <w:rsid w:val="00F154E8"/>
    <w:rsid w:val="00F15A1E"/>
    <w:rsid w:val="00F15FD5"/>
    <w:rsid w:val="00F162F5"/>
    <w:rsid w:val="00F1644C"/>
    <w:rsid w:val="00F1654D"/>
    <w:rsid w:val="00F21A1A"/>
    <w:rsid w:val="00F224E0"/>
    <w:rsid w:val="00F23300"/>
    <w:rsid w:val="00F23714"/>
    <w:rsid w:val="00F23D68"/>
    <w:rsid w:val="00F25429"/>
    <w:rsid w:val="00F26551"/>
    <w:rsid w:val="00F2716C"/>
    <w:rsid w:val="00F27E0F"/>
    <w:rsid w:val="00F27F14"/>
    <w:rsid w:val="00F3000F"/>
    <w:rsid w:val="00F30A9D"/>
    <w:rsid w:val="00F30BB6"/>
    <w:rsid w:val="00F30E73"/>
    <w:rsid w:val="00F3226F"/>
    <w:rsid w:val="00F328A0"/>
    <w:rsid w:val="00F32A74"/>
    <w:rsid w:val="00F33342"/>
    <w:rsid w:val="00F33937"/>
    <w:rsid w:val="00F34E08"/>
    <w:rsid w:val="00F3594C"/>
    <w:rsid w:val="00F36495"/>
    <w:rsid w:val="00F3666B"/>
    <w:rsid w:val="00F36DF8"/>
    <w:rsid w:val="00F36F84"/>
    <w:rsid w:val="00F37DFE"/>
    <w:rsid w:val="00F40874"/>
    <w:rsid w:val="00F4138A"/>
    <w:rsid w:val="00F41510"/>
    <w:rsid w:val="00F417DB"/>
    <w:rsid w:val="00F41E77"/>
    <w:rsid w:val="00F4216E"/>
    <w:rsid w:val="00F42399"/>
    <w:rsid w:val="00F427AD"/>
    <w:rsid w:val="00F42C20"/>
    <w:rsid w:val="00F43316"/>
    <w:rsid w:val="00F43375"/>
    <w:rsid w:val="00F453CE"/>
    <w:rsid w:val="00F46EFF"/>
    <w:rsid w:val="00F46F3C"/>
    <w:rsid w:val="00F47817"/>
    <w:rsid w:val="00F47FD1"/>
    <w:rsid w:val="00F50C1D"/>
    <w:rsid w:val="00F51966"/>
    <w:rsid w:val="00F51F97"/>
    <w:rsid w:val="00F52E43"/>
    <w:rsid w:val="00F53F36"/>
    <w:rsid w:val="00F54AD7"/>
    <w:rsid w:val="00F558A0"/>
    <w:rsid w:val="00F60079"/>
    <w:rsid w:val="00F601DD"/>
    <w:rsid w:val="00F607C2"/>
    <w:rsid w:val="00F615CF"/>
    <w:rsid w:val="00F61FD8"/>
    <w:rsid w:val="00F622B4"/>
    <w:rsid w:val="00F62449"/>
    <w:rsid w:val="00F6244C"/>
    <w:rsid w:val="00F62E94"/>
    <w:rsid w:val="00F63A60"/>
    <w:rsid w:val="00F63E81"/>
    <w:rsid w:val="00F64671"/>
    <w:rsid w:val="00F64FC4"/>
    <w:rsid w:val="00F66DCD"/>
    <w:rsid w:val="00F67005"/>
    <w:rsid w:val="00F7034D"/>
    <w:rsid w:val="00F70EF1"/>
    <w:rsid w:val="00F71346"/>
    <w:rsid w:val="00F72F83"/>
    <w:rsid w:val="00F734F9"/>
    <w:rsid w:val="00F73676"/>
    <w:rsid w:val="00F742B4"/>
    <w:rsid w:val="00F74317"/>
    <w:rsid w:val="00F747E3"/>
    <w:rsid w:val="00F748E7"/>
    <w:rsid w:val="00F74F14"/>
    <w:rsid w:val="00F75070"/>
    <w:rsid w:val="00F75841"/>
    <w:rsid w:val="00F7708C"/>
    <w:rsid w:val="00F775F6"/>
    <w:rsid w:val="00F77E50"/>
    <w:rsid w:val="00F77E74"/>
    <w:rsid w:val="00F807A9"/>
    <w:rsid w:val="00F80CCE"/>
    <w:rsid w:val="00F815F6"/>
    <w:rsid w:val="00F8178D"/>
    <w:rsid w:val="00F82787"/>
    <w:rsid w:val="00F8286D"/>
    <w:rsid w:val="00F83750"/>
    <w:rsid w:val="00F843AE"/>
    <w:rsid w:val="00F843C0"/>
    <w:rsid w:val="00F85C77"/>
    <w:rsid w:val="00F8630E"/>
    <w:rsid w:val="00F864E0"/>
    <w:rsid w:val="00F8740E"/>
    <w:rsid w:val="00F90152"/>
    <w:rsid w:val="00F91D8A"/>
    <w:rsid w:val="00F9216F"/>
    <w:rsid w:val="00F93A6C"/>
    <w:rsid w:val="00F93FEE"/>
    <w:rsid w:val="00F955BA"/>
    <w:rsid w:val="00F963D8"/>
    <w:rsid w:val="00F96A06"/>
    <w:rsid w:val="00F96E63"/>
    <w:rsid w:val="00F9700E"/>
    <w:rsid w:val="00F97E8E"/>
    <w:rsid w:val="00F97F35"/>
    <w:rsid w:val="00FA0895"/>
    <w:rsid w:val="00FA095D"/>
    <w:rsid w:val="00FA19A9"/>
    <w:rsid w:val="00FA2B0D"/>
    <w:rsid w:val="00FA2C45"/>
    <w:rsid w:val="00FA3084"/>
    <w:rsid w:val="00FA3D82"/>
    <w:rsid w:val="00FA4D26"/>
    <w:rsid w:val="00FA64CD"/>
    <w:rsid w:val="00FA677E"/>
    <w:rsid w:val="00FA7060"/>
    <w:rsid w:val="00FA745E"/>
    <w:rsid w:val="00FB01B5"/>
    <w:rsid w:val="00FB0775"/>
    <w:rsid w:val="00FB0A7F"/>
    <w:rsid w:val="00FB12B3"/>
    <w:rsid w:val="00FB15D7"/>
    <w:rsid w:val="00FB1B8A"/>
    <w:rsid w:val="00FB3231"/>
    <w:rsid w:val="00FB3882"/>
    <w:rsid w:val="00FB4DCB"/>
    <w:rsid w:val="00FB5AF2"/>
    <w:rsid w:val="00FB5F9A"/>
    <w:rsid w:val="00FB6339"/>
    <w:rsid w:val="00FC02AC"/>
    <w:rsid w:val="00FC17AB"/>
    <w:rsid w:val="00FC2A5E"/>
    <w:rsid w:val="00FC485C"/>
    <w:rsid w:val="00FC54C5"/>
    <w:rsid w:val="00FC6575"/>
    <w:rsid w:val="00FC69F7"/>
    <w:rsid w:val="00FD1172"/>
    <w:rsid w:val="00FD1229"/>
    <w:rsid w:val="00FD1531"/>
    <w:rsid w:val="00FD217D"/>
    <w:rsid w:val="00FD2A38"/>
    <w:rsid w:val="00FD2FB3"/>
    <w:rsid w:val="00FD300B"/>
    <w:rsid w:val="00FD31B8"/>
    <w:rsid w:val="00FD448D"/>
    <w:rsid w:val="00FD52A8"/>
    <w:rsid w:val="00FD5F01"/>
    <w:rsid w:val="00FD6011"/>
    <w:rsid w:val="00FD6623"/>
    <w:rsid w:val="00FD6A67"/>
    <w:rsid w:val="00FD6B93"/>
    <w:rsid w:val="00FD79A3"/>
    <w:rsid w:val="00FE0295"/>
    <w:rsid w:val="00FE11A1"/>
    <w:rsid w:val="00FE20EE"/>
    <w:rsid w:val="00FE31E1"/>
    <w:rsid w:val="00FE4299"/>
    <w:rsid w:val="00FE6B62"/>
    <w:rsid w:val="00FE6C01"/>
    <w:rsid w:val="00FE6EFC"/>
    <w:rsid w:val="00FE6F64"/>
    <w:rsid w:val="00FE7046"/>
    <w:rsid w:val="00FE7618"/>
    <w:rsid w:val="00FE7D14"/>
    <w:rsid w:val="00FF2A35"/>
    <w:rsid w:val="00FF5712"/>
    <w:rsid w:val="00FF5C97"/>
    <w:rsid w:val="00FF6DEA"/>
    <w:rsid w:val="00FF717D"/>
    <w:rsid w:val="01ED809E"/>
    <w:rsid w:val="0317B806"/>
    <w:rsid w:val="035A019F"/>
    <w:rsid w:val="06C8FDCD"/>
    <w:rsid w:val="070CBDA7"/>
    <w:rsid w:val="0812C1B9"/>
    <w:rsid w:val="08958895"/>
    <w:rsid w:val="09690BD7"/>
    <w:rsid w:val="09F2BAAB"/>
    <w:rsid w:val="0B8C1CF8"/>
    <w:rsid w:val="0BB51192"/>
    <w:rsid w:val="0BCCBCBE"/>
    <w:rsid w:val="0D557158"/>
    <w:rsid w:val="0EDE8A69"/>
    <w:rsid w:val="0F6187A8"/>
    <w:rsid w:val="10149A12"/>
    <w:rsid w:val="1463DE79"/>
    <w:rsid w:val="1550727C"/>
    <w:rsid w:val="15FEC899"/>
    <w:rsid w:val="16295648"/>
    <w:rsid w:val="179CAC3D"/>
    <w:rsid w:val="1887355B"/>
    <w:rsid w:val="18F1AEFC"/>
    <w:rsid w:val="19C8A3A0"/>
    <w:rsid w:val="1B2F5876"/>
    <w:rsid w:val="1B624CD8"/>
    <w:rsid w:val="1E414E08"/>
    <w:rsid w:val="21D04868"/>
    <w:rsid w:val="21F75BC5"/>
    <w:rsid w:val="233F24BE"/>
    <w:rsid w:val="234FB0EE"/>
    <w:rsid w:val="23607446"/>
    <w:rsid w:val="2369315E"/>
    <w:rsid w:val="2388E174"/>
    <w:rsid w:val="25BC1A83"/>
    <w:rsid w:val="25D9A7DC"/>
    <w:rsid w:val="27304DDA"/>
    <w:rsid w:val="278B84F1"/>
    <w:rsid w:val="27BCA6CB"/>
    <w:rsid w:val="28304091"/>
    <w:rsid w:val="2B3C6AEA"/>
    <w:rsid w:val="2B5EDE17"/>
    <w:rsid w:val="2BF2002E"/>
    <w:rsid w:val="2C4339B6"/>
    <w:rsid w:val="2C7A0BF2"/>
    <w:rsid w:val="2D28C08E"/>
    <w:rsid w:val="2EB756EB"/>
    <w:rsid w:val="2FA2CA36"/>
    <w:rsid w:val="302D1F33"/>
    <w:rsid w:val="3167EDC1"/>
    <w:rsid w:val="34AB4CEE"/>
    <w:rsid w:val="35D6E00D"/>
    <w:rsid w:val="36E87EBE"/>
    <w:rsid w:val="3AC648F5"/>
    <w:rsid w:val="3AE98D5D"/>
    <w:rsid w:val="3B9CA48A"/>
    <w:rsid w:val="3C2DEE68"/>
    <w:rsid w:val="3D41AE80"/>
    <w:rsid w:val="3D6EA11F"/>
    <w:rsid w:val="3EE946F7"/>
    <w:rsid w:val="40DE311C"/>
    <w:rsid w:val="4158101C"/>
    <w:rsid w:val="42F5B9E5"/>
    <w:rsid w:val="4392C7F1"/>
    <w:rsid w:val="4421909C"/>
    <w:rsid w:val="442BFB55"/>
    <w:rsid w:val="4476728E"/>
    <w:rsid w:val="44DE92AF"/>
    <w:rsid w:val="44F19836"/>
    <w:rsid w:val="46641200"/>
    <w:rsid w:val="475E5D89"/>
    <w:rsid w:val="4828E50D"/>
    <w:rsid w:val="4854DC07"/>
    <w:rsid w:val="48AC0CD6"/>
    <w:rsid w:val="4DCB80B3"/>
    <w:rsid w:val="4FB04869"/>
    <w:rsid w:val="4FEBC937"/>
    <w:rsid w:val="503D3F52"/>
    <w:rsid w:val="5134710B"/>
    <w:rsid w:val="51BF5335"/>
    <w:rsid w:val="53AEB0F4"/>
    <w:rsid w:val="53E63B05"/>
    <w:rsid w:val="53FC32DF"/>
    <w:rsid w:val="5408AEFE"/>
    <w:rsid w:val="552F1B04"/>
    <w:rsid w:val="572230EA"/>
    <w:rsid w:val="5A379D91"/>
    <w:rsid w:val="5C27022C"/>
    <w:rsid w:val="5E439D55"/>
    <w:rsid w:val="630EB05F"/>
    <w:rsid w:val="640D1E89"/>
    <w:rsid w:val="65AC758B"/>
    <w:rsid w:val="67348CCA"/>
    <w:rsid w:val="6BCD89B8"/>
    <w:rsid w:val="6CD2DB36"/>
    <w:rsid w:val="6D516DDE"/>
    <w:rsid w:val="70790438"/>
    <w:rsid w:val="71C560BA"/>
    <w:rsid w:val="722763D6"/>
    <w:rsid w:val="729E2D20"/>
    <w:rsid w:val="74D7E554"/>
    <w:rsid w:val="765AABB6"/>
    <w:rsid w:val="77C7EB6B"/>
    <w:rsid w:val="7A0E50EB"/>
    <w:rsid w:val="7A28DF45"/>
    <w:rsid w:val="7B1C9AA6"/>
    <w:rsid w:val="7B878DAB"/>
    <w:rsid w:val="7EF7C8A5"/>
    <w:rsid w:val="7F941D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15:docId w15:val="{80E06E73-E57D-4C54-A04E-2D925C67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9E"/>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9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semiHidden/>
    <w:unhideWhenUsed/>
    <w:qFormat/>
    <w:rsid w:val="001F3F05"/>
    <w:pPr>
      <w:spacing w:line="240" w:lineRule="auto"/>
    </w:pPr>
    <w:rPr>
      <w:b/>
      <w:bCs/>
      <w:smallCaps/>
      <w:color w:val="595959" w:themeColor="text1" w:themeTint="A6"/>
      <w:spacing w:val="6"/>
    </w:rPr>
  </w:style>
  <w:style w:type="paragraph" w:styleId="Title">
    <w:name w:val="Title"/>
    <w:basedOn w:val="Heading1"/>
    <w:next w:val="Normal"/>
    <w:link w:val="TitleChar"/>
    <w:uiPriority w:val="10"/>
    <w:qFormat/>
    <w:rsid w:val="001F3F05"/>
    <w:pPr>
      <w:contextualSpacing/>
    </w:pPr>
    <w:rPr>
      <w:color w:val="5B9BD5" w:themeColor="accent1"/>
      <w:spacing w:val="-10"/>
      <w:sz w:val="56"/>
      <w:szCs w:val="56"/>
    </w:rPr>
  </w:style>
  <w:style w:type="character" w:customStyle="1" w:styleId="TitleChar">
    <w:name w:val="Title Char"/>
    <w:basedOn w:val="DefaultParagraphFont"/>
    <w:link w:val="Title"/>
    <w:uiPriority w:val="10"/>
    <w:rsid w:val="00B0050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Lists,List Paragraph2,Bullet Point,Bullet points,Content descriptions,Bullet Points,0Bullet"/>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Lists Char,List Paragraph2 Char"/>
    <w:basedOn w:val="DefaultParagraphFont"/>
    <w:link w:val="ListParagraph"/>
    <w:uiPriority w:val="34"/>
    <w:qFormat/>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5C3DF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C3DFB"/>
  </w:style>
  <w:style w:type="character" w:customStyle="1" w:styleId="eop">
    <w:name w:val="eop"/>
    <w:basedOn w:val="DefaultParagraphFont"/>
    <w:rsid w:val="005C3DFB"/>
  </w:style>
  <w:style w:type="numbering" w:customStyle="1" w:styleId="BulletList">
    <w:name w:val="Bullet List"/>
    <w:uiPriority w:val="99"/>
    <w:rsid w:val="00AD0F0F"/>
    <w:pPr>
      <w:numPr>
        <w:numId w:val="5"/>
      </w:numPr>
    </w:pPr>
  </w:style>
  <w:style w:type="paragraph" w:styleId="ListBullet">
    <w:name w:val="List Bullet"/>
    <w:basedOn w:val="Normal"/>
    <w:uiPriority w:val="99"/>
    <w:unhideWhenUsed/>
    <w:qFormat/>
    <w:rsid w:val="00AD0F0F"/>
    <w:pPr>
      <w:spacing w:after="200" w:line="276" w:lineRule="auto"/>
      <w:ind w:left="369" w:hanging="369"/>
    </w:pPr>
    <w:rPr>
      <w:rFonts w:ascii="Arial" w:eastAsia="Calibri" w:hAnsi="Arial" w:cs="Times New Roman"/>
      <w:sz w:val="22"/>
      <w:szCs w:val="22"/>
    </w:rPr>
  </w:style>
  <w:style w:type="paragraph" w:styleId="ListBullet2">
    <w:name w:val="List Bullet 2"/>
    <w:basedOn w:val="Normal"/>
    <w:uiPriority w:val="99"/>
    <w:unhideWhenUsed/>
    <w:rsid w:val="00AD0F0F"/>
    <w:pPr>
      <w:spacing w:after="200" w:line="276" w:lineRule="auto"/>
      <w:ind w:left="737" w:hanging="368"/>
    </w:pPr>
    <w:rPr>
      <w:rFonts w:ascii="Arial" w:eastAsia="Calibri" w:hAnsi="Arial" w:cs="Times New Roman"/>
      <w:sz w:val="22"/>
      <w:szCs w:val="22"/>
    </w:rPr>
  </w:style>
  <w:style w:type="paragraph" w:styleId="ListBullet3">
    <w:name w:val="List Bullet 3"/>
    <w:basedOn w:val="Normal"/>
    <w:uiPriority w:val="99"/>
    <w:unhideWhenUsed/>
    <w:rsid w:val="00AD0F0F"/>
    <w:pPr>
      <w:spacing w:after="200" w:line="276" w:lineRule="auto"/>
      <w:ind w:left="1106" w:hanging="369"/>
    </w:pPr>
    <w:rPr>
      <w:rFonts w:ascii="Arial" w:eastAsia="Calibri" w:hAnsi="Arial" w:cs="Times New Roman"/>
      <w:sz w:val="22"/>
      <w:szCs w:val="22"/>
    </w:rPr>
  </w:style>
  <w:style w:type="paragraph" w:styleId="ListBullet4">
    <w:name w:val="List Bullet 4"/>
    <w:basedOn w:val="Normal"/>
    <w:uiPriority w:val="99"/>
    <w:unhideWhenUsed/>
    <w:rsid w:val="00AD0F0F"/>
    <w:pPr>
      <w:spacing w:after="200" w:line="276" w:lineRule="auto"/>
      <w:ind w:left="1474" w:hanging="368"/>
    </w:pPr>
    <w:rPr>
      <w:rFonts w:ascii="Arial" w:eastAsia="Calibri" w:hAnsi="Arial" w:cs="Times New Roman"/>
      <w:sz w:val="22"/>
      <w:szCs w:val="22"/>
    </w:rPr>
  </w:style>
  <w:style w:type="paragraph" w:styleId="ListBullet5">
    <w:name w:val="List Bullet 5"/>
    <w:basedOn w:val="Normal"/>
    <w:uiPriority w:val="99"/>
    <w:unhideWhenUsed/>
    <w:rsid w:val="00AD0F0F"/>
    <w:pPr>
      <w:spacing w:after="200" w:line="276" w:lineRule="auto"/>
      <w:ind w:left="1800" w:hanging="360"/>
    </w:pPr>
    <w:rPr>
      <w:rFonts w:ascii="Arial" w:eastAsia="Calibri" w:hAnsi="Arial" w:cs="Times New Roman"/>
      <w:sz w:val="22"/>
      <w:szCs w:val="22"/>
    </w:rPr>
  </w:style>
  <w:style w:type="character" w:styleId="FollowedHyperlink">
    <w:name w:val="FollowedHyperlink"/>
    <w:basedOn w:val="DefaultParagraphFont"/>
    <w:uiPriority w:val="99"/>
    <w:semiHidden/>
    <w:unhideWhenUsed/>
    <w:rsid w:val="00176C92"/>
    <w:rPr>
      <w:color w:val="954F72" w:themeColor="followedHyperlink"/>
      <w:u w:val="single"/>
    </w:rPr>
  </w:style>
  <w:style w:type="paragraph" w:styleId="Revision">
    <w:name w:val="Revision"/>
    <w:hidden/>
    <w:uiPriority w:val="99"/>
    <w:semiHidden/>
    <w:rsid w:val="00F36495"/>
    <w:pPr>
      <w:spacing w:after="0" w:line="240" w:lineRule="auto"/>
    </w:pPr>
  </w:style>
  <w:style w:type="character" w:styleId="UnresolvedMention">
    <w:name w:val="Unresolved Mention"/>
    <w:basedOn w:val="DefaultParagraphFont"/>
    <w:uiPriority w:val="99"/>
    <w:semiHidden/>
    <w:unhideWhenUsed/>
    <w:rsid w:val="009C44E8"/>
    <w:rPr>
      <w:color w:val="605E5C"/>
      <w:shd w:val="clear" w:color="auto" w:fill="E1DFDD"/>
    </w:rPr>
  </w:style>
  <w:style w:type="paragraph" w:styleId="NormalWeb">
    <w:name w:val="Normal (Web)"/>
    <w:basedOn w:val="Normal"/>
    <w:uiPriority w:val="99"/>
    <w:semiHidden/>
    <w:unhideWhenUsed/>
    <w:rsid w:val="006A247D"/>
    <w:rPr>
      <w:rFonts w:ascii="Times New Roman" w:hAnsi="Times New Roman" w:cs="Times New Roman"/>
      <w:sz w:val="24"/>
      <w:szCs w:val="24"/>
    </w:rPr>
  </w:style>
  <w:style w:type="paragraph" w:customStyle="1" w:styleId="Bulletlist0">
    <w:name w:val="Bullet list"/>
    <w:basedOn w:val="Normal"/>
    <w:qFormat/>
    <w:rsid w:val="00B62770"/>
    <w:pPr>
      <w:spacing w:before="120" w:line="240" w:lineRule="auto"/>
    </w:pPr>
    <w:rPr>
      <w:rFonts w:ascii="Arial" w:eastAsia="Cambria" w:hAnsi="Arial" w:cs="Times New Roman"/>
      <w:sz w:val="22"/>
      <w:szCs w:val="24"/>
    </w:rPr>
  </w:style>
  <w:style w:type="table" w:styleId="PlainTable2">
    <w:name w:val="Plain Table 2"/>
    <w:basedOn w:val="TableNormal"/>
    <w:uiPriority w:val="42"/>
    <w:rsid w:val="00AB5C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FF57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63572625">
      <w:bodyDiv w:val="1"/>
      <w:marLeft w:val="0"/>
      <w:marRight w:val="0"/>
      <w:marTop w:val="0"/>
      <w:marBottom w:val="0"/>
      <w:divBdr>
        <w:top w:val="none" w:sz="0" w:space="0" w:color="auto"/>
        <w:left w:val="none" w:sz="0" w:space="0" w:color="auto"/>
        <w:bottom w:val="none" w:sz="0" w:space="0" w:color="auto"/>
        <w:right w:val="none" w:sz="0" w:space="0" w:color="auto"/>
      </w:divBdr>
    </w:div>
    <w:div w:id="74281232">
      <w:bodyDiv w:val="1"/>
      <w:marLeft w:val="0"/>
      <w:marRight w:val="0"/>
      <w:marTop w:val="0"/>
      <w:marBottom w:val="0"/>
      <w:divBdr>
        <w:top w:val="none" w:sz="0" w:space="0" w:color="auto"/>
        <w:left w:val="none" w:sz="0" w:space="0" w:color="auto"/>
        <w:bottom w:val="none" w:sz="0" w:space="0" w:color="auto"/>
        <w:right w:val="none" w:sz="0" w:space="0" w:color="auto"/>
      </w:divBdr>
    </w:div>
    <w:div w:id="160044628">
      <w:bodyDiv w:val="1"/>
      <w:marLeft w:val="0"/>
      <w:marRight w:val="0"/>
      <w:marTop w:val="0"/>
      <w:marBottom w:val="0"/>
      <w:divBdr>
        <w:top w:val="none" w:sz="0" w:space="0" w:color="auto"/>
        <w:left w:val="none" w:sz="0" w:space="0" w:color="auto"/>
        <w:bottom w:val="none" w:sz="0" w:space="0" w:color="auto"/>
        <w:right w:val="none" w:sz="0" w:space="0" w:color="auto"/>
      </w:divBdr>
    </w:div>
    <w:div w:id="391198982">
      <w:bodyDiv w:val="1"/>
      <w:marLeft w:val="0"/>
      <w:marRight w:val="0"/>
      <w:marTop w:val="0"/>
      <w:marBottom w:val="0"/>
      <w:divBdr>
        <w:top w:val="none" w:sz="0" w:space="0" w:color="auto"/>
        <w:left w:val="none" w:sz="0" w:space="0" w:color="auto"/>
        <w:bottom w:val="none" w:sz="0" w:space="0" w:color="auto"/>
        <w:right w:val="none" w:sz="0" w:space="0" w:color="auto"/>
      </w:divBdr>
    </w:div>
    <w:div w:id="509494141">
      <w:bodyDiv w:val="1"/>
      <w:marLeft w:val="0"/>
      <w:marRight w:val="0"/>
      <w:marTop w:val="0"/>
      <w:marBottom w:val="0"/>
      <w:divBdr>
        <w:top w:val="none" w:sz="0" w:space="0" w:color="auto"/>
        <w:left w:val="none" w:sz="0" w:space="0" w:color="auto"/>
        <w:bottom w:val="none" w:sz="0" w:space="0" w:color="auto"/>
        <w:right w:val="none" w:sz="0" w:space="0" w:color="auto"/>
      </w:divBdr>
    </w:div>
    <w:div w:id="551232950">
      <w:bodyDiv w:val="1"/>
      <w:marLeft w:val="0"/>
      <w:marRight w:val="0"/>
      <w:marTop w:val="0"/>
      <w:marBottom w:val="0"/>
      <w:divBdr>
        <w:top w:val="none" w:sz="0" w:space="0" w:color="auto"/>
        <w:left w:val="none" w:sz="0" w:space="0" w:color="auto"/>
        <w:bottom w:val="none" w:sz="0" w:space="0" w:color="auto"/>
        <w:right w:val="none" w:sz="0" w:space="0" w:color="auto"/>
      </w:divBdr>
    </w:div>
    <w:div w:id="661004127">
      <w:bodyDiv w:val="1"/>
      <w:marLeft w:val="0"/>
      <w:marRight w:val="0"/>
      <w:marTop w:val="0"/>
      <w:marBottom w:val="0"/>
      <w:divBdr>
        <w:top w:val="none" w:sz="0" w:space="0" w:color="auto"/>
        <w:left w:val="none" w:sz="0" w:space="0" w:color="auto"/>
        <w:bottom w:val="none" w:sz="0" w:space="0" w:color="auto"/>
        <w:right w:val="none" w:sz="0" w:space="0" w:color="auto"/>
      </w:divBdr>
    </w:div>
    <w:div w:id="691305552">
      <w:bodyDiv w:val="1"/>
      <w:marLeft w:val="0"/>
      <w:marRight w:val="0"/>
      <w:marTop w:val="0"/>
      <w:marBottom w:val="0"/>
      <w:divBdr>
        <w:top w:val="none" w:sz="0" w:space="0" w:color="auto"/>
        <w:left w:val="none" w:sz="0" w:space="0" w:color="auto"/>
        <w:bottom w:val="none" w:sz="0" w:space="0" w:color="auto"/>
        <w:right w:val="none" w:sz="0" w:space="0" w:color="auto"/>
      </w:divBdr>
    </w:div>
    <w:div w:id="744113096">
      <w:bodyDiv w:val="1"/>
      <w:marLeft w:val="0"/>
      <w:marRight w:val="0"/>
      <w:marTop w:val="0"/>
      <w:marBottom w:val="0"/>
      <w:divBdr>
        <w:top w:val="none" w:sz="0" w:space="0" w:color="auto"/>
        <w:left w:val="none" w:sz="0" w:space="0" w:color="auto"/>
        <w:bottom w:val="none" w:sz="0" w:space="0" w:color="auto"/>
        <w:right w:val="none" w:sz="0" w:space="0" w:color="auto"/>
      </w:divBdr>
    </w:div>
    <w:div w:id="755443238">
      <w:bodyDiv w:val="1"/>
      <w:marLeft w:val="0"/>
      <w:marRight w:val="0"/>
      <w:marTop w:val="0"/>
      <w:marBottom w:val="0"/>
      <w:divBdr>
        <w:top w:val="none" w:sz="0" w:space="0" w:color="auto"/>
        <w:left w:val="none" w:sz="0" w:space="0" w:color="auto"/>
        <w:bottom w:val="none" w:sz="0" w:space="0" w:color="auto"/>
        <w:right w:val="none" w:sz="0" w:space="0" w:color="auto"/>
      </w:divBdr>
    </w:div>
    <w:div w:id="773398805">
      <w:bodyDiv w:val="1"/>
      <w:marLeft w:val="0"/>
      <w:marRight w:val="0"/>
      <w:marTop w:val="0"/>
      <w:marBottom w:val="0"/>
      <w:divBdr>
        <w:top w:val="none" w:sz="0" w:space="0" w:color="auto"/>
        <w:left w:val="none" w:sz="0" w:space="0" w:color="auto"/>
        <w:bottom w:val="none" w:sz="0" w:space="0" w:color="auto"/>
        <w:right w:val="none" w:sz="0" w:space="0" w:color="auto"/>
      </w:divBdr>
    </w:div>
    <w:div w:id="815535513">
      <w:bodyDiv w:val="1"/>
      <w:marLeft w:val="0"/>
      <w:marRight w:val="0"/>
      <w:marTop w:val="0"/>
      <w:marBottom w:val="0"/>
      <w:divBdr>
        <w:top w:val="none" w:sz="0" w:space="0" w:color="auto"/>
        <w:left w:val="none" w:sz="0" w:space="0" w:color="auto"/>
        <w:bottom w:val="none" w:sz="0" w:space="0" w:color="auto"/>
        <w:right w:val="none" w:sz="0" w:space="0" w:color="auto"/>
      </w:divBdr>
    </w:div>
    <w:div w:id="873613667">
      <w:bodyDiv w:val="1"/>
      <w:marLeft w:val="0"/>
      <w:marRight w:val="0"/>
      <w:marTop w:val="0"/>
      <w:marBottom w:val="0"/>
      <w:divBdr>
        <w:top w:val="none" w:sz="0" w:space="0" w:color="auto"/>
        <w:left w:val="none" w:sz="0" w:space="0" w:color="auto"/>
        <w:bottom w:val="none" w:sz="0" w:space="0" w:color="auto"/>
        <w:right w:val="none" w:sz="0" w:space="0" w:color="auto"/>
      </w:divBdr>
    </w:div>
    <w:div w:id="906040116">
      <w:bodyDiv w:val="1"/>
      <w:marLeft w:val="0"/>
      <w:marRight w:val="0"/>
      <w:marTop w:val="0"/>
      <w:marBottom w:val="0"/>
      <w:divBdr>
        <w:top w:val="none" w:sz="0" w:space="0" w:color="auto"/>
        <w:left w:val="none" w:sz="0" w:space="0" w:color="auto"/>
        <w:bottom w:val="none" w:sz="0" w:space="0" w:color="auto"/>
        <w:right w:val="none" w:sz="0" w:space="0" w:color="auto"/>
      </w:divBdr>
    </w:div>
    <w:div w:id="910117407">
      <w:bodyDiv w:val="1"/>
      <w:marLeft w:val="0"/>
      <w:marRight w:val="0"/>
      <w:marTop w:val="0"/>
      <w:marBottom w:val="0"/>
      <w:divBdr>
        <w:top w:val="none" w:sz="0" w:space="0" w:color="auto"/>
        <w:left w:val="none" w:sz="0" w:space="0" w:color="auto"/>
        <w:bottom w:val="none" w:sz="0" w:space="0" w:color="auto"/>
        <w:right w:val="none" w:sz="0" w:space="0" w:color="auto"/>
      </w:divBdr>
    </w:div>
    <w:div w:id="1130708480">
      <w:bodyDiv w:val="1"/>
      <w:marLeft w:val="0"/>
      <w:marRight w:val="0"/>
      <w:marTop w:val="0"/>
      <w:marBottom w:val="0"/>
      <w:divBdr>
        <w:top w:val="none" w:sz="0" w:space="0" w:color="auto"/>
        <w:left w:val="none" w:sz="0" w:space="0" w:color="auto"/>
        <w:bottom w:val="none" w:sz="0" w:space="0" w:color="auto"/>
        <w:right w:val="none" w:sz="0" w:space="0" w:color="auto"/>
      </w:divBdr>
    </w:div>
    <w:div w:id="1168909212">
      <w:bodyDiv w:val="1"/>
      <w:marLeft w:val="0"/>
      <w:marRight w:val="0"/>
      <w:marTop w:val="0"/>
      <w:marBottom w:val="0"/>
      <w:divBdr>
        <w:top w:val="none" w:sz="0" w:space="0" w:color="auto"/>
        <w:left w:val="none" w:sz="0" w:space="0" w:color="auto"/>
        <w:bottom w:val="none" w:sz="0" w:space="0" w:color="auto"/>
        <w:right w:val="none" w:sz="0" w:space="0" w:color="auto"/>
      </w:divBdr>
    </w:div>
    <w:div w:id="1219512225">
      <w:bodyDiv w:val="1"/>
      <w:marLeft w:val="0"/>
      <w:marRight w:val="0"/>
      <w:marTop w:val="0"/>
      <w:marBottom w:val="0"/>
      <w:divBdr>
        <w:top w:val="none" w:sz="0" w:space="0" w:color="auto"/>
        <w:left w:val="none" w:sz="0" w:space="0" w:color="auto"/>
        <w:bottom w:val="none" w:sz="0" w:space="0" w:color="auto"/>
        <w:right w:val="none" w:sz="0" w:space="0" w:color="auto"/>
      </w:divBdr>
    </w:div>
    <w:div w:id="1365055197">
      <w:bodyDiv w:val="1"/>
      <w:marLeft w:val="0"/>
      <w:marRight w:val="0"/>
      <w:marTop w:val="0"/>
      <w:marBottom w:val="0"/>
      <w:divBdr>
        <w:top w:val="none" w:sz="0" w:space="0" w:color="auto"/>
        <w:left w:val="none" w:sz="0" w:space="0" w:color="auto"/>
        <w:bottom w:val="none" w:sz="0" w:space="0" w:color="auto"/>
        <w:right w:val="none" w:sz="0" w:space="0" w:color="auto"/>
      </w:divBdr>
    </w:div>
    <w:div w:id="1369720637">
      <w:bodyDiv w:val="1"/>
      <w:marLeft w:val="0"/>
      <w:marRight w:val="0"/>
      <w:marTop w:val="0"/>
      <w:marBottom w:val="0"/>
      <w:divBdr>
        <w:top w:val="none" w:sz="0" w:space="0" w:color="auto"/>
        <w:left w:val="none" w:sz="0" w:space="0" w:color="auto"/>
        <w:bottom w:val="none" w:sz="0" w:space="0" w:color="auto"/>
        <w:right w:val="none" w:sz="0" w:space="0" w:color="auto"/>
      </w:divBdr>
    </w:div>
    <w:div w:id="1477918984">
      <w:bodyDiv w:val="1"/>
      <w:marLeft w:val="0"/>
      <w:marRight w:val="0"/>
      <w:marTop w:val="0"/>
      <w:marBottom w:val="0"/>
      <w:divBdr>
        <w:top w:val="none" w:sz="0" w:space="0" w:color="auto"/>
        <w:left w:val="none" w:sz="0" w:space="0" w:color="auto"/>
        <w:bottom w:val="none" w:sz="0" w:space="0" w:color="auto"/>
        <w:right w:val="none" w:sz="0" w:space="0" w:color="auto"/>
      </w:divBdr>
    </w:div>
    <w:div w:id="1501198260">
      <w:bodyDiv w:val="1"/>
      <w:marLeft w:val="0"/>
      <w:marRight w:val="0"/>
      <w:marTop w:val="0"/>
      <w:marBottom w:val="0"/>
      <w:divBdr>
        <w:top w:val="none" w:sz="0" w:space="0" w:color="auto"/>
        <w:left w:val="none" w:sz="0" w:space="0" w:color="auto"/>
        <w:bottom w:val="none" w:sz="0" w:space="0" w:color="auto"/>
        <w:right w:val="none" w:sz="0" w:space="0" w:color="auto"/>
      </w:divBdr>
    </w:div>
    <w:div w:id="1559435871">
      <w:bodyDiv w:val="1"/>
      <w:marLeft w:val="0"/>
      <w:marRight w:val="0"/>
      <w:marTop w:val="0"/>
      <w:marBottom w:val="0"/>
      <w:divBdr>
        <w:top w:val="none" w:sz="0" w:space="0" w:color="auto"/>
        <w:left w:val="none" w:sz="0" w:space="0" w:color="auto"/>
        <w:bottom w:val="none" w:sz="0" w:space="0" w:color="auto"/>
        <w:right w:val="none" w:sz="0" w:space="0" w:color="auto"/>
      </w:divBdr>
    </w:div>
    <w:div w:id="1568681664">
      <w:bodyDiv w:val="1"/>
      <w:marLeft w:val="0"/>
      <w:marRight w:val="0"/>
      <w:marTop w:val="0"/>
      <w:marBottom w:val="0"/>
      <w:divBdr>
        <w:top w:val="none" w:sz="0" w:space="0" w:color="auto"/>
        <w:left w:val="none" w:sz="0" w:space="0" w:color="auto"/>
        <w:bottom w:val="none" w:sz="0" w:space="0" w:color="auto"/>
        <w:right w:val="none" w:sz="0" w:space="0" w:color="auto"/>
      </w:divBdr>
    </w:div>
    <w:div w:id="1612395483">
      <w:bodyDiv w:val="1"/>
      <w:marLeft w:val="0"/>
      <w:marRight w:val="0"/>
      <w:marTop w:val="0"/>
      <w:marBottom w:val="0"/>
      <w:divBdr>
        <w:top w:val="none" w:sz="0" w:space="0" w:color="auto"/>
        <w:left w:val="none" w:sz="0" w:space="0" w:color="auto"/>
        <w:bottom w:val="none" w:sz="0" w:space="0" w:color="auto"/>
        <w:right w:val="none" w:sz="0" w:space="0" w:color="auto"/>
      </w:divBdr>
    </w:div>
    <w:div w:id="1623343909">
      <w:bodyDiv w:val="1"/>
      <w:marLeft w:val="0"/>
      <w:marRight w:val="0"/>
      <w:marTop w:val="0"/>
      <w:marBottom w:val="0"/>
      <w:divBdr>
        <w:top w:val="none" w:sz="0" w:space="0" w:color="auto"/>
        <w:left w:val="none" w:sz="0" w:space="0" w:color="auto"/>
        <w:bottom w:val="none" w:sz="0" w:space="0" w:color="auto"/>
        <w:right w:val="none" w:sz="0" w:space="0" w:color="auto"/>
      </w:divBdr>
    </w:div>
    <w:div w:id="1631131018">
      <w:bodyDiv w:val="1"/>
      <w:marLeft w:val="0"/>
      <w:marRight w:val="0"/>
      <w:marTop w:val="0"/>
      <w:marBottom w:val="0"/>
      <w:divBdr>
        <w:top w:val="none" w:sz="0" w:space="0" w:color="auto"/>
        <w:left w:val="none" w:sz="0" w:space="0" w:color="auto"/>
        <w:bottom w:val="none" w:sz="0" w:space="0" w:color="auto"/>
        <w:right w:val="none" w:sz="0" w:space="0" w:color="auto"/>
      </w:divBdr>
    </w:div>
    <w:div w:id="1680111075">
      <w:bodyDiv w:val="1"/>
      <w:marLeft w:val="0"/>
      <w:marRight w:val="0"/>
      <w:marTop w:val="0"/>
      <w:marBottom w:val="0"/>
      <w:divBdr>
        <w:top w:val="none" w:sz="0" w:space="0" w:color="auto"/>
        <w:left w:val="none" w:sz="0" w:space="0" w:color="auto"/>
        <w:bottom w:val="none" w:sz="0" w:space="0" w:color="auto"/>
        <w:right w:val="none" w:sz="0" w:space="0" w:color="auto"/>
      </w:divBdr>
    </w:div>
    <w:div w:id="1701391780">
      <w:bodyDiv w:val="1"/>
      <w:marLeft w:val="0"/>
      <w:marRight w:val="0"/>
      <w:marTop w:val="0"/>
      <w:marBottom w:val="0"/>
      <w:divBdr>
        <w:top w:val="none" w:sz="0" w:space="0" w:color="auto"/>
        <w:left w:val="none" w:sz="0" w:space="0" w:color="auto"/>
        <w:bottom w:val="none" w:sz="0" w:space="0" w:color="auto"/>
        <w:right w:val="none" w:sz="0" w:space="0" w:color="auto"/>
      </w:divBdr>
    </w:div>
    <w:div w:id="1790977299">
      <w:bodyDiv w:val="1"/>
      <w:marLeft w:val="0"/>
      <w:marRight w:val="0"/>
      <w:marTop w:val="0"/>
      <w:marBottom w:val="0"/>
      <w:divBdr>
        <w:top w:val="none" w:sz="0" w:space="0" w:color="auto"/>
        <w:left w:val="none" w:sz="0" w:space="0" w:color="auto"/>
        <w:bottom w:val="none" w:sz="0" w:space="0" w:color="auto"/>
        <w:right w:val="none" w:sz="0" w:space="0" w:color="auto"/>
      </w:divBdr>
    </w:div>
    <w:div w:id="1811510673">
      <w:bodyDiv w:val="1"/>
      <w:marLeft w:val="0"/>
      <w:marRight w:val="0"/>
      <w:marTop w:val="0"/>
      <w:marBottom w:val="0"/>
      <w:divBdr>
        <w:top w:val="none" w:sz="0" w:space="0" w:color="auto"/>
        <w:left w:val="none" w:sz="0" w:space="0" w:color="auto"/>
        <w:bottom w:val="none" w:sz="0" w:space="0" w:color="auto"/>
        <w:right w:val="none" w:sz="0" w:space="0" w:color="auto"/>
      </w:divBdr>
    </w:div>
    <w:div w:id="1840388041">
      <w:bodyDiv w:val="1"/>
      <w:marLeft w:val="0"/>
      <w:marRight w:val="0"/>
      <w:marTop w:val="0"/>
      <w:marBottom w:val="0"/>
      <w:divBdr>
        <w:top w:val="none" w:sz="0" w:space="0" w:color="auto"/>
        <w:left w:val="none" w:sz="0" w:space="0" w:color="auto"/>
        <w:bottom w:val="none" w:sz="0" w:space="0" w:color="auto"/>
        <w:right w:val="none" w:sz="0" w:space="0" w:color="auto"/>
      </w:divBdr>
    </w:div>
    <w:div w:id="1943108813">
      <w:bodyDiv w:val="1"/>
      <w:marLeft w:val="0"/>
      <w:marRight w:val="0"/>
      <w:marTop w:val="0"/>
      <w:marBottom w:val="0"/>
      <w:divBdr>
        <w:top w:val="none" w:sz="0" w:space="0" w:color="auto"/>
        <w:left w:val="none" w:sz="0" w:space="0" w:color="auto"/>
        <w:bottom w:val="none" w:sz="0" w:space="0" w:color="auto"/>
        <w:right w:val="none" w:sz="0" w:space="0" w:color="auto"/>
      </w:divBdr>
    </w:div>
    <w:div w:id="1986200776">
      <w:bodyDiv w:val="1"/>
      <w:marLeft w:val="0"/>
      <w:marRight w:val="0"/>
      <w:marTop w:val="0"/>
      <w:marBottom w:val="0"/>
      <w:divBdr>
        <w:top w:val="none" w:sz="0" w:space="0" w:color="auto"/>
        <w:left w:val="none" w:sz="0" w:space="0" w:color="auto"/>
        <w:bottom w:val="none" w:sz="0" w:space="0" w:color="auto"/>
        <w:right w:val="none" w:sz="0" w:space="0" w:color="auto"/>
      </w:divBdr>
    </w:div>
    <w:div w:id="2016225824">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039309920">
      <w:bodyDiv w:val="1"/>
      <w:marLeft w:val="0"/>
      <w:marRight w:val="0"/>
      <w:marTop w:val="0"/>
      <w:marBottom w:val="0"/>
      <w:divBdr>
        <w:top w:val="none" w:sz="0" w:space="0" w:color="auto"/>
        <w:left w:val="none" w:sz="0" w:space="0" w:color="auto"/>
        <w:bottom w:val="none" w:sz="0" w:space="0" w:color="auto"/>
        <w:right w:val="none" w:sz="0" w:space="0" w:color="auto"/>
      </w:divBdr>
    </w:div>
    <w:div w:id="2064478020">
      <w:bodyDiv w:val="1"/>
      <w:marLeft w:val="0"/>
      <w:marRight w:val="0"/>
      <w:marTop w:val="0"/>
      <w:marBottom w:val="0"/>
      <w:divBdr>
        <w:top w:val="none" w:sz="0" w:space="0" w:color="auto"/>
        <w:left w:val="none" w:sz="0" w:space="0" w:color="auto"/>
        <w:bottom w:val="none" w:sz="0" w:space="0" w:color="auto"/>
        <w:right w:val="none" w:sz="0" w:space="0" w:color="auto"/>
      </w:divBdr>
    </w:div>
    <w:div w:id="2074770298">
      <w:bodyDiv w:val="1"/>
      <w:marLeft w:val="0"/>
      <w:marRight w:val="0"/>
      <w:marTop w:val="0"/>
      <w:marBottom w:val="0"/>
      <w:divBdr>
        <w:top w:val="none" w:sz="0" w:space="0" w:color="auto"/>
        <w:left w:val="none" w:sz="0" w:space="0" w:color="auto"/>
        <w:bottom w:val="none" w:sz="0" w:space="0" w:color="auto"/>
        <w:right w:val="none" w:sz="0" w:space="0" w:color="auto"/>
      </w:divBdr>
    </w:div>
    <w:div w:id="207928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C2010A00067/latest/tex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archive.budget.gov.au/2009-10/bp2/bp2_consolidated.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gov.au/about-cbd-program/future-cbd/cbd-program-expans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gov.au/about-cbd-program/future-cbd/cbd-program-expans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10L01955/latest/tex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4584934FD284B915A6085178B6FE2" ma:contentTypeVersion="7" ma:contentTypeDescription="Create a new document." ma:contentTypeScope="" ma:versionID="d7a06123f57a20aaef70043cd63b91e2">
  <xsd:schema xmlns:xsd="http://www.w3.org/2001/XMLSchema" xmlns:xs="http://www.w3.org/2001/XMLSchema" xmlns:p="http://schemas.microsoft.com/office/2006/metadata/properties" xmlns:ns1="http://schemas.microsoft.com/sharepoint/v3" xmlns:ns2="a3c0f22d-2041-42a6-9af7-77ea7e24c86e" xmlns:ns3="4c70a926-dbaa-45f1-afc0-26a9639aec76" xmlns:ns4="54f82038-8209-4b4d-9297-2d82a7aa3c9a" xmlns:ns5="e8238601-ce47-4778-85d0-8b1d6564965a" targetNamespace="http://schemas.microsoft.com/office/2006/metadata/properties" ma:root="true" ma:fieldsID="4b58324b865fcd874a94b69ef6029a3b" ns1:_="" ns2:_="" ns3:_="" ns4:_="" ns5:_="">
    <xsd:import namespace="http://schemas.microsoft.com/sharepoint/v3"/>
    <xsd:import namespace="a3c0f22d-2041-42a6-9af7-77ea7e24c86e"/>
    <xsd:import namespace="4c70a926-dbaa-45f1-afc0-26a9639aec76"/>
    <xsd:import namespace="54f82038-8209-4b4d-9297-2d82a7aa3c9a"/>
    <xsd:import namespace="e8238601-ce47-4778-85d0-8b1d6564965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4:lcf76f155ced4ddcb4097134ff3c332f" minOccurs="0"/>
                <xsd:element ref="ns5:TaxCatchAll" minOccurs="0"/>
                <xsd:element ref="ns4:MediaLengthInSeconds" minOccurs="0"/>
                <xsd:element ref="ns4:VersionusedbyPowerB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c0f22d-2041-42a6-9af7-77ea7e24c8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0a926-dbaa-45f1-afc0-26a9639aec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82038-8209-4b4d-9297-2d82a7aa3c9a"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VersionusedbyPowerBI" ma:index="25" nillable="true" ma:displayName="Version used by PowerBI" ma:format="DateOnly" ma:internalName="VersionusedbyPowerBI">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523feb-ddfd-4dc2-a2de-670027f80012}"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8238601-ce47-4778-85d0-8b1d6564965a" xsi:nil="true"/>
    <lcf76f155ced4ddcb4097134ff3c332f xmlns="54f82038-8209-4b4d-9297-2d82a7aa3c9a">
      <Terms xmlns="http://schemas.microsoft.com/office/infopath/2007/PartnerControls"/>
    </lcf76f155ced4ddcb4097134ff3c332f>
    <VersionusedbyPowerBI xmlns="54f82038-8209-4b4d-9297-2d82a7aa3c9a"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7F995A-FA67-437E-BC3F-AE9FDBF06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c0f22d-2041-42a6-9af7-77ea7e24c86e"/>
    <ds:schemaRef ds:uri="4c70a926-dbaa-45f1-afc0-26a9639aec76"/>
    <ds:schemaRef ds:uri="54f82038-8209-4b4d-9297-2d82a7aa3c9a"/>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6CE85-AE4E-45A8-B713-92CC156F92C1}">
  <ds:schemaRefs>
    <ds:schemaRef ds:uri="http://schemas.microsoft.com/sharepoint/v3/contenttype/forms"/>
  </ds:schemaRefs>
</ds:datastoreItem>
</file>

<file path=customXml/itemProps3.xml><?xml version="1.0" encoding="utf-8"?>
<ds:datastoreItem xmlns:ds="http://schemas.openxmlformats.org/officeDocument/2006/customXml" ds:itemID="{13FAE6E2-BA76-4F3B-A6BD-B32D49CFE229}">
  <ds:schemaRefs>
    <ds:schemaRef ds:uri="http://schemas.openxmlformats.org/officeDocument/2006/bibliography"/>
  </ds:schemaRefs>
</ds:datastoreItem>
</file>

<file path=customXml/itemProps4.xml><?xml version="1.0" encoding="utf-8"?>
<ds:datastoreItem xmlns:ds="http://schemas.openxmlformats.org/officeDocument/2006/customXml" ds:itemID="{924034BE-9609-40B8-B953-9EA533992327}">
  <ds:schemaRefs>
    <ds:schemaRef ds:uri="http://schemas.microsoft.com/office/2006/metadata/properties"/>
    <ds:schemaRef ds:uri="http://schemas.microsoft.com/office/infopath/2007/PartnerControls"/>
    <ds:schemaRef ds:uri="e8238601-ce47-4778-85d0-8b1d6564965a"/>
    <ds:schemaRef ds:uri="54f82038-8209-4b4d-9297-2d82a7aa3c9a"/>
    <ds:schemaRef ds:uri="http://schemas.microsoft.com/sharepoint/v3"/>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7</TotalTime>
  <Pages>13</Pages>
  <Words>3679</Words>
  <Characters>21415</Characters>
  <Application>Microsoft Office Word</Application>
  <DocSecurity>0</DocSecurity>
  <Lines>547</Lines>
  <Paragraphs>360</Paragraphs>
  <ScaleCrop>false</ScaleCrop>
  <HeadingPairs>
    <vt:vector size="2" baseType="variant">
      <vt:variant>
        <vt:lpstr>Title</vt:lpstr>
      </vt:variant>
      <vt:variant>
        <vt:i4>1</vt:i4>
      </vt:variant>
    </vt:vector>
  </HeadingPairs>
  <TitlesOfParts>
    <vt:vector size="1" baseType="lpstr">
      <vt:lpstr>CBD 24-25 CRIS - Operational Update</vt:lpstr>
    </vt:vector>
  </TitlesOfParts>
  <Company/>
  <LinksUpToDate>false</LinksUpToDate>
  <CharactersWithSpaces>24742</CharactersWithSpaces>
  <SharedDoc>false</SharedDoc>
  <HLinks>
    <vt:vector size="138" baseType="variant">
      <vt:variant>
        <vt:i4>6160449</vt:i4>
      </vt:variant>
      <vt:variant>
        <vt:i4>123</vt:i4>
      </vt:variant>
      <vt:variant>
        <vt:i4>0</vt:i4>
      </vt:variant>
      <vt:variant>
        <vt:i4>5</vt:i4>
      </vt:variant>
      <vt:variant>
        <vt:lpwstr>https://www.cbd.gov.au/about-cbd-program/future-cbd/cbd-program-expansion</vt:lpwstr>
      </vt:variant>
      <vt:variant>
        <vt:lpwstr/>
      </vt:variant>
      <vt:variant>
        <vt:i4>6160449</vt:i4>
      </vt:variant>
      <vt:variant>
        <vt:i4>120</vt:i4>
      </vt:variant>
      <vt:variant>
        <vt:i4>0</vt:i4>
      </vt:variant>
      <vt:variant>
        <vt:i4>5</vt:i4>
      </vt:variant>
      <vt:variant>
        <vt:lpwstr>https://www.cbd.gov.au/about-cbd-program/future-cbd/cbd-program-expansion</vt:lpwstr>
      </vt:variant>
      <vt:variant>
        <vt:lpwstr/>
      </vt:variant>
      <vt:variant>
        <vt:i4>2490425</vt:i4>
      </vt:variant>
      <vt:variant>
        <vt:i4>117</vt:i4>
      </vt:variant>
      <vt:variant>
        <vt:i4>0</vt:i4>
      </vt:variant>
      <vt:variant>
        <vt:i4>5</vt:i4>
      </vt:variant>
      <vt:variant>
        <vt:lpwstr>https://www.legislation.gov.au/F2010L01955/latest/text</vt:lpwstr>
      </vt:variant>
      <vt:variant>
        <vt:lpwstr/>
      </vt:variant>
      <vt:variant>
        <vt:i4>2621494</vt:i4>
      </vt:variant>
      <vt:variant>
        <vt:i4>114</vt:i4>
      </vt:variant>
      <vt:variant>
        <vt:i4>0</vt:i4>
      </vt:variant>
      <vt:variant>
        <vt:i4>5</vt:i4>
      </vt:variant>
      <vt:variant>
        <vt:lpwstr>https://www.legislation.gov.au/C2010A00067/latest/text</vt:lpwstr>
      </vt:variant>
      <vt:variant>
        <vt:lpwstr/>
      </vt:variant>
      <vt:variant>
        <vt:i4>2031725</vt:i4>
      </vt:variant>
      <vt:variant>
        <vt:i4>111</vt:i4>
      </vt:variant>
      <vt:variant>
        <vt:i4>0</vt:i4>
      </vt:variant>
      <vt:variant>
        <vt:i4>5</vt:i4>
      </vt:variant>
      <vt:variant>
        <vt:lpwstr>https://archive.budget.gov.au/2009-10/bp2/bp2_consolidated.pdf</vt:lpwstr>
      </vt:variant>
      <vt:variant>
        <vt:lpwstr/>
      </vt:variant>
      <vt:variant>
        <vt:i4>1638448</vt:i4>
      </vt:variant>
      <vt:variant>
        <vt:i4>104</vt:i4>
      </vt:variant>
      <vt:variant>
        <vt:i4>0</vt:i4>
      </vt:variant>
      <vt:variant>
        <vt:i4>5</vt:i4>
      </vt:variant>
      <vt:variant>
        <vt:lpwstr/>
      </vt:variant>
      <vt:variant>
        <vt:lpwstr>_Toc200458728</vt:lpwstr>
      </vt:variant>
      <vt:variant>
        <vt:i4>1638448</vt:i4>
      </vt:variant>
      <vt:variant>
        <vt:i4>98</vt:i4>
      </vt:variant>
      <vt:variant>
        <vt:i4>0</vt:i4>
      </vt:variant>
      <vt:variant>
        <vt:i4>5</vt:i4>
      </vt:variant>
      <vt:variant>
        <vt:lpwstr/>
      </vt:variant>
      <vt:variant>
        <vt:lpwstr>_Toc200458727</vt:lpwstr>
      </vt:variant>
      <vt:variant>
        <vt:i4>1638448</vt:i4>
      </vt:variant>
      <vt:variant>
        <vt:i4>92</vt:i4>
      </vt:variant>
      <vt:variant>
        <vt:i4>0</vt:i4>
      </vt:variant>
      <vt:variant>
        <vt:i4>5</vt:i4>
      </vt:variant>
      <vt:variant>
        <vt:lpwstr/>
      </vt:variant>
      <vt:variant>
        <vt:lpwstr>_Toc200458726</vt:lpwstr>
      </vt:variant>
      <vt:variant>
        <vt:i4>1638448</vt:i4>
      </vt:variant>
      <vt:variant>
        <vt:i4>86</vt:i4>
      </vt:variant>
      <vt:variant>
        <vt:i4>0</vt:i4>
      </vt:variant>
      <vt:variant>
        <vt:i4>5</vt:i4>
      </vt:variant>
      <vt:variant>
        <vt:lpwstr/>
      </vt:variant>
      <vt:variant>
        <vt:lpwstr>_Toc200458725</vt:lpwstr>
      </vt:variant>
      <vt:variant>
        <vt:i4>1638448</vt:i4>
      </vt:variant>
      <vt:variant>
        <vt:i4>80</vt:i4>
      </vt:variant>
      <vt:variant>
        <vt:i4>0</vt:i4>
      </vt:variant>
      <vt:variant>
        <vt:i4>5</vt:i4>
      </vt:variant>
      <vt:variant>
        <vt:lpwstr/>
      </vt:variant>
      <vt:variant>
        <vt:lpwstr>_Toc200458724</vt:lpwstr>
      </vt:variant>
      <vt:variant>
        <vt:i4>1638448</vt:i4>
      </vt:variant>
      <vt:variant>
        <vt:i4>74</vt:i4>
      </vt:variant>
      <vt:variant>
        <vt:i4>0</vt:i4>
      </vt:variant>
      <vt:variant>
        <vt:i4>5</vt:i4>
      </vt:variant>
      <vt:variant>
        <vt:lpwstr/>
      </vt:variant>
      <vt:variant>
        <vt:lpwstr>_Toc200458723</vt:lpwstr>
      </vt:variant>
      <vt:variant>
        <vt:i4>1638448</vt:i4>
      </vt:variant>
      <vt:variant>
        <vt:i4>68</vt:i4>
      </vt:variant>
      <vt:variant>
        <vt:i4>0</vt:i4>
      </vt:variant>
      <vt:variant>
        <vt:i4>5</vt:i4>
      </vt:variant>
      <vt:variant>
        <vt:lpwstr/>
      </vt:variant>
      <vt:variant>
        <vt:lpwstr>_Toc200458722</vt:lpwstr>
      </vt:variant>
      <vt:variant>
        <vt:i4>1638448</vt:i4>
      </vt:variant>
      <vt:variant>
        <vt:i4>62</vt:i4>
      </vt:variant>
      <vt:variant>
        <vt:i4>0</vt:i4>
      </vt:variant>
      <vt:variant>
        <vt:i4>5</vt:i4>
      </vt:variant>
      <vt:variant>
        <vt:lpwstr/>
      </vt:variant>
      <vt:variant>
        <vt:lpwstr>_Toc200458721</vt:lpwstr>
      </vt:variant>
      <vt:variant>
        <vt:i4>1638448</vt:i4>
      </vt:variant>
      <vt:variant>
        <vt:i4>56</vt:i4>
      </vt:variant>
      <vt:variant>
        <vt:i4>0</vt:i4>
      </vt:variant>
      <vt:variant>
        <vt:i4>5</vt:i4>
      </vt:variant>
      <vt:variant>
        <vt:lpwstr/>
      </vt:variant>
      <vt:variant>
        <vt:lpwstr>_Toc200458720</vt:lpwstr>
      </vt:variant>
      <vt:variant>
        <vt:i4>1703984</vt:i4>
      </vt:variant>
      <vt:variant>
        <vt:i4>50</vt:i4>
      </vt:variant>
      <vt:variant>
        <vt:i4>0</vt:i4>
      </vt:variant>
      <vt:variant>
        <vt:i4>5</vt:i4>
      </vt:variant>
      <vt:variant>
        <vt:lpwstr/>
      </vt:variant>
      <vt:variant>
        <vt:lpwstr>_Toc200458719</vt:lpwstr>
      </vt:variant>
      <vt:variant>
        <vt:i4>1703984</vt:i4>
      </vt:variant>
      <vt:variant>
        <vt:i4>44</vt:i4>
      </vt:variant>
      <vt:variant>
        <vt:i4>0</vt:i4>
      </vt:variant>
      <vt:variant>
        <vt:i4>5</vt:i4>
      </vt:variant>
      <vt:variant>
        <vt:lpwstr/>
      </vt:variant>
      <vt:variant>
        <vt:lpwstr>_Toc200458718</vt:lpwstr>
      </vt:variant>
      <vt:variant>
        <vt:i4>1703984</vt:i4>
      </vt:variant>
      <vt:variant>
        <vt:i4>38</vt:i4>
      </vt:variant>
      <vt:variant>
        <vt:i4>0</vt:i4>
      </vt:variant>
      <vt:variant>
        <vt:i4>5</vt:i4>
      </vt:variant>
      <vt:variant>
        <vt:lpwstr/>
      </vt:variant>
      <vt:variant>
        <vt:lpwstr>_Toc200458717</vt:lpwstr>
      </vt:variant>
      <vt:variant>
        <vt:i4>1703984</vt:i4>
      </vt:variant>
      <vt:variant>
        <vt:i4>32</vt:i4>
      </vt:variant>
      <vt:variant>
        <vt:i4>0</vt:i4>
      </vt:variant>
      <vt:variant>
        <vt:i4>5</vt:i4>
      </vt:variant>
      <vt:variant>
        <vt:lpwstr/>
      </vt:variant>
      <vt:variant>
        <vt:lpwstr>_Toc200458716</vt:lpwstr>
      </vt:variant>
      <vt:variant>
        <vt:i4>1703984</vt:i4>
      </vt:variant>
      <vt:variant>
        <vt:i4>26</vt:i4>
      </vt:variant>
      <vt:variant>
        <vt:i4>0</vt:i4>
      </vt:variant>
      <vt:variant>
        <vt:i4>5</vt:i4>
      </vt:variant>
      <vt:variant>
        <vt:lpwstr/>
      </vt:variant>
      <vt:variant>
        <vt:lpwstr>_Toc200458715</vt:lpwstr>
      </vt:variant>
      <vt:variant>
        <vt:i4>1703984</vt:i4>
      </vt:variant>
      <vt:variant>
        <vt:i4>20</vt:i4>
      </vt:variant>
      <vt:variant>
        <vt:i4>0</vt:i4>
      </vt:variant>
      <vt:variant>
        <vt:i4>5</vt:i4>
      </vt:variant>
      <vt:variant>
        <vt:lpwstr/>
      </vt:variant>
      <vt:variant>
        <vt:lpwstr>_Toc200458714</vt:lpwstr>
      </vt:variant>
      <vt:variant>
        <vt:i4>1703984</vt:i4>
      </vt:variant>
      <vt:variant>
        <vt:i4>14</vt:i4>
      </vt:variant>
      <vt:variant>
        <vt:i4>0</vt:i4>
      </vt:variant>
      <vt:variant>
        <vt:i4>5</vt:i4>
      </vt:variant>
      <vt:variant>
        <vt:lpwstr/>
      </vt:variant>
      <vt:variant>
        <vt:lpwstr>_Toc200458713</vt:lpwstr>
      </vt:variant>
      <vt:variant>
        <vt:i4>1703984</vt:i4>
      </vt:variant>
      <vt:variant>
        <vt:i4>8</vt:i4>
      </vt:variant>
      <vt:variant>
        <vt:i4>0</vt:i4>
      </vt:variant>
      <vt:variant>
        <vt:i4>5</vt:i4>
      </vt:variant>
      <vt:variant>
        <vt:lpwstr/>
      </vt:variant>
      <vt:variant>
        <vt:lpwstr>_Toc200458712</vt:lpwstr>
      </vt:variant>
      <vt:variant>
        <vt:i4>1703984</vt:i4>
      </vt:variant>
      <vt:variant>
        <vt:i4>2</vt:i4>
      </vt:variant>
      <vt:variant>
        <vt:i4>0</vt:i4>
      </vt:variant>
      <vt:variant>
        <vt:i4>5</vt:i4>
      </vt:variant>
      <vt:variant>
        <vt:lpwstr/>
      </vt:variant>
      <vt:variant>
        <vt:lpwstr>_Toc200458711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CBD 24-25 CRIS - Operational Update</dc:title>
  <dc:subject/>
  <dc:creator>Department of Climate Change, Energy, the Environment and Water</dc:creator>
  <cp:keywords/>
  <dc:description/>
  <cp:lastModifiedBy>Bradley JARRETT</cp:lastModifiedBy>
  <cp:revision>6</cp:revision>
  <cp:lastPrinted>2025-11-25T02:22:00Z</cp:lastPrinted>
  <dcterms:created xsi:type="dcterms:W3CDTF">2025-11-25T02:20:00Z</dcterms:created>
  <dcterms:modified xsi:type="dcterms:W3CDTF">2025-12-01T00:45:00Z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0x0101002604584934FD284B915A6085178B6FE2</vt:lpwstr>
  </property>
  <property fmtid="{D5CDD505-2E9C-101B-9397-08002B2CF9AE}" pid="3" name="TaxKeyword">
    <vt:lpwstr>33;#[SEC=UNOFFICIAL]|c5095c15-4234-4e92-adf8-afe43cfbe4c5</vt:lpwstr>
  </property>
  <property fmtid="{D5CDD505-2E9C-101B-9397-08002B2CF9AE}" pid="4" name="AbtEntity">
    <vt:lpwstr>1;#Department of Finance|fd660e8f-8f31-49bd-92a3-d31d4da31afe</vt:lpwstr>
  </property>
  <property fmtid="{D5CDD505-2E9C-101B-9397-08002B2CF9AE}" pid="5" name="OrgUnit">
    <vt:lpwstr>2;#Charging Policy|cbcf5b89-4aab-4c5d-ba02-041c19cdb5b1</vt:lpwstr>
  </property>
  <property fmtid="{D5CDD505-2E9C-101B-9397-08002B2CF9AE}" pid="6" name="InitiatingEntity">
    <vt:lpwstr>1;#Department of Finance|fd660e8f-8f31-49bd-92a3-d31d4da31afe</vt:lpwstr>
  </property>
  <property fmtid="{D5CDD505-2E9C-101B-9397-08002B2CF9AE}" pid="7" name="Function and Activity">
    <vt:lpwstr/>
  </property>
  <property fmtid="{D5CDD505-2E9C-101B-9397-08002B2CF9AE}" pid="8" name="_dlc_DocIdItemGuid">
    <vt:lpwstr>bd419ccf-8203-4501-881d-f2474e852862</vt:lpwstr>
  </property>
  <property fmtid="{D5CDD505-2E9C-101B-9397-08002B2CF9AE}" pid="9" name="EmReceivedByName">
    <vt:lpwstr/>
  </property>
  <property fmtid="{D5CDD505-2E9C-101B-9397-08002B2CF9AE}" pid="10" name="Order">
    <vt:r8>895700</vt:r8>
  </property>
  <property fmtid="{D5CDD505-2E9C-101B-9397-08002B2CF9AE}" pid="11" name="EmCon">
    <vt:lpwstr/>
  </property>
  <property fmtid="{D5CDD505-2E9C-101B-9397-08002B2CF9AE}" pid="12" name="EmFromSMTPAddress">
    <vt:lpwstr/>
  </property>
  <property fmtid="{D5CDD505-2E9C-101B-9397-08002B2CF9AE}" pid="13" name="EmCompanies">
    <vt:lpwstr/>
  </property>
  <property fmtid="{D5CDD505-2E9C-101B-9397-08002B2CF9AE}" pid="14" name="EmSubject">
    <vt:lpwstr/>
  </property>
  <property fmtid="{D5CDD505-2E9C-101B-9397-08002B2CF9AE}" pid="15" name="EmAttachCount">
    <vt:lpwstr/>
  </property>
  <property fmtid="{D5CDD505-2E9C-101B-9397-08002B2CF9AE}" pid="16" name="EmToAddress">
    <vt:lpwstr/>
  </property>
  <property fmtid="{D5CDD505-2E9C-101B-9397-08002B2CF9AE}" pid="17" name="EmReceivedOnBehalfOfName">
    <vt:lpwstr/>
  </property>
  <property fmtid="{D5CDD505-2E9C-101B-9397-08002B2CF9AE}" pid="18" name="EmCategory">
    <vt:lpwstr/>
  </property>
  <property fmtid="{D5CDD505-2E9C-101B-9397-08002B2CF9AE}" pid="19" name="EmConversationIndex">
    <vt:lpwstr/>
  </property>
  <property fmtid="{D5CDD505-2E9C-101B-9397-08002B2CF9AE}" pid="20" name="EmBody">
    <vt:lpwstr/>
  </property>
  <property fmtid="{D5CDD505-2E9C-101B-9397-08002B2CF9AE}" pid="21" name="EmHasAttachments">
    <vt:bool>false</vt:bool>
  </property>
  <property fmtid="{D5CDD505-2E9C-101B-9397-08002B2CF9AE}" pid="22" name="EmRetentionPolicyName">
    <vt:lpwstr/>
  </property>
  <property fmtid="{D5CDD505-2E9C-101B-9397-08002B2CF9AE}" pid="23" name="EmReplyRecipientNames">
    <vt:lpwstr/>
  </property>
  <property fmtid="{D5CDD505-2E9C-101B-9397-08002B2CF9AE}" pid="24" name="EmReplyRecipients">
    <vt:lpwstr/>
  </property>
  <property fmtid="{D5CDD505-2E9C-101B-9397-08002B2CF9AE}" pid="25" name="EmCC">
    <vt:lpwstr/>
  </property>
  <property fmtid="{D5CDD505-2E9C-101B-9397-08002B2CF9AE}" pid="26" name="EmFromName">
    <vt:lpwstr/>
  </property>
  <property fmtid="{D5CDD505-2E9C-101B-9397-08002B2CF9AE}" pid="27" name="EmBCCSMTPAddress">
    <vt:lpwstr/>
  </property>
  <property fmtid="{D5CDD505-2E9C-101B-9397-08002B2CF9AE}" pid="28" name="About Entity">
    <vt:lpwstr>1;#Department of Finance|fd660e8f-8f31-49bd-92a3-d31d4da31afe</vt:lpwstr>
  </property>
  <property fmtid="{D5CDD505-2E9C-101B-9397-08002B2CF9AE}" pid="29" name="EmTo">
    <vt:lpwstr/>
  </property>
  <property fmtid="{D5CDD505-2E9C-101B-9397-08002B2CF9AE}" pid="30" name="EmFrom">
    <vt:lpwstr/>
  </property>
  <property fmtid="{D5CDD505-2E9C-101B-9397-08002B2CF9AE}" pid="31" name="EmAttachmentNames">
    <vt:lpwstr/>
  </property>
  <property fmtid="{D5CDD505-2E9C-101B-9397-08002B2CF9AE}" pid="32" name="EmToSMTPAddress">
    <vt:lpwstr/>
  </property>
  <property fmtid="{D5CDD505-2E9C-101B-9397-08002B2CF9AE}" pid="33" name="EmSentOnBehalfOfName">
    <vt:lpwstr/>
  </property>
  <property fmtid="{D5CDD505-2E9C-101B-9397-08002B2CF9AE}" pid="34" name="Initiating Entity">
    <vt:lpwstr>1;#Department of Finance|fd660e8f-8f31-49bd-92a3-d31d4da31afe</vt:lpwstr>
  </property>
  <property fmtid="{D5CDD505-2E9C-101B-9397-08002B2CF9AE}" pid="35" name="EmCCSMTPAddress">
    <vt:lpwstr/>
  </property>
  <property fmtid="{D5CDD505-2E9C-101B-9397-08002B2CF9AE}" pid="36" name="Organisation Unit">
    <vt:lpwstr>2;#Charging Policy|cbcf5b89-4aab-4c5d-ba02-041c19cdb5b1</vt:lpwstr>
  </property>
  <property fmtid="{D5CDD505-2E9C-101B-9397-08002B2CF9AE}" pid="37" name="EmConversationID">
    <vt:lpwstr/>
  </property>
  <property fmtid="{D5CDD505-2E9C-101B-9397-08002B2CF9AE}" pid="38" name="EmBCC">
    <vt:lpwstr/>
  </property>
  <property fmtid="{D5CDD505-2E9C-101B-9397-08002B2CF9AE}" pid="39" name="EmID">
    <vt:lpwstr/>
  </property>
  <property fmtid="{D5CDD505-2E9C-101B-9397-08002B2CF9AE}" pid="40" name="MediaServiceImageTags">
    <vt:lpwstr/>
  </property>
  <property fmtid="{D5CDD505-2E9C-101B-9397-08002B2CF9AE}" pid="41" name="ClassificationContentMarkingHeaderShapeIds">
    <vt:lpwstr>3,6ff20f74,72386f45,62dd780a</vt:lpwstr>
  </property>
  <property fmtid="{D5CDD505-2E9C-101B-9397-08002B2CF9AE}" pid="42" name="ClassificationContentMarkingHeaderFontProps">
    <vt:lpwstr>#ff0000,12,Calibri</vt:lpwstr>
  </property>
  <property fmtid="{D5CDD505-2E9C-101B-9397-08002B2CF9AE}" pid="43" name="ClassificationContentMarkingHeaderText">
    <vt:lpwstr>OFFICIAL</vt:lpwstr>
  </property>
  <property fmtid="{D5CDD505-2E9C-101B-9397-08002B2CF9AE}" pid="44" name="MSIP_Label_6af89f2f-9671-4583-84ec-9b406935fc32_Enabled">
    <vt:lpwstr>true</vt:lpwstr>
  </property>
  <property fmtid="{D5CDD505-2E9C-101B-9397-08002B2CF9AE}" pid="45" name="MSIP_Label_6af89f2f-9671-4583-84ec-9b406935fc32_SetDate">
    <vt:lpwstr>2023-02-23T05:13:06Z</vt:lpwstr>
  </property>
  <property fmtid="{D5CDD505-2E9C-101B-9397-08002B2CF9AE}" pid="46" name="MSIP_Label_6af89f2f-9671-4583-84ec-9b406935fc32_Name">
    <vt:lpwstr>UNOFFICIAL</vt:lpwstr>
  </property>
  <property fmtid="{D5CDD505-2E9C-101B-9397-08002B2CF9AE}" pid="47" name="MSIP_Label_6af89f2f-9671-4583-84ec-9b406935fc32_SiteId">
    <vt:lpwstr>08954cee-4782-4ff6-9ad5-1997dccef4b0</vt:lpwstr>
  </property>
  <property fmtid="{D5CDD505-2E9C-101B-9397-08002B2CF9AE}" pid="48" name="PM_DisplayValueSecClassificationWithQualifier">
    <vt:lpwstr>UNOFFICIAL</vt:lpwstr>
  </property>
  <property fmtid="{D5CDD505-2E9C-101B-9397-08002B2CF9AE}" pid="49" name="PM_Display">
    <vt:lpwstr>UNOFFICIAL</vt:lpwstr>
  </property>
  <property fmtid="{D5CDD505-2E9C-101B-9397-08002B2CF9AE}" pid="50" name="PM_ProtectiveMarkingValue_Header">
    <vt:lpwstr>UNOFFICIAL</vt:lpwstr>
  </property>
  <property fmtid="{D5CDD505-2E9C-101B-9397-08002B2CF9AE}" pid="51" name="PM_ProtectiveMarkingValue_Footer">
    <vt:lpwstr>UNOFFICIAL</vt:lpwstr>
  </property>
  <property fmtid="{D5CDD505-2E9C-101B-9397-08002B2CF9AE}" pid="52" name="PM_InsertionValue">
    <vt:lpwstr>UNOFFICIAL</vt:lpwstr>
  </property>
  <property fmtid="{D5CDD505-2E9C-101B-9397-08002B2CF9AE}" pid="53" name="PM_Qualifier">
    <vt:lpwstr/>
  </property>
  <property fmtid="{D5CDD505-2E9C-101B-9397-08002B2CF9AE}" pid="54" name="PM_Caveats_Count">
    <vt:lpwstr>0</vt:lpwstr>
  </property>
  <property fmtid="{D5CDD505-2E9C-101B-9397-08002B2CF9AE}" pid="55" name="PM_OriginationTimeStamp">
    <vt:lpwstr>2023-02-23T05:13:06Z</vt:lpwstr>
  </property>
  <property fmtid="{D5CDD505-2E9C-101B-9397-08002B2CF9AE}" pid="56" name="PM_Originating_FileId">
    <vt:lpwstr>E3513C33E2764ADB91B32C361174CBF8</vt:lpwstr>
  </property>
  <property fmtid="{D5CDD505-2E9C-101B-9397-08002B2CF9AE}" pid="57" name="PM_SecurityClassification_Prev">
    <vt:lpwstr>UNOFFICIAL</vt:lpwstr>
  </property>
  <property fmtid="{D5CDD505-2E9C-101B-9397-08002B2CF9AE}" pid="58" name="PM_Qualifier_Prev">
    <vt:lpwstr/>
  </property>
  <property fmtid="{D5CDD505-2E9C-101B-9397-08002B2CF9AE}" pid="59" name="PM_SecurityClassification">
    <vt:lpwstr>UNOFFICIAL</vt:lpwstr>
  </property>
  <property fmtid="{D5CDD505-2E9C-101B-9397-08002B2CF9AE}" pid="60" name="PM_Originator_Hash_SHA1">
    <vt:lpwstr>C4E8576B6510B1FB5DEF9BBC04AB3A64E004CBD8</vt:lpwstr>
  </property>
  <property fmtid="{D5CDD505-2E9C-101B-9397-08002B2CF9AE}" pid="61" name="PM_ProtectiveMarkingImage_Header">
    <vt:lpwstr>C:\Program Files\Common Files\janusNET Shared\janusSEAL\Images\DocumentSlashBlue.png</vt:lpwstr>
  </property>
  <property fmtid="{D5CDD505-2E9C-101B-9397-08002B2CF9AE}" pid="62" name="PM_ProtectiveMarkingImage_Footer">
    <vt:lpwstr>C:\Program Files\Common Files\janusNET Shared\janusSEAL\Images\DocumentSlashBlue.png</vt:lpwstr>
  </property>
  <property fmtid="{D5CDD505-2E9C-101B-9397-08002B2CF9AE}" pid="63" name="PM_Namespace">
    <vt:lpwstr>gov.au</vt:lpwstr>
  </property>
  <property fmtid="{D5CDD505-2E9C-101B-9397-08002B2CF9AE}" pid="64" name="PM_Version">
    <vt:lpwstr>2018.4</vt:lpwstr>
  </property>
  <property fmtid="{D5CDD505-2E9C-101B-9397-08002B2CF9AE}" pid="65" name="PM_Note">
    <vt:lpwstr/>
  </property>
  <property fmtid="{D5CDD505-2E9C-101B-9397-08002B2CF9AE}" pid="66" name="PM_Markers">
    <vt:lpwstr/>
  </property>
  <property fmtid="{D5CDD505-2E9C-101B-9397-08002B2CF9AE}" pid="67" name="PMUuid">
    <vt:lpwstr>v=2022.2;d=gov.au;g=65417EFE-F3B9-5E66-BD91-1E689FEC2EA6</vt:lpwstr>
  </property>
  <property fmtid="{D5CDD505-2E9C-101B-9397-08002B2CF9AE}" pid="68" name="PM_Hash_Version">
    <vt:lpwstr>2022.1</vt:lpwstr>
  </property>
  <property fmtid="{D5CDD505-2E9C-101B-9397-08002B2CF9AE}" pid="69" name="PM_Hash_Salt_Prev">
    <vt:lpwstr>6655AE08C6298F24550BBB9D2377C2C8</vt:lpwstr>
  </property>
  <property fmtid="{D5CDD505-2E9C-101B-9397-08002B2CF9AE}" pid="70" name="PM_Hash_Salt">
    <vt:lpwstr>061E56B793FF5ED501BC2E66ADC3A34A</vt:lpwstr>
  </property>
  <property fmtid="{D5CDD505-2E9C-101B-9397-08002B2CF9AE}" pid="71" name="PM_Hash_SHA1">
    <vt:lpwstr>8E4A9C97F25BB9D3C6E18A54BCC924AF9AC88D7D</vt:lpwstr>
  </property>
  <property fmtid="{D5CDD505-2E9C-101B-9397-08002B2CF9AE}" pid="72" name="PM_OriginatorUserAccountName_SHA256">
    <vt:lpwstr>3F9C3930C95A80FE14E5E569A96906FECB80D374DD6F0E6814A1821B290CD60B</vt:lpwstr>
  </property>
  <property fmtid="{D5CDD505-2E9C-101B-9397-08002B2CF9AE}" pid="73" name="PM_OriginatorDomainName_SHA256">
    <vt:lpwstr>325440F6CA31C4C3BCE4433552DC42928CAAD3E2731ABE35FDE729ECEB763AF0</vt:lpwstr>
  </property>
  <property fmtid="{D5CDD505-2E9C-101B-9397-08002B2CF9AE}" pid="74" name="PMHMAC">
    <vt:lpwstr>v=2022.1;a=SHA256;h=C870DD7B05BECFEA50632689D73651CC0398FB28496D291680EF768A30A520B4</vt:lpwstr>
  </property>
  <property fmtid="{D5CDD505-2E9C-101B-9397-08002B2CF9AE}" pid="75" name="MSIP_Label_6af89f2f-9671-4583-84ec-9b406935fc32_Method">
    <vt:lpwstr>Privileged</vt:lpwstr>
  </property>
  <property fmtid="{D5CDD505-2E9C-101B-9397-08002B2CF9AE}" pid="76" name="MSIP_Label_6af89f2f-9671-4583-84ec-9b406935fc32_ContentBits">
    <vt:lpwstr>0</vt:lpwstr>
  </property>
  <property fmtid="{D5CDD505-2E9C-101B-9397-08002B2CF9AE}" pid="77" name="MSIP_Label_6af89f2f-9671-4583-84ec-9b406935fc32_ActionId">
    <vt:lpwstr>0d0bbc0b1e7f4c33bf06b3a6e45fbbcd</vt:lpwstr>
  </property>
  <property fmtid="{D5CDD505-2E9C-101B-9397-08002B2CF9AE}" pid="78" name="ClassificationContentMarkingFooterShapeIds">
    <vt:lpwstr>24fc7522,33216d6a,5339a479</vt:lpwstr>
  </property>
  <property fmtid="{D5CDD505-2E9C-101B-9397-08002B2CF9AE}" pid="79" name="ClassificationContentMarkingFooterFontProps">
    <vt:lpwstr>#ff0000,12,Calibri</vt:lpwstr>
  </property>
  <property fmtid="{D5CDD505-2E9C-101B-9397-08002B2CF9AE}" pid="80" name="ClassificationContentMarkingFooterText">
    <vt:lpwstr>OFFICIAL</vt:lpwstr>
  </property>
  <property fmtid="{D5CDD505-2E9C-101B-9397-08002B2CF9AE}" pid="81" name="Record_x0020_Classification">
    <vt:lpwstr/>
  </property>
  <property fmtid="{D5CDD505-2E9C-101B-9397-08002B2CF9AE}" pid="82" name="h64465b6520a47a58f1168c7a3f04764">
    <vt:lpwstr/>
  </property>
  <property fmtid="{D5CDD505-2E9C-101B-9397-08002B2CF9AE}" pid="83" name="Record Classification">
    <vt:lpwstr/>
  </property>
</Properties>
</file>