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8CFE" w14:textId="19067037" w:rsidR="00764D6A" w:rsidRPr="00065647" w:rsidRDefault="00065647" w:rsidP="4E42E3EC">
      <w:pPr>
        <w:pStyle w:val="Heading1"/>
        <w:spacing w:before="1300"/>
        <w:jc w:val="both"/>
        <w:rPr>
          <w:color w:val="FFFFFF" w:themeColor="background1"/>
        </w:rPr>
      </w:pPr>
      <w:r>
        <w:rPr>
          <w:noProof/>
        </w:rPr>
        <w:drawing>
          <wp:anchor distT="0" distB="0" distL="114300" distR="114300" simplePos="0" relativeHeight="251658243" behindDoc="1" locked="0" layoutInCell="1" allowOverlap="1" wp14:anchorId="5512F6F7" wp14:editId="526CEE01">
            <wp:simplePos x="0" y="0"/>
            <wp:positionH relativeFrom="column">
              <wp:posOffset>-948055</wp:posOffset>
            </wp:positionH>
            <wp:positionV relativeFrom="paragraph">
              <wp:posOffset>-929005</wp:posOffset>
            </wp:positionV>
            <wp:extent cx="7661910" cy="10702610"/>
            <wp:effectExtent l="0" t="0" r="0" b="3810"/>
            <wp:wrapNone/>
            <wp:docPr id="16036177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17721"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99124" cy="10754593"/>
                    </a:xfrm>
                    <a:prstGeom prst="rect">
                      <a:avLst/>
                    </a:prstGeom>
                  </pic:spPr>
                </pic:pic>
              </a:graphicData>
            </a:graphic>
            <wp14:sizeRelH relativeFrom="page">
              <wp14:pctWidth>0</wp14:pctWidth>
            </wp14:sizeRelH>
            <wp14:sizeRelV relativeFrom="page">
              <wp14:pctHeight>0</wp14:pctHeight>
            </wp14:sizeRelV>
          </wp:anchor>
        </w:drawing>
      </w:r>
      <w:r w:rsidR="0046030F" w:rsidRPr="00065647">
        <w:rPr>
          <w:color w:val="FFFFFF" w:themeColor="background1"/>
          <w:sz w:val="56"/>
          <w:szCs w:val="56"/>
        </w:rPr>
        <w:t>Commercial</w:t>
      </w:r>
      <w:r w:rsidR="0046030F" w:rsidRPr="00065647">
        <w:rPr>
          <w:color w:val="FFFFFF" w:themeColor="background1"/>
        </w:rPr>
        <w:t xml:space="preserve"> </w:t>
      </w:r>
      <w:r w:rsidR="0046030F" w:rsidRPr="00065647">
        <w:rPr>
          <w:color w:val="FFFFFF" w:themeColor="background1"/>
          <w:sz w:val="56"/>
          <w:szCs w:val="56"/>
        </w:rPr>
        <w:t>Building</w:t>
      </w:r>
      <w:r w:rsidR="0046030F" w:rsidRPr="00065647">
        <w:rPr>
          <w:color w:val="FFFFFF" w:themeColor="background1"/>
        </w:rPr>
        <w:t xml:space="preserve"> </w:t>
      </w:r>
      <w:r w:rsidR="0046030F" w:rsidRPr="00065647">
        <w:rPr>
          <w:color w:val="FFFFFF" w:themeColor="background1"/>
          <w:sz w:val="56"/>
          <w:szCs w:val="56"/>
        </w:rPr>
        <w:t>Disclosure</w:t>
      </w:r>
      <w:r w:rsidR="00BD7AAB" w:rsidRPr="00065647">
        <w:rPr>
          <w:color w:val="FFFFFF" w:themeColor="background1"/>
          <w:sz w:val="56"/>
          <w:szCs w:val="56"/>
        </w:rPr>
        <w:t xml:space="preserve"> Program</w:t>
      </w:r>
    </w:p>
    <w:p w14:paraId="6B92AB96" w14:textId="3502809B" w:rsidR="00764D6A" w:rsidRPr="00065647" w:rsidRDefault="0046030F" w:rsidP="4E42E3EC">
      <w:pPr>
        <w:pStyle w:val="Subtitle"/>
        <w:jc w:val="both"/>
        <w:rPr>
          <w:color w:val="FFFFFF" w:themeColor="background1"/>
          <w:sz w:val="40"/>
          <w:szCs w:val="40"/>
        </w:rPr>
      </w:pPr>
      <w:r w:rsidRPr="00065647">
        <w:rPr>
          <w:color w:val="FFFFFF" w:themeColor="background1"/>
          <w:sz w:val="40"/>
          <w:szCs w:val="40"/>
        </w:rPr>
        <w:t xml:space="preserve">Policy Roadmap </w:t>
      </w:r>
      <w:r w:rsidR="00776D0F" w:rsidRPr="00065647">
        <w:rPr>
          <w:color w:val="FFFFFF" w:themeColor="background1"/>
          <w:sz w:val="40"/>
          <w:szCs w:val="40"/>
        </w:rPr>
        <w:t>to expand mandatory disclosure of commercial building energy performance ratings</w:t>
      </w:r>
    </w:p>
    <w:p w14:paraId="4B6B33FC" w14:textId="77777777" w:rsidR="00751A77" w:rsidRDefault="00751A77">
      <w:pPr>
        <w:rPr>
          <w:sz w:val="18"/>
          <w:szCs w:val="18"/>
        </w:rPr>
      </w:pPr>
      <w:r>
        <w:br w:type="page"/>
      </w:r>
    </w:p>
    <w:p w14:paraId="6096C69E" w14:textId="0DDF5276" w:rsidR="00764D6A" w:rsidRPr="00720AFF" w:rsidRDefault="00E91D72" w:rsidP="4E42E3EC">
      <w:pPr>
        <w:pStyle w:val="Normalsmall"/>
        <w:jc w:val="both"/>
      </w:pPr>
      <w:r w:rsidRPr="00720AFF">
        <w:lastRenderedPageBreak/>
        <w:t xml:space="preserve">© Commonwealth of Australia </w:t>
      </w:r>
      <w:r w:rsidR="00B97E61" w:rsidRPr="00720AFF">
        <w:t>202</w:t>
      </w:r>
      <w:r w:rsidR="0082200B" w:rsidRPr="00720AFF">
        <w:t>5</w:t>
      </w:r>
    </w:p>
    <w:p w14:paraId="134E8EDE" w14:textId="77777777" w:rsidR="00764D6A" w:rsidRPr="00720AFF" w:rsidRDefault="00E91D72" w:rsidP="4E42E3EC">
      <w:pPr>
        <w:pStyle w:val="Normalsmall"/>
        <w:jc w:val="both"/>
        <w:rPr>
          <w:rStyle w:val="Strong"/>
        </w:rPr>
      </w:pPr>
      <w:r w:rsidRPr="00720AFF">
        <w:rPr>
          <w:rStyle w:val="Strong"/>
        </w:rPr>
        <w:t>Ownership of intellectual property rights</w:t>
      </w:r>
    </w:p>
    <w:p w14:paraId="47CB8A9A" w14:textId="77777777" w:rsidR="00764D6A" w:rsidRPr="00720AFF" w:rsidRDefault="00E91D72" w:rsidP="4E42E3EC">
      <w:pPr>
        <w:pStyle w:val="Normalsmall"/>
        <w:jc w:val="both"/>
      </w:pPr>
      <w:r w:rsidRPr="00720AFF">
        <w:t>Unless otherwise noted, copyright (and any other intellectual property rights) in this publication is owned by the Commonwealth of Australia (referred to as the Commonwealth).</w:t>
      </w:r>
    </w:p>
    <w:p w14:paraId="66911960" w14:textId="77777777" w:rsidR="00764D6A" w:rsidRPr="00720AFF" w:rsidRDefault="00E91D72" w:rsidP="4E42E3EC">
      <w:pPr>
        <w:pStyle w:val="Normalsmall"/>
        <w:jc w:val="both"/>
        <w:rPr>
          <w:rStyle w:val="Strong"/>
        </w:rPr>
      </w:pPr>
      <w:r w:rsidRPr="00720AFF">
        <w:rPr>
          <w:rStyle w:val="Strong"/>
        </w:rPr>
        <w:t>Creative Commons licence</w:t>
      </w:r>
    </w:p>
    <w:p w14:paraId="67875323" w14:textId="77777777" w:rsidR="00764D6A" w:rsidRPr="00720AFF" w:rsidRDefault="00E91D72" w:rsidP="4E42E3EC">
      <w:pPr>
        <w:pStyle w:val="Normalsmall"/>
        <w:jc w:val="both"/>
      </w:pPr>
      <w:r w:rsidRPr="00720AFF">
        <w:t xml:space="preserve">All material in this publication is licensed under a </w:t>
      </w:r>
      <w:hyperlink r:id="rId12">
        <w:r w:rsidRPr="00720AFF">
          <w:rPr>
            <w:rStyle w:val="Hyperlink"/>
          </w:rPr>
          <w:t>Creative Commons Attribution 4.0 International Licence</w:t>
        </w:r>
      </w:hyperlink>
      <w:r w:rsidRPr="00720AFF">
        <w:t xml:space="preserve"> except content supplied by third parties, logos and the Commonwealth Coat of Arms.</w:t>
      </w:r>
    </w:p>
    <w:p w14:paraId="4D8D48B2" w14:textId="77777777" w:rsidR="00764D6A" w:rsidRPr="00720AFF" w:rsidRDefault="00E91D72" w:rsidP="4E42E3EC">
      <w:pPr>
        <w:pStyle w:val="Normalsmall"/>
        <w:jc w:val="both"/>
      </w:pPr>
      <w:r w:rsidRPr="00720AFF">
        <w:t xml:space="preserve">Inquiries about the licence and any use of this document should be emailed to </w:t>
      </w:r>
      <w:hyperlink r:id="rId13">
        <w:r w:rsidR="00D86640" w:rsidRPr="00720AFF">
          <w:rPr>
            <w:rStyle w:val="Hyperlink"/>
          </w:rPr>
          <w:t>copyright@dcceew.gov.au</w:t>
        </w:r>
      </w:hyperlink>
      <w:r w:rsidRPr="00720AFF">
        <w:t>.</w:t>
      </w:r>
    </w:p>
    <w:p w14:paraId="402AAC7B" w14:textId="77777777" w:rsidR="00764D6A" w:rsidRPr="00720AFF" w:rsidRDefault="00E91D72" w:rsidP="4E42E3EC">
      <w:pPr>
        <w:pStyle w:val="Normalsmall"/>
        <w:jc w:val="both"/>
      </w:pPr>
      <w:r w:rsidRPr="00720AFF">
        <w:rPr>
          <w:noProof/>
          <w:lang w:eastAsia="en-AU"/>
        </w:rPr>
        <w:drawing>
          <wp:inline distT="0" distB="0" distL="0" distR="0" wp14:anchorId="0AD9F9E5" wp14:editId="67548C9F">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4027C007" w14:textId="77777777" w:rsidR="00764D6A" w:rsidRPr="00720AFF" w:rsidRDefault="00E91D72" w:rsidP="4E42E3EC">
      <w:pPr>
        <w:pStyle w:val="Normalsmall"/>
        <w:jc w:val="both"/>
        <w:rPr>
          <w:rStyle w:val="Strong"/>
        </w:rPr>
      </w:pPr>
      <w:r w:rsidRPr="00720AFF">
        <w:rPr>
          <w:rStyle w:val="Strong"/>
        </w:rPr>
        <w:t>Cataloguing data</w:t>
      </w:r>
    </w:p>
    <w:p w14:paraId="4FFEA21C" w14:textId="127E5B24" w:rsidR="00764D6A" w:rsidRPr="00720AFF" w:rsidRDefault="00E91D72" w:rsidP="4E42E3EC">
      <w:pPr>
        <w:pStyle w:val="Normalsmall"/>
        <w:jc w:val="both"/>
      </w:pPr>
      <w:r w:rsidRPr="00720AFF">
        <w:t xml:space="preserve">This publication (and any material sourced from it) should be attributed as: </w:t>
      </w:r>
      <w:r w:rsidR="00A31A0E" w:rsidRPr="00B323C8">
        <w:t>DCCEEW (2025), Commercial Buildings Disclosure (CBD) Program Expansion Policy Road Map, Department of Climate Change, Energy, the Environment and Water, Canberra.</w:t>
      </w:r>
      <w:r w:rsidRPr="00720AFF">
        <w:t xml:space="preserve"> CC BY 4.0.</w:t>
      </w:r>
    </w:p>
    <w:p w14:paraId="769DF6A4" w14:textId="215BEF99" w:rsidR="00764D6A" w:rsidRPr="00720AFF" w:rsidRDefault="00E91D72" w:rsidP="4E42E3EC">
      <w:pPr>
        <w:pStyle w:val="Normalsmall"/>
        <w:jc w:val="both"/>
      </w:pPr>
      <w:r w:rsidRPr="00720AFF">
        <w:t xml:space="preserve">This publication is available at </w:t>
      </w:r>
      <w:hyperlink r:id="rId15" w:history="1">
        <w:r w:rsidR="00817E63" w:rsidRPr="008654DB">
          <w:rPr>
            <w:rStyle w:val="Hyperlink"/>
          </w:rPr>
          <w:t>www.cbd.gov.au</w:t>
        </w:r>
      </w:hyperlink>
      <w:r w:rsidRPr="00720AFF">
        <w:t>.</w:t>
      </w:r>
    </w:p>
    <w:p w14:paraId="250BF60E" w14:textId="4089FF25" w:rsidR="00DE0AAE" w:rsidRPr="00720AFF" w:rsidRDefault="00D86640" w:rsidP="4E42E3EC">
      <w:pPr>
        <w:pStyle w:val="Normalsmall"/>
        <w:tabs>
          <w:tab w:val="left" w:pos="6912"/>
        </w:tabs>
        <w:spacing w:after="0"/>
        <w:jc w:val="both"/>
      </w:pPr>
      <w:r w:rsidRPr="00720AFF">
        <w:t>Department of Climate Change, Energy, the Environment and Water</w:t>
      </w:r>
      <w:r w:rsidR="00A96408" w:rsidRPr="00720AFF">
        <w:tab/>
      </w:r>
    </w:p>
    <w:p w14:paraId="56EB2FF5" w14:textId="77777777" w:rsidR="00764D6A" w:rsidRPr="00720AFF" w:rsidRDefault="00E91D72" w:rsidP="4E42E3EC">
      <w:pPr>
        <w:pStyle w:val="Normalsmall"/>
        <w:spacing w:after="0"/>
        <w:jc w:val="both"/>
      </w:pPr>
      <w:r w:rsidRPr="00720AFF">
        <w:t xml:space="preserve">GPO Box </w:t>
      </w:r>
      <w:r w:rsidR="008E2377" w:rsidRPr="00720AFF">
        <w:t>3090</w:t>
      </w:r>
      <w:r w:rsidRPr="00720AFF">
        <w:t xml:space="preserve"> Canberra ACT 2601</w:t>
      </w:r>
    </w:p>
    <w:p w14:paraId="179B9EAD" w14:textId="77777777" w:rsidR="00764D6A" w:rsidRPr="00720AFF" w:rsidRDefault="00E91D72" w:rsidP="4E42E3EC">
      <w:pPr>
        <w:pStyle w:val="Normalsmall"/>
        <w:spacing w:after="0"/>
        <w:jc w:val="both"/>
      </w:pPr>
      <w:r w:rsidRPr="00720AFF">
        <w:t xml:space="preserve">Telephone </w:t>
      </w:r>
      <w:r w:rsidR="00D464F4" w:rsidRPr="00720AFF">
        <w:t>1800 920 528</w:t>
      </w:r>
    </w:p>
    <w:p w14:paraId="48231010" w14:textId="77777777" w:rsidR="00764D6A" w:rsidRPr="00720AFF" w:rsidRDefault="00E91D72" w:rsidP="4E42E3EC">
      <w:pPr>
        <w:pStyle w:val="Normalsmall"/>
        <w:jc w:val="both"/>
      </w:pPr>
      <w:bookmarkStart w:id="0" w:name="_Hlk108621036"/>
      <w:r w:rsidRPr="00720AFF">
        <w:t xml:space="preserve">Web </w:t>
      </w:r>
      <w:hyperlink r:id="rId16">
        <w:r w:rsidR="00D86640" w:rsidRPr="00720AFF">
          <w:rPr>
            <w:rStyle w:val="Hyperlink"/>
          </w:rPr>
          <w:t>dcceew.gov.au</w:t>
        </w:r>
      </w:hyperlink>
    </w:p>
    <w:bookmarkEnd w:id="0"/>
    <w:p w14:paraId="042C1F04" w14:textId="77777777" w:rsidR="007C358A" w:rsidRPr="00720AFF" w:rsidRDefault="007C358A" w:rsidP="4E42E3EC">
      <w:pPr>
        <w:pStyle w:val="Normalsmall"/>
        <w:jc w:val="both"/>
      </w:pPr>
      <w:r w:rsidRPr="00720AFF">
        <w:rPr>
          <w:rStyle w:val="Strong"/>
        </w:rPr>
        <w:t>Disclaimer</w:t>
      </w:r>
    </w:p>
    <w:p w14:paraId="2BAE90D4" w14:textId="77777777" w:rsidR="00764D6A" w:rsidRPr="00720AFF" w:rsidRDefault="00E91D72" w:rsidP="4E42E3EC">
      <w:pPr>
        <w:pStyle w:val="Normalsmall"/>
        <w:jc w:val="both"/>
      </w:pPr>
      <w:r w:rsidRPr="00720AFF">
        <w:t xml:space="preserve">The Australian Government acting through the </w:t>
      </w:r>
      <w:r w:rsidR="00D86640" w:rsidRPr="00720AFF">
        <w:t>Department of Climate Change, Energy, the Environment and Water</w:t>
      </w:r>
      <w:r w:rsidRPr="00720AFF">
        <w:t xml:space="preserve"> has exercised due care and skill in preparing and compiling the information and data in this publication. Notwithstanding, the </w:t>
      </w:r>
      <w:r w:rsidR="00D86640" w:rsidRPr="00720AFF">
        <w:t>Department of Climate Change, Energy, the Environment and Water</w:t>
      </w:r>
      <w:r w:rsidRPr="00720AFF">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1C5BDB0" w14:textId="77777777" w:rsidR="00B02B9B" w:rsidRPr="00720AFF" w:rsidRDefault="00B02B9B" w:rsidP="4E42E3EC">
      <w:pPr>
        <w:pStyle w:val="Normalsmall"/>
        <w:jc w:val="both"/>
      </w:pPr>
      <w:r w:rsidRPr="00720AFF">
        <w:rPr>
          <w:rStyle w:val="Strong"/>
        </w:rPr>
        <w:t>Acknowledgement of Country</w:t>
      </w:r>
    </w:p>
    <w:p w14:paraId="1A0AAA6F" w14:textId="77777777" w:rsidR="00FC0B39" w:rsidRPr="00720AFF" w:rsidRDefault="00B8745D" w:rsidP="4E42E3EC">
      <w:pPr>
        <w:pStyle w:val="Normalsmall"/>
        <w:jc w:val="both"/>
      </w:pPr>
      <w:r w:rsidRPr="00720AFF">
        <w:t>We acknowledge the Traditional Owners of Country throughout Australia and recognise their continuing connection to land, waters and culture. We pay our respects to their Elders past and present</w:t>
      </w:r>
      <w:r w:rsidR="00FC0B39" w:rsidRPr="00720AFF">
        <w:t>.</w:t>
      </w:r>
    </w:p>
    <w:p w14:paraId="26391F39" w14:textId="77777777" w:rsidR="00A32152" w:rsidRPr="00720AFF" w:rsidRDefault="00A32152" w:rsidP="4E42E3EC">
      <w:pPr>
        <w:pStyle w:val="Heading2"/>
        <w:ind w:left="720" w:hanging="720"/>
        <w:jc w:val="both"/>
      </w:pPr>
      <w:bookmarkStart w:id="1" w:name="_Toc430782148"/>
      <w:r w:rsidRPr="00720AFF">
        <w:br w:type="page"/>
      </w:r>
    </w:p>
    <w:bookmarkEnd w:id="1" w:displacedByCustomXml="next"/>
    <w:sdt>
      <w:sdtPr>
        <w:rPr>
          <w:rFonts w:ascii="Cambria" w:hAnsi="Cambria"/>
          <w:color w:val="auto"/>
          <w:sz w:val="22"/>
          <w:szCs w:val="22"/>
          <w:lang w:eastAsia="en-US"/>
        </w:rPr>
        <w:id w:val="-760297017"/>
        <w:docPartObj>
          <w:docPartGallery w:val="Table of Contents"/>
          <w:docPartUnique/>
        </w:docPartObj>
      </w:sdtPr>
      <w:sdtEndPr>
        <w:rPr>
          <w:rFonts w:asciiTheme="minorHAnsi" w:hAnsiTheme="minorHAnsi"/>
          <w:b/>
          <w:bCs w:val="0"/>
        </w:rPr>
      </w:sdtEndPr>
      <w:sdtContent>
        <w:p w14:paraId="7F595C34" w14:textId="5855259F" w:rsidR="00764D6A" w:rsidRPr="00720AFF" w:rsidRDefault="00E91D72" w:rsidP="00393E79">
          <w:pPr>
            <w:pStyle w:val="TOCHeading"/>
            <w:spacing w:before="0" w:line="240" w:lineRule="auto"/>
            <w:jc w:val="both"/>
            <w:rPr>
              <w:color w:val="197C7D" w:themeColor="accent1"/>
            </w:rPr>
          </w:pPr>
          <w:r w:rsidRPr="00720AFF">
            <w:rPr>
              <w:color w:val="197C7D" w:themeColor="accent1"/>
            </w:rPr>
            <w:t>Contents</w:t>
          </w:r>
        </w:p>
        <w:p w14:paraId="34B6B91F" w14:textId="34ED4DE2" w:rsidR="002336C1" w:rsidRDefault="00E91D72" w:rsidP="002336C1">
          <w:pPr>
            <w:pStyle w:val="TOC1"/>
            <w:spacing w:before="0" w:after="0"/>
            <w:rPr>
              <w:rFonts w:eastAsiaTheme="minorEastAsia"/>
              <w:b w:val="0"/>
              <w:kern w:val="2"/>
              <w:sz w:val="24"/>
              <w:szCs w:val="24"/>
              <w:lang w:eastAsia="en-AU"/>
              <w14:ligatures w14:val="standardContextual"/>
            </w:rPr>
          </w:pPr>
          <w:r w:rsidRPr="00720AFF">
            <w:rPr>
              <w:b w:val="0"/>
              <w:noProof w:val="0"/>
            </w:rPr>
            <w:fldChar w:fldCharType="begin"/>
          </w:r>
          <w:r w:rsidRPr="00720AFF">
            <w:rPr>
              <w:b w:val="0"/>
              <w:noProof w:val="0"/>
            </w:rPr>
            <w:instrText xml:space="preserve"> TOC \h \z \u \t "Heading 2,1,Heading 3,2,Style1,2,TOA Heading,1" </w:instrText>
          </w:r>
          <w:r w:rsidRPr="00720AFF">
            <w:rPr>
              <w:b w:val="0"/>
              <w:noProof w:val="0"/>
            </w:rPr>
            <w:fldChar w:fldCharType="separate"/>
          </w:r>
          <w:hyperlink w:anchor="_Toc200016993" w:history="1">
            <w:r w:rsidR="002336C1" w:rsidRPr="009F6F7A">
              <w:rPr>
                <w:rStyle w:val="Hyperlink"/>
              </w:rPr>
              <w:t>Overview</w:t>
            </w:r>
            <w:r w:rsidR="002336C1">
              <w:rPr>
                <w:webHidden/>
              </w:rPr>
              <w:tab/>
            </w:r>
            <w:r w:rsidR="002336C1">
              <w:rPr>
                <w:webHidden/>
              </w:rPr>
              <w:fldChar w:fldCharType="begin"/>
            </w:r>
            <w:r w:rsidR="002336C1">
              <w:rPr>
                <w:webHidden/>
              </w:rPr>
              <w:instrText xml:space="preserve"> PAGEREF _Toc200016993 \h </w:instrText>
            </w:r>
            <w:r w:rsidR="002336C1">
              <w:rPr>
                <w:webHidden/>
              </w:rPr>
            </w:r>
            <w:r w:rsidR="002336C1">
              <w:rPr>
                <w:webHidden/>
              </w:rPr>
              <w:fldChar w:fldCharType="separate"/>
            </w:r>
            <w:r w:rsidR="00590DAA">
              <w:rPr>
                <w:webHidden/>
              </w:rPr>
              <w:t>4</w:t>
            </w:r>
            <w:r w:rsidR="002336C1">
              <w:rPr>
                <w:webHidden/>
              </w:rPr>
              <w:fldChar w:fldCharType="end"/>
            </w:r>
          </w:hyperlink>
        </w:p>
        <w:p w14:paraId="60E8B54C" w14:textId="4124E2EB"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6994" w:history="1">
            <w:r w:rsidRPr="009F6F7A">
              <w:rPr>
                <w:rStyle w:val="Hyperlink"/>
              </w:rPr>
              <w:t>1.1</w:t>
            </w:r>
            <w:r>
              <w:rPr>
                <w:rFonts w:eastAsiaTheme="minorEastAsia"/>
                <w:kern w:val="2"/>
                <w:sz w:val="24"/>
                <w:szCs w:val="24"/>
                <w:lang w:eastAsia="en-AU"/>
                <w14:ligatures w14:val="standardContextual"/>
              </w:rPr>
              <w:tab/>
            </w:r>
            <w:r w:rsidRPr="009F6F7A">
              <w:rPr>
                <w:rStyle w:val="Hyperlink"/>
              </w:rPr>
              <w:t>Purpose of this roadmap</w:t>
            </w:r>
            <w:r>
              <w:rPr>
                <w:webHidden/>
              </w:rPr>
              <w:tab/>
            </w:r>
            <w:r>
              <w:rPr>
                <w:webHidden/>
              </w:rPr>
              <w:fldChar w:fldCharType="begin"/>
            </w:r>
            <w:r>
              <w:rPr>
                <w:webHidden/>
              </w:rPr>
              <w:instrText xml:space="preserve"> PAGEREF _Toc200016994 \h </w:instrText>
            </w:r>
            <w:r>
              <w:rPr>
                <w:webHidden/>
              </w:rPr>
            </w:r>
            <w:r>
              <w:rPr>
                <w:webHidden/>
              </w:rPr>
              <w:fldChar w:fldCharType="separate"/>
            </w:r>
            <w:r w:rsidR="00590DAA">
              <w:rPr>
                <w:webHidden/>
              </w:rPr>
              <w:t>4</w:t>
            </w:r>
            <w:r>
              <w:rPr>
                <w:webHidden/>
              </w:rPr>
              <w:fldChar w:fldCharType="end"/>
            </w:r>
          </w:hyperlink>
        </w:p>
        <w:p w14:paraId="5A80190C" w14:textId="1F4D6C5B"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6995" w:history="1">
            <w:r w:rsidRPr="009F6F7A">
              <w:rPr>
                <w:rStyle w:val="Hyperlink"/>
              </w:rPr>
              <w:t>1.2</w:t>
            </w:r>
            <w:r>
              <w:rPr>
                <w:rFonts w:eastAsiaTheme="minorEastAsia"/>
                <w:kern w:val="2"/>
                <w:sz w:val="24"/>
                <w:szCs w:val="24"/>
                <w:lang w:eastAsia="en-AU"/>
                <w14:ligatures w14:val="standardContextual"/>
              </w:rPr>
              <w:tab/>
            </w:r>
            <w:r w:rsidRPr="009F6F7A">
              <w:rPr>
                <w:rStyle w:val="Hyperlink"/>
              </w:rPr>
              <w:t>The need for mandatory disclosure of energy information</w:t>
            </w:r>
            <w:r>
              <w:rPr>
                <w:webHidden/>
              </w:rPr>
              <w:tab/>
            </w:r>
            <w:r>
              <w:rPr>
                <w:webHidden/>
              </w:rPr>
              <w:fldChar w:fldCharType="begin"/>
            </w:r>
            <w:r>
              <w:rPr>
                <w:webHidden/>
              </w:rPr>
              <w:instrText xml:space="preserve"> PAGEREF _Toc200016995 \h </w:instrText>
            </w:r>
            <w:r>
              <w:rPr>
                <w:webHidden/>
              </w:rPr>
            </w:r>
            <w:r>
              <w:rPr>
                <w:webHidden/>
              </w:rPr>
              <w:fldChar w:fldCharType="separate"/>
            </w:r>
            <w:r w:rsidR="00590DAA">
              <w:rPr>
                <w:webHidden/>
              </w:rPr>
              <w:t>5</w:t>
            </w:r>
            <w:r>
              <w:rPr>
                <w:webHidden/>
              </w:rPr>
              <w:fldChar w:fldCharType="end"/>
            </w:r>
          </w:hyperlink>
        </w:p>
        <w:p w14:paraId="7F4DC589" w14:textId="317FEF74"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6996" w:history="1">
            <w:r w:rsidRPr="009F6F7A">
              <w:rPr>
                <w:rStyle w:val="Hyperlink"/>
              </w:rPr>
              <w:t>1.3</w:t>
            </w:r>
            <w:r>
              <w:rPr>
                <w:rFonts w:eastAsiaTheme="minorEastAsia"/>
                <w:kern w:val="2"/>
                <w:sz w:val="24"/>
                <w:szCs w:val="24"/>
                <w:lang w:eastAsia="en-AU"/>
                <w14:ligatures w14:val="standardContextual"/>
              </w:rPr>
              <w:tab/>
            </w:r>
            <w:r w:rsidRPr="009F6F7A">
              <w:rPr>
                <w:rStyle w:val="Hyperlink"/>
              </w:rPr>
              <w:t>Scope of this roadmap</w:t>
            </w:r>
            <w:r>
              <w:rPr>
                <w:webHidden/>
              </w:rPr>
              <w:tab/>
            </w:r>
            <w:r>
              <w:rPr>
                <w:webHidden/>
              </w:rPr>
              <w:fldChar w:fldCharType="begin"/>
            </w:r>
            <w:r>
              <w:rPr>
                <w:webHidden/>
              </w:rPr>
              <w:instrText xml:space="preserve"> PAGEREF _Toc200016996 \h </w:instrText>
            </w:r>
            <w:r>
              <w:rPr>
                <w:webHidden/>
              </w:rPr>
            </w:r>
            <w:r>
              <w:rPr>
                <w:webHidden/>
              </w:rPr>
              <w:fldChar w:fldCharType="separate"/>
            </w:r>
            <w:r w:rsidR="00590DAA">
              <w:rPr>
                <w:webHidden/>
              </w:rPr>
              <w:t>6</w:t>
            </w:r>
            <w:r>
              <w:rPr>
                <w:webHidden/>
              </w:rPr>
              <w:fldChar w:fldCharType="end"/>
            </w:r>
          </w:hyperlink>
        </w:p>
        <w:p w14:paraId="65A0135A" w14:textId="12B611CB"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6997" w:history="1">
            <w:r w:rsidRPr="009F6F7A">
              <w:rPr>
                <w:rStyle w:val="Hyperlink"/>
              </w:rPr>
              <w:t>1.4</w:t>
            </w:r>
            <w:r>
              <w:rPr>
                <w:rFonts w:eastAsiaTheme="minorEastAsia"/>
                <w:kern w:val="2"/>
                <w:sz w:val="24"/>
                <w:szCs w:val="24"/>
                <w:lang w:eastAsia="en-AU"/>
                <w14:ligatures w14:val="standardContextual"/>
              </w:rPr>
              <w:tab/>
            </w:r>
            <w:r w:rsidRPr="009F6F7A">
              <w:rPr>
                <w:rStyle w:val="Hyperlink"/>
              </w:rPr>
              <w:t>Links to broader policy</w:t>
            </w:r>
            <w:r>
              <w:rPr>
                <w:webHidden/>
              </w:rPr>
              <w:tab/>
            </w:r>
            <w:r>
              <w:rPr>
                <w:webHidden/>
              </w:rPr>
              <w:fldChar w:fldCharType="begin"/>
            </w:r>
            <w:r>
              <w:rPr>
                <w:webHidden/>
              </w:rPr>
              <w:instrText xml:space="preserve"> PAGEREF _Toc200016997 \h </w:instrText>
            </w:r>
            <w:r>
              <w:rPr>
                <w:webHidden/>
              </w:rPr>
            </w:r>
            <w:r>
              <w:rPr>
                <w:webHidden/>
              </w:rPr>
              <w:fldChar w:fldCharType="separate"/>
            </w:r>
            <w:r w:rsidR="00590DAA">
              <w:rPr>
                <w:webHidden/>
              </w:rPr>
              <w:t>7</w:t>
            </w:r>
            <w:r>
              <w:rPr>
                <w:webHidden/>
              </w:rPr>
              <w:fldChar w:fldCharType="end"/>
            </w:r>
          </w:hyperlink>
        </w:p>
        <w:p w14:paraId="491343D4" w14:textId="294D4A3A"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6998" w:history="1">
            <w:r w:rsidRPr="009F6F7A">
              <w:rPr>
                <w:rStyle w:val="Hyperlink"/>
              </w:rPr>
              <w:t>Summary of the roadmap</w:t>
            </w:r>
            <w:r>
              <w:rPr>
                <w:webHidden/>
              </w:rPr>
              <w:tab/>
            </w:r>
            <w:r>
              <w:rPr>
                <w:webHidden/>
              </w:rPr>
              <w:fldChar w:fldCharType="begin"/>
            </w:r>
            <w:r>
              <w:rPr>
                <w:webHidden/>
              </w:rPr>
              <w:instrText xml:space="preserve"> PAGEREF _Toc200016998 \h </w:instrText>
            </w:r>
            <w:r>
              <w:rPr>
                <w:webHidden/>
              </w:rPr>
            </w:r>
            <w:r>
              <w:rPr>
                <w:webHidden/>
              </w:rPr>
              <w:fldChar w:fldCharType="separate"/>
            </w:r>
            <w:r w:rsidR="00590DAA">
              <w:rPr>
                <w:webHidden/>
              </w:rPr>
              <w:t>9</w:t>
            </w:r>
            <w:r>
              <w:rPr>
                <w:webHidden/>
              </w:rPr>
              <w:fldChar w:fldCharType="end"/>
            </w:r>
          </w:hyperlink>
        </w:p>
        <w:p w14:paraId="031DF795" w14:textId="56BC04BB"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6999" w:history="1">
            <w:r w:rsidRPr="009F6F7A">
              <w:rPr>
                <w:rStyle w:val="Hyperlink"/>
              </w:rPr>
              <w:t>2.1</w:t>
            </w:r>
            <w:r>
              <w:rPr>
                <w:rFonts w:eastAsiaTheme="minorEastAsia"/>
                <w:kern w:val="2"/>
                <w:sz w:val="24"/>
                <w:szCs w:val="24"/>
                <w:lang w:eastAsia="en-AU"/>
                <w14:ligatures w14:val="standardContextual"/>
              </w:rPr>
              <w:tab/>
            </w:r>
            <w:r w:rsidRPr="009F6F7A">
              <w:rPr>
                <w:rStyle w:val="Hyperlink"/>
              </w:rPr>
              <w:t>Roadmap description</w:t>
            </w:r>
            <w:r>
              <w:rPr>
                <w:webHidden/>
              </w:rPr>
              <w:tab/>
            </w:r>
            <w:r>
              <w:rPr>
                <w:webHidden/>
              </w:rPr>
              <w:fldChar w:fldCharType="begin"/>
            </w:r>
            <w:r>
              <w:rPr>
                <w:webHidden/>
              </w:rPr>
              <w:instrText xml:space="preserve"> PAGEREF _Toc200016999 \h </w:instrText>
            </w:r>
            <w:r>
              <w:rPr>
                <w:webHidden/>
              </w:rPr>
            </w:r>
            <w:r>
              <w:rPr>
                <w:webHidden/>
              </w:rPr>
              <w:fldChar w:fldCharType="separate"/>
            </w:r>
            <w:r w:rsidR="00590DAA">
              <w:rPr>
                <w:webHidden/>
              </w:rPr>
              <w:t>10</w:t>
            </w:r>
            <w:r>
              <w:rPr>
                <w:webHidden/>
              </w:rPr>
              <w:fldChar w:fldCharType="end"/>
            </w:r>
          </w:hyperlink>
        </w:p>
        <w:p w14:paraId="2FAFC142" w14:textId="706B50AF"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0" w:history="1">
            <w:r w:rsidRPr="009F6F7A">
              <w:rPr>
                <w:rStyle w:val="Hyperlink"/>
              </w:rPr>
              <w:t>2.2</w:t>
            </w:r>
            <w:r>
              <w:rPr>
                <w:rFonts w:eastAsiaTheme="minorEastAsia"/>
                <w:kern w:val="2"/>
                <w:sz w:val="24"/>
                <w:szCs w:val="24"/>
                <w:lang w:eastAsia="en-AU"/>
                <w14:ligatures w14:val="standardContextual"/>
              </w:rPr>
              <w:tab/>
            </w:r>
            <w:r w:rsidRPr="009F6F7A">
              <w:rPr>
                <w:rStyle w:val="Hyperlink"/>
              </w:rPr>
              <w:t>Roadmap expansion principles</w:t>
            </w:r>
            <w:r>
              <w:rPr>
                <w:webHidden/>
              </w:rPr>
              <w:tab/>
            </w:r>
            <w:r>
              <w:rPr>
                <w:webHidden/>
              </w:rPr>
              <w:fldChar w:fldCharType="begin"/>
            </w:r>
            <w:r>
              <w:rPr>
                <w:webHidden/>
              </w:rPr>
              <w:instrText xml:space="preserve"> PAGEREF _Toc200017000 \h </w:instrText>
            </w:r>
            <w:r>
              <w:rPr>
                <w:webHidden/>
              </w:rPr>
            </w:r>
            <w:r>
              <w:rPr>
                <w:webHidden/>
              </w:rPr>
              <w:fldChar w:fldCharType="separate"/>
            </w:r>
            <w:r w:rsidR="00590DAA">
              <w:rPr>
                <w:webHidden/>
              </w:rPr>
              <w:t>10</w:t>
            </w:r>
            <w:r>
              <w:rPr>
                <w:webHidden/>
              </w:rPr>
              <w:fldChar w:fldCharType="end"/>
            </w:r>
          </w:hyperlink>
        </w:p>
        <w:p w14:paraId="0495C851" w14:textId="7601CDC4"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1" w:history="1">
            <w:r w:rsidRPr="009F6F7A">
              <w:rPr>
                <w:rStyle w:val="Hyperlink"/>
              </w:rPr>
              <w:t>2.3</w:t>
            </w:r>
            <w:r>
              <w:rPr>
                <w:rFonts w:eastAsiaTheme="minorEastAsia"/>
                <w:kern w:val="2"/>
                <w:sz w:val="24"/>
                <w:szCs w:val="24"/>
                <w:lang w:eastAsia="en-AU"/>
                <w14:ligatures w14:val="standardContextual"/>
              </w:rPr>
              <w:tab/>
            </w:r>
            <w:r w:rsidRPr="009F6F7A">
              <w:rPr>
                <w:rStyle w:val="Hyperlink"/>
              </w:rPr>
              <w:t>Roadmap benefits</w:t>
            </w:r>
            <w:r>
              <w:rPr>
                <w:webHidden/>
              </w:rPr>
              <w:tab/>
            </w:r>
            <w:r>
              <w:rPr>
                <w:webHidden/>
              </w:rPr>
              <w:fldChar w:fldCharType="begin"/>
            </w:r>
            <w:r>
              <w:rPr>
                <w:webHidden/>
              </w:rPr>
              <w:instrText xml:space="preserve"> PAGEREF _Toc200017001 \h </w:instrText>
            </w:r>
            <w:r>
              <w:rPr>
                <w:webHidden/>
              </w:rPr>
            </w:r>
            <w:r>
              <w:rPr>
                <w:webHidden/>
              </w:rPr>
              <w:fldChar w:fldCharType="separate"/>
            </w:r>
            <w:r w:rsidR="00590DAA">
              <w:rPr>
                <w:webHidden/>
              </w:rPr>
              <w:t>14</w:t>
            </w:r>
            <w:r>
              <w:rPr>
                <w:webHidden/>
              </w:rPr>
              <w:fldChar w:fldCharType="end"/>
            </w:r>
          </w:hyperlink>
        </w:p>
        <w:p w14:paraId="01326C8C" w14:textId="308394F1"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7002" w:history="1">
            <w:r w:rsidRPr="009F6F7A">
              <w:rPr>
                <w:rStyle w:val="Hyperlink"/>
              </w:rPr>
              <w:t>Core elements of an expanded CBD Program</w:t>
            </w:r>
            <w:r>
              <w:rPr>
                <w:webHidden/>
              </w:rPr>
              <w:tab/>
            </w:r>
            <w:r>
              <w:rPr>
                <w:webHidden/>
              </w:rPr>
              <w:fldChar w:fldCharType="begin"/>
            </w:r>
            <w:r>
              <w:rPr>
                <w:webHidden/>
              </w:rPr>
              <w:instrText xml:space="preserve"> PAGEREF _Toc200017002 \h </w:instrText>
            </w:r>
            <w:r>
              <w:rPr>
                <w:webHidden/>
              </w:rPr>
            </w:r>
            <w:r>
              <w:rPr>
                <w:webHidden/>
              </w:rPr>
              <w:fldChar w:fldCharType="separate"/>
            </w:r>
            <w:r w:rsidR="00590DAA">
              <w:rPr>
                <w:webHidden/>
              </w:rPr>
              <w:t>17</w:t>
            </w:r>
            <w:r>
              <w:rPr>
                <w:webHidden/>
              </w:rPr>
              <w:fldChar w:fldCharType="end"/>
            </w:r>
          </w:hyperlink>
        </w:p>
        <w:p w14:paraId="067AF547" w14:textId="6892D7F4"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3" w:history="1">
            <w:r w:rsidRPr="009F6F7A">
              <w:rPr>
                <w:rStyle w:val="Hyperlink"/>
              </w:rPr>
              <w:t>3.1</w:t>
            </w:r>
            <w:r>
              <w:rPr>
                <w:rFonts w:eastAsiaTheme="minorEastAsia"/>
                <w:kern w:val="2"/>
                <w:sz w:val="24"/>
                <w:szCs w:val="24"/>
                <w:lang w:eastAsia="en-AU"/>
                <w14:ligatures w14:val="standardContextual"/>
              </w:rPr>
              <w:tab/>
            </w:r>
            <w:r w:rsidRPr="009F6F7A">
              <w:rPr>
                <w:rStyle w:val="Hyperlink"/>
              </w:rPr>
              <w:t>Using trusted and benchmarked energy rating tools to satisfy CBD obligations</w:t>
            </w:r>
            <w:r>
              <w:rPr>
                <w:webHidden/>
              </w:rPr>
              <w:tab/>
            </w:r>
            <w:r>
              <w:rPr>
                <w:webHidden/>
              </w:rPr>
              <w:fldChar w:fldCharType="begin"/>
            </w:r>
            <w:r>
              <w:rPr>
                <w:webHidden/>
              </w:rPr>
              <w:instrText xml:space="preserve"> PAGEREF _Toc200017003 \h </w:instrText>
            </w:r>
            <w:r>
              <w:rPr>
                <w:webHidden/>
              </w:rPr>
            </w:r>
            <w:r>
              <w:rPr>
                <w:webHidden/>
              </w:rPr>
              <w:fldChar w:fldCharType="separate"/>
            </w:r>
            <w:r w:rsidR="00590DAA">
              <w:rPr>
                <w:webHidden/>
              </w:rPr>
              <w:t>17</w:t>
            </w:r>
            <w:r>
              <w:rPr>
                <w:webHidden/>
              </w:rPr>
              <w:fldChar w:fldCharType="end"/>
            </w:r>
          </w:hyperlink>
        </w:p>
        <w:p w14:paraId="36206409" w14:textId="436C3C76"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4" w:history="1">
            <w:r w:rsidRPr="009F6F7A">
              <w:rPr>
                <w:rStyle w:val="Hyperlink"/>
              </w:rPr>
              <w:t>3.2</w:t>
            </w:r>
            <w:r>
              <w:rPr>
                <w:rFonts w:eastAsiaTheme="minorEastAsia"/>
                <w:kern w:val="2"/>
                <w:sz w:val="24"/>
                <w:szCs w:val="24"/>
                <w:lang w:eastAsia="en-AU"/>
                <w14:ligatures w14:val="standardContextual"/>
              </w:rPr>
              <w:tab/>
            </w:r>
            <w:r w:rsidRPr="009F6F7A">
              <w:rPr>
                <w:rStyle w:val="Hyperlink"/>
              </w:rPr>
              <w:t>Requirement to obtain an energy rating</w:t>
            </w:r>
            <w:r>
              <w:rPr>
                <w:webHidden/>
              </w:rPr>
              <w:tab/>
            </w:r>
            <w:r>
              <w:rPr>
                <w:webHidden/>
              </w:rPr>
              <w:fldChar w:fldCharType="begin"/>
            </w:r>
            <w:r>
              <w:rPr>
                <w:webHidden/>
              </w:rPr>
              <w:instrText xml:space="preserve"> PAGEREF _Toc200017004 \h </w:instrText>
            </w:r>
            <w:r>
              <w:rPr>
                <w:webHidden/>
              </w:rPr>
            </w:r>
            <w:r>
              <w:rPr>
                <w:webHidden/>
              </w:rPr>
              <w:fldChar w:fldCharType="separate"/>
            </w:r>
            <w:r w:rsidR="00590DAA">
              <w:rPr>
                <w:webHidden/>
              </w:rPr>
              <w:t>17</w:t>
            </w:r>
            <w:r>
              <w:rPr>
                <w:webHidden/>
              </w:rPr>
              <w:fldChar w:fldCharType="end"/>
            </w:r>
          </w:hyperlink>
        </w:p>
        <w:p w14:paraId="13AA77EF" w14:textId="1A0411F0"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5" w:history="1">
            <w:r w:rsidRPr="009F6F7A">
              <w:rPr>
                <w:rStyle w:val="Hyperlink"/>
              </w:rPr>
              <w:t>3.3</w:t>
            </w:r>
            <w:r>
              <w:rPr>
                <w:rFonts w:eastAsiaTheme="minorEastAsia"/>
                <w:kern w:val="2"/>
                <w:sz w:val="24"/>
                <w:szCs w:val="24"/>
                <w:lang w:eastAsia="en-AU"/>
                <w14:ligatures w14:val="standardContextual"/>
              </w:rPr>
              <w:tab/>
            </w:r>
            <w:r w:rsidRPr="009F6F7A">
              <w:rPr>
                <w:rStyle w:val="Hyperlink"/>
              </w:rPr>
              <w:t>No requirement for separate tenancy lighting assessments</w:t>
            </w:r>
            <w:r>
              <w:rPr>
                <w:webHidden/>
              </w:rPr>
              <w:tab/>
            </w:r>
            <w:r>
              <w:rPr>
                <w:webHidden/>
              </w:rPr>
              <w:fldChar w:fldCharType="begin"/>
            </w:r>
            <w:r>
              <w:rPr>
                <w:webHidden/>
              </w:rPr>
              <w:instrText xml:space="preserve"> PAGEREF _Toc200017005 \h </w:instrText>
            </w:r>
            <w:r>
              <w:rPr>
                <w:webHidden/>
              </w:rPr>
            </w:r>
            <w:r>
              <w:rPr>
                <w:webHidden/>
              </w:rPr>
              <w:fldChar w:fldCharType="separate"/>
            </w:r>
            <w:r w:rsidR="00590DAA">
              <w:rPr>
                <w:webHidden/>
              </w:rPr>
              <w:t>18</w:t>
            </w:r>
            <w:r>
              <w:rPr>
                <w:webHidden/>
              </w:rPr>
              <w:fldChar w:fldCharType="end"/>
            </w:r>
          </w:hyperlink>
        </w:p>
        <w:p w14:paraId="0DC7CB11" w14:textId="524FC09C"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6" w:history="1">
            <w:r w:rsidRPr="009F6F7A">
              <w:rPr>
                <w:rStyle w:val="Hyperlink"/>
              </w:rPr>
              <w:t>3.4</w:t>
            </w:r>
            <w:r>
              <w:rPr>
                <w:rFonts w:eastAsiaTheme="minorEastAsia"/>
                <w:kern w:val="2"/>
                <w:sz w:val="24"/>
                <w:szCs w:val="24"/>
                <w:lang w:eastAsia="en-AU"/>
                <w14:ligatures w14:val="standardContextual"/>
              </w:rPr>
              <w:tab/>
            </w:r>
            <w:r w:rsidRPr="009F6F7A">
              <w:rPr>
                <w:rStyle w:val="Hyperlink"/>
              </w:rPr>
              <w:t>Requirement to disclose energy ratings</w:t>
            </w:r>
            <w:r>
              <w:rPr>
                <w:webHidden/>
              </w:rPr>
              <w:tab/>
            </w:r>
            <w:r>
              <w:rPr>
                <w:webHidden/>
              </w:rPr>
              <w:fldChar w:fldCharType="begin"/>
            </w:r>
            <w:r>
              <w:rPr>
                <w:webHidden/>
              </w:rPr>
              <w:instrText xml:space="preserve"> PAGEREF _Toc200017006 \h </w:instrText>
            </w:r>
            <w:r>
              <w:rPr>
                <w:webHidden/>
              </w:rPr>
            </w:r>
            <w:r>
              <w:rPr>
                <w:webHidden/>
              </w:rPr>
              <w:fldChar w:fldCharType="separate"/>
            </w:r>
            <w:r w:rsidR="00590DAA">
              <w:rPr>
                <w:webHidden/>
              </w:rPr>
              <w:t>18</w:t>
            </w:r>
            <w:r>
              <w:rPr>
                <w:webHidden/>
              </w:rPr>
              <w:fldChar w:fldCharType="end"/>
            </w:r>
          </w:hyperlink>
        </w:p>
        <w:p w14:paraId="44C60A57" w14:textId="1A265B0C"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7" w:history="1">
            <w:r w:rsidRPr="009F6F7A">
              <w:rPr>
                <w:rStyle w:val="Hyperlink"/>
              </w:rPr>
              <w:t>3.5</w:t>
            </w:r>
            <w:r>
              <w:rPr>
                <w:rFonts w:eastAsiaTheme="minorEastAsia"/>
                <w:kern w:val="2"/>
                <w:sz w:val="24"/>
                <w:szCs w:val="24"/>
                <w:lang w:eastAsia="en-AU"/>
                <w14:ligatures w14:val="standardContextual"/>
              </w:rPr>
              <w:tab/>
            </w:r>
            <w:r w:rsidRPr="009F6F7A">
              <w:rPr>
                <w:rStyle w:val="Hyperlink"/>
              </w:rPr>
              <w:t>Validity period</w:t>
            </w:r>
            <w:r>
              <w:rPr>
                <w:webHidden/>
              </w:rPr>
              <w:tab/>
            </w:r>
            <w:r>
              <w:rPr>
                <w:webHidden/>
              </w:rPr>
              <w:fldChar w:fldCharType="begin"/>
            </w:r>
            <w:r>
              <w:rPr>
                <w:webHidden/>
              </w:rPr>
              <w:instrText xml:space="preserve"> PAGEREF _Toc200017007 \h </w:instrText>
            </w:r>
            <w:r>
              <w:rPr>
                <w:webHidden/>
              </w:rPr>
            </w:r>
            <w:r>
              <w:rPr>
                <w:webHidden/>
              </w:rPr>
              <w:fldChar w:fldCharType="separate"/>
            </w:r>
            <w:r w:rsidR="00590DAA">
              <w:rPr>
                <w:webHidden/>
              </w:rPr>
              <w:t>19</w:t>
            </w:r>
            <w:r>
              <w:rPr>
                <w:webHidden/>
              </w:rPr>
              <w:fldChar w:fldCharType="end"/>
            </w:r>
          </w:hyperlink>
        </w:p>
        <w:p w14:paraId="7C878A29" w14:textId="577A382D"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8" w:history="1">
            <w:r w:rsidRPr="009F6F7A">
              <w:rPr>
                <w:rStyle w:val="Hyperlink"/>
              </w:rPr>
              <w:t>3.6</w:t>
            </w:r>
            <w:r>
              <w:rPr>
                <w:rFonts w:eastAsiaTheme="minorEastAsia"/>
                <w:kern w:val="2"/>
                <w:sz w:val="24"/>
                <w:szCs w:val="24"/>
                <w:lang w:eastAsia="en-AU"/>
                <w14:ligatures w14:val="standardContextual"/>
              </w:rPr>
              <w:tab/>
            </w:r>
            <w:r w:rsidRPr="009F6F7A">
              <w:rPr>
                <w:rStyle w:val="Hyperlink"/>
              </w:rPr>
              <w:t>Exemptions from disclosure obligations and buildings that are not disclosure affected</w:t>
            </w:r>
            <w:r>
              <w:rPr>
                <w:webHidden/>
              </w:rPr>
              <w:tab/>
            </w:r>
            <w:r>
              <w:rPr>
                <w:webHidden/>
              </w:rPr>
              <w:fldChar w:fldCharType="begin"/>
            </w:r>
            <w:r>
              <w:rPr>
                <w:webHidden/>
              </w:rPr>
              <w:instrText xml:space="preserve"> PAGEREF _Toc200017008 \h </w:instrText>
            </w:r>
            <w:r>
              <w:rPr>
                <w:webHidden/>
              </w:rPr>
            </w:r>
            <w:r>
              <w:rPr>
                <w:webHidden/>
              </w:rPr>
              <w:fldChar w:fldCharType="separate"/>
            </w:r>
            <w:r w:rsidR="00590DAA">
              <w:rPr>
                <w:webHidden/>
              </w:rPr>
              <w:t>20</w:t>
            </w:r>
            <w:r>
              <w:rPr>
                <w:webHidden/>
              </w:rPr>
              <w:fldChar w:fldCharType="end"/>
            </w:r>
          </w:hyperlink>
        </w:p>
        <w:p w14:paraId="76CC4FEF" w14:textId="0E40B9E5"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09" w:history="1">
            <w:r w:rsidRPr="009F6F7A">
              <w:rPr>
                <w:rStyle w:val="Hyperlink"/>
              </w:rPr>
              <w:t>3.7</w:t>
            </w:r>
            <w:r>
              <w:rPr>
                <w:rFonts w:eastAsiaTheme="minorEastAsia"/>
                <w:kern w:val="2"/>
                <w:sz w:val="24"/>
                <w:szCs w:val="24"/>
                <w:lang w:eastAsia="en-AU"/>
                <w14:ligatures w14:val="standardContextual"/>
              </w:rPr>
              <w:tab/>
            </w:r>
            <w:r w:rsidRPr="009F6F7A">
              <w:rPr>
                <w:rStyle w:val="Hyperlink"/>
              </w:rPr>
              <w:t>Accreditation of assessors</w:t>
            </w:r>
            <w:r>
              <w:rPr>
                <w:webHidden/>
              </w:rPr>
              <w:tab/>
            </w:r>
            <w:r>
              <w:rPr>
                <w:webHidden/>
              </w:rPr>
              <w:fldChar w:fldCharType="begin"/>
            </w:r>
            <w:r>
              <w:rPr>
                <w:webHidden/>
              </w:rPr>
              <w:instrText xml:space="preserve"> PAGEREF _Toc200017009 \h </w:instrText>
            </w:r>
            <w:r>
              <w:rPr>
                <w:webHidden/>
              </w:rPr>
            </w:r>
            <w:r>
              <w:rPr>
                <w:webHidden/>
              </w:rPr>
              <w:fldChar w:fldCharType="separate"/>
            </w:r>
            <w:r w:rsidR="00590DAA">
              <w:rPr>
                <w:webHidden/>
              </w:rPr>
              <w:t>20</w:t>
            </w:r>
            <w:r>
              <w:rPr>
                <w:webHidden/>
              </w:rPr>
              <w:fldChar w:fldCharType="end"/>
            </w:r>
          </w:hyperlink>
        </w:p>
        <w:p w14:paraId="17238C92" w14:textId="76758413"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0" w:history="1">
            <w:r w:rsidRPr="009F6F7A">
              <w:rPr>
                <w:rStyle w:val="Hyperlink"/>
              </w:rPr>
              <w:t>3.8</w:t>
            </w:r>
            <w:r>
              <w:rPr>
                <w:rFonts w:eastAsiaTheme="minorEastAsia"/>
                <w:kern w:val="2"/>
                <w:sz w:val="24"/>
                <w:szCs w:val="24"/>
                <w:lang w:eastAsia="en-AU"/>
                <w14:ligatures w14:val="standardContextual"/>
              </w:rPr>
              <w:tab/>
            </w:r>
            <w:r w:rsidRPr="009F6F7A">
              <w:rPr>
                <w:rStyle w:val="Hyperlink"/>
              </w:rPr>
              <w:t>Compliance and enforcement</w:t>
            </w:r>
            <w:r>
              <w:rPr>
                <w:webHidden/>
              </w:rPr>
              <w:tab/>
            </w:r>
            <w:r>
              <w:rPr>
                <w:webHidden/>
              </w:rPr>
              <w:fldChar w:fldCharType="begin"/>
            </w:r>
            <w:r>
              <w:rPr>
                <w:webHidden/>
              </w:rPr>
              <w:instrText xml:space="preserve"> PAGEREF _Toc200017010 \h </w:instrText>
            </w:r>
            <w:r>
              <w:rPr>
                <w:webHidden/>
              </w:rPr>
            </w:r>
            <w:r>
              <w:rPr>
                <w:webHidden/>
              </w:rPr>
              <w:fldChar w:fldCharType="separate"/>
            </w:r>
            <w:r w:rsidR="00590DAA">
              <w:rPr>
                <w:webHidden/>
              </w:rPr>
              <w:t>21</w:t>
            </w:r>
            <w:r>
              <w:rPr>
                <w:webHidden/>
              </w:rPr>
              <w:fldChar w:fldCharType="end"/>
            </w:r>
          </w:hyperlink>
        </w:p>
        <w:p w14:paraId="49D4838C" w14:textId="0937885A"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1" w:history="1">
            <w:r w:rsidRPr="009F6F7A">
              <w:rPr>
                <w:rStyle w:val="Hyperlink"/>
              </w:rPr>
              <w:t>3.9</w:t>
            </w:r>
            <w:r>
              <w:rPr>
                <w:rFonts w:eastAsiaTheme="minorEastAsia"/>
                <w:kern w:val="2"/>
                <w:sz w:val="24"/>
                <w:szCs w:val="24"/>
                <w:lang w:eastAsia="en-AU"/>
                <w14:ligatures w14:val="standardContextual"/>
              </w:rPr>
              <w:tab/>
            </w:r>
            <w:r w:rsidRPr="009F6F7A">
              <w:rPr>
                <w:rStyle w:val="Hyperlink"/>
              </w:rPr>
              <w:t>Data sharing</w:t>
            </w:r>
            <w:r>
              <w:rPr>
                <w:webHidden/>
              </w:rPr>
              <w:tab/>
            </w:r>
            <w:r>
              <w:rPr>
                <w:webHidden/>
              </w:rPr>
              <w:fldChar w:fldCharType="begin"/>
            </w:r>
            <w:r>
              <w:rPr>
                <w:webHidden/>
              </w:rPr>
              <w:instrText xml:space="preserve"> PAGEREF _Toc200017011 \h </w:instrText>
            </w:r>
            <w:r>
              <w:rPr>
                <w:webHidden/>
              </w:rPr>
            </w:r>
            <w:r>
              <w:rPr>
                <w:webHidden/>
              </w:rPr>
              <w:fldChar w:fldCharType="separate"/>
            </w:r>
            <w:r w:rsidR="00590DAA">
              <w:rPr>
                <w:webHidden/>
              </w:rPr>
              <w:t>21</w:t>
            </w:r>
            <w:r>
              <w:rPr>
                <w:webHidden/>
              </w:rPr>
              <w:fldChar w:fldCharType="end"/>
            </w:r>
          </w:hyperlink>
        </w:p>
        <w:p w14:paraId="78C768C6" w14:textId="0B1D3D22"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2" w:history="1">
            <w:r w:rsidRPr="009F6F7A">
              <w:rPr>
                <w:rStyle w:val="Hyperlink"/>
              </w:rPr>
              <w:t>3.10</w:t>
            </w:r>
            <w:r>
              <w:rPr>
                <w:rFonts w:eastAsiaTheme="minorEastAsia"/>
                <w:kern w:val="2"/>
                <w:sz w:val="24"/>
                <w:szCs w:val="24"/>
                <w:lang w:eastAsia="en-AU"/>
                <w14:ligatures w14:val="standardContextual"/>
              </w:rPr>
              <w:tab/>
            </w:r>
            <w:r w:rsidRPr="009F6F7A">
              <w:rPr>
                <w:rStyle w:val="Hyperlink"/>
              </w:rPr>
              <w:t>Fees</w:t>
            </w:r>
            <w:r>
              <w:rPr>
                <w:webHidden/>
              </w:rPr>
              <w:tab/>
            </w:r>
            <w:r>
              <w:rPr>
                <w:webHidden/>
              </w:rPr>
              <w:fldChar w:fldCharType="begin"/>
            </w:r>
            <w:r>
              <w:rPr>
                <w:webHidden/>
              </w:rPr>
              <w:instrText xml:space="preserve"> PAGEREF _Toc200017012 \h </w:instrText>
            </w:r>
            <w:r>
              <w:rPr>
                <w:webHidden/>
              </w:rPr>
            </w:r>
            <w:r>
              <w:rPr>
                <w:webHidden/>
              </w:rPr>
              <w:fldChar w:fldCharType="separate"/>
            </w:r>
            <w:r w:rsidR="00590DAA">
              <w:rPr>
                <w:webHidden/>
              </w:rPr>
              <w:t>22</w:t>
            </w:r>
            <w:r>
              <w:rPr>
                <w:webHidden/>
              </w:rPr>
              <w:fldChar w:fldCharType="end"/>
            </w:r>
          </w:hyperlink>
        </w:p>
        <w:p w14:paraId="150B68BF" w14:textId="69138B8E"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7013" w:history="1">
            <w:r w:rsidRPr="009F6F7A">
              <w:rPr>
                <w:rStyle w:val="Hyperlink"/>
              </w:rPr>
              <w:t>High pri</w:t>
            </w:r>
            <w:r w:rsidRPr="009F6F7A">
              <w:rPr>
                <w:rStyle w:val="Hyperlink"/>
              </w:rPr>
              <w:t>o</w:t>
            </w:r>
            <w:r w:rsidRPr="009F6F7A">
              <w:rPr>
                <w:rStyle w:val="Hyperlink"/>
              </w:rPr>
              <w:t>rity actions (stages 1-7)</w:t>
            </w:r>
            <w:r>
              <w:rPr>
                <w:webHidden/>
              </w:rPr>
              <w:tab/>
            </w:r>
            <w:r>
              <w:rPr>
                <w:webHidden/>
              </w:rPr>
              <w:fldChar w:fldCharType="begin"/>
            </w:r>
            <w:r>
              <w:rPr>
                <w:webHidden/>
              </w:rPr>
              <w:instrText xml:space="preserve"> PAGEREF _Toc200017013 \h </w:instrText>
            </w:r>
            <w:r>
              <w:rPr>
                <w:webHidden/>
              </w:rPr>
            </w:r>
            <w:r>
              <w:rPr>
                <w:webHidden/>
              </w:rPr>
              <w:fldChar w:fldCharType="separate"/>
            </w:r>
            <w:r w:rsidR="00590DAA">
              <w:rPr>
                <w:webHidden/>
              </w:rPr>
              <w:t>23</w:t>
            </w:r>
            <w:r>
              <w:rPr>
                <w:webHidden/>
              </w:rPr>
              <w:fldChar w:fldCharType="end"/>
            </w:r>
          </w:hyperlink>
        </w:p>
        <w:p w14:paraId="71BE21C1" w14:textId="2CCD2B56"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4" w:history="1">
            <w:r w:rsidRPr="009F6F7A">
              <w:rPr>
                <w:rStyle w:val="Hyperlink"/>
              </w:rPr>
              <w:t>4.1</w:t>
            </w:r>
            <w:r>
              <w:rPr>
                <w:rFonts w:eastAsiaTheme="minorEastAsia"/>
                <w:kern w:val="2"/>
                <w:sz w:val="24"/>
                <w:szCs w:val="24"/>
                <w:lang w:eastAsia="en-AU"/>
                <w14:ligatures w14:val="standardContextual"/>
              </w:rPr>
              <w:tab/>
            </w:r>
            <w:r w:rsidRPr="009F6F7A">
              <w:rPr>
                <w:rStyle w:val="Hyperlink"/>
              </w:rPr>
              <w:t>Non-regulatory activities</w:t>
            </w:r>
            <w:r>
              <w:rPr>
                <w:webHidden/>
              </w:rPr>
              <w:tab/>
            </w:r>
            <w:r>
              <w:rPr>
                <w:webHidden/>
              </w:rPr>
              <w:fldChar w:fldCharType="begin"/>
            </w:r>
            <w:r>
              <w:rPr>
                <w:webHidden/>
              </w:rPr>
              <w:instrText xml:space="preserve"> PAGEREF _Toc200017014 \h </w:instrText>
            </w:r>
            <w:r>
              <w:rPr>
                <w:webHidden/>
              </w:rPr>
            </w:r>
            <w:r>
              <w:rPr>
                <w:webHidden/>
              </w:rPr>
              <w:fldChar w:fldCharType="separate"/>
            </w:r>
            <w:r w:rsidR="00590DAA">
              <w:rPr>
                <w:webHidden/>
              </w:rPr>
              <w:t>23</w:t>
            </w:r>
            <w:r>
              <w:rPr>
                <w:webHidden/>
              </w:rPr>
              <w:fldChar w:fldCharType="end"/>
            </w:r>
          </w:hyperlink>
        </w:p>
        <w:p w14:paraId="2621D610" w14:textId="7F113186"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5" w:history="1">
            <w:r w:rsidRPr="009F6F7A">
              <w:rPr>
                <w:rStyle w:val="Hyperlink"/>
              </w:rPr>
              <w:t>4.2</w:t>
            </w:r>
            <w:r>
              <w:rPr>
                <w:rFonts w:eastAsiaTheme="minorEastAsia"/>
                <w:kern w:val="2"/>
                <w:sz w:val="24"/>
                <w:szCs w:val="24"/>
                <w:lang w:eastAsia="en-AU"/>
                <w14:ligatures w14:val="standardContextual"/>
              </w:rPr>
              <w:tab/>
            </w:r>
            <w:r w:rsidRPr="009F6F7A">
              <w:rPr>
                <w:rStyle w:val="Hyperlink"/>
              </w:rPr>
              <w:t>Renewable Energy Indicator</w:t>
            </w:r>
            <w:r>
              <w:rPr>
                <w:webHidden/>
              </w:rPr>
              <w:tab/>
            </w:r>
            <w:r>
              <w:rPr>
                <w:webHidden/>
              </w:rPr>
              <w:fldChar w:fldCharType="begin"/>
            </w:r>
            <w:r>
              <w:rPr>
                <w:webHidden/>
              </w:rPr>
              <w:instrText xml:space="preserve"> PAGEREF _Toc200017015 \h </w:instrText>
            </w:r>
            <w:r>
              <w:rPr>
                <w:webHidden/>
              </w:rPr>
            </w:r>
            <w:r>
              <w:rPr>
                <w:webHidden/>
              </w:rPr>
              <w:fldChar w:fldCharType="separate"/>
            </w:r>
            <w:r w:rsidR="00590DAA">
              <w:rPr>
                <w:webHidden/>
              </w:rPr>
              <w:t>23</w:t>
            </w:r>
            <w:r>
              <w:rPr>
                <w:webHidden/>
              </w:rPr>
              <w:fldChar w:fldCharType="end"/>
            </w:r>
          </w:hyperlink>
        </w:p>
        <w:p w14:paraId="7B1DDB7B" w14:textId="62B7F9C7"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6" w:history="1">
            <w:r w:rsidRPr="009F6F7A">
              <w:rPr>
                <w:rStyle w:val="Hyperlink"/>
              </w:rPr>
              <w:t>4.3</w:t>
            </w:r>
            <w:r>
              <w:rPr>
                <w:rFonts w:eastAsiaTheme="minorEastAsia"/>
                <w:kern w:val="2"/>
                <w:sz w:val="24"/>
                <w:szCs w:val="24"/>
                <w:lang w:eastAsia="en-AU"/>
                <w14:ligatures w14:val="standardContextual"/>
              </w:rPr>
              <w:tab/>
            </w:r>
            <w:r w:rsidRPr="009F6F7A">
              <w:rPr>
                <w:rStyle w:val="Hyperlink"/>
              </w:rPr>
              <w:t>Periodic trigger</w:t>
            </w:r>
            <w:r>
              <w:rPr>
                <w:webHidden/>
              </w:rPr>
              <w:tab/>
            </w:r>
            <w:r>
              <w:rPr>
                <w:webHidden/>
              </w:rPr>
              <w:fldChar w:fldCharType="begin"/>
            </w:r>
            <w:r>
              <w:rPr>
                <w:webHidden/>
              </w:rPr>
              <w:instrText xml:space="preserve"> PAGEREF _Toc200017016 \h </w:instrText>
            </w:r>
            <w:r>
              <w:rPr>
                <w:webHidden/>
              </w:rPr>
            </w:r>
            <w:r>
              <w:rPr>
                <w:webHidden/>
              </w:rPr>
              <w:fldChar w:fldCharType="separate"/>
            </w:r>
            <w:r w:rsidR="00590DAA">
              <w:rPr>
                <w:webHidden/>
              </w:rPr>
              <w:t>24</w:t>
            </w:r>
            <w:r>
              <w:rPr>
                <w:webHidden/>
              </w:rPr>
              <w:fldChar w:fldCharType="end"/>
            </w:r>
          </w:hyperlink>
        </w:p>
        <w:p w14:paraId="4379FC50" w14:textId="70A04AA0"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7" w:history="1">
            <w:r w:rsidRPr="009F6F7A">
              <w:rPr>
                <w:rStyle w:val="Hyperlink"/>
              </w:rPr>
              <w:t>4.4</w:t>
            </w:r>
            <w:r>
              <w:rPr>
                <w:rFonts w:eastAsiaTheme="minorEastAsia"/>
                <w:kern w:val="2"/>
                <w:sz w:val="24"/>
                <w:szCs w:val="24"/>
                <w:lang w:eastAsia="en-AU"/>
                <w14:ligatures w14:val="standardContextual"/>
              </w:rPr>
              <w:tab/>
            </w:r>
            <w:r w:rsidRPr="009F6F7A">
              <w:rPr>
                <w:rStyle w:val="Hyperlink"/>
              </w:rPr>
              <w:t>Ownership types</w:t>
            </w:r>
            <w:r>
              <w:rPr>
                <w:webHidden/>
              </w:rPr>
              <w:tab/>
            </w:r>
            <w:r>
              <w:rPr>
                <w:webHidden/>
              </w:rPr>
              <w:fldChar w:fldCharType="begin"/>
            </w:r>
            <w:r>
              <w:rPr>
                <w:webHidden/>
              </w:rPr>
              <w:instrText xml:space="preserve"> PAGEREF _Toc200017017 \h </w:instrText>
            </w:r>
            <w:r>
              <w:rPr>
                <w:webHidden/>
              </w:rPr>
            </w:r>
            <w:r>
              <w:rPr>
                <w:webHidden/>
              </w:rPr>
              <w:fldChar w:fldCharType="separate"/>
            </w:r>
            <w:r w:rsidR="00590DAA">
              <w:rPr>
                <w:webHidden/>
              </w:rPr>
              <w:t>24</w:t>
            </w:r>
            <w:r>
              <w:rPr>
                <w:webHidden/>
              </w:rPr>
              <w:fldChar w:fldCharType="end"/>
            </w:r>
          </w:hyperlink>
        </w:p>
        <w:p w14:paraId="39D16201" w14:textId="6E1ABFF4"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8" w:history="1">
            <w:r w:rsidRPr="009F6F7A">
              <w:rPr>
                <w:rStyle w:val="Hyperlink"/>
              </w:rPr>
              <w:t>4.5</w:t>
            </w:r>
            <w:r>
              <w:rPr>
                <w:rFonts w:eastAsiaTheme="minorEastAsia"/>
                <w:kern w:val="2"/>
                <w:sz w:val="24"/>
                <w:szCs w:val="24"/>
                <w:lang w:eastAsia="en-AU"/>
                <w14:ligatures w14:val="standardContextual"/>
              </w:rPr>
              <w:tab/>
            </w:r>
            <w:r w:rsidRPr="009F6F7A">
              <w:rPr>
                <w:rStyle w:val="Hyperlink"/>
              </w:rPr>
              <w:t>Office tenancies</w:t>
            </w:r>
            <w:r>
              <w:rPr>
                <w:webHidden/>
              </w:rPr>
              <w:tab/>
            </w:r>
            <w:r>
              <w:rPr>
                <w:webHidden/>
              </w:rPr>
              <w:fldChar w:fldCharType="begin"/>
            </w:r>
            <w:r>
              <w:rPr>
                <w:webHidden/>
              </w:rPr>
              <w:instrText xml:space="preserve"> PAGEREF _Toc200017018 \h </w:instrText>
            </w:r>
            <w:r>
              <w:rPr>
                <w:webHidden/>
              </w:rPr>
            </w:r>
            <w:r>
              <w:rPr>
                <w:webHidden/>
              </w:rPr>
              <w:fldChar w:fldCharType="separate"/>
            </w:r>
            <w:r w:rsidR="00590DAA">
              <w:rPr>
                <w:webHidden/>
              </w:rPr>
              <w:t>25</w:t>
            </w:r>
            <w:r>
              <w:rPr>
                <w:webHidden/>
              </w:rPr>
              <w:fldChar w:fldCharType="end"/>
            </w:r>
          </w:hyperlink>
        </w:p>
        <w:p w14:paraId="30A98B25" w14:textId="0935A6F1"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19" w:history="1">
            <w:r w:rsidRPr="009F6F7A">
              <w:rPr>
                <w:rStyle w:val="Hyperlink"/>
              </w:rPr>
              <w:t>4.6</w:t>
            </w:r>
            <w:r>
              <w:rPr>
                <w:rFonts w:eastAsiaTheme="minorEastAsia"/>
                <w:kern w:val="2"/>
                <w:sz w:val="24"/>
                <w:szCs w:val="24"/>
                <w:lang w:eastAsia="en-AU"/>
                <w14:ligatures w14:val="standardContextual"/>
              </w:rPr>
              <w:tab/>
            </w:r>
            <w:r w:rsidRPr="009F6F7A">
              <w:rPr>
                <w:rStyle w:val="Hyperlink"/>
              </w:rPr>
              <w:t>Large hotels</w:t>
            </w:r>
            <w:r>
              <w:rPr>
                <w:webHidden/>
              </w:rPr>
              <w:tab/>
            </w:r>
            <w:r>
              <w:rPr>
                <w:webHidden/>
              </w:rPr>
              <w:fldChar w:fldCharType="begin"/>
            </w:r>
            <w:r>
              <w:rPr>
                <w:webHidden/>
              </w:rPr>
              <w:instrText xml:space="preserve"> PAGEREF _Toc200017019 \h </w:instrText>
            </w:r>
            <w:r>
              <w:rPr>
                <w:webHidden/>
              </w:rPr>
            </w:r>
            <w:r>
              <w:rPr>
                <w:webHidden/>
              </w:rPr>
              <w:fldChar w:fldCharType="separate"/>
            </w:r>
            <w:r w:rsidR="00590DAA">
              <w:rPr>
                <w:webHidden/>
              </w:rPr>
              <w:t>25</w:t>
            </w:r>
            <w:r>
              <w:rPr>
                <w:webHidden/>
              </w:rPr>
              <w:fldChar w:fldCharType="end"/>
            </w:r>
          </w:hyperlink>
        </w:p>
        <w:p w14:paraId="734BC88E" w14:textId="6D7FAA10"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0" w:history="1">
            <w:r w:rsidRPr="009F6F7A">
              <w:rPr>
                <w:rStyle w:val="Hyperlink"/>
              </w:rPr>
              <w:t>4.7</w:t>
            </w:r>
            <w:r>
              <w:rPr>
                <w:rFonts w:eastAsiaTheme="minorEastAsia"/>
                <w:kern w:val="2"/>
                <w:sz w:val="24"/>
                <w:szCs w:val="24"/>
                <w:lang w:eastAsia="en-AU"/>
                <w14:ligatures w14:val="standardContextual"/>
              </w:rPr>
              <w:tab/>
            </w:r>
            <w:r w:rsidRPr="009F6F7A">
              <w:rPr>
                <w:rStyle w:val="Hyperlink"/>
              </w:rPr>
              <w:t>Mixed use office buildings</w:t>
            </w:r>
            <w:r>
              <w:rPr>
                <w:webHidden/>
              </w:rPr>
              <w:tab/>
            </w:r>
            <w:r>
              <w:rPr>
                <w:webHidden/>
              </w:rPr>
              <w:fldChar w:fldCharType="begin"/>
            </w:r>
            <w:r>
              <w:rPr>
                <w:webHidden/>
              </w:rPr>
              <w:instrText xml:space="preserve"> PAGEREF _Toc200017020 \h </w:instrText>
            </w:r>
            <w:r>
              <w:rPr>
                <w:webHidden/>
              </w:rPr>
            </w:r>
            <w:r>
              <w:rPr>
                <w:webHidden/>
              </w:rPr>
              <w:fldChar w:fldCharType="separate"/>
            </w:r>
            <w:r w:rsidR="00590DAA">
              <w:rPr>
                <w:webHidden/>
              </w:rPr>
              <w:t>26</w:t>
            </w:r>
            <w:r>
              <w:rPr>
                <w:webHidden/>
              </w:rPr>
              <w:fldChar w:fldCharType="end"/>
            </w:r>
          </w:hyperlink>
        </w:p>
        <w:p w14:paraId="3D59DFAE" w14:textId="47266308"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7021" w:history="1">
            <w:r w:rsidRPr="009F6F7A">
              <w:rPr>
                <w:rStyle w:val="Hyperlink"/>
              </w:rPr>
              <w:t>Future expansion pr</w:t>
            </w:r>
            <w:r w:rsidRPr="009F6F7A">
              <w:rPr>
                <w:rStyle w:val="Hyperlink"/>
              </w:rPr>
              <w:t>i</w:t>
            </w:r>
            <w:r w:rsidRPr="009F6F7A">
              <w:rPr>
                <w:rStyle w:val="Hyperlink"/>
              </w:rPr>
              <w:t>oritisation</w:t>
            </w:r>
            <w:r>
              <w:rPr>
                <w:webHidden/>
              </w:rPr>
              <w:tab/>
            </w:r>
            <w:r>
              <w:rPr>
                <w:webHidden/>
              </w:rPr>
              <w:fldChar w:fldCharType="begin"/>
            </w:r>
            <w:r>
              <w:rPr>
                <w:webHidden/>
              </w:rPr>
              <w:instrText xml:space="preserve"> PAGEREF _Toc200017021 \h </w:instrText>
            </w:r>
            <w:r>
              <w:rPr>
                <w:webHidden/>
              </w:rPr>
            </w:r>
            <w:r>
              <w:rPr>
                <w:webHidden/>
              </w:rPr>
              <w:fldChar w:fldCharType="separate"/>
            </w:r>
            <w:r w:rsidR="00590DAA">
              <w:rPr>
                <w:webHidden/>
              </w:rPr>
              <w:t>28</w:t>
            </w:r>
            <w:r>
              <w:rPr>
                <w:webHidden/>
              </w:rPr>
              <w:fldChar w:fldCharType="end"/>
            </w:r>
          </w:hyperlink>
        </w:p>
        <w:p w14:paraId="3BE6E5DC" w14:textId="176E9ABE"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2" w:history="1">
            <w:r w:rsidRPr="009F6F7A">
              <w:rPr>
                <w:rStyle w:val="Hyperlink"/>
              </w:rPr>
              <w:t>5.1</w:t>
            </w:r>
            <w:r>
              <w:rPr>
                <w:rFonts w:eastAsiaTheme="minorEastAsia"/>
                <w:kern w:val="2"/>
                <w:sz w:val="24"/>
                <w:szCs w:val="24"/>
                <w:lang w:eastAsia="en-AU"/>
                <w14:ligatures w14:val="standardContextual"/>
              </w:rPr>
              <w:tab/>
            </w:r>
            <w:r w:rsidRPr="009F6F7A">
              <w:rPr>
                <w:rStyle w:val="Hyperlink"/>
              </w:rPr>
              <w:t>Prioritisation process</w:t>
            </w:r>
            <w:r>
              <w:rPr>
                <w:webHidden/>
              </w:rPr>
              <w:tab/>
            </w:r>
            <w:r>
              <w:rPr>
                <w:webHidden/>
              </w:rPr>
              <w:fldChar w:fldCharType="begin"/>
            </w:r>
            <w:r>
              <w:rPr>
                <w:webHidden/>
              </w:rPr>
              <w:instrText xml:space="preserve"> PAGEREF _Toc200017022 \h </w:instrText>
            </w:r>
            <w:r>
              <w:rPr>
                <w:webHidden/>
              </w:rPr>
            </w:r>
            <w:r>
              <w:rPr>
                <w:webHidden/>
              </w:rPr>
              <w:fldChar w:fldCharType="separate"/>
            </w:r>
            <w:r w:rsidR="00590DAA">
              <w:rPr>
                <w:webHidden/>
              </w:rPr>
              <w:t>28</w:t>
            </w:r>
            <w:r>
              <w:rPr>
                <w:webHidden/>
              </w:rPr>
              <w:fldChar w:fldCharType="end"/>
            </w:r>
          </w:hyperlink>
        </w:p>
        <w:p w14:paraId="240D05FC" w14:textId="08B5CB38"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3" w:history="1">
            <w:r w:rsidRPr="009F6F7A">
              <w:rPr>
                <w:rStyle w:val="Hyperlink"/>
              </w:rPr>
              <w:t>5.2</w:t>
            </w:r>
            <w:r>
              <w:rPr>
                <w:rFonts w:eastAsiaTheme="minorEastAsia"/>
                <w:kern w:val="2"/>
                <w:sz w:val="24"/>
                <w:szCs w:val="24"/>
                <w:lang w:eastAsia="en-AU"/>
                <w14:ligatures w14:val="standardContextual"/>
              </w:rPr>
              <w:tab/>
            </w:r>
            <w:r w:rsidRPr="009F6F7A">
              <w:rPr>
                <w:rStyle w:val="Hyperlink"/>
              </w:rPr>
              <w:t>Sectors to be considered after high priority changes are addressed (Stage 8)</w:t>
            </w:r>
            <w:r>
              <w:rPr>
                <w:webHidden/>
              </w:rPr>
              <w:tab/>
            </w:r>
            <w:r>
              <w:rPr>
                <w:webHidden/>
              </w:rPr>
              <w:fldChar w:fldCharType="begin"/>
            </w:r>
            <w:r>
              <w:rPr>
                <w:webHidden/>
              </w:rPr>
              <w:instrText xml:space="preserve"> PAGEREF _Toc200017023 \h </w:instrText>
            </w:r>
            <w:r>
              <w:rPr>
                <w:webHidden/>
              </w:rPr>
            </w:r>
            <w:r>
              <w:rPr>
                <w:webHidden/>
              </w:rPr>
              <w:fldChar w:fldCharType="separate"/>
            </w:r>
            <w:r w:rsidR="00590DAA">
              <w:rPr>
                <w:webHidden/>
              </w:rPr>
              <w:t>28</w:t>
            </w:r>
            <w:r>
              <w:rPr>
                <w:webHidden/>
              </w:rPr>
              <w:fldChar w:fldCharType="end"/>
            </w:r>
          </w:hyperlink>
        </w:p>
        <w:p w14:paraId="22AB5EF4" w14:textId="16E09C32"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4" w:history="1">
            <w:r w:rsidRPr="009F6F7A">
              <w:rPr>
                <w:rStyle w:val="Hyperlink"/>
              </w:rPr>
              <w:t>5.3</w:t>
            </w:r>
            <w:r>
              <w:rPr>
                <w:rFonts w:eastAsiaTheme="minorEastAsia"/>
                <w:kern w:val="2"/>
                <w:sz w:val="24"/>
                <w:szCs w:val="24"/>
                <w:lang w:eastAsia="en-AU"/>
                <w14:ligatures w14:val="standardContextual"/>
              </w:rPr>
              <w:tab/>
            </w:r>
            <w:r w:rsidRPr="009F6F7A">
              <w:rPr>
                <w:rStyle w:val="Hyperlink"/>
              </w:rPr>
              <w:t>Sectors to be considered at a later stage (Stage 9)</w:t>
            </w:r>
            <w:r>
              <w:rPr>
                <w:webHidden/>
              </w:rPr>
              <w:tab/>
            </w:r>
            <w:r>
              <w:rPr>
                <w:webHidden/>
              </w:rPr>
              <w:fldChar w:fldCharType="begin"/>
            </w:r>
            <w:r>
              <w:rPr>
                <w:webHidden/>
              </w:rPr>
              <w:instrText xml:space="preserve"> PAGEREF _Toc200017024 \h </w:instrText>
            </w:r>
            <w:r>
              <w:rPr>
                <w:webHidden/>
              </w:rPr>
            </w:r>
            <w:r>
              <w:rPr>
                <w:webHidden/>
              </w:rPr>
              <w:fldChar w:fldCharType="separate"/>
            </w:r>
            <w:r w:rsidR="00590DAA">
              <w:rPr>
                <w:webHidden/>
              </w:rPr>
              <w:t>31</w:t>
            </w:r>
            <w:r>
              <w:rPr>
                <w:webHidden/>
              </w:rPr>
              <w:fldChar w:fldCharType="end"/>
            </w:r>
          </w:hyperlink>
        </w:p>
        <w:p w14:paraId="23667848" w14:textId="1F810028"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7025" w:history="1">
            <w:r w:rsidRPr="009F6F7A">
              <w:rPr>
                <w:rStyle w:val="Hyperlink"/>
              </w:rPr>
              <w:t>Minimum energy performance standards for commercial buildings</w:t>
            </w:r>
            <w:r>
              <w:rPr>
                <w:webHidden/>
              </w:rPr>
              <w:tab/>
            </w:r>
            <w:r>
              <w:rPr>
                <w:webHidden/>
              </w:rPr>
              <w:fldChar w:fldCharType="begin"/>
            </w:r>
            <w:r>
              <w:rPr>
                <w:webHidden/>
              </w:rPr>
              <w:instrText xml:space="preserve"> PAGEREF _Toc200017025 \h </w:instrText>
            </w:r>
            <w:r>
              <w:rPr>
                <w:webHidden/>
              </w:rPr>
            </w:r>
            <w:r>
              <w:rPr>
                <w:webHidden/>
              </w:rPr>
              <w:fldChar w:fldCharType="separate"/>
            </w:r>
            <w:r w:rsidR="00590DAA">
              <w:rPr>
                <w:webHidden/>
              </w:rPr>
              <w:t>33</w:t>
            </w:r>
            <w:r>
              <w:rPr>
                <w:webHidden/>
              </w:rPr>
              <w:fldChar w:fldCharType="end"/>
            </w:r>
          </w:hyperlink>
        </w:p>
        <w:p w14:paraId="2D211A21" w14:textId="3227D5E8"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6" w:history="1">
            <w:r w:rsidRPr="009F6F7A">
              <w:rPr>
                <w:rStyle w:val="Hyperlink"/>
              </w:rPr>
              <w:t>6.1</w:t>
            </w:r>
            <w:r>
              <w:rPr>
                <w:rFonts w:eastAsiaTheme="minorEastAsia"/>
                <w:kern w:val="2"/>
                <w:sz w:val="24"/>
                <w:szCs w:val="24"/>
                <w:lang w:eastAsia="en-AU"/>
                <w14:ligatures w14:val="standardContextual"/>
              </w:rPr>
              <w:tab/>
            </w:r>
            <w:r w:rsidRPr="009F6F7A">
              <w:rPr>
                <w:rStyle w:val="Hyperlink"/>
              </w:rPr>
              <w:t>The need for minimum energy performance standards</w:t>
            </w:r>
            <w:r>
              <w:rPr>
                <w:webHidden/>
              </w:rPr>
              <w:tab/>
            </w:r>
            <w:r>
              <w:rPr>
                <w:webHidden/>
              </w:rPr>
              <w:fldChar w:fldCharType="begin"/>
            </w:r>
            <w:r>
              <w:rPr>
                <w:webHidden/>
              </w:rPr>
              <w:instrText xml:space="preserve"> PAGEREF _Toc200017026 \h </w:instrText>
            </w:r>
            <w:r>
              <w:rPr>
                <w:webHidden/>
              </w:rPr>
            </w:r>
            <w:r>
              <w:rPr>
                <w:webHidden/>
              </w:rPr>
              <w:fldChar w:fldCharType="separate"/>
            </w:r>
            <w:r w:rsidR="00590DAA">
              <w:rPr>
                <w:webHidden/>
              </w:rPr>
              <w:t>33</w:t>
            </w:r>
            <w:r>
              <w:rPr>
                <w:webHidden/>
              </w:rPr>
              <w:fldChar w:fldCharType="end"/>
            </w:r>
          </w:hyperlink>
        </w:p>
        <w:p w14:paraId="69F431C3" w14:textId="3F3412A3"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7" w:history="1">
            <w:r w:rsidRPr="009F6F7A">
              <w:rPr>
                <w:rStyle w:val="Hyperlink"/>
              </w:rPr>
              <w:t>6.2</w:t>
            </w:r>
            <w:r>
              <w:rPr>
                <w:rFonts w:eastAsiaTheme="minorEastAsia"/>
                <w:kern w:val="2"/>
                <w:sz w:val="24"/>
                <w:szCs w:val="24"/>
                <w:lang w:eastAsia="en-AU"/>
                <w14:ligatures w14:val="standardContextual"/>
              </w:rPr>
              <w:tab/>
            </w:r>
            <w:r w:rsidRPr="009F6F7A">
              <w:rPr>
                <w:rStyle w:val="Hyperlink"/>
              </w:rPr>
              <w:t>MEPS roadmap scope</w:t>
            </w:r>
            <w:r>
              <w:rPr>
                <w:webHidden/>
              </w:rPr>
              <w:tab/>
            </w:r>
            <w:r>
              <w:rPr>
                <w:webHidden/>
              </w:rPr>
              <w:fldChar w:fldCharType="begin"/>
            </w:r>
            <w:r>
              <w:rPr>
                <w:webHidden/>
              </w:rPr>
              <w:instrText xml:space="preserve"> PAGEREF _Toc200017027 \h </w:instrText>
            </w:r>
            <w:r>
              <w:rPr>
                <w:webHidden/>
              </w:rPr>
            </w:r>
            <w:r>
              <w:rPr>
                <w:webHidden/>
              </w:rPr>
              <w:fldChar w:fldCharType="separate"/>
            </w:r>
            <w:r w:rsidR="00590DAA">
              <w:rPr>
                <w:webHidden/>
              </w:rPr>
              <w:t>33</w:t>
            </w:r>
            <w:r>
              <w:rPr>
                <w:webHidden/>
              </w:rPr>
              <w:fldChar w:fldCharType="end"/>
            </w:r>
          </w:hyperlink>
        </w:p>
        <w:p w14:paraId="5825F482" w14:textId="7C789879" w:rsidR="002336C1" w:rsidRDefault="002336C1" w:rsidP="002336C1">
          <w:pPr>
            <w:pStyle w:val="TOC2"/>
            <w:tabs>
              <w:tab w:val="left" w:pos="1200"/>
            </w:tabs>
            <w:spacing w:before="0" w:after="0"/>
            <w:rPr>
              <w:rFonts w:eastAsiaTheme="minorEastAsia"/>
              <w:kern w:val="2"/>
              <w:sz w:val="24"/>
              <w:szCs w:val="24"/>
              <w:lang w:eastAsia="en-AU"/>
              <w14:ligatures w14:val="standardContextual"/>
            </w:rPr>
          </w:pPr>
          <w:hyperlink w:anchor="_Toc200017028" w:history="1">
            <w:r w:rsidRPr="009F6F7A">
              <w:rPr>
                <w:rStyle w:val="Hyperlink"/>
              </w:rPr>
              <w:t>6.3</w:t>
            </w:r>
            <w:r>
              <w:rPr>
                <w:rFonts w:eastAsiaTheme="minorEastAsia"/>
                <w:kern w:val="2"/>
                <w:sz w:val="24"/>
                <w:szCs w:val="24"/>
                <w:lang w:eastAsia="en-AU"/>
                <w14:ligatures w14:val="standardContextual"/>
              </w:rPr>
              <w:tab/>
            </w:r>
            <w:r w:rsidRPr="009F6F7A">
              <w:rPr>
                <w:rStyle w:val="Hyperlink"/>
              </w:rPr>
              <w:t>MEPS potential framework</w:t>
            </w:r>
            <w:r>
              <w:rPr>
                <w:webHidden/>
              </w:rPr>
              <w:tab/>
            </w:r>
            <w:r>
              <w:rPr>
                <w:webHidden/>
              </w:rPr>
              <w:fldChar w:fldCharType="begin"/>
            </w:r>
            <w:r>
              <w:rPr>
                <w:webHidden/>
              </w:rPr>
              <w:instrText xml:space="preserve"> PAGEREF _Toc200017028 \h </w:instrText>
            </w:r>
            <w:r>
              <w:rPr>
                <w:webHidden/>
              </w:rPr>
            </w:r>
            <w:r>
              <w:rPr>
                <w:webHidden/>
              </w:rPr>
              <w:fldChar w:fldCharType="separate"/>
            </w:r>
            <w:r w:rsidR="00590DAA">
              <w:rPr>
                <w:webHidden/>
              </w:rPr>
              <w:t>34</w:t>
            </w:r>
            <w:r>
              <w:rPr>
                <w:webHidden/>
              </w:rPr>
              <w:fldChar w:fldCharType="end"/>
            </w:r>
          </w:hyperlink>
        </w:p>
        <w:p w14:paraId="432203EE" w14:textId="4049FD93" w:rsidR="002336C1" w:rsidRDefault="002336C1" w:rsidP="002336C1">
          <w:pPr>
            <w:pStyle w:val="TOC1"/>
            <w:spacing w:before="0" w:after="0"/>
            <w:rPr>
              <w:rFonts w:eastAsiaTheme="minorEastAsia"/>
              <w:b w:val="0"/>
              <w:kern w:val="2"/>
              <w:sz w:val="24"/>
              <w:szCs w:val="24"/>
              <w:lang w:eastAsia="en-AU"/>
              <w14:ligatures w14:val="standardContextual"/>
            </w:rPr>
          </w:pPr>
          <w:hyperlink w:anchor="_Toc200017029" w:history="1">
            <w:r w:rsidRPr="009F6F7A">
              <w:rPr>
                <w:rStyle w:val="Hyperlink"/>
              </w:rPr>
              <w:t>Glossary</w:t>
            </w:r>
            <w:r>
              <w:rPr>
                <w:webHidden/>
              </w:rPr>
              <w:tab/>
            </w:r>
            <w:r>
              <w:rPr>
                <w:webHidden/>
              </w:rPr>
              <w:fldChar w:fldCharType="begin"/>
            </w:r>
            <w:r>
              <w:rPr>
                <w:webHidden/>
              </w:rPr>
              <w:instrText xml:space="preserve"> PAGEREF _Toc200017029 \h </w:instrText>
            </w:r>
            <w:r>
              <w:rPr>
                <w:webHidden/>
              </w:rPr>
            </w:r>
            <w:r>
              <w:rPr>
                <w:webHidden/>
              </w:rPr>
              <w:fldChar w:fldCharType="separate"/>
            </w:r>
            <w:r w:rsidR="00590DAA">
              <w:rPr>
                <w:webHidden/>
              </w:rPr>
              <w:t>39</w:t>
            </w:r>
            <w:r>
              <w:rPr>
                <w:webHidden/>
              </w:rPr>
              <w:fldChar w:fldCharType="end"/>
            </w:r>
          </w:hyperlink>
        </w:p>
        <w:p w14:paraId="0505FBCF" w14:textId="0AFDA019" w:rsidR="00764D6A" w:rsidRPr="00720AFF" w:rsidRDefault="00E91D72" w:rsidP="00C30208">
          <w:pPr>
            <w:jc w:val="both"/>
            <w:rPr>
              <w:b/>
            </w:rPr>
          </w:pPr>
          <w:r w:rsidRPr="00720AFF">
            <w:rPr>
              <w:b/>
            </w:rPr>
            <w:fldChar w:fldCharType="end"/>
          </w:r>
        </w:p>
      </w:sdtContent>
    </w:sdt>
    <w:p w14:paraId="65C62B4A" w14:textId="77777777" w:rsidR="000A6181" w:rsidRPr="00720AFF" w:rsidRDefault="000A6181" w:rsidP="4E42E3EC">
      <w:pPr>
        <w:pStyle w:val="Heading2"/>
        <w:jc w:val="both"/>
      </w:pPr>
    </w:p>
    <w:p w14:paraId="03D56861" w14:textId="77777777" w:rsidR="003B316B" w:rsidRPr="00720AFF" w:rsidRDefault="003B316B" w:rsidP="4E42E3EC">
      <w:pPr>
        <w:pStyle w:val="Heading2"/>
        <w:jc w:val="both"/>
      </w:pPr>
    </w:p>
    <w:p w14:paraId="28B8C1BB" w14:textId="77777777" w:rsidR="003B316B" w:rsidRPr="00720AFF" w:rsidRDefault="003B316B" w:rsidP="4E42E3EC">
      <w:pPr>
        <w:pStyle w:val="Heading2"/>
        <w:jc w:val="both"/>
      </w:pPr>
    </w:p>
    <w:p w14:paraId="7ADA206D" w14:textId="2D120E3B" w:rsidR="00764D6A" w:rsidRPr="00720AFF" w:rsidRDefault="00A96408" w:rsidP="4E42E3EC">
      <w:pPr>
        <w:pStyle w:val="Heading2"/>
        <w:jc w:val="both"/>
      </w:pPr>
      <w:bookmarkStart w:id="2" w:name="_Toc200016993"/>
      <w:r w:rsidRPr="00720AFF">
        <w:lastRenderedPageBreak/>
        <w:t>Overview</w:t>
      </w:r>
      <w:bookmarkEnd w:id="2"/>
    </w:p>
    <w:p w14:paraId="086618D4" w14:textId="77777777" w:rsidR="001F0198" w:rsidRPr="00720AFF" w:rsidRDefault="001F0198" w:rsidP="00FE73BD">
      <w:pPr>
        <w:pStyle w:val="Heading3"/>
        <w:numPr>
          <w:ilvl w:val="1"/>
          <w:numId w:val="25"/>
        </w:numPr>
        <w:spacing w:after="120"/>
        <w:jc w:val="both"/>
      </w:pPr>
      <w:bookmarkStart w:id="3" w:name="_Toc200016994"/>
      <w:r w:rsidRPr="00720AFF">
        <w:t>Purpose of this roadmap</w:t>
      </w:r>
      <w:bookmarkEnd w:id="3"/>
    </w:p>
    <w:p w14:paraId="4FD34180" w14:textId="2A060CD5" w:rsidR="001F0198" w:rsidRPr="00720AFF" w:rsidRDefault="001F0198" w:rsidP="00D34641">
      <w:pPr>
        <w:spacing w:after="120"/>
        <w:jc w:val="both"/>
      </w:pPr>
      <w:r w:rsidRPr="00720AFF">
        <w:t xml:space="preserve">Since 2010, the Australian Government has required </w:t>
      </w:r>
      <w:r w:rsidR="005A70E1" w:rsidRPr="00720AFF">
        <w:t xml:space="preserve">certain </w:t>
      </w:r>
      <w:r w:rsidR="00DC0DF5" w:rsidRPr="00720AFF">
        <w:t xml:space="preserve">owners of large commercial </w:t>
      </w:r>
      <w:r w:rsidR="002158B0" w:rsidRPr="00720AFF">
        <w:t xml:space="preserve">office </w:t>
      </w:r>
      <w:r w:rsidR="005A70E1" w:rsidRPr="00720AFF">
        <w:t>building</w:t>
      </w:r>
      <w:r w:rsidR="00DC0DF5" w:rsidRPr="00720AFF">
        <w:t>s</w:t>
      </w:r>
      <w:r w:rsidR="005A70E1" w:rsidRPr="00720AFF">
        <w:t xml:space="preserve"> </w:t>
      </w:r>
      <w:r w:rsidRPr="00720AFF">
        <w:t>to obtain an energy efficiency rating and to disclose that rating when selling</w:t>
      </w:r>
      <w:r w:rsidR="00026B19" w:rsidRPr="00720AFF">
        <w:t>,</w:t>
      </w:r>
      <w:r w:rsidRPr="00720AFF">
        <w:t xml:space="preserve"> leasing</w:t>
      </w:r>
      <w:r w:rsidR="00026B19" w:rsidRPr="00720AFF">
        <w:t xml:space="preserve"> or subleasing</w:t>
      </w:r>
      <w:r w:rsidRPr="00720AFF">
        <w:t xml:space="preserve"> </w:t>
      </w:r>
      <w:r w:rsidR="00795117" w:rsidRPr="00720AFF">
        <w:t>their</w:t>
      </w:r>
      <w:r w:rsidRPr="00720AFF">
        <w:t xml:space="preserve"> building or office space. These requirements are contained in the </w:t>
      </w:r>
      <w:r w:rsidRPr="00720AFF">
        <w:rPr>
          <w:i/>
          <w:iCs/>
        </w:rPr>
        <w:t>Building Energy Efficiency Disclosure Act 2010</w:t>
      </w:r>
      <w:r w:rsidRPr="00720AFF">
        <w:t xml:space="preserve"> (the Act) and implemented through the Commercial Building Disclosure (CBD) Program, administered by the Department of Climate Change, Energy, the Environment and Water (the department). The current CBD Program has driven </w:t>
      </w:r>
      <w:r w:rsidR="00DA4E6D" w:rsidRPr="00720AFF">
        <w:t>uptake of National Australian Built Environment Rating</w:t>
      </w:r>
      <w:r w:rsidR="00B76FCC" w:rsidRPr="00720AFF">
        <w:t xml:space="preserve"> System</w:t>
      </w:r>
      <w:r w:rsidR="00DA4E6D" w:rsidRPr="00720AFF">
        <w:t xml:space="preserve"> (NABERS)</w:t>
      </w:r>
      <w:r w:rsidR="00B76FCC" w:rsidRPr="00720AFF">
        <w:t xml:space="preserve"> energy ratings</w:t>
      </w:r>
      <w:r w:rsidR="00DA4E6D" w:rsidRPr="00720AFF">
        <w:t xml:space="preserve"> </w:t>
      </w:r>
      <w:r w:rsidR="00AD6FB3" w:rsidRPr="00720AFF">
        <w:t xml:space="preserve">and yielded </w:t>
      </w:r>
      <w:r w:rsidRPr="00720AFF">
        <w:t>significant improvements in energy performance across the stock of office buildings with net lettable area (NLA) larger than 1,000m</w:t>
      </w:r>
      <w:r w:rsidRPr="00720AFF">
        <w:rPr>
          <w:vertAlign w:val="superscript"/>
        </w:rPr>
        <w:t>2</w:t>
      </w:r>
      <w:r w:rsidRPr="00720AFF">
        <w:t xml:space="preserve">. </w:t>
      </w:r>
      <w:r w:rsidR="00052DA9" w:rsidRPr="00720AFF">
        <w:t>For example, t</w:t>
      </w:r>
      <w:r w:rsidRPr="00720AFF">
        <w:t xml:space="preserve">he </w:t>
      </w:r>
      <w:r w:rsidR="008A72A7">
        <w:t xml:space="preserve">average </w:t>
      </w:r>
      <w:r w:rsidRPr="00720AFF">
        <w:t xml:space="preserve">energy </w:t>
      </w:r>
      <w:r w:rsidR="008C7678">
        <w:t>intensity</w:t>
      </w:r>
      <w:r w:rsidRPr="00720AFF">
        <w:t xml:space="preserve"> of </w:t>
      </w:r>
      <w:r w:rsidR="00A0228D" w:rsidRPr="00720AFF">
        <w:t>all</w:t>
      </w:r>
      <w:r w:rsidRPr="00720AFF">
        <w:t xml:space="preserve"> office buildings </w:t>
      </w:r>
      <w:r w:rsidR="00A0228D" w:rsidRPr="00720AFF">
        <w:t>with NABERS energy rating</w:t>
      </w:r>
      <w:r w:rsidR="0041329D" w:rsidRPr="00720AFF">
        <w:t>s</w:t>
      </w:r>
      <w:r w:rsidRPr="00720AFF">
        <w:t xml:space="preserve"> has reduced by 4</w:t>
      </w:r>
      <w:r w:rsidR="001A41BE">
        <w:t>4</w:t>
      </w:r>
      <w:r w:rsidRPr="00720AFF">
        <w:t>% from 2011 to 2023.</w:t>
      </w:r>
      <w:r w:rsidR="009F6219" w:rsidRPr="00720AFF">
        <w:rPr>
          <w:rStyle w:val="FootnoteReference"/>
        </w:rPr>
        <w:footnoteReference w:id="2"/>
      </w:r>
      <w:r w:rsidR="00377EBC">
        <w:t xml:space="preserve"> </w:t>
      </w:r>
    </w:p>
    <w:p w14:paraId="59E48AFC" w14:textId="601F60E6" w:rsidR="001F0198" w:rsidRPr="00720AFF" w:rsidRDefault="001F0198" w:rsidP="00D34641">
      <w:pPr>
        <w:spacing w:after="120"/>
        <w:jc w:val="both"/>
      </w:pPr>
      <w:r w:rsidRPr="00720AFF">
        <w:t xml:space="preserve">This roadmap sets the policy direction of the CBD Program for the next 10 years and guides </w:t>
      </w:r>
      <w:r w:rsidR="00765FED" w:rsidRPr="00720AFF">
        <w:t xml:space="preserve">its </w:t>
      </w:r>
      <w:r w:rsidRPr="00720AFF">
        <w:t xml:space="preserve">future expansion. This roadmap aims to maintain the integrity and success of the current </w:t>
      </w:r>
      <w:r w:rsidR="00B61CBF" w:rsidRPr="00720AFF">
        <w:t xml:space="preserve">CBD </w:t>
      </w:r>
      <w:r w:rsidRPr="00720AFF">
        <w:t xml:space="preserve">Program while modernising and ensuring it is fit-for-purpose for more commercial building types. The roadmap is a guide to support a shared understanding of how and when mandatory disclosure can assist Australia’s commercial buildings </w:t>
      </w:r>
      <w:r w:rsidR="003229FE" w:rsidRPr="00720AFF">
        <w:t>to op</w:t>
      </w:r>
      <w:r w:rsidR="00B4638D" w:rsidRPr="00720AFF">
        <w:t>timise energy performance</w:t>
      </w:r>
      <w:r w:rsidR="00AA0423">
        <w:t xml:space="preserve"> and reduce emissions</w:t>
      </w:r>
      <w:r w:rsidR="002D75BD" w:rsidRPr="00720AFF">
        <w:t>, reduce energy costs and</w:t>
      </w:r>
      <w:r w:rsidRPr="00720AFF">
        <w:t xml:space="preserve"> transition to a net zero economy.</w:t>
      </w:r>
    </w:p>
    <w:p w14:paraId="082E1ABD" w14:textId="0669A018" w:rsidR="00915364" w:rsidRPr="00720AFF" w:rsidRDefault="001F0198" w:rsidP="00D34641">
      <w:pPr>
        <w:spacing w:after="120"/>
        <w:jc w:val="both"/>
      </w:pPr>
      <w:r w:rsidRPr="00720AFF">
        <w:t xml:space="preserve">For industry, the roadmap aims to provide certainty about the government’s intention to pursue extending the </w:t>
      </w:r>
      <w:r w:rsidR="00B61CBF" w:rsidRPr="00720AFF">
        <w:t>CBD P</w:t>
      </w:r>
      <w:r w:rsidRPr="00720AFF">
        <w:t>rogram in line with agreed principles. The roadmap will provide industry with signalling of future regulation</w:t>
      </w:r>
      <w:r w:rsidR="0004190B" w:rsidRPr="00720AFF">
        <w:t xml:space="preserve"> and increase the uptake of voluntary energy ratings</w:t>
      </w:r>
      <w:r w:rsidR="00A1437A" w:rsidRPr="00720AFF">
        <w:t xml:space="preserve"> </w:t>
      </w:r>
      <w:r w:rsidR="0004190B" w:rsidRPr="00720AFF">
        <w:t>as organisations prepare for mandatory disclosure</w:t>
      </w:r>
      <w:r w:rsidRPr="00720AFF">
        <w:t xml:space="preserve">. It provides an indication of sectors that will be prioritised for inclusion in the </w:t>
      </w:r>
      <w:r w:rsidR="00EF0CCA" w:rsidRPr="00720AFF">
        <w:t>CBD P</w:t>
      </w:r>
      <w:r w:rsidRPr="00720AFF">
        <w:t xml:space="preserve">rogram, and those that are not prioritised at this time. </w:t>
      </w:r>
    </w:p>
    <w:p w14:paraId="01CDB56B" w14:textId="7AEC2BE7" w:rsidR="001F0198" w:rsidRPr="00720AFF" w:rsidRDefault="001F0198" w:rsidP="00D34641">
      <w:pPr>
        <w:spacing w:after="120"/>
        <w:jc w:val="both"/>
      </w:pPr>
      <w:r w:rsidRPr="00720AFF">
        <w:t xml:space="preserve">For government, this roadmap will guide future government decision-making. The roadmap is expected to guide legislative amendments to the Act as well as decisions made in future legislative instruments including expanding the number and type of disclosure affected buildings. It will provide the government with confidence to expand the </w:t>
      </w:r>
      <w:r w:rsidR="00EF0CCA" w:rsidRPr="00720AFF">
        <w:t>CBD P</w:t>
      </w:r>
      <w:r w:rsidRPr="00720AFF">
        <w:t>rogram in line with the roadmap, without needing to re-prosecute from first principles.</w:t>
      </w:r>
    </w:p>
    <w:p w14:paraId="4BB5879D" w14:textId="77777777" w:rsidR="001F0198" w:rsidRPr="00720AFF" w:rsidRDefault="001F0198" w:rsidP="00D34641">
      <w:pPr>
        <w:spacing w:after="120"/>
        <w:jc w:val="both"/>
        <w:rPr>
          <w:rFonts w:cstheme="minorHAnsi"/>
        </w:rPr>
      </w:pPr>
      <w:r w:rsidRPr="00720AFF">
        <w:t xml:space="preserve">The </w:t>
      </w:r>
      <w:r w:rsidRPr="00720AFF">
        <w:rPr>
          <w:rFonts w:cstheme="minorHAnsi"/>
        </w:rPr>
        <w:t>roadmap also sets out how Minimum Energy Performance Standards (MEPS) could be introduced for office buildings in the first instance, noting that further detailed analysis is needed. Extending MEPS to other building types could be the subject of further future revisions to this roadmap. </w:t>
      </w:r>
    </w:p>
    <w:p w14:paraId="64400E01" w14:textId="1D19D4DE" w:rsidR="001F0198" w:rsidRPr="00720AFF" w:rsidRDefault="001F0198" w:rsidP="00D34641">
      <w:pPr>
        <w:pStyle w:val="BodyText"/>
        <w:jc w:val="both"/>
        <w:rPr>
          <w:rFonts w:asciiTheme="minorHAnsi" w:hAnsiTheme="minorHAnsi"/>
          <w:color w:val="auto"/>
          <w:sz w:val="22"/>
        </w:rPr>
      </w:pPr>
      <w:r w:rsidRPr="00720AFF">
        <w:rPr>
          <w:rFonts w:asciiTheme="minorHAnsi" w:hAnsiTheme="minorHAnsi"/>
          <w:sz w:val="22"/>
        </w:rPr>
        <w:t xml:space="preserve">This roadmap has been drafted </w:t>
      </w:r>
      <w:r w:rsidR="00565984" w:rsidRPr="00720AFF">
        <w:rPr>
          <w:rFonts w:asciiTheme="minorHAnsi" w:hAnsiTheme="minorHAnsi"/>
          <w:sz w:val="22"/>
        </w:rPr>
        <w:t>considering</w:t>
      </w:r>
      <w:r w:rsidRPr="00720AFF">
        <w:rPr>
          <w:rFonts w:asciiTheme="minorHAnsi" w:hAnsiTheme="minorHAnsi"/>
          <w:sz w:val="22"/>
        </w:rPr>
        <w:t xml:space="preserve"> feedback from public consultation that occurred during 2024 and draws on previous independent reviews. </w:t>
      </w:r>
      <w:r w:rsidR="0097730E" w:rsidRPr="00720AFF">
        <w:rPr>
          <w:rFonts w:asciiTheme="minorHAnsi" w:hAnsiTheme="minorHAnsi"/>
          <w:color w:val="auto"/>
          <w:sz w:val="22"/>
        </w:rPr>
        <w:t>It</w:t>
      </w:r>
      <w:r w:rsidRPr="00720AFF">
        <w:rPr>
          <w:rFonts w:asciiTheme="minorHAnsi" w:hAnsiTheme="minorHAnsi"/>
          <w:color w:val="auto"/>
          <w:sz w:val="22"/>
        </w:rPr>
        <w:t xml:space="preserve"> builds on previous analysis including CBD Program reviews in 2016 and 2019, external consultant reports, departmental analysis of NABERS and CBD Program datasets, commercial building baseline studies and policy implementation models predicting the impacts of an expanded CBD Program. </w:t>
      </w:r>
    </w:p>
    <w:p w14:paraId="7BB15429" w14:textId="227ADF9E" w:rsidR="00F463C6" w:rsidRPr="00720AFF" w:rsidRDefault="000C0609" w:rsidP="00D34641">
      <w:pPr>
        <w:spacing w:after="120"/>
        <w:jc w:val="both"/>
      </w:pPr>
      <w:r w:rsidRPr="00720AFF">
        <w:t>T</w:t>
      </w:r>
      <w:r w:rsidR="00731F16" w:rsidRPr="00720AFF">
        <w:t xml:space="preserve">his roadmap </w:t>
      </w:r>
      <w:r w:rsidRPr="00720AFF">
        <w:t>will be</w:t>
      </w:r>
      <w:r w:rsidR="00731F16" w:rsidRPr="00720AFF">
        <w:t xml:space="preserve"> implemented in full by 2035</w:t>
      </w:r>
      <w:r w:rsidRPr="00720AFF">
        <w:t>. At this time, the</w:t>
      </w:r>
      <w:r w:rsidR="00785950" w:rsidRPr="00720AFF">
        <w:t xml:space="preserve"> </w:t>
      </w:r>
      <w:r w:rsidR="00731F16" w:rsidRPr="00720AFF">
        <w:t>government will have considered</w:t>
      </w:r>
      <w:r w:rsidR="00CD352E" w:rsidRPr="00720AFF">
        <w:t xml:space="preserve"> </w:t>
      </w:r>
      <w:r w:rsidR="00675470" w:rsidRPr="00720AFF">
        <w:t xml:space="preserve">the case for inclusion </w:t>
      </w:r>
      <w:r w:rsidR="00EE1B01" w:rsidRPr="00720AFF">
        <w:t>of</w:t>
      </w:r>
      <w:r w:rsidR="00731F16" w:rsidRPr="00720AFF">
        <w:t xml:space="preserve"> </w:t>
      </w:r>
      <w:r w:rsidR="00DC6F24" w:rsidRPr="00720AFF">
        <w:t xml:space="preserve">all major building types </w:t>
      </w:r>
      <w:r w:rsidR="00A5531C" w:rsidRPr="00720AFF">
        <w:t xml:space="preserve">and implemented the </w:t>
      </w:r>
      <w:r w:rsidR="00B2420F" w:rsidRPr="00720AFF">
        <w:t>required changes</w:t>
      </w:r>
      <w:r w:rsidR="00D17703" w:rsidRPr="00720AFF">
        <w:t xml:space="preserve"> where inclusion is found to be beneficial</w:t>
      </w:r>
      <w:r w:rsidR="00731F16" w:rsidRPr="00720AFF">
        <w:t>.</w:t>
      </w:r>
    </w:p>
    <w:p w14:paraId="05570C33" w14:textId="008AB4A0" w:rsidR="00B165F0" w:rsidRPr="00720AFF" w:rsidRDefault="00A96408" w:rsidP="00FE73BD">
      <w:pPr>
        <w:pStyle w:val="Heading3"/>
        <w:numPr>
          <w:ilvl w:val="1"/>
          <w:numId w:val="25"/>
        </w:numPr>
        <w:spacing w:after="120"/>
        <w:jc w:val="both"/>
      </w:pPr>
      <w:bookmarkStart w:id="4" w:name="_Toc200016995"/>
      <w:r w:rsidRPr="00720AFF">
        <w:lastRenderedPageBreak/>
        <w:t>The need for mandatory disclosure</w:t>
      </w:r>
      <w:r w:rsidR="007F0E3B" w:rsidRPr="00720AFF">
        <w:t xml:space="preserve"> of energy information</w:t>
      </w:r>
      <w:bookmarkEnd w:id="4"/>
    </w:p>
    <w:p w14:paraId="7D896CB3" w14:textId="65302462" w:rsidR="007A6834" w:rsidRPr="00720AFF" w:rsidRDefault="007A6834" w:rsidP="007958FC">
      <w:pPr>
        <w:spacing w:after="120"/>
        <w:jc w:val="both"/>
        <w:rPr>
          <w:highlight w:val="yellow"/>
        </w:rPr>
      </w:pPr>
      <w:r w:rsidRPr="00720AFF">
        <w:t>The built environment in Australia is responsible for almost a third of Australia’s carbon emissions.</w:t>
      </w:r>
      <w:r w:rsidR="0084264E">
        <w:rPr>
          <w:rStyle w:val="FootnoteReference"/>
        </w:rPr>
        <w:footnoteReference w:id="3"/>
      </w:r>
      <w:r w:rsidRPr="00720AFF">
        <w:t xml:space="preserve"> Commercial buildings are responsible for almost 10% of all greenhouse gas emissions in Australia and around 24% of all electricity consumption.</w:t>
      </w:r>
      <w:r w:rsidRPr="00720AFF">
        <w:rPr>
          <w:rStyle w:val="FootnoteReference"/>
        </w:rPr>
        <w:footnoteReference w:id="4"/>
      </w:r>
      <w:r w:rsidRPr="00720AFF">
        <w:t xml:space="preserve">  </w:t>
      </w:r>
    </w:p>
    <w:p w14:paraId="1C1BF9F4" w14:textId="19FE214D" w:rsidR="007A6834" w:rsidRPr="00720AFF" w:rsidRDefault="007A6834" w:rsidP="007958FC">
      <w:pPr>
        <w:spacing w:after="120"/>
        <w:jc w:val="both"/>
      </w:pPr>
      <w:r w:rsidRPr="00720AFF">
        <w:t xml:space="preserve">All Australian governments have now committed to achieving net zero emissions by 2050 (or earlier). </w:t>
      </w:r>
      <w:r w:rsidR="005511B7">
        <w:t xml:space="preserve">To help drive the transition to net zero, the Australian Government has set a target to reduce emissions to 62-70% below 2005 levels by 2035. </w:t>
      </w:r>
      <w:r w:rsidRPr="00720AFF">
        <w:t>Increasingly, many companies and organisations have also made public net-zero commitments</w:t>
      </w:r>
      <w:r w:rsidR="005511B7">
        <w:t xml:space="preserve"> and over 84% of global GDP is covered by net zero commitments</w:t>
      </w:r>
      <w:r w:rsidRPr="00720AFF">
        <w:t>.</w:t>
      </w:r>
      <w:r w:rsidR="005511B7">
        <w:rPr>
          <w:rStyle w:val="FootnoteReference"/>
        </w:rPr>
        <w:footnoteReference w:id="5"/>
      </w:r>
    </w:p>
    <w:p w14:paraId="77AA497F" w14:textId="24857436" w:rsidR="00493B37" w:rsidRPr="00720AFF" w:rsidRDefault="00A94E0E" w:rsidP="007958FC">
      <w:pPr>
        <w:spacing w:after="120"/>
        <w:jc w:val="both"/>
      </w:pPr>
      <w:r w:rsidRPr="00720AFF">
        <w:t xml:space="preserve">There are </w:t>
      </w:r>
      <w:r w:rsidR="009C2F03" w:rsidRPr="00720AFF">
        <w:t xml:space="preserve">many types of businesses </w:t>
      </w:r>
      <w:r w:rsidR="0089110E" w:rsidRPr="00720AFF">
        <w:t xml:space="preserve">and other organisations </w:t>
      </w:r>
      <w:r w:rsidR="0034550C" w:rsidRPr="00720AFF">
        <w:t xml:space="preserve">that </w:t>
      </w:r>
      <w:r w:rsidR="00BF29D2" w:rsidRPr="00720AFF">
        <w:t xml:space="preserve">own </w:t>
      </w:r>
      <w:r w:rsidR="002C2853" w:rsidRPr="00720AFF">
        <w:t xml:space="preserve">or invest </w:t>
      </w:r>
      <w:r w:rsidR="00460B02" w:rsidRPr="00720AFF">
        <w:t xml:space="preserve">in </w:t>
      </w:r>
      <w:r w:rsidR="009C2F03" w:rsidRPr="00720AFF">
        <w:t>commercial buildings</w:t>
      </w:r>
      <w:r w:rsidRPr="00720AFF">
        <w:t>.</w:t>
      </w:r>
      <w:r w:rsidR="008668BB" w:rsidRPr="00720AFF">
        <w:rPr>
          <w:rStyle w:val="FootnoteReference"/>
        </w:rPr>
        <w:footnoteReference w:id="6"/>
      </w:r>
      <w:r w:rsidR="009C2F03" w:rsidRPr="00720AFF">
        <w:t xml:space="preserve"> </w:t>
      </w:r>
      <w:r w:rsidR="004A4886" w:rsidRPr="00720AFF">
        <w:t xml:space="preserve">There is </w:t>
      </w:r>
      <w:r w:rsidR="00B11C2D" w:rsidRPr="00720AFF">
        <w:t xml:space="preserve">an </w:t>
      </w:r>
      <w:r w:rsidR="004A4886" w:rsidRPr="00720AFF">
        <w:t xml:space="preserve">even greater variety of organisations that occupy </w:t>
      </w:r>
      <w:r w:rsidR="00DF6EBF" w:rsidRPr="00720AFF">
        <w:t>these</w:t>
      </w:r>
      <w:r w:rsidR="004A4886" w:rsidRPr="00720AFF">
        <w:t xml:space="preserve"> buildings</w:t>
      </w:r>
      <w:r w:rsidR="00573541" w:rsidRPr="00720AFF">
        <w:t>.</w:t>
      </w:r>
      <w:r w:rsidR="004A4886" w:rsidRPr="00720AFF">
        <w:t xml:space="preserve"> </w:t>
      </w:r>
      <w:r w:rsidR="009C2F03" w:rsidRPr="00720AFF">
        <w:t xml:space="preserve">From large </w:t>
      </w:r>
      <w:r w:rsidR="00C57029" w:rsidRPr="00720AFF">
        <w:t>corporations</w:t>
      </w:r>
      <w:r w:rsidR="009C2F03" w:rsidRPr="00720AFF">
        <w:t xml:space="preserve"> to </w:t>
      </w:r>
      <w:r w:rsidR="00982E07" w:rsidRPr="00720AFF">
        <w:t xml:space="preserve">individuals and </w:t>
      </w:r>
      <w:r w:rsidR="0034550C" w:rsidRPr="00720AFF">
        <w:t>sole traders</w:t>
      </w:r>
      <w:r w:rsidR="00D3610B" w:rsidRPr="00720AFF">
        <w:t>, government</w:t>
      </w:r>
      <w:r w:rsidR="00C57899" w:rsidRPr="00720AFF">
        <w:t xml:space="preserve"> </w:t>
      </w:r>
      <w:r w:rsidR="00322CA4" w:rsidRPr="00720AFF">
        <w:t>services</w:t>
      </w:r>
      <w:r w:rsidR="00C57899" w:rsidRPr="00720AFF">
        <w:t xml:space="preserve"> to </w:t>
      </w:r>
      <w:r w:rsidR="004319C0" w:rsidRPr="00720AFF">
        <w:t xml:space="preserve">charity and community </w:t>
      </w:r>
      <w:r w:rsidR="0035466F" w:rsidRPr="00720AFF">
        <w:t>associations</w:t>
      </w:r>
      <w:r w:rsidR="00753F4C" w:rsidRPr="00720AFF">
        <w:t>,</w:t>
      </w:r>
      <w:r w:rsidR="00F443D2" w:rsidRPr="00720AFF">
        <w:t xml:space="preserve"> </w:t>
      </w:r>
      <w:r w:rsidR="00753F4C" w:rsidRPr="00720AFF">
        <w:t>t</w:t>
      </w:r>
      <w:r w:rsidR="00F443D2" w:rsidRPr="00720AFF">
        <w:t>he</w:t>
      </w:r>
      <w:r w:rsidR="004B01AE" w:rsidRPr="00720AFF">
        <w:t>se organisations</w:t>
      </w:r>
      <w:r w:rsidR="0023331B" w:rsidRPr="00720AFF">
        <w:t xml:space="preserve"> own </w:t>
      </w:r>
      <w:r w:rsidR="00A22F54" w:rsidRPr="00720AFF">
        <w:t>and</w:t>
      </w:r>
      <w:r w:rsidR="00C57029" w:rsidRPr="00720AFF">
        <w:t xml:space="preserve"> </w:t>
      </w:r>
      <w:r w:rsidR="004B595D" w:rsidRPr="00720AFF">
        <w:t xml:space="preserve">occupy offices, warehouses, </w:t>
      </w:r>
      <w:r w:rsidR="004478EB" w:rsidRPr="00720AFF">
        <w:t>retail</w:t>
      </w:r>
      <w:r w:rsidR="005C376A" w:rsidRPr="00720AFF">
        <w:t xml:space="preserve"> and other types of </w:t>
      </w:r>
      <w:r w:rsidR="00144DF1" w:rsidRPr="00720AFF">
        <w:t>commercial</w:t>
      </w:r>
      <w:r w:rsidR="005C376A" w:rsidRPr="00720AFF">
        <w:t xml:space="preserve"> buildings</w:t>
      </w:r>
      <w:r w:rsidR="00D13279" w:rsidRPr="00720AFF">
        <w:t>.</w:t>
      </w:r>
      <w:r w:rsidR="00542818" w:rsidRPr="00720AFF">
        <w:t xml:space="preserve"> </w:t>
      </w:r>
      <w:r w:rsidR="00B60D1F" w:rsidRPr="00720AFF">
        <w:t>T</w:t>
      </w:r>
      <w:r w:rsidR="00A00D13" w:rsidRPr="00720AFF">
        <w:t>he energy consumption</w:t>
      </w:r>
      <w:r w:rsidR="00763757" w:rsidRPr="00720AFF">
        <w:t xml:space="preserve"> and associated emissions from </w:t>
      </w:r>
      <w:r w:rsidR="00DB6146" w:rsidRPr="00720AFF">
        <w:t xml:space="preserve">the commercial </w:t>
      </w:r>
      <w:r w:rsidR="00D13279" w:rsidRPr="00720AFF">
        <w:t xml:space="preserve">buildings </w:t>
      </w:r>
      <w:r w:rsidR="00DB6146" w:rsidRPr="00720AFF">
        <w:t>the</w:t>
      </w:r>
      <w:r w:rsidR="00B60D1F" w:rsidRPr="00720AFF">
        <w:t>se organisations</w:t>
      </w:r>
      <w:r w:rsidR="00DB6146" w:rsidRPr="00720AFF">
        <w:t xml:space="preserve"> own or occupy </w:t>
      </w:r>
      <w:r w:rsidR="00635A08" w:rsidRPr="00720AFF">
        <w:t xml:space="preserve">generally </w:t>
      </w:r>
      <w:r w:rsidR="00D13279" w:rsidRPr="00720AFF">
        <w:t xml:space="preserve">form a material part of </w:t>
      </w:r>
      <w:r w:rsidR="004319C0" w:rsidRPr="00720AFF">
        <w:t xml:space="preserve">the total </w:t>
      </w:r>
      <w:r w:rsidR="00CB6ADF" w:rsidRPr="00720AFF">
        <w:t xml:space="preserve">energy and </w:t>
      </w:r>
      <w:r w:rsidR="004319C0" w:rsidRPr="00720AFF">
        <w:t xml:space="preserve">emissions profile of </w:t>
      </w:r>
      <w:r w:rsidR="00D13279" w:rsidRPr="00720AFF">
        <w:t>a</w:t>
      </w:r>
      <w:r w:rsidR="005C376A" w:rsidRPr="00720AFF">
        <w:t>n organisation</w:t>
      </w:r>
      <w:r w:rsidR="00C265BB" w:rsidRPr="00720AFF">
        <w:t xml:space="preserve">. </w:t>
      </w:r>
    </w:p>
    <w:p w14:paraId="732675BF" w14:textId="06B43D9E" w:rsidR="005F2C91" w:rsidRPr="00720AFF" w:rsidRDefault="00F129E7" w:rsidP="007958FC">
      <w:pPr>
        <w:spacing w:after="120"/>
        <w:jc w:val="both"/>
      </w:pPr>
      <w:r w:rsidRPr="00720AFF">
        <w:t>T</w:t>
      </w:r>
      <w:r w:rsidR="00CB7BF7" w:rsidRPr="00720AFF">
        <w:t xml:space="preserve">he </w:t>
      </w:r>
      <w:r w:rsidR="00FF1071" w:rsidRPr="00720AFF">
        <w:t>risks</w:t>
      </w:r>
      <w:r w:rsidR="00B01817" w:rsidRPr="00720AFF">
        <w:t>, costs</w:t>
      </w:r>
      <w:r w:rsidR="00FF1071" w:rsidRPr="00720AFF">
        <w:t xml:space="preserve"> and opportunities</w:t>
      </w:r>
      <w:r w:rsidR="00A21BE1" w:rsidRPr="00720AFF">
        <w:t xml:space="preserve"> that the transition to net zero presents for businesses</w:t>
      </w:r>
      <w:r w:rsidR="00012352" w:rsidRPr="00720AFF">
        <w:t>,</w:t>
      </w:r>
      <w:r w:rsidR="004C212A" w:rsidRPr="00720AFF">
        <w:t xml:space="preserve"> and the way they manage thes</w:t>
      </w:r>
      <w:r w:rsidR="00F045FD" w:rsidRPr="00720AFF">
        <w:t>e</w:t>
      </w:r>
      <w:r w:rsidR="00012352" w:rsidRPr="00720AFF">
        <w:t>,</w:t>
      </w:r>
      <w:r w:rsidR="00F045FD" w:rsidRPr="00720AFF">
        <w:t xml:space="preserve"> is increasingly part of an organisation’s core governance and </w:t>
      </w:r>
      <w:r w:rsidR="00DA0B8D" w:rsidRPr="00720AFF">
        <w:t>business planning</w:t>
      </w:r>
      <w:r w:rsidR="00F045FD" w:rsidRPr="00720AFF">
        <w:t xml:space="preserve">.  </w:t>
      </w:r>
      <w:r w:rsidR="0022668D" w:rsidRPr="00720AFF">
        <w:t>However, m</w:t>
      </w:r>
      <w:r w:rsidR="00547C17" w:rsidRPr="00720AFF">
        <w:t xml:space="preserve">any businesses do not </w:t>
      </w:r>
      <w:r w:rsidR="00450FD7" w:rsidRPr="00720AFF">
        <w:t xml:space="preserve">have access to information about </w:t>
      </w:r>
      <w:r w:rsidR="00547C17" w:rsidRPr="00720AFF">
        <w:t>the energy and emissions performance of the buildings they own, occupy or invest in.</w:t>
      </w:r>
    </w:p>
    <w:p w14:paraId="5ADA027A" w14:textId="496CD170" w:rsidR="00B36757" w:rsidRPr="00720AFF" w:rsidRDefault="007B745B" w:rsidP="007958FC">
      <w:pPr>
        <w:spacing w:after="120"/>
        <w:jc w:val="both"/>
      </w:pPr>
      <w:r w:rsidRPr="00720AFF">
        <w:t xml:space="preserve">For example, </w:t>
      </w:r>
      <w:r w:rsidR="00B36757" w:rsidRPr="00720AFF">
        <w:t>building owners are seeking to know more about their tenant</w:t>
      </w:r>
      <w:r w:rsidR="009974C1" w:rsidRPr="00720AFF">
        <w:t>’</w:t>
      </w:r>
      <w:r w:rsidR="00B36757" w:rsidRPr="00720AFF">
        <w:t xml:space="preserve">s energy usage to improve whole building performance. </w:t>
      </w:r>
      <w:r w:rsidR="00335D5E" w:rsidRPr="00720AFF">
        <w:t>M</w:t>
      </w:r>
      <w:r w:rsidRPr="00720AFF">
        <w:t xml:space="preserve">any tenants are seeking to occupy high performing buildings, not only to reduce their costs, but also to reduce their scope 3 emissions. Purchasers are preferencing energy efficient commercial building assets to attract high value tenants. Access to </w:t>
      </w:r>
      <w:r w:rsidR="00BF48FC">
        <w:t xml:space="preserve">energy </w:t>
      </w:r>
      <w:r w:rsidRPr="00720AFF">
        <w:t xml:space="preserve">data is also important for financial institutions to manage the impact of their financed emissions. </w:t>
      </w:r>
    </w:p>
    <w:p w14:paraId="24398043" w14:textId="36801FA2" w:rsidR="00FB271D" w:rsidRPr="00720AFF" w:rsidRDefault="00FB271D" w:rsidP="002430CC">
      <w:pPr>
        <w:spacing w:after="120"/>
        <w:jc w:val="both"/>
      </w:pPr>
      <w:r w:rsidRPr="00720AFF">
        <w:t xml:space="preserve">Voluntary energy ratings are available in Australia for a range of commercial building types including hotels, warehouses and cold stores, aged care and retirement living, shopping centres, data centres, public hospital and schools. Uptake of these </w:t>
      </w:r>
      <w:r w:rsidR="008E08AE" w:rsidRPr="00720AFF">
        <w:t>rating</w:t>
      </w:r>
      <w:r w:rsidRPr="00720AFF">
        <w:t>s is variable and cannot achieve the transparency require</w:t>
      </w:r>
      <w:r w:rsidR="00D47D2F" w:rsidRPr="00720AFF">
        <w:t>d</w:t>
      </w:r>
      <w:r w:rsidRPr="00720AFF">
        <w:t xml:space="preserve"> to drive significant energy performance improvements across the commercial building stock.</w:t>
      </w:r>
    </w:p>
    <w:p w14:paraId="22928C56" w14:textId="45694B34" w:rsidR="00D856C1" w:rsidRPr="00720AFF" w:rsidRDefault="002A61DC" w:rsidP="002430CC">
      <w:pPr>
        <w:spacing w:after="120"/>
        <w:jc w:val="both"/>
      </w:pPr>
      <w:r>
        <w:t>There is an information asymmetry problem among many commercial building stakeholders about the energy performance o</w:t>
      </w:r>
      <w:r w:rsidR="00160BB6">
        <w:t xml:space="preserve">f building assets and spaces. There is also a lack of knowledge and understanding from owners and building manager about </w:t>
      </w:r>
      <w:r w:rsidR="000377FB">
        <w:t>their building’s performance, which can lead to behavioural failures.</w:t>
      </w:r>
      <w:r w:rsidR="00E368C8">
        <w:t xml:space="preserve"> These problems result in significant barriers to efficient capital allocation and private investment in energy efficiency and emissions reduction.</w:t>
      </w:r>
      <w:r w:rsidR="00E44DCB">
        <w:t xml:space="preserve"> I</w:t>
      </w:r>
      <w:r w:rsidR="00D856C1" w:rsidRPr="00720AFF">
        <w:t xml:space="preserve">f organisations are not aware of the energy performance of the buildings they own or occupy and are not investing in energy performance </w:t>
      </w:r>
      <w:r w:rsidR="00D856C1" w:rsidRPr="00720AFF">
        <w:lastRenderedPageBreak/>
        <w:t>improvements to their building, their business risks being increasingly unattractive for investors, insurers, tenants and others.</w:t>
      </w:r>
    </w:p>
    <w:p w14:paraId="1E601811" w14:textId="19C5AABD" w:rsidR="005D5A60" w:rsidRPr="00720AFF" w:rsidRDefault="00B6129C" w:rsidP="002430CC">
      <w:pPr>
        <w:spacing w:after="120"/>
        <w:jc w:val="both"/>
      </w:pPr>
      <w:r w:rsidRPr="00720AFF">
        <w:t xml:space="preserve">Obtaining and disclosing energy ratings </w:t>
      </w:r>
      <w:r w:rsidR="00BC6476" w:rsidRPr="00720AFF">
        <w:t>has been shown</w:t>
      </w:r>
      <w:r w:rsidR="005D5A60" w:rsidRPr="00720AFF">
        <w:t xml:space="preserve"> </w:t>
      </w:r>
      <w:r w:rsidR="002B35B4" w:rsidRPr="00720AFF">
        <w:t>to</w:t>
      </w:r>
      <w:r w:rsidR="005D5A60" w:rsidRPr="00720AFF">
        <w:t>:</w:t>
      </w:r>
    </w:p>
    <w:p w14:paraId="6787F57A" w14:textId="49ADE1DF" w:rsidR="005D5A60" w:rsidRPr="00720AFF" w:rsidRDefault="00440776" w:rsidP="00BF58FD">
      <w:pPr>
        <w:pStyle w:val="ListParagraph"/>
        <w:numPr>
          <w:ilvl w:val="0"/>
          <w:numId w:val="11"/>
        </w:numPr>
        <w:spacing w:after="60"/>
        <w:ind w:left="714" w:hanging="357"/>
        <w:jc w:val="both"/>
      </w:pPr>
      <w:r w:rsidRPr="00720AFF">
        <w:t>i</w:t>
      </w:r>
      <w:r w:rsidR="005D5A60" w:rsidRPr="00720AFF">
        <w:t>ncentivis</w:t>
      </w:r>
      <w:r w:rsidR="002B35B4" w:rsidRPr="00720AFF">
        <w:t>e</w:t>
      </w:r>
      <w:r w:rsidR="005D5A60" w:rsidRPr="00720AFF">
        <w:t xml:space="preserve"> energy performance upgrades </w:t>
      </w:r>
    </w:p>
    <w:p w14:paraId="65E13717" w14:textId="005A1FB5" w:rsidR="005D5A60" w:rsidRPr="00720AFF" w:rsidRDefault="005D5A60" w:rsidP="00BF58FD">
      <w:pPr>
        <w:pStyle w:val="ListParagraph"/>
        <w:numPr>
          <w:ilvl w:val="0"/>
          <w:numId w:val="11"/>
        </w:numPr>
        <w:spacing w:after="60"/>
        <w:ind w:left="714" w:hanging="357"/>
        <w:jc w:val="both"/>
      </w:pPr>
      <w:r w:rsidRPr="00720AFF">
        <w:t xml:space="preserve">help building owners and managers better understand </w:t>
      </w:r>
      <w:r w:rsidR="00A0034C" w:rsidRPr="00720AFF">
        <w:t xml:space="preserve">and reduce </w:t>
      </w:r>
      <w:r w:rsidRPr="00720AFF">
        <w:t xml:space="preserve">their building’s energy </w:t>
      </w:r>
      <w:r w:rsidR="00A0034C" w:rsidRPr="00720AFF">
        <w:t>consumption</w:t>
      </w:r>
      <w:r w:rsidR="00CC4B3A" w:rsidRPr="00720AFF">
        <w:t xml:space="preserve"> and </w:t>
      </w:r>
      <w:r w:rsidR="00300D6E" w:rsidRPr="00720AFF">
        <w:t>lower energy costs</w:t>
      </w:r>
    </w:p>
    <w:p w14:paraId="0C0B4B2B" w14:textId="36905126" w:rsidR="005D5A60" w:rsidRPr="00720AFF" w:rsidRDefault="005D5A60" w:rsidP="00BF58FD">
      <w:pPr>
        <w:pStyle w:val="ListParagraph"/>
        <w:numPr>
          <w:ilvl w:val="0"/>
          <w:numId w:val="11"/>
        </w:numPr>
        <w:spacing w:after="60"/>
        <w:ind w:left="714" w:hanging="357"/>
        <w:jc w:val="both"/>
      </w:pPr>
      <w:r w:rsidRPr="00720AFF">
        <w:t>provid</w:t>
      </w:r>
      <w:r w:rsidR="00416CE1" w:rsidRPr="00720AFF">
        <w:t>e</w:t>
      </w:r>
      <w:r w:rsidRPr="00720AFF">
        <w:t xml:space="preserve"> high-quality aggregated data for industry</w:t>
      </w:r>
      <w:r w:rsidR="00530137" w:rsidRPr="00720AFF">
        <w:t>,</w:t>
      </w:r>
      <w:r w:rsidRPr="00720AFF">
        <w:t xml:space="preserve"> governments</w:t>
      </w:r>
      <w:r w:rsidR="00530137" w:rsidRPr="00720AFF">
        <w:t xml:space="preserve"> and financial institutions</w:t>
      </w:r>
    </w:p>
    <w:p w14:paraId="284F73FC" w14:textId="71CB779D" w:rsidR="005D5A60" w:rsidRPr="00720AFF" w:rsidRDefault="005D5A60" w:rsidP="00BF58FD">
      <w:pPr>
        <w:pStyle w:val="ListParagraph"/>
        <w:numPr>
          <w:ilvl w:val="0"/>
          <w:numId w:val="11"/>
        </w:numPr>
        <w:spacing w:after="60"/>
        <w:ind w:left="714" w:hanging="357"/>
        <w:jc w:val="both"/>
      </w:pPr>
      <w:r w:rsidRPr="00720AFF">
        <w:t>enabl</w:t>
      </w:r>
      <w:r w:rsidR="00646066" w:rsidRPr="00720AFF">
        <w:t>e</w:t>
      </w:r>
      <w:r w:rsidRPr="00720AFF">
        <w:t xml:space="preserve"> financial products, incentives, subsidies and grants for energy performance upgrades</w:t>
      </w:r>
    </w:p>
    <w:p w14:paraId="42E5676D" w14:textId="3C288FD4" w:rsidR="00054A29" w:rsidRPr="00720AFF" w:rsidRDefault="005D5A60" w:rsidP="00BF58FD">
      <w:pPr>
        <w:pStyle w:val="ListParagraph"/>
        <w:numPr>
          <w:ilvl w:val="0"/>
          <w:numId w:val="11"/>
        </w:numPr>
        <w:spacing w:after="60"/>
        <w:ind w:left="714" w:hanging="357"/>
        <w:jc w:val="both"/>
      </w:pPr>
      <w:r w:rsidRPr="00720AFF">
        <w:t>support other standards such as minimum energy performance standards.</w:t>
      </w:r>
    </w:p>
    <w:p w14:paraId="351ED141" w14:textId="6D0D4A80" w:rsidR="00DC4084" w:rsidRPr="00720AFF" w:rsidRDefault="00054A29" w:rsidP="002430CC">
      <w:pPr>
        <w:spacing w:after="120"/>
        <w:jc w:val="both"/>
      </w:pPr>
      <w:r w:rsidRPr="00720AFF">
        <w:t xml:space="preserve">Internationally, </w:t>
      </w:r>
      <w:r w:rsidR="00C44A20" w:rsidRPr="00720AFF">
        <w:t xml:space="preserve">mandatory disclosure of building energy efficiency ratings has been in place for some time. </w:t>
      </w:r>
      <w:r w:rsidR="00AB5BD1" w:rsidRPr="00720AFF">
        <w:t xml:space="preserve">The UK introduced disclosure of Energy Performance Certificates (EPCs) </w:t>
      </w:r>
      <w:r w:rsidR="006E1694" w:rsidRPr="00720AFF">
        <w:t xml:space="preserve">in 2008. In the US, disclosure policies are in place </w:t>
      </w:r>
      <w:r w:rsidR="00C033BE" w:rsidRPr="00720AFF">
        <w:t>although not</w:t>
      </w:r>
      <w:r w:rsidR="00612614" w:rsidRPr="00720AFF">
        <w:t xml:space="preserve"> all states have adopted these.</w:t>
      </w:r>
      <w:r w:rsidR="00612614" w:rsidRPr="00720AFF">
        <w:rPr>
          <w:rStyle w:val="FootnoteReference"/>
        </w:rPr>
        <w:footnoteReference w:id="7"/>
      </w:r>
      <w:r w:rsidR="004312AC" w:rsidRPr="00720AFF">
        <w:t xml:space="preserve"> These schemes</w:t>
      </w:r>
      <w:r w:rsidR="00182529" w:rsidRPr="00720AFF">
        <w:t xml:space="preserve"> are not restricted to </w:t>
      </w:r>
      <w:r w:rsidR="003472E3" w:rsidRPr="00720AFF">
        <w:t xml:space="preserve">office </w:t>
      </w:r>
      <w:r w:rsidR="003F7C38" w:rsidRPr="00720AFF">
        <w:t>buildings</w:t>
      </w:r>
      <w:r w:rsidR="003472E3" w:rsidRPr="00720AFF">
        <w:t xml:space="preserve"> </w:t>
      </w:r>
      <w:r w:rsidR="00DC4084" w:rsidRPr="00720AFF">
        <w:t>and</w:t>
      </w:r>
      <w:r w:rsidR="00182529" w:rsidRPr="00720AFF">
        <w:t xml:space="preserve"> cover a wide range of commercial building types.</w:t>
      </w:r>
    </w:p>
    <w:p w14:paraId="2D0DB889" w14:textId="04E0A04A" w:rsidR="000A1770" w:rsidRPr="00720AFF" w:rsidRDefault="000A1770" w:rsidP="00FE73BD">
      <w:pPr>
        <w:pStyle w:val="Heading3"/>
        <w:numPr>
          <w:ilvl w:val="1"/>
          <w:numId w:val="25"/>
        </w:numPr>
        <w:spacing w:after="120"/>
        <w:jc w:val="both"/>
      </w:pPr>
      <w:bookmarkStart w:id="5" w:name="_Toc200016996"/>
      <w:bookmarkStart w:id="6" w:name="_Toc430782160"/>
      <w:r w:rsidRPr="00720AFF">
        <w:t>Scope of this roadmap</w:t>
      </w:r>
      <w:bookmarkEnd w:id="5"/>
    </w:p>
    <w:p w14:paraId="16706A17" w14:textId="2139A263" w:rsidR="00801348" w:rsidRPr="00720AFF" w:rsidRDefault="00FB5A58" w:rsidP="00BF58FD">
      <w:pPr>
        <w:spacing w:after="120"/>
        <w:jc w:val="both"/>
      </w:pPr>
      <w:r w:rsidRPr="00720AFF">
        <w:t xml:space="preserve">This </w:t>
      </w:r>
      <w:r w:rsidR="00F65B7C" w:rsidRPr="00720AFF">
        <w:t>roadmap</w:t>
      </w:r>
      <w:r w:rsidR="00985C2B" w:rsidRPr="00720AFF">
        <w:t xml:space="preserve"> is primarily focussed </w:t>
      </w:r>
      <w:r w:rsidR="00773C23" w:rsidRPr="00720AFF">
        <w:t xml:space="preserve">on guiding </w:t>
      </w:r>
      <w:r w:rsidR="002C6E66" w:rsidRPr="00720AFF">
        <w:t xml:space="preserve">future </w:t>
      </w:r>
      <w:r w:rsidR="00A55983" w:rsidRPr="00720AFF">
        <w:t>government</w:t>
      </w:r>
      <w:r w:rsidR="002C6E66" w:rsidRPr="00720AFF">
        <w:t xml:space="preserve"> actions to</w:t>
      </w:r>
      <w:r w:rsidR="00773C23" w:rsidRPr="00720AFF">
        <w:t xml:space="preserve"> </w:t>
      </w:r>
      <w:r w:rsidR="00EC6741" w:rsidRPr="00720AFF">
        <w:t xml:space="preserve">expand </w:t>
      </w:r>
      <w:r w:rsidR="00773C23" w:rsidRPr="00720AFF">
        <w:t xml:space="preserve">mandatory disclosure of </w:t>
      </w:r>
      <w:r w:rsidR="00B61638" w:rsidRPr="00720AFF">
        <w:t xml:space="preserve">commercial building </w:t>
      </w:r>
      <w:r w:rsidR="00773C23" w:rsidRPr="00720AFF">
        <w:t xml:space="preserve">energy performance information under the </w:t>
      </w:r>
      <w:r w:rsidR="00435788" w:rsidRPr="00720AFF">
        <w:t>Act</w:t>
      </w:r>
      <w:r w:rsidR="00773C23" w:rsidRPr="00720AFF">
        <w:t xml:space="preserve">. </w:t>
      </w:r>
      <w:r w:rsidR="00070EDB" w:rsidRPr="00720AFF">
        <w:t xml:space="preserve">It contains policy parameters of a new </w:t>
      </w:r>
      <w:r w:rsidR="00EC6741" w:rsidRPr="00720AFF">
        <w:t xml:space="preserve">legislative and regulatory </w:t>
      </w:r>
      <w:r w:rsidR="00070EDB" w:rsidRPr="00720AFF">
        <w:t>framework</w:t>
      </w:r>
      <w:r w:rsidR="00545654" w:rsidRPr="00720AFF">
        <w:t xml:space="preserve"> and policy principles to be considered before the government will expand to more building types</w:t>
      </w:r>
      <w:r w:rsidR="00070EDB" w:rsidRPr="00720AFF">
        <w:t xml:space="preserve">. </w:t>
      </w:r>
    </w:p>
    <w:p w14:paraId="34F76566" w14:textId="77777777" w:rsidR="002C49A1" w:rsidRPr="00720AFF" w:rsidRDefault="00B708B8" w:rsidP="00BF58FD">
      <w:pPr>
        <w:spacing w:after="120"/>
        <w:jc w:val="both"/>
      </w:pPr>
      <w:r w:rsidRPr="00720AFF">
        <w:t>T</w:t>
      </w:r>
      <w:r w:rsidR="002A0545" w:rsidRPr="00720AFF">
        <w:t xml:space="preserve">he actions in this roadmap require amendments to the Act and subsequent amendments to the </w:t>
      </w:r>
      <w:r w:rsidR="004D0176" w:rsidRPr="00720AFF">
        <w:t xml:space="preserve">associated </w:t>
      </w:r>
      <w:r w:rsidR="002A0545" w:rsidRPr="00720AFF">
        <w:t>subordinate legislative instruments.</w:t>
      </w:r>
      <w:r w:rsidR="00C63B54" w:rsidRPr="00720AFF">
        <w:t xml:space="preserve"> </w:t>
      </w:r>
      <w:r w:rsidR="009D12A6" w:rsidRPr="00720AFF">
        <w:t xml:space="preserve">These amendments will be </w:t>
      </w:r>
      <w:r w:rsidR="00741B78" w:rsidRPr="00720AFF">
        <w:t xml:space="preserve">made </w:t>
      </w:r>
      <w:r w:rsidR="009D12A6" w:rsidRPr="00720AFF">
        <w:t>in accordance with standard government processes including further con</w:t>
      </w:r>
      <w:r w:rsidR="00E10709" w:rsidRPr="00720AFF">
        <w:t>sultation and policy impact</w:t>
      </w:r>
      <w:r w:rsidR="00BA6346" w:rsidRPr="00720AFF">
        <w:t xml:space="preserve"> analysis</w:t>
      </w:r>
      <w:r w:rsidR="00E10709" w:rsidRPr="00720AFF">
        <w:t>.</w:t>
      </w:r>
      <w:r w:rsidR="00BA6346" w:rsidRPr="00720AFF">
        <w:rPr>
          <w:rStyle w:val="FootnoteReference"/>
        </w:rPr>
        <w:footnoteReference w:id="8"/>
      </w:r>
      <w:r w:rsidR="00E10709" w:rsidRPr="00720AFF">
        <w:t xml:space="preserve"> </w:t>
      </w:r>
    </w:p>
    <w:p w14:paraId="246C7A61" w14:textId="7F1E224E" w:rsidR="00AE07B1" w:rsidRPr="00720AFF" w:rsidRDefault="00E74A35" w:rsidP="00BF58FD">
      <w:pPr>
        <w:spacing w:after="120"/>
        <w:jc w:val="both"/>
      </w:pPr>
      <w:r w:rsidRPr="00720AFF">
        <w:t xml:space="preserve">This roadmap does not contain an exhaustive list of all commercial building types and whether and when they will be included in the </w:t>
      </w:r>
      <w:r w:rsidR="00FD2F81" w:rsidRPr="00720AFF">
        <w:t xml:space="preserve">CBD </w:t>
      </w:r>
      <w:r w:rsidRPr="00720AFF">
        <w:t>Program. Rather, it articulates the high priority changes the government will consider first</w:t>
      </w:r>
      <w:r w:rsidR="009F657C" w:rsidRPr="00720AFF">
        <w:t xml:space="preserve"> </w:t>
      </w:r>
      <w:r w:rsidRPr="00720AFF">
        <w:t xml:space="preserve">and then highlights </w:t>
      </w:r>
      <w:proofErr w:type="gramStart"/>
      <w:r w:rsidRPr="00720AFF">
        <w:t xml:space="preserve">medium and </w:t>
      </w:r>
      <w:r w:rsidR="00671C33" w:rsidRPr="00720AFF">
        <w:t>longer term</w:t>
      </w:r>
      <w:proofErr w:type="gramEnd"/>
      <w:r w:rsidRPr="00720AFF">
        <w:t xml:space="preserve"> areas for future consideration based on a principles-based analysis.</w:t>
      </w:r>
      <w:r w:rsidR="001C5329" w:rsidRPr="00720AFF">
        <w:t xml:space="preserve"> </w:t>
      </w:r>
      <w:r w:rsidR="00B6410B" w:rsidRPr="00720AFF">
        <w:t>It</w:t>
      </w:r>
      <w:r w:rsidR="004D0176" w:rsidRPr="00720AFF">
        <w:t xml:space="preserve"> also covers key policy parameters </w:t>
      </w:r>
      <w:r w:rsidR="00BF26FD" w:rsidRPr="00720AFF">
        <w:t xml:space="preserve">and principles </w:t>
      </w:r>
      <w:r w:rsidR="00242CC8" w:rsidRPr="00720AFF">
        <w:t xml:space="preserve">to guide the introduction </w:t>
      </w:r>
      <w:r w:rsidR="00CF7142" w:rsidRPr="00720AFF">
        <w:t xml:space="preserve">of </w:t>
      </w:r>
      <w:r w:rsidR="0039425B" w:rsidRPr="00720AFF">
        <w:t>MEPS</w:t>
      </w:r>
      <w:r w:rsidR="00741B78" w:rsidRPr="00720AFF">
        <w:t xml:space="preserve"> </w:t>
      </w:r>
      <w:r w:rsidR="00BF26FD" w:rsidRPr="00720AFF">
        <w:t>for existing large office buildings</w:t>
      </w:r>
      <w:r w:rsidR="007903A9" w:rsidRPr="00720AFF">
        <w:t>.</w:t>
      </w:r>
    </w:p>
    <w:p w14:paraId="38F41A7A" w14:textId="77777777" w:rsidR="00066217" w:rsidRDefault="00582C0F" w:rsidP="00BF58FD">
      <w:pPr>
        <w:spacing w:after="120"/>
        <w:jc w:val="both"/>
        <w:rPr>
          <w:iCs/>
        </w:rPr>
      </w:pPr>
      <w:r w:rsidRPr="00720AFF">
        <w:t xml:space="preserve">It </w:t>
      </w:r>
      <w:r w:rsidR="00BE6FB0" w:rsidRPr="00720AFF">
        <w:t>does not include residential buildings, including apartments.</w:t>
      </w:r>
      <w:r w:rsidR="002760E8" w:rsidRPr="00720AFF">
        <w:t xml:space="preserve"> Disclosure of </w:t>
      </w:r>
      <w:r w:rsidR="00FD5EF3" w:rsidRPr="00720AFF">
        <w:t xml:space="preserve">residential energy performance ratings are being progressed </w:t>
      </w:r>
      <w:r w:rsidR="00DB5BAB" w:rsidRPr="00720AFF">
        <w:t>through the</w:t>
      </w:r>
      <w:r w:rsidR="00315FA3" w:rsidRPr="00720AFF">
        <w:t xml:space="preserve"> national</w:t>
      </w:r>
      <w:r w:rsidR="00DB5BAB" w:rsidRPr="00720AFF">
        <w:t xml:space="preserve"> </w:t>
      </w:r>
      <w:r w:rsidR="00DB5BAB" w:rsidRPr="00720AFF">
        <w:rPr>
          <w:i/>
          <w:iCs/>
        </w:rPr>
        <w:t>Home Energy Ratings Disclosure Framework</w:t>
      </w:r>
      <w:r w:rsidR="00315FA3" w:rsidRPr="00720AFF">
        <w:rPr>
          <w:i/>
          <w:iCs/>
        </w:rPr>
        <w:t>.</w:t>
      </w:r>
      <w:r w:rsidR="00A82A65" w:rsidRPr="00720AFF">
        <w:rPr>
          <w:rStyle w:val="FootnoteReference"/>
        </w:rPr>
        <w:footnoteReference w:id="9"/>
      </w:r>
      <w:r w:rsidR="001C25FC" w:rsidRPr="00720AFF">
        <w:rPr>
          <w:i/>
        </w:rPr>
        <w:t xml:space="preserve"> </w:t>
      </w:r>
    </w:p>
    <w:p w14:paraId="1A91B65E" w14:textId="5F92BC8B" w:rsidR="009D24D0" w:rsidRPr="00720AFF" w:rsidRDefault="0070658C" w:rsidP="00BF58FD">
      <w:pPr>
        <w:spacing w:after="120"/>
        <w:jc w:val="both"/>
      </w:pPr>
      <w:r w:rsidRPr="00720AFF">
        <w:t xml:space="preserve">This roadmap does not </w:t>
      </w:r>
      <w:r w:rsidR="008C026A" w:rsidRPr="00720AFF">
        <w:t xml:space="preserve">propose mandatory </w:t>
      </w:r>
      <w:r w:rsidR="00AB73D7" w:rsidRPr="00720AFF">
        <w:t xml:space="preserve">disclosure of other </w:t>
      </w:r>
      <w:r w:rsidR="003E57D9" w:rsidRPr="00720AFF">
        <w:t xml:space="preserve">sustainability </w:t>
      </w:r>
      <w:r w:rsidR="008C026A" w:rsidRPr="00720AFF">
        <w:t>rating</w:t>
      </w:r>
      <w:r w:rsidR="003E57D9" w:rsidRPr="00720AFF">
        <w:t>s</w:t>
      </w:r>
      <w:r w:rsidR="008C026A" w:rsidRPr="00720AFF">
        <w:t xml:space="preserve"> </w:t>
      </w:r>
      <w:r w:rsidR="00AB73D7" w:rsidRPr="00720AFF">
        <w:t xml:space="preserve">such as water, </w:t>
      </w:r>
      <w:r w:rsidR="00665A39" w:rsidRPr="00720AFF">
        <w:t>waste</w:t>
      </w:r>
      <w:r w:rsidR="00896CB3" w:rsidRPr="00720AFF">
        <w:t xml:space="preserve"> and indoor environment</w:t>
      </w:r>
      <w:r w:rsidR="000E0B5E" w:rsidRPr="00720AFF">
        <w:t xml:space="preserve"> quality</w:t>
      </w:r>
      <w:r w:rsidR="00F12C90">
        <w:t xml:space="preserve"> (apart from data centres water</w:t>
      </w:r>
      <w:r w:rsidR="00464BAE">
        <w:t xml:space="preserve"> ratings discussed in section</w:t>
      </w:r>
      <w:r w:rsidR="00CA5E56">
        <w:t xml:space="preserve"> 5.2)</w:t>
      </w:r>
      <w:r w:rsidR="00896CB3" w:rsidRPr="00720AFF">
        <w:t>.</w:t>
      </w:r>
    </w:p>
    <w:p w14:paraId="511379E9" w14:textId="7F9AC74F" w:rsidR="00950655" w:rsidRPr="00720AFF" w:rsidRDefault="005F657D" w:rsidP="00BF58FD">
      <w:pPr>
        <w:spacing w:after="120"/>
        <w:jc w:val="both"/>
      </w:pPr>
      <w:r w:rsidRPr="00720AFF">
        <w:t>While not discussed in detail in this roadmap, it is expected that along with</w:t>
      </w:r>
      <w:r w:rsidR="00E365BD" w:rsidRPr="00720AFF">
        <w:t xml:space="preserve"> expanding the </w:t>
      </w:r>
      <w:r w:rsidR="00FD2F81" w:rsidRPr="00720AFF">
        <w:t xml:space="preserve">CBD </w:t>
      </w:r>
      <w:r w:rsidR="00310D35" w:rsidRPr="00720AFF">
        <w:t xml:space="preserve">Program, the government will consider what additional support is appropriate </w:t>
      </w:r>
      <w:r w:rsidR="00AE70CF" w:rsidRPr="00720AFF">
        <w:t xml:space="preserve">to provide to </w:t>
      </w:r>
      <w:r w:rsidR="00950DB3" w:rsidRPr="00720AFF">
        <w:t>newly regulated entities</w:t>
      </w:r>
      <w:r w:rsidR="00AE70CF" w:rsidRPr="00720AFF">
        <w:t xml:space="preserve">. </w:t>
      </w:r>
      <w:r w:rsidR="00950655" w:rsidRPr="00720AFF">
        <w:t>This could include</w:t>
      </w:r>
      <w:r w:rsidR="00950DB3" w:rsidRPr="00720AFF">
        <w:t xml:space="preserve"> </w:t>
      </w:r>
      <w:r w:rsidR="00AF5A80" w:rsidRPr="00720AFF">
        <w:t xml:space="preserve">increased government efforts </w:t>
      </w:r>
      <w:r w:rsidR="00BA1193" w:rsidRPr="00720AFF">
        <w:t>to educate and make newly regulated entities aware of their obligations</w:t>
      </w:r>
      <w:r w:rsidR="0072242D" w:rsidRPr="00720AFF">
        <w:t xml:space="preserve">, </w:t>
      </w:r>
      <w:r w:rsidR="00AC082E" w:rsidRPr="00720AFF">
        <w:t xml:space="preserve">consideration </w:t>
      </w:r>
      <w:r w:rsidR="000F5817" w:rsidRPr="00720AFF">
        <w:t>(in partnership with NABERS) of NABERS fee discounts for first time raters</w:t>
      </w:r>
      <w:r w:rsidR="00A20DF4" w:rsidRPr="00720AFF">
        <w:t xml:space="preserve">, or </w:t>
      </w:r>
      <w:r w:rsidR="0090410A" w:rsidRPr="00720AFF">
        <w:t>assistance with energy assessor costs</w:t>
      </w:r>
      <w:r w:rsidR="000F5817" w:rsidRPr="00720AFF">
        <w:t>.</w:t>
      </w:r>
    </w:p>
    <w:p w14:paraId="00F90D69" w14:textId="54704EA1" w:rsidR="006E18B8" w:rsidRPr="00720AFF" w:rsidRDefault="00CC07A8" w:rsidP="00FE73BD">
      <w:pPr>
        <w:pStyle w:val="Heading3"/>
        <w:numPr>
          <w:ilvl w:val="1"/>
          <w:numId w:val="25"/>
        </w:numPr>
        <w:spacing w:after="120"/>
        <w:jc w:val="both"/>
      </w:pPr>
      <w:bookmarkStart w:id="7" w:name="_Ref189583481"/>
      <w:bookmarkStart w:id="8" w:name="_Toc200016997"/>
      <w:r w:rsidRPr="00720AFF">
        <w:lastRenderedPageBreak/>
        <w:t>Link</w:t>
      </w:r>
      <w:r w:rsidR="00D807A5" w:rsidRPr="00720AFF">
        <w:t>s</w:t>
      </w:r>
      <w:r w:rsidRPr="00720AFF">
        <w:t xml:space="preserve"> to broader policy</w:t>
      </w:r>
      <w:bookmarkEnd w:id="7"/>
      <w:bookmarkEnd w:id="8"/>
    </w:p>
    <w:p w14:paraId="1E854308" w14:textId="675C9F26" w:rsidR="006526E6" w:rsidRPr="00720AFF" w:rsidRDefault="006526E6" w:rsidP="59AAB882">
      <w:pPr>
        <w:pStyle w:val="Heading4"/>
        <w:spacing w:line="276" w:lineRule="auto"/>
        <w:jc w:val="both"/>
      </w:pPr>
      <w:r w:rsidRPr="00720AFF">
        <w:t>Commonwealth regulatory reform</w:t>
      </w:r>
    </w:p>
    <w:p w14:paraId="1BC441D4" w14:textId="1B1B6927" w:rsidR="00BC36A8" w:rsidRPr="00720AFF" w:rsidRDefault="00B0585E" w:rsidP="00BF58FD">
      <w:pPr>
        <w:spacing w:after="120"/>
        <w:jc w:val="both"/>
      </w:pPr>
      <w:r w:rsidRPr="00720AFF">
        <w:t>Reform of the Act and expansion of the CBD Program will ali</w:t>
      </w:r>
      <w:r w:rsidR="00934C2C" w:rsidRPr="00720AFF">
        <w:t xml:space="preserve">gn with whole of government best practice regulatory reform principles, as set out in </w:t>
      </w:r>
      <w:r w:rsidR="004A3382" w:rsidRPr="00720AFF">
        <w:t>the</w:t>
      </w:r>
      <w:r w:rsidR="00C96F3C" w:rsidRPr="00720AFF">
        <w:t xml:space="preserve"> government’s</w:t>
      </w:r>
      <w:r w:rsidR="004A3382" w:rsidRPr="00720AFF">
        <w:t xml:space="preserve"> Regulatory Policy, Practice and Performance Framework.</w:t>
      </w:r>
      <w:r w:rsidR="004A3382" w:rsidRPr="00720AFF">
        <w:rPr>
          <w:rStyle w:val="FootnoteReference"/>
        </w:rPr>
        <w:footnoteReference w:id="10"/>
      </w:r>
      <w:r w:rsidR="008A5EFB" w:rsidRPr="00720AFF">
        <w:t xml:space="preserve"> </w:t>
      </w:r>
      <w:r w:rsidR="00BC36A8" w:rsidRPr="00720AFF">
        <w:t xml:space="preserve">Specifically, </w:t>
      </w:r>
      <w:r w:rsidR="0059673B" w:rsidRPr="00720AFF">
        <w:t>reform of the CBD Program will be:</w:t>
      </w:r>
    </w:p>
    <w:p w14:paraId="1BB14CCF" w14:textId="4209AF77" w:rsidR="004A76F1" w:rsidRPr="00720AFF" w:rsidRDefault="00BD5318" w:rsidP="00BF58FD">
      <w:pPr>
        <w:pStyle w:val="BodyText"/>
        <w:numPr>
          <w:ilvl w:val="0"/>
          <w:numId w:val="35"/>
        </w:numPr>
        <w:spacing w:after="60"/>
        <w:jc w:val="both"/>
        <w:rPr>
          <w:rFonts w:asciiTheme="minorHAnsi" w:hAnsiTheme="minorHAnsi"/>
          <w:color w:val="auto"/>
          <w:sz w:val="22"/>
        </w:rPr>
      </w:pPr>
      <w:r w:rsidRPr="00720AFF">
        <w:rPr>
          <w:rFonts w:asciiTheme="minorHAnsi" w:hAnsiTheme="minorHAnsi"/>
          <w:b/>
          <w:bCs/>
          <w:color w:val="auto"/>
          <w:sz w:val="22"/>
        </w:rPr>
        <w:t>t</w:t>
      </w:r>
      <w:r w:rsidR="003736F1" w:rsidRPr="00720AFF">
        <w:rPr>
          <w:rFonts w:asciiTheme="minorHAnsi" w:hAnsiTheme="minorHAnsi"/>
          <w:b/>
          <w:bCs/>
          <w:color w:val="auto"/>
          <w:sz w:val="22"/>
        </w:rPr>
        <w:t>argeted</w:t>
      </w:r>
      <w:r w:rsidR="004138C0" w:rsidRPr="00720AFF">
        <w:rPr>
          <w:rFonts w:asciiTheme="minorHAnsi" w:hAnsiTheme="minorHAnsi"/>
          <w:b/>
          <w:bCs/>
          <w:color w:val="auto"/>
          <w:sz w:val="22"/>
        </w:rPr>
        <w:t xml:space="preserve">, </w:t>
      </w:r>
      <w:r w:rsidR="003736F1" w:rsidRPr="00720AFF">
        <w:rPr>
          <w:rFonts w:asciiTheme="minorHAnsi" w:hAnsiTheme="minorHAnsi"/>
          <w:b/>
          <w:bCs/>
          <w:color w:val="auto"/>
          <w:sz w:val="22"/>
        </w:rPr>
        <w:t xml:space="preserve">risk-based </w:t>
      </w:r>
      <w:r w:rsidR="004138C0" w:rsidRPr="00720AFF">
        <w:rPr>
          <w:rFonts w:asciiTheme="minorHAnsi" w:hAnsiTheme="minorHAnsi"/>
          <w:b/>
          <w:bCs/>
          <w:color w:val="auto"/>
          <w:sz w:val="22"/>
        </w:rPr>
        <w:t>and proportionate</w:t>
      </w:r>
      <w:r w:rsidR="00FE2BC6" w:rsidRPr="00720AFF">
        <w:rPr>
          <w:rFonts w:asciiTheme="minorHAnsi" w:hAnsiTheme="minorHAnsi"/>
          <w:b/>
          <w:bCs/>
          <w:color w:val="auto"/>
          <w:sz w:val="22"/>
        </w:rPr>
        <w:t xml:space="preserve">. </w:t>
      </w:r>
      <w:r w:rsidR="00FE2BC6" w:rsidRPr="00720AFF">
        <w:rPr>
          <w:rFonts w:asciiTheme="minorHAnsi" w:hAnsiTheme="minorHAnsi"/>
          <w:color w:val="auto"/>
          <w:sz w:val="22"/>
        </w:rPr>
        <w:t xml:space="preserve">This roadmap </w:t>
      </w:r>
      <w:r w:rsidR="004A76F1" w:rsidRPr="00720AFF">
        <w:rPr>
          <w:rFonts w:asciiTheme="minorHAnsi" w:hAnsiTheme="minorHAnsi"/>
          <w:color w:val="auto"/>
          <w:sz w:val="22"/>
        </w:rPr>
        <w:t xml:space="preserve">takes a targeted and </w:t>
      </w:r>
      <w:r w:rsidR="00117417" w:rsidRPr="00720AFF">
        <w:rPr>
          <w:rFonts w:asciiTheme="minorHAnsi" w:hAnsiTheme="minorHAnsi"/>
          <w:color w:val="auto"/>
          <w:sz w:val="22"/>
        </w:rPr>
        <w:t>staged approach</w:t>
      </w:r>
      <w:r w:rsidR="004A76F1" w:rsidRPr="00720AFF">
        <w:rPr>
          <w:rFonts w:asciiTheme="minorHAnsi" w:hAnsiTheme="minorHAnsi"/>
          <w:color w:val="auto"/>
          <w:sz w:val="22"/>
        </w:rPr>
        <w:t>.</w:t>
      </w:r>
    </w:p>
    <w:p w14:paraId="72C1E187" w14:textId="25EC0864" w:rsidR="00FE2BC6" w:rsidRPr="00720AFF" w:rsidRDefault="00BD5318" w:rsidP="00BF58FD">
      <w:pPr>
        <w:pStyle w:val="BodyText"/>
        <w:numPr>
          <w:ilvl w:val="0"/>
          <w:numId w:val="33"/>
        </w:numPr>
        <w:spacing w:after="60"/>
        <w:ind w:left="714" w:hanging="357"/>
        <w:jc w:val="both"/>
        <w:rPr>
          <w:rFonts w:asciiTheme="minorHAnsi" w:hAnsiTheme="minorHAnsi"/>
          <w:b/>
          <w:bCs/>
          <w:color w:val="auto"/>
          <w:sz w:val="22"/>
        </w:rPr>
      </w:pPr>
      <w:r w:rsidRPr="00720AFF">
        <w:rPr>
          <w:rFonts w:asciiTheme="minorHAnsi" w:hAnsiTheme="minorHAnsi"/>
          <w:b/>
          <w:bCs/>
          <w:color w:val="auto"/>
          <w:sz w:val="22"/>
        </w:rPr>
        <w:t>i</w:t>
      </w:r>
      <w:r w:rsidR="003736F1" w:rsidRPr="00720AFF">
        <w:rPr>
          <w:rFonts w:asciiTheme="minorHAnsi" w:hAnsiTheme="minorHAnsi"/>
          <w:b/>
          <w:bCs/>
          <w:color w:val="auto"/>
          <w:sz w:val="22"/>
        </w:rPr>
        <w:t xml:space="preserve">ntegrated in existing </w:t>
      </w:r>
      <w:r w:rsidR="00583C7B" w:rsidRPr="00720AFF">
        <w:rPr>
          <w:rFonts w:asciiTheme="minorHAnsi" w:hAnsiTheme="minorHAnsi"/>
          <w:b/>
          <w:bCs/>
          <w:color w:val="auto"/>
          <w:sz w:val="22"/>
        </w:rPr>
        <w:t xml:space="preserve">regulatory and </w:t>
      </w:r>
      <w:r w:rsidR="00F5476D" w:rsidRPr="00720AFF">
        <w:rPr>
          <w:rFonts w:asciiTheme="minorHAnsi" w:hAnsiTheme="minorHAnsi"/>
          <w:b/>
          <w:bCs/>
          <w:color w:val="auto"/>
          <w:sz w:val="22"/>
        </w:rPr>
        <w:t xml:space="preserve">government </w:t>
      </w:r>
      <w:r w:rsidR="003736F1" w:rsidRPr="00720AFF">
        <w:rPr>
          <w:rFonts w:asciiTheme="minorHAnsi" w:hAnsiTheme="minorHAnsi"/>
          <w:b/>
          <w:bCs/>
          <w:color w:val="auto"/>
          <w:sz w:val="22"/>
        </w:rPr>
        <w:t>systems</w:t>
      </w:r>
      <w:r w:rsidR="00FE2BC6" w:rsidRPr="00720AFF">
        <w:rPr>
          <w:rFonts w:asciiTheme="minorHAnsi" w:hAnsiTheme="minorHAnsi"/>
          <w:b/>
          <w:bCs/>
          <w:color w:val="auto"/>
          <w:sz w:val="22"/>
        </w:rPr>
        <w:t>.</w:t>
      </w:r>
      <w:r w:rsidR="00FE2BC6" w:rsidRPr="00720AFF">
        <w:rPr>
          <w:rFonts w:asciiTheme="minorHAnsi" w:hAnsiTheme="minorHAnsi"/>
          <w:color w:val="auto"/>
          <w:sz w:val="22"/>
        </w:rPr>
        <w:t xml:space="preserve"> </w:t>
      </w:r>
      <w:r w:rsidR="007740F7" w:rsidRPr="00720AFF">
        <w:rPr>
          <w:rFonts w:asciiTheme="minorHAnsi" w:hAnsiTheme="minorHAnsi"/>
          <w:color w:val="auto"/>
          <w:sz w:val="22"/>
        </w:rPr>
        <w:t xml:space="preserve">Existing NABERS </w:t>
      </w:r>
      <w:r w:rsidR="00D134D1" w:rsidRPr="00720AFF">
        <w:rPr>
          <w:rFonts w:asciiTheme="minorHAnsi" w:hAnsiTheme="minorHAnsi"/>
          <w:color w:val="auto"/>
          <w:sz w:val="22"/>
        </w:rPr>
        <w:t>energy ratings</w:t>
      </w:r>
      <w:r w:rsidR="007740F7" w:rsidRPr="00720AFF">
        <w:rPr>
          <w:rFonts w:asciiTheme="minorHAnsi" w:hAnsiTheme="minorHAnsi"/>
          <w:color w:val="auto"/>
          <w:sz w:val="22"/>
        </w:rPr>
        <w:t xml:space="preserve"> and </w:t>
      </w:r>
      <w:r w:rsidR="00C551AB" w:rsidRPr="00720AFF">
        <w:rPr>
          <w:rFonts w:asciiTheme="minorHAnsi" w:hAnsiTheme="minorHAnsi"/>
          <w:color w:val="auto"/>
          <w:sz w:val="22"/>
        </w:rPr>
        <w:t>IT systems will be use</w:t>
      </w:r>
      <w:r w:rsidR="00A03AC4" w:rsidRPr="00720AFF">
        <w:rPr>
          <w:rFonts w:asciiTheme="minorHAnsi" w:hAnsiTheme="minorHAnsi"/>
          <w:color w:val="auto"/>
          <w:sz w:val="22"/>
        </w:rPr>
        <w:t>d</w:t>
      </w:r>
      <w:r w:rsidR="00497966" w:rsidRPr="00720AFF">
        <w:rPr>
          <w:rFonts w:asciiTheme="minorHAnsi" w:hAnsiTheme="minorHAnsi"/>
          <w:color w:val="auto"/>
          <w:sz w:val="22"/>
        </w:rPr>
        <w:t xml:space="preserve"> where appropriate. </w:t>
      </w:r>
    </w:p>
    <w:p w14:paraId="76BFB935" w14:textId="0CF2BD12" w:rsidR="00405620" w:rsidRPr="00720AFF" w:rsidRDefault="00BD5318" w:rsidP="00BF58FD">
      <w:pPr>
        <w:pStyle w:val="BodyText"/>
        <w:numPr>
          <w:ilvl w:val="0"/>
          <w:numId w:val="33"/>
        </w:numPr>
        <w:spacing w:after="60"/>
        <w:ind w:left="714" w:hanging="357"/>
        <w:jc w:val="both"/>
        <w:rPr>
          <w:rFonts w:asciiTheme="minorHAnsi" w:hAnsiTheme="minorHAnsi"/>
          <w:color w:val="auto"/>
          <w:sz w:val="22"/>
        </w:rPr>
      </w:pPr>
      <w:proofErr w:type="gramStart"/>
      <w:r w:rsidRPr="00720AFF">
        <w:rPr>
          <w:rFonts w:asciiTheme="minorHAnsi" w:hAnsiTheme="minorHAnsi"/>
          <w:b/>
          <w:bCs/>
          <w:color w:val="auto"/>
          <w:sz w:val="22"/>
        </w:rPr>
        <w:t>u</w:t>
      </w:r>
      <w:r w:rsidR="003736F1" w:rsidRPr="00720AFF">
        <w:rPr>
          <w:rFonts w:asciiTheme="minorHAnsi" w:hAnsiTheme="minorHAnsi"/>
          <w:b/>
          <w:bCs/>
          <w:color w:val="auto"/>
          <w:sz w:val="22"/>
        </w:rPr>
        <w:t>ser-centred</w:t>
      </w:r>
      <w:proofErr w:type="gramEnd"/>
      <w:r w:rsidR="00405620" w:rsidRPr="00720AFF">
        <w:rPr>
          <w:rFonts w:asciiTheme="minorHAnsi" w:hAnsiTheme="minorHAnsi"/>
          <w:color w:val="auto"/>
          <w:sz w:val="22"/>
        </w:rPr>
        <w:t xml:space="preserve">. </w:t>
      </w:r>
      <w:r w:rsidR="00382BA0" w:rsidRPr="00720AFF">
        <w:rPr>
          <w:rFonts w:asciiTheme="minorHAnsi" w:hAnsiTheme="minorHAnsi"/>
          <w:color w:val="auto"/>
          <w:sz w:val="22"/>
        </w:rPr>
        <w:t>Building owners and tenants (as the regulated parties)</w:t>
      </w:r>
      <w:r w:rsidR="00D01214" w:rsidRPr="00720AFF">
        <w:rPr>
          <w:rFonts w:asciiTheme="minorHAnsi" w:hAnsiTheme="minorHAnsi"/>
          <w:color w:val="auto"/>
          <w:sz w:val="22"/>
        </w:rPr>
        <w:t xml:space="preserve">, </w:t>
      </w:r>
      <w:r w:rsidR="00382BA0" w:rsidRPr="00720AFF">
        <w:rPr>
          <w:rFonts w:asciiTheme="minorHAnsi" w:hAnsiTheme="minorHAnsi"/>
          <w:color w:val="auto"/>
          <w:sz w:val="22"/>
        </w:rPr>
        <w:t>energy assessors</w:t>
      </w:r>
      <w:r w:rsidR="00D01214" w:rsidRPr="00720AFF">
        <w:rPr>
          <w:rFonts w:asciiTheme="minorHAnsi" w:hAnsiTheme="minorHAnsi"/>
          <w:color w:val="auto"/>
          <w:sz w:val="22"/>
        </w:rPr>
        <w:t xml:space="preserve"> and users of the disclosed information will be at the centre of </w:t>
      </w:r>
      <w:r w:rsidR="0043138C" w:rsidRPr="00720AFF">
        <w:rPr>
          <w:rFonts w:asciiTheme="minorHAnsi" w:hAnsiTheme="minorHAnsi"/>
          <w:color w:val="auto"/>
          <w:sz w:val="22"/>
        </w:rPr>
        <w:t xml:space="preserve">decisions to expand the </w:t>
      </w:r>
      <w:r w:rsidR="001274EB" w:rsidRPr="00720AFF">
        <w:rPr>
          <w:rFonts w:asciiTheme="minorHAnsi" w:hAnsiTheme="minorHAnsi"/>
          <w:color w:val="auto"/>
          <w:sz w:val="22"/>
        </w:rPr>
        <w:t xml:space="preserve">CBD </w:t>
      </w:r>
      <w:r w:rsidR="0043138C" w:rsidRPr="00720AFF">
        <w:rPr>
          <w:rFonts w:asciiTheme="minorHAnsi" w:hAnsiTheme="minorHAnsi"/>
          <w:color w:val="auto"/>
          <w:sz w:val="22"/>
        </w:rPr>
        <w:t>Program.</w:t>
      </w:r>
    </w:p>
    <w:p w14:paraId="4EB27A4C" w14:textId="7607DD00" w:rsidR="004138C0" w:rsidRPr="00720AFF" w:rsidRDefault="00BD5318" w:rsidP="00BF58FD">
      <w:pPr>
        <w:pStyle w:val="BodyText"/>
        <w:numPr>
          <w:ilvl w:val="0"/>
          <w:numId w:val="33"/>
        </w:numPr>
        <w:spacing w:after="60"/>
        <w:ind w:left="714" w:hanging="357"/>
        <w:jc w:val="both"/>
        <w:rPr>
          <w:rFonts w:asciiTheme="minorHAnsi" w:hAnsiTheme="minorHAnsi"/>
          <w:color w:val="auto"/>
          <w:sz w:val="22"/>
        </w:rPr>
      </w:pPr>
      <w:r w:rsidRPr="00720AFF">
        <w:rPr>
          <w:rFonts w:asciiTheme="minorHAnsi" w:hAnsiTheme="minorHAnsi"/>
          <w:b/>
          <w:bCs/>
          <w:color w:val="auto"/>
          <w:sz w:val="22"/>
        </w:rPr>
        <w:t>e</w:t>
      </w:r>
      <w:r w:rsidR="003736F1" w:rsidRPr="00720AFF">
        <w:rPr>
          <w:rFonts w:asciiTheme="minorHAnsi" w:hAnsiTheme="minorHAnsi"/>
          <w:b/>
          <w:bCs/>
          <w:color w:val="auto"/>
          <w:sz w:val="22"/>
        </w:rPr>
        <w:t>vidence-based and data-driven</w:t>
      </w:r>
      <w:r w:rsidR="00C155A7" w:rsidRPr="00720AFF">
        <w:rPr>
          <w:rFonts w:asciiTheme="minorHAnsi" w:hAnsiTheme="minorHAnsi"/>
          <w:b/>
          <w:bCs/>
          <w:color w:val="auto"/>
          <w:sz w:val="22"/>
        </w:rPr>
        <w:t>.</w:t>
      </w:r>
      <w:r w:rsidR="00C155A7" w:rsidRPr="00720AFF">
        <w:rPr>
          <w:rFonts w:asciiTheme="minorHAnsi" w:hAnsiTheme="minorHAnsi"/>
          <w:color w:val="auto"/>
          <w:sz w:val="22"/>
        </w:rPr>
        <w:t xml:space="preserve"> This roadmap </w:t>
      </w:r>
      <w:r w:rsidR="00A975B2" w:rsidRPr="00720AFF">
        <w:rPr>
          <w:rFonts w:asciiTheme="minorHAnsi" w:hAnsiTheme="minorHAnsi"/>
          <w:color w:val="auto"/>
          <w:sz w:val="22"/>
        </w:rPr>
        <w:t xml:space="preserve">has been developed in response to consultation and previous </w:t>
      </w:r>
      <w:r w:rsidR="004B4F91" w:rsidRPr="00720AFF">
        <w:rPr>
          <w:rFonts w:asciiTheme="minorHAnsi" w:hAnsiTheme="minorHAnsi"/>
          <w:color w:val="auto"/>
          <w:sz w:val="22"/>
        </w:rPr>
        <w:t xml:space="preserve">independent studies into </w:t>
      </w:r>
      <w:r w:rsidR="00130ADB" w:rsidRPr="00720AFF">
        <w:rPr>
          <w:rFonts w:asciiTheme="minorHAnsi" w:hAnsiTheme="minorHAnsi"/>
          <w:color w:val="auto"/>
          <w:sz w:val="22"/>
        </w:rPr>
        <w:t xml:space="preserve">the </w:t>
      </w:r>
      <w:r w:rsidR="001274EB" w:rsidRPr="00720AFF">
        <w:rPr>
          <w:rFonts w:asciiTheme="minorHAnsi" w:hAnsiTheme="minorHAnsi"/>
          <w:color w:val="auto"/>
          <w:sz w:val="22"/>
        </w:rPr>
        <w:t xml:space="preserve">CBD </w:t>
      </w:r>
      <w:r w:rsidR="00130ADB" w:rsidRPr="00720AFF">
        <w:rPr>
          <w:rFonts w:asciiTheme="minorHAnsi" w:hAnsiTheme="minorHAnsi"/>
          <w:color w:val="auto"/>
          <w:sz w:val="22"/>
        </w:rPr>
        <w:t xml:space="preserve">Program. Future regulation </w:t>
      </w:r>
      <w:r w:rsidR="00AE5B9F" w:rsidRPr="00720AFF">
        <w:rPr>
          <w:rFonts w:asciiTheme="minorHAnsi" w:hAnsiTheme="minorHAnsi"/>
          <w:color w:val="auto"/>
          <w:sz w:val="22"/>
        </w:rPr>
        <w:t xml:space="preserve">will be subject to </w:t>
      </w:r>
      <w:r w:rsidR="001D4EF1" w:rsidRPr="00720AFF">
        <w:rPr>
          <w:rFonts w:asciiTheme="minorHAnsi" w:hAnsiTheme="minorHAnsi"/>
          <w:color w:val="auto"/>
          <w:sz w:val="22"/>
        </w:rPr>
        <w:t>policy impact analysis.</w:t>
      </w:r>
    </w:p>
    <w:p w14:paraId="322239D8" w14:textId="2571BFA3" w:rsidR="00E5000F" w:rsidRPr="00720AFF" w:rsidRDefault="00BD5318" w:rsidP="00BF58FD">
      <w:pPr>
        <w:pStyle w:val="BodyText"/>
        <w:numPr>
          <w:ilvl w:val="0"/>
          <w:numId w:val="33"/>
        </w:numPr>
        <w:spacing w:after="60"/>
        <w:jc w:val="both"/>
        <w:rPr>
          <w:rFonts w:asciiTheme="minorHAnsi" w:hAnsiTheme="minorHAnsi"/>
          <w:color w:val="auto"/>
          <w:sz w:val="22"/>
        </w:rPr>
      </w:pPr>
      <w:r w:rsidRPr="00720AFF">
        <w:rPr>
          <w:rFonts w:asciiTheme="minorHAnsi" w:hAnsiTheme="minorHAnsi"/>
          <w:b/>
          <w:bCs/>
          <w:color w:val="auto"/>
          <w:sz w:val="22"/>
        </w:rPr>
        <w:t xml:space="preserve">able to </w:t>
      </w:r>
      <w:r w:rsidR="003736F1" w:rsidRPr="00720AFF">
        <w:rPr>
          <w:rFonts w:asciiTheme="minorHAnsi" w:hAnsiTheme="minorHAnsi"/>
          <w:b/>
          <w:bCs/>
          <w:color w:val="auto"/>
          <w:sz w:val="22"/>
        </w:rPr>
        <w:t>take full advantage of digital and technology capabilities and practices</w:t>
      </w:r>
      <w:r w:rsidR="0010117E" w:rsidRPr="00720AFF">
        <w:rPr>
          <w:rFonts w:asciiTheme="minorHAnsi" w:hAnsiTheme="minorHAnsi"/>
          <w:color w:val="auto"/>
          <w:sz w:val="22"/>
        </w:rPr>
        <w:t>.</w:t>
      </w:r>
      <w:r w:rsidR="00E5000F" w:rsidRPr="00720AFF">
        <w:rPr>
          <w:rFonts w:asciiTheme="minorHAnsi" w:hAnsiTheme="minorHAnsi"/>
          <w:color w:val="auto"/>
          <w:sz w:val="22"/>
        </w:rPr>
        <w:t xml:space="preserve"> While the technical implementation of these decisions is not explicitly covered in this roadmap, the principles of digital-era practices will inform implementation process</w:t>
      </w:r>
      <w:r w:rsidR="007077CA" w:rsidRPr="00720AFF">
        <w:rPr>
          <w:rFonts w:asciiTheme="minorHAnsi" w:hAnsiTheme="minorHAnsi"/>
          <w:color w:val="auto"/>
          <w:sz w:val="22"/>
        </w:rPr>
        <w:t>es</w:t>
      </w:r>
      <w:r w:rsidR="00E5000F" w:rsidRPr="00720AFF">
        <w:rPr>
          <w:rFonts w:asciiTheme="minorHAnsi" w:hAnsiTheme="minorHAnsi"/>
          <w:color w:val="auto"/>
          <w:sz w:val="22"/>
        </w:rPr>
        <w:t>.</w:t>
      </w:r>
    </w:p>
    <w:p w14:paraId="24545257" w14:textId="1DA7F943" w:rsidR="00F73E6B" w:rsidRPr="00720AFF" w:rsidRDefault="00BD5318" w:rsidP="001D4C36">
      <w:pPr>
        <w:pStyle w:val="BodyText"/>
        <w:numPr>
          <w:ilvl w:val="0"/>
          <w:numId w:val="33"/>
        </w:numPr>
        <w:ind w:left="714" w:hanging="357"/>
        <w:jc w:val="both"/>
        <w:rPr>
          <w:rFonts w:asciiTheme="minorHAnsi" w:hAnsiTheme="minorHAnsi"/>
          <w:color w:val="auto"/>
          <w:sz w:val="22"/>
        </w:rPr>
      </w:pPr>
      <w:r w:rsidRPr="00720AFF">
        <w:rPr>
          <w:rFonts w:asciiTheme="minorHAnsi" w:hAnsiTheme="minorHAnsi"/>
          <w:b/>
          <w:bCs/>
          <w:color w:val="auto"/>
          <w:sz w:val="22"/>
        </w:rPr>
        <w:t>c</w:t>
      </w:r>
      <w:r w:rsidR="003736F1" w:rsidRPr="00720AFF">
        <w:rPr>
          <w:rFonts w:asciiTheme="minorHAnsi" w:hAnsiTheme="minorHAnsi"/>
          <w:b/>
          <w:bCs/>
          <w:color w:val="auto"/>
          <w:sz w:val="22"/>
        </w:rPr>
        <w:t>ontinuously improved and outcomes-focused.</w:t>
      </w:r>
      <w:r w:rsidR="00E5000F" w:rsidRPr="00720AFF">
        <w:rPr>
          <w:rFonts w:asciiTheme="minorHAnsi" w:hAnsiTheme="minorHAnsi"/>
          <w:b/>
          <w:bCs/>
          <w:color w:val="auto"/>
          <w:sz w:val="22"/>
        </w:rPr>
        <w:t xml:space="preserve"> </w:t>
      </w:r>
      <w:r w:rsidR="00E5000F" w:rsidRPr="00720AFF">
        <w:rPr>
          <w:rFonts w:asciiTheme="minorHAnsi" w:hAnsiTheme="minorHAnsi"/>
          <w:color w:val="auto"/>
          <w:sz w:val="22"/>
        </w:rPr>
        <w:t xml:space="preserve">This roadmap incorporates </w:t>
      </w:r>
      <w:r w:rsidR="00F73E6B" w:rsidRPr="00720AFF">
        <w:rPr>
          <w:rFonts w:asciiTheme="minorHAnsi" w:hAnsiTheme="minorHAnsi"/>
          <w:color w:val="auto"/>
          <w:sz w:val="22"/>
        </w:rPr>
        <w:t>continuous improvement and</w:t>
      </w:r>
      <w:r w:rsidR="00A966E0" w:rsidRPr="00720AFF">
        <w:rPr>
          <w:rFonts w:asciiTheme="minorHAnsi" w:hAnsiTheme="minorHAnsi"/>
          <w:color w:val="auto"/>
          <w:sz w:val="22"/>
        </w:rPr>
        <w:t xml:space="preserve"> regular review </w:t>
      </w:r>
      <w:r w:rsidR="00F73E6B" w:rsidRPr="00720AFF">
        <w:rPr>
          <w:rFonts w:asciiTheme="minorHAnsi" w:hAnsiTheme="minorHAnsi"/>
          <w:color w:val="auto"/>
          <w:sz w:val="22"/>
        </w:rPr>
        <w:t>principles</w:t>
      </w:r>
      <w:r w:rsidR="00A966E0" w:rsidRPr="00720AFF">
        <w:rPr>
          <w:rFonts w:asciiTheme="minorHAnsi" w:hAnsiTheme="minorHAnsi"/>
          <w:color w:val="auto"/>
          <w:sz w:val="22"/>
        </w:rPr>
        <w:t xml:space="preserve">. </w:t>
      </w:r>
    </w:p>
    <w:p w14:paraId="074EEEEC" w14:textId="1FE904B4" w:rsidR="00FA44F9" w:rsidRDefault="00FA44F9" w:rsidP="00BF58FD">
      <w:pPr>
        <w:pStyle w:val="Heading4"/>
        <w:spacing w:after="120"/>
        <w:jc w:val="both"/>
      </w:pPr>
      <w:r>
        <w:t>Built Environment Sector Plan</w:t>
      </w:r>
    </w:p>
    <w:p w14:paraId="4ADC7F1E" w14:textId="4D0F5003" w:rsidR="002F7542" w:rsidRDefault="006044AD" w:rsidP="00FA44F9">
      <w:r>
        <w:t>The Built Environment Sector Plan</w:t>
      </w:r>
      <w:r w:rsidR="002F7542">
        <w:t xml:space="preserve"> (BESP)</w:t>
      </w:r>
      <w:r>
        <w:t xml:space="preserve"> is an Australian Government strategy </w:t>
      </w:r>
      <w:r w:rsidR="005511B7">
        <w:t>that outlines how the built environment contributes to Australia’s transition to net zero and the priority areas for action. Expanding the CBD Program and accelerating and investing in NABERS are key actions under the BESP.</w:t>
      </w:r>
    </w:p>
    <w:p w14:paraId="2D8C4C5F" w14:textId="77777777" w:rsidR="00FA44F9" w:rsidRPr="00FA44F9" w:rsidRDefault="00FA44F9" w:rsidP="001D4C36"/>
    <w:p w14:paraId="1A81FB32" w14:textId="419B8BCC" w:rsidR="00B352AC" w:rsidRDefault="008A6571" w:rsidP="00BF58FD">
      <w:pPr>
        <w:pStyle w:val="Heading4"/>
        <w:spacing w:after="120"/>
        <w:jc w:val="both"/>
      </w:pPr>
      <w:r>
        <w:t>National Energy Performance Strategy</w:t>
      </w:r>
    </w:p>
    <w:p w14:paraId="744DB74F" w14:textId="77777777" w:rsidR="00B352AC" w:rsidRPr="00720AFF" w:rsidRDefault="00B352AC" w:rsidP="00B352AC">
      <w:pPr>
        <w:spacing w:after="120"/>
        <w:jc w:val="both"/>
      </w:pPr>
      <w:r w:rsidRPr="00720AFF">
        <w:t>The National Energy Performance Strategy</w:t>
      </w:r>
      <w:r w:rsidRPr="00720AFF">
        <w:rPr>
          <w:rStyle w:val="FootnoteReference"/>
        </w:rPr>
        <w:footnoteReference w:id="11"/>
      </w:r>
      <w:r w:rsidRPr="00720AFF">
        <w:t xml:space="preserve"> released by the Australian Government in 2024 recognises the importance of energy efficiency in reducing energy costs and emissions. Smarter, integrated uptake of energy efficiency and demand flexibility will also reduce generation and firming requirements, and therefore the total cost of the energy system.</w:t>
      </w:r>
    </w:p>
    <w:p w14:paraId="1F524589" w14:textId="77777777" w:rsidR="00B352AC" w:rsidRPr="00B352AC" w:rsidRDefault="00B352AC" w:rsidP="001D4C36"/>
    <w:p w14:paraId="7B78B435" w14:textId="3C977C22" w:rsidR="002F3936" w:rsidRPr="00720AFF" w:rsidRDefault="002F3936" w:rsidP="00BF58FD">
      <w:pPr>
        <w:pStyle w:val="Heading4"/>
        <w:spacing w:after="120"/>
        <w:jc w:val="both"/>
      </w:pPr>
      <w:r w:rsidRPr="00720AFF">
        <w:t>Trajectory for Low Energy Buildings</w:t>
      </w:r>
    </w:p>
    <w:p w14:paraId="435312EC" w14:textId="40CAAFDA" w:rsidR="001C063E" w:rsidRDefault="001C063E" w:rsidP="001C063E">
      <w:pPr>
        <w:spacing w:after="120"/>
        <w:jc w:val="both"/>
      </w:pPr>
      <w:r w:rsidRPr="00720AFF">
        <w:t>The Trajectory for Low Energy Buildings</w:t>
      </w:r>
      <w:r w:rsidRPr="00720AFF">
        <w:rPr>
          <w:rStyle w:val="FootnoteReference"/>
        </w:rPr>
        <w:footnoteReference w:id="12"/>
      </w:r>
      <w:r w:rsidRPr="00720AFF">
        <w:t xml:space="preserve"> is a national plan that aims to </w:t>
      </w:r>
      <w:r>
        <w:t xml:space="preserve">work towards a net zero by 2050 </w:t>
      </w:r>
      <w:r w:rsidRPr="00183A2A">
        <w:t>while lowering costs for households and businesses and improving building comfort for all Australians</w:t>
      </w:r>
      <w:r w:rsidRPr="00720AFF">
        <w:t xml:space="preserve">. </w:t>
      </w:r>
      <w:r>
        <w:t>Actions in the Trajectory include the consideration of a plan to expand the CBD Program to most major commercial buildings by 2035</w:t>
      </w:r>
      <w:r w:rsidR="005511B7">
        <w:t xml:space="preserve"> and the development of a policy framework to apply </w:t>
      </w:r>
      <w:r>
        <w:t xml:space="preserve">MEPS </w:t>
      </w:r>
      <w:r w:rsidR="005511B7">
        <w:t>to</w:t>
      </w:r>
      <w:r>
        <w:t xml:space="preserve"> existing buildings.</w:t>
      </w:r>
    </w:p>
    <w:p w14:paraId="0DFBDFA0" w14:textId="784859F0" w:rsidR="00245AA6" w:rsidRPr="00720AFF" w:rsidRDefault="00245AA6" w:rsidP="003A1702">
      <w:pPr>
        <w:spacing w:after="120"/>
        <w:jc w:val="both"/>
      </w:pPr>
      <w:r w:rsidRPr="00720AFF">
        <w:lastRenderedPageBreak/>
        <w:t xml:space="preserve">This roadmap will be refreshed </w:t>
      </w:r>
      <w:r w:rsidR="005511B7">
        <w:t xml:space="preserve">as needed and will aim to align </w:t>
      </w:r>
      <w:r w:rsidRPr="00720AFF">
        <w:t xml:space="preserve">with reviews </w:t>
      </w:r>
      <w:r w:rsidR="00C11356" w:rsidRPr="00720AFF">
        <w:t>of</w:t>
      </w:r>
      <w:r w:rsidRPr="00720AFF">
        <w:t xml:space="preserve"> the Trajectory</w:t>
      </w:r>
      <w:r w:rsidR="001A1751">
        <w:t xml:space="preserve"> and its implementation plans. </w:t>
      </w:r>
    </w:p>
    <w:p w14:paraId="0E407640" w14:textId="4433688A" w:rsidR="002F3936" w:rsidRPr="00720AFF" w:rsidRDefault="00CA0948" w:rsidP="00BF58FD">
      <w:pPr>
        <w:pStyle w:val="Heading4"/>
        <w:spacing w:after="120"/>
        <w:jc w:val="both"/>
      </w:pPr>
      <w:r w:rsidRPr="00720AFF">
        <w:t>Sustainable finance strategy</w:t>
      </w:r>
    </w:p>
    <w:p w14:paraId="03B93B66" w14:textId="1B233491" w:rsidR="00572608" w:rsidRPr="00720AFF" w:rsidRDefault="00572608" w:rsidP="00BF58FD">
      <w:pPr>
        <w:spacing w:after="120"/>
        <w:jc w:val="both"/>
      </w:pPr>
      <w:r w:rsidRPr="00720AFF">
        <w:t xml:space="preserve">Under the Australian Government’s Sustainable Finance Strategy, </w:t>
      </w:r>
      <w:r w:rsidR="00E86114" w:rsidRPr="00720AFF">
        <w:t xml:space="preserve">the government </w:t>
      </w:r>
      <w:r w:rsidR="00A40D41">
        <w:t>has implemented</w:t>
      </w:r>
      <w:r w:rsidR="00476C4F" w:rsidRPr="00720AFF">
        <w:t xml:space="preserve"> mandatory climate-related financial disclosure</w:t>
      </w:r>
      <w:r w:rsidR="00351EB3" w:rsidRPr="00720AFF">
        <w:t xml:space="preserve"> (CRFD)</w:t>
      </w:r>
      <w:r w:rsidR="00476C4F" w:rsidRPr="00720AFF">
        <w:t xml:space="preserve"> requirements for large businesses and financial institutions</w:t>
      </w:r>
      <w:r w:rsidR="00D064AD" w:rsidRPr="00720AFF">
        <w:t>.</w:t>
      </w:r>
      <w:r w:rsidR="004D3C39" w:rsidRPr="00720AFF">
        <w:t xml:space="preserve"> </w:t>
      </w:r>
      <w:r w:rsidR="002A765A" w:rsidRPr="00720AFF">
        <w:t>It is expected that</w:t>
      </w:r>
      <w:r w:rsidR="00154B67" w:rsidRPr="00720AFF">
        <w:t xml:space="preserve"> </w:t>
      </w:r>
      <w:r w:rsidR="00351EB3" w:rsidRPr="00720AFF">
        <w:t xml:space="preserve">the CBD Program </w:t>
      </w:r>
      <w:r w:rsidR="00E3420F">
        <w:t>will</w:t>
      </w:r>
      <w:r w:rsidR="00351EB3" w:rsidRPr="00720AFF">
        <w:t xml:space="preserve"> assist </w:t>
      </w:r>
      <w:r w:rsidR="00941347" w:rsidRPr="00720AFF">
        <w:t xml:space="preserve">those large </w:t>
      </w:r>
      <w:r w:rsidR="00351EB3" w:rsidRPr="00720AFF">
        <w:t xml:space="preserve">businesses </w:t>
      </w:r>
      <w:r w:rsidR="00277713" w:rsidRPr="00720AFF">
        <w:t xml:space="preserve">to accurately report and fulfil </w:t>
      </w:r>
      <w:r w:rsidR="000C289E" w:rsidRPr="00720AFF">
        <w:t xml:space="preserve">their </w:t>
      </w:r>
      <w:r w:rsidR="00277713" w:rsidRPr="00720AFF">
        <w:t>company level obligation</w:t>
      </w:r>
      <w:r w:rsidR="000C289E" w:rsidRPr="00720AFF">
        <w:t>s</w:t>
      </w:r>
      <w:r w:rsidR="00277713" w:rsidRPr="00720AFF">
        <w:t xml:space="preserve"> </w:t>
      </w:r>
      <w:r w:rsidR="00941347" w:rsidRPr="00720AFF">
        <w:t>under the CRFD scheme.</w:t>
      </w:r>
    </w:p>
    <w:p w14:paraId="107EC711" w14:textId="55D8F213" w:rsidR="002B7C07" w:rsidRPr="00720AFF" w:rsidRDefault="00D064AD" w:rsidP="00BF58FD">
      <w:pPr>
        <w:spacing w:after="120"/>
        <w:jc w:val="both"/>
      </w:pPr>
      <w:r w:rsidRPr="00720AFF">
        <w:t xml:space="preserve">The government </w:t>
      </w:r>
      <w:r w:rsidR="00492274" w:rsidRPr="00720AFF">
        <w:t xml:space="preserve">has </w:t>
      </w:r>
      <w:r w:rsidRPr="00720AFF">
        <w:t xml:space="preserve">also </w:t>
      </w:r>
      <w:r w:rsidR="00492274" w:rsidRPr="00720AFF">
        <w:t>partnered</w:t>
      </w:r>
      <w:r w:rsidRPr="00720AFF">
        <w:t xml:space="preserve"> </w:t>
      </w:r>
      <w:r w:rsidR="00E91B79" w:rsidRPr="00720AFF">
        <w:t>with</w:t>
      </w:r>
      <w:r w:rsidRPr="00720AFF">
        <w:t xml:space="preserve"> industry, through the Australian Sustainable Finance Institute, to develop an Australian sustainable finance taxonomy.</w:t>
      </w:r>
      <w:r w:rsidR="00C160AD" w:rsidRPr="00720AFF">
        <w:t xml:space="preserve"> </w:t>
      </w:r>
      <w:r w:rsidR="0034580A" w:rsidRPr="00720AFF">
        <w:t xml:space="preserve">Expansion of the CBD Program will increase the number </w:t>
      </w:r>
      <w:r w:rsidR="00B32282" w:rsidRPr="00720AFF">
        <w:t xml:space="preserve">of buildings required to have NABERS </w:t>
      </w:r>
      <w:r w:rsidR="00AE1B90" w:rsidRPr="00720AFF">
        <w:t>energy</w:t>
      </w:r>
      <w:r w:rsidR="00B32282" w:rsidRPr="00720AFF">
        <w:t xml:space="preserve"> ratings</w:t>
      </w:r>
      <w:r w:rsidR="008B3BBD">
        <w:t xml:space="preserve">. </w:t>
      </w:r>
      <w:r w:rsidR="00490448">
        <w:t>NABERS energy ratings will</w:t>
      </w:r>
      <w:r w:rsidR="00B32282" w:rsidRPr="00720AFF">
        <w:t xml:space="preserve"> </w:t>
      </w:r>
      <w:r w:rsidR="00F867E6" w:rsidRPr="00720AFF">
        <w:t xml:space="preserve">be able </w:t>
      </w:r>
      <w:r w:rsidR="00490448">
        <w:t xml:space="preserve">to be used </w:t>
      </w:r>
      <w:r w:rsidR="00F867E6" w:rsidRPr="00720AFF">
        <w:t>to demonstrate whether the asset</w:t>
      </w:r>
      <w:r w:rsidR="00523011" w:rsidRPr="00720AFF">
        <w:t xml:space="preserve"> is a sustainable investment under the taxonomy.</w:t>
      </w:r>
      <w:r w:rsidR="002B7C07" w:rsidRPr="00720AFF">
        <w:br w:type="page"/>
      </w:r>
    </w:p>
    <w:p w14:paraId="2C6ECC2A" w14:textId="2C15C41C" w:rsidR="00741F67" w:rsidRPr="00720AFF" w:rsidRDefault="00C852BD" w:rsidP="00B40DE3">
      <w:pPr>
        <w:pStyle w:val="Heading2"/>
        <w:spacing w:after="120"/>
        <w:jc w:val="both"/>
      </w:pPr>
      <w:bookmarkStart w:id="9" w:name="_Toc200016998"/>
      <w:r w:rsidRPr="00720AFF">
        <w:lastRenderedPageBreak/>
        <w:t xml:space="preserve">Summary of </w:t>
      </w:r>
      <w:r w:rsidR="009F7A52" w:rsidRPr="00720AFF">
        <w:t>the roadmap</w:t>
      </w:r>
      <w:bookmarkEnd w:id="9"/>
    </w:p>
    <w:p w14:paraId="21E1783C" w14:textId="763A5D59" w:rsidR="00A66475" w:rsidRPr="00720AFF" w:rsidRDefault="00740351" w:rsidP="00A66475">
      <w:pPr>
        <w:jc w:val="both"/>
        <w:rPr>
          <w:b/>
          <w:bCs/>
          <w:sz w:val="28"/>
          <w:szCs w:val="28"/>
          <w:lang w:eastAsia="ja-JP"/>
        </w:rPr>
      </w:pPr>
      <w:r w:rsidRPr="00720AFF">
        <w:rPr>
          <w:b/>
          <w:bCs/>
          <w:sz w:val="28"/>
          <w:szCs w:val="28"/>
          <w:lang w:eastAsia="ja-JP"/>
        </w:rPr>
        <w:t xml:space="preserve">Stages of </w:t>
      </w:r>
      <w:r w:rsidR="00D614FF" w:rsidRPr="00720AFF">
        <w:rPr>
          <w:b/>
          <w:bCs/>
          <w:sz w:val="28"/>
          <w:szCs w:val="28"/>
          <w:lang w:eastAsia="ja-JP"/>
        </w:rPr>
        <w:t>government reform and expansion of the CBD Program</w:t>
      </w:r>
    </w:p>
    <w:p w14:paraId="4AB4095E" w14:textId="7B4AA869" w:rsidR="00F736CF" w:rsidRPr="00720AFF" w:rsidRDefault="007A07F9" w:rsidP="006B3179">
      <w:r w:rsidRPr="00720AFF">
        <w:rPr>
          <w:noProof/>
        </w:rPr>
        <mc:AlternateContent>
          <mc:Choice Requires="wps">
            <w:drawing>
              <wp:anchor distT="0" distB="0" distL="114300" distR="114300" simplePos="0" relativeHeight="251658240" behindDoc="0" locked="0" layoutInCell="1" allowOverlap="1" wp14:anchorId="3C457168" wp14:editId="7A2BB941">
                <wp:simplePos x="0" y="0"/>
                <wp:positionH relativeFrom="page">
                  <wp:align>right</wp:align>
                </wp:positionH>
                <wp:positionV relativeFrom="paragraph">
                  <wp:posOffset>7932329</wp:posOffset>
                </wp:positionV>
                <wp:extent cx="6488583" cy="437322"/>
                <wp:effectExtent l="0" t="0" r="7620" b="1270"/>
                <wp:wrapNone/>
                <wp:docPr id="1490698768" name="Text Box 1"/>
                <wp:cNvGraphicFramePr/>
                <a:graphic xmlns:a="http://schemas.openxmlformats.org/drawingml/2006/main">
                  <a:graphicData uri="http://schemas.microsoft.com/office/word/2010/wordprocessingShape">
                    <wps:wsp>
                      <wps:cNvSpPr txBox="1"/>
                      <wps:spPr>
                        <a:xfrm>
                          <a:off x="0" y="0"/>
                          <a:ext cx="6488583" cy="437322"/>
                        </a:xfrm>
                        <a:prstGeom prst="rect">
                          <a:avLst/>
                        </a:prstGeom>
                        <a:solidFill>
                          <a:schemeClr val="lt1"/>
                        </a:solidFill>
                        <a:ln w="6350">
                          <a:noFill/>
                        </a:ln>
                      </wps:spPr>
                      <wps:txbx>
                        <w:txbxContent>
                          <w:p w14:paraId="6B5EB549" w14:textId="0C603B13" w:rsidR="002D4877" w:rsidRPr="007A07F9" w:rsidRDefault="002D4877">
                            <w:pPr>
                              <w:rPr>
                                <w:sz w:val="16"/>
                                <w:szCs w:val="16"/>
                              </w:rPr>
                            </w:pPr>
                            <w:r w:rsidRPr="007A07F9">
                              <w:rPr>
                                <w:b/>
                                <w:bCs/>
                                <w:sz w:val="16"/>
                                <w:szCs w:val="16"/>
                              </w:rPr>
                              <w:t>Note</w:t>
                            </w:r>
                            <w:r w:rsidRPr="007A07F9">
                              <w:rPr>
                                <w:sz w:val="16"/>
                                <w:szCs w:val="16"/>
                              </w:rPr>
                              <w:t xml:space="preserve">: this </w:t>
                            </w:r>
                            <w:r w:rsidR="008C57F7" w:rsidRPr="007A07F9">
                              <w:rPr>
                                <w:sz w:val="16"/>
                                <w:szCs w:val="16"/>
                              </w:rPr>
                              <w:t xml:space="preserve">image contains </w:t>
                            </w:r>
                            <w:r w:rsidR="00311A0B" w:rsidRPr="007A07F9">
                              <w:rPr>
                                <w:sz w:val="16"/>
                                <w:szCs w:val="16"/>
                              </w:rPr>
                              <w:t xml:space="preserve">actions to expand the </w:t>
                            </w:r>
                            <w:r w:rsidR="00427CF8" w:rsidRPr="007A07F9">
                              <w:rPr>
                                <w:sz w:val="16"/>
                                <w:szCs w:val="16"/>
                              </w:rPr>
                              <w:t xml:space="preserve">CBD </w:t>
                            </w:r>
                            <w:r w:rsidR="00246CE6">
                              <w:rPr>
                                <w:sz w:val="16"/>
                                <w:szCs w:val="16"/>
                              </w:rPr>
                              <w:t>P</w:t>
                            </w:r>
                            <w:r w:rsidR="00311A0B" w:rsidRPr="007A07F9">
                              <w:rPr>
                                <w:sz w:val="16"/>
                                <w:szCs w:val="16"/>
                              </w:rPr>
                              <w:t>rogram</w:t>
                            </w:r>
                            <w:r w:rsidR="00427CF8" w:rsidRPr="007A07F9">
                              <w:rPr>
                                <w:sz w:val="16"/>
                                <w:szCs w:val="16"/>
                              </w:rPr>
                              <w:t xml:space="preserve"> at it relates to disclosure. </w:t>
                            </w:r>
                            <w:r w:rsidR="0059760A" w:rsidRPr="007A07F9">
                              <w:rPr>
                                <w:sz w:val="16"/>
                                <w:szCs w:val="16"/>
                              </w:rPr>
                              <w:t>Consideration of minimum energy performance standards is discuss</w:t>
                            </w:r>
                            <w:r w:rsidR="00E1118C" w:rsidRPr="007A07F9">
                              <w:rPr>
                                <w:sz w:val="16"/>
                                <w:szCs w:val="16"/>
                              </w:rPr>
                              <w:t>ed</w:t>
                            </w:r>
                            <w:r w:rsidR="0059760A" w:rsidRPr="007A07F9">
                              <w:rPr>
                                <w:sz w:val="16"/>
                                <w:szCs w:val="16"/>
                              </w:rPr>
                              <w:t xml:space="preserve"> in section </w:t>
                            </w:r>
                            <w:r w:rsidR="00D0088B" w:rsidRPr="007A07F9">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7168" id="_x0000_t202" coordsize="21600,21600" o:spt="202" path="m,l,21600r21600,l21600,xe">
                <v:stroke joinstyle="miter"/>
                <v:path gradientshapeok="t" o:connecttype="rect"/>
              </v:shapetype>
              <v:shape id="Text Box 1" o:spid="_x0000_s1026" type="#_x0000_t202" style="position:absolute;margin-left:459.7pt;margin-top:624.6pt;width:510.9pt;height:34.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yeLAIAAFQEAAAOAAAAZHJzL2Uyb0RvYy54bWysVEuP2jAQvlfqf7B8L4EAuzQ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x8u7yWw2nY0p4WibjO/HaRpgkutrY53/KqAmQcipxbHE&#10;brHjxvnO9ewSgjlQVbGulIpKoIJYKUuODIeofMwRwX/zUpo0mMl4OozAGsLzDllpzOVaU5B8u2v7&#10;QndQnLB+Cx01nOHrCpPcMOdfmEUuYMnIb/+Mh1SAQaCXKCnB/vzbffDHEaGVkga5lVP348CsoER9&#10;0zi8z6PJJJAxKpPpfYqKvbXsbi36UK8AKx/hJhkexeDv1VmUFuo3XINliIompjnGzqk/iyvfMR7X&#10;iIvlMjoh/QzzG701PECHTocRvLZvzJp+Th4n/ARnFrLs3bg63/BSw/LgQVZxlqHBXVf7viN1Ixv6&#10;NQu7catHr+vPYPELAAD//wMAUEsDBBQABgAIAAAAIQCsVS4f4gAAAAsBAAAPAAAAZHJzL2Rvd25y&#10;ZXYueG1sTI9LT8MwEITvSPwHa5G4oNZ58CghToUQUIkbTQFxc+MliYjXUewm4d+zPcFtd2c0+02+&#10;nm0nRhx860hBvIxAIFXOtFQr2JVPixUIHzQZ3TlCBT/oYV2cnuQ6M26iVxy3oRYcQj7TCpoQ+kxK&#10;XzVotV+6Hom1LzdYHXgdamkGPXG47WQSRdfS6pb4Q6N7fGiw+t4erILPi/rjxc/Pb1N6lfaPm7G8&#10;eTelUudn8/0diIBz+DPDEZ/RoWCmvTuQ8aJTwEUCX5PL2wTEUY+SmLvseUrjVQyyyOX/DsUvAAAA&#10;//8DAFBLAQItABQABgAIAAAAIQC2gziS/gAAAOEBAAATAAAAAAAAAAAAAAAAAAAAAABbQ29udGVu&#10;dF9UeXBlc10ueG1sUEsBAi0AFAAGAAgAAAAhADj9If/WAAAAlAEAAAsAAAAAAAAAAAAAAAAALwEA&#10;AF9yZWxzLy5yZWxzUEsBAi0AFAAGAAgAAAAhAM13DJ4sAgAAVAQAAA4AAAAAAAAAAAAAAAAALgIA&#10;AGRycy9lMm9Eb2MueG1sUEsBAi0AFAAGAAgAAAAhAKxVLh/iAAAACwEAAA8AAAAAAAAAAAAAAAAA&#10;hgQAAGRycy9kb3ducmV2LnhtbFBLBQYAAAAABAAEAPMAAACVBQAAAAA=&#10;" fillcolor="white [3201]" stroked="f" strokeweight=".5pt">
                <v:textbox>
                  <w:txbxContent>
                    <w:p w14:paraId="6B5EB549" w14:textId="0C603B13" w:rsidR="002D4877" w:rsidRPr="007A07F9" w:rsidRDefault="002D4877">
                      <w:pPr>
                        <w:rPr>
                          <w:sz w:val="16"/>
                          <w:szCs w:val="16"/>
                        </w:rPr>
                      </w:pPr>
                      <w:r w:rsidRPr="007A07F9">
                        <w:rPr>
                          <w:b/>
                          <w:bCs/>
                          <w:sz w:val="16"/>
                          <w:szCs w:val="16"/>
                        </w:rPr>
                        <w:t>Note</w:t>
                      </w:r>
                      <w:r w:rsidRPr="007A07F9">
                        <w:rPr>
                          <w:sz w:val="16"/>
                          <w:szCs w:val="16"/>
                        </w:rPr>
                        <w:t xml:space="preserve">: this </w:t>
                      </w:r>
                      <w:r w:rsidR="008C57F7" w:rsidRPr="007A07F9">
                        <w:rPr>
                          <w:sz w:val="16"/>
                          <w:szCs w:val="16"/>
                        </w:rPr>
                        <w:t xml:space="preserve">image contains </w:t>
                      </w:r>
                      <w:r w:rsidR="00311A0B" w:rsidRPr="007A07F9">
                        <w:rPr>
                          <w:sz w:val="16"/>
                          <w:szCs w:val="16"/>
                        </w:rPr>
                        <w:t xml:space="preserve">actions to expand the </w:t>
                      </w:r>
                      <w:r w:rsidR="00427CF8" w:rsidRPr="007A07F9">
                        <w:rPr>
                          <w:sz w:val="16"/>
                          <w:szCs w:val="16"/>
                        </w:rPr>
                        <w:t xml:space="preserve">CBD </w:t>
                      </w:r>
                      <w:r w:rsidR="00246CE6">
                        <w:rPr>
                          <w:sz w:val="16"/>
                          <w:szCs w:val="16"/>
                        </w:rPr>
                        <w:t>P</w:t>
                      </w:r>
                      <w:r w:rsidR="00311A0B" w:rsidRPr="007A07F9">
                        <w:rPr>
                          <w:sz w:val="16"/>
                          <w:szCs w:val="16"/>
                        </w:rPr>
                        <w:t>rogram</w:t>
                      </w:r>
                      <w:r w:rsidR="00427CF8" w:rsidRPr="007A07F9">
                        <w:rPr>
                          <w:sz w:val="16"/>
                          <w:szCs w:val="16"/>
                        </w:rPr>
                        <w:t xml:space="preserve"> at it relates to disclosure. </w:t>
                      </w:r>
                      <w:r w:rsidR="0059760A" w:rsidRPr="007A07F9">
                        <w:rPr>
                          <w:sz w:val="16"/>
                          <w:szCs w:val="16"/>
                        </w:rPr>
                        <w:t>Consideration of minimum energy performance standards is discuss</w:t>
                      </w:r>
                      <w:r w:rsidR="00E1118C" w:rsidRPr="007A07F9">
                        <w:rPr>
                          <w:sz w:val="16"/>
                          <w:szCs w:val="16"/>
                        </w:rPr>
                        <w:t>ed</w:t>
                      </w:r>
                      <w:r w:rsidR="0059760A" w:rsidRPr="007A07F9">
                        <w:rPr>
                          <w:sz w:val="16"/>
                          <w:szCs w:val="16"/>
                        </w:rPr>
                        <w:t xml:space="preserve"> in section </w:t>
                      </w:r>
                      <w:r w:rsidR="00D0088B" w:rsidRPr="007A07F9">
                        <w:rPr>
                          <w:sz w:val="16"/>
                          <w:szCs w:val="16"/>
                        </w:rPr>
                        <w:t>6.</w:t>
                      </w:r>
                    </w:p>
                  </w:txbxContent>
                </v:textbox>
                <w10:wrap anchorx="page"/>
              </v:shape>
            </w:pict>
          </mc:Fallback>
        </mc:AlternateContent>
      </w:r>
      <w:r w:rsidR="007F42FD" w:rsidRPr="00720AFF">
        <w:rPr>
          <w:noProof/>
        </w:rPr>
        <mc:AlternateContent>
          <mc:Choice Requires="wps">
            <w:drawing>
              <wp:anchor distT="0" distB="0" distL="114300" distR="114300" simplePos="0" relativeHeight="251658241" behindDoc="0" locked="0" layoutInCell="1" allowOverlap="1" wp14:anchorId="26BCB556" wp14:editId="71C370F5">
                <wp:simplePos x="0" y="0"/>
                <wp:positionH relativeFrom="column">
                  <wp:posOffset>151917</wp:posOffset>
                </wp:positionH>
                <wp:positionV relativeFrom="paragraph">
                  <wp:posOffset>8222945</wp:posOffset>
                </wp:positionV>
                <wp:extent cx="6294474" cy="225188"/>
                <wp:effectExtent l="0" t="0" r="0" b="3810"/>
                <wp:wrapNone/>
                <wp:docPr id="1432180787" name="Text Box 1"/>
                <wp:cNvGraphicFramePr/>
                <a:graphic xmlns:a="http://schemas.openxmlformats.org/drawingml/2006/main">
                  <a:graphicData uri="http://schemas.microsoft.com/office/word/2010/wordprocessingShape">
                    <wps:wsp>
                      <wps:cNvSpPr txBox="1"/>
                      <wps:spPr>
                        <a:xfrm>
                          <a:off x="0" y="0"/>
                          <a:ext cx="6294474" cy="225188"/>
                        </a:xfrm>
                        <a:prstGeom prst="rect">
                          <a:avLst/>
                        </a:prstGeom>
                        <a:solidFill>
                          <a:schemeClr val="lt1"/>
                        </a:solidFill>
                        <a:ln w="6350">
                          <a:noFill/>
                        </a:ln>
                      </wps:spPr>
                      <wps:txbx>
                        <w:txbxContent>
                          <w:p w14:paraId="104BFFE6" w14:textId="1BE2035E" w:rsidR="00B33E78" w:rsidRPr="007A07F9" w:rsidRDefault="00B33E78" w:rsidP="00B33E78">
                            <w:pPr>
                              <w:rPr>
                                <w:sz w:val="16"/>
                                <w:szCs w:val="16"/>
                              </w:rPr>
                            </w:pPr>
                            <w:r w:rsidRPr="007A07F9">
                              <w:rPr>
                                <w:b/>
                                <w:bCs/>
                                <w:sz w:val="16"/>
                                <w:szCs w:val="16"/>
                              </w:rPr>
                              <w:t>Figure 1:</w:t>
                            </w:r>
                            <w:r w:rsidRPr="007A07F9">
                              <w:rPr>
                                <w:sz w:val="16"/>
                                <w:szCs w:val="16"/>
                              </w:rPr>
                              <w:t xml:space="preserve"> CBD expansion roadmap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CB556" id="_x0000_s1027" type="#_x0000_t202" style="position:absolute;margin-left:11.95pt;margin-top:647.5pt;width:495.65pt;height:1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w5LwIAAFsEAAAOAAAAZHJzL2Uyb0RvYy54bWysVFFv2jAQfp+0/2D5fQQyaGlEqBgV0yTU&#10;VqJTn41jE0uOz7MNCfv1OztQWLenaS/One/8+e67z5ndd40mB+G8AlPS0WBIiTAcKmV2Jf3+svo0&#10;pcQHZiqmwYiSHoWn9/OPH2atLUQONehKOIIgxhetLWkdgi2yzPNaNMwPwAqDQQmuYQFdt8sqx1pE&#10;b3SWD4c3WQuusg648B53H/ognSd8KQUPT1J6EYguKdYW0urSuo1rNp+xYueYrRU/lcH+oYqGKYOX&#10;vkE9sMDI3qk/oBrFHXiQYcChyUBKxUXqAbsZDd91s6mZFakXJMfbN5r8/4Plj4eNfXYkdF+gwwFG&#10;QlrrC4+bsZ9OuiZ+sVKCcaTw+Eab6ALhuHmT343Ht2NKOMbyfDKaTiNMdjltnQ9fBTQkGiV1OJbE&#10;FjusfehTzynxMg9aVSuldXKiFMRSO3JgOEQdUo0I/luWNqTFSj5PhgnYQDzeI2uDtVx6ilboth1R&#10;1VW/W6iOSIODXiHe8pXCWtfMh2fmUBLYOco8POEiNeBdcLIoqcH9/Nt+zMdJYZSSFiVWUv9jz5yg&#10;RH8zOMO70XgcNZmc8eQ2R8ddR7bXEbNvloAEjPBBWZ7MmB/02ZQOmld8DYt4K4aY4Xh3ScPZXIZe&#10;+PiauFgsUhKq0LKwNhvLI3QkPE7ipXtlzp7GFXDQj3AWIyveTa3PjScNLPYBpEojjTz3rJ7oRwUn&#10;UZxeW3wi137KuvwT5r8AAAD//wMAUEsDBBQABgAIAAAAIQDENOy74wAAAA0BAAAPAAAAZHJzL2Rv&#10;d25yZXYueG1sTI/NTsMwEITvSLyDtUhcUGs3VoCGOBVC/Ei90RQQNzdekojYjmI3CW/P9gS33Z3R&#10;7Df5ZrYdG3EIrXcKVksBDF3lTetqBfvyaXELLETtjO68QwU/GGBTnJ/lOjN+cq847mLNKMSFTCto&#10;YuwzzkPVoNVh6Xt0pH35wepI61BzM+iJwm3HEyGuudWtow+N7vGhwep7d7QKPq/qj22Yn98mmcr+&#10;8WUsb95NqdTlxXx/ByziHP/McMIndCiI6eCPzgTWKUjkmpx0T9YplTo5xCpNgB1oklKkwIuc/29R&#10;/AIAAP//AwBQSwECLQAUAAYACAAAACEAtoM4kv4AAADhAQAAEwAAAAAAAAAAAAAAAAAAAAAAW0Nv&#10;bnRlbnRfVHlwZXNdLnhtbFBLAQItABQABgAIAAAAIQA4/SH/1gAAAJQBAAALAAAAAAAAAAAAAAAA&#10;AC8BAABfcmVscy8ucmVsc1BLAQItABQABgAIAAAAIQBdi3w5LwIAAFsEAAAOAAAAAAAAAAAAAAAA&#10;AC4CAABkcnMvZTJvRG9jLnhtbFBLAQItABQABgAIAAAAIQDENOy74wAAAA0BAAAPAAAAAAAAAAAA&#10;AAAAAIkEAABkcnMvZG93bnJldi54bWxQSwUGAAAAAAQABADzAAAAmQUAAAAA&#10;" fillcolor="white [3201]" stroked="f" strokeweight=".5pt">
                <v:textbox>
                  <w:txbxContent>
                    <w:p w14:paraId="104BFFE6" w14:textId="1BE2035E" w:rsidR="00B33E78" w:rsidRPr="007A07F9" w:rsidRDefault="00B33E78" w:rsidP="00B33E78">
                      <w:pPr>
                        <w:rPr>
                          <w:sz w:val="16"/>
                          <w:szCs w:val="16"/>
                        </w:rPr>
                      </w:pPr>
                      <w:r w:rsidRPr="007A07F9">
                        <w:rPr>
                          <w:b/>
                          <w:bCs/>
                          <w:sz w:val="16"/>
                          <w:szCs w:val="16"/>
                        </w:rPr>
                        <w:t>Figure 1:</w:t>
                      </w:r>
                      <w:r w:rsidRPr="007A07F9">
                        <w:rPr>
                          <w:sz w:val="16"/>
                          <w:szCs w:val="16"/>
                        </w:rPr>
                        <w:t xml:space="preserve"> CBD expansion roadmap</w:t>
                      </w:r>
                    </w:p>
                  </w:txbxContent>
                </v:textbox>
              </v:shape>
            </w:pict>
          </mc:Fallback>
        </mc:AlternateContent>
      </w:r>
      <w:r w:rsidR="009F779C" w:rsidRPr="00720AFF">
        <w:rPr>
          <w:noProof/>
        </w:rPr>
        <w:drawing>
          <wp:inline distT="0" distB="0" distL="0" distR="0" wp14:anchorId="089A2B20" wp14:editId="3EA39EFD">
            <wp:extent cx="4874820" cy="7909826"/>
            <wp:effectExtent l="0" t="0" r="0" b="0"/>
            <wp:docPr id="2110703571" name="Picture 4" descr="Figure 1: CBD expansion roadmap image showing the 9 stages of government reform and expansion of the CBD Program. Full description in append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03571" name="Picture 4" descr="Figure 1: CBD expansion roadmap image showing the 9 stages of government reform and expansion of the CBD Program. Full description in appendix.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12228" cy="7970524"/>
                    </a:xfrm>
                    <a:prstGeom prst="rect">
                      <a:avLst/>
                    </a:prstGeom>
                    <a:noFill/>
                  </pic:spPr>
                </pic:pic>
              </a:graphicData>
            </a:graphic>
          </wp:inline>
        </w:drawing>
      </w:r>
    </w:p>
    <w:p w14:paraId="685ADD4E" w14:textId="77777777" w:rsidR="0063461A" w:rsidRPr="00720AFF" w:rsidRDefault="0063461A" w:rsidP="00FE73BD">
      <w:pPr>
        <w:pStyle w:val="Heading3"/>
        <w:numPr>
          <w:ilvl w:val="1"/>
          <w:numId w:val="28"/>
        </w:numPr>
        <w:spacing w:after="120"/>
        <w:jc w:val="both"/>
      </w:pPr>
      <w:bookmarkStart w:id="10" w:name="_Toc200016999"/>
      <w:bookmarkStart w:id="11" w:name="_Ref190187161"/>
      <w:r w:rsidRPr="00720AFF">
        <w:lastRenderedPageBreak/>
        <w:t>Roadmap description</w:t>
      </w:r>
      <w:bookmarkEnd w:id="10"/>
    </w:p>
    <w:p w14:paraId="79AB4CCA" w14:textId="0053535F" w:rsidR="00CA510F" w:rsidRPr="00720AFF" w:rsidRDefault="00743742" w:rsidP="001C25FC">
      <w:pPr>
        <w:pStyle w:val="BodyText"/>
        <w:jc w:val="both"/>
        <w:rPr>
          <w:rFonts w:asciiTheme="minorHAnsi" w:hAnsiTheme="minorHAnsi" w:cstheme="minorHAnsi"/>
          <w:sz w:val="22"/>
        </w:rPr>
      </w:pPr>
      <w:r w:rsidRPr="00720AFF">
        <w:rPr>
          <w:rFonts w:asciiTheme="minorHAnsi" w:hAnsiTheme="minorHAnsi"/>
          <w:color w:val="auto"/>
          <w:sz w:val="22"/>
        </w:rPr>
        <w:t xml:space="preserve">This roadmap </w:t>
      </w:r>
      <w:r w:rsidR="000F7962" w:rsidRPr="00720AFF">
        <w:rPr>
          <w:rFonts w:asciiTheme="minorHAnsi" w:hAnsiTheme="minorHAnsi"/>
          <w:color w:val="auto"/>
          <w:sz w:val="22"/>
        </w:rPr>
        <w:t>details</w:t>
      </w:r>
      <w:r w:rsidR="00F00558" w:rsidRPr="00720AFF">
        <w:rPr>
          <w:rFonts w:asciiTheme="minorHAnsi" w:hAnsiTheme="minorHAnsi"/>
          <w:color w:val="auto"/>
          <w:sz w:val="22"/>
        </w:rPr>
        <w:t xml:space="preserve"> the stages of government reform and expansion of the CBD Program.</w:t>
      </w:r>
      <w:r w:rsidR="00CA510F" w:rsidRPr="00720AFF">
        <w:rPr>
          <w:rFonts w:asciiTheme="minorHAnsi" w:hAnsiTheme="minorHAnsi"/>
          <w:color w:val="auto"/>
          <w:sz w:val="22"/>
        </w:rPr>
        <w:t xml:space="preserve"> It has been </w:t>
      </w:r>
      <w:r w:rsidR="00CA510F" w:rsidRPr="00720AFF">
        <w:rPr>
          <w:rFonts w:asciiTheme="minorHAnsi" w:hAnsiTheme="minorHAnsi" w:cstheme="minorHAnsi"/>
          <w:color w:val="auto"/>
          <w:sz w:val="22"/>
        </w:rPr>
        <w:t>developed by assessing</w:t>
      </w:r>
      <w:r w:rsidR="00F41931" w:rsidRPr="00720AFF">
        <w:rPr>
          <w:rFonts w:asciiTheme="minorHAnsi" w:hAnsiTheme="minorHAnsi" w:cstheme="minorHAnsi"/>
          <w:color w:val="auto"/>
          <w:sz w:val="22"/>
        </w:rPr>
        <w:t xml:space="preserve"> </w:t>
      </w:r>
      <w:r w:rsidR="00083B51" w:rsidRPr="00720AFF">
        <w:rPr>
          <w:rFonts w:asciiTheme="minorHAnsi" w:hAnsiTheme="minorHAnsi" w:cstheme="minorHAnsi"/>
          <w:color w:val="auto"/>
          <w:sz w:val="22"/>
        </w:rPr>
        <w:t xml:space="preserve">a list of potential changes to the </w:t>
      </w:r>
      <w:r w:rsidR="001274EB" w:rsidRPr="00720AFF">
        <w:rPr>
          <w:rFonts w:asciiTheme="minorHAnsi" w:hAnsiTheme="minorHAnsi" w:cstheme="minorHAnsi"/>
          <w:color w:val="auto"/>
          <w:sz w:val="22"/>
        </w:rPr>
        <w:t xml:space="preserve">CBD </w:t>
      </w:r>
      <w:r w:rsidR="00083B51" w:rsidRPr="00720AFF">
        <w:rPr>
          <w:rFonts w:asciiTheme="minorHAnsi" w:hAnsiTheme="minorHAnsi" w:cstheme="minorHAnsi"/>
          <w:color w:val="auto"/>
          <w:sz w:val="22"/>
        </w:rPr>
        <w:t>Program</w:t>
      </w:r>
      <w:r w:rsidR="00980B3C" w:rsidRPr="00720AFF">
        <w:rPr>
          <w:rFonts w:asciiTheme="minorHAnsi" w:hAnsiTheme="minorHAnsi" w:cstheme="minorHAnsi"/>
          <w:color w:val="auto"/>
          <w:sz w:val="22"/>
        </w:rPr>
        <w:t xml:space="preserve"> against the principles articulated </w:t>
      </w:r>
      <w:r w:rsidR="00B67CD6" w:rsidRPr="00720AFF">
        <w:rPr>
          <w:rFonts w:asciiTheme="minorHAnsi" w:hAnsiTheme="minorHAnsi" w:cstheme="minorHAnsi"/>
          <w:color w:val="auto"/>
          <w:sz w:val="22"/>
        </w:rPr>
        <w:t>in Section 2.2</w:t>
      </w:r>
      <w:r w:rsidR="00BB4B9F" w:rsidRPr="00720AFF">
        <w:rPr>
          <w:rFonts w:asciiTheme="minorHAnsi" w:hAnsiTheme="minorHAnsi" w:cstheme="minorHAnsi"/>
          <w:color w:val="auto"/>
          <w:sz w:val="22"/>
        </w:rPr>
        <w:t xml:space="preserve"> to </w:t>
      </w:r>
      <w:r w:rsidR="00CA510F" w:rsidRPr="00720AFF">
        <w:rPr>
          <w:rFonts w:asciiTheme="minorHAnsi" w:hAnsiTheme="minorHAnsi" w:cstheme="minorHAnsi"/>
          <w:sz w:val="22"/>
        </w:rPr>
        <w:t xml:space="preserve">give an indication of when </w:t>
      </w:r>
      <w:r w:rsidR="00195CD3" w:rsidRPr="00720AFF">
        <w:rPr>
          <w:rFonts w:asciiTheme="minorHAnsi" w:hAnsiTheme="minorHAnsi" w:cstheme="minorHAnsi"/>
          <w:sz w:val="22"/>
        </w:rPr>
        <w:t>these</w:t>
      </w:r>
      <w:r w:rsidR="00CA510F" w:rsidRPr="00720AFF">
        <w:rPr>
          <w:rFonts w:asciiTheme="minorHAnsi" w:hAnsiTheme="minorHAnsi" w:cstheme="minorHAnsi"/>
          <w:sz w:val="22"/>
        </w:rPr>
        <w:t xml:space="preserve"> </w:t>
      </w:r>
      <w:r w:rsidR="00E01FE8" w:rsidRPr="00720AFF">
        <w:rPr>
          <w:rFonts w:asciiTheme="minorHAnsi" w:hAnsiTheme="minorHAnsi" w:cstheme="minorHAnsi"/>
          <w:sz w:val="22"/>
        </w:rPr>
        <w:t>change</w:t>
      </w:r>
      <w:r w:rsidR="003B7161" w:rsidRPr="00720AFF">
        <w:rPr>
          <w:rFonts w:asciiTheme="minorHAnsi" w:hAnsiTheme="minorHAnsi" w:cstheme="minorHAnsi"/>
          <w:sz w:val="22"/>
        </w:rPr>
        <w:t>s</w:t>
      </w:r>
      <w:r w:rsidR="00E01FE8" w:rsidRPr="00720AFF">
        <w:rPr>
          <w:rFonts w:asciiTheme="minorHAnsi" w:hAnsiTheme="minorHAnsi" w:cstheme="minorHAnsi"/>
          <w:sz w:val="22"/>
        </w:rPr>
        <w:t xml:space="preserve"> </w:t>
      </w:r>
      <w:r w:rsidR="00B57BB6" w:rsidRPr="00720AFF">
        <w:rPr>
          <w:rFonts w:asciiTheme="minorHAnsi" w:hAnsiTheme="minorHAnsi" w:cstheme="minorHAnsi"/>
          <w:sz w:val="22"/>
        </w:rPr>
        <w:t>will</w:t>
      </w:r>
      <w:r w:rsidR="00CA510F" w:rsidRPr="00720AFF">
        <w:rPr>
          <w:rFonts w:asciiTheme="minorHAnsi" w:hAnsiTheme="minorHAnsi" w:cstheme="minorHAnsi"/>
          <w:sz w:val="22"/>
        </w:rPr>
        <w:t xml:space="preserve"> be </w:t>
      </w:r>
      <w:r w:rsidR="00962371" w:rsidRPr="00720AFF">
        <w:rPr>
          <w:rFonts w:asciiTheme="minorHAnsi" w:hAnsiTheme="minorHAnsi" w:cstheme="minorHAnsi"/>
          <w:sz w:val="22"/>
        </w:rPr>
        <w:t xml:space="preserve">actioned or </w:t>
      </w:r>
      <w:r w:rsidR="00CA510F" w:rsidRPr="00720AFF">
        <w:rPr>
          <w:rFonts w:asciiTheme="minorHAnsi" w:hAnsiTheme="minorHAnsi" w:cstheme="minorHAnsi"/>
          <w:sz w:val="22"/>
        </w:rPr>
        <w:t xml:space="preserve">considered in </w:t>
      </w:r>
      <w:r w:rsidR="00314298" w:rsidRPr="00720AFF">
        <w:rPr>
          <w:rFonts w:asciiTheme="minorHAnsi" w:hAnsiTheme="minorHAnsi" w:cstheme="minorHAnsi"/>
          <w:sz w:val="22"/>
        </w:rPr>
        <w:t xml:space="preserve">further </w:t>
      </w:r>
      <w:r w:rsidR="00CA510F" w:rsidRPr="00720AFF">
        <w:rPr>
          <w:rFonts w:asciiTheme="minorHAnsi" w:hAnsiTheme="minorHAnsi" w:cstheme="minorHAnsi"/>
          <w:sz w:val="22"/>
        </w:rPr>
        <w:t>detail</w:t>
      </w:r>
      <w:r w:rsidR="00B57BB6" w:rsidRPr="00720AFF">
        <w:rPr>
          <w:rFonts w:asciiTheme="minorHAnsi" w:hAnsiTheme="minorHAnsi" w:cstheme="minorHAnsi"/>
          <w:sz w:val="22"/>
        </w:rPr>
        <w:t>.</w:t>
      </w:r>
      <w:r w:rsidR="00CA510F" w:rsidRPr="00720AFF">
        <w:rPr>
          <w:rFonts w:asciiTheme="minorHAnsi" w:hAnsiTheme="minorHAnsi" w:cstheme="minorHAnsi"/>
          <w:sz w:val="22"/>
        </w:rPr>
        <w:t xml:space="preserve"> </w:t>
      </w:r>
    </w:p>
    <w:p w14:paraId="13D48693" w14:textId="4015F7B3" w:rsidR="00400A23" w:rsidRPr="00720AFF" w:rsidRDefault="00400A23" w:rsidP="001C25FC">
      <w:pPr>
        <w:pStyle w:val="BodyText"/>
        <w:jc w:val="both"/>
        <w:rPr>
          <w:rFonts w:asciiTheme="minorHAnsi" w:hAnsiTheme="minorHAnsi"/>
          <w:color w:val="auto"/>
          <w:sz w:val="22"/>
        </w:rPr>
      </w:pPr>
      <w:r w:rsidRPr="00720AFF">
        <w:rPr>
          <w:rFonts w:asciiTheme="minorHAnsi" w:hAnsiTheme="minorHAnsi"/>
          <w:b/>
          <w:bCs/>
          <w:color w:val="auto"/>
          <w:sz w:val="22"/>
        </w:rPr>
        <w:t>Stages 1-3:</w:t>
      </w:r>
      <w:r w:rsidRPr="00720AFF">
        <w:rPr>
          <w:rFonts w:asciiTheme="minorHAnsi" w:hAnsiTheme="minorHAnsi"/>
          <w:color w:val="auto"/>
          <w:sz w:val="22"/>
        </w:rPr>
        <w:t xml:space="preserve"> Non-regulatory changes</w:t>
      </w:r>
      <w:r w:rsidR="00864835" w:rsidRPr="00720AFF">
        <w:rPr>
          <w:rFonts w:asciiTheme="minorHAnsi" w:hAnsiTheme="minorHAnsi"/>
          <w:color w:val="auto"/>
          <w:sz w:val="22"/>
        </w:rPr>
        <w:t xml:space="preserve"> that </w:t>
      </w:r>
      <w:r w:rsidR="00B21A95" w:rsidRPr="00720AFF">
        <w:rPr>
          <w:rFonts w:asciiTheme="minorHAnsi" w:hAnsiTheme="minorHAnsi"/>
          <w:color w:val="auto"/>
          <w:sz w:val="22"/>
        </w:rPr>
        <w:t xml:space="preserve">will complement </w:t>
      </w:r>
      <w:r w:rsidR="009731F3" w:rsidRPr="00720AFF">
        <w:rPr>
          <w:rFonts w:asciiTheme="minorHAnsi" w:hAnsiTheme="minorHAnsi"/>
          <w:color w:val="auto"/>
          <w:sz w:val="22"/>
        </w:rPr>
        <w:t xml:space="preserve">expansion of the CBD Program. </w:t>
      </w:r>
      <w:r w:rsidR="00022DC7" w:rsidRPr="00720AFF">
        <w:rPr>
          <w:rFonts w:asciiTheme="minorHAnsi" w:hAnsiTheme="minorHAnsi"/>
          <w:color w:val="auto"/>
          <w:sz w:val="22"/>
        </w:rPr>
        <w:t xml:space="preserve">This </w:t>
      </w:r>
      <w:r w:rsidR="001A1580" w:rsidRPr="00720AFF">
        <w:rPr>
          <w:rFonts w:asciiTheme="minorHAnsi" w:hAnsiTheme="minorHAnsi"/>
          <w:color w:val="auto"/>
          <w:sz w:val="22"/>
        </w:rPr>
        <w:t>inc</w:t>
      </w:r>
      <w:r w:rsidR="00F92EC0" w:rsidRPr="00720AFF">
        <w:rPr>
          <w:rFonts w:asciiTheme="minorHAnsi" w:hAnsiTheme="minorHAnsi"/>
          <w:color w:val="auto"/>
          <w:sz w:val="22"/>
        </w:rPr>
        <w:t xml:space="preserve">ludes NABERS </w:t>
      </w:r>
      <w:r w:rsidR="00DA46D1" w:rsidRPr="00720AFF">
        <w:rPr>
          <w:rFonts w:asciiTheme="minorHAnsi" w:hAnsiTheme="minorHAnsi"/>
          <w:color w:val="auto"/>
          <w:sz w:val="22"/>
        </w:rPr>
        <w:t xml:space="preserve">continuously </w:t>
      </w:r>
      <w:r w:rsidR="00666AED" w:rsidRPr="00720AFF">
        <w:rPr>
          <w:rFonts w:asciiTheme="minorHAnsi" w:hAnsiTheme="minorHAnsi"/>
          <w:color w:val="auto"/>
          <w:sz w:val="22"/>
        </w:rPr>
        <w:t xml:space="preserve">reviewing and improving its tools and </w:t>
      </w:r>
      <w:r w:rsidR="00EA09A9" w:rsidRPr="00720AFF">
        <w:rPr>
          <w:rFonts w:asciiTheme="minorHAnsi" w:hAnsiTheme="minorHAnsi"/>
          <w:color w:val="auto"/>
          <w:sz w:val="22"/>
        </w:rPr>
        <w:t>services and</w:t>
      </w:r>
      <w:r w:rsidR="008A2177" w:rsidRPr="00720AFF">
        <w:rPr>
          <w:rFonts w:asciiTheme="minorHAnsi" w:hAnsiTheme="minorHAnsi"/>
          <w:color w:val="auto"/>
          <w:sz w:val="22"/>
        </w:rPr>
        <w:t xml:space="preserve"> </w:t>
      </w:r>
      <w:r w:rsidR="00392E23" w:rsidRPr="00720AFF">
        <w:rPr>
          <w:rFonts w:asciiTheme="minorHAnsi" w:hAnsiTheme="minorHAnsi"/>
          <w:color w:val="auto"/>
          <w:sz w:val="22"/>
        </w:rPr>
        <w:t>urging</w:t>
      </w:r>
      <w:r w:rsidR="00F94FA6" w:rsidRPr="00720AFF">
        <w:rPr>
          <w:rFonts w:asciiTheme="minorHAnsi" w:hAnsiTheme="minorHAnsi"/>
          <w:color w:val="auto"/>
          <w:sz w:val="22"/>
        </w:rPr>
        <w:t xml:space="preserve"> </w:t>
      </w:r>
      <w:r w:rsidR="00B45E82" w:rsidRPr="00720AFF">
        <w:rPr>
          <w:rFonts w:asciiTheme="minorHAnsi" w:hAnsiTheme="minorHAnsi"/>
          <w:color w:val="auto"/>
          <w:sz w:val="22"/>
        </w:rPr>
        <w:t xml:space="preserve">states and territories </w:t>
      </w:r>
      <w:r w:rsidR="00807684" w:rsidRPr="00720AFF">
        <w:rPr>
          <w:rFonts w:asciiTheme="minorHAnsi" w:hAnsiTheme="minorHAnsi"/>
          <w:color w:val="auto"/>
          <w:sz w:val="22"/>
        </w:rPr>
        <w:t xml:space="preserve">to commit to comprehensive </w:t>
      </w:r>
      <w:r w:rsidR="005E144D" w:rsidRPr="00720AFF">
        <w:rPr>
          <w:rFonts w:asciiTheme="minorHAnsi" w:hAnsiTheme="minorHAnsi"/>
          <w:color w:val="auto"/>
          <w:sz w:val="22"/>
        </w:rPr>
        <w:t>disclosure of energy ratings for public buildings such as public schools and hospitals.</w:t>
      </w:r>
    </w:p>
    <w:p w14:paraId="07B79DA1" w14:textId="2B096204" w:rsidR="00246CE6" w:rsidRDefault="001E1429" w:rsidP="001C25FC">
      <w:pPr>
        <w:spacing w:after="120"/>
        <w:jc w:val="both"/>
      </w:pPr>
      <w:r w:rsidRPr="00720AFF">
        <w:rPr>
          <w:rFonts w:cstheme="minorHAnsi"/>
          <w:b/>
          <w:bCs/>
        </w:rPr>
        <w:t>Stage</w:t>
      </w:r>
      <w:r w:rsidR="00104300" w:rsidRPr="00720AFF">
        <w:rPr>
          <w:rFonts w:cstheme="minorHAnsi"/>
          <w:b/>
          <w:bCs/>
        </w:rPr>
        <w:t xml:space="preserve"> 4</w:t>
      </w:r>
      <w:r w:rsidR="00A73EAD" w:rsidRPr="00720AFF">
        <w:rPr>
          <w:rFonts w:cstheme="minorHAnsi"/>
          <w:b/>
          <w:bCs/>
        </w:rPr>
        <w:t xml:space="preserve"> and 5</w:t>
      </w:r>
      <w:r w:rsidRPr="00720AFF">
        <w:rPr>
          <w:rFonts w:cstheme="minorHAnsi"/>
          <w:b/>
          <w:bCs/>
        </w:rPr>
        <w:t xml:space="preserve">: </w:t>
      </w:r>
      <w:r w:rsidR="00886940" w:rsidRPr="00720AFF">
        <w:rPr>
          <w:rFonts w:cstheme="minorHAnsi"/>
        </w:rPr>
        <w:t xml:space="preserve">High priority changes to </w:t>
      </w:r>
      <w:r w:rsidR="00E81FA9" w:rsidRPr="00720AFF">
        <w:rPr>
          <w:rFonts w:cstheme="minorHAnsi"/>
        </w:rPr>
        <w:t>the regulatory framework</w:t>
      </w:r>
      <w:r w:rsidR="007779BA" w:rsidRPr="00720AFF">
        <w:t xml:space="preserve">. </w:t>
      </w:r>
      <w:r w:rsidR="00A3707F" w:rsidRPr="00720AFF">
        <w:t>Stage 4 can be actioned ahead of legislative reform and will be prioritised for 2025</w:t>
      </w:r>
      <w:r w:rsidR="0001298E">
        <w:t>-26</w:t>
      </w:r>
      <w:r w:rsidR="00A3707F" w:rsidRPr="00720AFF">
        <w:t xml:space="preserve">. </w:t>
      </w:r>
      <w:r w:rsidR="007779BA" w:rsidRPr="00720AFF">
        <w:t xml:space="preserve">Legislative reform is needed both in the scope and structure of the Act. </w:t>
      </w:r>
    </w:p>
    <w:p w14:paraId="70ABAB97" w14:textId="1A0253E5" w:rsidR="00104300" w:rsidRPr="00720AFF" w:rsidRDefault="00104300" w:rsidP="001C25FC">
      <w:pPr>
        <w:pStyle w:val="BodyText"/>
        <w:jc w:val="both"/>
        <w:rPr>
          <w:rFonts w:asciiTheme="minorHAnsi" w:hAnsiTheme="minorHAnsi"/>
          <w:color w:val="auto"/>
          <w:sz w:val="22"/>
        </w:rPr>
      </w:pPr>
      <w:r w:rsidRPr="00720AFF">
        <w:rPr>
          <w:rFonts w:asciiTheme="minorHAnsi" w:hAnsiTheme="minorHAnsi"/>
          <w:b/>
          <w:bCs/>
          <w:color w:val="auto"/>
          <w:sz w:val="22"/>
        </w:rPr>
        <w:t xml:space="preserve">Stages </w:t>
      </w:r>
      <w:r w:rsidR="00731702" w:rsidRPr="00720AFF">
        <w:rPr>
          <w:rFonts w:asciiTheme="minorHAnsi" w:hAnsiTheme="minorHAnsi"/>
          <w:b/>
          <w:bCs/>
          <w:color w:val="auto"/>
          <w:sz w:val="22"/>
        </w:rPr>
        <w:t>6</w:t>
      </w:r>
      <w:r w:rsidRPr="00720AFF">
        <w:rPr>
          <w:rFonts w:asciiTheme="minorHAnsi" w:hAnsiTheme="minorHAnsi"/>
          <w:b/>
          <w:bCs/>
          <w:color w:val="auto"/>
          <w:sz w:val="22"/>
        </w:rPr>
        <w:t xml:space="preserve"> </w:t>
      </w:r>
      <w:r w:rsidR="00CC6C1C" w:rsidRPr="00720AFF">
        <w:rPr>
          <w:rFonts w:asciiTheme="minorHAnsi" w:hAnsiTheme="minorHAnsi"/>
          <w:b/>
          <w:bCs/>
          <w:color w:val="auto"/>
          <w:sz w:val="22"/>
        </w:rPr>
        <w:t>and</w:t>
      </w:r>
      <w:r w:rsidRPr="00720AFF">
        <w:rPr>
          <w:rFonts w:asciiTheme="minorHAnsi" w:hAnsiTheme="minorHAnsi"/>
          <w:b/>
          <w:bCs/>
          <w:color w:val="auto"/>
          <w:sz w:val="22"/>
        </w:rPr>
        <w:t xml:space="preserve"> </w:t>
      </w:r>
      <w:r w:rsidR="00731702" w:rsidRPr="00720AFF">
        <w:rPr>
          <w:rFonts w:asciiTheme="minorHAnsi" w:hAnsiTheme="minorHAnsi"/>
          <w:b/>
          <w:bCs/>
          <w:color w:val="auto"/>
          <w:sz w:val="22"/>
        </w:rPr>
        <w:t>7</w:t>
      </w:r>
      <w:r w:rsidRPr="00720AFF">
        <w:rPr>
          <w:rFonts w:asciiTheme="minorHAnsi" w:hAnsiTheme="minorHAnsi"/>
          <w:b/>
          <w:bCs/>
          <w:color w:val="auto"/>
          <w:sz w:val="22"/>
        </w:rPr>
        <w:t xml:space="preserve">: </w:t>
      </w:r>
      <w:r w:rsidR="00E7253B" w:rsidRPr="00720AFF">
        <w:rPr>
          <w:rFonts w:asciiTheme="minorHAnsi" w:hAnsiTheme="minorHAnsi"/>
          <w:color w:val="auto"/>
          <w:sz w:val="22"/>
        </w:rPr>
        <w:t xml:space="preserve">High priority changes to </w:t>
      </w:r>
      <w:r w:rsidR="00E7253B" w:rsidRPr="00720AFF">
        <w:rPr>
          <w:rFonts w:asciiTheme="minorHAnsi" w:hAnsiTheme="minorHAnsi" w:cstheme="minorHAnsi"/>
          <w:color w:val="auto"/>
          <w:sz w:val="22"/>
        </w:rPr>
        <w:t xml:space="preserve">consider expanding the </w:t>
      </w:r>
      <w:r w:rsidR="001274EB" w:rsidRPr="00720AFF">
        <w:rPr>
          <w:rFonts w:asciiTheme="minorHAnsi" w:hAnsiTheme="minorHAnsi" w:cstheme="minorHAnsi"/>
          <w:color w:val="auto"/>
          <w:sz w:val="22"/>
        </w:rPr>
        <w:t xml:space="preserve">CBD </w:t>
      </w:r>
      <w:r w:rsidR="00E7253B" w:rsidRPr="00720AFF">
        <w:rPr>
          <w:rFonts w:asciiTheme="minorHAnsi" w:hAnsiTheme="minorHAnsi"/>
          <w:color w:val="auto"/>
          <w:sz w:val="22"/>
        </w:rPr>
        <w:t>Program to large hotels and office tenancies. These changes require new Ministerial determinations and further policy impact analysis.</w:t>
      </w:r>
    </w:p>
    <w:p w14:paraId="0186B9AB" w14:textId="7828557D" w:rsidR="0063461A" w:rsidRPr="00720AFF" w:rsidRDefault="0005523C" w:rsidP="001C25FC">
      <w:pPr>
        <w:pStyle w:val="BodyText"/>
        <w:jc w:val="both"/>
        <w:rPr>
          <w:rFonts w:asciiTheme="minorHAnsi" w:hAnsiTheme="minorHAnsi"/>
          <w:color w:val="auto"/>
          <w:sz w:val="22"/>
        </w:rPr>
      </w:pPr>
      <w:r w:rsidRPr="00720AFF">
        <w:rPr>
          <w:rFonts w:asciiTheme="minorHAnsi" w:hAnsiTheme="minorHAnsi"/>
          <w:b/>
          <w:bCs/>
          <w:color w:val="auto"/>
          <w:sz w:val="22"/>
        </w:rPr>
        <w:t xml:space="preserve">Stage </w:t>
      </w:r>
      <w:r w:rsidR="00731702" w:rsidRPr="00720AFF">
        <w:rPr>
          <w:rFonts w:asciiTheme="minorHAnsi" w:hAnsiTheme="minorHAnsi"/>
          <w:b/>
          <w:bCs/>
          <w:color w:val="auto"/>
          <w:sz w:val="22"/>
        </w:rPr>
        <w:t>8</w:t>
      </w:r>
      <w:r w:rsidRPr="00720AFF">
        <w:rPr>
          <w:rFonts w:asciiTheme="minorHAnsi" w:hAnsiTheme="minorHAnsi"/>
          <w:b/>
          <w:bCs/>
          <w:color w:val="auto"/>
          <w:sz w:val="22"/>
        </w:rPr>
        <w:t xml:space="preserve">: </w:t>
      </w:r>
      <w:r w:rsidR="001C25FC" w:rsidRPr="00EA108A">
        <w:rPr>
          <w:rFonts w:asciiTheme="minorHAnsi" w:hAnsiTheme="minorHAnsi" w:cstheme="minorHAnsi"/>
          <w:color w:val="auto"/>
          <w:sz w:val="22"/>
        </w:rPr>
        <w:fldChar w:fldCharType="begin"/>
      </w:r>
      <w:r w:rsidR="001C25FC" w:rsidRPr="00EA108A">
        <w:rPr>
          <w:rFonts w:asciiTheme="minorHAnsi" w:hAnsiTheme="minorHAnsi" w:cstheme="minorHAnsi"/>
          <w:color w:val="auto"/>
          <w:sz w:val="22"/>
        </w:rPr>
        <w:instrText xml:space="preserve"> REF  _Ref189835868  \* MERGEFORMAT </w:instrText>
      </w:r>
      <w:r w:rsidR="001C25FC" w:rsidRPr="00EA108A">
        <w:rPr>
          <w:rFonts w:asciiTheme="minorHAnsi" w:hAnsiTheme="minorHAnsi" w:cstheme="minorHAnsi"/>
          <w:color w:val="auto"/>
          <w:sz w:val="22"/>
        </w:rPr>
        <w:fldChar w:fldCharType="separate"/>
      </w:r>
      <w:r w:rsidR="00590DAA" w:rsidRPr="00590DAA">
        <w:rPr>
          <w:rFonts w:asciiTheme="minorHAnsi" w:hAnsiTheme="minorHAnsi" w:cstheme="minorHAnsi"/>
          <w:sz w:val="22"/>
        </w:rPr>
        <w:t>Sectors to be considered after high priority changes are addressed</w:t>
      </w:r>
      <w:r w:rsidR="001C25FC" w:rsidRPr="00EA108A">
        <w:rPr>
          <w:rFonts w:asciiTheme="minorHAnsi" w:hAnsiTheme="minorHAnsi" w:cstheme="minorHAnsi"/>
          <w:color w:val="auto"/>
          <w:sz w:val="22"/>
        </w:rPr>
        <w:fldChar w:fldCharType="end"/>
      </w:r>
      <w:r w:rsidR="00646B7A" w:rsidRPr="00EA108A">
        <w:rPr>
          <w:rFonts w:asciiTheme="minorHAnsi" w:hAnsiTheme="minorHAnsi" w:cstheme="minorHAnsi"/>
          <w:color w:val="auto"/>
          <w:sz w:val="22"/>
        </w:rPr>
        <w:t>.</w:t>
      </w:r>
      <w:r w:rsidR="0063461A" w:rsidRPr="00EA108A">
        <w:rPr>
          <w:rFonts w:asciiTheme="minorHAnsi" w:hAnsiTheme="minorHAnsi" w:cstheme="minorHAnsi"/>
          <w:color w:val="auto"/>
          <w:sz w:val="22"/>
        </w:rPr>
        <w:t xml:space="preserve"> These changes</w:t>
      </w:r>
      <w:r w:rsidR="0063461A" w:rsidRPr="00720AFF">
        <w:rPr>
          <w:rFonts w:asciiTheme="minorHAnsi" w:hAnsiTheme="minorHAnsi"/>
          <w:color w:val="auto"/>
          <w:sz w:val="22"/>
        </w:rPr>
        <w:t xml:space="preserve"> have been determined to be ‘medium’ priority.</w:t>
      </w:r>
    </w:p>
    <w:p w14:paraId="04D6D901" w14:textId="6B7C667B" w:rsidR="00675B1E" w:rsidRPr="00720AFF" w:rsidRDefault="0005523C" w:rsidP="001C25FC">
      <w:pPr>
        <w:pStyle w:val="BodyText"/>
        <w:jc w:val="both"/>
        <w:rPr>
          <w:rFonts w:asciiTheme="minorHAnsi" w:hAnsiTheme="minorHAnsi"/>
          <w:color w:val="auto"/>
          <w:sz w:val="22"/>
        </w:rPr>
      </w:pPr>
      <w:r w:rsidRPr="00720AFF">
        <w:rPr>
          <w:rFonts w:asciiTheme="minorHAnsi" w:hAnsiTheme="minorHAnsi"/>
          <w:b/>
          <w:bCs/>
          <w:color w:val="auto"/>
          <w:sz w:val="22"/>
        </w:rPr>
        <w:t xml:space="preserve">Stage </w:t>
      </w:r>
      <w:r w:rsidR="00731702" w:rsidRPr="00720AFF">
        <w:rPr>
          <w:rFonts w:asciiTheme="minorHAnsi" w:hAnsiTheme="minorHAnsi"/>
          <w:b/>
          <w:bCs/>
          <w:color w:val="auto"/>
          <w:sz w:val="22"/>
        </w:rPr>
        <w:t>9</w:t>
      </w:r>
      <w:r w:rsidR="00017172" w:rsidRPr="00720AFF">
        <w:rPr>
          <w:rFonts w:asciiTheme="minorHAnsi" w:hAnsiTheme="minorHAnsi"/>
          <w:b/>
          <w:bCs/>
          <w:color w:val="auto"/>
          <w:sz w:val="22"/>
        </w:rPr>
        <w:t xml:space="preserve">: </w:t>
      </w:r>
      <w:r w:rsidR="00017172" w:rsidRPr="00720AFF">
        <w:rPr>
          <w:rFonts w:asciiTheme="minorHAnsi" w:hAnsiTheme="minorHAnsi"/>
          <w:color w:val="auto"/>
          <w:sz w:val="22"/>
        </w:rPr>
        <w:t>Sectors to be considered at a later stage</w:t>
      </w:r>
      <w:r w:rsidR="008A2204" w:rsidRPr="00720AFF">
        <w:rPr>
          <w:rFonts w:asciiTheme="minorHAnsi" w:hAnsiTheme="minorHAnsi"/>
          <w:color w:val="auto"/>
          <w:sz w:val="22"/>
        </w:rPr>
        <w:t>.</w:t>
      </w:r>
      <w:r w:rsidR="0063461A" w:rsidRPr="00720AFF">
        <w:rPr>
          <w:rFonts w:asciiTheme="minorHAnsi" w:hAnsiTheme="minorHAnsi"/>
          <w:color w:val="auto"/>
          <w:sz w:val="22"/>
        </w:rPr>
        <w:t xml:space="preserve"> These building types </w:t>
      </w:r>
      <w:r w:rsidR="00E10C11" w:rsidRPr="00720AFF">
        <w:rPr>
          <w:rFonts w:asciiTheme="minorHAnsi" w:hAnsiTheme="minorHAnsi"/>
          <w:color w:val="auto"/>
          <w:sz w:val="22"/>
        </w:rPr>
        <w:t>will be considered at a later stage</w:t>
      </w:r>
      <w:r w:rsidR="0063461A" w:rsidRPr="00720AFF">
        <w:rPr>
          <w:rFonts w:asciiTheme="minorHAnsi" w:hAnsiTheme="minorHAnsi"/>
          <w:color w:val="auto"/>
          <w:sz w:val="22"/>
        </w:rPr>
        <w:t xml:space="preserve"> either because it is unclear how mandatory disclosure at this time would effectively motivate action to reduce energy consumption, or </w:t>
      </w:r>
      <w:r w:rsidR="007D6162" w:rsidRPr="00720AFF">
        <w:rPr>
          <w:rFonts w:asciiTheme="minorHAnsi" w:hAnsiTheme="minorHAnsi"/>
          <w:color w:val="auto"/>
          <w:sz w:val="22"/>
        </w:rPr>
        <w:t xml:space="preserve">an appropriate </w:t>
      </w:r>
      <w:r w:rsidR="00BE3FEB" w:rsidRPr="00720AFF">
        <w:rPr>
          <w:rFonts w:asciiTheme="minorHAnsi" w:hAnsiTheme="minorHAnsi"/>
          <w:color w:val="auto"/>
          <w:sz w:val="22"/>
        </w:rPr>
        <w:t>e</w:t>
      </w:r>
      <w:r w:rsidR="0063461A" w:rsidRPr="00720AFF">
        <w:rPr>
          <w:rFonts w:asciiTheme="minorHAnsi" w:hAnsiTheme="minorHAnsi"/>
          <w:color w:val="auto"/>
          <w:sz w:val="22"/>
        </w:rPr>
        <w:t xml:space="preserve">nergy </w:t>
      </w:r>
      <w:r w:rsidR="00BE3FEB" w:rsidRPr="00720AFF">
        <w:rPr>
          <w:rFonts w:asciiTheme="minorHAnsi" w:hAnsiTheme="minorHAnsi"/>
          <w:color w:val="auto"/>
          <w:sz w:val="22"/>
        </w:rPr>
        <w:t>rating</w:t>
      </w:r>
      <w:r w:rsidR="0063461A" w:rsidRPr="00720AFF">
        <w:rPr>
          <w:rFonts w:asciiTheme="minorHAnsi" w:hAnsiTheme="minorHAnsi"/>
          <w:color w:val="auto"/>
          <w:sz w:val="22"/>
        </w:rPr>
        <w:t xml:space="preserve"> </w:t>
      </w:r>
      <w:r w:rsidR="0016603B" w:rsidRPr="00720AFF">
        <w:rPr>
          <w:rFonts w:asciiTheme="minorHAnsi" w:hAnsiTheme="minorHAnsi"/>
          <w:color w:val="auto"/>
          <w:sz w:val="22"/>
        </w:rPr>
        <w:t xml:space="preserve">tool </w:t>
      </w:r>
      <w:r w:rsidR="0063461A" w:rsidRPr="00720AFF">
        <w:rPr>
          <w:rFonts w:asciiTheme="minorHAnsi" w:hAnsiTheme="minorHAnsi"/>
          <w:color w:val="auto"/>
          <w:sz w:val="22"/>
        </w:rPr>
        <w:t>ha</w:t>
      </w:r>
      <w:r w:rsidR="007D6162" w:rsidRPr="00720AFF">
        <w:rPr>
          <w:rFonts w:asciiTheme="minorHAnsi" w:hAnsiTheme="minorHAnsi"/>
          <w:color w:val="auto"/>
          <w:sz w:val="22"/>
        </w:rPr>
        <w:t>s</w:t>
      </w:r>
      <w:r w:rsidR="0063461A" w:rsidRPr="00720AFF">
        <w:rPr>
          <w:rFonts w:asciiTheme="minorHAnsi" w:hAnsiTheme="minorHAnsi"/>
          <w:color w:val="auto"/>
          <w:sz w:val="22"/>
        </w:rPr>
        <w:t xml:space="preserve"> not been developed yet, or they may </w:t>
      </w:r>
      <w:r w:rsidR="00C13A60" w:rsidRPr="00720AFF">
        <w:rPr>
          <w:rFonts w:asciiTheme="minorHAnsi" w:hAnsiTheme="minorHAnsi"/>
          <w:color w:val="auto"/>
          <w:sz w:val="22"/>
        </w:rPr>
        <w:t>have</w:t>
      </w:r>
      <w:r w:rsidR="0063461A" w:rsidRPr="00720AFF">
        <w:rPr>
          <w:rFonts w:asciiTheme="minorHAnsi" w:hAnsiTheme="minorHAnsi"/>
          <w:color w:val="auto"/>
          <w:sz w:val="22"/>
        </w:rPr>
        <w:t xml:space="preserve"> relatively small potential for energy and emissions savings. </w:t>
      </w:r>
    </w:p>
    <w:p w14:paraId="3DC42B38" w14:textId="0B2FD573" w:rsidR="00B57BFA" w:rsidRPr="00720AFF" w:rsidRDefault="00746CBB" w:rsidP="001C25FC">
      <w:pPr>
        <w:pStyle w:val="BodyText"/>
        <w:jc w:val="both"/>
        <w:rPr>
          <w:rFonts w:asciiTheme="minorHAnsi" w:hAnsiTheme="minorHAnsi"/>
          <w:color w:val="auto"/>
          <w:sz w:val="22"/>
        </w:rPr>
      </w:pPr>
      <w:r w:rsidRPr="00720AFF">
        <w:rPr>
          <w:rFonts w:asciiTheme="minorHAnsi" w:hAnsiTheme="minorHAnsi"/>
          <w:color w:val="auto"/>
          <w:sz w:val="22"/>
        </w:rPr>
        <w:t xml:space="preserve">Stages </w:t>
      </w:r>
      <w:r w:rsidR="00731702" w:rsidRPr="00720AFF">
        <w:rPr>
          <w:rFonts w:asciiTheme="minorHAnsi" w:hAnsiTheme="minorHAnsi"/>
          <w:color w:val="auto"/>
          <w:sz w:val="22"/>
        </w:rPr>
        <w:t>8</w:t>
      </w:r>
      <w:r w:rsidR="00650E32" w:rsidRPr="00720AFF">
        <w:rPr>
          <w:rFonts w:asciiTheme="minorHAnsi" w:hAnsiTheme="minorHAnsi"/>
          <w:color w:val="auto"/>
          <w:sz w:val="22"/>
        </w:rPr>
        <w:t xml:space="preserve"> </w:t>
      </w:r>
      <w:r w:rsidR="00F2404F" w:rsidRPr="00720AFF">
        <w:rPr>
          <w:rFonts w:asciiTheme="minorHAnsi" w:hAnsiTheme="minorHAnsi"/>
          <w:color w:val="auto"/>
          <w:sz w:val="22"/>
        </w:rPr>
        <w:t xml:space="preserve">and </w:t>
      </w:r>
      <w:r w:rsidR="007E035D" w:rsidRPr="00720AFF">
        <w:rPr>
          <w:rFonts w:asciiTheme="minorHAnsi" w:hAnsiTheme="minorHAnsi"/>
          <w:color w:val="auto"/>
          <w:sz w:val="22"/>
        </w:rPr>
        <w:t>9</w:t>
      </w:r>
      <w:r w:rsidR="00650E32" w:rsidRPr="00720AFF">
        <w:rPr>
          <w:rFonts w:asciiTheme="minorHAnsi" w:hAnsiTheme="minorHAnsi"/>
          <w:color w:val="auto"/>
          <w:sz w:val="22"/>
        </w:rPr>
        <w:t xml:space="preserve"> will be implemented </w:t>
      </w:r>
      <w:r w:rsidR="00B675CF" w:rsidRPr="00720AFF">
        <w:rPr>
          <w:rFonts w:asciiTheme="minorHAnsi" w:hAnsiTheme="minorHAnsi"/>
          <w:color w:val="auto"/>
          <w:sz w:val="22"/>
        </w:rPr>
        <w:t>through a consistent process of regular review</w:t>
      </w:r>
      <w:r w:rsidR="008B3B68" w:rsidRPr="00720AFF">
        <w:rPr>
          <w:rFonts w:asciiTheme="minorHAnsi" w:hAnsiTheme="minorHAnsi"/>
          <w:color w:val="auto"/>
          <w:sz w:val="22"/>
        </w:rPr>
        <w:t xml:space="preserve">. After a new Ministerial determination is made to expand the </w:t>
      </w:r>
      <w:r w:rsidR="001274EB" w:rsidRPr="00720AFF">
        <w:rPr>
          <w:rFonts w:asciiTheme="minorHAnsi" w:hAnsiTheme="minorHAnsi"/>
          <w:color w:val="auto"/>
          <w:sz w:val="22"/>
        </w:rPr>
        <w:t xml:space="preserve">CBD </w:t>
      </w:r>
      <w:r w:rsidR="00E21D77" w:rsidRPr="00720AFF">
        <w:rPr>
          <w:rFonts w:asciiTheme="minorHAnsi" w:hAnsiTheme="minorHAnsi"/>
          <w:color w:val="auto"/>
          <w:sz w:val="22"/>
        </w:rPr>
        <w:t>Program to</w:t>
      </w:r>
      <w:r w:rsidR="00025A79" w:rsidRPr="00720AFF">
        <w:rPr>
          <w:rFonts w:asciiTheme="minorHAnsi" w:hAnsiTheme="minorHAnsi"/>
          <w:color w:val="auto"/>
          <w:sz w:val="22"/>
        </w:rPr>
        <w:t xml:space="preserve"> a new sector</w:t>
      </w:r>
      <w:r w:rsidR="0024435A" w:rsidRPr="00720AFF">
        <w:rPr>
          <w:rFonts w:asciiTheme="minorHAnsi" w:hAnsiTheme="minorHAnsi"/>
          <w:color w:val="auto"/>
          <w:sz w:val="22"/>
        </w:rPr>
        <w:t>, there will be a period of implementation and evaluation</w:t>
      </w:r>
      <w:r w:rsidR="00563873" w:rsidRPr="00720AFF">
        <w:rPr>
          <w:rFonts w:asciiTheme="minorHAnsi" w:hAnsiTheme="minorHAnsi"/>
          <w:color w:val="auto"/>
          <w:sz w:val="22"/>
        </w:rPr>
        <w:t xml:space="preserve">. </w:t>
      </w:r>
      <w:r w:rsidR="00143BFB" w:rsidRPr="00720AFF">
        <w:rPr>
          <w:rFonts w:asciiTheme="minorHAnsi" w:hAnsiTheme="minorHAnsi"/>
          <w:color w:val="auto"/>
          <w:sz w:val="22"/>
        </w:rPr>
        <w:t>The policy process to analyse the next sector in the</w:t>
      </w:r>
      <w:r w:rsidR="007F2839" w:rsidRPr="00720AFF">
        <w:rPr>
          <w:rFonts w:asciiTheme="minorHAnsi" w:hAnsiTheme="minorHAnsi"/>
          <w:color w:val="auto"/>
          <w:sz w:val="22"/>
        </w:rPr>
        <w:t xml:space="preserve"> roadmap will then be undertaken</w:t>
      </w:r>
      <w:r w:rsidR="00C97E90" w:rsidRPr="00720AFF">
        <w:rPr>
          <w:rFonts w:asciiTheme="minorHAnsi" w:hAnsiTheme="minorHAnsi"/>
          <w:color w:val="auto"/>
          <w:sz w:val="22"/>
        </w:rPr>
        <w:t>, including public consultation</w:t>
      </w:r>
      <w:r w:rsidR="007F2839" w:rsidRPr="00720AFF">
        <w:rPr>
          <w:rFonts w:asciiTheme="minorHAnsi" w:hAnsiTheme="minorHAnsi"/>
          <w:color w:val="auto"/>
          <w:sz w:val="22"/>
        </w:rPr>
        <w:t>.</w:t>
      </w:r>
      <w:r w:rsidR="00C97E90" w:rsidRPr="00720AFF">
        <w:rPr>
          <w:rFonts w:asciiTheme="minorHAnsi" w:hAnsiTheme="minorHAnsi"/>
          <w:color w:val="auto"/>
          <w:sz w:val="22"/>
        </w:rPr>
        <w:t xml:space="preserve"> If appropriate</w:t>
      </w:r>
      <w:r w:rsidR="005702F6" w:rsidRPr="00720AFF">
        <w:rPr>
          <w:rFonts w:asciiTheme="minorHAnsi" w:hAnsiTheme="minorHAnsi"/>
          <w:color w:val="auto"/>
          <w:sz w:val="22"/>
        </w:rPr>
        <w:t>,</w:t>
      </w:r>
      <w:r w:rsidR="00C97E90" w:rsidRPr="00720AFF">
        <w:rPr>
          <w:rFonts w:asciiTheme="minorHAnsi" w:hAnsiTheme="minorHAnsi"/>
          <w:color w:val="auto"/>
          <w:sz w:val="22"/>
        </w:rPr>
        <w:t xml:space="preserve"> a fresh Ministerial determination </w:t>
      </w:r>
      <w:r w:rsidR="005702F6" w:rsidRPr="00720AFF">
        <w:rPr>
          <w:rFonts w:asciiTheme="minorHAnsi" w:hAnsiTheme="minorHAnsi"/>
          <w:color w:val="auto"/>
          <w:sz w:val="22"/>
        </w:rPr>
        <w:t>will</w:t>
      </w:r>
      <w:r w:rsidR="00C97E90" w:rsidRPr="00720AFF">
        <w:rPr>
          <w:rFonts w:asciiTheme="minorHAnsi" w:hAnsiTheme="minorHAnsi"/>
          <w:color w:val="auto"/>
          <w:sz w:val="22"/>
        </w:rPr>
        <w:t xml:space="preserve"> then be made.</w:t>
      </w:r>
    </w:p>
    <w:p w14:paraId="41D01C3E" w14:textId="255A826D" w:rsidR="00270DC0" w:rsidRPr="00720AFF" w:rsidRDefault="00270DC0" w:rsidP="00FE73BD">
      <w:pPr>
        <w:pStyle w:val="Heading3"/>
        <w:numPr>
          <w:ilvl w:val="1"/>
          <w:numId w:val="28"/>
        </w:numPr>
        <w:spacing w:after="120"/>
        <w:jc w:val="both"/>
      </w:pPr>
      <w:bookmarkStart w:id="12" w:name="_Toc200017000"/>
      <w:r w:rsidRPr="00720AFF">
        <w:t>Roadmap expansion principles</w:t>
      </w:r>
      <w:bookmarkEnd w:id="11"/>
      <w:bookmarkEnd w:id="12"/>
    </w:p>
    <w:p w14:paraId="3E065F7E" w14:textId="3BAB58E1" w:rsidR="008C675D" w:rsidRPr="00720AFF" w:rsidRDefault="008C675D" w:rsidP="005D0E92">
      <w:pPr>
        <w:pStyle w:val="BodyText"/>
        <w:jc w:val="both"/>
        <w:rPr>
          <w:rFonts w:asciiTheme="minorHAnsi" w:hAnsiTheme="minorHAnsi"/>
          <w:color w:val="auto"/>
          <w:sz w:val="22"/>
        </w:rPr>
      </w:pPr>
      <w:r w:rsidRPr="00720AFF">
        <w:rPr>
          <w:rFonts w:asciiTheme="minorHAnsi" w:hAnsiTheme="minorHAnsi"/>
          <w:color w:val="auto"/>
          <w:sz w:val="22"/>
        </w:rPr>
        <w:t xml:space="preserve">The following principles underpin </w:t>
      </w:r>
      <w:r w:rsidR="00E4688C" w:rsidRPr="00720AFF">
        <w:rPr>
          <w:rFonts w:asciiTheme="minorHAnsi" w:hAnsiTheme="minorHAnsi"/>
          <w:color w:val="auto"/>
          <w:sz w:val="22"/>
        </w:rPr>
        <w:t xml:space="preserve">how the government will </w:t>
      </w:r>
      <w:r w:rsidR="002D58F9" w:rsidRPr="00720AFF">
        <w:rPr>
          <w:rFonts w:asciiTheme="minorHAnsi" w:hAnsiTheme="minorHAnsi"/>
          <w:color w:val="auto"/>
          <w:sz w:val="22"/>
        </w:rPr>
        <w:t xml:space="preserve">reform the Act and </w:t>
      </w:r>
      <w:r w:rsidR="00992F7C" w:rsidRPr="00720AFF">
        <w:rPr>
          <w:rFonts w:asciiTheme="minorHAnsi" w:hAnsiTheme="minorHAnsi"/>
          <w:color w:val="auto"/>
          <w:sz w:val="22"/>
        </w:rPr>
        <w:t xml:space="preserve">expand the </w:t>
      </w:r>
      <w:r w:rsidR="00DC0D16" w:rsidRPr="00720AFF">
        <w:rPr>
          <w:rFonts w:asciiTheme="minorHAnsi" w:hAnsiTheme="minorHAnsi"/>
          <w:color w:val="auto"/>
          <w:sz w:val="22"/>
        </w:rPr>
        <w:t>CBD Program</w:t>
      </w:r>
      <w:r w:rsidR="00B9187A" w:rsidRPr="00720AFF">
        <w:rPr>
          <w:rFonts w:asciiTheme="minorHAnsi" w:hAnsiTheme="minorHAnsi"/>
          <w:color w:val="auto"/>
          <w:sz w:val="22"/>
        </w:rPr>
        <w:t>.</w:t>
      </w:r>
      <w:r w:rsidR="001C0443" w:rsidRPr="00720AFF">
        <w:rPr>
          <w:rFonts w:asciiTheme="minorHAnsi" w:hAnsiTheme="minorHAnsi"/>
          <w:color w:val="auto"/>
          <w:sz w:val="22"/>
        </w:rPr>
        <w:t xml:space="preserve"> These principles have been applied </w:t>
      </w:r>
      <w:r w:rsidR="00650380" w:rsidRPr="00720AFF">
        <w:rPr>
          <w:rFonts w:asciiTheme="minorHAnsi" w:hAnsiTheme="minorHAnsi"/>
          <w:color w:val="auto"/>
          <w:sz w:val="22"/>
        </w:rPr>
        <w:t>in section</w:t>
      </w:r>
      <w:r w:rsidR="00143933" w:rsidRPr="00720AFF">
        <w:rPr>
          <w:rFonts w:asciiTheme="minorHAnsi" w:hAnsiTheme="minorHAnsi"/>
          <w:color w:val="auto"/>
          <w:sz w:val="22"/>
        </w:rPr>
        <w:t>s 4 and 5</w:t>
      </w:r>
      <w:r w:rsidR="004452DD" w:rsidRPr="00720AFF">
        <w:rPr>
          <w:rFonts w:asciiTheme="minorHAnsi" w:hAnsiTheme="minorHAnsi"/>
          <w:color w:val="auto"/>
          <w:sz w:val="22"/>
        </w:rPr>
        <w:t>.</w:t>
      </w:r>
    </w:p>
    <w:p w14:paraId="5E5227A4" w14:textId="5E560B69" w:rsidR="00BC33FF" w:rsidRPr="00720AFF" w:rsidRDefault="0092527C" w:rsidP="4E42E3EC">
      <w:pPr>
        <w:pStyle w:val="BodyText"/>
        <w:spacing w:line="276" w:lineRule="auto"/>
        <w:jc w:val="both"/>
        <w:rPr>
          <w:rFonts w:asciiTheme="minorHAnsi" w:hAnsiTheme="minorHAnsi"/>
          <w:color w:val="auto"/>
          <w:sz w:val="22"/>
        </w:rPr>
      </w:pPr>
      <w:r w:rsidRPr="00720AFF">
        <w:rPr>
          <w:noProof/>
        </w:rPr>
        <mc:AlternateContent>
          <mc:Choice Requires="wps">
            <w:drawing>
              <wp:anchor distT="0" distB="0" distL="114300" distR="114300" simplePos="0" relativeHeight="251658242" behindDoc="0" locked="0" layoutInCell="1" allowOverlap="1" wp14:anchorId="640310F5" wp14:editId="10CB4CEC">
                <wp:simplePos x="0" y="0"/>
                <wp:positionH relativeFrom="margin">
                  <wp:posOffset>101761</wp:posOffset>
                </wp:positionH>
                <wp:positionV relativeFrom="paragraph">
                  <wp:posOffset>2786418</wp:posOffset>
                </wp:positionV>
                <wp:extent cx="6294474" cy="225188"/>
                <wp:effectExtent l="0" t="0" r="0" b="3810"/>
                <wp:wrapNone/>
                <wp:docPr id="1507216501" name="Text Box 1"/>
                <wp:cNvGraphicFramePr/>
                <a:graphic xmlns:a="http://schemas.openxmlformats.org/drawingml/2006/main">
                  <a:graphicData uri="http://schemas.microsoft.com/office/word/2010/wordprocessingShape">
                    <wps:wsp>
                      <wps:cNvSpPr txBox="1"/>
                      <wps:spPr>
                        <a:xfrm>
                          <a:off x="0" y="0"/>
                          <a:ext cx="6294474" cy="225188"/>
                        </a:xfrm>
                        <a:prstGeom prst="rect">
                          <a:avLst/>
                        </a:prstGeom>
                        <a:solidFill>
                          <a:schemeClr val="lt1"/>
                        </a:solidFill>
                        <a:ln w="6350">
                          <a:noFill/>
                        </a:ln>
                      </wps:spPr>
                      <wps:txbx>
                        <w:txbxContent>
                          <w:p w14:paraId="7D0B9CDA" w14:textId="1E6A6310" w:rsidR="00B33E78" w:rsidRPr="00720AFF" w:rsidRDefault="00B33E78" w:rsidP="00B33E78">
                            <w:pPr>
                              <w:rPr>
                                <w:sz w:val="18"/>
                                <w:szCs w:val="18"/>
                              </w:rPr>
                            </w:pPr>
                            <w:r w:rsidRPr="00720AFF">
                              <w:rPr>
                                <w:b/>
                                <w:bCs/>
                                <w:sz w:val="18"/>
                                <w:szCs w:val="18"/>
                              </w:rPr>
                              <w:t xml:space="preserve">Figure </w:t>
                            </w:r>
                            <w:r w:rsidR="001E6FF0">
                              <w:rPr>
                                <w:b/>
                                <w:bCs/>
                                <w:sz w:val="18"/>
                                <w:szCs w:val="18"/>
                              </w:rPr>
                              <w:t>2</w:t>
                            </w:r>
                            <w:r w:rsidRPr="00720AFF">
                              <w:rPr>
                                <w:b/>
                                <w:bCs/>
                                <w:sz w:val="18"/>
                                <w:szCs w:val="18"/>
                              </w:rPr>
                              <w:t>:</w:t>
                            </w:r>
                            <w:r w:rsidRPr="00720AFF">
                              <w:rPr>
                                <w:sz w:val="18"/>
                                <w:szCs w:val="18"/>
                              </w:rPr>
                              <w:t xml:space="preserve"> CBD expansion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310F5" id="_x0000_s1028" type="#_x0000_t202" style="position:absolute;left:0;text-align:left;margin-left:8pt;margin-top:219.4pt;width:495.65pt;height:17.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2dMQIAAFsEAAAOAAAAZHJzL2Uyb0RvYy54bWysVFFv2jAQfp+0/2D5fQQyaGlEqBgV0yTU&#10;VqJTn41jE0uOz7MNCfv1OztQWLenaS/One/8+e67z5ndd40mB+G8AlPS0WBIiTAcKmV2Jf3+svo0&#10;pcQHZiqmwYiSHoWn9/OPH2atLUQONehKOIIgxhetLWkdgi2yzPNaNMwPwAqDQQmuYQFdt8sqx1pE&#10;b3SWD4c3WQuusg648B53H/ognSd8KQUPT1J6EYguKdYW0urSuo1rNp+xYueYrRU/lcH+oYqGKYOX&#10;vkE9sMDI3qk/oBrFHXiQYcChyUBKxUXqAbsZDd91s6mZFakXJMfbN5r8/4Plj4eNfXYkdF+gwwFG&#10;QlrrC4+bsZ9OuiZ+sVKCcaTw+Eab6ALhuHmT343Ht2NKOMbyfDKaTiNMdjltnQ9fBTQkGiV1OJbE&#10;FjusfehTzynxMg9aVSuldXKiFMRSO3JgOEQdUo0I/luWNqTFSj5PhgnYQDzeI2uDtVx6ilboth1R&#10;FVZ77ncL1RFpcNArxFu+UljrmvnwzBxKAjtHmYcnXKQGvAtOFiU1uJ9/24/5OCmMUtKixErqf+yZ&#10;E5TobwZneDcaj6MmkzOe3ObouOvI9jpi9s0SkIARPijLkxnzgz6b0kHziq9hEW/FEDMc7y5pOJvL&#10;0AsfXxMXi0VKQhVaFtZmY3mEjoTHSbx0r8zZ07gCDvoRzmJkxbup9bnxpIHFPoBUaaSR557VE/2o&#10;4CSK02uLT+TaT1mXf8L8FwAAAP//AwBQSwMEFAAGAAgAAAAhAL9kIJvhAAAACwEAAA8AAABkcnMv&#10;ZG93bnJldi54bWxMj0tPwzAQhO9I/Adrkbgg6oBLU4U4FUI8pN5oeIibGy9JRLyOYjcJ/57tCY4z&#10;O5qdL9/MrhMjDqH1pOFqkYBAqrxtqdbwWj5erkGEaMiazhNq+MEAm+L0JDeZ9RO94LiLteASCpnR&#10;0MTYZ1KGqkFnwsL3SHz78oMzkeVQSzuYictdJ6+TZCWdaYk/NKbH+war793Bafi8qD+2YX56m9SN&#10;6h+exzJ9t6XW52fz3S2IiHP8C8NxPk+Hgjft/YFsEB3rFaNEDUu1ZoRjIElSBWLPVrpUIItc/mco&#10;fgEAAP//AwBQSwECLQAUAAYACAAAACEAtoM4kv4AAADhAQAAEwAAAAAAAAAAAAAAAAAAAAAAW0Nv&#10;bnRlbnRfVHlwZXNdLnhtbFBLAQItABQABgAIAAAAIQA4/SH/1gAAAJQBAAALAAAAAAAAAAAAAAAA&#10;AC8BAABfcmVscy8ucmVsc1BLAQItABQABgAIAAAAIQCdW92dMQIAAFsEAAAOAAAAAAAAAAAAAAAA&#10;AC4CAABkcnMvZTJvRG9jLnhtbFBLAQItABQABgAIAAAAIQC/ZCCb4QAAAAsBAAAPAAAAAAAAAAAA&#10;AAAAAIsEAABkcnMvZG93bnJldi54bWxQSwUGAAAAAAQABADzAAAAmQUAAAAA&#10;" fillcolor="white [3201]" stroked="f" strokeweight=".5pt">
                <v:textbox>
                  <w:txbxContent>
                    <w:p w14:paraId="7D0B9CDA" w14:textId="1E6A6310" w:rsidR="00B33E78" w:rsidRPr="00720AFF" w:rsidRDefault="00B33E78" w:rsidP="00B33E78">
                      <w:pPr>
                        <w:rPr>
                          <w:sz w:val="18"/>
                          <w:szCs w:val="18"/>
                        </w:rPr>
                      </w:pPr>
                      <w:r w:rsidRPr="00720AFF">
                        <w:rPr>
                          <w:b/>
                          <w:bCs/>
                          <w:sz w:val="18"/>
                          <w:szCs w:val="18"/>
                        </w:rPr>
                        <w:t xml:space="preserve">Figure </w:t>
                      </w:r>
                      <w:r w:rsidR="001E6FF0">
                        <w:rPr>
                          <w:b/>
                          <w:bCs/>
                          <w:sz w:val="18"/>
                          <w:szCs w:val="18"/>
                        </w:rPr>
                        <w:t>2</w:t>
                      </w:r>
                      <w:r w:rsidRPr="00720AFF">
                        <w:rPr>
                          <w:b/>
                          <w:bCs/>
                          <w:sz w:val="18"/>
                          <w:szCs w:val="18"/>
                        </w:rPr>
                        <w:t>:</w:t>
                      </w:r>
                      <w:r w:rsidRPr="00720AFF">
                        <w:rPr>
                          <w:sz w:val="18"/>
                          <w:szCs w:val="18"/>
                        </w:rPr>
                        <w:t xml:space="preserve"> CBD expansion principles</w:t>
                      </w:r>
                    </w:p>
                  </w:txbxContent>
                </v:textbox>
                <w10:wrap anchorx="margin"/>
              </v:shape>
            </w:pict>
          </mc:Fallback>
        </mc:AlternateContent>
      </w:r>
      <w:r w:rsidR="0070624D" w:rsidRPr="00720AFF">
        <w:rPr>
          <w:rFonts w:asciiTheme="minorHAnsi" w:hAnsiTheme="minorHAnsi"/>
          <w:noProof/>
          <w:color w:val="auto"/>
          <w:sz w:val="22"/>
        </w:rPr>
        <w:drawing>
          <wp:inline distT="0" distB="0" distL="0" distR="0" wp14:anchorId="7A6E8F04" wp14:editId="6E0E20DC">
            <wp:extent cx="5199716" cy="2719449"/>
            <wp:effectExtent l="0" t="0" r="0" b="5080"/>
            <wp:docPr id="428506344" name="Picture 2" descr="Figure 3: CBD expansion principles&#10;Graphic with four numbered principles displayed in a grid, each with an icon and brief text. Full description in appendi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06344" name="Picture 2" descr="Figure 3: CBD expansion principles&#10;Graphic with four numbered principles displayed in a grid, each with an icon and brief text. Full description in appendix.&#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7369" cy="2723452"/>
                    </a:xfrm>
                    <a:prstGeom prst="rect">
                      <a:avLst/>
                    </a:prstGeom>
                    <a:noFill/>
                  </pic:spPr>
                </pic:pic>
              </a:graphicData>
            </a:graphic>
          </wp:inline>
        </w:drawing>
      </w:r>
    </w:p>
    <w:p w14:paraId="072A9E2D" w14:textId="35BE3DCF" w:rsidR="00B86A47" w:rsidRPr="00720AFF" w:rsidRDefault="00B86A47" w:rsidP="4E42E3EC">
      <w:pPr>
        <w:pStyle w:val="Heading4"/>
        <w:spacing w:after="120"/>
        <w:ind w:left="0" w:firstLine="0"/>
        <w:jc w:val="both"/>
      </w:pPr>
    </w:p>
    <w:p w14:paraId="0CB08A44" w14:textId="04CB528D" w:rsidR="0007158D" w:rsidRPr="00720AFF" w:rsidRDefault="00415F65" w:rsidP="4E42E3EC">
      <w:pPr>
        <w:pStyle w:val="Heading4"/>
        <w:spacing w:after="120"/>
        <w:ind w:left="0" w:firstLine="0"/>
        <w:jc w:val="both"/>
      </w:pPr>
      <w:r w:rsidRPr="00720AFF">
        <w:t xml:space="preserve">Principle 1: </w:t>
      </w:r>
      <w:r w:rsidR="00CE2738" w:rsidRPr="00720AFF">
        <w:t xml:space="preserve">Trusted and benchmarked energy ratings form the basis </w:t>
      </w:r>
      <w:r w:rsidR="00567C48" w:rsidRPr="00720AFF">
        <w:t>of</w:t>
      </w:r>
      <w:r w:rsidR="00881269" w:rsidRPr="00720AFF">
        <w:t xml:space="preserve"> an expanded CBD Program</w:t>
      </w:r>
    </w:p>
    <w:p w14:paraId="5E791304" w14:textId="17BDB487" w:rsidR="00E52432" w:rsidRPr="00720AFF" w:rsidRDefault="00430A42" w:rsidP="005D0E92">
      <w:pPr>
        <w:spacing w:after="120"/>
        <w:jc w:val="both"/>
      </w:pPr>
      <w:r w:rsidRPr="00720AFF">
        <w:t xml:space="preserve">The CBD Program requires an energy efficiency rating to be obtained for certain buildings. </w:t>
      </w:r>
      <w:r w:rsidR="00E52432" w:rsidRPr="00720AFF">
        <w:t>For the CBD Program to operate effectively, it requires the development</w:t>
      </w:r>
      <w:r w:rsidRPr="00720AFF">
        <w:t xml:space="preserve">, </w:t>
      </w:r>
      <w:r w:rsidR="00E52432" w:rsidRPr="00720AFF">
        <w:t xml:space="preserve">operation </w:t>
      </w:r>
      <w:r w:rsidRPr="00720AFF">
        <w:t xml:space="preserve">and maintenance </w:t>
      </w:r>
      <w:r w:rsidR="00E52432" w:rsidRPr="00720AFF">
        <w:t>of trusted, simple, reliable and comparable energy rating tools</w:t>
      </w:r>
      <w:r w:rsidR="00870AE9" w:rsidRPr="00720AFF">
        <w:t xml:space="preserve"> to work out</w:t>
      </w:r>
      <w:r w:rsidR="00E45DCC" w:rsidRPr="00720AFF">
        <w:t xml:space="preserve"> the energy efficiency rating</w:t>
      </w:r>
      <w:r w:rsidR="00E52432" w:rsidRPr="00720AFF">
        <w:t xml:space="preserve">. </w:t>
      </w:r>
    </w:p>
    <w:p w14:paraId="2E01FB4A" w14:textId="102B333E" w:rsidR="00180CEA" w:rsidRPr="00720AFF" w:rsidRDefault="00351F65" w:rsidP="005D0E92">
      <w:pPr>
        <w:spacing w:after="120"/>
        <w:jc w:val="both"/>
      </w:pPr>
      <w:r w:rsidRPr="00720AFF">
        <w:t>Under</w:t>
      </w:r>
      <w:r w:rsidR="00813B4C" w:rsidRPr="00720AFF">
        <w:t xml:space="preserve"> the current </w:t>
      </w:r>
      <w:r w:rsidR="00A05BC8" w:rsidRPr="00720AFF">
        <w:t xml:space="preserve">CBD </w:t>
      </w:r>
      <w:r w:rsidR="00813B4C" w:rsidRPr="00720AFF">
        <w:t xml:space="preserve">Program, </w:t>
      </w:r>
      <w:r w:rsidR="00AE2454" w:rsidRPr="00720AFF">
        <w:t xml:space="preserve">the Act does not specify a particular </w:t>
      </w:r>
      <w:r w:rsidR="009A77E0" w:rsidRPr="00720AFF">
        <w:t>assessment method</w:t>
      </w:r>
      <w:r w:rsidR="003B73E9" w:rsidRPr="00720AFF">
        <w:t>.</w:t>
      </w:r>
      <w:r w:rsidR="009A77E0" w:rsidRPr="00720AFF">
        <w:t xml:space="preserve"> </w:t>
      </w:r>
      <w:r w:rsidR="003B73E9" w:rsidRPr="00720AFF">
        <w:t>L</w:t>
      </w:r>
      <w:r w:rsidR="00B54445" w:rsidRPr="00720AFF">
        <w:t>egislative instruments that sit under the Act</w:t>
      </w:r>
      <w:r w:rsidR="00BF4897" w:rsidRPr="00720AFF">
        <w:t xml:space="preserve"> specif</w:t>
      </w:r>
      <w:r w:rsidR="00B54445" w:rsidRPr="00720AFF">
        <w:t>y</w:t>
      </w:r>
      <w:r w:rsidR="00BF4897" w:rsidRPr="00720AFF">
        <w:t xml:space="preserve"> that </w:t>
      </w:r>
      <w:r w:rsidR="00813B4C" w:rsidRPr="00720AFF">
        <w:t xml:space="preserve">NABERS </w:t>
      </w:r>
      <w:r w:rsidR="00521361" w:rsidRPr="00720AFF">
        <w:t xml:space="preserve">Energy rating </w:t>
      </w:r>
      <w:r w:rsidR="00991D3F" w:rsidRPr="00720AFF">
        <w:t xml:space="preserve">rules are </w:t>
      </w:r>
      <w:r w:rsidR="00A6470E" w:rsidRPr="00720AFF">
        <w:t xml:space="preserve">the </w:t>
      </w:r>
      <w:r w:rsidR="00267ED2" w:rsidRPr="00720AFF">
        <w:t xml:space="preserve">standard to be applied </w:t>
      </w:r>
      <w:r w:rsidR="00A767D5" w:rsidRPr="00720AFF">
        <w:t xml:space="preserve">to work out </w:t>
      </w:r>
      <w:r w:rsidR="00E52432" w:rsidRPr="00720AFF">
        <w:t>an</w:t>
      </w:r>
      <w:r w:rsidR="0066598E" w:rsidRPr="00720AFF">
        <w:t xml:space="preserve"> energy efficiency rating</w:t>
      </w:r>
      <w:r w:rsidR="002358F2" w:rsidRPr="00720AFF">
        <w:t xml:space="preserve"> for a </w:t>
      </w:r>
      <w:r w:rsidR="00923C8D" w:rsidRPr="00720AFF">
        <w:t>B</w:t>
      </w:r>
      <w:r w:rsidR="002358F2" w:rsidRPr="00720AFF">
        <w:t xml:space="preserve">uilding </w:t>
      </w:r>
      <w:r w:rsidR="00923C8D" w:rsidRPr="00720AFF">
        <w:t>E</w:t>
      </w:r>
      <w:r w:rsidR="002358F2" w:rsidRPr="00720AFF">
        <w:t xml:space="preserve">nergy </w:t>
      </w:r>
      <w:r w:rsidR="00923C8D" w:rsidRPr="00720AFF">
        <w:t>E</w:t>
      </w:r>
      <w:r w:rsidR="002358F2" w:rsidRPr="00720AFF">
        <w:t xml:space="preserve">fficiency </w:t>
      </w:r>
      <w:r w:rsidR="00923C8D" w:rsidRPr="00720AFF">
        <w:t>C</w:t>
      </w:r>
      <w:r w:rsidR="002358F2" w:rsidRPr="00720AFF">
        <w:t>ertificate</w:t>
      </w:r>
      <w:r w:rsidR="00923C8D" w:rsidRPr="00720AFF">
        <w:t xml:space="preserve"> (BEEC)</w:t>
      </w:r>
      <w:r w:rsidR="00054E84" w:rsidRPr="00720AFF">
        <w:t>. A</w:t>
      </w:r>
      <w:r w:rsidR="00670D84" w:rsidRPr="00720AFF">
        <w:t xml:space="preserve">n accredited assessor </w:t>
      </w:r>
      <w:r w:rsidR="00825D89" w:rsidRPr="00720AFF">
        <w:t xml:space="preserve">is required </w:t>
      </w:r>
      <w:r w:rsidR="00670D84" w:rsidRPr="00720AFF">
        <w:t xml:space="preserve">to adopt and rely on a current NABERS rating that has been certified by the </w:t>
      </w:r>
      <w:r w:rsidR="00DA49ED" w:rsidRPr="00720AFF">
        <w:t xml:space="preserve">NABERS </w:t>
      </w:r>
      <w:r w:rsidR="00670D84" w:rsidRPr="00720AFF">
        <w:t>National Administrator in accordance with the NABERS Energy rating rules.</w:t>
      </w:r>
      <w:r w:rsidR="00A45965" w:rsidRPr="00720AFF">
        <w:rPr>
          <w:rStyle w:val="FootnoteReference"/>
        </w:rPr>
        <w:t xml:space="preserve"> </w:t>
      </w:r>
      <w:r w:rsidR="00A45965" w:rsidRPr="00720AFF">
        <w:rPr>
          <w:rStyle w:val="FootnoteReference"/>
        </w:rPr>
        <w:footnoteReference w:id="13"/>
      </w:r>
    </w:p>
    <w:p w14:paraId="76365702" w14:textId="19BB5B4D" w:rsidR="009264F8" w:rsidRPr="00720AFF" w:rsidRDefault="009264F8" w:rsidP="005D0E92">
      <w:pPr>
        <w:spacing w:after="120"/>
        <w:jc w:val="both"/>
        <w:rPr>
          <w:rFonts w:cstheme="minorHAnsi"/>
        </w:rPr>
      </w:pPr>
      <w:r w:rsidRPr="00720AFF">
        <w:t>NABERS is an established government</w:t>
      </w:r>
      <w:r w:rsidR="00F300CE" w:rsidRPr="00720AFF">
        <w:t>-administered</w:t>
      </w:r>
      <w:r w:rsidRPr="00720AFF">
        <w:t xml:space="preserve"> national sustainability program that has been operating for over </w:t>
      </w:r>
      <w:r w:rsidR="00E8654F" w:rsidRPr="00720AFF">
        <w:t xml:space="preserve">25 </w:t>
      </w:r>
      <w:r w:rsidRPr="00720AFF">
        <w:t xml:space="preserve">years. </w:t>
      </w:r>
      <w:r w:rsidR="007331B0" w:rsidRPr="00720AFF">
        <w:rPr>
          <w:rFonts w:cstheme="minorHAnsi"/>
        </w:rPr>
        <w:t>It</w:t>
      </w:r>
      <w:r w:rsidRPr="00720AFF">
        <w:rPr>
          <w:rFonts w:cstheme="minorHAnsi"/>
        </w:rPr>
        <w:t xml:space="preserve"> provides simple, reliable and comparable energy star ratings across building sectors including </w:t>
      </w:r>
      <w:r w:rsidR="00935103" w:rsidRPr="00720AFF">
        <w:rPr>
          <w:rFonts w:cstheme="minorHAnsi"/>
        </w:rPr>
        <w:t>offices</w:t>
      </w:r>
      <w:r w:rsidRPr="00720AFF" w:rsidDel="00935103">
        <w:rPr>
          <w:rFonts w:cstheme="minorHAnsi"/>
        </w:rPr>
        <w:t xml:space="preserve"> </w:t>
      </w:r>
      <w:r w:rsidRPr="00720AFF">
        <w:rPr>
          <w:rFonts w:cstheme="minorHAnsi"/>
        </w:rPr>
        <w:t>and tenanted office spaces</w:t>
      </w:r>
      <w:r w:rsidR="00935103" w:rsidRPr="00720AFF">
        <w:rPr>
          <w:rFonts w:cstheme="minorHAnsi"/>
        </w:rPr>
        <w:t xml:space="preserve">, </w:t>
      </w:r>
      <w:r w:rsidRPr="00720AFF">
        <w:rPr>
          <w:rFonts w:cstheme="minorHAnsi"/>
        </w:rPr>
        <w:t>hotels, shopping centres</w:t>
      </w:r>
      <w:r w:rsidR="000C0EEB" w:rsidRPr="00720AFF">
        <w:rPr>
          <w:rFonts w:cstheme="minorHAnsi"/>
        </w:rPr>
        <w:t>,</w:t>
      </w:r>
      <w:r w:rsidRPr="00720AFF">
        <w:rPr>
          <w:rFonts w:cstheme="minorHAnsi"/>
        </w:rPr>
        <w:t xml:space="preserve"> data centres</w:t>
      </w:r>
      <w:r w:rsidR="00B565C5" w:rsidRPr="00720AFF">
        <w:rPr>
          <w:rFonts w:cstheme="minorHAnsi"/>
        </w:rPr>
        <w:t>,</w:t>
      </w:r>
      <w:r w:rsidR="000C0EEB" w:rsidRPr="00720AFF">
        <w:rPr>
          <w:rFonts w:cstheme="minorHAnsi"/>
        </w:rPr>
        <w:t xml:space="preserve"> and the </w:t>
      </w:r>
      <w:r w:rsidR="00C361B5" w:rsidRPr="00720AFF">
        <w:t>N</w:t>
      </w:r>
      <w:r w:rsidR="00C361B5">
        <w:t>ABERS</w:t>
      </w:r>
      <w:r w:rsidR="00C361B5" w:rsidRPr="00720AFF">
        <w:t xml:space="preserve"> </w:t>
      </w:r>
      <w:r w:rsidR="000C0EEB" w:rsidRPr="00720AFF">
        <w:t>Energy Performance Indicator (NEPI), a simplified energy rating for smaller sectors that do not currently have a sector specific NABERS energy rating</w:t>
      </w:r>
      <w:r w:rsidRPr="00720AFF">
        <w:rPr>
          <w:rFonts w:cstheme="minorHAnsi"/>
        </w:rPr>
        <w:t>. NABERS energy ratings provide a benchmarked assessment of the operational</w:t>
      </w:r>
      <w:r w:rsidRPr="00720AFF">
        <w:t xml:space="preserve"> energy consumption</w:t>
      </w:r>
      <w:r w:rsidR="006C41E6" w:rsidRPr="00720AFF">
        <w:t xml:space="preserve"> and emissions</w:t>
      </w:r>
      <w:r w:rsidRPr="00720AFF">
        <w:t xml:space="preserve"> of a building that is under the control of the participant. They are performance-based ratings that do not require analysis and review of building design or equipment. They allow an understanding of the energy consumption </w:t>
      </w:r>
      <w:r w:rsidR="006547C9" w:rsidRPr="00720AFF">
        <w:t xml:space="preserve">and emissions </w:t>
      </w:r>
      <w:r w:rsidRPr="00720AFF">
        <w:t xml:space="preserve">and provide a benchmark for continued improvement. </w:t>
      </w:r>
    </w:p>
    <w:p w14:paraId="1730183F" w14:textId="4180934D" w:rsidR="006C3591" w:rsidRPr="00720AFF" w:rsidRDefault="0021765C" w:rsidP="005D0E92">
      <w:pPr>
        <w:spacing w:after="120"/>
        <w:jc w:val="both"/>
      </w:pPr>
      <w:r w:rsidRPr="00720AFF">
        <w:t xml:space="preserve">The ability to </w:t>
      </w:r>
      <w:r w:rsidR="00367F8C" w:rsidRPr="00720AFF">
        <w:t>specify</w:t>
      </w:r>
      <w:r w:rsidR="00593D0A" w:rsidRPr="00720AFF">
        <w:t>,</w:t>
      </w:r>
      <w:r w:rsidR="00367F8C" w:rsidRPr="00720AFF">
        <w:t xml:space="preserve"> </w:t>
      </w:r>
      <w:r w:rsidR="006C66AC" w:rsidRPr="00720AFF">
        <w:t>in legislative instruments</w:t>
      </w:r>
      <w:r w:rsidR="00593D0A" w:rsidRPr="00720AFF">
        <w:t>,</w:t>
      </w:r>
      <w:r w:rsidR="006C66AC" w:rsidRPr="00720AFF">
        <w:t xml:space="preserve"> </w:t>
      </w:r>
      <w:r w:rsidR="00E50E95" w:rsidRPr="00720AFF">
        <w:t xml:space="preserve">particular </w:t>
      </w:r>
      <w:r w:rsidR="00FA4A32" w:rsidRPr="00720AFF">
        <w:t xml:space="preserve">methods and standards to work out energy efficiency </w:t>
      </w:r>
      <w:r w:rsidR="00A23278" w:rsidRPr="00720AFF">
        <w:t xml:space="preserve">or energy performance </w:t>
      </w:r>
      <w:r w:rsidR="008B1389" w:rsidRPr="00720AFF">
        <w:t xml:space="preserve">will be </w:t>
      </w:r>
      <w:r w:rsidR="00E50E95" w:rsidRPr="00720AFF">
        <w:t>retain</w:t>
      </w:r>
      <w:r w:rsidR="00FD4A3D" w:rsidRPr="00720AFF">
        <w:t>ed under the new framework</w:t>
      </w:r>
      <w:r w:rsidR="009247EC" w:rsidRPr="00720AFF">
        <w:t xml:space="preserve">. </w:t>
      </w:r>
      <w:r w:rsidR="00581DEF" w:rsidRPr="00720AFF">
        <w:t xml:space="preserve">While NABERS </w:t>
      </w:r>
      <w:r w:rsidR="005E0677" w:rsidRPr="00720AFF">
        <w:t xml:space="preserve">works well for a variety of building types, </w:t>
      </w:r>
      <w:r w:rsidR="001755BB" w:rsidRPr="00720AFF">
        <w:t>ot</w:t>
      </w:r>
      <w:r w:rsidR="0078639B" w:rsidRPr="00720AFF">
        <w:t xml:space="preserve">her potential </w:t>
      </w:r>
      <w:r w:rsidR="004E1738" w:rsidRPr="00720AFF">
        <w:t xml:space="preserve">energy rating </w:t>
      </w:r>
      <w:r w:rsidR="005935B0" w:rsidRPr="00720AFF">
        <w:t>tool</w:t>
      </w:r>
      <w:r w:rsidR="001755BB" w:rsidRPr="00720AFF">
        <w:t>s</w:t>
      </w:r>
      <w:r w:rsidR="0078639B" w:rsidRPr="00720AFF">
        <w:t xml:space="preserve"> could </w:t>
      </w:r>
      <w:r w:rsidR="005935B0" w:rsidRPr="00720AFF">
        <w:t xml:space="preserve">be specified </w:t>
      </w:r>
      <w:r w:rsidR="00DE04EE" w:rsidRPr="00720AFF">
        <w:t xml:space="preserve">in the future. </w:t>
      </w:r>
      <w:r w:rsidR="00C762FA" w:rsidRPr="00720AFF">
        <w:t xml:space="preserve">It is important the </w:t>
      </w:r>
      <w:r w:rsidR="00593D0A" w:rsidRPr="00720AFF">
        <w:t xml:space="preserve">Act retains the flexibility to accommodate future </w:t>
      </w:r>
      <w:r w:rsidR="00837AC3" w:rsidRPr="00720AFF">
        <w:t xml:space="preserve">tools, if </w:t>
      </w:r>
      <w:r w:rsidR="00F32B58" w:rsidRPr="00720AFF">
        <w:t>determined to be</w:t>
      </w:r>
      <w:r w:rsidR="00837AC3" w:rsidRPr="00720AFF">
        <w:t xml:space="preserve"> suitable.</w:t>
      </w:r>
      <w:r w:rsidR="00DE5C9D" w:rsidRPr="00720AFF">
        <w:t xml:space="preserve"> </w:t>
      </w:r>
      <w:r w:rsidR="00D3106C" w:rsidRPr="00720AFF">
        <w:t xml:space="preserve">To be considered under the CBD Program, other rating tools will need to meet </w:t>
      </w:r>
      <w:r w:rsidR="00107BB7" w:rsidRPr="00720AFF">
        <w:t>certain criteria including:</w:t>
      </w:r>
    </w:p>
    <w:p w14:paraId="27025D1F" w14:textId="19AE07D0" w:rsidR="00AA6E14" w:rsidRPr="00720AFF" w:rsidRDefault="00AA6E14" w:rsidP="005D0E92">
      <w:pPr>
        <w:pStyle w:val="ListParagraph"/>
        <w:numPr>
          <w:ilvl w:val="0"/>
          <w:numId w:val="37"/>
        </w:numPr>
        <w:spacing w:after="120"/>
        <w:jc w:val="both"/>
      </w:pPr>
      <w:r w:rsidRPr="00720AFF">
        <w:rPr>
          <w:b/>
          <w:bCs/>
        </w:rPr>
        <w:t xml:space="preserve">Drive emissions reduction and energy efficiency in buildings: </w:t>
      </w:r>
      <w:r w:rsidRPr="00720AFF">
        <w:t xml:space="preserve">Any proposed energy rating tool will need to align with the objectives </w:t>
      </w:r>
      <w:r w:rsidR="00C95893" w:rsidRPr="00720AFF">
        <w:t xml:space="preserve">of </w:t>
      </w:r>
      <w:r w:rsidRPr="00720AFF">
        <w:t xml:space="preserve">this roadmap to drive emissions reduction and increase building energy </w:t>
      </w:r>
      <w:r w:rsidR="00292D5C">
        <w:t>performance</w:t>
      </w:r>
      <w:r w:rsidRPr="00720AFF">
        <w:t>.</w:t>
      </w:r>
    </w:p>
    <w:p w14:paraId="0B28C872" w14:textId="45757B9A" w:rsidR="00107BB7" w:rsidRPr="00720AFF" w:rsidRDefault="00107BB7" w:rsidP="005D0E92">
      <w:pPr>
        <w:pStyle w:val="ListParagraph"/>
        <w:numPr>
          <w:ilvl w:val="0"/>
          <w:numId w:val="37"/>
        </w:numPr>
        <w:spacing w:after="120"/>
        <w:jc w:val="both"/>
      </w:pPr>
      <w:r w:rsidRPr="00720AFF">
        <w:rPr>
          <w:b/>
          <w:bCs/>
        </w:rPr>
        <w:t>Market acceptance</w:t>
      </w:r>
      <w:r w:rsidRPr="00720AFF">
        <w:t xml:space="preserve">: </w:t>
      </w:r>
      <w:r w:rsidR="005939BE" w:rsidRPr="00720AFF">
        <w:t>Th</w:t>
      </w:r>
      <w:r w:rsidRPr="00720AFF">
        <w:t>e tool would be required to have a certain level of industry support</w:t>
      </w:r>
      <w:r w:rsidR="005939BE" w:rsidRPr="00720AFF">
        <w:t xml:space="preserve"> prior to inclusion in the CBD Program for mandatory disclosure purposes</w:t>
      </w:r>
      <w:r w:rsidR="00AD73D6" w:rsidRPr="00720AFF">
        <w:t>.</w:t>
      </w:r>
      <w:r w:rsidR="005939BE" w:rsidRPr="00720AFF">
        <w:t xml:space="preserve"> </w:t>
      </w:r>
      <w:r w:rsidR="005D446B" w:rsidRPr="00720AFF">
        <w:t>For example</w:t>
      </w:r>
      <w:r w:rsidR="003C1AA0" w:rsidRPr="00720AFF">
        <w:t xml:space="preserve">, the NABERS energy for offices rating tool was in operation for </w:t>
      </w:r>
      <w:r w:rsidR="00D901F5" w:rsidRPr="00720AFF">
        <w:t>over</w:t>
      </w:r>
      <w:r w:rsidR="003C1AA0" w:rsidRPr="00720AFF">
        <w:t xml:space="preserve"> 10 years before the CBD Program was introduced, with a large cohort of voluntary</w:t>
      </w:r>
      <w:r w:rsidR="00F509D5" w:rsidRPr="00720AFF">
        <w:t xml:space="preserve"> ratings</w:t>
      </w:r>
      <w:r w:rsidR="000C71E9" w:rsidRPr="00720AFF">
        <w:t xml:space="preserve"> </w:t>
      </w:r>
      <w:r w:rsidR="00234F21" w:rsidRPr="00720AFF">
        <w:t>and a</w:t>
      </w:r>
      <w:r w:rsidR="00C330BE" w:rsidRPr="00720AFF">
        <w:t xml:space="preserve"> </w:t>
      </w:r>
      <w:r w:rsidR="00B7608B" w:rsidRPr="00720AFF">
        <w:t>general</w:t>
      </w:r>
      <w:r w:rsidR="00234F21" w:rsidRPr="00720AFF">
        <w:t xml:space="preserve"> </w:t>
      </w:r>
      <w:r w:rsidR="00B7608B" w:rsidRPr="00720AFF">
        <w:t>level of support</w:t>
      </w:r>
      <w:r w:rsidR="00234F21" w:rsidRPr="00720AFF">
        <w:t xml:space="preserve"> in the commercial </w:t>
      </w:r>
      <w:r w:rsidR="004D578D" w:rsidRPr="00720AFF">
        <w:t xml:space="preserve">office </w:t>
      </w:r>
      <w:r w:rsidR="00234F21" w:rsidRPr="00720AFF">
        <w:t>building</w:t>
      </w:r>
      <w:r w:rsidR="004D578D" w:rsidRPr="00720AFF">
        <w:t xml:space="preserve"> sector.</w:t>
      </w:r>
      <w:r w:rsidR="00AD73D6" w:rsidRPr="00720AFF">
        <w:t xml:space="preserve"> </w:t>
      </w:r>
    </w:p>
    <w:p w14:paraId="762AF835" w14:textId="08E80F85" w:rsidR="00107BB7" w:rsidRPr="00720AFF" w:rsidRDefault="00D500F9" w:rsidP="005D0E92">
      <w:pPr>
        <w:pStyle w:val="BodyText"/>
        <w:numPr>
          <w:ilvl w:val="0"/>
          <w:numId w:val="37"/>
        </w:numPr>
        <w:jc w:val="both"/>
        <w:rPr>
          <w:rFonts w:asciiTheme="minorHAnsi" w:hAnsiTheme="minorHAnsi"/>
          <w:color w:val="auto"/>
          <w:sz w:val="22"/>
        </w:rPr>
      </w:pPr>
      <w:r w:rsidRPr="00720AFF">
        <w:rPr>
          <w:rFonts w:ascii="Calibri" w:hAnsi="Calibri" w:cs="Calibri"/>
          <w:b/>
          <w:bCs/>
          <w:color w:val="auto"/>
          <w:sz w:val="22"/>
        </w:rPr>
        <w:t>Reflective of actual operational building performance:</w:t>
      </w:r>
      <w:r w:rsidRPr="00720AFF">
        <w:rPr>
          <w:rFonts w:ascii="Aptos" w:hAnsi="Aptos"/>
          <w:b/>
          <w:bCs/>
          <w:sz w:val="22"/>
        </w:rPr>
        <w:t xml:space="preserve"> </w:t>
      </w:r>
      <w:r w:rsidR="00954FA1" w:rsidRPr="00720AFF">
        <w:rPr>
          <w:rFonts w:ascii="Calibri" w:hAnsi="Calibri" w:cs="Calibri"/>
          <w:color w:val="auto"/>
          <w:sz w:val="22"/>
        </w:rPr>
        <w:t>Internationally and in Europe particularly, disclosure requirements have been introduced for a range of commercial buildings that rely on attribute-based rating tools (as opposed to the NABERS performance-based approach). While a reliance on attribute compliance measurement tool may be easier to implement at scale, recent research suggests that assessing attributes only does not lead to sufficient change in building energy use. Many countries are now shifting to a performance-based compliance measurement such as NABERS.</w:t>
      </w:r>
      <w:r w:rsidR="00954FA1" w:rsidRPr="00720AFF">
        <w:rPr>
          <w:rStyle w:val="FootnoteReference"/>
          <w:rFonts w:asciiTheme="minorHAnsi" w:hAnsiTheme="minorHAnsi"/>
          <w:color w:val="auto"/>
          <w:sz w:val="22"/>
        </w:rPr>
        <w:footnoteReference w:id="14"/>
      </w:r>
    </w:p>
    <w:p w14:paraId="7555E002" w14:textId="077EA3C5" w:rsidR="00B23E98" w:rsidRPr="00720AFF" w:rsidRDefault="00A2097A" w:rsidP="005D0E92">
      <w:pPr>
        <w:pStyle w:val="ListParagraph"/>
        <w:numPr>
          <w:ilvl w:val="0"/>
          <w:numId w:val="37"/>
        </w:numPr>
        <w:spacing w:after="120"/>
        <w:jc w:val="both"/>
      </w:pPr>
      <w:r w:rsidRPr="00720AFF">
        <w:rPr>
          <w:b/>
          <w:bCs/>
        </w:rPr>
        <w:t>Third party verified</w:t>
      </w:r>
      <w:r w:rsidR="00826CF9" w:rsidRPr="00720AFF">
        <w:rPr>
          <w:b/>
          <w:bCs/>
        </w:rPr>
        <w:t xml:space="preserve"> and audited</w:t>
      </w:r>
      <w:r w:rsidRPr="00720AFF">
        <w:t>:</w:t>
      </w:r>
      <w:r w:rsidRPr="00720AFF">
        <w:rPr>
          <w:b/>
          <w:bCs/>
        </w:rPr>
        <w:t xml:space="preserve"> </w:t>
      </w:r>
      <w:r w:rsidR="000516FE" w:rsidRPr="00720AFF">
        <w:t xml:space="preserve">The CBD Program </w:t>
      </w:r>
      <w:r w:rsidR="00CD67B6">
        <w:t>should not rely</w:t>
      </w:r>
      <w:r w:rsidR="000516FE" w:rsidRPr="00720AFF">
        <w:t xml:space="preserve"> on potentially conflicted self-assessment rating systems as the basis for mandatory disclosure. </w:t>
      </w:r>
      <w:r w:rsidR="00BA4732" w:rsidRPr="00720AFF">
        <w:t xml:space="preserve">Any proposed energy </w:t>
      </w:r>
      <w:r w:rsidR="00BA4732" w:rsidRPr="00720AFF">
        <w:lastRenderedPageBreak/>
        <w:t>rating tool</w:t>
      </w:r>
      <w:r w:rsidR="00C96EE9" w:rsidRPr="00720AFF">
        <w:t xml:space="preserve"> would be required to maintain training, accreditation and auditing </w:t>
      </w:r>
      <w:r w:rsidR="00C47305" w:rsidRPr="00720AFF">
        <w:t>systems</w:t>
      </w:r>
      <w:r w:rsidR="00C96EE9" w:rsidRPr="00720AFF">
        <w:t xml:space="preserve"> to ensure independence and reliability</w:t>
      </w:r>
      <w:r w:rsidR="00B369BD" w:rsidRPr="00720AFF">
        <w:t>.</w:t>
      </w:r>
      <w:r w:rsidR="00C1516C" w:rsidRPr="00720AFF">
        <w:t xml:space="preserve"> </w:t>
      </w:r>
    </w:p>
    <w:p w14:paraId="38CD6F11" w14:textId="1C7CD756" w:rsidR="00484669" w:rsidRPr="00720AFF" w:rsidRDefault="001677C7" w:rsidP="005D0E92">
      <w:pPr>
        <w:pStyle w:val="ListParagraph"/>
        <w:numPr>
          <w:ilvl w:val="0"/>
          <w:numId w:val="37"/>
        </w:numPr>
        <w:spacing w:after="120"/>
        <w:jc w:val="both"/>
      </w:pPr>
      <w:r w:rsidRPr="00720AFF">
        <w:rPr>
          <w:b/>
          <w:bCs/>
        </w:rPr>
        <w:t>Stability</w:t>
      </w:r>
      <w:r w:rsidRPr="00720AFF">
        <w:t>:</w:t>
      </w:r>
      <w:r w:rsidR="00C4067C" w:rsidRPr="00720AFF">
        <w:t xml:space="preserve"> Any </w:t>
      </w:r>
      <w:r w:rsidR="00134DA9" w:rsidRPr="00720AFF">
        <w:t xml:space="preserve">proposed </w:t>
      </w:r>
      <w:r w:rsidR="00C4067C" w:rsidRPr="00720AFF">
        <w:t xml:space="preserve">rating tool </w:t>
      </w:r>
      <w:r w:rsidR="00206BEF" w:rsidRPr="00720AFF">
        <w:t>would need to</w:t>
      </w:r>
      <w:r w:rsidR="00C4067C" w:rsidRPr="00720AFF">
        <w:t xml:space="preserve"> demonstrate </w:t>
      </w:r>
      <w:r w:rsidR="000F446D" w:rsidRPr="00720AFF">
        <w:t>ongoing stability</w:t>
      </w:r>
      <w:r w:rsidR="006274AA" w:rsidRPr="00720AFF">
        <w:t>, funding</w:t>
      </w:r>
      <w:r w:rsidR="000F446D" w:rsidRPr="00720AFF">
        <w:t xml:space="preserve"> and ownership</w:t>
      </w:r>
      <w:r w:rsidR="00C3648F" w:rsidRPr="00720AFF">
        <w:t>,</w:t>
      </w:r>
      <w:r w:rsidR="00054A6F" w:rsidRPr="00720AFF">
        <w:t xml:space="preserve"> to provide ongoing </w:t>
      </w:r>
      <w:r w:rsidR="00AC2D49" w:rsidRPr="00720AFF">
        <w:t>confidence in the tool for both assessors and regulated entities.</w:t>
      </w:r>
      <w:r w:rsidR="003F2DEC" w:rsidRPr="00720AFF">
        <w:t xml:space="preserve"> </w:t>
      </w:r>
    </w:p>
    <w:p w14:paraId="2C34958B" w14:textId="7375BCAC" w:rsidR="00C864A3" w:rsidRPr="00720AFF" w:rsidRDefault="00AC16EE" w:rsidP="005D0E92">
      <w:pPr>
        <w:spacing w:after="120"/>
        <w:jc w:val="both"/>
      </w:pPr>
      <w:r w:rsidRPr="00720AFF">
        <w:t>Mandatory disclosure of NABERS energy ratings will continue to be a core requirement for office buildings.</w:t>
      </w:r>
      <w:r w:rsidR="00066C19" w:rsidRPr="00720AFF">
        <w:t xml:space="preserve"> </w:t>
      </w:r>
      <w:r w:rsidR="00886E05" w:rsidRPr="00720AFF">
        <w:t>There is high industry support for NABERS a</w:t>
      </w:r>
      <w:r w:rsidR="00E24662" w:rsidRPr="00720AFF">
        <w:t xml:space="preserve">nd there </w:t>
      </w:r>
      <w:r w:rsidR="006E6FCD" w:rsidRPr="00720AFF">
        <w:t xml:space="preserve">is </w:t>
      </w:r>
      <w:r w:rsidR="00E24662" w:rsidRPr="00720AFF">
        <w:t xml:space="preserve">no other viable </w:t>
      </w:r>
      <w:r w:rsidR="0077463D" w:rsidRPr="00720AFF">
        <w:t>or comparable rating tool currently available for offices.</w:t>
      </w:r>
    </w:p>
    <w:p w14:paraId="2B080DE8" w14:textId="246F5CD6" w:rsidR="00D217D4" w:rsidRPr="00720AFF" w:rsidRDefault="00307707" w:rsidP="005D0E92">
      <w:pPr>
        <w:pStyle w:val="Heading4"/>
        <w:spacing w:after="120"/>
        <w:ind w:left="0" w:firstLine="0"/>
        <w:jc w:val="both"/>
      </w:pPr>
      <w:r w:rsidRPr="00720AFF">
        <w:t xml:space="preserve">Principle 2: </w:t>
      </w:r>
      <w:r w:rsidR="00C636B4" w:rsidRPr="00720AFF">
        <w:t xml:space="preserve">Regulation will only be introduced </w:t>
      </w:r>
      <w:r w:rsidR="00773AE7" w:rsidRPr="00720AFF">
        <w:t>where there is a strong rationale for government intervention</w:t>
      </w:r>
    </w:p>
    <w:p w14:paraId="4D5CD015" w14:textId="0AD6BA5F" w:rsidR="00E83D76" w:rsidRPr="00720AFF" w:rsidRDefault="00607D30" w:rsidP="005D0E92">
      <w:pPr>
        <w:pStyle w:val="BodyText"/>
        <w:jc w:val="both"/>
        <w:rPr>
          <w:rFonts w:asciiTheme="minorHAnsi" w:hAnsiTheme="minorHAnsi"/>
          <w:color w:val="auto"/>
          <w:sz w:val="22"/>
        </w:rPr>
      </w:pPr>
      <w:r w:rsidRPr="00720AFF">
        <w:rPr>
          <w:rFonts w:asciiTheme="minorHAnsi" w:hAnsiTheme="minorHAnsi"/>
          <w:color w:val="auto"/>
          <w:sz w:val="22"/>
        </w:rPr>
        <w:t xml:space="preserve">As </w:t>
      </w:r>
      <w:r w:rsidR="009C625B" w:rsidRPr="00720AFF">
        <w:rPr>
          <w:rFonts w:asciiTheme="minorHAnsi" w:hAnsiTheme="minorHAnsi"/>
          <w:color w:val="auto"/>
          <w:sz w:val="22"/>
        </w:rPr>
        <w:t>detailed</w:t>
      </w:r>
      <w:r w:rsidRPr="00720AFF">
        <w:rPr>
          <w:rFonts w:asciiTheme="minorHAnsi" w:hAnsiTheme="minorHAnsi"/>
          <w:color w:val="auto"/>
          <w:sz w:val="22"/>
        </w:rPr>
        <w:t xml:space="preserve"> in the overview section, m</w:t>
      </w:r>
      <w:r w:rsidR="00E83D76" w:rsidRPr="00720AFF">
        <w:rPr>
          <w:rFonts w:asciiTheme="minorHAnsi" w:hAnsiTheme="minorHAnsi"/>
          <w:color w:val="auto"/>
          <w:sz w:val="22"/>
        </w:rPr>
        <w:t xml:space="preserve">andatory disclosure of energy ratings </w:t>
      </w:r>
      <w:r w:rsidR="00BA552E" w:rsidRPr="00720AFF">
        <w:rPr>
          <w:rFonts w:asciiTheme="minorHAnsi" w:hAnsiTheme="minorHAnsi"/>
          <w:color w:val="auto"/>
          <w:sz w:val="22"/>
        </w:rPr>
        <w:t>aims</w:t>
      </w:r>
      <w:r w:rsidR="00E83D76" w:rsidRPr="00720AFF">
        <w:rPr>
          <w:rFonts w:asciiTheme="minorHAnsi" w:hAnsiTheme="minorHAnsi"/>
          <w:color w:val="auto"/>
          <w:sz w:val="22"/>
        </w:rPr>
        <w:t xml:space="preserve"> to </w:t>
      </w:r>
      <w:r w:rsidR="00C46D56" w:rsidRPr="00720AFF">
        <w:rPr>
          <w:rFonts w:asciiTheme="minorHAnsi" w:hAnsiTheme="minorHAnsi"/>
          <w:color w:val="auto"/>
          <w:sz w:val="22"/>
        </w:rPr>
        <w:t xml:space="preserve">correct </w:t>
      </w:r>
      <w:r w:rsidR="006853E6" w:rsidRPr="00720AFF">
        <w:rPr>
          <w:rFonts w:asciiTheme="minorHAnsi" w:hAnsiTheme="minorHAnsi"/>
          <w:color w:val="auto"/>
          <w:sz w:val="22"/>
        </w:rPr>
        <w:t xml:space="preserve">market and behavioural failures that prevent </w:t>
      </w:r>
      <w:r w:rsidR="004209F5" w:rsidRPr="00720AFF">
        <w:rPr>
          <w:rFonts w:asciiTheme="minorHAnsi" w:hAnsiTheme="minorHAnsi"/>
          <w:color w:val="auto"/>
          <w:sz w:val="22"/>
        </w:rPr>
        <w:t xml:space="preserve">informed decisions </w:t>
      </w:r>
      <w:r w:rsidR="00CD6A3C" w:rsidRPr="00720AFF">
        <w:rPr>
          <w:rFonts w:asciiTheme="minorHAnsi" w:hAnsiTheme="minorHAnsi"/>
          <w:color w:val="auto"/>
          <w:sz w:val="22"/>
        </w:rPr>
        <w:t xml:space="preserve">and actions </w:t>
      </w:r>
      <w:r w:rsidR="004209F5" w:rsidRPr="00720AFF">
        <w:rPr>
          <w:rFonts w:asciiTheme="minorHAnsi" w:hAnsiTheme="minorHAnsi"/>
          <w:color w:val="auto"/>
          <w:sz w:val="22"/>
        </w:rPr>
        <w:t xml:space="preserve">that reduce energy </w:t>
      </w:r>
      <w:r w:rsidR="004F50D0" w:rsidRPr="00720AFF">
        <w:rPr>
          <w:rFonts w:asciiTheme="minorHAnsi" w:hAnsiTheme="minorHAnsi"/>
          <w:color w:val="auto"/>
          <w:sz w:val="22"/>
        </w:rPr>
        <w:t>consumption and emissions.</w:t>
      </w:r>
    </w:p>
    <w:p w14:paraId="0C244207" w14:textId="3349761D" w:rsidR="00FE0208" w:rsidRPr="00720AFF" w:rsidRDefault="00EB2BD2" w:rsidP="005D0E92">
      <w:pPr>
        <w:pStyle w:val="BodyText"/>
        <w:jc w:val="both"/>
        <w:rPr>
          <w:rFonts w:asciiTheme="minorHAnsi" w:hAnsiTheme="minorHAnsi" w:cstheme="minorHAnsi"/>
          <w:color w:val="auto"/>
          <w:sz w:val="22"/>
        </w:rPr>
      </w:pPr>
      <w:r w:rsidRPr="00720AFF">
        <w:rPr>
          <w:rFonts w:asciiTheme="minorHAnsi" w:hAnsiTheme="minorHAnsi"/>
          <w:color w:val="auto"/>
          <w:sz w:val="22"/>
        </w:rPr>
        <w:t>The CBD Program will only be expanded</w:t>
      </w:r>
      <w:r w:rsidR="009506D9" w:rsidRPr="00720AFF">
        <w:rPr>
          <w:rFonts w:asciiTheme="minorHAnsi" w:hAnsiTheme="minorHAnsi"/>
          <w:color w:val="auto"/>
          <w:sz w:val="22"/>
        </w:rPr>
        <w:t xml:space="preserve"> where </w:t>
      </w:r>
      <w:r w:rsidR="00EC43DE" w:rsidRPr="00720AFF">
        <w:rPr>
          <w:rFonts w:asciiTheme="minorHAnsi" w:hAnsiTheme="minorHAnsi"/>
          <w:color w:val="auto"/>
          <w:sz w:val="22"/>
        </w:rPr>
        <w:t>the government has identified a</w:t>
      </w:r>
      <w:r w:rsidR="00B455DF" w:rsidRPr="00720AFF">
        <w:rPr>
          <w:rFonts w:asciiTheme="minorHAnsi" w:hAnsiTheme="minorHAnsi"/>
          <w:color w:val="auto"/>
          <w:sz w:val="22"/>
        </w:rPr>
        <w:t xml:space="preserve"> continued and</w:t>
      </w:r>
      <w:r w:rsidR="00EC43DE" w:rsidRPr="00720AFF">
        <w:rPr>
          <w:rFonts w:asciiTheme="minorHAnsi" w:hAnsiTheme="minorHAnsi"/>
          <w:color w:val="auto"/>
          <w:sz w:val="22"/>
        </w:rPr>
        <w:t xml:space="preserve"> clear</w:t>
      </w:r>
      <w:r w:rsidR="00B455DF" w:rsidRPr="00720AFF">
        <w:rPr>
          <w:rFonts w:asciiTheme="minorHAnsi" w:hAnsiTheme="minorHAnsi"/>
          <w:color w:val="auto"/>
          <w:sz w:val="22"/>
        </w:rPr>
        <w:t xml:space="preserve"> role </w:t>
      </w:r>
      <w:r w:rsidR="00B455DF" w:rsidRPr="00720AFF">
        <w:rPr>
          <w:rFonts w:asciiTheme="minorHAnsi" w:hAnsiTheme="minorHAnsi" w:cstheme="minorHAnsi"/>
          <w:color w:val="auto"/>
          <w:sz w:val="22"/>
        </w:rPr>
        <w:t xml:space="preserve">for government to correct </w:t>
      </w:r>
      <w:r w:rsidR="0073595D" w:rsidRPr="00720AFF">
        <w:rPr>
          <w:rFonts w:asciiTheme="minorHAnsi" w:hAnsiTheme="minorHAnsi" w:cstheme="minorHAnsi"/>
          <w:color w:val="auto"/>
          <w:sz w:val="22"/>
        </w:rPr>
        <w:t>specific market and behavioural failures.</w:t>
      </w:r>
      <w:r w:rsidR="00EC43DE" w:rsidRPr="00720AFF">
        <w:rPr>
          <w:rFonts w:asciiTheme="minorHAnsi" w:hAnsiTheme="minorHAnsi" w:cstheme="minorHAnsi"/>
          <w:color w:val="auto"/>
          <w:sz w:val="22"/>
        </w:rPr>
        <w:t xml:space="preserve"> </w:t>
      </w:r>
      <w:r w:rsidR="003A38DA" w:rsidRPr="00720AFF">
        <w:rPr>
          <w:rFonts w:asciiTheme="minorHAnsi" w:hAnsiTheme="minorHAnsi" w:cstheme="minorHAnsi"/>
          <w:color w:val="auto"/>
          <w:sz w:val="22"/>
        </w:rPr>
        <w:t xml:space="preserve"> </w:t>
      </w:r>
    </w:p>
    <w:p w14:paraId="7A0EBD53" w14:textId="09875B7D" w:rsidR="00E00B3B" w:rsidRPr="00720AFF" w:rsidRDefault="00DA7BD2" w:rsidP="005D0E92">
      <w:pPr>
        <w:pStyle w:val="BodyText"/>
        <w:jc w:val="both"/>
        <w:rPr>
          <w:rFonts w:asciiTheme="minorHAnsi" w:hAnsiTheme="minorHAnsi" w:cstheme="minorHAnsi"/>
          <w:color w:val="auto"/>
          <w:sz w:val="22"/>
        </w:rPr>
      </w:pPr>
      <w:r w:rsidRPr="00720AFF">
        <w:rPr>
          <w:rFonts w:asciiTheme="minorHAnsi" w:hAnsiTheme="minorHAnsi" w:cstheme="minorHAnsi"/>
          <w:sz w:val="22"/>
        </w:rPr>
        <w:t>The Act was first introduced based on a narrow but important objective of ensuring prospective office tenants and buyers are informed about the energy efficiency of office buildings that are being offered for sale or lease.</w:t>
      </w:r>
      <w:r w:rsidR="00AF6789" w:rsidRPr="00720AFF">
        <w:rPr>
          <w:rFonts w:asciiTheme="minorHAnsi" w:hAnsiTheme="minorHAnsi" w:cstheme="minorHAnsi"/>
          <w:color w:val="auto"/>
          <w:sz w:val="22"/>
        </w:rPr>
        <w:t xml:space="preserve"> </w:t>
      </w:r>
      <w:r w:rsidR="00553EED" w:rsidRPr="00720AFF">
        <w:rPr>
          <w:rFonts w:asciiTheme="minorHAnsi" w:hAnsiTheme="minorHAnsi" w:cstheme="minorHAnsi"/>
          <w:color w:val="auto"/>
          <w:sz w:val="22"/>
        </w:rPr>
        <w:t>A</w:t>
      </w:r>
      <w:r w:rsidR="00C37A8D" w:rsidRPr="00720AFF">
        <w:rPr>
          <w:rFonts w:asciiTheme="minorHAnsi" w:hAnsiTheme="minorHAnsi" w:cstheme="minorHAnsi"/>
          <w:color w:val="auto"/>
          <w:sz w:val="22"/>
        </w:rPr>
        <w:t xml:space="preserve">n expanded CBD Program </w:t>
      </w:r>
      <w:r w:rsidR="00E00B3B" w:rsidRPr="00720AFF">
        <w:rPr>
          <w:rFonts w:asciiTheme="minorHAnsi" w:hAnsiTheme="minorHAnsi" w:cstheme="minorHAnsi"/>
          <w:color w:val="auto"/>
          <w:sz w:val="22"/>
        </w:rPr>
        <w:t xml:space="preserve">could </w:t>
      </w:r>
      <w:r w:rsidR="000F52C4" w:rsidRPr="00720AFF">
        <w:rPr>
          <w:rFonts w:asciiTheme="minorHAnsi" w:hAnsiTheme="minorHAnsi" w:cstheme="minorHAnsi"/>
          <w:color w:val="auto"/>
          <w:sz w:val="22"/>
        </w:rPr>
        <w:t>address</w:t>
      </w:r>
      <w:r w:rsidR="00DC1AE3" w:rsidRPr="00720AFF">
        <w:rPr>
          <w:rFonts w:asciiTheme="minorHAnsi" w:hAnsiTheme="minorHAnsi" w:cstheme="minorHAnsi"/>
          <w:color w:val="auto"/>
          <w:sz w:val="22"/>
        </w:rPr>
        <w:t xml:space="preserve"> one or </w:t>
      </w:r>
      <w:proofErr w:type="gramStart"/>
      <w:r w:rsidR="00DC1AE3" w:rsidRPr="00720AFF">
        <w:rPr>
          <w:rFonts w:asciiTheme="minorHAnsi" w:hAnsiTheme="minorHAnsi" w:cstheme="minorHAnsi"/>
          <w:color w:val="auto"/>
          <w:sz w:val="22"/>
        </w:rPr>
        <w:t>a number of</w:t>
      </w:r>
      <w:proofErr w:type="gramEnd"/>
      <w:r w:rsidR="00DC1AE3" w:rsidRPr="00720AFF">
        <w:rPr>
          <w:rFonts w:asciiTheme="minorHAnsi" w:hAnsiTheme="minorHAnsi" w:cstheme="minorHAnsi"/>
          <w:color w:val="auto"/>
          <w:sz w:val="22"/>
        </w:rPr>
        <w:t xml:space="preserve"> the following </w:t>
      </w:r>
      <w:r w:rsidR="00DD015F" w:rsidRPr="00720AFF">
        <w:rPr>
          <w:rFonts w:asciiTheme="minorHAnsi" w:hAnsiTheme="minorHAnsi" w:cstheme="minorHAnsi"/>
          <w:color w:val="auto"/>
          <w:sz w:val="22"/>
        </w:rPr>
        <w:t>problems:</w:t>
      </w:r>
    </w:p>
    <w:p w14:paraId="50553FEE" w14:textId="16AFB83B" w:rsidR="0009215D" w:rsidRPr="00720AFF" w:rsidRDefault="0009215D" w:rsidP="005D0E92">
      <w:pPr>
        <w:pStyle w:val="BodyText"/>
        <w:numPr>
          <w:ilvl w:val="0"/>
          <w:numId w:val="31"/>
        </w:numPr>
        <w:jc w:val="both"/>
        <w:rPr>
          <w:rFonts w:asciiTheme="minorHAnsi" w:hAnsiTheme="minorHAnsi"/>
          <w:color w:val="auto"/>
          <w:sz w:val="22"/>
        </w:rPr>
      </w:pPr>
      <w:r w:rsidRPr="00720AFF">
        <w:rPr>
          <w:rFonts w:asciiTheme="minorHAnsi" w:hAnsiTheme="minorHAnsi"/>
          <w:color w:val="auto"/>
          <w:sz w:val="22"/>
        </w:rPr>
        <w:t>Information</w:t>
      </w:r>
      <w:r w:rsidR="00107D89" w:rsidRPr="00720AFF">
        <w:rPr>
          <w:rFonts w:asciiTheme="minorHAnsi" w:hAnsiTheme="minorHAnsi"/>
          <w:color w:val="auto"/>
          <w:sz w:val="22"/>
        </w:rPr>
        <w:t xml:space="preserve"> failures </w:t>
      </w:r>
      <w:r w:rsidR="00B162E8" w:rsidRPr="00720AFF">
        <w:rPr>
          <w:rFonts w:asciiTheme="minorHAnsi" w:hAnsiTheme="minorHAnsi"/>
          <w:color w:val="auto"/>
          <w:sz w:val="22"/>
        </w:rPr>
        <w:t>–</w:t>
      </w:r>
      <w:r w:rsidR="00357B02" w:rsidRPr="00720AFF">
        <w:rPr>
          <w:rFonts w:asciiTheme="minorHAnsi" w:hAnsiTheme="minorHAnsi"/>
          <w:color w:val="auto"/>
          <w:sz w:val="22"/>
        </w:rPr>
        <w:t xml:space="preserve"> a</w:t>
      </w:r>
      <w:r w:rsidR="00107D89" w:rsidRPr="00720AFF">
        <w:rPr>
          <w:rFonts w:asciiTheme="minorHAnsi" w:hAnsiTheme="minorHAnsi"/>
          <w:color w:val="auto"/>
          <w:sz w:val="22"/>
        </w:rPr>
        <w:t xml:space="preserve"> </w:t>
      </w:r>
      <w:r w:rsidR="00B162E8" w:rsidRPr="00720AFF">
        <w:rPr>
          <w:rFonts w:asciiTheme="minorHAnsi" w:hAnsiTheme="minorHAnsi"/>
          <w:color w:val="auto"/>
          <w:sz w:val="22"/>
        </w:rPr>
        <w:t xml:space="preserve">lack of information </w:t>
      </w:r>
      <w:r w:rsidR="00357B02" w:rsidRPr="00720AFF">
        <w:rPr>
          <w:rFonts w:asciiTheme="minorHAnsi" w:hAnsiTheme="minorHAnsi"/>
          <w:color w:val="auto"/>
          <w:sz w:val="22"/>
        </w:rPr>
        <w:t>about</w:t>
      </w:r>
      <w:r w:rsidR="00B162E8" w:rsidRPr="00720AFF">
        <w:rPr>
          <w:rFonts w:asciiTheme="minorHAnsi" w:hAnsiTheme="minorHAnsi"/>
          <w:color w:val="auto"/>
          <w:sz w:val="22"/>
        </w:rPr>
        <w:t xml:space="preserve"> energy </w:t>
      </w:r>
      <w:r w:rsidR="00B713B5" w:rsidRPr="00720AFF">
        <w:rPr>
          <w:rFonts w:asciiTheme="minorHAnsi" w:hAnsiTheme="minorHAnsi"/>
          <w:color w:val="auto"/>
          <w:sz w:val="22"/>
        </w:rPr>
        <w:t>performance</w:t>
      </w:r>
      <w:r w:rsidR="00B162E8" w:rsidRPr="00720AFF">
        <w:rPr>
          <w:rFonts w:asciiTheme="minorHAnsi" w:hAnsiTheme="minorHAnsi"/>
          <w:color w:val="auto"/>
          <w:sz w:val="22"/>
        </w:rPr>
        <w:t xml:space="preserve"> for </w:t>
      </w:r>
      <w:r w:rsidR="00D51DB2" w:rsidRPr="00720AFF">
        <w:rPr>
          <w:rFonts w:asciiTheme="minorHAnsi" w:hAnsiTheme="minorHAnsi"/>
          <w:color w:val="auto"/>
          <w:sz w:val="22"/>
        </w:rPr>
        <w:t>consumers</w:t>
      </w:r>
      <w:r w:rsidR="00A96C66" w:rsidRPr="00720AFF">
        <w:rPr>
          <w:rFonts w:asciiTheme="minorHAnsi" w:hAnsiTheme="minorHAnsi"/>
          <w:color w:val="auto"/>
          <w:sz w:val="22"/>
        </w:rPr>
        <w:t xml:space="preserve"> and </w:t>
      </w:r>
      <w:r w:rsidR="00D51DB2" w:rsidRPr="00720AFF">
        <w:rPr>
          <w:rFonts w:asciiTheme="minorHAnsi" w:hAnsiTheme="minorHAnsi"/>
          <w:color w:val="auto"/>
          <w:sz w:val="22"/>
        </w:rPr>
        <w:t>tenants, and information asymmetries where the owner</w:t>
      </w:r>
      <w:r w:rsidR="00F86E97" w:rsidRPr="00720AFF">
        <w:rPr>
          <w:rFonts w:asciiTheme="minorHAnsi" w:hAnsiTheme="minorHAnsi"/>
          <w:color w:val="auto"/>
          <w:sz w:val="22"/>
        </w:rPr>
        <w:t xml:space="preserve"> or </w:t>
      </w:r>
      <w:r w:rsidR="00D51DB2" w:rsidRPr="00720AFF">
        <w:rPr>
          <w:rFonts w:asciiTheme="minorHAnsi" w:hAnsiTheme="minorHAnsi"/>
          <w:color w:val="auto"/>
          <w:sz w:val="22"/>
        </w:rPr>
        <w:t>landlord has more information about the energy efficiency of a building than potential buyers</w:t>
      </w:r>
      <w:r w:rsidR="00F86E97" w:rsidRPr="00720AFF">
        <w:rPr>
          <w:rFonts w:asciiTheme="minorHAnsi" w:hAnsiTheme="minorHAnsi"/>
          <w:color w:val="auto"/>
          <w:sz w:val="22"/>
        </w:rPr>
        <w:t xml:space="preserve"> or </w:t>
      </w:r>
      <w:r w:rsidR="00D51DB2" w:rsidRPr="00720AFF">
        <w:rPr>
          <w:rFonts w:asciiTheme="minorHAnsi" w:hAnsiTheme="minorHAnsi"/>
          <w:color w:val="auto"/>
          <w:sz w:val="22"/>
        </w:rPr>
        <w:t>tenants.</w:t>
      </w:r>
    </w:p>
    <w:p w14:paraId="6190E187" w14:textId="706D9DAE" w:rsidR="0009215D" w:rsidRPr="00720AFF" w:rsidRDefault="00974E1B" w:rsidP="005D0E92">
      <w:pPr>
        <w:pStyle w:val="BodyText"/>
        <w:numPr>
          <w:ilvl w:val="0"/>
          <w:numId w:val="31"/>
        </w:numPr>
        <w:jc w:val="both"/>
        <w:rPr>
          <w:rFonts w:asciiTheme="minorHAnsi" w:hAnsiTheme="minorHAnsi"/>
          <w:color w:val="auto"/>
          <w:sz w:val="22"/>
        </w:rPr>
      </w:pPr>
      <w:r w:rsidRPr="00720AFF">
        <w:rPr>
          <w:rFonts w:asciiTheme="minorHAnsi" w:hAnsiTheme="minorHAnsi"/>
          <w:color w:val="auto"/>
          <w:sz w:val="22"/>
        </w:rPr>
        <w:t>Split incentives</w:t>
      </w:r>
      <w:r w:rsidR="003603B6" w:rsidRPr="00720AFF">
        <w:rPr>
          <w:rFonts w:asciiTheme="minorHAnsi" w:hAnsiTheme="minorHAnsi"/>
          <w:color w:val="auto"/>
          <w:sz w:val="22"/>
        </w:rPr>
        <w:t xml:space="preserve"> </w:t>
      </w:r>
      <w:r w:rsidR="001329AB" w:rsidRPr="00720AFF">
        <w:rPr>
          <w:rFonts w:asciiTheme="minorHAnsi" w:hAnsiTheme="minorHAnsi"/>
          <w:color w:val="auto"/>
          <w:sz w:val="22"/>
        </w:rPr>
        <w:t>–</w:t>
      </w:r>
      <w:r w:rsidRPr="00720AFF">
        <w:rPr>
          <w:rFonts w:asciiTheme="minorHAnsi" w:hAnsiTheme="minorHAnsi"/>
          <w:color w:val="auto"/>
          <w:sz w:val="22"/>
        </w:rPr>
        <w:t xml:space="preserve"> </w:t>
      </w:r>
      <w:r w:rsidR="00F97D69" w:rsidRPr="00720AFF">
        <w:rPr>
          <w:rFonts w:asciiTheme="minorHAnsi" w:hAnsiTheme="minorHAnsi"/>
          <w:color w:val="auto"/>
          <w:sz w:val="22"/>
        </w:rPr>
        <w:t>occur</w:t>
      </w:r>
      <w:r w:rsidRPr="00720AFF">
        <w:rPr>
          <w:rFonts w:asciiTheme="minorHAnsi" w:hAnsiTheme="minorHAnsi"/>
          <w:color w:val="auto"/>
          <w:sz w:val="22"/>
        </w:rPr>
        <w:t xml:space="preserve"> </w:t>
      </w:r>
      <w:r w:rsidR="006948A3" w:rsidRPr="00720AFF">
        <w:rPr>
          <w:rFonts w:asciiTheme="minorHAnsi" w:hAnsiTheme="minorHAnsi"/>
          <w:color w:val="auto"/>
          <w:sz w:val="22"/>
        </w:rPr>
        <w:t>when the entity responsible for paying energy bills (the tenant) is not the same as the entity</w:t>
      </w:r>
      <w:r w:rsidRPr="00720AFF">
        <w:rPr>
          <w:rFonts w:asciiTheme="minorHAnsi" w:hAnsiTheme="minorHAnsi"/>
          <w:color w:val="auto"/>
          <w:sz w:val="22"/>
        </w:rPr>
        <w:t xml:space="preserve"> making </w:t>
      </w:r>
      <w:r w:rsidR="006948A3" w:rsidRPr="00720AFF">
        <w:rPr>
          <w:rFonts w:asciiTheme="minorHAnsi" w:hAnsiTheme="minorHAnsi"/>
          <w:color w:val="auto"/>
          <w:sz w:val="22"/>
        </w:rPr>
        <w:t xml:space="preserve">capital investment </w:t>
      </w:r>
      <w:r w:rsidRPr="00720AFF">
        <w:rPr>
          <w:rFonts w:asciiTheme="minorHAnsi" w:hAnsiTheme="minorHAnsi"/>
          <w:color w:val="auto"/>
          <w:sz w:val="22"/>
        </w:rPr>
        <w:t xml:space="preserve">decisions </w:t>
      </w:r>
      <w:r w:rsidR="006948A3" w:rsidRPr="00720AFF">
        <w:rPr>
          <w:rFonts w:asciiTheme="minorHAnsi" w:hAnsiTheme="minorHAnsi"/>
          <w:color w:val="auto"/>
          <w:sz w:val="22"/>
        </w:rPr>
        <w:t xml:space="preserve">(the </w:t>
      </w:r>
      <w:r w:rsidR="00D23E4A" w:rsidRPr="00720AFF">
        <w:rPr>
          <w:rFonts w:asciiTheme="minorHAnsi" w:hAnsiTheme="minorHAnsi"/>
          <w:color w:val="auto"/>
          <w:sz w:val="22"/>
        </w:rPr>
        <w:t xml:space="preserve">building </w:t>
      </w:r>
      <w:r w:rsidR="006948A3" w:rsidRPr="00720AFF">
        <w:rPr>
          <w:rFonts w:asciiTheme="minorHAnsi" w:hAnsiTheme="minorHAnsi"/>
          <w:color w:val="auto"/>
          <w:sz w:val="22"/>
        </w:rPr>
        <w:t>owner</w:t>
      </w:r>
      <w:r w:rsidR="00D23E4A" w:rsidRPr="00720AFF">
        <w:rPr>
          <w:rFonts w:asciiTheme="minorHAnsi" w:hAnsiTheme="minorHAnsi"/>
          <w:color w:val="auto"/>
          <w:sz w:val="22"/>
        </w:rPr>
        <w:t xml:space="preserve"> or</w:t>
      </w:r>
      <w:r w:rsidRPr="00720AFF">
        <w:rPr>
          <w:rFonts w:asciiTheme="minorHAnsi" w:hAnsiTheme="minorHAnsi"/>
          <w:color w:val="auto"/>
          <w:sz w:val="22"/>
        </w:rPr>
        <w:t xml:space="preserve"> </w:t>
      </w:r>
      <w:r w:rsidR="00F15223" w:rsidRPr="00720AFF">
        <w:rPr>
          <w:rFonts w:asciiTheme="minorHAnsi" w:hAnsiTheme="minorHAnsi"/>
          <w:color w:val="auto"/>
          <w:sz w:val="22"/>
        </w:rPr>
        <w:t>landlord</w:t>
      </w:r>
      <w:r w:rsidR="006948A3" w:rsidRPr="00720AFF">
        <w:rPr>
          <w:rFonts w:asciiTheme="minorHAnsi" w:hAnsiTheme="minorHAnsi"/>
          <w:color w:val="auto"/>
          <w:sz w:val="22"/>
        </w:rPr>
        <w:t>).</w:t>
      </w:r>
      <w:r w:rsidR="00F15223" w:rsidRPr="00720AFF">
        <w:rPr>
          <w:rFonts w:asciiTheme="minorHAnsi" w:hAnsiTheme="minorHAnsi"/>
          <w:color w:val="auto"/>
          <w:sz w:val="22"/>
        </w:rPr>
        <w:t xml:space="preserve"> </w:t>
      </w:r>
      <w:r w:rsidR="00784F7C" w:rsidRPr="00720AFF">
        <w:rPr>
          <w:rFonts w:asciiTheme="minorHAnsi" w:hAnsiTheme="minorHAnsi"/>
          <w:color w:val="auto"/>
          <w:sz w:val="22"/>
        </w:rPr>
        <w:t xml:space="preserve">The split incentive problem can also </w:t>
      </w:r>
      <w:r w:rsidR="00866B71" w:rsidRPr="00720AFF">
        <w:rPr>
          <w:rFonts w:asciiTheme="minorHAnsi" w:hAnsiTheme="minorHAnsi"/>
          <w:color w:val="auto"/>
          <w:sz w:val="22"/>
        </w:rPr>
        <w:t>occur</w:t>
      </w:r>
      <w:r w:rsidR="00784F7C" w:rsidRPr="00720AFF">
        <w:rPr>
          <w:rFonts w:asciiTheme="minorHAnsi" w:hAnsiTheme="minorHAnsi"/>
          <w:color w:val="auto"/>
          <w:sz w:val="22"/>
        </w:rPr>
        <w:t xml:space="preserve"> within large organisations</w:t>
      </w:r>
      <w:r w:rsidR="009C3C0E" w:rsidRPr="00720AFF">
        <w:rPr>
          <w:rFonts w:asciiTheme="minorHAnsi" w:hAnsiTheme="minorHAnsi"/>
          <w:color w:val="auto"/>
          <w:sz w:val="22"/>
        </w:rPr>
        <w:t xml:space="preserve">, where separate parts are responsible for capital budgets and </w:t>
      </w:r>
      <w:r w:rsidR="00D35115" w:rsidRPr="00720AFF">
        <w:rPr>
          <w:rFonts w:asciiTheme="minorHAnsi" w:hAnsiTheme="minorHAnsi"/>
          <w:color w:val="auto"/>
          <w:sz w:val="22"/>
        </w:rPr>
        <w:t>paying energy bills.</w:t>
      </w:r>
    </w:p>
    <w:p w14:paraId="7317B344" w14:textId="06959575" w:rsidR="00713332" w:rsidRPr="00720AFF" w:rsidRDefault="00762296" w:rsidP="005D0E92">
      <w:pPr>
        <w:pStyle w:val="BodyText"/>
        <w:numPr>
          <w:ilvl w:val="0"/>
          <w:numId w:val="31"/>
        </w:numPr>
        <w:jc w:val="both"/>
        <w:rPr>
          <w:rFonts w:asciiTheme="minorHAnsi" w:hAnsiTheme="minorHAnsi"/>
          <w:color w:val="auto"/>
          <w:sz w:val="22"/>
        </w:rPr>
      </w:pPr>
      <w:r w:rsidRPr="00720AFF">
        <w:rPr>
          <w:rFonts w:asciiTheme="minorHAnsi" w:hAnsiTheme="minorHAnsi"/>
          <w:color w:val="auto"/>
          <w:sz w:val="22"/>
        </w:rPr>
        <w:t>Behavioural failure</w:t>
      </w:r>
      <w:r w:rsidR="001329AB" w:rsidRPr="00720AFF">
        <w:rPr>
          <w:rFonts w:asciiTheme="minorHAnsi" w:hAnsiTheme="minorHAnsi"/>
          <w:color w:val="auto"/>
          <w:sz w:val="22"/>
        </w:rPr>
        <w:t xml:space="preserve">s – </w:t>
      </w:r>
      <w:r w:rsidR="003603B6" w:rsidRPr="00720AFF">
        <w:rPr>
          <w:rFonts w:asciiTheme="minorHAnsi" w:hAnsiTheme="minorHAnsi"/>
          <w:color w:val="auto"/>
          <w:sz w:val="22"/>
        </w:rPr>
        <w:t>g</w:t>
      </w:r>
      <w:r w:rsidR="009D3BF7" w:rsidRPr="00720AFF">
        <w:rPr>
          <w:rFonts w:asciiTheme="minorHAnsi" w:hAnsiTheme="minorHAnsi"/>
          <w:color w:val="auto"/>
          <w:sz w:val="22"/>
        </w:rPr>
        <w:t>aps in knowledge and understanding about a building’s energy performance compared to other like buildings</w:t>
      </w:r>
      <w:r w:rsidRPr="00720AFF">
        <w:rPr>
          <w:rFonts w:asciiTheme="minorHAnsi" w:hAnsiTheme="minorHAnsi"/>
          <w:color w:val="auto"/>
          <w:sz w:val="22"/>
        </w:rPr>
        <w:t xml:space="preserve"> contribute to under-investment in energy efficiency. </w:t>
      </w:r>
      <w:r w:rsidR="003146D2" w:rsidRPr="00720AFF">
        <w:rPr>
          <w:rFonts w:asciiTheme="minorHAnsi" w:hAnsiTheme="minorHAnsi"/>
          <w:color w:val="auto"/>
          <w:sz w:val="22"/>
        </w:rPr>
        <w:t>There could be a lack of sufficient expertise</w:t>
      </w:r>
      <w:r w:rsidR="007F228C" w:rsidRPr="00720AFF">
        <w:rPr>
          <w:rFonts w:asciiTheme="minorHAnsi" w:hAnsiTheme="minorHAnsi"/>
          <w:color w:val="auto"/>
          <w:sz w:val="22"/>
        </w:rPr>
        <w:t xml:space="preserve"> </w:t>
      </w:r>
      <w:r w:rsidR="00706881" w:rsidRPr="00720AFF">
        <w:rPr>
          <w:rFonts w:asciiTheme="minorHAnsi" w:hAnsiTheme="minorHAnsi"/>
          <w:color w:val="auto"/>
          <w:sz w:val="22"/>
        </w:rPr>
        <w:t>as the level of sophistication in facilities management varies widely across sectors</w:t>
      </w:r>
      <w:r w:rsidR="00496CBC" w:rsidRPr="00720AFF">
        <w:rPr>
          <w:rFonts w:asciiTheme="minorHAnsi" w:hAnsiTheme="minorHAnsi"/>
          <w:color w:val="auto"/>
          <w:sz w:val="22"/>
        </w:rPr>
        <w:t xml:space="preserve">. There could </w:t>
      </w:r>
      <w:r w:rsidR="005914D7" w:rsidRPr="00720AFF">
        <w:rPr>
          <w:rFonts w:asciiTheme="minorHAnsi" w:hAnsiTheme="minorHAnsi"/>
          <w:color w:val="auto"/>
          <w:sz w:val="22"/>
        </w:rPr>
        <w:t xml:space="preserve">also </w:t>
      </w:r>
      <w:r w:rsidR="00496CBC" w:rsidRPr="00720AFF">
        <w:rPr>
          <w:rFonts w:asciiTheme="minorHAnsi" w:hAnsiTheme="minorHAnsi"/>
          <w:color w:val="auto"/>
          <w:sz w:val="22"/>
        </w:rPr>
        <w:t>be a</w:t>
      </w:r>
      <w:r w:rsidR="005914D7" w:rsidRPr="00720AFF">
        <w:rPr>
          <w:rFonts w:asciiTheme="minorHAnsi" w:hAnsiTheme="minorHAnsi"/>
          <w:color w:val="auto"/>
          <w:sz w:val="22"/>
        </w:rPr>
        <w:t xml:space="preserve"> </w:t>
      </w:r>
      <w:r w:rsidR="008D0A78" w:rsidRPr="00720AFF">
        <w:rPr>
          <w:rFonts w:asciiTheme="minorHAnsi" w:hAnsiTheme="minorHAnsi"/>
          <w:color w:val="auto"/>
          <w:sz w:val="22"/>
        </w:rPr>
        <w:t xml:space="preserve">lack of attention </w:t>
      </w:r>
      <w:r w:rsidR="00AB1454" w:rsidRPr="00720AFF">
        <w:rPr>
          <w:rFonts w:asciiTheme="minorHAnsi" w:hAnsiTheme="minorHAnsi"/>
          <w:color w:val="auto"/>
          <w:sz w:val="22"/>
        </w:rPr>
        <w:t>to energy consumption in circumstances where energy costs are a relatively small share of total business costs</w:t>
      </w:r>
      <w:r w:rsidR="0026529B" w:rsidRPr="00720AFF">
        <w:rPr>
          <w:rFonts w:asciiTheme="minorHAnsi" w:hAnsiTheme="minorHAnsi"/>
          <w:color w:val="auto"/>
          <w:sz w:val="22"/>
        </w:rPr>
        <w:t>.</w:t>
      </w:r>
    </w:p>
    <w:p w14:paraId="000AF065" w14:textId="6C7B1E53" w:rsidR="004824A9" w:rsidRPr="00720AFF" w:rsidRDefault="00307707" w:rsidP="005D0E92">
      <w:pPr>
        <w:pStyle w:val="Heading4"/>
        <w:spacing w:after="120"/>
        <w:ind w:left="0" w:firstLine="0"/>
        <w:jc w:val="both"/>
      </w:pPr>
      <w:r w:rsidRPr="00720AFF">
        <w:t xml:space="preserve">Principle 3: </w:t>
      </w:r>
      <w:r w:rsidR="00854D97" w:rsidRPr="00720AFF">
        <w:t xml:space="preserve">The government will </w:t>
      </w:r>
      <w:r w:rsidR="0082058F" w:rsidRPr="00720AFF">
        <w:t>prioritis</w:t>
      </w:r>
      <w:r w:rsidR="00854D97" w:rsidRPr="00720AFF">
        <w:t>e</w:t>
      </w:r>
      <w:r w:rsidR="0082058F" w:rsidRPr="00720AFF">
        <w:t xml:space="preserve"> </w:t>
      </w:r>
      <w:r w:rsidR="00F6026C" w:rsidRPr="00720AFF">
        <w:t>sectors</w:t>
      </w:r>
      <w:r w:rsidR="0082058F" w:rsidRPr="00720AFF">
        <w:t xml:space="preserve"> that </w:t>
      </w:r>
      <w:r w:rsidR="00840DD2" w:rsidRPr="00720AFF">
        <w:t xml:space="preserve">have the largest potential to make the </w:t>
      </w:r>
      <w:r w:rsidR="001E40AA" w:rsidRPr="00720AFF">
        <w:t>biggest</w:t>
      </w:r>
      <w:r w:rsidR="002126E3" w:rsidRPr="00720AFF">
        <w:t xml:space="preserve"> energy </w:t>
      </w:r>
      <w:r w:rsidR="00744338" w:rsidRPr="00720AFF">
        <w:t>and emissions savings</w:t>
      </w:r>
    </w:p>
    <w:p w14:paraId="5A12E4CF" w14:textId="14EEE1B0" w:rsidR="004121A6" w:rsidRDefault="00853250" w:rsidP="005D0E92">
      <w:pPr>
        <w:pStyle w:val="BodyText"/>
        <w:jc w:val="both"/>
        <w:rPr>
          <w:rFonts w:asciiTheme="minorHAnsi" w:hAnsiTheme="minorHAnsi" w:cstheme="minorHAnsi"/>
          <w:color w:val="auto"/>
          <w:sz w:val="22"/>
        </w:rPr>
      </w:pPr>
      <w:r w:rsidRPr="00720AFF">
        <w:rPr>
          <w:rFonts w:asciiTheme="minorHAnsi" w:hAnsiTheme="minorHAnsi"/>
          <w:color w:val="auto"/>
          <w:sz w:val="22"/>
        </w:rPr>
        <w:t xml:space="preserve">The </w:t>
      </w:r>
      <w:r w:rsidR="00150294" w:rsidRPr="00720AFF">
        <w:rPr>
          <w:rFonts w:asciiTheme="minorHAnsi" w:hAnsiTheme="minorHAnsi"/>
          <w:color w:val="auto"/>
          <w:sz w:val="22"/>
        </w:rPr>
        <w:t xml:space="preserve">government </w:t>
      </w:r>
      <w:r w:rsidR="008B78B9" w:rsidRPr="00720AFF">
        <w:rPr>
          <w:rFonts w:asciiTheme="minorHAnsi" w:hAnsiTheme="minorHAnsi"/>
          <w:color w:val="auto"/>
          <w:sz w:val="22"/>
        </w:rPr>
        <w:t xml:space="preserve">will prioritise </w:t>
      </w:r>
      <w:r w:rsidRPr="00720AFF">
        <w:rPr>
          <w:rFonts w:asciiTheme="minorHAnsi" w:hAnsiTheme="minorHAnsi"/>
          <w:color w:val="auto"/>
          <w:sz w:val="22"/>
        </w:rPr>
        <w:t xml:space="preserve">expanding the </w:t>
      </w:r>
      <w:r w:rsidR="0003678F" w:rsidRPr="00720AFF">
        <w:rPr>
          <w:rFonts w:asciiTheme="minorHAnsi" w:hAnsiTheme="minorHAnsi"/>
          <w:color w:val="auto"/>
          <w:sz w:val="22"/>
        </w:rPr>
        <w:t xml:space="preserve">CBD </w:t>
      </w:r>
      <w:r w:rsidRPr="00720AFF">
        <w:rPr>
          <w:rFonts w:asciiTheme="minorHAnsi" w:hAnsiTheme="minorHAnsi"/>
          <w:color w:val="auto"/>
          <w:sz w:val="22"/>
        </w:rPr>
        <w:t xml:space="preserve">Program </w:t>
      </w:r>
      <w:r w:rsidR="00D94808" w:rsidRPr="00720AFF">
        <w:rPr>
          <w:rFonts w:asciiTheme="minorHAnsi" w:hAnsiTheme="minorHAnsi"/>
          <w:color w:val="auto"/>
          <w:sz w:val="22"/>
        </w:rPr>
        <w:t xml:space="preserve">to </w:t>
      </w:r>
      <w:r w:rsidR="008B78B9" w:rsidRPr="00720AFF">
        <w:rPr>
          <w:rFonts w:asciiTheme="minorHAnsi" w:hAnsiTheme="minorHAnsi"/>
          <w:color w:val="auto"/>
          <w:sz w:val="22"/>
        </w:rPr>
        <w:t xml:space="preserve">those building </w:t>
      </w:r>
      <w:r w:rsidR="00A92C7D" w:rsidRPr="00720AFF">
        <w:rPr>
          <w:rFonts w:asciiTheme="minorHAnsi" w:hAnsiTheme="minorHAnsi"/>
          <w:color w:val="auto"/>
          <w:sz w:val="22"/>
        </w:rPr>
        <w:t>types</w:t>
      </w:r>
      <w:r w:rsidR="008B78B9" w:rsidRPr="00720AFF">
        <w:rPr>
          <w:rFonts w:asciiTheme="minorHAnsi" w:hAnsiTheme="minorHAnsi"/>
          <w:color w:val="auto"/>
          <w:sz w:val="22"/>
        </w:rPr>
        <w:t xml:space="preserve"> that </w:t>
      </w:r>
      <w:r w:rsidR="00221A61" w:rsidRPr="00720AFF">
        <w:rPr>
          <w:rFonts w:asciiTheme="minorHAnsi" w:hAnsiTheme="minorHAnsi"/>
          <w:color w:val="auto"/>
          <w:sz w:val="22"/>
        </w:rPr>
        <w:t>h</w:t>
      </w:r>
      <w:r w:rsidR="003A1DFB" w:rsidRPr="00720AFF">
        <w:rPr>
          <w:rFonts w:asciiTheme="minorHAnsi" w:hAnsiTheme="minorHAnsi"/>
          <w:color w:val="auto"/>
          <w:sz w:val="22"/>
        </w:rPr>
        <w:t xml:space="preserve">ave the greatest </w:t>
      </w:r>
      <w:r w:rsidR="00052617" w:rsidRPr="00720AFF">
        <w:rPr>
          <w:rFonts w:asciiTheme="minorHAnsi" w:hAnsiTheme="minorHAnsi"/>
          <w:color w:val="auto"/>
          <w:sz w:val="22"/>
        </w:rPr>
        <w:t xml:space="preserve">overall </w:t>
      </w:r>
      <w:r w:rsidR="003A1DFB" w:rsidRPr="00720AFF">
        <w:rPr>
          <w:rFonts w:asciiTheme="minorHAnsi" w:hAnsiTheme="minorHAnsi"/>
          <w:color w:val="auto"/>
          <w:sz w:val="22"/>
        </w:rPr>
        <w:t>energy consumption</w:t>
      </w:r>
      <w:r w:rsidR="00EB5BD4" w:rsidRPr="00720AFF">
        <w:rPr>
          <w:rFonts w:asciiTheme="minorHAnsi" w:hAnsiTheme="minorHAnsi"/>
          <w:color w:val="auto"/>
          <w:sz w:val="22"/>
        </w:rPr>
        <w:t xml:space="preserve"> and potential for emissions savings</w:t>
      </w:r>
      <w:r w:rsidR="008B2AE3" w:rsidRPr="00720AFF">
        <w:rPr>
          <w:rFonts w:asciiTheme="minorHAnsi" w:hAnsiTheme="minorHAnsi"/>
          <w:color w:val="auto"/>
          <w:sz w:val="22"/>
        </w:rPr>
        <w:t xml:space="preserve"> </w:t>
      </w:r>
      <w:r w:rsidR="00505FDB" w:rsidRPr="00720AFF">
        <w:rPr>
          <w:rFonts w:asciiTheme="minorHAnsi" w:hAnsiTheme="minorHAnsi"/>
          <w:color w:val="auto"/>
          <w:sz w:val="22"/>
        </w:rPr>
        <w:t>(</w:t>
      </w:r>
      <w:r w:rsidR="008B2AE3" w:rsidRPr="00720AFF">
        <w:rPr>
          <w:rFonts w:asciiTheme="minorHAnsi" w:hAnsiTheme="minorHAnsi"/>
          <w:color w:val="auto"/>
          <w:sz w:val="22"/>
        </w:rPr>
        <w:t>see Figure</w:t>
      </w:r>
      <w:r w:rsidR="00895D28" w:rsidRPr="00720AFF">
        <w:rPr>
          <w:rFonts w:asciiTheme="minorHAnsi" w:hAnsiTheme="minorHAnsi"/>
          <w:color w:val="auto"/>
          <w:sz w:val="22"/>
        </w:rPr>
        <w:t xml:space="preserve"> 3</w:t>
      </w:r>
      <w:r w:rsidR="00220AB0" w:rsidRPr="00720AFF">
        <w:rPr>
          <w:rFonts w:asciiTheme="minorHAnsi" w:hAnsiTheme="minorHAnsi"/>
          <w:color w:val="auto"/>
          <w:sz w:val="22"/>
        </w:rPr>
        <w:t>)</w:t>
      </w:r>
      <w:r w:rsidR="00B9061B" w:rsidRPr="00720AFF">
        <w:rPr>
          <w:rFonts w:asciiTheme="minorHAnsi" w:hAnsiTheme="minorHAnsi"/>
          <w:color w:val="auto"/>
          <w:sz w:val="22"/>
        </w:rPr>
        <w:t xml:space="preserve">. Within </w:t>
      </w:r>
      <w:proofErr w:type="gramStart"/>
      <w:r w:rsidR="00B9061B" w:rsidRPr="00720AFF">
        <w:rPr>
          <w:rFonts w:asciiTheme="minorHAnsi" w:hAnsiTheme="minorHAnsi"/>
          <w:color w:val="auto"/>
          <w:sz w:val="22"/>
        </w:rPr>
        <w:t>particular building</w:t>
      </w:r>
      <w:proofErr w:type="gramEnd"/>
      <w:r w:rsidR="00B9061B" w:rsidRPr="00720AFF">
        <w:rPr>
          <w:rFonts w:asciiTheme="minorHAnsi" w:hAnsiTheme="minorHAnsi"/>
          <w:color w:val="auto"/>
          <w:sz w:val="22"/>
        </w:rPr>
        <w:t xml:space="preserve"> types, the </w:t>
      </w:r>
      <w:r w:rsidR="00E943AC" w:rsidRPr="00720AFF">
        <w:rPr>
          <w:rFonts w:asciiTheme="minorHAnsi" w:hAnsiTheme="minorHAnsi"/>
          <w:color w:val="auto"/>
          <w:sz w:val="22"/>
        </w:rPr>
        <w:t xml:space="preserve">CBD </w:t>
      </w:r>
      <w:r w:rsidR="00B9061B" w:rsidRPr="00720AFF">
        <w:rPr>
          <w:rFonts w:asciiTheme="minorHAnsi" w:hAnsiTheme="minorHAnsi"/>
          <w:color w:val="auto"/>
          <w:sz w:val="22"/>
        </w:rPr>
        <w:t xml:space="preserve">Program will </w:t>
      </w:r>
      <w:r w:rsidR="00B9061B" w:rsidRPr="00720AFF">
        <w:rPr>
          <w:rFonts w:asciiTheme="minorHAnsi" w:hAnsiTheme="minorHAnsi" w:cstheme="minorHAnsi"/>
          <w:color w:val="auto"/>
          <w:sz w:val="22"/>
        </w:rPr>
        <w:t>target</w:t>
      </w:r>
      <w:r w:rsidR="00A92C7D" w:rsidRPr="00720AFF">
        <w:rPr>
          <w:rFonts w:asciiTheme="minorHAnsi" w:hAnsiTheme="minorHAnsi" w:cstheme="minorHAnsi"/>
          <w:color w:val="auto"/>
          <w:sz w:val="22"/>
        </w:rPr>
        <w:t xml:space="preserve"> larger buildings </w:t>
      </w:r>
      <w:r w:rsidR="00B9061B" w:rsidRPr="00720AFF">
        <w:rPr>
          <w:rFonts w:asciiTheme="minorHAnsi" w:hAnsiTheme="minorHAnsi" w:cstheme="minorHAnsi"/>
          <w:color w:val="auto"/>
          <w:sz w:val="22"/>
        </w:rPr>
        <w:t>first.</w:t>
      </w:r>
      <w:r w:rsidR="00E3200D" w:rsidRPr="00720AFF">
        <w:rPr>
          <w:rFonts w:asciiTheme="minorHAnsi" w:hAnsiTheme="minorHAnsi" w:cstheme="minorHAnsi"/>
          <w:color w:val="auto"/>
          <w:sz w:val="22"/>
        </w:rPr>
        <w:t xml:space="preserve"> This </w:t>
      </w:r>
      <w:r w:rsidR="00685EF9" w:rsidRPr="00720AFF">
        <w:rPr>
          <w:rFonts w:asciiTheme="minorHAnsi" w:hAnsiTheme="minorHAnsi" w:cstheme="minorHAnsi"/>
          <w:color w:val="auto"/>
          <w:sz w:val="22"/>
        </w:rPr>
        <w:t xml:space="preserve">aims </w:t>
      </w:r>
      <w:r w:rsidR="00E3200D" w:rsidRPr="00720AFF">
        <w:rPr>
          <w:rFonts w:asciiTheme="minorHAnsi" w:hAnsiTheme="minorHAnsi" w:cstheme="minorHAnsi"/>
          <w:color w:val="auto"/>
          <w:sz w:val="22"/>
        </w:rPr>
        <w:t>to</w:t>
      </w:r>
      <w:r w:rsidR="00A6484C" w:rsidRPr="00720AFF">
        <w:rPr>
          <w:rFonts w:asciiTheme="minorHAnsi" w:hAnsiTheme="minorHAnsi" w:cstheme="minorHAnsi"/>
          <w:color w:val="auto"/>
          <w:sz w:val="22"/>
        </w:rPr>
        <w:t xml:space="preserve"> maximise the impact </w:t>
      </w:r>
      <w:r w:rsidR="00D108DD" w:rsidRPr="00720AFF">
        <w:rPr>
          <w:rFonts w:asciiTheme="minorHAnsi" w:hAnsiTheme="minorHAnsi" w:cstheme="minorHAnsi"/>
          <w:color w:val="auto"/>
          <w:sz w:val="22"/>
        </w:rPr>
        <w:t>whi</w:t>
      </w:r>
      <w:r w:rsidR="0052221B" w:rsidRPr="00720AFF">
        <w:rPr>
          <w:rFonts w:asciiTheme="minorHAnsi" w:hAnsiTheme="minorHAnsi" w:cstheme="minorHAnsi"/>
          <w:color w:val="auto"/>
          <w:sz w:val="22"/>
        </w:rPr>
        <w:t xml:space="preserve">le </w:t>
      </w:r>
      <w:r w:rsidR="00D53D13" w:rsidRPr="00720AFF">
        <w:rPr>
          <w:rFonts w:asciiTheme="minorHAnsi" w:hAnsiTheme="minorHAnsi" w:cstheme="minorHAnsi"/>
          <w:color w:val="auto"/>
          <w:sz w:val="22"/>
        </w:rPr>
        <w:t>minimising regulatory burden.</w:t>
      </w:r>
    </w:p>
    <w:p w14:paraId="7590258B" w14:textId="273E2993" w:rsidR="00615299" w:rsidRPr="00720AFF" w:rsidRDefault="00A14947" w:rsidP="00745ECE">
      <w:pPr>
        <w:pStyle w:val="BodyText"/>
        <w:jc w:val="both"/>
        <w:rPr>
          <w:rFonts w:asciiTheme="minorHAnsi" w:hAnsiTheme="minorHAnsi" w:cstheme="minorHAnsi"/>
          <w:sz w:val="22"/>
        </w:rPr>
      </w:pPr>
      <w:r>
        <w:rPr>
          <w:rFonts w:cstheme="minorHAnsi"/>
          <w:noProof/>
        </w:rPr>
        <w:lastRenderedPageBreak/>
        <w:drawing>
          <wp:inline distT="0" distB="0" distL="0" distR="0" wp14:anchorId="076F528B" wp14:editId="2613FAD3">
            <wp:extent cx="5811597" cy="4293115"/>
            <wp:effectExtent l="0" t="0" r="0" b="0"/>
            <wp:docPr id="48251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1931" cy="4300749"/>
                    </a:xfrm>
                    <a:prstGeom prst="rect">
                      <a:avLst/>
                    </a:prstGeom>
                    <a:noFill/>
                  </pic:spPr>
                </pic:pic>
              </a:graphicData>
            </a:graphic>
          </wp:inline>
        </w:drawing>
      </w:r>
    </w:p>
    <w:p w14:paraId="5192A853" w14:textId="527CC6E3" w:rsidR="00615299" w:rsidRPr="007F3A79" w:rsidRDefault="00615299" w:rsidP="00A90653">
      <w:pPr>
        <w:pStyle w:val="BodyText"/>
        <w:spacing w:line="276" w:lineRule="auto"/>
        <w:jc w:val="both"/>
        <w:rPr>
          <w:rFonts w:asciiTheme="minorHAnsi" w:hAnsiTheme="minorHAnsi" w:cstheme="minorHAnsi"/>
          <w:sz w:val="18"/>
          <w:szCs w:val="18"/>
        </w:rPr>
      </w:pPr>
      <w:r w:rsidRPr="007F3A79">
        <w:rPr>
          <w:rFonts w:asciiTheme="minorHAnsi" w:hAnsiTheme="minorHAnsi" w:cstheme="minorHAnsi"/>
          <w:b/>
          <w:bCs/>
          <w:sz w:val="18"/>
          <w:szCs w:val="18"/>
        </w:rPr>
        <w:t xml:space="preserve">Figure </w:t>
      </w:r>
      <w:r w:rsidR="001E6FF0">
        <w:rPr>
          <w:rFonts w:asciiTheme="minorHAnsi" w:hAnsiTheme="minorHAnsi" w:cstheme="minorHAnsi"/>
          <w:b/>
          <w:bCs/>
          <w:sz w:val="18"/>
          <w:szCs w:val="18"/>
        </w:rPr>
        <w:t>3</w:t>
      </w:r>
      <w:r w:rsidRPr="007F3A79">
        <w:rPr>
          <w:rFonts w:asciiTheme="minorHAnsi" w:hAnsiTheme="minorHAnsi" w:cstheme="minorHAnsi"/>
          <w:b/>
          <w:bCs/>
          <w:sz w:val="18"/>
          <w:szCs w:val="18"/>
        </w:rPr>
        <w:t>:</w:t>
      </w:r>
      <w:r w:rsidRPr="007F3A79">
        <w:rPr>
          <w:rFonts w:asciiTheme="minorHAnsi" w:hAnsiTheme="minorHAnsi" w:cstheme="minorHAnsi"/>
          <w:sz w:val="18"/>
          <w:szCs w:val="18"/>
        </w:rPr>
        <w:t xml:space="preserve"> </w:t>
      </w:r>
      <w:r w:rsidR="006F738F" w:rsidRPr="007F3A79">
        <w:rPr>
          <w:rFonts w:asciiTheme="minorHAnsi" w:hAnsiTheme="minorHAnsi" w:cstheme="minorHAnsi"/>
          <w:sz w:val="18"/>
          <w:szCs w:val="18"/>
        </w:rPr>
        <w:t>Total energy (electricity and gas) consumption</w:t>
      </w:r>
      <w:r w:rsidR="00BB04EF" w:rsidRPr="007F3A79">
        <w:rPr>
          <w:rFonts w:asciiTheme="minorHAnsi" w:hAnsiTheme="minorHAnsi" w:cstheme="minorHAnsi"/>
          <w:sz w:val="18"/>
          <w:szCs w:val="18"/>
        </w:rPr>
        <w:t xml:space="preserve"> shares (%)</w:t>
      </w:r>
      <w:r w:rsidR="00AB7A01" w:rsidRPr="007F3A79">
        <w:rPr>
          <w:rFonts w:asciiTheme="minorHAnsi" w:hAnsiTheme="minorHAnsi" w:cstheme="minorHAnsi"/>
          <w:sz w:val="18"/>
          <w:szCs w:val="18"/>
        </w:rPr>
        <w:t>, by space use type</w:t>
      </w:r>
      <w:r w:rsidR="00602456" w:rsidRPr="007F3A79">
        <w:rPr>
          <w:rFonts w:asciiTheme="minorHAnsi" w:hAnsiTheme="minorHAnsi" w:cstheme="minorHAnsi"/>
          <w:sz w:val="18"/>
          <w:szCs w:val="18"/>
        </w:rPr>
        <w:t xml:space="preserve">, </w:t>
      </w:r>
      <w:r w:rsidR="00104298" w:rsidRPr="007F3A79">
        <w:rPr>
          <w:rFonts w:asciiTheme="minorHAnsi" w:hAnsiTheme="minorHAnsi" w:cstheme="minorHAnsi"/>
          <w:sz w:val="18"/>
          <w:szCs w:val="18"/>
        </w:rPr>
        <w:t>FY202</w:t>
      </w:r>
      <w:r w:rsidR="007A3617">
        <w:rPr>
          <w:rFonts w:asciiTheme="minorHAnsi" w:hAnsiTheme="minorHAnsi" w:cstheme="minorHAnsi"/>
          <w:sz w:val="18"/>
          <w:szCs w:val="18"/>
        </w:rPr>
        <w:t>4</w:t>
      </w:r>
      <w:r w:rsidR="00104298" w:rsidRPr="007F3A79">
        <w:rPr>
          <w:rFonts w:asciiTheme="minorHAnsi" w:hAnsiTheme="minorHAnsi" w:cstheme="minorHAnsi"/>
          <w:sz w:val="18"/>
          <w:szCs w:val="18"/>
        </w:rPr>
        <w:t>, Australia</w:t>
      </w:r>
      <w:r w:rsidR="00B414A2" w:rsidRPr="007F3A79">
        <w:rPr>
          <w:rFonts w:asciiTheme="minorHAnsi" w:hAnsiTheme="minorHAnsi" w:cstheme="minorHAnsi"/>
          <w:sz w:val="18"/>
          <w:szCs w:val="18"/>
        </w:rPr>
        <w:t>.</w:t>
      </w:r>
      <w:r w:rsidR="00104298" w:rsidRPr="007F3A79">
        <w:rPr>
          <w:rStyle w:val="FootnoteReference"/>
          <w:rFonts w:asciiTheme="minorHAnsi" w:hAnsiTheme="minorHAnsi"/>
          <w:color w:val="auto"/>
          <w:sz w:val="18"/>
          <w:szCs w:val="18"/>
        </w:rPr>
        <w:footnoteReference w:id="15"/>
      </w:r>
    </w:p>
    <w:p w14:paraId="2E62D2D3" w14:textId="0FF5CCF8" w:rsidR="00097F74" w:rsidRPr="00720AFF" w:rsidRDefault="00097F74" w:rsidP="002D0A43">
      <w:pPr>
        <w:pStyle w:val="BodyText"/>
        <w:jc w:val="both"/>
        <w:rPr>
          <w:rFonts w:asciiTheme="minorHAnsi" w:hAnsiTheme="minorHAnsi" w:cstheme="minorHAnsi"/>
          <w:sz w:val="22"/>
        </w:rPr>
      </w:pPr>
      <w:r w:rsidRPr="00720AFF">
        <w:rPr>
          <w:rFonts w:asciiTheme="minorHAnsi" w:hAnsiTheme="minorHAnsi" w:cstheme="minorHAnsi"/>
          <w:sz w:val="22"/>
        </w:rPr>
        <w:t>While there can be differing classifications and categories of commercial building types, the CBD Program will focus on building types within the scope of the existing NABERS energy ratings and with reference to the Commercial Building Baseline Study.</w:t>
      </w:r>
    </w:p>
    <w:p w14:paraId="5ECC4122" w14:textId="6CE24539" w:rsidR="00097F74" w:rsidRPr="00720AFF" w:rsidRDefault="00097F74" w:rsidP="002D0A43">
      <w:pPr>
        <w:pStyle w:val="BodyText"/>
        <w:jc w:val="both"/>
        <w:rPr>
          <w:rFonts w:asciiTheme="minorHAnsi" w:hAnsiTheme="minorHAnsi" w:cstheme="minorHAnsi"/>
          <w:sz w:val="22"/>
        </w:rPr>
      </w:pPr>
      <w:r w:rsidRPr="00720AFF">
        <w:rPr>
          <w:rFonts w:asciiTheme="minorHAnsi" w:hAnsiTheme="minorHAnsi" w:cstheme="minorHAnsi"/>
          <w:sz w:val="22"/>
        </w:rPr>
        <w:t xml:space="preserve">In this context, offices make up the largest share of commercial building energy use and are the focus of the current CBD Program. Other significant commercial building energy use comes from building types and spaces including office tenancies (which could be responsible for up to 50% of the energy use from </w:t>
      </w:r>
      <w:r w:rsidR="00DF6B78">
        <w:rPr>
          <w:rFonts w:asciiTheme="minorHAnsi" w:hAnsiTheme="minorHAnsi" w:cstheme="minorHAnsi"/>
          <w:sz w:val="22"/>
        </w:rPr>
        <w:t xml:space="preserve">office </w:t>
      </w:r>
      <w:r w:rsidRPr="00720AFF">
        <w:rPr>
          <w:rFonts w:asciiTheme="minorHAnsi" w:hAnsiTheme="minorHAnsi" w:cstheme="minorHAnsi"/>
          <w:sz w:val="22"/>
        </w:rPr>
        <w:t xml:space="preserve">buildings), hotels, shopping and retail, warehouses, hospitals, aged care and retirement living. Emerging and </w:t>
      </w:r>
      <w:proofErr w:type="gramStart"/>
      <w:r w:rsidRPr="00720AFF">
        <w:rPr>
          <w:rFonts w:asciiTheme="minorHAnsi" w:hAnsiTheme="minorHAnsi" w:cstheme="minorHAnsi"/>
          <w:sz w:val="22"/>
        </w:rPr>
        <w:t>fast growing</w:t>
      </w:r>
      <w:proofErr w:type="gramEnd"/>
      <w:r w:rsidRPr="00720AFF">
        <w:rPr>
          <w:rFonts w:asciiTheme="minorHAnsi" w:hAnsiTheme="minorHAnsi" w:cstheme="minorHAnsi"/>
          <w:sz w:val="22"/>
        </w:rPr>
        <w:t xml:space="preserve"> building types, such as data centres are also considered in terms of their future potential energy use.</w:t>
      </w:r>
    </w:p>
    <w:p w14:paraId="1C4EE2E8" w14:textId="1320DAC6" w:rsidR="00DB01FC" w:rsidRPr="00720AFF" w:rsidRDefault="00307707" w:rsidP="002D0A43">
      <w:pPr>
        <w:pStyle w:val="Heading4"/>
        <w:spacing w:after="120"/>
        <w:ind w:left="0" w:firstLine="0"/>
        <w:jc w:val="both"/>
      </w:pPr>
      <w:r w:rsidRPr="00720AFF">
        <w:t xml:space="preserve">Principle 4: </w:t>
      </w:r>
      <w:r w:rsidR="00DB01FC" w:rsidRPr="00720AFF">
        <w:t xml:space="preserve">The </w:t>
      </w:r>
      <w:r w:rsidR="00FB71CE" w:rsidRPr="00720AFF">
        <w:t>government will expand the</w:t>
      </w:r>
      <w:r w:rsidR="00DB01FC" w:rsidRPr="00720AFF">
        <w:t xml:space="preserve"> CBD Program in a staged way</w:t>
      </w:r>
      <w:r w:rsidR="00FB71CE" w:rsidRPr="00720AFF">
        <w:t>,</w:t>
      </w:r>
      <w:r w:rsidR="00042514" w:rsidRPr="00720AFF">
        <w:t xml:space="preserve"> and</w:t>
      </w:r>
      <w:r w:rsidR="00DB01FC" w:rsidRPr="00720AFF">
        <w:t xml:space="preserve"> consider all </w:t>
      </w:r>
      <w:r w:rsidR="00FB71CE" w:rsidRPr="00720AFF">
        <w:t xml:space="preserve">major </w:t>
      </w:r>
      <w:r w:rsidR="00DB01FC" w:rsidRPr="00720AFF">
        <w:t>commercial building sectors between now and 2035</w:t>
      </w:r>
    </w:p>
    <w:p w14:paraId="56B6CF98" w14:textId="307E6627" w:rsidR="00806749" w:rsidRPr="00720AFF" w:rsidRDefault="00467766" w:rsidP="002D0A43">
      <w:pPr>
        <w:spacing w:after="120"/>
        <w:jc w:val="both"/>
      </w:pPr>
      <w:r w:rsidRPr="00720AFF">
        <w:t xml:space="preserve">Implementation of this roadmap will be through a staged approach. </w:t>
      </w:r>
      <w:r w:rsidR="00806749" w:rsidRPr="00720AFF">
        <w:t xml:space="preserve">A staged approach </w:t>
      </w:r>
      <w:r w:rsidR="002922BE" w:rsidRPr="00720AFF">
        <w:t>can</w:t>
      </w:r>
      <w:r w:rsidR="00806749" w:rsidRPr="00720AFF">
        <w:t xml:space="preserve"> be tailored and target</w:t>
      </w:r>
      <w:r w:rsidR="00BA3913" w:rsidRPr="00720AFF">
        <w:t>ed to</w:t>
      </w:r>
      <w:r w:rsidR="00806749" w:rsidRPr="00720AFF">
        <w:t xml:space="preserve"> building types and sizes to maximise the benefits of the </w:t>
      </w:r>
      <w:r w:rsidR="006677FB" w:rsidRPr="00720AFF">
        <w:t xml:space="preserve">CBD </w:t>
      </w:r>
      <w:r w:rsidR="00806749" w:rsidRPr="00720AFF">
        <w:t xml:space="preserve">Program. </w:t>
      </w:r>
    </w:p>
    <w:p w14:paraId="49F93061" w14:textId="3E620D3C" w:rsidR="00662607" w:rsidRPr="00720AFF" w:rsidRDefault="00CC3DAE" w:rsidP="002D0A43">
      <w:pPr>
        <w:pStyle w:val="BodyText"/>
        <w:jc w:val="both"/>
        <w:rPr>
          <w:rFonts w:asciiTheme="minorHAnsi" w:hAnsiTheme="minorHAnsi" w:cstheme="minorHAnsi"/>
          <w:color w:val="auto"/>
          <w:sz w:val="22"/>
        </w:rPr>
      </w:pPr>
      <w:r w:rsidRPr="00720AFF">
        <w:rPr>
          <w:rFonts w:asciiTheme="minorHAnsi" w:hAnsiTheme="minorHAnsi"/>
          <w:color w:val="auto"/>
          <w:sz w:val="22"/>
        </w:rPr>
        <w:t>Blanket mandatory disclosure for all commercial buildings over 1000m</w:t>
      </w:r>
      <w:r w:rsidRPr="00720AFF">
        <w:rPr>
          <w:rFonts w:asciiTheme="minorHAnsi" w:hAnsiTheme="minorHAnsi"/>
          <w:color w:val="auto"/>
          <w:sz w:val="22"/>
          <w:vertAlign w:val="superscript"/>
        </w:rPr>
        <w:t>2</w:t>
      </w:r>
      <w:r w:rsidRPr="00720AFF">
        <w:rPr>
          <w:rFonts w:asciiTheme="minorHAnsi" w:hAnsiTheme="minorHAnsi"/>
          <w:color w:val="auto"/>
          <w:sz w:val="22"/>
        </w:rPr>
        <w:t xml:space="preserve"> was </w:t>
      </w:r>
      <w:r w:rsidR="006F289C" w:rsidRPr="00720AFF">
        <w:rPr>
          <w:rFonts w:asciiTheme="minorHAnsi" w:hAnsiTheme="minorHAnsi"/>
          <w:color w:val="auto"/>
          <w:sz w:val="22"/>
        </w:rPr>
        <w:t xml:space="preserve">recently considered </w:t>
      </w:r>
      <w:r w:rsidR="00FD44D6" w:rsidRPr="00720AFF">
        <w:rPr>
          <w:rFonts w:asciiTheme="minorHAnsi" w:hAnsiTheme="minorHAnsi"/>
          <w:color w:val="auto"/>
          <w:sz w:val="22"/>
        </w:rPr>
        <w:t>in the 2024 KPMG report</w:t>
      </w:r>
      <w:r w:rsidR="003A193C" w:rsidRPr="00720AFF">
        <w:rPr>
          <w:rFonts w:asciiTheme="minorHAnsi" w:hAnsiTheme="minorHAnsi"/>
          <w:color w:val="auto"/>
          <w:sz w:val="22"/>
        </w:rPr>
        <w:t>.</w:t>
      </w:r>
      <w:r w:rsidR="00191E68" w:rsidRPr="00720AFF">
        <w:rPr>
          <w:rStyle w:val="FootnoteReference"/>
          <w:rFonts w:asciiTheme="minorHAnsi" w:hAnsiTheme="minorHAnsi"/>
          <w:color w:val="auto"/>
          <w:sz w:val="22"/>
        </w:rPr>
        <w:footnoteReference w:id="16"/>
      </w:r>
      <w:r w:rsidR="003A193C" w:rsidRPr="00720AFF">
        <w:rPr>
          <w:rFonts w:asciiTheme="minorHAnsi" w:hAnsiTheme="minorHAnsi"/>
          <w:color w:val="auto"/>
          <w:sz w:val="22"/>
        </w:rPr>
        <w:t xml:space="preserve"> </w:t>
      </w:r>
      <w:r w:rsidR="00F61B52" w:rsidRPr="00720AFF">
        <w:rPr>
          <w:rFonts w:asciiTheme="minorHAnsi" w:hAnsiTheme="minorHAnsi"/>
          <w:color w:val="auto"/>
          <w:sz w:val="22"/>
        </w:rPr>
        <w:t>The UK, German</w:t>
      </w:r>
      <w:r w:rsidR="000C53C5" w:rsidRPr="00720AFF">
        <w:rPr>
          <w:rFonts w:asciiTheme="minorHAnsi" w:hAnsiTheme="minorHAnsi"/>
          <w:color w:val="auto"/>
          <w:sz w:val="22"/>
        </w:rPr>
        <w:t>y</w:t>
      </w:r>
      <w:r w:rsidR="00F61B52" w:rsidRPr="00720AFF">
        <w:rPr>
          <w:rFonts w:asciiTheme="minorHAnsi" w:hAnsiTheme="minorHAnsi"/>
          <w:color w:val="auto"/>
          <w:sz w:val="22"/>
        </w:rPr>
        <w:t xml:space="preserve">, France, Norway and others all have blanket disclosure of </w:t>
      </w:r>
      <w:r w:rsidR="008F032C" w:rsidRPr="00720AFF">
        <w:rPr>
          <w:rFonts w:asciiTheme="minorHAnsi" w:hAnsiTheme="minorHAnsi"/>
          <w:color w:val="auto"/>
          <w:sz w:val="22"/>
        </w:rPr>
        <w:t>Energy Performance Certificates (</w:t>
      </w:r>
      <w:r w:rsidR="00F61B52" w:rsidRPr="00720AFF">
        <w:rPr>
          <w:rFonts w:asciiTheme="minorHAnsi" w:hAnsiTheme="minorHAnsi"/>
          <w:color w:val="auto"/>
          <w:sz w:val="22"/>
        </w:rPr>
        <w:t>EPC</w:t>
      </w:r>
      <w:r w:rsidR="008F032C" w:rsidRPr="00720AFF">
        <w:rPr>
          <w:rFonts w:asciiTheme="minorHAnsi" w:hAnsiTheme="minorHAnsi"/>
          <w:color w:val="auto"/>
          <w:sz w:val="22"/>
        </w:rPr>
        <w:t>)</w:t>
      </w:r>
      <w:r w:rsidR="00F61B52" w:rsidRPr="00720AFF">
        <w:rPr>
          <w:rFonts w:asciiTheme="minorHAnsi" w:hAnsiTheme="minorHAnsi"/>
          <w:color w:val="auto"/>
          <w:sz w:val="22"/>
        </w:rPr>
        <w:t xml:space="preserve"> policies for non-residential or ter</w:t>
      </w:r>
      <w:r w:rsidR="00127E48" w:rsidRPr="00720AFF">
        <w:rPr>
          <w:rFonts w:asciiTheme="minorHAnsi" w:hAnsiTheme="minorHAnsi"/>
          <w:color w:val="auto"/>
          <w:sz w:val="22"/>
        </w:rPr>
        <w:t>tiary</w:t>
      </w:r>
      <w:r w:rsidR="00F61B52" w:rsidRPr="00720AFF">
        <w:rPr>
          <w:rFonts w:asciiTheme="minorHAnsi" w:hAnsiTheme="minorHAnsi"/>
          <w:color w:val="auto"/>
          <w:sz w:val="22"/>
        </w:rPr>
        <w:t xml:space="preserve"> buildings over a particular size.</w:t>
      </w:r>
      <w:r w:rsidR="00505498" w:rsidRPr="00720AFF">
        <w:rPr>
          <w:rFonts w:asciiTheme="minorHAnsi" w:hAnsiTheme="minorHAnsi"/>
          <w:color w:val="auto"/>
          <w:sz w:val="22"/>
        </w:rPr>
        <w:t xml:space="preserve"> However, </w:t>
      </w:r>
      <w:r w:rsidR="00275520" w:rsidRPr="00720AFF">
        <w:rPr>
          <w:rFonts w:asciiTheme="minorHAnsi" w:hAnsiTheme="minorHAnsi"/>
          <w:color w:val="auto"/>
          <w:sz w:val="22"/>
        </w:rPr>
        <w:t xml:space="preserve">the </w:t>
      </w:r>
      <w:r w:rsidR="0063758B" w:rsidRPr="00720AFF">
        <w:rPr>
          <w:rFonts w:asciiTheme="minorHAnsi" w:hAnsiTheme="minorHAnsi"/>
          <w:color w:val="auto"/>
          <w:sz w:val="22"/>
        </w:rPr>
        <w:t xml:space="preserve">EPC </w:t>
      </w:r>
      <w:r w:rsidR="0063758B" w:rsidRPr="00720AFF">
        <w:rPr>
          <w:rFonts w:asciiTheme="minorHAnsi" w:hAnsiTheme="minorHAnsi" w:cstheme="minorHAnsi"/>
          <w:color w:val="auto"/>
          <w:sz w:val="22"/>
        </w:rPr>
        <w:t>is an attribute</w:t>
      </w:r>
      <w:r w:rsidR="00B964DF" w:rsidRPr="00720AFF">
        <w:rPr>
          <w:rFonts w:asciiTheme="minorHAnsi" w:hAnsiTheme="minorHAnsi" w:cstheme="minorHAnsi"/>
          <w:color w:val="auto"/>
          <w:sz w:val="22"/>
        </w:rPr>
        <w:t>-</w:t>
      </w:r>
      <w:r w:rsidR="0063758B" w:rsidRPr="00720AFF">
        <w:rPr>
          <w:rFonts w:asciiTheme="minorHAnsi" w:hAnsiTheme="minorHAnsi" w:cstheme="minorHAnsi"/>
          <w:color w:val="auto"/>
          <w:sz w:val="22"/>
        </w:rPr>
        <w:t>based measure which is easier to roll out and monitor at scale.</w:t>
      </w:r>
      <w:r w:rsidR="00B964DF" w:rsidRPr="00720AFF">
        <w:rPr>
          <w:rFonts w:asciiTheme="minorHAnsi" w:hAnsiTheme="minorHAnsi" w:cstheme="minorHAnsi"/>
          <w:color w:val="auto"/>
          <w:sz w:val="22"/>
        </w:rPr>
        <w:t xml:space="preserve"> </w:t>
      </w:r>
      <w:r w:rsidR="00B964DF" w:rsidRPr="00720AFF">
        <w:rPr>
          <w:rFonts w:asciiTheme="minorHAnsi" w:hAnsiTheme="minorHAnsi" w:cstheme="minorHAnsi"/>
          <w:color w:val="auto"/>
          <w:sz w:val="22"/>
        </w:rPr>
        <w:lastRenderedPageBreak/>
        <w:t>This</w:t>
      </w:r>
      <w:r w:rsidR="00596D1A" w:rsidRPr="00720AFF">
        <w:rPr>
          <w:rFonts w:asciiTheme="minorHAnsi" w:hAnsiTheme="minorHAnsi" w:cstheme="minorHAnsi"/>
          <w:color w:val="auto"/>
          <w:sz w:val="22"/>
        </w:rPr>
        <w:t xml:space="preserve"> </w:t>
      </w:r>
      <w:r w:rsidR="00B964DF" w:rsidRPr="00720AFF">
        <w:rPr>
          <w:rFonts w:asciiTheme="minorHAnsi" w:hAnsiTheme="minorHAnsi" w:cstheme="minorHAnsi"/>
          <w:color w:val="auto"/>
          <w:sz w:val="22"/>
        </w:rPr>
        <w:t xml:space="preserve">approach </w:t>
      </w:r>
      <w:r w:rsidR="00596D1A" w:rsidRPr="00720AFF">
        <w:rPr>
          <w:rFonts w:asciiTheme="minorHAnsi" w:hAnsiTheme="minorHAnsi" w:cstheme="minorHAnsi"/>
          <w:color w:val="auto"/>
          <w:sz w:val="22"/>
        </w:rPr>
        <w:t>would result in costs being incurred by more building o</w:t>
      </w:r>
      <w:r w:rsidR="00394C16" w:rsidRPr="00720AFF">
        <w:rPr>
          <w:rFonts w:asciiTheme="minorHAnsi" w:hAnsiTheme="minorHAnsi" w:cstheme="minorHAnsi"/>
          <w:color w:val="auto"/>
          <w:sz w:val="22"/>
        </w:rPr>
        <w:t xml:space="preserve">wners, </w:t>
      </w:r>
      <w:r w:rsidR="00EC537F" w:rsidRPr="00720AFF">
        <w:rPr>
          <w:rFonts w:asciiTheme="minorHAnsi" w:hAnsiTheme="minorHAnsi" w:cstheme="minorHAnsi"/>
          <w:color w:val="auto"/>
          <w:sz w:val="22"/>
        </w:rPr>
        <w:t>leading to high regulatory burden</w:t>
      </w:r>
      <w:r w:rsidR="00DB1EEB" w:rsidRPr="00720AFF">
        <w:rPr>
          <w:rFonts w:asciiTheme="minorHAnsi" w:hAnsiTheme="minorHAnsi" w:cstheme="minorHAnsi"/>
          <w:color w:val="auto"/>
          <w:sz w:val="22"/>
        </w:rPr>
        <w:t>. S</w:t>
      </w:r>
      <w:r w:rsidR="00E4341F" w:rsidRPr="00720AFF">
        <w:rPr>
          <w:rFonts w:asciiTheme="minorHAnsi" w:hAnsiTheme="minorHAnsi" w:cstheme="minorHAnsi"/>
          <w:color w:val="auto"/>
          <w:sz w:val="22"/>
        </w:rPr>
        <w:t xml:space="preserve">ome of </w:t>
      </w:r>
      <w:r w:rsidR="00DB1EEB" w:rsidRPr="00720AFF">
        <w:rPr>
          <w:rFonts w:asciiTheme="minorHAnsi" w:hAnsiTheme="minorHAnsi" w:cstheme="minorHAnsi"/>
          <w:color w:val="auto"/>
          <w:sz w:val="22"/>
        </w:rPr>
        <w:t>these owners</w:t>
      </w:r>
      <w:r w:rsidR="00E4341F" w:rsidRPr="00720AFF">
        <w:rPr>
          <w:rFonts w:asciiTheme="minorHAnsi" w:hAnsiTheme="minorHAnsi" w:cstheme="minorHAnsi"/>
          <w:color w:val="auto"/>
          <w:sz w:val="22"/>
        </w:rPr>
        <w:t xml:space="preserve"> would </w:t>
      </w:r>
      <w:r w:rsidR="00DB1EEB" w:rsidRPr="00720AFF">
        <w:rPr>
          <w:rFonts w:asciiTheme="minorHAnsi" w:hAnsiTheme="minorHAnsi" w:cstheme="minorHAnsi"/>
          <w:color w:val="auto"/>
          <w:sz w:val="22"/>
        </w:rPr>
        <w:t xml:space="preserve">also </w:t>
      </w:r>
      <w:r w:rsidR="00E4341F" w:rsidRPr="00720AFF">
        <w:rPr>
          <w:rFonts w:asciiTheme="minorHAnsi" w:hAnsiTheme="minorHAnsi" w:cstheme="minorHAnsi"/>
          <w:color w:val="auto"/>
          <w:sz w:val="22"/>
        </w:rPr>
        <w:t>have limited capacity to address identified issues.</w:t>
      </w:r>
    </w:p>
    <w:p w14:paraId="76C38705" w14:textId="461FB896" w:rsidR="00662607" w:rsidRPr="00720AFF" w:rsidRDefault="00AD797C" w:rsidP="002D0A43">
      <w:pPr>
        <w:pStyle w:val="BodyText"/>
        <w:jc w:val="both"/>
        <w:rPr>
          <w:rFonts w:asciiTheme="minorHAnsi" w:hAnsiTheme="minorHAnsi" w:cstheme="minorHAnsi"/>
          <w:sz w:val="22"/>
        </w:rPr>
      </w:pPr>
      <w:r w:rsidRPr="00720AFF">
        <w:rPr>
          <w:rFonts w:asciiTheme="minorHAnsi" w:hAnsiTheme="minorHAnsi" w:cstheme="minorHAnsi"/>
          <w:sz w:val="22"/>
        </w:rPr>
        <w:t xml:space="preserve">A staged expansion </w:t>
      </w:r>
      <w:r w:rsidR="00F151B4" w:rsidRPr="00720AFF">
        <w:rPr>
          <w:rFonts w:asciiTheme="minorHAnsi" w:hAnsiTheme="minorHAnsi" w:cstheme="minorHAnsi"/>
          <w:sz w:val="22"/>
        </w:rPr>
        <w:t xml:space="preserve">does not </w:t>
      </w:r>
      <w:r w:rsidR="00AE731F" w:rsidRPr="00720AFF">
        <w:rPr>
          <w:rFonts w:asciiTheme="minorHAnsi" w:hAnsiTheme="minorHAnsi" w:cstheme="minorHAnsi"/>
          <w:sz w:val="22"/>
        </w:rPr>
        <w:t>mean that new regulation will be implemented</w:t>
      </w:r>
      <w:r w:rsidR="00FF74FC" w:rsidRPr="00720AFF">
        <w:rPr>
          <w:rFonts w:asciiTheme="minorHAnsi" w:hAnsiTheme="minorHAnsi" w:cstheme="minorHAnsi"/>
          <w:sz w:val="22"/>
        </w:rPr>
        <w:t xml:space="preserve"> for all significant se</w:t>
      </w:r>
      <w:r w:rsidR="00320FE6" w:rsidRPr="00720AFF">
        <w:rPr>
          <w:rFonts w:asciiTheme="minorHAnsi" w:hAnsiTheme="minorHAnsi" w:cstheme="minorHAnsi"/>
          <w:sz w:val="22"/>
        </w:rPr>
        <w:t>ctors</w:t>
      </w:r>
      <w:r w:rsidR="00ED3120" w:rsidRPr="00720AFF">
        <w:rPr>
          <w:rFonts w:asciiTheme="minorHAnsi" w:hAnsiTheme="minorHAnsi" w:cstheme="minorHAnsi"/>
          <w:sz w:val="22"/>
        </w:rPr>
        <w:t>.</w:t>
      </w:r>
      <w:r w:rsidR="00AE731F" w:rsidRPr="00720AFF">
        <w:rPr>
          <w:rFonts w:asciiTheme="minorHAnsi" w:hAnsiTheme="minorHAnsi" w:cstheme="minorHAnsi"/>
          <w:sz w:val="22"/>
        </w:rPr>
        <w:t xml:space="preserve"> </w:t>
      </w:r>
      <w:r w:rsidR="00ED3120" w:rsidRPr="00720AFF">
        <w:rPr>
          <w:rFonts w:asciiTheme="minorHAnsi" w:hAnsiTheme="minorHAnsi" w:cstheme="minorHAnsi"/>
          <w:sz w:val="22"/>
        </w:rPr>
        <w:t>R</w:t>
      </w:r>
      <w:r w:rsidR="00AE731F" w:rsidRPr="00720AFF">
        <w:rPr>
          <w:rFonts w:asciiTheme="minorHAnsi" w:hAnsiTheme="minorHAnsi" w:cstheme="minorHAnsi"/>
          <w:sz w:val="22"/>
        </w:rPr>
        <w:t>ather</w:t>
      </w:r>
      <w:r w:rsidR="00B079B6" w:rsidRPr="00720AFF">
        <w:rPr>
          <w:rFonts w:asciiTheme="minorHAnsi" w:hAnsiTheme="minorHAnsi" w:cstheme="minorHAnsi"/>
          <w:sz w:val="22"/>
        </w:rPr>
        <w:t>,</w:t>
      </w:r>
      <w:r w:rsidR="00AE731F" w:rsidRPr="00720AFF">
        <w:rPr>
          <w:rFonts w:asciiTheme="minorHAnsi" w:hAnsiTheme="minorHAnsi" w:cstheme="minorHAnsi"/>
          <w:sz w:val="22"/>
        </w:rPr>
        <w:t xml:space="preserve"> it </w:t>
      </w:r>
      <w:r w:rsidR="00574284" w:rsidRPr="00720AFF">
        <w:rPr>
          <w:rFonts w:asciiTheme="minorHAnsi" w:hAnsiTheme="minorHAnsi" w:cstheme="minorHAnsi"/>
          <w:sz w:val="22"/>
        </w:rPr>
        <w:t xml:space="preserve">is intended that government </w:t>
      </w:r>
      <w:r w:rsidR="000C71BF" w:rsidRPr="00720AFF">
        <w:rPr>
          <w:rFonts w:asciiTheme="minorHAnsi" w:hAnsiTheme="minorHAnsi" w:cstheme="minorHAnsi"/>
          <w:sz w:val="22"/>
        </w:rPr>
        <w:t xml:space="preserve">consider </w:t>
      </w:r>
      <w:r w:rsidR="003B4392" w:rsidRPr="00720AFF">
        <w:rPr>
          <w:rFonts w:asciiTheme="minorHAnsi" w:hAnsiTheme="minorHAnsi" w:cstheme="minorHAnsi"/>
          <w:sz w:val="22"/>
        </w:rPr>
        <w:t xml:space="preserve">each expansion change in priority order and </w:t>
      </w:r>
      <w:r w:rsidR="00AE731F" w:rsidRPr="00720AFF">
        <w:rPr>
          <w:rFonts w:asciiTheme="minorHAnsi" w:hAnsiTheme="minorHAnsi" w:cstheme="minorHAnsi"/>
          <w:sz w:val="22"/>
        </w:rPr>
        <w:t xml:space="preserve">follow a standard </w:t>
      </w:r>
      <w:r w:rsidR="00320FE6" w:rsidRPr="00720AFF">
        <w:rPr>
          <w:rFonts w:asciiTheme="minorHAnsi" w:hAnsiTheme="minorHAnsi" w:cstheme="minorHAnsi"/>
          <w:sz w:val="22"/>
        </w:rPr>
        <w:t xml:space="preserve">consultation and review </w:t>
      </w:r>
      <w:r w:rsidR="00B04C31" w:rsidRPr="00720AFF">
        <w:rPr>
          <w:rFonts w:asciiTheme="minorHAnsi" w:hAnsiTheme="minorHAnsi" w:cstheme="minorHAnsi"/>
          <w:sz w:val="22"/>
        </w:rPr>
        <w:t>process</w:t>
      </w:r>
      <w:r w:rsidR="00746C63" w:rsidRPr="00720AFF">
        <w:rPr>
          <w:rFonts w:asciiTheme="minorHAnsi" w:hAnsiTheme="minorHAnsi" w:cstheme="minorHAnsi"/>
          <w:sz w:val="22"/>
        </w:rPr>
        <w:t xml:space="preserve"> including public consultation, </w:t>
      </w:r>
      <w:r w:rsidR="00B04C31" w:rsidRPr="00720AFF">
        <w:rPr>
          <w:rFonts w:asciiTheme="minorHAnsi" w:hAnsiTheme="minorHAnsi" w:cstheme="minorHAnsi"/>
          <w:sz w:val="22"/>
        </w:rPr>
        <w:t>policy impact analysis</w:t>
      </w:r>
      <w:r w:rsidR="00746C63" w:rsidRPr="00720AFF">
        <w:rPr>
          <w:rFonts w:asciiTheme="minorHAnsi" w:hAnsiTheme="minorHAnsi" w:cstheme="minorHAnsi"/>
          <w:sz w:val="22"/>
        </w:rPr>
        <w:t xml:space="preserve"> and Ministerial decision making </w:t>
      </w:r>
      <w:r w:rsidR="00680FA0" w:rsidRPr="00720AFF">
        <w:rPr>
          <w:rFonts w:asciiTheme="minorHAnsi" w:hAnsiTheme="minorHAnsi" w:cstheme="minorHAnsi"/>
          <w:sz w:val="22"/>
        </w:rPr>
        <w:t>where appropriate</w:t>
      </w:r>
      <w:r w:rsidR="003D0C79" w:rsidRPr="00720AFF">
        <w:rPr>
          <w:rFonts w:asciiTheme="minorHAnsi" w:hAnsiTheme="minorHAnsi" w:cstheme="minorHAnsi"/>
          <w:sz w:val="22"/>
        </w:rPr>
        <w:t>.</w:t>
      </w:r>
    </w:p>
    <w:p w14:paraId="3A02B063" w14:textId="1B326118" w:rsidR="00542900" w:rsidRDefault="00542900" w:rsidP="002D0A43">
      <w:pPr>
        <w:pStyle w:val="BodyText"/>
        <w:jc w:val="both"/>
        <w:rPr>
          <w:rFonts w:asciiTheme="minorHAnsi" w:hAnsiTheme="minorHAnsi" w:cstheme="minorHAnsi"/>
          <w:sz w:val="22"/>
        </w:rPr>
      </w:pPr>
      <w:r w:rsidRPr="00720AFF">
        <w:rPr>
          <w:rFonts w:asciiTheme="minorHAnsi" w:hAnsiTheme="minorHAnsi" w:cstheme="minorHAnsi"/>
          <w:sz w:val="22"/>
        </w:rPr>
        <w:t>To implement this roadmap in full, a process of regular review and consideration of additional building types needs to be established. Before any expansion to new building types, there will be further consultation, policy impact analysis and time for affected stakeholders to prepare.</w:t>
      </w:r>
    </w:p>
    <w:p w14:paraId="6DC03FB7" w14:textId="77777777" w:rsidR="00FF5FD6" w:rsidRPr="00720AFF" w:rsidRDefault="00FF5FD6" w:rsidP="00FF5FD6">
      <w:pPr>
        <w:pStyle w:val="BodyText"/>
        <w:jc w:val="center"/>
        <w:rPr>
          <w:rFonts w:asciiTheme="minorHAnsi" w:hAnsiTheme="minorHAnsi"/>
          <w:color w:val="auto"/>
          <w:sz w:val="22"/>
        </w:rPr>
      </w:pPr>
      <w:r w:rsidRPr="00720AFF">
        <w:rPr>
          <w:rFonts w:asciiTheme="minorHAnsi" w:hAnsiTheme="minorHAnsi"/>
          <w:noProof/>
          <w:color w:val="auto"/>
          <w:sz w:val="22"/>
        </w:rPr>
        <w:drawing>
          <wp:inline distT="0" distB="0" distL="0" distR="0" wp14:anchorId="0F9894D8" wp14:editId="6B92EC0C">
            <wp:extent cx="4767381" cy="3187684"/>
            <wp:effectExtent l="0" t="0" r="0" b="0"/>
            <wp:docPr id="1901883975" name="Picture 1" descr="Figure 2: CBD Program regular review process.&#10;&#10;Cycle diagram illustrating the continuous policy process for expanding the number of buildings affected by energy disclosure requirements. Full description in appendi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91540" name="Picture 1" descr="Figure 2: CBD Program regular review process.&#10;&#10;Cycle diagram illustrating the continuous policy process for expanding the number of buildings affected by energy disclosure requirements. Full description in appendix.&#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35806" cy="3233436"/>
                    </a:xfrm>
                    <a:prstGeom prst="rect">
                      <a:avLst/>
                    </a:prstGeom>
                    <a:noFill/>
                  </pic:spPr>
                </pic:pic>
              </a:graphicData>
            </a:graphic>
          </wp:inline>
        </w:drawing>
      </w:r>
    </w:p>
    <w:p w14:paraId="03593024" w14:textId="77777777" w:rsidR="00FF5FD6" w:rsidRPr="00720AFF" w:rsidRDefault="00FF5FD6" w:rsidP="00FF5FD6">
      <w:pPr>
        <w:pStyle w:val="BodyText"/>
        <w:jc w:val="center"/>
        <w:rPr>
          <w:rFonts w:asciiTheme="minorHAnsi" w:hAnsiTheme="minorHAnsi"/>
          <w:color w:val="auto"/>
          <w:sz w:val="22"/>
        </w:rPr>
      </w:pPr>
      <w:r w:rsidRPr="00720AFF">
        <w:rPr>
          <w:noProof/>
        </w:rPr>
        <mc:AlternateContent>
          <mc:Choice Requires="wps">
            <w:drawing>
              <wp:anchor distT="0" distB="0" distL="114300" distR="114300" simplePos="0" relativeHeight="251658244" behindDoc="0" locked="0" layoutInCell="1" allowOverlap="1" wp14:anchorId="7E76706E" wp14:editId="20C437B4">
                <wp:simplePos x="0" y="0"/>
                <wp:positionH relativeFrom="margin">
                  <wp:posOffset>-105889</wp:posOffset>
                </wp:positionH>
                <wp:positionV relativeFrom="paragraph">
                  <wp:posOffset>244904</wp:posOffset>
                </wp:positionV>
                <wp:extent cx="6294474" cy="225188"/>
                <wp:effectExtent l="0" t="0" r="0" b="3810"/>
                <wp:wrapNone/>
                <wp:docPr id="262594280" name="Text Box 1"/>
                <wp:cNvGraphicFramePr/>
                <a:graphic xmlns:a="http://schemas.openxmlformats.org/drawingml/2006/main">
                  <a:graphicData uri="http://schemas.microsoft.com/office/word/2010/wordprocessingShape">
                    <wps:wsp>
                      <wps:cNvSpPr txBox="1"/>
                      <wps:spPr>
                        <a:xfrm>
                          <a:off x="0" y="0"/>
                          <a:ext cx="6294474" cy="225188"/>
                        </a:xfrm>
                        <a:prstGeom prst="rect">
                          <a:avLst/>
                        </a:prstGeom>
                        <a:solidFill>
                          <a:schemeClr val="lt1"/>
                        </a:solidFill>
                        <a:ln w="6350">
                          <a:noFill/>
                        </a:ln>
                      </wps:spPr>
                      <wps:txbx>
                        <w:txbxContent>
                          <w:p w14:paraId="51C5AB3D" w14:textId="72672664" w:rsidR="00FF5FD6" w:rsidRPr="00720AFF" w:rsidRDefault="00FF5FD6" w:rsidP="00FF5FD6">
                            <w:pPr>
                              <w:rPr>
                                <w:sz w:val="18"/>
                                <w:szCs w:val="18"/>
                              </w:rPr>
                            </w:pPr>
                            <w:r w:rsidRPr="00720AFF">
                              <w:rPr>
                                <w:b/>
                                <w:bCs/>
                                <w:sz w:val="18"/>
                                <w:szCs w:val="18"/>
                              </w:rPr>
                              <w:t xml:space="preserve">Figure </w:t>
                            </w:r>
                            <w:r>
                              <w:rPr>
                                <w:b/>
                                <w:bCs/>
                                <w:sz w:val="18"/>
                                <w:szCs w:val="18"/>
                              </w:rPr>
                              <w:t>4</w:t>
                            </w:r>
                            <w:r w:rsidRPr="00720AFF">
                              <w:rPr>
                                <w:b/>
                                <w:bCs/>
                                <w:sz w:val="18"/>
                                <w:szCs w:val="18"/>
                              </w:rPr>
                              <w:t>:</w:t>
                            </w:r>
                            <w:r>
                              <w:rPr>
                                <w:sz w:val="18"/>
                                <w:szCs w:val="18"/>
                              </w:rPr>
                              <w:t xml:space="preserve"> CBD Program regular review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706E" id="_x0000_s1029" type="#_x0000_t202" style="position:absolute;left:0;text-align:left;margin-left:-8.35pt;margin-top:19.3pt;width:495.65pt;height:17.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JIMQIAAFsEAAAOAAAAZHJzL2Uyb0RvYy54bWysVE1v2zAMvQ/YfxB0X5y4TpsacYosRYYB&#10;QVsgHXpWZCk2IIuapMTOfv0oOV/tdhp2kUmReiIfnzx96BpF9sK6GnRBR4MhJUJzKGu9LeiP1+WX&#10;CSXOM10yBVoU9CAcfZh9/jRtTS5SqECVwhIE0S5vTUEr702eJI5XomFuAEZoDEqwDfPo2m1SWtYi&#10;eqOSdDi8TVqwpbHAhXO4+9gH6SziSym4f5bSCU9UQbE2H1cb101Yk9mU5VvLTFXzYxnsH6poWK3x&#10;0jPUI/OM7Gz9B1RTcwsOpB9waBKQsuYi9oDdjIYfullXzIjYC5LjzJkm9/9g+dN+bV4s8d1X6HCA&#10;gZDWuNzhZuink7YJX6yUYBwpPJxpE50nHDdv0/ssu8so4RhL0/FoMgkwyeW0sc5/E9CQYBTU4lgi&#10;W2y/cr5PPaWEyxyoulzWSkUnSEEslCV7hkNUPtaI4O+ylCYtVnIzHkZgDeF4j6w01nLpKVi+23Sk&#10;Lgt6c+p3A+UBabDQK8QZvqyx1hVz/oVZlAR2jjL3z7hIBXgXHC1KKrC//rYf8nFSGKWkRYkV1P3c&#10;MSsoUd81zvB+lGVBk9HJxncpOvY6srmO6F2zACRghA/K8GiGfK9OprTQvOFrmIdbMcQ0x7sL6k/m&#10;wvfCx9fExXwek1CFhvmVXhseoAPhYRKv3Ruz5jguj4N+gpMYWf5han1uOKlhvvMg6zjSwHPP6pF+&#10;VHAUxfG1hSdy7cesyz9h9hsAAP//AwBQSwMEFAAGAAgAAAAhANN/CTjhAAAACQEAAA8AAABkcnMv&#10;ZG93bnJldi54bWxMj01Pg0AQhu8m/ofNmHgx7YLUUpGhMUZt4s3iR7xt2RGI7C5ht4D/3vGkt5nM&#10;k3eeN9/OphMjDb51FiFeRiDIVk63tkZ4KR8WGxA+KKtV5ywhfJOHbXF6kqtMu8k+07gPteAQ6zOF&#10;0ITQZ1L6qiGj/NL1ZPn26QajAq9DLfWgJg43nbyMorU0qrX8oVE93TVUfe2PBuHjon5/8vPj65Rc&#10;Jf39bizTN10inp/NtzcgAs3hD4ZffVaHgp0O7mi1Fx3CIl6njCIkmzUIBq7TFQ8HhHQVgyxy+b9B&#10;8QMAAP//AwBQSwECLQAUAAYACAAAACEAtoM4kv4AAADhAQAAEwAAAAAAAAAAAAAAAAAAAAAAW0Nv&#10;bnRlbnRfVHlwZXNdLnhtbFBLAQItABQABgAIAAAAIQA4/SH/1gAAAJQBAAALAAAAAAAAAAAAAAAA&#10;AC8BAABfcmVscy8ucmVsc1BLAQItABQABgAIAAAAIQDi6ZJIMQIAAFsEAAAOAAAAAAAAAAAAAAAA&#10;AC4CAABkcnMvZTJvRG9jLnhtbFBLAQItABQABgAIAAAAIQDTfwk44QAAAAkBAAAPAAAAAAAAAAAA&#10;AAAAAIsEAABkcnMvZG93bnJldi54bWxQSwUGAAAAAAQABADzAAAAmQUAAAAA&#10;" fillcolor="white [3201]" stroked="f" strokeweight=".5pt">
                <v:textbox>
                  <w:txbxContent>
                    <w:p w14:paraId="51C5AB3D" w14:textId="72672664" w:rsidR="00FF5FD6" w:rsidRPr="00720AFF" w:rsidRDefault="00FF5FD6" w:rsidP="00FF5FD6">
                      <w:pPr>
                        <w:rPr>
                          <w:sz w:val="18"/>
                          <w:szCs w:val="18"/>
                        </w:rPr>
                      </w:pPr>
                      <w:r w:rsidRPr="00720AFF">
                        <w:rPr>
                          <w:b/>
                          <w:bCs/>
                          <w:sz w:val="18"/>
                          <w:szCs w:val="18"/>
                        </w:rPr>
                        <w:t xml:space="preserve">Figure </w:t>
                      </w:r>
                      <w:r>
                        <w:rPr>
                          <w:b/>
                          <w:bCs/>
                          <w:sz w:val="18"/>
                          <w:szCs w:val="18"/>
                        </w:rPr>
                        <w:t>4</w:t>
                      </w:r>
                      <w:r w:rsidRPr="00720AFF">
                        <w:rPr>
                          <w:b/>
                          <w:bCs/>
                          <w:sz w:val="18"/>
                          <w:szCs w:val="18"/>
                        </w:rPr>
                        <w:t>:</w:t>
                      </w:r>
                      <w:r>
                        <w:rPr>
                          <w:sz w:val="18"/>
                          <w:szCs w:val="18"/>
                        </w:rPr>
                        <w:t xml:space="preserve"> CBD Program regular review process.</w:t>
                      </w:r>
                    </w:p>
                  </w:txbxContent>
                </v:textbox>
                <w10:wrap anchorx="margin"/>
              </v:shape>
            </w:pict>
          </mc:Fallback>
        </mc:AlternateContent>
      </w:r>
    </w:p>
    <w:p w14:paraId="05AE9952" w14:textId="77777777" w:rsidR="00FF5FD6" w:rsidRPr="00720AFF" w:rsidRDefault="00FF5FD6" w:rsidP="002D0A43">
      <w:pPr>
        <w:pStyle w:val="BodyText"/>
        <w:jc w:val="both"/>
        <w:rPr>
          <w:rFonts w:asciiTheme="minorHAnsi" w:hAnsiTheme="minorHAnsi" w:cstheme="minorHAnsi"/>
          <w:color w:val="auto"/>
          <w:sz w:val="22"/>
        </w:rPr>
      </w:pPr>
    </w:p>
    <w:p w14:paraId="2119E71A" w14:textId="4687433E" w:rsidR="00270DC0" w:rsidRPr="00720AFF" w:rsidRDefault="00270DC0" w:rsidP="002D0A43">
      <w:pPr>
        <w:pStyle w:val="Heading3"/>
        <w:numPr>
          <w:ilvl w:val="1"/>
          <w:numId w:val="28"/>
        </w:numPr>
        <w:spacing w:after="120"/>
        <w:jc w:val="both"/>
      </w:pPr>
      <w:bookmarkStart w:id="13" w:name="_Toc200017001"/>
      <w:r w:rsidRPr="00720AFF">
        <w:t xml:space="preserve">Roadmap </w:t>
      </w:r>
      <w:r w:rsidR="001E7781" w:rsidRPr="00720AFF">
        <w:t>benefits</w:t>
      </w:r>
      <w:bookmarkEnd w:id="13"/>
    </w:p>
    <w:p w14:paraId="090A93A8" w14:textId="1C60D0CE" w:rsidR="00C379DB" w:rsidRPr="00720AFF" w:rsidRDefault="002F78F1" w:rsidP="002D0A43">
      <w:pPr>
        <w:spacing w:after="120"/>
        <w:jc w:val="both"/>
      </w:pPr>
      <w:r w:rsidRPr="00720AFF">
        <w:t xml:space="preserve">Requiring certain </w:t>
      </w:r>
      <w:r w:rsidR="00121F6F" w:rsidRPr="00720AFF">
        <w:t xml:space="preserve">building owners </w:t>
      </w:r>
      <w:r w:rsidR="00013D9A" w:rsidRPr="00720AFF">
        <w:t xml:space="preserve">and tenants to </w:t>
      </w:r>
      <w:r w:rsidR="004A4A0F" w:rsidRPr="00720AFF">
        <w:t xml:space="preserve">obtain an energy </w:t>
      </w:r>
      <w:r w:rsidR="006C0C9A" w:rsidRPr="00720AFF">
        <w:t xml:space="preserve">performance </w:t>
      </w:r>
      <w:r w:rsidR="004A4A0F" w:rsidRPr="00720AFF">
        <w:t>rating and disclose that rating is</w:t>
      </w:r>
      <w:r w:rsidR="00A32A0C" w:rsidRPr="00720AFF">
        <w:t xml:space="preserve"> a form of light touch regulation that does not mandate any </w:t>
      </w:r>
      <w:r w:rsidR="007E1D74" w:rsidRPr="00720AFF">
        <w:t>specific</w:t>
      </w:r>
      <w:r w:rsidR="00A32A0C" w:rsidRPr="00720AFF">
        <w:t xml:space="preserve"> </w:t>
      </w:r>
      <w:r w:rsidR="006C29A5" w:rsidRPr="00720AFF">
        <w:t xml:space="preserve">investments in </w:t>
      </w:r>
      <w:r w:rsidR="00A32A0C" w:rsidRPr="00720AFF">
        <w:t>energy upgrade</w:t>
      </w:r>
      <w:r w:rsidR="007E1D74" w:rsidRPr="00720AFF">
        <w:t>s</w:t>
      </w:r>
      <w:r w:rsidR="00A32A0C" w:rsidRPr="00720AFF">
        <w:t xml:space="preserve">. It relies on </w:t>
      </w:r>
      <w:r w:rsidR="001E1BD9" w:rsidRPr="00720AFF">
        <w:t>people</w:t>
      </w:r>
      <w:r w:rsidR="00FB666B" w:rsidRPr="00720AFF">
        <w:t xml:space="preserve"> and organisations understanding a building</w:t>
      </w:r>
      <w:r w:rsidR="00674E2F" w:rsidRPr="00720AFF">
        <w:t>’</w:t>
      </w:r>
      <w:r w:rsidR="00FB666B" w:rsidRPr="00720AFF">
        <w:t xml:space="preserve">s energy performance and </w:t>
      </w:r>
      <w:proofErr w:type="gramStart"/>
      <w:r w:rsidR="00FB666B" w:rsidRPr="00720AFF">
        <w:t>taking action</w:t>
      </w:r>
      <w:proofErr w:type="gramEnd"/>
      <w:r w:rsidR="00FB666B" w:rsidRPr="00720AFF">
        <w:t>.</w:t>
      </w:r>
      <w:r w:rsidR="0007647F" w:rsidRPr="00720AFF">
        <w:t xml:space="preserve"> </w:t>
      </w:r>
      <w:r w:rsidR="001A05C2" w:rsidRPr="00720AFF">
        <w:t>These a</w:t>
      </w:r>
      <w:r w:rsidR="003A2FF4" w:rsidRPr="00720AFF">
        <w:t xml:space="preserve">ctions </w:t>
      </w:r>
      <w:r w:rsidR="00952ED3" w:rsidRPr="00720AFF">
        <w:t xml:space="preserve">can </w:t>
      </w:r>
      <w:r w:rsidR="003A2FF4" w:rsidRPr="00720AFF">
        <w:t>include</w:t>
      </w:r>
      <w:r w:rsidR="00C379DB" w:rsidRPr="00720AFF">
        <w:t>:</w:t>
      </w:r>
    </w:p>
    <w:p w14:paraId="36CCC71A" w14:textId="23A51544" w:rsidR="00C379DB" w:rsidRPr="00720AFF" w:rsidRDefault="009F28FC" w:rsidP="002D0A43">
      <w:pPr>
        <w:pStyle w:val="ListParagraph"/>
        <w:numPr>
          <w:ilvl w:val="0"/>
          <w:numId w:val="24"/>
        </w:numPr>
        <w:spacing w:after="60"/>
        <w:ind w:left="714" w:hanging="357"/>
        <w:jc w:val="both"/>
      </w:pPr>
      <w:r w:rsidRPr="00720AFF">
        <w:t>building owner</w:t>
      </w:r>
      <w:r w:rsidR="003A2FF4" w:rsidRPr="00720AFF">
        <w:t>s</w:t>
      </w:r>
      <w:r w:rsidRPr="00720AFF">
        <w:t xml:space="preserve"> deciding to </w:t>
      </w:r>
      <w:r w:rsidR="0050576E" w:rsidRPr="00720AFF">
        <w:t>upgrade a part of their building to make it more</w:t>
      </w:r>
      <w:r w:rsidR="008C3399" w:rsidRPr="00720AFF">
        <w:t xml:space="preserve"> </w:t>
      </w:r>
      <w:r w:rsidR="00F76899" w:rsidRPr="00720AFF">
        <w:t>energy efficient</w:t>
      </w:r>
    </w:p>
    <w:p w14:paraId="5F057F7A" w14:textId="77777777" w:rsidR="00C379DB" w:rsidRPr="00720AFF" w:rsidRDefault="00762D3A" w:rsidP="002D0A43">
      <w:pPr>
        <w:pStyle w:val="ListParagraph"/>
        <w:numPr>
          <w:ilvl w:val="0"/>
          <w:numId w:val="24"/>
        </w:numPr>
        <w:spacing w:after="60"/>
        <w:ind w:left="714" w:hanging="357"/>
        <w:jc w:val="both"/>
      </w:pPr>
      <w:r w:rsidRPr="00720AFF">
        <w:t>building manager</w:t>
      </w:r>
      <w:r w:rsidR="005A3261" w:rsidRPr="00720AFF">
        <w:t>s making</w:t>
      </w:r>
      <w:r w:rsidR="00DE2E66" w:rsidRPr="00720AFF">
        <w:t xml:space="preserve"> operational </w:t>
      </w:r>
      <w:r w:rsidR="00180E66" w:rsidRPr="00720AFF">
        <w:t>decisions</w:t>
      </w:r>
      <w:r w:rsidR="00F86CBB" w:rsidRPr="00720AFF">
        <w:t xml:space="preserve"> to optimise </w:t>
      </w:r>
      <w:r w:rsidR="00363978" w:rsidRPr="00720AFF">
        <w:t>the existing buildin</w:t>
      </w:r>
      <w:r w:rsidR="00C70484" w:rsidRPr="00720AFF">
        <w:t>g performance</w:t>
      </w:r>
    </w:p>
    <w:p w14:paraId="6C79A21E" w14:textId="77777777" w:rsidR="00147C82" w:rsidRPr="00720AFF" w:rsidRDefault="00C70484" w:rsidP="002D0A43">
      <w:pPr>
        <w:pStyle w:val="ListParagraph"/>
        <w:numPr>
          <w:ilvl w:val="0"/>
          <w:numId w:val="24"/>
        </w:numPr>
        <w:spacing w:after="60"/>
        <w:ind w:left="714" w:hanging="357"/>
        <w:jc w:val="both"/>
      </w:pPr>
      <w:r w:rsidRPr="00720AFF">
        <w:t>tenants making changes to their behaviour</w:t>
      </w:r>
    </w:p>
    <w:p w14:paraId="308CA102" w14:textId="6F482EB3" w:rsidR="00C379DB" w:rsidRPr="00720AFF" w:rsidRDefault="008F1FBC" w:rsidP="002D0A43">
      <w:pPr>
        <w:pStyle w:val="ListParagraph"/>
        <w:numPr>
          <w:ilvl w:val="0"/>
          <w:numId w:val="24"/>
        </w:numPr>
        <w:spacing w:after="60"/>
        <w:ind w:left="714" w:hanging="357"/>
        <w:jc w:val="both"/>
      </w:pPr>
      <w:r w:rsidRPr="00720AFF">
        <w:t>purchaser</w:t>
      </w:r>
      <w:r w:rsidR="00147C82" w:rsidRPr="00720AFF">
        <w:t>s</w:t>
      </w:r>
      <w:r w:rsidRPr="00720AFF">
        <w:t xml:space="preserve"> and prospective tenants </w:t>
      </w:r>
      <w:r w:rsidR="00833B67">
        <w:t>deciding</w:t>
      </w:r>
      <w:r w:rsidR="00FE3407" w:rsidRPr="00720AFF">
        <w:t xml:space="preserve"> to own and occupy energy </w:t>
      </w:r>
      <w:r w:rsidR="00E141D8" w:rsidRPr="00720AFF">
        <w:t xml:space="preserve">efficient </w:t>
      </w:r>
      <w:r w:rsidR="00FE3407" w:rsidRPr="00720AFF">
        <w:t>buildings</w:t>
      </w:r>
    </w:p>
    <w:p w14:paraId="75615FEF" w14:textId="0F38F744" w:rsidR="00124E90" w:rsidRPr="00720AFF" w:rsidRDefault="00F27E7D" w:rsidP="002D0A43">
      <w:pPr>
        <w:pStyle w:val="ListParagraph"/>
        <w:numPr>
          <w:ilvl w:val="0"/>
          <w:numId w:val="24"/>
        </w:numPr>
        <w:spacing w:after="60"/>
        <w:ind w:left="714" w:hanging="357"/>
        <w:jc w:val="both"/>
      </w:pPr>
      <w:r w:rsidRPr="00720AFF">
        <w:t>investors</w:t>
      </w:r>
      <w:r w:rsidR="0095716D" w:rsidRPr="00720AFF">
        <w:t xml:space="preserve"> </w:t>
      </w:r>
      <w:r w:rsidR="00860404" w:rsidRPr="00720AFF">
        <w:t xml:space="preserve">choosing to </w:t>
      </w:r>
      <w:r w:rsidRPr="00720AFF">
        <w:t xml:space="preserve">invest in </w:t>
      </w:r>
      <w:r w:rsidR="00D41E28" w:rsidRPr="00720AFF">
        <w:t>high performing buildings</w:t>
      </w:r>
      <w:r w:rsidR="00952ED3" w:rsidRPr="00720AFF">
        <w:t>.</w:t>
      </w:r>
    </w:p>
    <w:p w14:paraId="2B1D078C" w14:textId="31C1E5C9" w:rsidR="00C56DA6" w:rsidRPr="00720AFF" w:rsidRDefault="00C56DA6" w:rsidP="002D0A43">
      <w:pPr>
        <w:spacing w:after="120"/>
        <w:jc w:val="both"/>
      </w:pPr>
      <w:r w:rsidRPr="00720AFF">
        <w:t xml:space="preserve">While the regulation does not require action, estimates of future energy and emissions savings that can be expected </w:t>
      </w:r>
      <w:r w:rsidR="008D2C96" w:rsidRPr="00720AFF">
        <w:t xml:space="preserve">can be </w:t>
      </w:r>
      <w:r w:rsidR="008425EB" w:rsidRPr="00720AFF">
        <w:t>calculated based on NABERS and CBD historical data</w:t>
      </w:r>
      <w:r w:rsidR="003152D8" w:rsidRPr="00720AFF">
        <w:t>, along with a</w:t>
      </w:r>
      <w:r w:rsidR="008425EB" w:rsidRPr="00720AFF">
        <w:t xml:space="preserve"> conservative estimate </w:t>
      </w:r>
      <w:r w:rsidR="00C201B3" w:rsidRPr="00720AFF">
        <w:t>of</w:t>
      </w:r>
      <w:r w:rsidR="004D64C4" w:rsidRPr="00720AFF">
        <w:t xml:space="preserve"> </w:t>
      </w:r>
      <w:r w:rsidR="0043218A" w:rsidRPr="00720AFF">
        <w:t xml:space="preserve">the impact of </w:t>
      </w:r>
      <w:r w:rsidR="008425EB" w:rsidRPr="00720AFF">
        <w:t>mandatory disclosure leading directly to an upgrade in building energy performance that would not otherwise have been expected to have occurred.</w:t>
      </w:r>
    </w:p>
    <w:p w14:paraId="1C19BC30" w14:textId="757B7095" w:rsidR="00A85AAA" w:rsidRPr="00720AFF" w:rsidRDefault="005E5EF0" w:rsidP="002D0A43">
      <w:pPr>
        <w:spacing w:after="120"/>
        <w:jc w:val="both"/>
      </w:pPr>
      <w:r w:rsidRPr="00720AFF">
        <w:lastRenderedPageBreak/>
        <w:t>F</w:t>
      </w:r>
      <w:r w:rsidR="003234A1" w:rsidRPr="00720AFF">
        <w:t xml:space="preserve">uture </w:t>
      </w:r>
      <w:r w:rsidR="00FD40D1" w:rsidRPr="00720AFF">
        <w:t>e</w:t>
      </w:r>
      <w:r w:rsidR="00C87292" w:rsidRPr="00720AFF">
        <w:t>missions savings</w:t>
      </w:r>
      <w:r w:rsidR="00C8060A" w:rsidRPr="00720AFF">
        <w:t xml:space="preserve"> from the current CBD Program</w:t>
      </w:r>
      <w:r w:rsidR="00C87292" w:rsidRPr="00720AFF">
        <w:t xml:space="preserve"> </w:t>
      </w:r>
      <w:r w:rsidR="003234A1" w:rsidRPr="00720AFF">
        <w:t>(</w:t>
      </w:r>
      <w:r w:rsidR="00F007E9" w:rsidRPr="00720AFF">
        <w:t xml:space="preserve">cumulative from </w:t>
      </w:r>
      <w:r w:rsidR="003234A1" w:rsidRPr="00720AFF">
        <w:t>202</w:t>
      </w:r>
      <w:r w:rsidR="004B70B4" w:rsidRPr="00720AFF">
        <w:t>6</w:t>
      </w:r>
      <w:r w:rsidR="003234A1" w:rsidRPr="00720AFF">
        <w:t xml:space="preserve"> to 2035)</w:t>
      </w:r>
      <w:r w:rsidR="00C84DAE" w:rsidRPr="00720AFF">
        <w:t xml:space="preserve">, without any </w:t>
      </w:r>
      <w:r w:rsidR="00C2324B" w:rsidRPr="00720AFF">
        <w:t xml:space="preserve">further changes, is estimated </w:t>
      </w:r>
      <w:r w:rsidR="004F17E0" w:rsidRPr="00720AFF">
        <w:t>at</w:t>
      </w:r>
      <w:r w:rsidR="00C2324B" w:rsidRPr="00720AFF">
        <w:t xml:space="preserve"> </w:t>
      </w:r>
      <w:r w:rsidR="00034031" w:rsidRPr="00720AFF">
        <w:t>0.4</w:t>
      </w:r>
      <w:r w:rsidR="0052646E" w:rsidRPr="00720AFF">
        <w:t xml:space="preserve"> </w:t>
      </w:r>
      <w:r w:rsidR="00F007E9" w:rsidRPr="00720AFF">
        <w:t xml:space="preserve">Mt CO2-e </w:t>
      </w:r>
      <w:r w:rsidR="000B08D3" w:rsidRPr="00720AFF">
        <w:t xml:space="preserve">(Figure </w:t>
      </w:r>
      <w:r w:rsidR="00D37E21" w:rsidRPr="00720AFF">
        <w:t>4</w:t>
      </w:r>
      <w:r w:rsidR="000B08D3" w:rsidRPr="00720AFF">
        <w:t>)</w:t>
      </w:r>
      <w:r w:rsidR="00B114C6" w:rsidRPr="00720AFF">
        <w:t>.</w:t>
      </w:r>
      <w:r w:rsidR="00F007E9" w:rsidRPr="00720AFF">
        <w:t xml:space="preserve"> </w:t>
      </w:r>
      <w:r w:rsidR="00890E90" w:rsidRPr="00720AFF">
        <w:t xml:space="preserve">The current </w:t>
      </w:r>
      <w:r w:rsidR="006677FB" w:rsidRPr="00720AFF">
        <w:t>CBD P</w:t>
      </w:r>
      <w:r w:rsidR="00890E90" w:rsidRPr="00720AFF">
        <w:t>rogram is predicted to produce annual energy savings of</w:t>
      </w:r>
      <w:r w:rsidR="00FD457E" w:rsidRPr="00720AFF">
        <w:t xml:space="preserve"> </w:t>
      </w:r>
      <w:r w:rsidR="00791AE2" w:rsidRPr="00720AFF">
        <w:t xml:space="preserve">2.1 </w:t>
      </w:r>
      <w:r w:rsidR="00AC7A49" w:rsidRPr="00720AFF">
        <w:t>P</w:t>
      </w:r>
      <w:r w:rsidR="00621D16" w:rsidRPr="00720AFF">
        <w:t>J</w:t>
      </w:r>
      <w:r w:rsidR="00890E90" w:rsidRPr="00720AFF">
        <w:t xml:space="preserve"> by 2035</w:t>
      </w:r>
      <w:r w:rsidR="00563974" w:rsidRPr="00720AFF">
        <w:t>, relative to 2025</w:t>
      </w:r>
      <w:r w:rsidR="00177B8E" w:rsidRPr="00720AFF">
        <w:t xml:space="preserve"> (Figure </w:t>
      </w:r>
      <w:r w:rsidR="00D37E21" w:rsidRPr="00720AFF">
        <w:t>5</w:t>
      </w:r>
      <w:r w:rsidR="00177B8E" w:rsidRPr="00720AFF">
        <w:t>)</w:t>
      </w:r>
      <w:r w:rsidR="004F17E0" w:rsidRPr="00720AFF">
        <w:t>.</w:t>
      </w:r>
    </w:p>
    <w:p w14:paraId="2E9D7729" w14:textId="26DF106F" w:rsidR="00421215" w:rsidRDefault="005528B4" w:rsidP="002D0A43">
      <w:pPr>
        <w:spacing w:after="120"/>
        <w:jc w:val="both"/>
      </w:pPr>
      <w:r w:rsidRPr="00720AFF">
        <w:t>Implementing</w:t>
      </w:r>
      <w:r w:rsidR="00537184" w:rsidRPr="00720AFF">
        <w:t xml:space="preserve"> the </w:t>
      </w:r>
      <w:r w:rsidRPr="00720AFF">
        <w:t>high priority expansion changes under t</w:t>
      </w:r>
      <w:r w:rsidR="00797ACA" w:rsidRPr="00720AFF">
        <w:t xml:space="preserve">his roadmap </w:t>
      </w:r>
      <w:r w:rsidR="004B4759" w:rsidRPr="00720AFF">
        <w:t>(stages 1-</w:t>
      </w:r>
      <w:r w:rsidR="00D0788F">
        <w:t>7</w:t>
      </w:r>
      <w:r w:rsidR="004B4759" w:rsidRPr="00720AFF">
        <w:t xml:space="preserve">) </w:t>
      </w:r>
      <w:r w:rsidR="001D5531" w:rsidRPr="00720AFF">
        <w:t>would see</w:t>
      </w:r>
      <w:r w:rsidR="00AB4289" w:rsidRPr="00720AFF">
        <w:t xml:space="preserve"> </w:t>
      </w:r>
      <w:r w:rsidR="005B666B" w:rsidRPr="00720AFF">
        <w:t xml:space="preserve">future </w:t>
      </w:r>
      <w:r w:rsidR="005E5EF0" w:rsidRPr="00720AFF">
        <w:t xml:space="preserve">cumulative emissions savings </w:t>
      </w:r>
      <w:r w:rsidR="005326D8" w:rsidRPr="00720AFF">
        <w:t>from 202</w:t>
      </w:r>
      <w:r w:rsidR="003C3F70" w:rsidRPr="00720AFF">
        <w:t>6</w:t>
      </w:r>
      <w:r w:rsidR="005326D8" w:rsidRPr="00720AFF">
        <w:t xml:space="preserve"> to 2035 </w:t>
      </w:r>
      <w:r w:rsidR="009C4E99" w:rsidRPr="00720AFF">
        <w:t xml:space="preserve">grow to </w:t>
      </w:r>
      <w:r w:rsidR="00AB4289" w:rsidRPr="00720AFF">
        <w:t xml:space="preserve">approximately </w:t>
      </w:r>
      <w:r w:rsidR="00331930" w:rsidRPr="00720AFF">
        <w:t>1.1</w:t>
      </w:r>
      <w:r w:rsidR="009C4E99" w:rsidRPr="00720AFF">
        <w:t xml:space="preserve"> </w:t>
      </w:r>
      <w:r w:rsidR="009A7F4A" w:rsidRPr="00720AFF">
        <w:t>Mt CO2-e</w:t>
      </w:r>
      <w:r w:rsidR="00D6194E" w:rsidRPr="00720AFF">
        <w:t xml:space="preserve"> (Figure </w:t>
      </w:r>
      <w:r w:rsidR="00F2626F">
        <w:t>5</w:t>
      </w:r>
      <w:r w:rsidR="00D6194E" w:rsidRPr="00720AFF">
        <w:t>)</w:t>
      </w:r>
      <w:r w:rsidR="001A7D75" w:rsidRPr="00720AFF">
        <w:t xml:space="preserve">. Annual energy savings </w:t>
      </w:r>
      <w:r w:rsidR="0052775F" w:rsidRPr="00720AFF">
        <w:t>from implementing the high priority expansion changes</w:t>
      </w:r>
      <w:r w:rsidR="001A7D75" w:rsidRPr="00720AFF">
        <w:t xml:space="preserve"> </w:t>
      </w:r>
      <w:r w:rsidR="00D6194E" w:rsidRPr="00720AFF">
        <w:t>would increase to</w:t>
      </w:r>
      <w:r w:rsidR="001A7D75" w:rsidRPr="00720AFF">
        <w:t xml:space="preserve"> </w:t>
      </w:r>
      <w:r w:rsidR="0033256F" w:rsidRPr="00720AFF">
        <w:t>5.2 P</w:t>
      </w:r>
      <w:r w:rsidR="00E402FC" w:rsidRPr="00720AFF">
        <w:t xml:space="preserve">J </w:t>
      </w:r>
      <w:r w:rsidR="001A7D75" w:rsidRPr="00720AFF">
        <w:t>by 2035</w:t>
      </w:r>
      <w:r w:rsidR="0033256F" w:rsidRPr="00720AFF">
        <w:t>, relative to 2025</w:t>
      </w:r>
      <w:r w:rsidR="00D6194E" w:rsidRPr="00720AFF">
        <w:t xml:space="preserve"> (Figure </w:t>
      </w:r>
      <w:r w:rsidR="0001369B">
        <w:t>6</w:t>
      </w:r>
      <w:r w:rsidR="00D6194E" w:rsidRPr="00720AFF">
        <w:t>)</w:t>
      </w:r>
      <w:r w:rsidR="0033256F" w:rsidRPr="00720AFF">
        <w:t>.</w:t>
      </w:r>
    </w:p>
    <w:p w14:paraId="000271B2" w14:textId="3BF8CFF2" w:rsidR="00A920B6" w:rsidRPr="00720AFF" w:rsidRDefault="00421215" w:rsidP="002D0A43">
      <w:pPr>
        <w:spacing w:after="120"/>
        <w:jc w:val="both"/>
      </w:pPr>
      <w:r w:rsidRPr="00720AFF">
        <w:t xml:space="preserve">The above estimates are conservative and are aligned with economic assumptions in the Australian Energy Market Operator </w:t>
      </w:r>
      <w:r w:rsidRPr="00720AFF">
        <w:rPr>
          <w:i/>
          <w:iCs/>
        </w:rPr>
        <w:t xml:space="preserve">Step Change </w:t>
      </w:r>
      <w:r>
        <w:t xml:space="preserve">ISP </w:t>
      </w:r>
      <w:r w:rsidRPr="00720AFF">
        <w:t>scenario and draw on data from the</w:t>
      </w:r>
      <w:r w:rsidR="00D346A5">
        <w:t xml:space="preserve"> Commercial Building Baseline Stud</w:t>
      </w:r>
      <w:r w:rsidR="00A804B6">
        <w:t>y.</w:t>
      </w:r>
    </w:p>
    <w:p w14:paraId="5E455A3F" w14:textId="2CBADFE0" w:rsidR="002B657E" w:rsidRPr="00720AFF" w:rsidRDefault="00A85082" w:rsidP="4E42E3EC">
      <w:pPr>
        <w:jc w:val="both"/>
      </w:pPr>
      <w:r w:rsidRPr="00720AFF">
        <w:rPr>
          <w:noProof/>
          <w:sz w:val="18"/>
          <w:szCs w:val="18"/>
        </w:rPr>
        <w:drawing>
          <wp:inline distT="0" distB="0" distL="0" distR="0" wp14:anchorId="009C8712" wp14:editId="48C20338">
            <wp:extent cx="5448415" cy="4007922"/>
            <wp:effectExtent l="0" t="0" r="0" b="0"/>
            <wp:docPr id="294958732" name="Picture 2" descr="Figure 5: Bar chart titled CBD Expansion Roadmap, High priority expansion changes - Additional GHG Emissions Savings, Disclosure 2026-2035. Full description in append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58732" name="Picture 2" descr="Figure 5: Bar chart titled CBD Expansion Roadmap, High priority expansion changes - Additional GHG Emissions Savings, Disclosure 2026-2035. Full description in appendix.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170" cy="4035695"/>
                    </a:xfrm>
                    <a:prstGeom prst="rect">
                      <a:avLst/>
                    </a:prstGeom>
                    <a:noFill/>
                  </pic:spPr>
                </pic:pic>
              </a:graphicData>
            </a:graphic>
          </wp:inline>
        </w:drawing>
      </w:r>
    </w:p>
    <w:p w14:paraId="01817675" w14:textId="5E765FF8" w:rsidR="00CD1DCD" w:rsidRPr="00720AFF" w:rsidRDefault="00BE7676" w:rsidP="4E42E3EC">
      <w:pPr>
        <w:jc w:val="both"/>
        <w:rPr>
          <w:sz w:val="18"/>
          <w:szCs w:val="18"/>
        </w:rPr>
      </w:pPr>
      <w:r w:rsidRPr="00720AFF">
        <w:rPr>
          <w:b/>
          <w:bCs/>
          <w:sz w:val="18"/>
          <w:szCs w:val="18"/>
        </w:rPr>
        <w:t xml:space="preserve">Figure </w:t>
      </w:r>
      <w:r w:rsidR="00A804B6">
        <w:rPr>
          <w:b/>
          <w:bCs/>
          <w:sz w:val="18"/>
          <w:szCs w:val="18"/>
        </w:rPr>
        <w:t>5</w:t>
      </w:r>
      <w:r w:rsidR="00B916FC" w:rsidRPr="00720AFF">
        <w:rPr>
          <w:sz w:val="18"/>
          <w:szCs w:val="18"/>
        </w:rPr>
        <w:t>:</w:t>
      </w:r>
      <w:r w:rsidRPr="00720AFF">
        <w:rPr>
          <w:sz w:val="18"/>
          <w:szCs w:val="18"/>
        </w:rPr>
        <w:t xml:space="preserve"> CBD Expansion Roadmap,</w:t>
      </w:r>
      <w:r w:rsidR="00EC5946" w:rsidRPr="00720AFF">
        <w:rPr>
          <w:sz w:val="18"/>
          <w:szCs w:val="18"/>
        </w:rPr>
        <w:t xml:space="preserve"> </w:t>
      </w:r>
      <w:r w:rsidR="00FE1288" w:rsidRPr="00720AFF">
        <w:rPr>
          <w:sz w:val="18"/>
          <w:szCs w:val="18"/>
        </w:rPr>
        <w:t xml:space="preserve">High priority expansion changes - </w:t>
      </w:r>
      <w:r w:rsidR="00EC5946" w:rsidRPr="00720AFF">
        <w:rPr>
          <w:b/>
          <w:sz w:val="18"/>
          <w:szCs w:val="18"/>
        </w:rPr>
        <w:t>Additional</w:t>
      </w:r>
      <w:r w:rsidRPr="00720AFF">
        <w:rPr>
          <w:b/>
          <w:sz w:val="18"/>
          <w:szCs w:val="18"/>
        </w:rPr>
        <w:t xml:space="preserve"> </w:t>
      </w:r>
      <w:r w:rsidR="00A85082" w:rsidRPr="00720AFF">
        <w:rPr>
          <w:b/>
          <w:sz w:val="18"/>
          <w:szCs w:val="18"/>
        </w:rPr>
        <w:t>GHG Emissions</w:t>
      </w:r>
      <w:r w:rsidRPr="00720AFF">
        <w:rPr>
          <w:sz w:val="18"/>
          <w:szCs w:val="18"/>
        </w:rPr>
        <w:t xml:space="preserve"> Savings, Disclosure 202</w:t>
      </w:r>
      <w:r w:rsidR="004D5973" w:rsidRPr="00720AFF">
        <w:rPr>
          <w:sz w:val="18"/>
          <w:szCs w:val="18"/>
        </w:rPr>
        <w:t>6</w:t>
      </w:r>
      <w:r w:rsidRPr="00720AFF">
        <w:rPr>
          <w:sz w:val="18"/>
          <w:szCs w:val="18"/>
        </w:rPr>
        <w:t>-2035</w:t>
      </w:r>
      <w:r w:rsidR="00A85082" w:rsidRPr="00720AFF">
        <w:rPr>
          <w:sz w:val="18"/>
          <w:szCs w:val="18"/>
        </w:rPr>
        <w:t xml:space="preserve"> </w:t>
      </w:r>
    </w:p>
    <w:p w14:paraId="68C06842" w14:textId="7BC1A40B" w:rsidR="00821223" w:rsidRPr="00720AFF" w:rsidRDefault="00A85082" w:rsidP="4E42E3EC">
      <w:pPr>
        <w:jc w:val="both"/>
        <w:rPr>
          <w:sz w:val="18"/>
          <w:szCs w:val="18"/>
        </w:rPr>
      </w:pPr>
      <w:r w:rsidRPr="00720AFF">
        <w:rPr>
          <w:noProof/>
        </w:rPr>
        <w:lastRenderedPageBreak/>
        <w:drawing>
          <wp:inline distT="0" distB="0" distL="0" distR="0" wp14:anchorId="4EBF21C5" wp14:editId="5678890E">
            <wp:extent cx="5423276" cy="4067299"/>
            <wp:effectExtent l="0" t="0" r="6350" b="0"/>
            <wp:docPr id="1638274963" name="Picture 1" descr="Figure 6: Bar chart titled CBD Expansion Roadmap, High priority expansion changes – Additional Energy Savings, Disclosure 2026-2035. Full description in append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74963" name="Picture 1" descr="Figure 6: Bar chart titled CBD Expansion Roadmap, High priority expansion changes – Additional Energy Savings, Disclosure 2026-2035. Full description in appendix.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499" cy="4086215"/>
                    </a:xfrm>
                    <a:prstGeom prst="rect">
                      <a:avLst/>
                    </a:prstGeom>
                    <a:noFill/>
                  </pic:spPr>
                </pic:pic>
              </a:graphicData>
            </a:graphic>
          </wp:inline>
        </w:drawing>
      </w:r>
    </w:p>
    <w:p w14:paraId="799421B7" w14:textId="58B35290" w:rsidR="00A93A8B" w:rsidRPr="00720AFF" w:rsidRDefault="00640DE9" w:rsidP="4E42E3EC">
      <w:pPr>
        <w:jc w:val="both"/>
      </w:pPr>
      <w:r w:rsidRPr="00720AFF">
        <w:rPr>
          <w:b/>
          <w:bCs/>
          <w:sz w:val="18"/>
          <w:szCs w:val="18"/>
        </w:rPr>
        <w:t xml:space="preserve">Figure </w:t>
      </w:r>
      <w:r w:rsidR="00A804B6">
        <w:rPr>
          <w:b/>
          <w:bCs/>
          <w:sz w:val="18"/>
          <w:szCs w:val="18"/>
        </w:rPr>
        <w:t>6</w:t>
      </w:r>
      <w:r w:rsidR="00B916FC" w:rsidRPr="00720AFF">
        <w:rPr>
          <w:sz w:val="18"/>
          <w:szCs w:val="18"/>
        </w:rPr>
        <w:t>:</w:t>
      </w:r>
      <w:r w:rsidR="00941908" w:rsidRPr="00720AFF">
        <w:rPr>
          <w:sz w:val="18"/>
          <w:szCs w:val="18"/>
        </w:rPr>
        <w:t xml:space="preserve"> </w:t>
      </w:r>
      <w:r w:rsidRPr="00720AFF">
        <w:rPr>
          <w:sz w:val="18"/>
          <w:szCs w:val="18"/>
        </w:rPr>
        <w:t xml:space="preserve">CBD Expansion Roadmap, </w:t>
      </w:r>
      <w:r w:rsidR="00C25D6D" w:rsidRPr="00720AFF">
        <w:rPr>
          <w:sz w:val="18"/>
          <w:szCs w:val="18"/>
        </w:rPr>
        <w:t xml:space="preserve">High priority expansion changes – </w:t>
      </w:r>
      <w:r w:rsidR="00C25D6D" w:rsidRPr="00720AFF">
        <w:rPr>
          <w:b/>
          <w:bCs/>
          <w:sz w:val="18"/>
          <w:szCs w:val="18"/>
        </w:rPr>
        <w:t xml:space="preserve">Additional </w:t>
      </w:r>
      <w:r w:rsidR="00E5644B" w:rsidRPr="00720AFF">
        <w:rPr>
          <w:b/>
          <w:sz w:val="18"/>
          <w:szCs w:val="18"/>
        </w:rPr>
        <w:t>Energy</w:t>
      </w:r>
      <w:r w:rsidRPr="00720AFF">
        <w:rPr>
          <w:sz w:val="18"/>
          <w:szCs w:val="18"/>
        </w:rPr>
        <w:t xml:space="preserve"> Savings, Disclosure </w:t>
      </w:r>
      <w:r w:rsidR="00C25D6D" w:rsidRPr="00720AFF">
        <w:rPr>
          <w:sz w:val="18"/>
          <w:szCs w:val="18"/>
        </w:rPr>
        <w:t>202</w:t>
      </w:r>
      <w:r w:rsidR="009C2C6E" w:rsidRPr="00720AFF">
        <w:rPr>
          <w:sz w:val="18"/>
          <w:szCs w:val="18"/>
        </w:rPr>
        <w:t>6</w:t>
      </w:r>
      <w:r w:rsidR="00C25D6D" w:rsidRPr="00720AFF">
        <w:rPr>
          <w:sz w:val="18"/>
          <w:szCs w:val="18"/>
        </w:rPr>
        <w:t>-2035</w:t>
      </w:r>
    </w:p>
    <w:p w14:paraId="7747E172" w14:textId="77777777" w:rsidR="00303851" w:rsidRPr="00A804B6" w:rsidRDefault="00303851">
      <w:pPr>
        <w:rPr>
          <w:rFonts w:ascii="Calibri" w:eastAsiaTheme="minorEastAsia" w:hAnsi="Calibri"/>
          <w:bCs/>
          <w:color w:val="197C7D"/>
          <w:sz w:val="24"/>
          <w:szCs w:val="24"/>
          <w:lang w:eastAsia="ja-JP"/>
        </w:rPr>
      </w:pPr>
      <w:bookmarkStart w:id="14" w:name="_Ref189807583"/>
      <w:r w:rsidRPr="00720AFF">
        <w:br w:type="page"/>
      </w:r>
    </w:p>
    <w:p w14:paraId="2D12F54B" w14:textId="5D7C2081" w:rsidR="008C3877" w:rsidRPr="00720AFF" w:rsidRDefault="00E54164" w:rsidP="00EC6DB0">
      <w:pPr>
        <w:pStyle w:val="Heading2"/>
        <w:jc w:val="both"/>
      </w:pPr>
      <w:bookmarkStart w:id="15" w:name="_Toc200017002"/>
      <w:r w:rsidRPr="00720AFF">
        <w:lastRenderedPageBreak/>
        <w:t>Core</w:t>
      </w:r>
      <w:r w:rsidR="00D17CB4" w:rsidRPr="00720AFF">
        <w:t xml:space="preserve"> </w:t>
      </w:r>
      <w:r w:rsidR="00DF091F" w:rsidRPr="00720AFF">
        <w:t>element</w:t>
      </w:r>
      <w:r w:rsidR="00543C03" w:rsidRPr="00720AFF">
        <w:t>s</w:t>
      </w:r>
      <w:r w:rsidR="00DF091F" w:rsidRPr="00720AFF">
        <w:t xml:space="preserve"> of</w:t>
      </w:r>
      <w:r w:rsidR="00F35AE6" w:rsidRPr="00720AFF">
        <w:t xml:space="preserve"> </w:t>
      </w:r>
      <w:bookmarkEnd w:id="14"/>
      <w:r w:rsidR="0027537A" w:rsidRPr="00720AFF">
        <w:t>an expanded CBD Program</w:t>
      </w:r>
      <w:bookmarkEnd w:id="15"/>
    </w:p>
    <w:p w14:paraId="1BE99A4C" w14:textId="77777777" w:rsidR="00EC6DB0" w:rsidRPr="00720AFF" w:rsidRDefault="00EC6DB0" w:rsidP="00FE73BD">
      <w:pPr>
        <w:pStyle w:val="ListParagraph"/>
        <w:keepNext/>
        <w:keepLines/>
        <w:numPr>
          <w:ilvl w:val="0"/>
          <w:numId w:val="26"/>
        </w:numPr>
        <w:spacing w:after="120"/>
        <w:jc w:val="both"/>
        <w:outlineLvl w:val="2"/>
        <w:rPr>
          <w:rFonts w:eastAsia="Times New Roman" w:cs="Times New Roman"/>
          <w:b/>
          <w:bCs/>
          <w:vanish/>
          <w:sz w:val="36"/>
          <w:szCs w:val="24"/>
        </w:rPr>
      </w:pPr>
    </w:p>
    <w:p w14:paraId="6BD0CE0F" w14:textId="147EC4AB" w:rsidR="00B81732" w:rsidRPr="00720AFF" w:rsidRDefault="007A1F31" w:rsidP="00FE73BD">
      <w:pPr>
        <w:pStyle w:val="Heading3"/>
        <w:numPr>
          <w:ilvl w:val="1"/>
          <w:numId w:val="26"/>
        </w:numPr>
        <w:spacing w:after="120"/>
        <w:ind w:left="0" w:firstLine="0"/>
        <w:jc w:val="both"/>
      </w:pPr>
      <w:bookmarkStart w:id="16" w:name="_Ref190187657"/>
      <w:bookmarkStart w:id="17" w:name="_Toc200017003"/>
      <w:r w:rsidRPr="00720AFF">
        <w:t xml:space="preserve">Using </w:t>
      </w:r>
      <w:r w:rsidR="009D6AC5" w:rsidRPr="00720AFF">
        <w:t>trusted and benchmarked energy rating tools</w:t>
      </w:r>
      <w:r w:rsidR="00BA251C" w:rsidRPr="00720AFF">
        <w:t xml:space="preserve"> </w:t>
      </w:r>
      <w:r w:rsidR="00ED2779" w:rsidRPr="00720AFF">
        <w:t xml:space="preserve">to </w:t>
      </w:r>
      <w:r w:rsidR="00BA251C" w:rsidRPr="00720AFF">
        <w:t xml:space="preserve">satisfy </w:t>
      </w:r>
      <w:r w:rsidR="00C47733" w:rsidRPr="00720AFF">
        <w:t>CBD obligations</w:t>
      </w:r>
      <w:bookmarkEnd w:id="16"/>
      <w:bookmarkEnd w:id="17"/>
    </w:p>
    <w:p w14:paraId="7363F6A1" w14:textId="20967890" w:rsidR="00414F64" w:rsidRPr="00720AFF" w:rsidRDefault="00FA63BA" w:rsidP="00326579">
      <w:pPr>
        <w:spacing w:after="120"/>
        <w:jc w:val="both"/>
      </w:pPr>
      <w:r w:rsidRPr="00720AFF">
        <w:t>The current CBD Program specifies that for office buildings</w:t>
      </w:r>
      <w:r w:rsidR="00580758" w:rsidRPr="00720AFF">
        <w:t>,</w:t>
      </w:r>
      <w:r w:rsidRPr="00720AFF">
        <w:t xml:space="preserve"> the rating required to fulfil a regulated entity’s obligations under the Act is a NABERS energy rating.  </w:t>
      </w:r>
      <w:r w:rsidR="00BD757C" w:rsidRPr="00720AFF">
        <w:t xml:space="preserve">The </w:t>
      </w:r>
      <w:r w:rsidR="00D13594" w:rsidRPr="00720AFF">
        <w:t>Act</w:t>
      </w:r>
      <w:r w:rsidR="00C221F1" w:rsidRPr="00720AFF">
        <w:t xml:space="preserve"> does not </w:t>
      </w:r>
      <w:r w:rsidR="009F79F6" w:rsidRPr="00720AFF">
        <w:t>state</w:t>
      </w:r>
      <w:r w:rsidR="00C221F1" w:rsidRPr="00720AFF">
        <w:t xml:space="preserve"> what </w:t>
      </w:r>
      <w:r w:rsidR="00E050CF" w:rsidRPr="00720AFF">
        <w:t xml:space="preserve">assessment method or standard is to be used </w:t>
      </w:r>
      <w:r w:rsidR="00733562" w:rsidRPr="00720AFF">
        <w:t>to</w:t>
      </w:r>
      <w:r w:rsidR="00E050CF" w:rsidRPr="00720AFF">
        <w:t xml:space="preserve"> </w:t>
      </w:r>
      <w:r w:rsidR="00721A34" w:rsidRPr="00720AFF">
        <w:t>determin</w:t>
      </w:r>
      <w:r w:rsidR="00733562" w:rsidRPr="00720AFF">
        <w:t>e</w:t>
      </w:r>
      <w:r w:rsidR="00721A34" w:rsidRPr="00720AFF">
        <w:t xml:space="preserve"> the energy efficiency rating of a building</w:t>
      </w:r>
      <w:r w:rsidR="00733562" w:rsidRPr="00720AFF">
        <w:t xml:space="preserve">. </w:t>
      </w:r>
      <w:r w:rsidR="00E74058" w:rsidRPr="00720AFF">
        <w:t>This is</w:t>
      </w:r>
      <w:r w:rsidR="008E7566" w:rsidRPr="00720AFF">
        <w:t xml:space="preserve"> specif</w:t>
      </w:r>
      <w:r w:rsidR="00E74058" w:rsidRPr="00720AFF">
        <w:t>ied</w:t>
      </w:r>
      <w:r w:rsidR="008E7566" w:rsidRPr="00720AFF">
        <w:t xml:space="preserve"> in legislative instruments</w:t>
      </w:r>
      <w:r w:rsidR="00734E2B" w:rsidRPr="00720AFF">
        <w:t xml:space="preserve"> </w:t>
      </w:r>
      <w:r w:rsidR="00B6386D" w:rsidRPr="00720AFF">
        <w:t>and</w:t>
      </w:r>
      <w:r w:rsidR="00734E2B" w:rsidRPr="00720AFF">
        <w:t xml:space="preserve"> may be different for different building types </w:t>
      </w:r>
      <w:r w:rsidR="008E7566" w:rsidRPr="00720AFF">
        <w:t>under the new framework. While NABERS works well for a variety of building types, other potential energy rating tools could be specified in the future. It is important the Act retains the flexibility to accommodate future tools, if determined to be suitable.</w:t>
      </w:r>
    </w:p>
    <w:p w14:paraId="03989D7B" w14:textId="15E30976" w:rsidR="00775339" w:rsidRPr="00720AFF" w:rsidRDefault="00775339" w:rsidP="00326579">
      <w:pPr>
        <w:spacing w:after="120"/>
        <w:jc w:val="both"/>
      </w:pPr>
      <w:r w:rsidRPr="00720AFF">
        <w:t xml:space="preserve">A NABERS </w:t>
      </w:r>
      <w:r w:rsidR="0056405E" w:rsidRPr="00720AFF">
        <w:t>e</w:t>
      </w:r>
      <w:r w:rsidR="00220394" w:rsidRPr="00720AFF">
        <w:t>nergy</w:t>
      </w:r>
      <w:r w:rsidRPr="00720AFF">
        <w:t xml:space="preserve"> rating compare</w:t>
      </w:r>
      <w:r w:rsidR="00BC2990" w:rsidRPr="00720AFF">
        <w:t>s</w:t>
      </w:r>
      <w:r w:rsidRPr="00720AFF">
        <w:t xml:space="preserve"> the greenhouse gas emissions associated with the energy consumed in a building against a benchmark that represents the performance of similar buildings in the same location.</w:t>
      </w:r>
      <w:r w:rsidR="00475C84" w:rsidRPr="00720AFF">
        <w:t xml:space="preserve"> A building’s greenhouse </w:t>
      </w:r>
      <w:r w:rsidR="00B14B4C" w:rsidRPr="00720AFF">
        <w:t xml:space="preserve">gas emissions </w:t>
      </w:r>
      <w:r w:rsidR="005562D3" w:rsidRPr="00720AFF">
        <w:t>are</w:t>
      </w:r>
      <w:r w:rsidR="00B14B4C" w:rsidRPr="00720AFF">
        <w:t xml:space="preserve"> assessed based on actual energy consumption (reflected in energy bills) over a </w:t>
      </w:r>
      <w:r w:rsidR="0608754A" w:rsidRPr="00720AFF">
        <w:t>12</w:t>
      </w:r>
      <w:r w:rsidR="05503C67" w:rsidRPr="00720AFF">
        <w:t>-</w:t>
      </w:r>
      <w:r w:rsidR="0608754A" w:rsidRPr="00720AFF">
        <w:t>month</w:t>
      </w:r>
      <w:r w:rsidR="00B14B4C" w:rsidRPr="00720AFF">
        <w:t xml:space="preserve"> period. A greenhouse gas emissions factor is then applied based on the energy mix in the relevant location. To ensure the building’s performance is comparable with other buildings, some adjustments are made to account for some building and use characteristics that have been shown to systematically affect energy performance</w:t>
      </w:r>
      <w:r w:rsidR="001C148B" w:rsidRPr="00720AFF">
        <w:t>, specifically</w:t>
      </w:r>
      <w:r w:rsidR="00112F12" w:rsidRPr="00720AFF">
        <w:t xml:space="preserve"> for office energy ratings</w:t>
      </w:r>
      <w:r w:rsidR="001C148B" w:rsidRPr="00720AFF">
        <w:t>:</w:t>
      </w:r>
    </w:p>
    <w:p w14:paraId="2CE4FDA5" w14:textId="2EDB9E1F" w:rsidR="001C148B" w:rsidRPr="00720AFF" w:rsidRDefault="00220394" w:rsidP="00326579">
      <w:pPr>
        <w:pStyle w:val="ListParagraph"/>
        <w:numPr>
          <w:ilvl w:val="0"/>
          <w:numId w:val="27"/>
        </w:numPr>
        <w:spacing w:after="60"/>
        <w:jc w:val="both"/>
      </w:pPr>
      <w:r w:rsidRPr="00720AFF">
        <w:t>t</w:t>
      </w:r>
      <w:r w:rsidR="00410DF7" w:rsidRPr="00720AFF">
        <w:t>he climate where the building operates</w:t>
      </w:r>
    </w:p>
    <w:p w14:paraId="04430B41" w14:textId="594F68A2" w:rsidR="00410DF7" w:rsidRPr="00720AFF" w:rsidRDefault="00220394" w:rsidP="00326579">
      <w:pPr>
        <w:pStyle w:val="ListParagraph"/>
        <w:numPr>
          <w:ilvl w:val="0"/>
          <w:numId w:val="27"/>
        </w:numPr>
        <w:spacing w:after="60"/>
        <w:jc w:val="both"/>
      </w:pPr>
      <w:r w:rsidRPr="00720AFF">
        <w:t>f</w:t>
      </w:r>
      <w:r w:rsidR="00410DF7" w:rsidRPr="00720AFF">
        <w:t>loor space (large buildings tend to be relatively more energy efficient than small buildings)</w:t>
      </w:r>
    </w:p>
    <w:p w14:paraId="5A6DAFA6" w14:textId="53EBC44C" w:rsidR="008D5204" w:rsidRPr="00720AFF" w:rsidRDefault="00220394" w:rsidP="00326579">
      <w:pPr>
        <w:pStyle w:val="ListParagraph"/>
        <w:numPr>
          <w:ilvl w:val="0"/>
          <w:numId w:val="27"/>
        </w:numPr>
        <w:spacing w:after="60"/>
        <w:ind w:left="714" w:hanging="357"/>
        <w:jc w:val="both"/>
      </w:pPr>
      <w:r w:rsidRPr="00720AFF">
        <w:t>h</w:t>
      </w:r>
      <w:r w:rsidR="00410DF7" w:rsidRPr="00720AFF">
        <w:t>ours of operation</w:t>
      </w:r>
      <w:r w:rsidR="001C5580" w:rsidRPr="00720AFF">
        <w:t>.</w:t>
      </w:r>
    </w:p>
    <w:p w14:paraId="1880D61C" w14:textId="2A06DF42" w:rsidR="00170469" w:rsidRPr="00720AFF" w:rsidRDefault="00170469" w:rsidP="00326579">
      <w:pPr>
        <w:spacing w:after="120"/>
        <w:jc w:val="both"/>
      </w:pPr>
      <w:r w:rsidRPr="00720AFF">
        <w:t xml:space="preserve">Based on the </w:t>
      </w:r>
      <w:r w:rsidR="00FA5645" w:rsidRPr="00720AFF">
        <w:t xml:space="preserve">comparison between the building’s </w:t>
      </w:r>
      <w:r w:rsidR="00220394" w:rsidRPr="00720AFF">
        <w:t>actual</w:t>
      </w:r>
      <w:r w:rsidR="00FA5645" w:rsidRPr="00720AFF">
        <w:t xml:space="preserve"> performance and the NABERS benchmark, a star rating is awarded.</w:t>
      </w:r>
      <w:r w:rsidR="00CC3849" w:rsidRPr="00720AFF">
        <w:t xml:space="preserve"> NABERS issues</w:t>
      </w:r>
      <w:r w:rsidR="00D81256" w:rsidRPr="00720AFF">
        <w:t xml:space="preserve"> a report that contains </w:t>
      </w:r>
      <w:r w:rsidR="007F625D" w:rsidRPr="00720AFF">
        <w:t>informa</w:t>
      </w:r>
      <w:r w:rsidR="005A5A75" w:rsidRPr="00720AFF">
        <w:t xml:space="preserve">tion about the </w:t>
      </w:r>
      <w:r w:rsidR="00F11ECE" w:rsidRPr="00720AFF">
        <w:t>inputs to the rating such as floor area and hours of operation</w:t>
      </w:r>
      <w:r w:rsidR="00AE3030" w:rsidRPr="00720AFF">
        <w:t xml:space="preserve"> and ratings details including </w:t>
      </w:r>
      <w:r w:rsidR="00462ABC" w:rsidRPr="00720AFF">
        <w:t xml:space="preserve">energy intensity, </w:t>
      </w:r>
      <w:r w:rsidR="00DF3D94" w:rsidRPr="00720AFF">
        <w:t>star rating</w:t>
      </w:r>
      <w:r w:rsidR="00C55984" w:rsidRPr="00720AFF">
        <w:t>,</w:t>
      </w:r>
      <w:r w:rsidR="00DF3D94" w:rsidRPr="00720AFF">
        <w:t xml:space="preserve"> greenhouse gas </w:t>
      </w:r>
      <w:r w:rsidR="00BF19C9" w:rsidRPr="00720AFF">
        <w:t>emissions</w:t>
      </w:r>
      <w:r w:rsidR="00C55984" w:rsidRPr="00720AFF">
        <w:t xml:space="preserve"> and renewable energy</w:t>
      </w:r>
      <w:r w:rsidR="00563A9F" w:rsidRPr="00720AFF">
        <w:t xml:space="preserve"> percentage</w:t>
      </w:r>
      <w:r w:rsidR="00D81256" w:rsidRPr="00720AFF">
        <w:t xml:space="preserve">. NABERS also issues a certificate </w:t>
      </w:r>
      <w:r w:rsidR="008B7210" w:rsidRPr="00720AFF">
        <w:t xml:space="preserve">that contains </w:t>
      </w:r>
      <w:r w:rsidR="00450F4A" w:rsidRPr="00720AFF">
        <w:t xml:space="preserve">the </w:t>
      </w:r>
      <w:r w:rsidR="00B3680F" w:rsidRPr="00720AFF">
        <w:t xml:space="preserve">name and </w:t>
      </w:r>
      <w:r w:rsidR="00AB203E" w:rsidRPr="00720AFF">
        <w:t xml:space="preserve">address </w:t>
      </w:r>
      <w:r w:rsidR="00BB52C1" w:rsidRPr="00720AFF">
        <w:t>of the building, the star rating</w:t>
      </w:r>
      <w:r w:rsidR="00B3680F" w:rsidRPr="00720AFF">
        <w:t>, the percentage of renewable energy</w:t>
      </w:r>
      <w:r w:rsidR="00384105" w:rsidRPr="00720AFF">
        <w:t xml:space="preserve"> and the validity </w:t>
      </w:r>
      <w:r w:rsidR="005C43D4" w:rsidRPr="00720AFF">
        <w:t>period of the rating</w:t>
      </w:r>
      <w:r w:rsidR="008B7210" w:rsidRPr="00720AFF">
        <w:t>.</w:t>
      </w:r>
    </w:p>
    <w:p w14:paraId="73E2BABA" w14:textId="68DAEE98" w:rsidR="003F6D6F" w:rsidRPr="00720AFF" w:rsidRDefault="00000EAE" w:rsidP="00326579">
      <w:pPr>
        <w:spacing w:after="120"/>
        <w:jc w:val="both"/>
      </w:pPr>
      <w:r w:rsidRPr="00720AFF">
        <w:t>NABERS ratings are based on assessments conducted by independent, accredited assessors. The rating is delivered online but involves a site visit and procedures must be followed in accordance with the published rules relevant to that rating.</w:t>
      </w:r>
      <w:r w:rsidR="0014098E" w:rsidRPr="00720AFF">
        <w:t xml:space="preserve"> </w:t>
      </w:r>
      <w:r w:rsidRPr="00720AFF">
        <w:t xml:space="preserve">NABERS ratings are subject to audits in which all documentation is scrutinised by an external </w:t>
      </w:r>
      <w:r w:rsidR="00624773" w:rsidRPr="00720AFF">
        <w:t>auditor</w:t>
      </w:r>
      <w:r w:rsidRPr="00720AFF">
        <w:t xml:space="preserve">. </w:t>
      </w:r>
    </w:p>
    <w:p w14:paraId="5C2255E6" w14:textId="5B4F4BE5" w:rsidR="003F6D6F" w:rsidRPr="00720AFF" w:rsidRDefault="003F6D6F" w:rsidP="00326579">
      <w:pPr>
        <w:pStyle w:val="Heading3"/>
        <w:numPr>
          <w:ilvl w:val="1"/>
          <w:numId w:val="26"/>
        </w:numPr>
        <w:spacing w:after="120"/>
        <w:ind w:left="0" w:firstLine="0"/>
        <w:jc w:val="both"/>
      </w:pPr>
      <w:bookmarkStart w:id="18" w:name="_Toc200017004"/>
      <w:r w:rsidRPr="00720AFF">
        <w:t>R</w:t>
      </w:r>
      <w:r w:rsidR="00056B05" w:rsidRPr="00720AFF">
        <w:t>equirement to obtain an energy rating</w:t>
      </w:r>
      <w:bookmarkEnd w:id="18"/>
    </w:p>
    <w:p w14:paraId="0913198D" w14:textId="6E27D16E" w:rsidR="00317FA8" w:rsidRPr="00720AFF" w:rsidRDefault="00926244" w:rsidP="00326579">
      <w:pPr>
        <w:spacing w:after="120"/>
        <w:jc w:val="both"/>
      </w:pPr>
      <w:r w:rsidRPr="00720AFF">
        <w:t xml:space="preserve">For </w:t>
      </w:r>
      <w:r w:rsidR="001A6FFA" w:rsidRPr="00720AFF">
        <w:t xml:space="preserve">specific cohorts of </w:t>
      </w:r>
      <w:r w:rsidRPr="00720AFF">
        <w:t>building owners</w:t>
      </w:r>
      <w:r w:rsidR="004A6AC8" w:rsidRPr="00720AFF">
        <w:t xml:space="preserve"> and tenants</w:t>
      </w:r>
      <w:r w:rsidRPr="00720AFF">
        <w:t xml:space="preserve">, </w:t>
      </w:r>
      <w:r w:rsidR="000A7628" w:rsidRPr="00720AFF">
        <w:t xml:space="preserve">there </w:t>
      </w:r>
      <w:r w:rsidR="003E1753" w:rsidRPr="00720AFF">
        <w:t>will be</w:t>
      </w:r>
      <w:r w:rsidR="000A7628" w:rsidRPr="00720AFF">
        <w:t xml:space="preserve"> a r</w:t>
      </w:r>
      <w:r w:rsidR="00FE2DA9" w:rsidRPr="00720AFF">
        <w:t>equirement to obtain a</w:t>
      </w:r>
      <w:r w:rsidR="003E1753" w:rsidRPr="00720AFF">
        <w:t>n energy rating</w:t>
      </w:r>
      <w:r w:rsidR="00FE2DA9" w:rsidRPr="00720AFF" w:rsidDel="003E1753">
        <w:t xml:space="preserve"> </w:t>
      </w:r>
      <w:r w:rsidR="000A7628" w:rsidRPr="00720AFF">
        <w:t>periodically</w:t>
      </w:r>
      <w:r w:rsidR="00870263" w:rsidRPr="00720AFF">
        <w:t xml:space="preserve"> (</w:t>
      </w:r>
      <w:r w:rsidR="007B2B71" w:rsidRPr="00720AFF">
        <w:t>for example</w:t>
      </w:r>
      <w:r w:rsidR="007817EF" w:rsidRPr="00720AFF">
        <w:t>,</w:t>
      </w:r>
      <w:r w:rsidR="007B2B71" w:rsidRPr="00720AFF">
        <w:t xml:space="preserve"> </w:t>
      </w:r>
      <w:r w:rsidR="00F81191" w:rsidRPr="00720AFF">
        <w:t>yearly</w:t>
      </w:r>
      <w:r w:rsidR="005D7177" w:rsidRPr="00720AFF">
        <w:t xml:space="preserve">, </w:t>
      </w:r>
      <w:r w:rsidR="007B2B71" w:rsidRPr="00720AFF">
        <w:t xml:space="preserve">every </w:t>
      </w:r>
      <w:r w:rsidR="00870263" w:rsidRPr="00720AFF">
        <w:t xml:space="preserve">two or </w:t>
      </w:r>
      <w:r w:rsidR="005D7177" w:rsidRPr="00720AFF">
        <w:t xml:space="preserve">every </w:t>
      </w:r>
      <w:r w:rsidR="009D76BF" w:rsidRPr="00720AFF">
        <w:t>three</w:t>
      </w:r>
      <w:r w:rsidR="007B2B71" w:rsidRPr="00720AFF">
        <w:t xml:space="preserve"> years</w:t>
      </w:r>
      <w:r w:rsidR="00870263" w:rsidRPr="00720AFF">
        <w:t>)</w:t>
      </w:r>
      <w:r w:rsidR="007B2B71" w:rsidRPr="00720AFF">
        <w:t xml:space="preserve">. </w:t>
      </w:r>
      <w:r w:rsidR="00317FA8" w:rsidRPr="00720AFF">
        <w:t xml:space="preserve">This replaces the current requirement for </w:t>
      </w:r>
      <w:r w:rsidR="00137867" w:rsidRPr="00720AFF">
        <w:t xml:space="preserve">office building </w:t>
      </w:r>
      <w:r w:rsidR="00317FA8" w:rsidRPr="00720AFF">
        <w:t xml:space="preserve">owners to </w:t>
      </w:r>
      <w:r w:rsidR="008517B0" w:rsidRPr="00720AFF">
        <w:t>obtain an energy rating when they sell or lease the building or space.</w:t>
      </w:r>
    </w:p>
    <w:p w14:paraId="65B2329F" w14:textId="0C53588B" w:rsidR="00FE7A65" w:rsidRPr="00720AFF" w:rsidRDefault="00FE7A65" w:rsidP="00326579">
      <w:pPr>
        <w:spacing w:after="120"/>
        <w:jc w:val="both"/>
      </w:pPr>
      <w:r w:rsidRPr="00720AFF">
        <w:rPr>
          <w:rFonts w:ascii="Calibri" w:eastAsia="Calibri" w:hAnsi="Calibri" w:cs="Calibri"/>
        </w:rPr>
        <w:t>A periodic trigger would require</w:t>
      </w:r>
      <w:r w:rsidRPr="00720AFF" w:rsidDel="00FE7A65">
        <w:rPr>
          <w:rFonts w:ascii="Calibri" w:eastAsia="Calibri" w:hAnsi="Calibri" w:cs="Calibri"/>
        </w:rPr>
        <w:t xml:space="preserve"> </w:t>
      </w:r>
      <w:r w:rsidRPr="00720AFF">
        <w:rPr>
          <w:rFonts w:ascii="Calibri" w:eastAsia="Calibri" w:hAnsi="Calibri" w:cs="Calibri"/>
        </w:rPr>
        <w:t>regular</w:t>
      </w:r>
      <w:r w:rsidR="00D553F7" w:rsidRPr="00720AFF">
        <w:rPr>
          <w:rFonts w:ascii="Calibri" w:eastAsia="Calibri" w:hAnsi="Calibri" w:cs="Calibri"/>
        </w:rPr>
        <w:t xml:space="preserve"> </w:t>
      </w:r>
      <w:r w:rsidRPr="00720AFF">
        <w:rPr>
          <w:rFonts w:ascii="Calibri" w:eastAsia="Calibri" w:hAnsi="Calibri" w:cs="Calibri"/>
        </w:rPr>
        <w:t xml:space="preserve">assessments of a building's </w:t>
      </w:r>
      <w:r w:rsidR="00D553F7" w:rsidRPr="00720AFF">
        <w:rPr>
          <w:rFonts w:ascii="Calibri" w:eastAsia="Calibri" w:hAnsi="Calibri" w:cs="Calibri"/>
        </w:rPr>
        <w:t xml:space="preserve">operational </w:t>
      </w:r>
      <w:r w:rsidRPr="00720AFF">
        <w:rPr>
          <w:rFonts w:ascii="Calibri" w:eastAsia="Calibri" w:hAnsi="Calibri" w:cs="Calibri"/>
        </w:rPr>
        <w:t>energy performance</w:t>
      </w:r>
      <w:r w:rsidR="00B32A78" w:rsidRPr="00720AFF">
        <w:rPr>
          <w:rFonts w:ascii="Calibri" w:eastAsia="Calibri" w:hAnsi="Calibri" w:cs="Calibri"/>
        </w:rPr>
        <w:t>.</w:t>
      </w:r>
      <w:r w:rsidRPr="00720AFF">
        <w:rPr>
          <w:rFonts w:ascii="Calibri" w:eastAsia="Calibri" w:hAnsi="Calibri" w:cs="Calibri"/>
        </w:rPr>
        <w:t xml:space="preserve"> </w:t>
      </w:r>
      <w:r w:rsidR="00B41ACF" w:rsidRPr="00720AFF">
        <w:rPr>
          <w:rFonts w:ascii="Calibri" w:eastAsia="Calibri" w:hAnsi="Calibri" w:cs="Calibri"/>
        </w:rPr>
        <w:t>A periodic trigger would require certain</w:t>
      </w:r>
      <w:r w:rsidRPr="00720AFF">
        <w:rPr>
          <w:rFonts w:ascii="Calibri" w:eastAsia="Calibri" w:hAnsi="Calibri" w:cs="Calibri"/>
        </w:rPr>
        <w:t xml:space="preserve"> building owners</w:t>
      </w:r>
      <w:r w:rsidR="00B06FB7" w:rsidRPr="00720AFF">
        <w:rPr>
          <w:rFonts w:ascii="Calibri" w:eastAsia="Calibri" w:hAnsi="Calibri" w:cs="Calibri"/>
        </w:rPr>
        <w:t xml:space="preserve"> o</w:t>
      </w:r>
      <w:r w:rsidR="002C4D68" w:rsidRPr="00720AFF">
        <w:rPr>
          <w:rFonts w:ascii="Calibri" w:eastAsia="Calibri" w:hAnsi="Calibri" w:cs="Calibri"/>
        </w:rPr>
        <w:t>r</w:t>
      </w:r>
      <w:r w:rsidR="00B06FB7" w:rsidRPr="00720AFF">
        <w:rPr>
          <w:rFonts w:ascii="Calibri" w:eastAsia="Calibri" w:hAnsi="Calibri" w:cs="Calibri"/>
        </w:rPr>
        <w:t xml:space="preserve"> tenants </w:t>
      </w:r>
      <w:r w:rsidR="002C4D68" w:rsidRPr="00720AFF">
        <w:rPr>
          <w:rFonts w:ascii="Calibri" w:eastAsia="Calibri" w:hAnsi="Calibri" w:cs="Calibri"/>
        </w:rPr>
        <w:t>to</w:t>
      </w:r>
      <w:r w:rsidRPr="00720AFF">
        <w:rPr>
          <w:rFonts w:ascii="Calibri" w:eastAsia="Calibri" w:hAnsi="Calibri" w:cs="Calibri"/>
        </w:rPr>
        <w:t xml:space="preserve"> obtain </w:t>
      </w:r>
      <w:r w:rsidR="00581CE8" w:rsidRPr="00720AFF">
        <w:rPr>
          <w:rFonts w:ascii="Calibri" w:eastAsia="Calibri" w:hAnsi="Calibri" w:cs="Calibri"/>
        </w:rPr>
        <w:t>energy</w:t>
      </w:r>
      <w:r w:rsidRPr="00720AFF">
        <w:rPr>
          <w:rFonts w:ascii="Calibri" w:eastAsia="Calibri" w:hAnsi="Calibri" w:cs="Calibri"/>
        </w:rPr>
        <w:t xml:space="preserve"> ratings at defined intervals</w:t>
      </w:r>
      <w:r w:rsidR="006152F7" w:rsidRPr="00720AFF">
        <w:rPr>
          <w:rFonts w:ascii="Calibri" w:eastAsia="Calibri" w:hAnsi="Calibri" w:cs="Calibri"/>
        </w:rPr>
        <w:t>. T</w:t>
      </w:r>
      <w:r w:rsidRPr="00720AFF">
        <w:rPr>
          <w:rFonts w:ascii="Calibri" w:eastAsia="Calibri" w:hAnsi="Calibri" w:cs="Calibri"/>
        </w:rPr>
        <w:t>he disclosure of these ratings could remain flexible to adapt to different market needs.</w:t>
      </w:r>
    </w:p>
    <w:p w14:paraId="72B3F629" w14:textId="145E3743" w:rsidR="00B47EE5" w:rsidRPr="00720AFF" w:rsidRDefault="00BC2AF0" w:rsidP="00326579">
      <w:pPr>
        <w:spacing w:after="120"/>
        <w:jc w:val="both"/>
      </w:pPr>
      <w:r w:rsidRPr="00720AFF">
        <w:lastRenderedPageBreak/>
        <w:t xml:space="preserve">This will </w:t>
      </w:r>
      <w:r w:rsidR="00B47EE5" w:rsidRPr="00720AFF">
        <w:t xml:space="preserve">be </w:t>
      </w:r>
      <w:r w:rsidR="008A14C0" w:rsidRPr="00720AFF">
        <w:t>required</w:t>
      </w:r>
      <w:r w:rsidR="00B47EE5" w:rsidRPr="00720AFF">
        <w:t xml:space="preserve"> </w:t>
      </w:r>
      <w:r w:rsidR="00E4342A" w:rsidRPr="00720AFF">
        <w:t xml:space="preserve">for </w:t>
      </w:r>
      <w:proofErr w:type="gramStart"/>
      <w:r w:rsidR="00E4342A" w:rsidRPr="00720AFF">
        <w:t xml:space="preserve">particular </w:t>
      </w:r>
      <w:r w:rsidR="00D42FC2" w:rsidRPr="00720AFF">
        <w:t>building</w:t>
      </w:r>
      <w:proofErr w:type="gramEnd"/>
      <w:r w:rsidR="00D42FC2" w:rsidRPr="00720AFF">
        <w:t xml:space="preserve"> types </w:t>
      </w:r>
      <w:r w:rsidR="00B47EE5" w:rsidRPr="00720AFF">
        <w:t>when new Ministerial determinations are made under the Act.</w:t>
      </w:r>
      <w:r w:rsidR="00E6588B" w:rsidRPr="00720AFF">
        <w:t xml:space="preserve"> It is intended that </w:t>
      </w:r>
      <w:r w:rsidR="006F5B08" w:rsidRPr="00720AFF">
        <w:t xml:space="preserve">large </w:t>
      </w:r>
      <w:r w:rsidR="00A41B8C" w:rsidRPr="00720AFF">
        <w:t xml:space="preserve">office building owners </w:t>
      </w:r>
      <w:r w:rsidR="006F5B08" w:rsidRPr="00720AFF">
        <w:t xml:space="preserve">will </w:t>
      </w:r>
      <w:r w:rsidR="00E9084D" w:rsidRPr="00720AFF">
        <w:t xml:space="preserve">be </w:t>
      </w:r>
      <w:r w:rsidR="0092656B" w:rsidRPr="00720AFF">
        <w:t>subject to this requirement first</w:t>
      </w:r>
      <w:r w:rsidR="00253FDD" w:rsidRPr="00720AFF">
        <w:t xml:space="preserve"> (as they are already subject to the CBD Program)</w:t>
      </w:r>
      <w:r w:rsidR="0092656B" w:rsidRPr="00720AFF">
        <w:t xml:space="preserve">, with </w:t>
      </w:r>
      <w:r w:rsidR="00DE0F13" w:rsidRPr="00720AFF">
        <w:t>additional</w:t>
      </w:r>
      <w:r w:rsidR="003B43C1" w:rsidRPr="00720AFF">
        <w:t xml:space="preserve"> cohorts to be considered</w:t>
      </w:r>
      <w:r w:rsidR="0092656B" w:rsidRPr="00720AFF">
        <w:t xml:space="preserve"> </w:t>
      </w:r>
      <w:r w:rsidR="00B72E2F" w:rsidRPr="00720AFF">
        <w:t>after</w:t>
      </w:r>
      <w:r w:rsidR="00DE0F13" w:rsidRPr="00720AFF">
        <w:t>.</w:t>
      </w:r>
    </w:p>
    <w:p w14:paraId="339CA188" w14:textId="1847E836" w:rsidR="000A7628" w:rsidRPr="00720AFF" w:rsidRDefault="00542448" w:rsidP="00326579">
      <w:pPr>
        <w:spacing w:after="120"/>
        <w:jc w:val="both"/>
      </w:pPr>
      <w:r w:rsidRPr="00720AFF">
        <w:t xml:space="preserve">The </w:t>
      </w:r>
      <w:r w:rsidR="003214E5" w:rsidRPr="00720AFF">
        <w:t>specific</w:t>
      </w:r>
      <w:r w:rsidRPr="00720AFF">
        <w:t xml:space="preserve"> </w:t>
      </w:r>
      <w:r w:rsidR="00660D60" w:rsidRPr="00720AFF">
        <w:t xml:space="preserve">type of </w:t>
      </w:r>
      <w:r w:rsidR="00E761CC" w:rsidRPr="00720AFF">
        <w:t>energy rating</w:t>
      </w:r>
      <w:r w:rsidR="003214E5" w:rsidRPr="00720AFF">
        <w:t xml:space="preserve"> that needs to be obtained</w:t>
      </w:r>
      <w:r w:rsidR="00E761CC" w:rsidRPr="00720AFF">
        <w:t xml:space="preserve"> will be set out in future determinations</w:t>
      </w:r>
      <w:r w:rsidR="003F1DDF" w:rsidRPr="00720AFF">
        <w:t xml:space="preserve"> and will be tailored to the specific sector</w:t>
      </w:r>
      <w:r w:rsidR="00E761CC" w:rsidRPr="00720AFF">
        <w:t xml:space="preserve">. </w:t>
      </w:r>
      <w:r w:rsidR="00962FCF" w:rsidRPr="00720AFF">
        <w:t>O</w:t>
      </w:r>
      <w:r w:rsidR="00CD6758" w:rsidRPr="00720AFF">
        <w:t xml:space="preserve">ffice building owners </w:t>
      </w:r>
      <w:r w:rsidR="00BA555B" w:rsidRPr="00720AFF">
        <w:t xml:space="preserve">are currently required to obtain </w:t>
      </w:r>
      <w:r w:rsidR="003E6157" w:rsidRPr="00720AFF">
        <w:t>a</w:t>
      </w:r>
      <w:r w:rsidR="00BA555B" w:rsidRPr="00720AFF">
        <w:t xml:space="preserve"> NABERS </w:t>
      </w:r>
      <w:r w:rsidR="00DF759B" w:rsidRPr="00720AFF">
        <w:t>o</w:t>
      </w:r>
      <w:r w:rsidR="00DD6C02" w:rsidRPr="00720AFF">
        <w:t>ffice base building energy rating</w:t>
      </w:r>
      <w:r w:rsidR="004264C7" w:rsidRPr="00720AFF">
        <w:t xml:space="preserve"> (or whole building rating if a base building rating is not possible)</w:t>
      </w:r>
      <w:r w:rsidR="00DD6C02" w:rsidRPr="00720AFF">
        <w:t>.</w:t>
      </w:r>
      <w:r w:rsidR="0064251E" w:rsidRPr="00720AFF">
        <w:t xml:space="preserve"> </w:t>
      </w:r>
      <w:r w:rsidR="00F1663A" w:rsidRPr="00720AFF">
        <w:t xml:space="preserve">In </w:t>
      </w:r>
      <w:r w:rsidR="00BC233B" w:rsidRPr="00720AFF">
        <w:t>future</w:t>
      </w:r>
      <w:r w:rsidR="00EE490D" w:rsidRPr="00720AFF">
        <w:t>,</w:t>
      </w:r>
      <w:r w:rsidR="00BC233B" w:rsidRPr="00720AFF">
        <w:t xml:space="preserve"> </w:t>
      </w:r>
      <w:r w:rsidR="00EC2B88" w:rsidRPr="00720AFF">
        <w:t xml:space="preserve">as an example, if the CBD Program was expanded to </w:t>
      </w:r>
      <w:r w:rsidR="00636201">
        <w:t xml:space="preserve">large </w:t>
      </w:r>
      <w:proofErr w:type="gramStart"/>
      <w:r w:rsidR="00EC2B88" w:rsidRPr="00720AFF">
        <w:t>hotels</w:t>
      </w:r>
      <w:proofErr w:type="gramEnd"/>
      <w:r w:rsidR="00EC2B88" w:rsidRPr="00720AFF">
        <w:t xml:space="preserve"> then hotel owners may be required to obtain the NABERS hotel energy rating.</w:t>
      </w:r>
    </w:p>
    <w:p w14:paraId="64DA9BDF" w14:textId="3EC3A6A5" w:rsidR="001226C0" w:rsidRPr="00720AFF" w:rsidRDefault="001226C0" w:rsidP="00326579">
      <w:pPr>
        <w:spacing w:after="120"/>
        <w:jc w:val="both"/>
      </w:pPr>
      <w:r w:rsidRPr="00720AFF">
        <w:t xml:space="preserve">In practice, this means that </w:t>
      </w:r>
      <w:r w:rsidR="004A6AC8" w:rsidRPr="00720AFF">
        <w:t xml:space="preserve">disclosure affected </w:t>
      </w:r>
      <w:r w:rsidRPr="00720AFF">
        <w:t>building owners</w:t>
      </w:r>
      <w:r w:rsidR="004A6AC8" w:rsidRPr="00720AFF">
        <w:t xml:space="preserve"> and tenants will need to engage the services of an accredited energy assessor</w:t>
      </w:r>
      <w:r w:rsidR="002072F0" w:rsidRPr="00720AFF">
        <w:t xml:space="preserve">. </w:t>
      </w:r>
      <w:r w:rsidR="0049519D" w:rsidRPr="00720AFF">
        <w:t>For example, NABERS accredited assessor</w:t>
      </w:r>
      <w:r w:rsidR="007C2CA6" w:rsidRPr="00720AFF">
        <w:t>s</w:t>
      </w:r>
      <w:r w:rsidR="0049519D" w:rsidRPr="00720AFF">
        <w:t xml:space="preserve"> are professional sustainability consultants </w:t>
      </w:r>
      <w:r w:rsidR="00905979" w:rsidRPr="00720AFF">
        <w:t>that</w:t>
      </w:r>
      <w:r w:rsidR="00841A4B" w:rsidRPr="00720AFF">
        <w:t xml:space="preserve"> carry out physical assessments of buildings to collect and then verify the data required to provide a NABERS rating.</w:t>
      </w:r>
      <w:r w:rsidRPr="00720AFF">
        <w:t xml:space="preserve"> </w:t>
      </w:r>
      <w:r w:rsidR="007C2CA6" w:rsidRPr="00720AFF">
        <w:t>NABERS energy assessors charge a fee</w:t>
      </w:r>
      <w:r w:rsidR="00155926" w:rsidRPr="00720AFF">
        <w:t xml:space="preserve"> for providing a rating certificate.</w:t>
      </w:r>
      <w:r w:rsidR="00232006" w:rsidRPr="00720AFF">
        <w:t xml:space="preserve"> The fee will vary based on </w:t>
      </w:r>
      <w:r w:rsidR="00BD0699" w:rsidRPr="00720AFF">
        <w:t xml:space="preserve">factors including </w:t>
      </w:r>
      <w:r w:rsidR="00232006" w:rsidRPr="00720AFF">
        <w:t>the complexity of the building</w:t>
      </w:r>
      <w:r w:rsidR="00BD0699" w:rsidRPr="00720AFF">
        <w:t xml:space="preserve"> and</w:t>
      </w:r>
      <w:r w:rsidR="00232006" w:rsidRPr="00720AFF">
        <w:t xml:space="preserve"> the time it takes to do the assessments</w:t>
      </w:r>
      <w:r w:rsidR="00BD0699" w:rsidRPr="00720AFF">
        <w:t>.</w:t>
      </w:r>
      <w:r w:rsidR="00CE7C5E" w:rsidRPr="00720AFF">
        <w:t xml:space="preserve"> </w:t>
      </w:r>
    </w:p>
    <w:p w14:paraId="55C05476" w14:textId="1D9FB96E" w:rsidR="00056B05" w:rsidRPr="00720AFF" w:rsidRDefault="00660FD1" w:rsidP="00326579">
      <w:pPr>
        <w:pStyle w:val="Heading3"/>
        <w:numPr>
          <w:ilvl w:val="1"/>
          <w:numId w:val="26"/>
        </w:numPr>
        <w:spacing w:after="120"/>
        <w:ind w:left="0" w:firstLine="0"/>
        <w:jc w:val="both"/>
      </w:pPr>
      <w:bookmarkStart w:id="19" w:name="_Toc200017005"/>
      <w:r w:rsidRPr="00720AFF">
        <w:t>No requirement for separate tenancy lighting assessments</w:t>
      </w:r>
      <w:bookmarkEnd w:id="19"/>
    </w:p>
    <w:p w14:paraId="798B04DF" w14:textId="5CFD8C52" w:rsidR="00E21CED" w:rsidRPr="00720AFF" w:rsidRDefault="0031660E" w:rsidP="00326579">
      <w:pPr>
        <w:spacing w:after="120"/>
        <w:jc w:val="both"/>
      </w:pPr>
      <w:r w:rsidRPr="00720AFF">
        <w:t xml:space="preserve">The current CBD Program requires building owners to obtain </w:t>
      </w:r>
      <w:r w:rsidR="00E400AD" w:rsidRPr="00720AFF">
        <w:t xml:space="preserve">a Tenancy Lighting Assessment </w:t>
      </w:r>
      <w:r w:rsidR="00F37B82" w:rsidRPr="00720AFF">
        <w:t xml:space="preserve">(TLA) </w:t>
      </w:r>
      <w:r w:rsidR="00E400AD" w:rsidRPr="00720AFF">
        <w:t xml:space="preserve">in addition to </w:t>
      </w:r>
      <w:r w:rsidR="00383980" w:rsidRPr="00720AFF">
        <w:t xml:space="preserve">the NABERS </w:t>
      </w:r>
      <w:r w:rsidR="00EA5B30" w:rsidRPr="00720AFF">
        <w:t>o</w:t>
      </w:r>
      <w:r w:rsidR="00383980" w:rsidRPr="00720AFF">
        <w:t xml:space="preserve">ffice </w:t>
      </w:r>
      <w:r w:rsidR="00DD5308" w:rsidRPr="00720AFF">
        <w:t xml:space="preserve">base building </w:t>
      </w:r>
      <w:r w:rsidR="00EA5B30" w:rsidRPr="00720AFF">
        <w:t>e</w:t>
      </w:r>
      <w:r w:rsidR="00383980" w:rsidRPr="00720AFF">
        <w:t>nergy rating.</w:t>
      </w:r>
      <w:r w:rsidR="00BB14B3" w:rsidRPr="00720AFF">
        <w:t xml:space="preserve"> </w:t>
      </w:r>
      <w:r w:rsidR="00F812B3" w:rsidRPr="00720AFF">
        <w:t>As part of the legislative reform, this requirement will be removed.</w:t>
      </w:r>
      <w:r w:rsidR="00FC1A35" w:rsidRPr="00720AFF">
        <w:t xml:space="preserve"> </w:t>
      </w:r>
    </w:p>
    <w:p w14:paraId="4E97E5FF" w14:textId="1C5A260C" w:rsidR="000F7596" w:rsidRPr="00720AFF" w:rsidRDefault="00F374FB" w:rsidP="00326579">
      <w:pPr>
        <w:spacing w:after="120"/>
        <w:jc w:val="both"/>
      </w:pPr>
      <w:r w:rsidRPr="00720AFF">
        <w:t>T</w:t>
      </w:r>
      <w:r w:rsidR="009F6B70" w:rsidRPr="00720AFF">
        <w:t xml:space="preserve">he TLA provides </w:t>
      </w:r>
      <w:r w:rsidR="00AA01FB" w:rsidRPr="00720AFF">
        <w:t>a</w:t>
      </w:r>
      <w:r w:rsidR="009F6B70" w:rsidRPr="00720AFF">
        <w:t xml:space="preserve"> measure of </w:t>
      </w:r>
      <w:r w:rsidR="00AA01FB" w:rsidRPr="00720AFF">
        <w:t>the</w:t>
      </w:r>
      <w:r w:rsidR="009F6B70" w:rsidRPr="00720AFF">
        <w:t xml:space="preserve"> estimat</w:t>
      </w:r>
      <w:r w:rsidR="00AA01FB" w:rsidRPr="00720AFF">
        <w:t>ed</w:t>
      </w:r>
      <w:r w:rsidR="009F6B70" w:rsidRPr="00720AFF">
        <w:t xml:space="preserve"> installed lighting power density, defined as nominal lighting power density </w:t>
      </w:r>
      <w:r w:rsidR="00257CDD" w:rsidRPr="00720AFF">
        <w:t>(</w:t>
      </w:r>
      <w:r w:rsidR="009F6B70" w:rsidRPr="00720AFF">
        <w:t>NLPD</w:t>
      </w:r>
      <w:r w:rsidR="00257CDD" w:rsidRPr="00720AFF">
        <w:t>)</w:t>
      </w:r>
      <w:r w:rsidR="009F6B70" w:rsidRPr="00720AFF">
        <w:t xml:space="preserve"> for the </w:t>
      </w:r>
      <w:r w:rsidR="00DC2F00" w:rsidRPr="00720AFF">
        <w:t xml:space="preserve">fixed </w:t>
      </w:r>
      <w:r w:rsidR="009F6B70" w:rsidRPr="00720AFF">
        <w:t xml:space="preserve">lighting in the </w:t>
      </w:r>
      <w:r w:rsidR="00ED795A" w:rsidRPr="00720AFF">
        <w:t>tenancy</w:t>
      </w:r>
      <w:r w:rsidR="009F6B70" w:rsidRPr="00720AFF">
        <w:t xml:space="preserve"> area. The TLA also provides a descri</w:t>
      </w:r>
      <w:r w:rsidR="00C541D8" w:rsidRPr="00720AFF">
        <w:t>ption</w:t>
      </w:r>
      <w:r w:rsidR="009F6B70" w:rsidRPr="00720AFF">
        <w:t xml:space="preserve"> of the control capacity of the installed lighting systems. These two components together give a high-level assessment of the efficiency of the installed lighting </w:t>
      </w:r>
      <w:r w:rsidR="000F2BF4" w:rsidRPr="00720AFF">
        <w:t>but</w:t>
      </w:r>
      <w:r w:rsidR="009F6B70" w:rsidRPr="00720AFF">
        <w:t xml:space="preserve"> do not include operational data or usage </w:t>
      </w:r>
      <w:r w:rsidR="00F11D8C" w:rsidRPr="00720AFF">
        <w:t>information</w:t>
      </w:r>
      <w:r w:rsidR="009F6B70" w:rsidRPr="00720AFF">
        <w:t>.</w:t>
      </w:r>
      <w:r w:rsidR="003C3436" w:rsidRPr="00720AFF">
        <w:t xml:space="preserve"> </w:t>
      </w:r>
    </w:p>
    <w:p w14:paraId="11B62A65" w14:textId="6633330C" w:rsidR="00B1704C" w:rsidRPr="00720AFF" w:rsidRDefault="00786296" w:rsidP="00326579">
      <w:pPr>
        <w:spacing w:after="120"/>
        <w:jc w:val="both"/>
      </w:pPr>
      <w:r w:rsidRPr="00720AFF">
        <w:t>Th</w:t>
      </w:r>
      <w:r w:rsidR="00287B65" w:rsidRPr="00720AFF">
        <w:t>is</w:t>
      </w:r>
      <w:r w:rsidRPr="00720AFF">
        <w:t xml:space="preserve"> roadmap </w:t>
      </w:r>
      <w:r w:rsidR="003C4100" w:rsidRPr="00720AFF">
        <w:t xml:space="preserve">contemplates introducing direct requirements on large office tenants to obtain energy ratings. </w:t>
      </w:r>
      <w:r w:rsidR="000F2BF4" w:rsidRPr="00720AFF">
        <w:t xml:space="preserve">The NABERS </w:t>
      </w:r>
      <w:r w:rsidR="00CA725C" w:rsidRPr="00720AFF">
        <w:t>o</w:t>
      </w:r>
      <w:r w:rsidR="000F2BF4" w:rsidRPr="00720AFF">
        <w:t xml:space="preserve">ffice tenancy </w:t>
      </w:r>
      <w:r w:rsidR="00CA725C" w:rsidRPr="00720AFF">
        <w:t>energy</w:t>
      </w:r>
      <w:r w:rsidR="000F2BF4" w:rsidRPr="00720AFF">
        <w:t xml:space="preserve"> rating </w:t>
      </w:r>
      <w:r w:rsidR="00894C5F" w:rsidRPr="00720AFF">
        <w:t xml:space="preserve">provides </w:t>
      </w:r>
      <w:r w:rsidR="000346C1" w:rsidRPr="00720AFF">
        <w:t xml:space="preserve">an assessment of all the energy </w:t>
      </w:r>
      <w:r w:rsidR="00E8653C" w:rsidRPr="00720AFF">
        <w:t xml:space="preserve">used in the tenancy that is </w:t>
      </w:r>
      <w:r w:rsidR="0065154D" w:rsidRPr="00720AFF">
        <w:t>paid for by the tenant</w:t>
      </w:r>
      <w:r w:rsidR="00377F50" w:rsidRPr="00720AFF">
        <w:t>.</w:t>
      </w:r>
      <w:r w:rsidR="0065154D" w:rsidRPr="00720AFF">
        <w:t xml:space="preserve"> </w:t>
      </w:r>
      <w:r w:rsidR="00377F50" w:rsidRPr="00720AFF">
        <w:t>This</w:t>
      </w:r>
      <w:r w:rsidR="0065154D" w:rsidRPr="00720AFF">
        <w:t xml:space="preserve"> usually includes the fixed lighting</w:t>
      </w:r>
      <w:r w:rsidR="00CD1542" w:rsidRPr="00720AFF">
        <w:t xml:space="preserve">, as well as plug loads such as computers and printers. </w:t>
      </w:r>
    </w:p>
    <w:p w14:paraId="240FDB64" w14:textId="1744B4E5" w:rsidR="002F1354" w:rsidRPr="00720AFF" w:rsidRDefault="008F1A40" w:rsidP="00326579">
      <w:pPr>
        <w:spacing w:after="120"/>
        <w:jc w:val="both"/>
      </w:pPr>
      <w:r w:rsidRPr="00720AFF">
        <w:t xml:space="preserve">While the TLA and NABERS office tenancy </w:t>
      </w:r>
      <w:r w:rsidR="00CA725C" w:rsidRPr="00720AFF">
        <w:t xml:space="preserve">energy </w:t>
      </w:r>
      <w:r w:rsidRPr="00720AFF">
        <w:t>rating</w:t>
      </w:r>
      <w:r w:rsidR="00146914" w:rsidRPr="00720AFF">
        <w:t xml:space="preserve"> </w:t>
      </w:r>
      <w:r w:rsidR="00982F9F" w:rsidRPr="00720AFF">
        <w:t xml:space="preserve">provide </w:t>
      </w:r>
      <w:r w:rsidR="0025064B" w:rsidRPr="00720AFF">
        <w:t>different information</w:t>
      </w:r>
      <w:r w:rsidR="00A24A07" w:rsidRPr="00720AFF">
        <w:t xml:space="preserve">, </w:t>
      </w:r>
      <w:r w:rsidR="00A34D67" w:rsidRPr="00720AFF">
        <w:t>both provide an</w:t>
      </w:r>
      <w:r w:rsidR="001D24D3" w:rsidRPr="00720AFF">
        <w:t xml:space="preserve"> assessment </w:t>
      </w:r>
      <w:r w:rsidR="006A41D3" w:rsidRPr="00720AFF">
        <w:t xml:space="preserve">of </w:t>
      </w:r>
      <w:r w:rsidR="003E0EC0" w:rsidRPr="00720AFF">
        <w:t>how efficient the fixed lighting is, for use by tenants in t</w:t>
      </w:r>
      <w:r w:rsidR="00257CDD" w:rsidRPr="00720AFF">
        <w:t>h</w:t>
      </w:r>
      <w:r w:rsidR="003E0EC0" w:rsidRPr="00720AFF">
        <w:t>eir decision making about their tenancy.</w:t>
      </w:r>
      <w:r w:rsidR="00B1704C" w:rsidRPr="00720AFF">
        <w:t xml:space="preserve"> </w:t>
      </w:r>
      <w:r w:rsidR="00A60136" w:rsidRPr="00720AFF">
        <w:t>B</w:t>
      </w:r>
      <w:r w:rsidR="005D3389" w:rsidRPr="00720AFF">
        <w:t>uilding owners and managers</w:t>
      </w:r>
      <w:r w:rsidR="00A60136" w:rsidRPr="00720AFF">
        <w:t xml:space="preserve"> can</w:t>
      </w:r>
      <w:r w:rsidR="005D3389" w:rsidRPr="00720AFF">
        <w:t xml:space="preserve"> </w:t>
      </w:r>
      <w:r w:rsidR="00163CC7" w:rsidRPr="00720AFF">
        <w:t xml:space="preserve">also </w:t>
      </w:r>
      <w:r w:rsidR="005D3389" w:rsidRPr="00720AFF">
        <w:t>use the TLA to make decisions on the lighting in vacant tenancies</w:t>
      </w:r>
      <w:r w:rsidR="00BB6206" w:rsidRPr="00720AFF">
        <w:t>.</w:t>
      </w:r>
      <w:r w:rsidR="00FB65C4" w:rsidRPr="00720AFF">
        <w:t xml:space="preserve"> </w:t>
      </w:r>
      <w:r w:rsidR="008E224A" w:rsidRPr="00720AFF">
        <w:t>The TLA</w:t>
      </w:r>
      <w:r w:rsidR="008F60B0" w:rsidRPr="00720AFF">
        <w:t xml:space="preserve"> is intended to overcome </w:t>
      </w:r>
      <w:r w:rsidR="003E3C4D" w:rsidRPr="00720AFF">
        <w:t>the sp</w:t>
      </w:r>
      <w:r w:rsidR="006E160C" w:rsidRPr="00720AFF">
        <w:t>l</w:t>
      </w:r>
      <w:r w:rsidR="003E3C4D" w:rsidRPr="00720AFF">
        <w:t xml:space="preserve">it incentive caused by information asymmetry </w:t>
      </w:r>
      <w:r w:rsidR="00FA1D6C" w:rsidRPr="00720AFF">
        <w:t>in relation to lighting</w:t>
      </w:r>
      <w:r w:rsidR="00836726" w:rsidRPr="00720AFF">
        <w:t>. Therefore</w:t>
      </w:r>
      <w:r w:rsidR="00BD1371" w:rsidRPr="00720AFF">
        <w:t>,</w:t>
      </w:r>
      <w:r w:rsidR="00FA1D6C" w:rsidRPr="00720AFF">
        <w:t xml:space="preserve"> the TLA could provide useful information to a tenant after they </w:t>
      </w:r>
      <w:r w:rsidR="00E4770E" w:rsidRPr="00720AFF">
        <w:t xml:space="preserve">received their NABERS </w:t>
      </w:r>
      <w:r w:rsidR="00910E9E" w:rsidRPr="00720AFF">
        <w:t xml:space="preserve">office </w:t>
      </w:r>
      <w:r w:rsidR="00E4770E" w:rsidRPr="00720AFF">
        <w:t>tena</w:t>
      </w:r>
      <w:r w:rsidR="006E160C" w:rsidRPr="00720AFF">
        <w:t>nc</w:t>
      </w:r>
      <w:r w:rsidR="00E4770E" w:rsidRPr="00720AFF">
        <w:t xml:space="preserve">y </w:t>
      </w:r>
      <w:r w:rsidR="00910E9E" w:rsidRPr="00720AFF">
        <w:t>energy</w:t>
      </w:r>
      <w:r w:rsidR="00E4770E" w:rsidRPr="00720AFF">
        <w:t xml:space="preserve"> rating to </w:t>
      </w:r>
      <w:r w:rsidR="009A5347" w:rsidRPr="00720AFF">
        <w:t>influence</w:t>
      </w:r>
      <w:r w:rsidR="00E4770E" w:rsidRPr="00720AFF">
        <w:t xml:space="preserve"> the building owner to improve the fixed lighting</w:t>
      </w:r>
      <w:r w:rsidR="005D3389" w:rsidRPr="00720AFF">
        <w:t xml:space="preserve">. However, </w:t>
      </w:r>
      <w:r w:rsidR="0035433F" w:rsidRPr="00720AFF">
        <w:t xml:space="preserve">recent stakeholder feedback suggests that tenants </w:t>
      </w:r>
      <w:r w:rsidR="00C164D6" w:rsidRPr="00720AFF">
        <w:t>are not using the information in the TLA in any significant way.</w:t>
      </w:r>
      <w:r w:rsidR="00D82DDB" w:rsidRPr="00720AFF">
        <w:t xml:space="preserve"> </w:t>
      </w:r>
    </w:p>
    <w:p w14:paraId="64D01BD0" w14:textId="354BFDF2" w:rsidR="00660FD1" w:rsidRPr="00720AFF" w:rsidRDefault="009D4E5B" w:rsidP="00326579">
      <w:pPr>
        <w:spacing w:after="120"/>
        <w:jc w:val="both"/>
      </w:pPr>
      <w:r w:rsidRPr="00720AFF">
        <w:t>As</w:t>
      </w:r>
      <w:r w:rsidR="0071456F" w:rsidRPr="00720AFF">
        <w:t xml:space="preserve"> the NABERS </w:t>
      </w:r>
      <w:r w:rsidR="00763491" w:rsidRPr="00720AFF">
        <w:t xml:space="preserve">office </w:t>
      </w:r>
      <w:r w:rsidR="0071456F" w:rsidRPr="00720AFF">
        <w:t xml:space="preserve">tenancy </w:t>
      </w:r>
      <w:r w:rsidR="00763491" w:rsidRPr="00720AFF">
        <w:t>energy</w:t>
      </w:r>
      <w:r w:rsidR="0071456F" w:rsidRPr="00720AFF">
        <w:t xml:space="preserve"> rating</w:t>
      </w:r>
      <w:r w:rsidR="00C6597F" w:rsidRPr="00720AFF">
        <w:t xml:space="preserve"> </w:t>
      </w:r>
      <w:r w:rsidR="0071456F" w:rsidRPr="00720AFF">
        <w:t xml:space="preserve">can be used </w:t>
      </w:r>
      <w:r w:rsidR="00CA487E" w:rsidRPr="00720AFF">
        <w:t>by tenants</w:t>
      </w:r>
      <w:r w:rsidR="0071456F" w:rsidRPr="00720AFF">
        <w:t xml:space="preserve"> to understand the operational performance of their office space and </w:t>
      </w:r>
      <w:proofErr w:type="gramStart"/>
      <w:r w:rsidR="7B7F5DF5" w:rsidRPr="00720AFF">
        <w:t>compare</w:t>
      </w:r>
      <w:proofErr w:type="gramEnd"/>
      <w:r w:rsidR="0071456F" w:rsidRPr="00720AFF">
        <w:t xml:space="preserve"> to tenancies inside and outside their organisation</w:t>
      </w:r>
      <w:r w:rsidR="00CA487E" w:rsidRPr="00720AFF">
        <w:t>, it provides more useful information than the TLA</w:t>
      </w:r>
      <w:r w:rsidR="0071456F" w:rsidRPr="00720AFF">
        <w:t xml:space="preserve">. </w:t>
      </w:r>
      <w:r w:rsidR="00880923" w:rsidRPr="00720AFF">
        <w:t>The</w:t>
      </w:r>
      <w:r w:rsidR="005A0813" w:rsidRPr="00720AFF">
        <w:t xml:space="preserve">refore, the requirement to obtain a TLA will be removed from the CBD Program. </w:t>
      </w:r>
      <w:r w:rsidR="000E28B4" w:rsidRPr="00720AFF">
        <w:t xml:space="preserve">The government will consider </w:t>
      </w:r>
      <w:r w:rsidR="00DD0303" w:rsidRPr="00720AFF">
        <w:t>maintaining a</w:t>
      </w:r>
      <w:r w:rsidR="00636FAF" w:rsidRPr="00720AFF">
        <w:t xml:space="preserve"> spreadsheet for calculating the TLA on a voluntary basis </w:t>
      </w:r>
      <w:r w:rsidR="00E14A7E" w:rsidRPr="00720AFF">
        <w:t>for building owners who wish to make use of this information to improve their buildings.</w:t>
      </w:r>
    </w:p>
    <w:p w14:paraId="1EC7F96B" w14:textId="2CF39BD6" w:rsidR="00660FD1" w:rsidRPr="00720AFF" w:rsidRDefault="00660FD1" w:rsidP="00326579">
      <w:pPr>
        <w:pStyle w:val="Heading3"/>
        <w:numPr>
          <w:ilvl w:val="1"/>
          <w:numId w:val="26"/>
        </w:numPr>
        <w:spacing w:after="120"/>
        <w:ind w:left="0" w:firstLine="0"/>
        <w:jc w:val="both"/>
      </w:pPr>
      <w:bookmarkStart w:id="20" w:name="_Toc200017006"/>
      <w:r w:rsidRPr="00720AFF">
        <w:t>Requirement to disclose energy ratings</w:t>
      </w:r>
      <w:bookmarkEnd w:id="20"/>
    </w:p>
    <w:p w14:paraId="3C92D72F" w14:textId="1057B2B7" w:rsidR="00D762A6" w:rsidRPr="00720AFF" w:rsidRDefault="00BB6592" w:rsidP="00326579">
      <w:pPr>
        <w:spacing w:after="120"/>
        <w:jc w:val="both"/>
      </w:pPr>
      <w:r w:rsidRPr="00720AFF">
        <w:t>For those building owners and tenants that are required to obtain an energy rating</w:t>
      </w:r>
      <w:r w:rsidR="000F6F93" w:rsidRPr="00720AFF">
        <w:t xml:space="preserve"> periodically</w:t>
      </w:r>
      <w:r w:rsidRPr="00720AFF">
        <w:t xml:space="preserve">, </w:t>
      </w:r>
      <w:r w:rsidR="008E766F" w:rsidRPr="00720AFF">
        <w:t xml:space="preserve">there will be a </w:t>
      </w:r>
      <w:r w:rsidR="006E5043" w:rsidRPr="00720AFF">
        <w:t xml:space="preserve">requirement </w:t>
      </w:r>
      <w:r w:rsidR="00F72535" w:rsidRPr="00720AFF">
        <w:t>on</w:t>
      </w:r>
      <w:r w:rsidR="006E5043" w:rsidRPr="00720AFF">
        <w:t xml:space="preserve"> them to disclose that rating</w:t>
      </w:r>
      <w:r w:rsidR="001C459F" w:rsidRPr="00720AFF">
        <w:t xml:space="preserve"> and related data</w:t>
      </w:r>
      <w:r w:rsidR="006E5043" w:rsidRPr="00720AFF">
        <w:t xml:space="preserve"> </w:t>
      </w:r>
      <w:r w:rsidR="00E4271F" w:rsidRPr="00720AFF">
        <w:t xml:space="preserve">at </w:t>
      </w:r>
      <w:proofErr w:type="gramStart"/>
      <w:r w:rsidR="00E4271F" w:rsidRPr="00720AFF">
        <w:t>particular times</w:t>
      </w:r>
      <w:proofErr w:type="gramEnd"/>
      <w:r w:rsidR="00E4271F" w:rsidRPr="00720AFF">
        <w:t xml:space="preserve"> in particular </w:t>
      </w:r>
      <w:r w:rsidR="00E4271F" w:rsidRPr="00720AFF">
        <w:lastRenderedPageBreak/>
        <w:t>ways.</w:t>
      </w:r>
      <w:r w:rsidR="00961681" w:rsidRPr="00720AFF">
        <w:t xml:space="preserve"> </w:t>
      </w:r>
      <w:r w:rsidR="00E22CE6" w:rsidRPr="00720AFF">
        <w:t>Current and historical e</w:t>
      </w:r>
      <w:r w:rsidR="006A2D7C" w:rsidRPr="00720AFF">
        <w:t>nergy r</w:t>
      </w:r>
      <w:r w:rsidR="004470F0" w:rsidRPr="00720AFF">
        <w:t xml:space="preserve">atings that are required </w:t>
      </w:r>
      <w:r w:rsidR="001830B0" w:rsidRPr="00720AFF">
        <w:t xml:space="preserve">to be obtained under the CBD Program will </w:t>
      </w:r>
      <w:r w:rsidR="0030011A" w:rsidRPr="00720AFF">
        <w:t>continue to be publicly available on a</w:t>
      </w:r>
      <w:r w:rsidR="00C8015B" w:rsidRPr="00720AFF">
        <w:t xml:space="preserve">n </w:t>
      </w:r>
      <w:r w:rsidR="00487A7B" w:rsidRPr="00720AFF">
        <w:t xml:space="preserve">online </w:t>
      </w:r>
      <w:r w:rsidR="00C8015B" w:rsidRPr="00720AFF">
        <w:t xml:space="preserve">and searchable </w:t>
      </w:r>
      <w:r w:rsidR="0030011A" w:rsidRPr="00720AFF">
        <w:t xml:space="preserve">government register. </w:t>
      </w:r>
      <w:r w:rsidR="00573375" w:rsidRPr="00720AFF">
        <w:t xml:space="preserve">This is so the information </w:t>
      </w:r>
      <w:r w:rsidR="005F7735" w:rsidRPr="00720AFF">
        <w:t xml:space="preserve">is accessible to </w:t>
      </w:r>
      <w:r w:rsidR="00881CA1" w:rsidRPr="00720AFF">
        <w:t>all interested stakeholders.</w:t>
      </w:r>
      <w:r w:rsidR="00D762A6" w:rsidRPr="00720AFF">
        <w:t xml:space="preserve"> </w:t>
      </w:r>
    </w:p>
    <w:p w14:paraId="6562F660" w14:textId="0C7EB49D" w:rsidR="005A76A7" w:rsidRPr="00720AFF" w:rsidRDefault="00476B6C" w:rsidP="00326579">
      <w:pPr>
        <w:spacing w:after="120"/>
        <w:jc w:val="both"/>
      </w:pPr>
      <w:r w:rsidRPr="00720AFF">
        <w:t>Information that will be disclosed</w:t>
      </w:r>
      <w:r w:rsidR="000D4F41" w:rsidRPr="00720AFF">
        <w:t xml:space="preserve"> on this register</w:t>
      </w:r>
      <w:r w:rsidR="00D85905" w:rsidRPr="00720AFF">
        <w:t xml:space="preserve"> will include:</w:t>
      </w:r>
    </w:p>
    <w:p w14:paraId="1B63CC82" w14:textId="5AFC84B3" w:rsidR="00E4350B" w:rsidRPr="00720AFF" w:rsidRDefault="00E4350B" w:rsidP="00326579">
      <w:pPr>
        <w:pStyle w:val="ListParagraph"/>
        <w:numPr>
          <w:ilvl w:val="0"/>
          <w:numId w:val="23"/>
        </w:numPr>
        <w:spacing w:after="60"/>
        <w:ind w:left="714" w:hanging="357"/>
        <w:jc w:val="both"/>
      </w:pPr>
      <w:r w:rsidRPr="00720AFF">
        <w:t>Building name</w:t>
      </w:r>
      <w:r w:rsidR="000F38CC" w:rsidRPr="00720AFF">
        <w:t xml:space="preserve"> (if applicable)</w:t>
      </w:r>
      <w:r w:rsidRPr="00720AFF">
        <w:t xml:space="preserve"> and address</w:t>
      </w:r>
    </w:p>
    <w:p w14:paraId="5095B87D" w14:textId="3AC051CC" w:rsidR="00E4350B" w:rsidRPr="00720AFF" w:rsidRDefault="00E4350B" w:rsidP="00326579">
      <w:pPr>
        <w:pStyle w:val="ListParagraph"/>
        <w:numPr>
          <w:ilvl w:val="0"/>
          <w:numId w:val="23"/>
        </w:numPr>
        <w:spacing w:after="60"/>
        <w:ind w:left="714" w:hanging="357"/>
        <w:jc w:val="both"/>
      </w:pPr>
      <w:r w:rsidRPr="00720AFF">
        <w:t xml:space="preserve">Building owner </w:t>
      </w:r>
      <w:r w:rsidR="00521DD2" w:rsidRPr="00720AFF">
        <w:t>company name</w:t>
      </w:r>
    </w:p>
    <w:p w14:paraId="2380FE1F" w14:textId="5E619C83" w:rsidR="00AF2F55" w:rsidRPr="00720AFF" w:rsidRDefault="00AF2F55" w:rsidP="00326579">
      <w:pPr>
        <w:pStyle w:val="ListParagraph"/>
        <w:numPr>
          <w:ilvl w:val="0"/>
          <w:numId w:val="23"/>
        </w:numPr>
        <w:spacing w:after="60"/>
        <w:ind w:left="714" w:hanging="357"/>
        <w:jc w:val="both"/>
      </w:pPr>
      <w:r w:rsidRPr="00720AFF">
        <w:t>Assessor details</w:t>
      </w:r>
    </w:p>
    <w:p w14:paraId="3E967A84" w14:textId="63461BA3" w:rsidR="00521DD2" w:rsidRPr="00720AFF" w:rsidRDefault="00521DD2" w:rsidP="00326579">
      <w:pPr>
        <w:pStyle w:val="ListParagraph"/>
        <w:numPr>
          <w:ilvl w:val="0"/>
          <w:numId w:val="23"/>
        </w:numPr>
        <w:spacing w:after="60"/>
        <w:ind w:left="714" w:hanging="357"/>
        <w:jc w:val="both"/>
      </w:pPr>
      <w:r w:rsidRPr="00720AFF">
        <w:t xml:space="preserve">Details of the applicable </w:t>
      </w:r>
      <w:r w:rsidR="004B54F3" w:rsidRPr="00720AFF">
        <w:t xml:space="preserve">NABERS </w:t>
      </w:r>
      <w:r w:rsidRPr="00720AFF">
        <w:t xml:space="preserve">energy rating including star rating, </w:t>
      </w:r>
      <w:r w:rsidR="002317FE" w:rsidRPr="00720AFF">
        <w:t>energy consumption</w:t>
      </w:r>
      <w:r w:rsidRPr="00720AFF">
        <w:t>, greenhouse gas emissions and rated area</w:t>
      </w:r>
    </w:p>
    <w:p w14:paraId="4EFE671F" w14:textId="25BE56AD" w:rsidR="00C432B4" w:rsidRPr="00720AFF" w:rsidRDefault="004E0895" w:rsidP="00D96074">
      <w:pPr>
        <w:pStyle w:val="ListParagraph"/>
        <w:numPr>
          <w:ilvl w:val="0"/>
          <w:numId w:val="23"/>
        </w:numPr>
        <w:spacing w:after="120"/>
        <w:ind w:left="714" w:hanging="357"/>
        <w:jc w:val="both"/>
      </w:pPr>
      <w:r w:rsidRPr="00720AFF">
        <w:t xml:space="preserve">Renewable Energy Indicator </w:t>
      </w:r>
      <w:r w:rsidR="00806B1C" w:rsidRPr="00720AFF">
        <w:t>data</w:t>
      </w:r>
      <w:r w:rsidR="00E52D5A" w:rsidRPr="00720AFF">
        <w:t>.</w:t>
      </w:r>
    </w:p>
    <w:p w14:paraId="4A0A4997" w14:textId="68D21DC0" w:rsidR="002D793B" w:rsidRPr="00720AFF" w:rsidRDefault="002F526F" w:rsidP="00326579">
      <w:pPr>
        <w:spacing w:after="120"/>
        <w:jc w:val="both"/>
      </w:pPr>
      <w:r w:rsidRPr="00720AFF">
        <w:t xml:space="preserve">When and where </w:t>
      </w:r>
      <w:r w:rsidR="00F63980" w:rsidRPr="00720AFF">
        <w:t xml:space="preserve">additional </w:t>
      </w:r>
      <w:r w:rsidRPr="00720AFF">
        <w:t xml:space="preserve">disclosure will </w:t>
      </w:r>
      <w:r w:rsidR="00F63980" w:rsidRPr="00720AFF">
        <w:t xml:space="preserve">be required </w:t>
      </w:r>
      <w:r w:rsidRPr="00720AFF">
        <w:t xml:space="preserve">will depend on the </w:t>
      </w:r>
      <w:proofErr w:type="gramStart"/>
      <w:r w:rsidRPr="00720AFF">
        <w:t>particular building</w:t>
      </w:r>
      <w:proofErr w:type="gramEnd"/>
      <w:r w:rsidRPr="00720AFF">
        <w:t xml:space="preserve"> </w:t>
      </w:r>
      <w:r w:rsidR="008B0840" w:rsidRPr="00720AFF">
        <w:t>cohort in question</w:t>
      </w:r>
      <w:r w:rsidR="00F63980" w:rsidRPr="00720AFF">
        <w:t xml:space="preserve"> and be specified in </w:t>
      </w:r>
      <w:r w:rsidR="009111A1" w:rsidRPr="00720AFF">
        <w:t>subordinate legislation</w:t>
      </w:r>
      <w:r w:rsidR="008B0840" w:rsidRPr="00720AFF">
        <w:t xml:space="preserve">. For example, </w:t>
      </w:r>
      <w:r w:rsidR="00565746" w:rsidRPr="00720AFF">
        <w:t xml:space="preserve">office building owners </w:t>
      </w:r>
      <w:r w:rsidR="005448B3" w:rsidRPr="00720AFF">
        <w:t>c</w:t>
      </w:r>
      <w:r w:rsidR="00184FCF" w:rsidRPr="00720AFF">
        <w:t>ould</w:t>
      </w:r>
      <w:r w:rsidR="00565746" w:rsidRPr="00720AFF">
        <w:t xml:space="preserve"> continue to be required to disclose their </w:t>
      </w:r>
      <w:r w:rsidR="001F5DBE" w:rsidRPr="00720AFF">
        <w:t xml:space="preserve">NABERS </w:t>
      </w:r>
      <w:r w:rsidR="007B345C" w:rsidRPr="00720AFF">
        <w:t xml:space="preserve">office base building energy </w:t>
      </w:r>
      <w:r w:rsidR="001F5DBE" w:rsidRPr="00720AFF">
        <w:t xml:space="preserve">rating </w:t>
      </w:r>
      <w:r w:rsidR="00AC1853" w:rsidRPr="00720AFF">
        <w:t>in all adv</w:t>
      </w:r>
      <w:r w:rsidR="003A6B27" w:rsidRPr="00720AFF">
        <w:t xml:space="preserve">ertising when selling or leasing the building or </w:t>
      </w:r>
      <w:r w:rsidR="00D45FD3" w:rsidRPr="00720AFF">
        <w:t xml:space="preserve">office </w:t>
      </w:r>
      <w:r w:rsidR="003A6B27" w:rsidRPr="00720AFF">
        <w:t>space</w:t>
      </w:r>
      <w:r w:rsidR="00480DB9" w:rsidRPr="00720AFF">
        <w:t>. In future,</w:t>
      </w:r>
      <w:r w:rsidR="00917361" w:rsidRPr="00720AFF">
        <w:t xml:space="preserve"> h</w:t>
      </w:r>
      <w:r w:rsidR="00BC7092" w:rsidRPr="00720AFF">
        <w:t xml:space="preserve">otel owners </w:t>
      </w:r>
      <w:r w:rsidR="00917361" w:rsidRPr="00720AFF">
        <w:t>could be required</w:t>
      </w:r>
      <w:r w:rsidR="00BC7092" w:rsidRPr="00720AFF">
        <w:t xml:space="preserve"> </w:t>
      </w:r>
      <w:r w:rsidR="002F5B90" w:rsidRPr="00720AFF">
        <w:t>to</w:t>
      </w:r>
      <w:r w:rsidR="00BC7092" w:rsidRPr="00720AFF">
        <w:t xml:space="preserve"> </w:t>
      </w:r>
      <w:r w:rsidR="00566208" w:rsidRPr="00720AFF">
        <w:t xml:space="preserve">continuously </w:t>
      </w:r>
      <w:r w:rsidR="00C2416F" w:rsidRPr="00720AFF">
        <w:t>display their energy rating on their website</w:t>
      </w:r>
      <w:r w:rsidR="0003751F" w:rsidRPr="00720AFF">
        <w:t xml:space="preserve"> or in their building.</w:t>
      </w:r>
    </w:p>
    <w:p w14:paraId="6405C42A" w14:textId="0A983C41" w:rsidR="00660FD1" w:rsidRPr="00720AFF" w:rsidRDefault="004669D4" w:rsidP="00326579">
      <w:pPr>
        <w:spacing w:after="120"/>
        <w:jc w:val="both"/>
      </w:pPr>
      <w:r w:rsidRPr="00720AFF">
        <w:t xml:space="preserve">There may be some circumstances </w:t>
      </w:r>
      <w:proofErr w:type="gramStart"/>
      <w:r w:rsidRPr="00720AFF">
        <w:t>where</w:t>
      </w:r>
      <w:proofErr w:type="gramEnd"/>
      <w:r w:rsidR="00A35F96" w:rsidRPr="00720AFF">
        <w:t>, for</w:t>
      </w:r>
      <w:r w:rsidRPr="00720AFF">
        <w:t xml:space="preserve"> </w:t>
      </w:r>
      <w:proofErr w:type="gramStart"/>
      <w:r w:rsidR="004F49CF" w:rsidRPr="00720AFF">
        <w:t>a period of time</w:t>
      </w:r>
      <w:proofErr w:type="gramEnd"/>
      <w:r w:rsidR="00A35F96" w:rsidRPr="00720AFF">
        <w:t>, there may be an obligation to obtain an energy rating, but no requirement to disclose it</w:t>
      </w:r>
      <w:r w:rsidR="0097673E" w:rsidRPr="00720AFF">
        <w:t xml:space="preserve"> other than to government</w:t>
      </w:r>
      <w:r w:rsidR="00A35F96" w:rsidRPr="00720AFF">
        <w:t xml:space="preserve">. For example, in the first year of operation </w:t>
      </w:r>
      <w:r w:rsidR="00DA2EBD" w:rsidRPr="00720AFF">
        <w:t>of disclosure for a new building sector</w:t>
      </w:r>
      <w:r w:rsidR="00A35F96" w:rsidRPr="00720AFF">
        <w:t xml:space="preserve"> </w:t>
      </w:r>
      <w:r w:rsidR="00A21626" w:rsidRPr="00720AFF">
        <w:t xml:space="preserve">or when more data is needed to refine the </w:t>
      </w:r>
      <w:proofErr w:type="gramStart"/>
      <w:r w:rsidR="00A21626" w:rsidRPr="00720AFF">
        <w:t>particular NABERS</w:t>
      </w:r>
      <w:proofErr w:type="gramEnd"/>
      <w:r w:rsidR="00A21626" w:rsidRPr="00720AFF">
        <w:t xml:space="preserve"> </w:t>
      </w:r>
      <w:r w:rsidR="00743DE2" w:rsidRPr="00720AFF">
        <w:t>energy rating</w:t>
      </w:r>
      <w:r w:rsidR="00A21626" w:rsidRPr="00720AFF">
        <w:t>.</w:t>
      </w:r>
      <w:r w:rsidR="004F49CF" w:rsidRPr="00720AFF">
        <w:t xml:space="preserve"> </w:t>
      </w:r>
      <w:r w:rsidR="00E50B1F" w:rsidRPr="00720AFF">
        <w:t xml:space="preserve">This will allow </w:t>
      </w:r>
      <w:r w:rsidR="00300676" w:rsidRPr="00720AFF">
        <w:t xml:space="preserve">cohorts of building owners who have not been exposed to </w:t>
      </w:r>
      <w:r w:rsidR="005966B1" w:rsidRPr="00720AFF">
        <w:t xml:space="preserve">energy ratings to </w:t>
      </w:r>
      <w:r w:rsidR="000658D5" w:rsidRPr="00720AFF">
        <w:t xml:space="preserve">gain an understanding of their building’s performance before </w:t>
      </w:r>
      <w:r w:rsidR="004A48E3" w:rsidRPr="00720AFF">
        <w:t xml:space="preserve">being required to make that </w:t>
      </w:r>
      <w:r w:rsidR="00E061E9" w:rsidRPr="00720AFF">
        <w:t>information</w:t>
      </w:r>
      <w:r w:rsidR="004A48E3" w:rsidRPr="00720AFF">
        <w:t xml:space="preserve"> public.</w:t>
      </w:r>
    </w:p>
    <w:p w14:paraId="431916DA" w14:textId="0BC56D71" w:rsidR="005C01C3" w:rsidRPr="00720AFF" w:rsidRDefault="005C01C3" w:rsidP="00326579">
      <w:pPr>
        <w:spacing w:after="120"/>
        <w:jc w:val="both"/>
      </w:pPr>
      <w:r w:rsidRPr="00720AFF">
        <w:t xml:space="preserve">There also may be situations where the primary rationale for requiring </w:t>
      </w:r>
      <w:r w:rsidR="00F65652" w:rsidRPr="00720AFF">
        <w:t xml:space="preserve">a building </w:t>
      </w:r>
      <w:r w:rsidR="009F4C16" w:rsidRPr="00720AFF">
        <w:t xml:space="preserve">owner or tenant </w:t>
      </w:r>
      <w:r w:rsidR="00F65652" w:rsidRPr="00720AFF">
        <w:t>to obtain an energy rating is</w:t>
      </w:r>
      <w:r w:rsidR="00FB587B" w:rsidRPr="00720AFF">
        <w:t xml:space="preserve"> </w:t>
      </w:r>
      <w:r w:rsidR="002955EA" w:rsidRPr="00720AFF">
        <w:t>to</w:t>
      </w:r>
      <w:r w:rsidR="002542E1" w:rsidRPr="00720AFF">
        <w:t xml:space="preserve"> help </w:t>
      </w:r>
      <w:r w:rsidR="008049E3" w:rsidRPr="00720AFF">
        <w:t>th</w:t>
      </w:r>
      <w:r w:rsidR="00892832" w:rsidRPr="00720AFF">
        <w:t xml:space="preserve">em </w:t>
      </w:r>
      <w:r w:rsidR="00551EE6" w:rsidRPr="00720AFF">
        <w:t xml:space="preserve">understand and </w:t>
      </w:r>
      <w:r w:rsidR="00121A1C" w:rsidRPr="00720AFF">
        <w:t>better manage and reduce their energy consumption</w:t>
      </w:r>
      <w:r w:rsidR="00165B5E" w:rsidRPr="00720AFF">
        <w:t xml:space="preserve"> </w:t>
      </w:r>
      <w:r w:rsidR="00605312" w:rsidRPr="00720AFF">
        <w:t xml:space="preserve">rather than </w:t>
      </w:r>
      <w:r w:rsidR="0050627F" w:rsidRPr="00720AFF">
        <w:t xml:space="preserve">any significant external interest in the rating. </w:t>
      </w:r>
      <w:r w:rsidR="00E13B8F" w:rsidRPr="00720AFF">
        <w:t xml:space="preserve">Private disclosure to government </w:t>
      </w:r>
      <w:r w:rsidR="000724FA" w:rsidRPr="00720AFF">
        <w:t>could be considered in this circumstance</w:t>
      </w:r>
      <w:r w:rsidR="00607D7A" w:rsidRPr="00720AFF">
        <w:t>.</w:t>
      </w:r>
    </w:p>
    <w:p w14:paraId="4C436C0E" w14:textId="61225725" w:rsidR="00660FD1" w:rsidRPr="00720AFF" w:rsidRDefault="00660FD1" w:rsidP="00326579">
      <w:pPr>
        <w:pStyle w:val="Heading3"/>
        <w:numPr>
          <w:ilvl w:val="1"/>
          <w:numId w:val="26"/>
        </w:numPr>
        <w:spacing w:after="120"/>
        <w:ind w:left="0" w:firstLine="0"/>
        <w:jc w:val="both"/>
      </w:pPr>
      <w:bookmarkStart w:id="21" w:name="_Toc200017007"/>
      <w:r w:rsidRPr="00720AFF">
        <w:t>Validity period</w:t>
      </w:r>
      <w:bookmarkEnd w:id="21"/>
    </w:p>
    <w:p w14:paraId="1FB12A73" w14:textId="77777777" w:rsidR="00D96074" w:rsidRPr="00720AFF" w:rsidRDefault="00525A52" w:rsidP="00326579">
      <w:pPr>
        <w:spacing w:after="120"/>
        <w:jc w:val="both"/>
      </w:pPr>
      <w:r w:rsidRPr="00720AFF">
        <w:t>NABERS</w:t>
      </w:r>
      <w:r w:rsidR="00456B55" w:rsidRPr="00720AFF">
        <w:t xml:space="preserve"> </w:t>
      </w:r>
      <w:r w:rsidRPr="00720AFF">
        <w:t>rating validity periods are set by NABERS. NABERS</w:t>
      </w:r>
      <w:r w:rsidR="00456B55" w:rsidRPr="00720AFF">
        <w:t xml:space="preserve"> ratings are valid for </w:t>
      </w:r>
      <w:r w:rsidR="00C516BD" w:rsidRPr="00720AFF">
        <w:t>12</w:t>
      </w:r>
      <w:r w:rsidR="00456B55" w:rsidRPr="00720AFF">
        <w:t xml:space="preserve"> months</w:t>
      </w:r>
      <w:r w:rsidR="00330FA9" w:rsidRPr="00720AFF">
        <w:t xml:space="preserve"> from the issue date of the certificate</w:t>
      </w:r>
      <w:r w:rsidR="00456B55" w:rsidRPr="00720AFF">
        <w:t>.</w:t>
      </w:r>
      <w:r w:rsidR="00E512DB" w:rsidRPr="00720AFF">
        <w:t xml:space="preserve"> Under the new framework,</w:t>
      </w:r>
      <w:r w:rsidRPr="00720AFF">
        <w:t xml:space="preserve"> it is expected that</w:t>
      </w:r>
      <w:r w:rsidR="00BA12B1" w:rsidRPr="00720AFF">
        <w:t xml:space="preserve"> </w:t>
      </w:r>
      <w:r w:rsidR="00EC6CA8" w:rsidRPr="00720AFF">
        <w:t xml:space="preserve">certain </w:t>
      </w:r>
      <w:r w:rsidR="00BA12B1" w:rsidRPr="00720AFF">
        <w:t xml:space="preserve">building owners and tenants of disclosure affected buildings will be required to periodically obtain a NABERS </w:t>
      </w:r>
      <w:r w:rsidR="001B229E" w:rsidRPr="00720AFF">
        <w:t xml:space="preserve">energy </w:t>
      </w:r>
      <w:r w:rsidR="00BA12B1" w:rsidRPr="00720AFF">
        <w:t>rating</w:t>
      </w:r>
      <w:r w:rsidR="00264EE3" w:rsidRPr="00720AFF">
        <w:t xml:space="preserve"> (see </w:t>
      </w:r>
      <w:r w:rsidR="009E4059" w:rsidRPr="00720AFF">
        <w:t xml:space="preserve">section </w:t>
      </w:r>
      <w:r w:rsidR="002004BF" w:rsidRPr="00720AFF">
        <w:t>3.2</w:t>
      </w:r>
      <w:r w:rsidR="00264EE3" w:rsidRPr="00720AFF">
        <w:t>)</w:t>
      </w:r>
      <w:r w:rsidR="008C578D" w:rsidRPr="00720AFF">
        <w:t xml:space="preserve">. </w:t>
      </w:r>
    </w:p>
    <w:p w14:paraId="3094D927" w14:textId="120FE31F" w:rsidR="00867333" w:rsidRPr="00720AFF" w:rsidRDefault="008C578D" w:rsidP="00326579">
      <w:pPr>
        <w:spacing w:after="120"/>
        <w:jc w:val="both"/>
      </w:pPr>
      <w:r w:rsidRPr="00720AFF">
        <w:t xml:space="preserve">The </w:t>
      </w:r>
      <w:r w:rsidR="00AA7CDB" w:rsidRPr="00720AFF">
        <w:t>new</w:t>
      </w:r>
      <w:r w:rsidRPr="00720AFF">
        <w:t xml:space="preserve"> requirement to </w:t>
      </w:r>
      <w:r w:rsidR="00AA7CDB" w:rsidRPr="00720AFF">
        <w:t xml:space="preserve">periodically </w:t>
      </w:r>
      <w:r w:rsidRPr="00720AFF">
        <w:t xml:space="preserve">obtain a rating </w:t>
      </w:r>
      <w:r w:rsidR="00F95729" w:rsidRPr="00720AFF">
        <w:t xml:space="preserve">is </w:t>
      </w:r>
      <w:r w:rsidR="00BD5DBB" w:rsidRPr="00720AFF">
        <w:t>expected</w:t>
      </w:r>
      <w:r w:rsidR="00F95729" w:rsidRPr="00720AFF">
        <w:t xml:space="preserve"> to be </w:t>
      </w:r>
      <w:r w:rsidR="007A7376" w:rsidRPr="00720AFF">
        <w:t>every 12 months</w:t>
      </w:r>
      <w:r w:rsidR="00F37785" w:rsidRPr="00720AFF">
        <w:t xml:space="preserve"> or longer</w:t>
      </w:r>
      <w:r w:rsidR="007A7376" w:rsidRPr="00720AFF">
        <w:t xml:space="preserve">. For example, </w:t>
      </w:r>
      <w:r w:rsidR="00F92393" w:rsidRPr="00720AFF">
        <w:t xml:space="preserve">owners of large </w:t>
      </w:r>
      <w:r w:rsidR="00F23203" w:rsidRPr="00720AFF">
        <w:t xml:space="preserve">hotel </w:t>
      </w:r>
      <w:r w:rsidR="00F92393" w:rsidRPr="00720AFF">
        <w:t>buildings</w:t>
      </w:r>
      <w:r w:rsidR="00E90A82" w:rsidRPr="00720AFF">
        <w:t xml:space="preserve"> could be required to obtain a NABERS </w:t>
      </w:r>
      <w:r w:rsidR="009E5BF2" w:rsidRPr="00720AFF">
        <w:t xml:space="preserve">energy </w:t>
      </w:r>
      <w:r w:rsidR="00E90A82" w:rsidRPr="00720AFF">
        <w:t xml:space="preserve">rating once every </w:t>
      </w:r>
      <w:r w:rsidR="00C43239" w:rsidRPr="00720AFF">
        <w:t xml:space="preserve">two or </w:t>
      </w:r>
      <w:r w:rsidR="000560F3" w:rsidRPr="00720AFF">
        <w:t>three</w:t>
      </w:r>
      <w:r w:rsidR="00E90A82" w:rsidRPr="00720AFF">
        <w:t xml:space="preserve"> years.</w:t>
      </w:r>
      <w:r w:rsidR="00F21447" w:rsidRPr="00720AFF">
        <w:t xml:space="preserve"> In this circumstance, the NABERS energy rating will be valid, for disclosure purposes, for </w:t>
      </w:r>
      <w:r w:rsidR="00584B50" w:rsidRPr="00720AFF">
        <w:t xml:space="preserve">two or </w:t>
      </w:r>
      <w:r w:rsidR="00ED1CFA" w:rsidRPr="00720AFF">
        <w:t>three years.</w:t>
      </w:r>
      <w:r w:rsidR="007B449F" w:rsidRPr="00720AFF">
        <w:t xml:space="preserve"> This does not preclude </w:t>
      </w:r>
      <w:r w:rsidR="00634280" w:rsidRPr="00720AFF">
        <w:t>own</w:t>
      </w:r>
      <w:r w:rsidR="00694725" w:rsidRPr="00720AFF">
        <w:t xml:space="preserve">ers and tenants obtaining NABERS </w:t>
      </w:r>
      <w:r w:rsidR="00F90FE9" w:rsidRPr="00720AFF">
        <w:t>energy</w:t>
      </w:r>
      <w:r w:rsidR="00694725" w:rsidRPr="00720AFF">
        <w:t xml:space="preserve"> ratings more frequently. Many building owners </w:t>
      </w:r>
      <w:r w:rsidR="00571CE3" w:rsidRPr="00720AFF">
        <w:t>voluntarily</w:t>
      </w:r>
      <w:r w:rsidR="00694725" w:rsidRPr="00720AFF">
        <w:t xml:space="preserve"> obta</w:t>
      </w:r>
      <w:r w:rsidR="009A44BA" w:rsidRPr="00720AFF">
        <w:t xml:space="preserve">in NABERS energy ratings </w:t>
      </w:r>
      <w:r w:rsidR="0014631E" w:rsidRPr="00720AFF">
        <w:t>every 12 months</w:t>
      </w:r>
      <w:r w:rsidR="009A44BA" w:rsidRPr="00720AFF">
        <w:t xml:space="preserve"> </w:t>
      </w:r>
      <w:r w:rsidR="00D13A37" w:rsidRPr="00720AFF">
        <w:t xml:space="preserve">to </w:t>
      </w:r>
      <w:r w:rsidR="0092398C" w:rsidRPr="00720AFF">
        <w:t xml:space="preserve">communicate their </w:t>
      </w:r>
      <w:r w:rsidR="0052048E" w:rsidRPr="00720AFF">
        <w:t xml:space="preserve">rating to </w:t>
      </w:r>
      <w:r w:rsidR="0014631E" w:rsidRPr="00720AFF">
        <w:t>stakeholder</w:t>
      </w:r>
      <w:r w:rsidR="00C138E9" w:rsidRPr="00720AFF">
        <w:t>s</w:t>
      </w:r>
      <w:r w:rsidR="003B30D0" w:rsidRPr="00720AFF">
        <w:t xml:space="preserve"> and </w:t>
      </w:r>
      <w:r w:rsidR="00436D59" w:rsidRPr="00720AFF">
        <w:t>cli</w:t>
      </w:r>
      <w:r w:rsidR="00CC7AB9" w:rsidRPr="00720AFF">
        <w:t>ents.</w:t>
      </w:r>
    </w:p>
    <w:p w14:paraId="4B2103D2" w14:textId="2893C5ED" w:rsidR="00660FD1" w:rsidRPr="00720AFF" w:rsidRDefault="00867333" w:rsidP="00326579">
      <w:pPr>
        <w:spacing w:after="120"/>
        <w:jc w:val="both"/>
      </w:pPr>
      <w:r w:rsidRPr="00720AFF">
        <w:t xml:space="preserve">There may be circumstances where </w:t>
      </w:r>
      <w:r w:rsidR="00F07341" w:rsidRPr="00720AFF">
        <w:t>major renovations</w:t>
      </w:r>
      <w:r w:rsidR="00F21447" w:rsidRPr="00720AFF">
        <w:t xml:space="preserve"> </w:t>
      </w:r>
      <w:r w:rsidR="00F47F7F" w:rsidRPr="00720AFF">
        <w:t xml:space="preserve">or other changes to the </w:t>
      </w:r>
      <w:r w:rsidR="005F0407" w:rsidRPr="00720AFF">
        <w:t xml:space="preserve">building’s operational energy use </w:t>
      </w:r>
      <w:r w:rsidR="00BA392C" w:rsidRPr="00720AFF">
        <w:t xml:space="preserve">change the </w:t>
      </w:r>
      <w:r w:rsidR="00761C73" w:rsidRPr="00720AFF">
        <w:t xml:space="preserve">relevant NABERS </w:t>
      </w:r>
      <w:r w:rsidR="008822CF" w:rsidRPr="00720AFF">
        <w:t xml:space="preserve">energy </w:t>
      </w:r>
      <w:r w:rsidR="00761C73" w:rsidRPr="00720AFF">
        <w:t xml:space="preserve">rating by more than half a star. An updated rating </w:t>
      </w:r>
      <w:r w:rsidR="007F16ED" w:rsidRPr="00720AFF">
        <w:t>may be required in this circumstance.</w:t>
      </w:r>
      <w:r w:rsidRPr="00720AFF">
        <w:t xml:space="preserve"> </w:t>
      </w:r>
      <w:r w:rsidR="00F21447" w:rsidRPr="00720AFF">
        <w:t xml:space="preserve"> </w:t>
      </w:r>
    </w:p>
    <w:p w14:paraId="4C9C6472" w14:textId="72222833" w:rsidR="00660FD1" w:rsidRPr="00720AFF" w:rsidRDefault="00660FD1" w:rsidP="00326579">
      <w:pPr>
        <w:pStyle w:val="Heading3"/>
        <w:numPr>
          <w:ilvl w:val="1"/>
          <w:numId w:val="26"/>
        </w:numPr>
        <w:spacing w:after="120"/>
        <w:ind w:left="0" w:firstLine="0"/>
        <w:jc w:val="both"/>
      </w:pPr>
      <w:bookmarkStart w:id="22" w:name="_Toc200017008"/>
      <w:r w:rsidRPr="00720AFF">
        <w:lastRenderedPageBreak/>
        <w:t>Exemptions</w:t>
      </w:r>
      <w:r w:rsidR="00D246D9" w:rsidRPr="00720AFF">
        <w:t xml:space="preserve"> </w:t>
      </w:r>
      <w:r w:rsidR="007664FA" w:rsidRPr="00720AFF">
        <w:t xml:space="preserve">from disclosure obligations </w:t>
      </w:r>
      <w:r w:rsidR="00D246D9" w:rsidRPr="00720AFF">
        <w:t>and buildings that are not disclosure affected</w:t>
      </w:r>
      <w:bookmarkEnd w:id="22"/>
    </w:p>
    <w:p w14:paraId="198E36F0" w14:textId="58035A11" w:rsidR="009267B5" w:rsidRPr="00720AFF" w:rsidRDefault="009267B5" w:rsidP="00326579">
      <w:pPr>
        <w:pStyle w:val="Heading4"/>
        <w:spacing w:after="120"/>
        <w:jc w:val="both"/>
      </w:pPr>
      <w:r w:rsidRPr="00720AFF">
        <w:t>Exemptions</w:t>
      </w:r>
      <w:r w:rsidR="006E353A" w:rsidRPr="00720AFF">
        <w:t xml:space="preserve"> from disclosure obligations</w:t>
      </w:r>
    </w:p>
    <w:p w14:paraId="0503C759" w14:textId="16BEE0B8" w:rsidR="0061095A" w:rsidRPr="00720AFF" w:rsidRDefault="00104836" w:rsidP="00326579">
      <w:pPr>
        <w:spacing w:after="120"/>
        <w:jc w:val="both"/>
      </w:pPr>
      <w:r w:rsidRPr="00720AFF">
        <w:t xml:space="preserve">Under the new </w:t>
      </w:r>
      <w:r w:rsidR="00A710BD" w:rsidRPr="00720AFF">
        <w:t>legislative</w:t>
      </w:r>
      <w:r w:rsidR="00D87013" w:rsidRPr="00720AFF">
        <w:t xml:space="preserve"> </w:t>
      </w:r>
      <w:r w:rsidRPr="00720AFF">
        <w:t xml:space="preserve">framework, </w:t>
      </w:r>
      <w:r w:rsidR="005B4BDE" w:rsidRPr="00720AFF">
        <w:t>building owners and tenants will be able to apply for</w:t>
      </w:r>
      <w:r w:rsidR="00834D23" w:rsidRPr="00720AFF">
        <w:t xml:space="preserve"> time-limited</w:t>
      </w:r>
      <w:r w:rsidR="005B4BDE" w:rsidRPr="00720AFF">
        <w:t xml:space="preserve"> </w:t>
      </w:r>
      <w:r w:rsidR="00016E38" w:rsidRPr="00720AFF">
        <w:t xml:space="preserve">exemptions from the obligations under the Act </w:t>
      </w:r>
      <w:r w:rsidR="00957EF7" w:rsidRPr="00720AFF">
        <w:t xml:space="preserve">in </w:t>
      </w:r>
      <w:r w:rsidR="00016E38" w:rsidRPr="00720AFF">
        <w:t xml:space="preserve">particular </w:t>
      </w:r>
      <w:r w:rsidR="000C5F87" w:rsidRPr="00720AFF">
        <w:t xml:space="preserve">circumstances. </w:t>
      </w:r>
      <w:r w:rsidR="00C118DA" w:rsidRPr="00720AFF">
        <w:t>A</w:t>
      </w:r>
      <w:r w:rsidR="00462677" w:rsidRPr="00720AFF">
        <w:t xml:space="preserve">n ability </w:t>
      </w:r>
      <w:r w:rsidR="00787E6F" w:rsidRPr="00720AFF">
        <w:t>for the department</w:t>
      </w:r>
      <w:r w:rsidR="00462677" w:rsidRPr="00720AFF">
        <w:t xml:space="preserve"> to </w:t>
      </w:r>
      <w:r w:rsidR="001C1836" w:rsidRPr="00720AFF">
        <w:t xml:space="preserve">provide exemptions </w:t>
      </w:r>
      <w:r w:rsidR="0061095A" w:rsidRPr="00720AFF">
        <w:t xml:space="preserve">ensures flexibility within the regulatory program, balancing the objectives of mandatory disclosure with practical </w:t>
      </w:r>
      <w:r w:rsidR="00D87013" w:rsidRPr="00720AFF">
        <w:t xml:space="preserve">and business </w:t>
      </w:r>
      <w:r w:rsidR="0061095A" w:rsidRPr="00720AFF">
        <w:t xml:space="preserve">considerations for various </w:t>
      </w:r>
      <w:r w:rsidR="00D87013" w:rsidRPr="00720AFF">
        <w:t xml:space="preserve">commercial building </w:t>
      </w:r>
      <w:r w:rsidR="0061095A" w:rsidRPr="00720AFF">
        <w:t xml:space="preserve">sectors. </w:t>
      </w:r>
    </w:p>
    <w:p w14:paraId="094B8827" w14:textId="435BB5D4" w:rsidR="005C1CFA" w:rsidRPr="00720AFF" w:rsidRDefault="00F956FE" w:rsidP="00326579">
      <w:pPr>
        <w:spacing w:after="120"/>
        <w:jc w:val="both"/>
      </w:pPr>
      <w:r w:rsidRPr="00720AFF">
        <w:t>There are e</w:t>
      </w:r>
      <w:r w:rsidR="0026574F" w:rsidRPr="00720AFF">
        <w:t xml:space="preserve">xisting </w:t>
      </w:r>
      <w:r w:rsidR="00CE4B5E" w:rsidRPr="00720AFF">
        <w:t>exemption</w:t>
      </w:r>
      <w:r w:rsidR="0043025D" w:rsidRPr="00720AFF">
        <w:t xml:space="preserve"> options</w:t>
      </w:r>
      <w:r w:rsidR="00CE4B5E" w:rsidRPr="00720AFF">
        <w:t xml:space="preserve"> under the </w:t>
      </w:r>
      <w:r w:rsidR="00305463" w:rsidRPr="00720AFF">
        <w:t xml:space="preserve">current </w:t>
      </w:r>
      <w:r w:rsidR="00CE510E" w:rsidRPr="00720AFF">
        <w:t xml:space="preserve">CBD </w:t>
      </w:r>
      <w:r w:rsidR="00305463" w:rsidRPr="00720AFF">
        <w:t xml:space="preserve">Program </w:t>
      </w:r>
      <w:r w:rsidRPr="00720AFF">
        <w:t xml:space="preserve">for buildings undergoing a major refurbishment, </w:t>
      </w:r>
      <w:r w:rsidR="00336BF2" w:rsidRPr="00720AFF">
        <w:t xml:space="preserve">buildings that </w:t>
      </w:r>
      <w:r w:rsidR="00523D05" w:rsidRPr="00720AFF">
        <w:t xml:space="preserve">cannot complete a NABERS </w:t>
      </w:r>
      <w:r w:rsidR="00F7763A" w:rsidRPr="00720AFF">
        <w:t xml:space="preserve">energy </w:t>
      </w:r>
      <w:r w:rsidR="00523D05" w:rsidRPr="00720AFF">
        <w:t>rating</w:t>
      </w:r>
      <w:r w:rsidR="00BC635F" w:rsidRPr="00720AFF">
        <w:t xml:space="preserve"> for </w:t>
      </w:r>
      <w:proofErr w:type="gramStart"/>
      <w:r w:rsidR="00BC635F" w:rsidRPr="00720AFF">
        <w:t>a period of time</w:t>
      </w:r>
      <w:proofErr w:type="gramEnd"/>
      <w:r w:rsidR="007B2B76" w:rsidRPr="00720AFF">
        <w:t>, buildings that are used for polic</w:t>
      </w:r>
      <w:r w:rsidR="00A76E3E" w:rsidRPr="00720AFF">
        <w:t>e</w:t>
      </w:r>
      <w:r w:rsidR="007B2B76" w:rsidRPr="00720AFF">
        <w:t xml:space="preserve"> or security operations, and buildings that</w:t>
      </w:r>
      <w:r w:rsidR="00DA4D08" w:rsidRPr="00720AFF">
        <w:t xml:space="preserve"> are the subj</w:t>
      </w:r>
      <w:r w:rsidR="001527B8" w:rsidRPr="00720AFF">
        <w:t xml:space="preserve">ect of unsolicited </w:t>
      </w:r>
      <w:r w:rsidR="00F10498" w:rsidRPr="00720AFF">
        <w:t>purchase</w:t>
      </w:r>
      <w:r w:rsidR="001527B8" w:rsidRPr="00720AFF">
        <w:t xml:space="preserve"> offers</w:t>
      </w:r>
      <w:r w:rsidR="00C6423D" w:rsidRPr="00720AFF">
        <w:t xml:space="preserve">. </w:t>
      </w:r>
      <w:r w:rsidR="00164FE2" w:rsidRPr="00720AFF">
        <w:t xml:space="preserve">Some exemption arrangements currently in place for office buildings will translate directly to </w:t>
      </w:r>
      <w:r w:rsidR="00F10498" w:rsidRPr="00720AFF">
        <w:t xml:space="preserve">potential new </w:t>
      </w:r>
      <w:r w:rsidR="00164FE2" w:rsidRPr="00720AFF">
        <w:t xml:space="preserve">sectors </w:t>
      </w:r>
      <w:r w:rsidR="005C1CFA" w:rsidRPr="00720AFF">
        <w:t>in an expanded CBD Program</w:t>
      </w:r>
      <w:r w:rsidR="00801FF4" w:rsidRPr="00720AFF">
        <w:t>.</w:t>
      </w:r>
      <w:r w:rsidR="005C1CFA" w:rsidRPr="00720AFF">
        <w:t xml:space="preserve"> </w:t>
      </w:r>
      <w:r w:rsidR="006E2130" w:rsidRPr="00720AFF">
        <w:t>F</w:t>
      </w:r>
      <w:r w:rsidR="005C1CFA" w:rsidRPr="00720AFF">
        <w:t>or example</w:t>
      </w:r>
      <w:r w:rsidR="00A85EF5" w:rsidRPr="00720AFF">
        <w:t>,</w:t>
      </w:r>
      <w:r w:rsidR="005C1CFA" w:rsidRPr="00720AFF">
        <w:t xml:space="preserve"> </w:t>
      </w:r>
      <w:r w:rsidR="0060498F" w:rsidRPr="00720AFF">
        <w:t>disclosure affected</w:t>
      </w:r>
      <w:r w:rsidR="005C1CFA" w:rsidRPr="00720AFF">
        <w:t xml:space="preserve"> buildings that are non-assessable </w:t>
      </w:r>
      <w:r w:rsidR="006E2130" w:rsidRPr="00720AFF">
        <w:t>and</w:t>
      </w:r>
      <w:r w:rsidR="005C1CFA" w:rsidRPr="00720AFF">
        <w:t xml:space="preserve"> cannot complete a NABERS </w:t>
      </w:r>
      <w:r w:rsidR="000A626C" w:rsidRPr="00720AFF">
        <w:t xml:space="preserve">energy </w:t>
      </w:r>
      <w:r w:rsidR="005C1CFA" w:rsidRPr="00720AFF">
        <w:t xml:space="preserve">rating </w:t>
      </w:r>
      <w:r w:rsidR="00DC3408" w:rsidRPr="00720AFF">
        <w:t xml:space="preserve">for </w:t>
      </w:r>
      <w:proofErr w:type="gramStart"/>
      <w:r w:rsidR="00DC3408" w:rsidRPr="00720AFF">
        <w:t>a period of time</w:t>
      </w:r>
      <w:proofErr w:type="gramEnd"/>
      <w:r w:rsidR="00DC3408" w:rsidRPr="00720AFF">
        <w:t xml:space="preserve"> </w:t>
      </w:r>
      <w:r w:rsidR="005C1CFA" w:rsidRPr="00720AFF">
        <w:t>for technical reasons</w:t>
      </w:r>
      <w:r w:rsidR="006E2130" w:rsidRPr="00720AFF">
        <w:t xml:space="preserve"> will </w:t>
      </w:r>
      <w:r w:rsidR="002D7D29" w:rsidRPr="00720AFF">
        <w:t xml:space="preserve">continue to be an exemption </w:t>
      </w:r>
      <w:r w:rsidR="00D47ADB" w:rsidRPr="00720AFF">
        <w:t>category under the new framework</w:t>
      </w:r>
      <w:r w:rsidR="005C1CFA" w:rsidRPr="00720AFF">
        <w:t>.</w:t>
      </w:r>
      <w:r w:rsidR="001B7325" w:rsidRPr="00720AFF">
        <w:t xml:space="preserve"> </w:t>
      </w:r>
    </w:p>
    <w:p w14:paraId="4CC4C2CC" w14:textId="09A74747" w:rsidR="001D0238" w:rsidRPr="00720AFF" w:rsidRDefault="00F12E6E" w:rsidP="00326579">
      <w:pPr>
        <w:spacing w:after="120"/>
        <w:jc w:val="both"/>
      </w:pPr>
      <w:r w:rsidRPr="00720AFF">
        <w:t>New exemption</w:t>
      </w:r>
      <w:r w:rsidR="00654912" w:rsidRPr="00720AFF">
        <w:t xml:space="preserve"> categories</w:t>
      </w:r>
      <w:r w:rsidRPr="00720AFF">
        <w:t xml:space="preserve"> ma</w:t>
      </w:r>
      <w:r w:rsidR="003A525D" w:rsidRPr="00720AFF">
        <w:t xml:space="preserve">y be required </w:t>
      </w:r>
      <w:r w:rsidR="00441578" w:rsidRPr="00720AFF">
        <w:t>under the new framework</w:t>
      </w:r>
      <w:r w:rsidR="00FA2FA9" w:rsidRPr="00720AFF">
        <w:t>.</w:t>
      </w:r>
      <w:r w:rsidR="004D316E" w:rsidRPr="00720AFF">
        <w:t xml:space="preserve"> </w:t>
      </w:r>
      <w:r w:rsidR="00D82884" w:rsidRPr="00720AFF">
        <w:t>T</w:t>
      </w:r>
      <w:r w:rsidR="004D316E" w:rsidRPr="00720AFF">
        <w:t xml:space="preserve">he </w:t>
      </w:r>
      <w:r w:rsidR="000A44EF" w:rsidRPr="00720AFF">
        <w:t>starting consideration for any new exemption</w:t>
      </w:r>
      <w:r w:rsidR="00493421" w:rsidRPr="00720AFF">
        <w:t xml:space="preserve"> is that if a </w:t>
      </w:r>
      <w:r w:rsidR="006B6A8D" w:rsidRPr="00720AFF">
        <w:t xml:space="preserve">disclosure affected </w:t>
      </w:r>
      <w:r w:rsidR="00493421" w:rsidRPr="00720AFF">
        <w:t>building can obtain a</w:t>
      </w:r>
      <w:r w:rsidR="00D86246" w:rsidRPr="00720AFF">
        <w:t>n</w:t>
      </w:r>
      <w:r w:rsidR="00493421" w:rsidRPr="00720AFF">
        <w:t xml:space="preserve"> energy rating, then </w:t>
      </w:r>
      <w:r w:rsidR="006B6A8D" w:rsidRPr="00720AFF">
        <w:t>it should be required to obtain and disclose that rating, u</w:t>
      </w:r>
      <w:r w:rsidR="0062203E" w:rsidRPr="00720AFF">
        <w:t xml:space="preserve">nless there are compelling reasons </w:t>
      </w:r>
      <w:r w:rsidR="00AC775D" w:rsidRPr="00720AFF">
        <w:t>to consider an exemption.</w:t>
      </w:r>
      <w:r w:rsidR="00FB6606" w:rsidRPr="00720AFF">
        <w:t xml:space="preserve"> Evidence </w:t>
      </w:r>
      <w:r w:rsidR="00F7490E" w:rsidRPr="00720AFF">
        <w:t>to</w:t>
      </w:r>
      <w:r w:rsidR="00FB6606" w:rsidRPr="00720AFF">
        <w:t xml:space="preserve"> </w:t>
      </w:r>
      <w:r w:rsidR="00F7490E" w:rsidRPr="00720AFF">
        <w:t xml:space="preserve">support </w:t>
      </w:r>
      <w:r w:rsidR="00FB6606" w:rsidRPr="00720AFF">
        <w:t>exemption</w:t>
      </w:r>
      <w:r w:rsidR="00F7490E" w:rsidRPr="00720AFF">
        <w:t xml:space="preserve"> applications</w:t>
      </w:r>
      <w:r w:rsidR="00FB6606" w:rsidRPr="00720AFF">
        <w:t xml:space="preserve"> will continue to be</w:t>
      </w:r>
      <w:r w:rsidR="00E57AC9" w:rsidRPr="00720AFF">
        <w:t xml:space="preserve"> required and assessed</w:t>
      </w:r>
      <w:r w:rsidR="0011310C" w:rsidRPr="00720AFF">
        <w:t xml:space="preserve"> by the appropriate delegates. </w:t>
      </w:r>
      <w:r w:rsidR="00BF4174" w:rsidRPr="00720AFF">
        <w:t>Granting e</w:t>
      </w:r>
      <w:r w:rsidR="0011310C" w:rsidRPr="00720AFF">
        <w:t xml:space="preserve">xemptions will continue </w:t>
      </w:r>
      <w:r w:rsidR="00BF4174" w:rsidRPr="00720AFF">
        <w:t>to be a discretionary power under the Act.</w:t>
      </w:r>
      <w:r w:rsidR="00FB6606" w:rsidRPr="00720AFF">
        <w:t xml:space="preserve"> </w:t>
      </w:r>
    </w:p>
    <w:p w14:paraId="03DC5FEF" w14:textId="786CA2B4" w:rsidR="00AA1945" w:rsidRPr="00720AFF" w:rsidRDefault="008B2EF3" w:rsidP="00326579">
      <w:pPr>
        <w:pStyle w:val="Heading4"/>
        <w:spacing w:after="120"/>
        <w:jc w:val="both"/>
      </w:pPr>
      <w:r w:rsidRPr="00720AFF">
        <w:t>Buildings that are not disclosure affected</w:t>
      </w:r>
    </w:p>
    <w:p w14:paraId="284A5663" w14:textId="603319B3" w:rsidR="00EF27DF" w:rsidRPr="00720AFF" w:rsidRDefault="00EF27DF" w:rsidP="00326579">
      <w:pPr>
        <w:spacing w:after="120"/>
        <w:jc w:val="both"/>
      </w:pPr>
      <w:r w:rsidRPr="00720AFF">
        <w:t>As part of any new Ministerial determinations</w:t>
      </w:r>
      <w:r w:rsidR="004D7496" w:rsidRPr="00720AFF">
        <w:t xml:space="preserve"> </w:t>
      </w:r>
      <w:r w:rsidR="00A9355C" w:rsidRPr="00720AFF">
        <w:t>under</w:t>
      </w:r>
      <w:r w:rsidR="004D7496" w:rsidRPr="00720AFF">
        <w:t xml:space="preserve"> the </w:t>
      </w:r>
      <w:r w:rsidR="00A9355C" w:rsidRPr="00720AFF">
        <w:t>Act</w:t>
      </w:r>
      <w:r w:rsidRPr="00720AFF">
        <w:t xml:space="preserve">, the Minister </w:t>
      </w:r>
      <w:r w:rsidR="0073094A" w:rsidRPr="00720AFF">
        <w:t>has the power to</w:t>
      </w:r>
      <w:r w:rsidRPr="00720AFF">
        <w:t xml:space="preserve"> specify the kinds of buildings that are disclosure affected</w:t>
      </w:r>
      <w:r w:rsidR="00EB596E" w:rsidRPr="00720AFF">
        <w:t xml:space="preserve"> and </w:t>
      </w:r>
      <w:r w:rsidR="00D968A5" w:rsidRPr="00720AFF">
        <w:t xml:space="preserve">to </w:t>
      </w:r>
      <w:r w:rsidR="000A69F4" w:rsidRPr="00720AFF">
        <w:t xml:space="preserve">also </w:t>
      </w:r>
      <w:r w:rsidR="00EB596E" w:rsidRPr="00720AFF">
        <w:t xml:space="preserve">specifically mention </w:t>
      </w:r>
      <w:r w:rsidR="001A018B" w:rsidRPr="00720AFF">
        <w:t xml:space="preserve">buildings that are </w:t>
      </w:r>
      <w:r w:rsidR="001A018B" w:rsidRPr="00720AFF">
        <w:rPr>
          <w:i/>
          <w:iCs/>
        </w:rPr>
        <w:t xml:space="preserve">not </w:t>
      </w:r>
      <w:r w:rsidR="001A018B" w:rsidRPr="00720AFF">
        <w:t>disclosure affected</w:t>
      </w:r>
      <w:r w:rsidRPr="00720AFF">
        <w:t xml:space="preserve">. </w:t>
      </w:r>
      <w:r w:rsidR="001A018B" w:rsidRPr="00720AFF">
        <w:t xml:space="preserve">For example, under the </w:t>
      </w:r>
      <w:r w:rsidR="00A2198A" w:rsidRPr="00720AFF">
        <w:t xml:space="preserve">current Ministerial determination, </w:t>
      </w:r>
      <w:r w:rsidR="00FB48F5" w:rsidRPr="00720AFF">
        <w:t xml:space="preserve">particular </w:t>
      </w:r>
      <w:r w:rsidR="00904282" w:rsidRPr="00720AFF">
        <w:t>office</w:t>
      </w:r>
      <w:r w:rsidR="00F41DA7" w:rsidRPr="00720AFF">
        <w:t xml:space="preserve"> buildings are captured under the </w:t>
      </w:r>
      <w:r w:rsidR="00935888" w:rsidRPr="00720AFF">
        <w:t xml:space="preserve">CBD </w:t>
      </w:r>
      <w:proofErr w:type="gramStart"/>
      <w:r w:rsidR="00F41DA7" w:rsidRPr="00720AFF">
        <w:t>Progra</w:t>
      </w:r>
      <w:r w:rsidR="006D2CEA" w:rsidRPr="00720AFF">
        <w:t>m</w:t>
      </w:r>
      <w:proofErr w:type="gramEnd"/>
      <w:r w:rsidR="006D2CEA" w:rsidRPr="00720AFF">
        <w:t xml:space="preserve"> </w:t>
      </w:r>
      <w:r w:rsidR="004D06CB" w:rsidRPr="00720AFF">
        <w:t xml:space="preserve">but </w:t>
      </w:r>
      <w:r w:rsidR="00BA2120" w:rsidRPr="00720AFF">
        <w:t>also c</w:t>
      </w:r>
      <w:r w:rsidR="00121841" w:rsidRPr="00720AFF">
        <w:t xml:space="preserve">ertain office buildings </w:t>
      </w:r>
      <w:r w:rsidR="00BA2120" w:rsidRPr="00720AFF">
        <w:t>are explicitly excluded</w:t>
      </w:r>
      <w:r w:rsidR="00121841" w:rsidRPr="00720AFF">
        <w:t xml:space="preserve">. These </w:t>
      </w:r>
      <w:r w:rsidR="00432FE9" w:rsidRPr="00720AFF">
        <w:t xml:space="preserve">exclusions </w:t>
      </w:r>
      <w:r w:rsidR="00121841" w:rsidRPr="00720AFF">
        <w:t xml:space="preserve">are office buildings </w:t>
      </w:r>
      <w:r w:rsidR="00875F6C" w:rsidRPr="00720AFF">
        <w:t xml:space="preserve">with a net lettable area of </w:t>
      </w:r>
      <w:r w:rsidR="00121841" w:rsidRPr="00720AFF">
        <w:t>less than 1</w:t>
      </w:r>
      <w:r w:rsidR="00875F6C" w:rsidRPr="00720AFF">
        <w:t>,000</w:t>
      </w:r>
      <w:r w:rsidR="00C96A00" w:rsidRPr="00720AFF">
        <w:t>m</w:t>
      </w:r>
      <w:r w:rsidR="00C96A00" w:rsidRPr="00720AFF">
        <w:rPr>
          <w:vertAlign w:val="superscript"/>
        </w:rPr>
        <w:t>2</w:t>
      </w:r>
      <w:r w:rsidR="00D02EA9" w:rsidRPr="00720AFF">
        <w:t xml:space="preserve">, strata titled buildings, </w:t>
      </w:r>
      <w:r w:rsidR="008D0CDE" w:rsidRPr="00720AFF">
        <w:t>new buildings</w:t>
      </w:r>
      <w:r w:rsidR="00B82D5D" w:rsidRPr="00720AFF">
        <w:t xml:space="preserve">, </w:t>
      </w:r>
      <w:r w:rsidR="008D0CDE" w:rsidRPr="00720AFF">
        <w:t>buildings that have undergone</w:t>
      </w:r>
      <w:r w:rsidR="003420F4" w:rsidRPr="00720AFF">
        <w:t xml:space="preserve"> a major refurbishment and ha</w:t>
      </w:r>
      <w:r w:rsidR="00E72F98" w:rsidRPr="00720AFF">
        <w:t>ve</w:t>
      </w:r>
      <w:r w:rsidR="003420F4" w:rsidRPr="00720AFF">
        <w:t xml:space="preserve"> a Certificate of Occupancy less than two years old</w:t>
      </w:r>
      <w:r w:rsidR="00B82D5D" w:rsidRPr="00720AFF">
        <w:t xml:space="preserve"> and some </w:t>
      </w:r>
      <w:r w:rsidR="11DDA4C5" w:rsidRPr="00720AFF">
        <w:t>mixed-use</w:t>
      </w:r>
      <w:r w:rsidR="00B82D5D" w:rsidRPr="00720AFF">
        <w:t xml:space="preserve"> buildings</w:t>
      </w:r>
      <w:r w:rsidR="003420F4" w:rsidRPr="00720AFF">
        <w:t>.</w:t>
      </w:r>
    </w:p>
    <w:p w14:paraId="0CAD5861" w14:textId="0FF33931" w:rsidR="00C017DA" w:rsidRPr="00720AFF" w:rsidRDefault="00E073AC" w:rsidP="00326579">
      <w:pPr>
        <w:spacing w:after="120"/>
        <w:jc w:val="both"/>
      </w:pPr>
      <w:r w:rsidRPr="00720AFF">
        <w:t>Specific details on what buildings should not be disclosure affected within each broader building types will be set out in subordinate legislation</w:t>
      </w:r>
      <w:r w:rsidR="007711AC" w:rsidRPr="00720AFF">
        <w:t xml:space="preserve">. However, </w:t>
      </w:r>
      <w:r w:rsidR="00B87DAA" w:rsidRPr="00720AFF">
        <w:t xml:space="preserve">some principles </w:t>
      </w:r>
      <w:r w:rsidR="00930A13" w:rsidRPr="00720AFF">
        <w:t xml:space="preserve">will </w:t>
      </w:r>
      <w:r w:rsidR="00B87DAA" w:rsidRPr="00720AFF">
        <w:t>apply across commercial buildings in general</w:t>
      </w:r>
      <w:r w:rsidR="008F10B0" w:rsidRPr="00720AFF">
        <w:t xml:space="preserve">. For example, </w:t>
      </w:r>
      <w:r w:rsidR="002C2A92" w:rsidRPr="00720AFF">
        <w:t>excluding small</w:t>
      </w:r>
      <w:r w:rsidR="00831B03" w:rsidRPr="00720AFF">
        <w:t>er</w:t>
      </w:r>
      <w:r w:rsidR="002C2A92" w:rsidRPr="00720AFF">
        <w:t xml:space="preserve"> buildings</w:t>
      </w:r>
      <w:r w:rsidR="00C017DA" w:rsidRPr="00720AFF">
        <w:t xml:space="preserve"> recognises the proportional burden of compliance for smaller properties and aims to balance regulatory requirements with practical considerations. By focusing disclosure obligations on larger buildings, which typically have a greater environmental impact and more complex operational needs, the </w:t>
      </w:r>
      <w:r w:rsidR="00DF2263" w:rsidRPr="00720AFF">
        <w:t>CBD P</w:t>
      </w:r>
      <w:r w:rsidR="00C017DA" w:rsidRPr="00720AFF">
        <w:t>rogram ensures that resources are directed toward areas with the most significant potential for energy efficiency improvements</w:t>
      </w:r>
      <w:r w:rsidR="00FE479C" w:rsidRPr="00720AFF">
        <w:t xml:space="preserve"> and emissions savings</w:t>
      </w:r>
      <w:r w:rsidR="00C017DA" w:rsidRPr="00720AFF">
        <w:t>.</w:t>
      </w:r>
    </w:p>
    <w:p w14:paraId="5503645E" w14:textId="10BFEBC1" w:rsidR="0073765F" w:rsidRPr="00720AFF" w:rsidRDefault="00387144" w:rsidP="00326579">
      <w:pPr>
        <w:pStyle w:val="Heading3"/>
        <w:numPr>
          <w:ilvl w:val="1"/>
          <w:numId w:val="26"/>
        </w:numPr>
        <w:spacing w:after="120"/>
        <w:ind w:left="0" w:firstLine="0"/>
        <w:jc w:val="both"/>
      </w:pPr>
      <w:bookmarkStart w:id="23" w:name="_Toc200017009"/>
      <w:r w:rsidRPr="00720AFF">
        <w:t>Accreditation</w:t>
      </w:r>
      <w:r w:rsidR="008C3668" w:rsidRPr="00720AFF">
        <w:t xml:space="preserve"> of assessors</w:t>
      </w:r>
      <w:bookmarkEnd w:id="23"/>
    </w:p>
    <w:p w14:paraId="20E92637" w14:textId="0C321753" w:rsidR="00A322A6" w:rsidRPr="00720AFF" w:rsidRDefault="00A322A6" w:rsidP="00326579">
      <w:pPr>
        <w:spacing w:after="120"/>
        <w:jc w:val="both"/>
      </w:pPr>
      <w:r w:rsidRPr="00720AFF">
        <w:t xml:space="preserve">Energy assessors carry out physical assessments of buildings to collect and then verify the data required to provide a NABERS </w:t>
      </w:r>
      <w:r w:rsidR="009B7604" w:rsidRPr="00720AFF">
        <w:t xml:space="preserve">energy </w:t>
      </w:r>
      <w:r w:rsidRPr="00720AFF">
        <w:t>rating.</w:t>
      </w:r>
      <w:r w:rsidR="00756629" w:rsidRPr="00720AFF">
        <w:t xml:space="preserve"> Energy assessors are an integral part of the CBD </w:t>
      </w:r>
      <w:proofErr w:type="gramStart"/>
      <w:r w:rsidR="004303DC" w:rsidRPr="00720AFF">
        <w:t>P</w:t>
      </w:r>
      <w:r w:rsidR="00756629" w:rsidRPr="00720AFF">
        <w:t>rogram</w:t>
      </w:r>
      <w:proofErr w:type="gramEnd"/>
      <w:r w:rsidR="00F02ADB" w:rsidRPr="00720AFF">
        <w:t xml:space="preserve"> and</w:t>
      </w:r>
      <w:r w:rsidR="00443E9B" w:rsidRPr="00720AFF">
        <w:t xml:space="preserve"> their </w:t>
      </w:r>
      <w:r w:rsidR="00756629" w:rsidRPr="00720AFF">
        <w:t>work</w:t>
      </w:r>
      <w:r w:rsidR="002C34D8" w:rsidRPr="00720AFF">
        <w:t xml:space="preserve"> </w:t>
      </w:r>
      <w:r w:rsidR="00797566" w:rsidRPr="00720AFF">
        <w:t>support</w:t>
      </w:r>
      <w:r w:rsidR="00A13242" w:rsidRPr="00720AFF">
        <w:t>s</w:t>
      </w:r>
      <w:r w:rsidR="00797566" w:rsidRPr="00720AFF">
        <w:t xml:space="preserve"> the integrity of </w:t>
      </w:r>
      <w:r w:rsidR="00FB5BF7" w:rsidRPr="00720AFF">
        <w:t xml:space="preserve">NABERS </w:t>
      </w:r>
      <w:r w:rsidR="009B7604" w:rsidRPr="00720AFF">
        <w:t xml:space="preserve">energy </w:t>
      </w:r>
      <w:r w:rsidR="00FB5BF7" w:rsidRPr="00720AFF">
        <w:t>ratings</w:t>
      </w:r>
      <w:r w:rsidR="00756629" w:rsidRPr="00720AFF">
        <w:t>.</w:t>
      </w:r>
    </w:p>
    <w:p w14:paraId="2A85AE0F" w14:textId="50CEFDC6" w:rsidR="005F7DDE" w:rsidRPr="00720AFF" w:rsidRDefault="005F7DDE" w:rsidP="00326579">
      <w:pPr>
        <w:spacing w:after="120"/>
        <w:jc w:val="both"/>
      </w:pPr>
      <w:r w:rsidRPr="00720AFF">
        <w:t>Accreditation of energy assessors by NABERS will continue under the new framework.</w:t>
      </w:r>
      <w:r w:rsidR="003132BF" w:rsidRPr="00720AFF">
        <w:t xml:space="preserve"> </w:t>
      </w:r>
      <w:r w:rsidR="003B39C2" w:rsidRPr="00720AFF">
        <w:t xml:space="preserve">Without the requirement for </w:t>
      </w:r>
      <w:r w:rsidR="006A0F06" w:rsidRPr="00720AFF">
        <w:t>Tenancy Lighting Assessments,</w:t>
      </w:r>
      <w:r w:rsidR="00D82C91" w:rsidRPr="00720AFF">
        <w:t xml:space="preserve"> the</w:t>
      </w:r>
      <w:r w:rsidR="006A0F06" w:rsidRPr="00720AFF">
        <w:t xml:space="preserve"> </w:t>
      </w:r>
      <w:r w:rsidR="00E462BB" w:rsidRPr="00720AFF">
        <w:t xml:space="preserve">department will review the need </w:t>
      </w:r>
      <w:r w:rsidR="00553A46" w:rsidRPr="00720AFF">
        <w:t xml:space="preserve">to </w:t>
      </w:r>
      <w:r w:rsidR="002041EA" w:rsidRPr="00720AFF">
        <w:t>have a separate accrediting process</w:t>
      </w:r>
      <w:r w:rsidR="00D97758" w:rsidRPr="00720AFF">
        <w:t xml:space="preserve"> </w:t>
      </w:r>
      <w:r w:rsidR="00722E23" w:rsidRPr="00720AFF">
        <w:t xml:space="preserve">for CBD processes </w:t>
      </w:r>
      <w:r w:rsidR="00D82C91" w:rsidRPr="00720AFF">
        <w:t>administered by the department</w:t>
      </w:r>
      <w:r w:rsidR="00014098" w:rsidRPr="00720AFF">
        <w:t xml:space="preserve">. </w:t>
      </w:r>
    </w:p>
    <w:p w14:paraId="6CBE80E1" w14:textId="7795E1D9" w:rsidR="00387144" w:rsidRPr="00720AFF" w:rsidRDefault="00387144" w:rsidP="00326579">
      <w:pPr>
        <w:spacing w:after="120"/>
        <w:jc w:val="both"/>
      </w:pPr>
      <w:r w:rsidRPr="00720AFF">
        <w:lastRenderedPageBreak/>
        <w:t xml:space="preserve">NABERS </w:t>
      </w:r>
      <w:r w:rsidR="00A84187" w:rsidRPr="00720AFF">
        <w:t xml:space="preserve">will continue to provide </w:t>
      </w:r>
      <w:r w:rsidRPr="00720AFF">
        <w:t>high quality training and accreditation process</w:t>
      </w:r>
      <w:r w:rsidR="005535E5" w:rsidRPr="00720AFF">
        <w:t>es</w:t>
      </w:r>
      <w:r w:rsidRPr="00720AFF">
        <w:t xml:space="preserve"> for energy assessors. Accreditation will ensure that all assessors are insured, have identification, have an up to date understanding of what is required of them, and do not undertake assessments where they have a conflict of interest.</w:t>
      </w:r>
    </w:p>
    <w:p w14:paraId="055E67B1" w14:textId="579B46BB" w:rsidR="0073765F" w:rsidRPr="00720AFF" w:rsidRDefault="00387144" w:rsidP="00326579">
      <w:pPr>
        <w:spacing w:after="120"/>
        <w:jc w:val="both"/>
      </w:pPr>
      <w:r w:rsidRPr="00720AFF">
        <w:t>NABERS will continue to host the training courses required for energy assessors.</w:t>
      </w:r>
      <w:r w:rsidR="004B3AA9" w:rsidRPr="00720AFF">
        <w:t xml:space="preserve"> Mandatory courses are provided for major releases of the NABERS rules.</w:t>
      </w:r>
      <w:r w:rsidRPr="00720AFF">
        <w:t xml:space="preserve"> NABERS hosts a suite of free and paid for training courses to upskill assessors, which will keep assessors up to date with the latest NABERS </w:t>
      </w:r>
      <w:r w:rsidR="009305E8" w:rsidRPr="00720AFF">
        <w:t xml:space="preserve">rules </w:t>
      </w:r>
      <w:r w:rsidRPr="00720AFF">
        <w:t xml:space="preserve">and CBD </w:t>
      </w:r>
      <w:r w:rsidR="009305E8" w:rsidRPr="00720AFF">
        <w:t>requirements</w:t>
      </w:r>
      <w:r w:rsidRPr="00720AFF">
        <w:t>.</w:t>
      </w:r>
    </w:p>
    <w:p w14:paraId="78AE313F" w14:textId="049F99A7" w:rsidR="001274BD" w:rsidRPr="00720AFF" w:rsidRDefault="001274BD" w:rsidP="00326579">
      <w:pPr>
        <w:pStyle w:val="Heading3"/>
        <w:numPr>
          <w:ilvl w:val="1"/>
          <w:numId w:val="26"/>
        </w:numPr>
        <w:spacing w:after="120"/>
        <w:ind w:left="0" w:firstLine="0"/>
        <w:jc w:val="both"/>
      </w:pPr>
      <w:bookmarkStart w:id="24" w:name="_Toc200017010"/>
      <w:r w:rsidRPr="00720AFF">
        <w:t>Compliance and enforcement</w:t>
      </w:r>
      <w:bookmarkEnd w:id="24"/>
    </w:p>
    <w:p w14:paraId="55B35265" w14:textId="0916359B" w:rsidR="47B051E7" w:rsidRPr="00720AFF" w:rsidRDefault="51F33652" w:rsidP="00326579">
      <w:pPr>
        <w:spacing w:after="120"/>
        <w:jc w:val="both"/>
        <w:rPr>
          <w:rFonts w:ascii="Calibri" w:eastAsia="Calibri" w:hAnsi="Calibri" w:cs="Calibri"/>
        </w:rPr>
      </w:pPr>
      <w:r w:rsidRPr="00720AFF">
        <w:rPr>
          <w:rFonts w:ascii="Calibri" w:eastAsia="Calibri" w:hAnsi="Calibri" w:cs="Calibri"/>
        </w:rPr>
        <w:t xml:space="preserve">The department will continue to monitor activities and investigate to ensure compliance with the CBD Program. The department takes a constructive and pragmatic approach to any potential non-compliance and will continue to assist </w:t>
      </w:r>
      <w:r w:rsidR="61B5FE4C" w:rsidRPr="00720AFF">
        <w:rPr>
          <w:rFonts w:ascii="Calibri" w:eastAsia="Calibri" w:hAnsi="Calibri" w:cs="Calibri"/>
        </w:rPr>
        <w:t>regulated entities</w:t>
      </w:r>
      <w:r w:rsidRPr="00720AFF">
        <w:rPr>
          <w:rFonts w:ascii="Calibri" w:eastAsia="Calibri" w:hAnsi="Calibri" w:cs="Calibri"/>
        </w:rPr>
        <w:t xml:space="preserve"> to understand obligations under the Act. </w:t>
      </w:r>
    </w:p>
    <w:p w14:paraId="689E0C4F" w14:textId="0E529407" w:rsidR="47B051E7" w:rsidRPr="00720AFF" w:rsidRDefault="60C40326" w:rsidP="00326579">
      <w:pPr>
        <w:spacing w:after="120"/>
        <w:jc w:val="both"/>
      </w:pPr>
      <w:r w:rsidRPr="00720AFF">
        <w:t xml:space="preserve">As the scope of the CBD Program expands, more buildings are coming under regulatory oversight. </w:t>
      </w:r>
      <w:r w:rsidR="00875E54" w:rsidRPr="00720AFF">
        <w:t>C</w:t>
      </w:r>
      <w:r w:rsidRPr="00720AFF">
        <w:t xml:space="preserve">urrent compliance </w:t>
      </w:r>
      <w:r w:rsidR="00875E54" w:rsidRPr="00720AFF">
        <w:t>activity</w:t>
      </w:r>
      <w:r w:rsidRPr="00720AFF">
        <w:t xml:space="preserve"> is focused on maintaining rigorous standards and promptly addressing any deviations. </w:t>
      </w:r>
      <w:r w:rsidR="004408DC" w:rsidRPr="00720AFF">
        <w:t>Expansion will involve</w:t>
      </w:r>
      <w:r w:rsidRPr="00720AFF">
        <w:t xml:space="preserve"> managing a wider variety of building types and volumes, enhancing </w:t>
      </w:r>
      <w:r w:rsidR="563ACA9F" w:rsidRPr="00720AFF">
        <w:t xml:space="preserve">the </w:t>
      </w:r>
      <w:r w:rsidRPr="00720AFF">
        <w:t>online presence</w:t>
      </w:r>
      <w:r w:rsidR="448C8EED" w:rsidRPr="00720AFF">
        <w:t xml:space="preserve"> of the department</w:t>
      </w:r>
      <w:r w:rsidRPr="00720AFF">
        <w:t xml:space="preserve"> through targeted advertisements, expanding field surveillance, managing administrative duties, and responding to a growing number of enquiries from industry stakeholders.</w:t>
      </w:r>
    </w:p>
    <w:p w14:paraId="07290F0F" w14:textId="140510F0" w:rsidR="47B051E7" w:rsidRPr="00720AFF" w:rsidRDefault="00504FB6" w:rsidP="003E5B4D">
      <w:pPr>
        <w:spacing w:after="60"/>
        <w:jc w:val="both"/>
      </w:pPr>
      <w:r w:rsidRPr="00720AFF">
        <w:t>T</w:t>
      </w:r>
      <w:r w:rsidR="68EEE173" w:rsidRPr="00720AFF">
        <w:t xml:space="preserve">he department will </w:t>
      </w:r>
      <w:r w:rsidR="47B051E7" w:rsidRPr="00720AFF">
        <w:t xml:space="preserve">ensure </w:t>
      </w:r>
      <w:r w:rsidR="00B66037" w:rsidRPr="00720AFF">
        <w:t>compliance with the new legislative requirements</w:t>
      </w:r>
      <w:r w:rsidR="00354F68" w:rsidRPr="00720AFF">
        <w:t>. For example</w:t>
      </w:r>
      <w:r w:rsidR="00481DC8" w:rsidRPr="00720AFF">
        <w:t>, the department will</w:t>
      </w:r>
      <w:r w:rsidR="47B051E7" w:rsidRPr="00720AFF">
        <w:t>:</w:t>
      </w:r>
    </w:p>
    <w:p w14:paraId="2D76CE7C" w14:textId="2EFB3229" w:rsidR="2931C546" w:rsidRPr="00720AFF" w:rsidRDefault="60C40326" w:rsidP="003E5B4D">
      <w:pPr>
        <w:pStyle w:val="ListParagraph"/>
        <w:numPr>
          <w:ilvl w:val="0"/>
          <w:numId w:val="36"/>
        </w:numPr>
        <w:spacing w:after="60"/>
        <w:jc w:val="both"/>
      </w:pPr>
      <w:r w:rsidRPr="00720AFF">
        <w:t>u</w:t>
      </w:r>
      <w:r w:rsidR="003D0CDF" w:rsidRPr="00720AFF">
        <w:t>se</w:t>
      </w:r>
      <w:r w:rsidRPr="00720AFF">
        <w:t xml:space="preserve"> publicly available data </w:t>
      </w:r>
      <w:r w:rsidR="00B6006E" w:rsidRPr="00720AFF">
        <w:t>and other data</w:t>
      </w:r>
      <w:r w:rsidRPr="00720AFF">
        <w:t xml:space="preserve"> to efficiently conduct inspections on specific building types.</w:t>
      </w:r>
    </w:p>
    <w:p w14:paraId="1487D189" w14:textId="18F3A7C7" w:rsidR="2931C546" w:rsidRPr="00720AFF" w:rsidRDefault="00512319" w:rsidP="003E5B4D">
      <w:pPr>
        <w:pStyle w:val="ListParagraph"/>
        <w:numPr>
          <w:ilvl w:val="0"/>
          <w:numId w:val="36"/>
        </w:numPr>
        <w:spacing w:after="60"/>
        <w:jc w:val="both"/>
      </w:pPr>
      <w:r w:rsidRPr="00720AFF">
        <w:t>continue</w:t>
      </w:r>
      <w:r w:rsidR="60C40326" w:rsidRPr="00720AFF">
        <w:t xml:space="preserve"> online monitoring and field surveillance to proactively </w:t>
      </w:r>
      <w:r w:rsidR="00937FD9" w:rsidRPr="00720AFF">
        <w:t>flag</w:t>
      </w:r>
      <w:r w:rsidR="60C40326" w:rsidRPr="00720AFF">
        <w:t xml:space="preserve"> non-compliance.</w:t>
      </w:r>
    </w:p>
    <w:p w14:paraId="2FEA7CAE" w14:textId="56784719" w:rsidR="2931C546" w:rsidRPr="00720AFF" w:rsidRDefault="6AE1C9C2" w:rsidP="003E5B4D">
      <w:pPr>
        <w:pStyle w:val="ListParagraph"/>
        <w:numPr>
          <w:ilvl w:val="0"/>
          <w:numId w:val="36"/>
        </w:numPr>
        <w:spacing w:after="60"/>
        <w:jc w:val="both"/>
      </w:pPr>
      <w:r w:rsidRPr="00720AFF">
        <w:t>address the unique characteristics of each sector when developing compliance and enforcement processes.</w:t>
      </w:r>
    </w:p>
    <w:p w14:paraId="1642D279" w14:textId="5F4C60B3" w:rsidR="00B914BC" w:rsidRPr="00720AFF" w:rsidRDefault="22147525" w:rsidP="00326579">
      <w:pPr>
        <w:pStyle w:val="ListParagraph"/>
        <w:numPr>
          <w:ilvl w:val="0"/>
          <w:numId w:val="36"/>
        </w:numPr>
        <w:spacing w:after="120"/>
        <w:ind w:left="714" w:hanging="357"/>
        <w:jc w:val="both"/>
      </w:pPr>
      <w:r w:rsidRPr="00720AFF">
        <w:rPr>
          <w:rFonts w:eastAsia="Calibri"/>
        </w:rPr>
        <w:t xml:space="preserve">continue audits using similar procedures but will adjust </w:t>
      </w:r>
      <w:proofErr w:type="gramStart"/>
      <w:r w:rsidRPr="00720AFF">
        <w:rPr>
          <w:rFonts w:eastAsia="Calibri"/>
        </w:rPr>
        <w:t>strategies</w:t>
      </w:r>
      <w:proofErr w:type="gramEnd"/>
      <w:r w:rsidRPr="00720AFF">
        <w:rPr>
          <w:rFonts w:eastAsia="Calibri"/>
        </w:rPr>
        <w:t xml:space="preserve"> accordingly, </w:t>
      </w:r>
      <w:proofErr w:type="gramStart"/>
      <w:r w:rsidR="00094BFD" w:rsidRPr="00720AFF">
        <w:rPr>
          <w:rFonts w:eastAsia="Calibri"/>
        </w:rPr>
        <w:t>taking into account</w:t>
      </w:r>
      <w:proofErr w:type="gramEnd"/>
      <w:r w:rsidR="00094BFD" w:rsidRPr="00720AFF">
        <w:rPr>
          <w:rFonts w:eastAsia="Calibri"/>
        </w:rPr>
        <w:t xml:space="preserve"> industry</w:t>
      </w:r>
      <w:r w:rsidRPr="00720AFF">
        <w:rPr>
          <w:rFonts w:eastAsia="Calibri"/>
        </w:rPr>
        <w:t xml:space="preserve"> feedback</w:t>
      </w:r>
      <w:r w:rsidR="00094BFD" w:rsidRPr="00720AFF">
        <w:rPr>
          <w:rFonts w:eastAsia="Calibri"/>
        </w:rPr>
        <w:t>.</w:t>
      </w:r>
      <w:r w:rsidRPr="00720AFF">
        <w:rPr>
          <w:rFonts w:eastAsia="Calibri"/>
        </w:rPr>
        <w:t xml:space="preserve"> </w:t>
      </w:r>
    </w:p>
    <w:p w14:paraId="34CC477E" w14:textId="207E7F20" w:rsidR="47B051E7" w:rsidRPr="00720AFF" w:rsidRDefault="00B914BC" w:rsidP="00326579">
      <w:pPr>
        <w:spacing w:after="120"/>
        <w:jc w:val="both"/>
      </w:pPr>
      <w:r w:rsidRPr="00720AFF">
        <w:t>T</w:t>
      </w:r>
      <w:r w:rsidR="60C40326" w:rsidRPr="00720AFF">
        <w:t xml:space="preserve">he </w:t>
      </w:r>
      <w:r w:rsidR="16876F6A" w:rsidRPr="00720AFF">
        <w:t>depart</w:t>
      </w:r>
      <w:r w:rsidR="60C40326" w:rsidRPr="00720AFF">
        <w:t>m</w:t>
      </w:r>
      <w:r w:rsidR="16876F6A" w:rsidRPr="00720AFF">
        <w:t>ent</w:t>
      </w:r>
      <w:r w:rsidR="60C40326" w:rsidRPr="00720AFF">
        <w:t xml:space="preserve"> will </w:t>
      </w:r>
      <w:r w:rsidR="00C7194B" w:rsidRPr="00720AFF">
        <w:t xml:space="preserve">continue to </w:t>
      </w:r>
      <w:r w:rsidR="60C40326" w:rsidRPr="00720AFF">
        <w:t>work with NABERS on compliance and enforcement</w:t>
      </w:r>
      <w:r w:rsidR="00C7194B" w:rsidRPr="00720AFF">
        <w:t xml:space="preserve"> related matters</w:t>
      </w:r>
      <w:r w:rsidR="60C40326" w:rsidRPr="00720AFF">
        <w:t xml:space="preserve">. NABERS is </w:t>
      </w:r>
      <w:r w:rsidR="412E7701" w:rsidRPr="00720AFF">
        <w:t>an appointed</w:t>
      </w:r>
      <w:r w:rsidR="60C40326" w:rsidRPr="00720AFF">
        <w:t xml:space="preserve"> auditing authority under the </w:t>
      </w:r>
      <w:proofErr w:type="gramStart"/>
      <w:r w:rsidR="60C40326" w:rsidRPr="00720AFF">
        <w:t>Act</w:t>
      </w:r>
      <w:proofErr w:type="gramEnd"/>
      <w:r w:rsidR="60C40326" w:rsidRPr="00720AFF">
        <w:t xml:space="preserve"> and </w:t>
      </w:r>
      <w:r w:rsidR="00C7194B" w:rsidRPr="00720AFF">
        <w:t xml:space="preserve">this arrangement is expected to </w:t>
      </w:r>
      <w:r w:rsidR="60C40326" w:rsidRPr="00720AFF">
        <w:t>continue.</w:t>
      </w:r>
    </w:p>
    <w:p w14:paraId="1D5DC70D" w14:textId="65D9DA44" w:rsidR="01E6045E" w:rsidRPr="00720AFF" w:rsidRDefault="6FE0EB26" w:rsidP="00326579">
      <w:pPr>
        <w:spacing w:after="120"/>
        <w:jc w:val="both"/>
      </w:pPr>
      <w:r w:rsidRPr="00720AFF">
        <w:t xml:space="preserve">The </w:t>
      </w:r>
      <w:r w:rsidR="00577D32" w:rsidRPr="00720AFF">
        <w:t>department</w:t>
      </w:r>
      <w:r w:rsidRPr="00720AFF">
        <w:t xml:space="preserve"> will </w:t>
      </w:r>
      <w:r w:rsidR="60C40326" w:rsidRPr="00720AFF">
        <w:t xml:space="preserve">endeavour to work collaboratively with the </w:t>
      </w:r>
      <w:r w:rsidR="10E25250" w:rsidRPr="00720AFF">
        <w:t>involved stakeholders</w:t>
      </w:r>
      <w:r w:rsidR="60C40326" w:rsidRPr="00720AFF">
        <w:t xml:space="preserve"> throughout </w:t>
      </w:r>
      <w:r w:rsidR="00143601" w:rsidRPr="00720AFF">
        <w:t>the transition to a n</w:t>
      </w:r>
      <w:r w:rsidR="00C61E7D" w:rsidRPr="00720AFF">
        <w:t>ew framework</w:t>
      </w:r>
      <w:r w:rsidR="60C40326" w:rsidRPr="00720AFF">
        <w:t xml:space="preserve">. Through these structured efforts, the department </w:t>
      </w:r>
      <w:r w:rsidR="009129D2" w:rsidRPr="00720AFF">
        <w:t>will ensure</w:t>
      </w:r>
      <w:r w:rsidR="60C40326" w:rsidRPr="00720AFF">
        <w:t xml:space="preserve"> that the CBD Program not only expands its impact but also maintains its integrity and effectiveness.</w:t>
      </w:r>
    </w:p>
    <w:p w14:paraId="69FD85E4" w14:textId="354A15AE" w:rsidR="00120F41" w:rsidRPr="00720AFF" w:rsidRDefault="00120F41" w:rsidP="00326579">
      <w:pPr>
        <w:pStyle w:val="Heading3"/>
        <w:numPr>
          <w:ilvl w:val="1"/>
          <w:numId w:val="26"/>
        </w:numPr>
        <w:spacing w:after="120"/>
        <w:ind w:left="0" w:firstLine="0"/>
        <w:jc w:val="both"/>
      </w:pPr>
      <w:bookmarkStart w:id="25" w:name="_Toc189055539"/>
      <w:bookmarkStart w:id="26" w:name="_Toc189056469"/>
      <w:bookmarkStart w:id="27" w:name="_Toc189055540"/>
      <w:bookmarkStart w:id="28" w:name="_Toc189056470"/>
      <w:bookmarkStart w:id="29" w:name="_Toc200017011"/>
      <w:bookmarkEnd w:id="25"/>
      <w:bookmarkEnd w:id="26"/>
      <w:bookmarkEnd w:id="27"/>
      <w:bookmarkEnd w:id="28"/>
      <w:r w:rsidRPr="00720AFF">
        <w:t xml:space="preserve">Data </w:t>
      </w:r>
      <w:r w:rsidR="0077408F" w:rsidRPr="00720AFF">
        <w:t>sharing</w:t>
      </w:r>
      <w:bookmarkEnd w:id="29"/>
    </w:p>
    <w:p w14:paraId="17FD59F3" w14:textId="4D2D6FE1" w:rsidR="001A284F" w:rsidRPr="00720AFF" w:rsidRDefault="008F3785" w:rsidP="00326579">
      <w:pPr>
        <w:spacing w:after="120"/>
        <w:jc w:val="both"/>
      </w:pPr>
      <w:r w:rsidRPr="00720AFF">
        <w:t>All data sharing between the department</w:t>
      </w:r>
      <w:r w:rsidR="00A8359A" w:rsidRPr="00720AFF">
        <w:t>,</w:t>
      </w:r>
      <w:r w:rsidRPr="00720AFF">
        <w:t xml:space="preserve"> NABERS</w:t>
      </w:r>
      <w:r w:rsidR="0089295F" w:rsidRPr="00720AFF">
        <w:t xml:space="preserve"> </w:t>
      </w:r>
      <w:r w:rsidR="00A8359A" w:rsidRPr="00720AFF">
        <w:t>and/or energy assesso</w:t>
      </w:r>
      <w:r w:rsidR="009B432B" w:rsidRPr="00720AFF">
        <w:t xml:space="preserve">rs </w:t>
      </w:r>
      <w:r w:rsidR="002E0477" w:rsidRPr="00720AFF">
        <w:t>is</w:t>
      </w:r>
      <w:r w:rsidR="00894E24" w:rsidRPr="00720AFF">
        <w:t xml:space="preserve"> </w:t>
      </w:r>
      <w:r w:rsidR="00F563B9" w:rsidRPr="00720AFF">
        <w:t xml:space="preserve">done in accordance with </w:t>
      </w:r>
      <w:r w:rsidR="00CE550B" w:rsidRPr="00720AFF">
        <w:t xml:space="preserve">the </w:t>
      </w:r>
      <w:r w:rsidR="00CE550B" w:rsidRPr="00720AFF">
        <w:rPr>
          <w:i/>
          <w:iCs/>
        </w:rPr>
        <w:t>Building Energy Efficiency Disclosure Act 2010</w:t>
      </w:r>
      <w:r w:rsidR="00CE550B" w:rsidRPr="00720AFF">
        <w:t xml:space="preserve"> and the</w:t>
      </w:r>
      <w:r w:rsidR="00FF6177" w:rsidRPr="00720AFF">
        <w:t xml:space="preserve"> </w:t>
      </w:r>
      <w:r w:rsidR="00FF6177" w:rsidRPr="00720AFF">
        <w:rPr>
          <w:i/>
          <w:iCs/>
        </w:rPr>
        <w:t>Privacy Act 1998</w:t>
      </w:r>
      <w:r w:rsidR="00CE550B" w:rsidRPr="00720AFF">
        <w:rPr>
          <w:i/>
          <w:iCs/>
        </w:rPr>
        <w:t>.</w:t>
      </w:r>
      <w:r w:rsidR="00A176C9" w:rsidRPr="00720AFF">
        <w:t xml:space="preserve"> </w:t>
      </w:r>
    </w:p>
    <w:p w14:paraId="491C4245" w14:textId="4D36A3EB" w:rsidR="00DE51AD" w:rsidRPr="00720AFF" w:rsidRDefault="00DE51AD" w:rsidP="00326579">
      <w:pPr>
        <w:spacing w:after="120"/>
        <w:jc w:val="both"/>
      </w:pPr>
      <w:r w:rsidRPr="00720AFF">
        <w:t xml:space="preserve">The CBD Program </w:t>
      </w:r>
      <w:r w:rsidR="00FA74D6" w:rsidRPr="00720AFF">
        <w:t xml:space="preserve">also </w:t>
      </w:r>
      <w:r w:rsidRPr="00720AFF">
        <w:t>operates within the framework of the Intergovernmental Agreement on Data Sharing</w:t>
      </w:r>
      <w:r w:rsidR="00386809">
        <w:t>,</w:t>
      </w:r>
      <w:r w:rsidR="002A50F5" w:rsidRPr="00720AFF">
        <w:rPr>
          <w:rStyle w:val="FootnoteReference"/>
        </w:rPr>
        <w:footnoteReference w:id="17"/>
      </w:r>
      <w:r w:rsidRPr="00720AFF">
        <w:t xml:space="preserve"> ensuring the secure and transparent exchange </w:t>
      </w:r>
      <w:r w:rsidR="00E307A2" w:rsidRPr="00720AFF">
        <w:t>between the department and</w:t>
      </w:r>
      <w:r w:rsidRPr="00720AFF">
        <w:t xml:space="preserve"> NABERS </w:t>
      </w:r>
      <w:r w:rsidR="009120D1" w:rsidRPr="00720AFF">
        <w:t xml:space="preserve">of </w:t>
      </w:r>
      <w:r w:rsidRPr="00720AFF">
        <w:t xml:space="preserve">performance data and other key building efficiency metrics. </w:t>
      </w:r>
      <w:r w:rsidR="003709BD" w:rsidRPr="00720AFF">
        <w:t>The</w:t>
      </w:r>
      <w:r w:rsidRPr="00720AFF">
        <w:t xml:space="preserve"> </w:t>
      </w:r>
      <w:r w:rsidR="00870BE7" w:rsidRPr="00720AFF">
        <w:t>CBD P</w:t>
      </w:r>
      <w:r w:rsidRPr="00720AFF">
        <w:t>rogram supports data sharing by default, enhancing market transparency and driving improved energy performance in commercial buildings.</w:t>
      </w:r>
    </w:p>
    <w:p w14:paraId="586AE548" w14:textId="672B0FD8" w:rsidR="00815BAA" w:rsidRPr="00720AFF" w:rsidRDefault="001A284F" w:rsidP="00326579">
      <w:pPr>
        <w:pStyle w:val="Heading3"/>
        <w:numPr>
          <w:ilvl w:val="1"/>
          <w:numId w:val="26"/>
        </w:numPr>
        <w:spacing w:after="120"/>
        <w:ind w:left="0" w:firstLine="0"/>
        <w:jc w:val="both"/>
      </w:pPr>
      <w:bookmarkStart w:id="30" w:name="_Toc200017012"/>
      <w:r w:rsidRPr="00720AFF">
        <w:lastRenderedPageBreak/>
        <w:t>Fees</w:t>
      </w:r>
      <w:bookmarkEnd w:id="30"/>
    </w:p>
    <w:p w14:paraId="1EC7B1D9" w14:textId="5C968472" w:rsidR="00090830" w:rsidRDefault="52183803" w:rsidP="00326579">
      <w:pPr>
        <w:spacing w:after="120"/>
        <w:jc w:val="both"/>
        <w:rPr>
          <w:rFonts w:ascii="Calibri" w:eastAsia="Calibri" w:hAnsi="Calibri" w:cs="Calibri"/>
        </w:rPr>
      </w:pPr>
      <w:r w:rsidRPr="00720AFF">
        <w:rPr>
          <w:rFonts w:ascii="Calibri" w:eastAsia="Calibri" w:hAnsi="Calibri" w:cs="Calibri"/>
        </w:rPr>
        <w:t xml:space="preserve">The </w:t>
      </w:r>
      <w:r w:rsidR="00E35ED0" w:rsidRPr="00720AFF">
        <w:rPr>
          <w:rFonts w:ascii="Calibri" w:eastAsia="Calibri" w:hAnsi="Calibri" w:cs="Calibri"/>
        </w:rPr>
        <w:t>d</w:t>
      </w:r>
      <w:r w:rsidRPr="00720AFF">
        <w:rPr>
          <w:rFonts w:ascii="Calibri" w:eastAsia="Calibri" w:hAnsi="Calibri" w:cs="Calibri"/>
        </w:rPr>
        <w:t xml:space="preserve">epartment will continue to </w:t>
      </w:r>
      <w:r w:rsidR="00E86FEB" w:rsidRPr="00720AFF">
        <w:rPr>
          <w:rFonts w:ascii="Calibri" w:eastAsia="Calibri" w:hAnsi="Calibri" w:cs="Calibri"/>
        </w:rPr>
        <w:t xml:space="preserve">set and </w:t>
      </w:r>
      <w:r w:rsidR="001B2CA4" w:rsidRPr="00720AFF">
        <w:rPr>
          <w:rFonts w:ascii="Calibri" w:eastAsia="Calibri" w:hAnsi="Calibri" w:cs="Calibri"/>
        </w:rPr>
        <w:t>charge</w:t>
      </w:r>
      <w:r w:rsidRPr="00720AFF">
        <w:rPr>
          <w:rFonts w:ascii="Calibri" w:eastAsia="Calibri" w:hAnsi="Calibri" w:cs="Calibri"/>
        </w:rPr>
        <w:t xml:space="preserve"> the necessary fees </w:t>
      </w:r>
      <w:r w:rsidR="007E563F" w:rsidRPr="00720AFF">
        <w:rPr>
          <w:rFonts w:ascii="Calibri" w:eastAsia="Calibri" w:hAnsi="Calibri" w:cs="Calibri"/>
        </w:rPr>
        <w:t xml:space="preserve">to administer </w:t>
      </w:r>
      <w:r w:rsidRPr="00720AFF">
        <w:rPr>
          <w:rFonts w:ascii="Calibri" w:eastAsia="Calibri" w:hAnsi="Calibri" w:cs="Calibri"/>
        </w:rPr>
        <w:t xml:space="preserve">the </w:t>
      </w:r>
      <w:r w:rsidR="007E563F" w:rsidRPr="00720AFF">
        <w:rPr>
          <w:rFonts w:ascii="Calibri" w:eastAsia="Calibri" w:hAnsi="Calibri" w:cs="Calibri"/>
        </w:rPr>
        <w:t>CBD</w:t>
      </w:r>
      <w:r w:rsidRPr="00720AFF">
        <w:rPr>
          <w:rFonts w:ascii="Calibri" w:eastAsia="Calibri" w:hAnsi="Calibri" w:cs="Calibri"/>
        </w:rPr>
        <w:t xml:space="preserve"> Program</w:t>
      </w:r>
      <w:r w:rsidR="00E86FEB" w:rsidRPr="00720AFF">
        <w:rPr>
          <w:rFonts w:ascii="Calibri" w:eastAsia="Calibri" w:hAnsi="Calibri" w:cs="Calibri"/>
        </w:rPr>
        <w:t xml:space="preserve"> </w:t>
      </w:r>
      <w:r w:rsidR="0016579E" w:rsidRPr="00720AFF">
        <w:rPr>
          <w:rFonts w:ascii="Calibri" w:eastAsia="Calibri" w:hAnsi="Calibri" w:cs="Calibri"/>
        </w:rPr>
        <w:t xml:space="preserve">in accordance with </w:t>
      </w:r>
      <w:r w:rsidR="00D75CA4" w:rsidRPr="00720AFF">
        <w:rPr>
          <w:rFonts w:ascii="Calibri" w:eastAsia="Calibri" w:hAnsi="Calibri" w:cs="Calibri"/>
        </w:rPr>
        <w:t>whole of government charging frameworks.</w:t>
      </w:r>
      <w:r w:rsidRPr="00720AFF">
        <w:rPr>
          <w:rFonts w:ascii="Calibri" w:eastAsia="Calibri" w:hAnsi="Calibri" w:cs="Calibri"/>
        </w:rPr>
        <w:t xml:space="preserve"> Currently, this includes fees for exemption applications (excluding </w:t>
      </w:r>
      <w:r w:rsidR="008C58A2" w:rsidRPr="00720AFF">
        <w:rPr>
          <w:rFonts w:ascii="Calibri" w:eastAsia="Calibri" w:hAnsi="Calibri" w:cs="Calibri"/>
        </w:rPr>
        <w:t>u</w:t>
      </w:r>
      <w:r w:rsidR="158BD949" w:rsidRPr="00720AFF">
        <w:rPr>
          <w:rFonts w:ascii="Calibri" w:eastAsia="Calibri" w:hAnsi="Calibri" w:cs="Calibri"/>
        </w:rPr>
        <w:t xml:space="preserve">nsolicited </w:t>
      </w:r>
      <w:r w:rsidR="008C58A2" w:rsidRPr="00720AFF">
        <w:rPr>
          <w:rFonts w:ascii="Calibri" w:eastAsia="Calibri" w:hAnsi="Calibri" w:cs="Calibri"/>
        </w:rPr>
        <w:t>o</w:t>
      </w:r>
      <w:r w:rsidR="158BD949" w:rsidRPr="00720AFF">
        <w:rPr>
          <w:rFonts w:ascii="Calibri" w:eastAsia="Calibri" w:hAnsi="Calibri" w:cs="Calibri"/>
        </w:rPr>
        <w:t>ffers</w:t>
      </w:r>
      <w:r w:rsidRPr="00720AFF">
        <w:rPr>
          <w:rFonts w:ascii="Calibri" w:eastAsia="Calibri" w:hAnsi="Calibri" w:cs="Calibri"/>
        </w:rPr>
        <w:t xml:space="preserve">) and for the accreditation of assessors. </w:t>
      </w:r>
    </w:p>
    <w:p w14:paraId="6812E294" w14:textId="39B63979" w:rsidR="04FF0E4F" w:rsidRPr="00720AFF" w:rsidRDefault="52183803" w:rsidP="00326579">
      <w:pPr>
        <w:spacing w:after="120"/>
        <w:jc w:val="both"/>
      </w:pPr>
      <w:r w:rsidRPr="00720AFF">
        <w:rPr>
          <w:rFonts w:ascii="Calibri" w:eastAsia="Calibri" w:hAnsi="Calibri" w:cs="Calibri"/>
        </w:rPr>
        <w:t>The pricing framework for NABERS is transparently available on the NABERS website and is determined by NABERS itself</w:t>
      </w:r>
      <w:r w:rsidR="00F67C49" w:rsidRPr="00720AFF">
        <w:rPr>
          <w:rFonts w:ascii="Calibri" w:eastAsia="Calibri" w:hAnsi="Calibri" w:cs="Calibri"/>
        </w:rPr>
        <w:t xml:space="preserve">, in line with the relevant NSW </w:t>
      </w:r>
      <w:r w:rsidR="00D66C97" w:rsidRPr="00720AFF">
        <w:rPr>
          <w:rFonts w:ascii="Calibri" w:eastAsia="Calibri" w:hAnsi="Calibri" w:cs="Calibri"/>
        </w:rPr>
        <w:t xml:space="preserve">Government </w:t>
      </w:r>
      <w:r w:rsidR="00F67C49" w:rsidRPr="00720AFF">
        <w:rPr>
          <w:rFonts w:ascii="Calibri" w:eastAsia="Calibri" w:hAnsi="Calibri" w:cs="Calibri"/>
        </w:rPr>
        <w:t>cost recovery guidelines</w:t>
      </w:r>
      <w:r w:rsidRPr="00720AFF">
        <w:rPr>
          <w:rFonts w:ascii="Calibri" w:eastAsia="Calibri" w:hAnsi="Calibri" w:cs="Calibri"/>
        </w:rPr>
        <w:t>.</w:t>
      </w:r>
    </w:p>
    <w:p w14:paraId="3F425071" w14:textId="1375FB32" w:rsidR="00071A23" w:rsidRPr="00720AFF" w:rsidRDefault="41F5A7C5" w:rsidP="00326579">
      <w:pPr>
        <w:spacing w:after="120"/>
        <w:jc w:val="both"/>
        <w:rPr>
          <w:rFonts w:ascii="Calibri" w:eastAsia="Calibri" w:hAnsi="Calibri" w:cs="Calibri"/>
        </w:rPr>
      </w:pPr>
      <w:r w:rsidRPr="00720AFF">
        <w:rPr>
          <w:rFonts w:ascii="Calibri" w:eastAsia="Calibri" w:hAnsi="Calibri" w:cs="Calibri"/>
        </w:rPr>
        <w:t>Th</w:t>
      </w:r>
      <w:r w:rsidR="0527E448" w:rsidRPr="00720AFF">
        <w:rPr>
          <w:rFonts w:ascii="Calibri" w:eastAsia="Calibri" w:hAnsi="Calibri" w:cs="Calibri"/>
        </w:rPr>
        <w:t xml:space="preserve">e </w:t>
      </w:r>
      <w:r w:rsidR="00A916BE" w:rsidRPr="00720AFF">
        <w:rPr>
          <w:rFonts w:ascii="Calibri" w:eastAsia="Calibri" w:hAnsi="Calibri" w:cs="Calibri"/>
        </w:rPr>
        <w:t>d</w:t>
      </w:r>
      <w:r w:rsidR="0527E448" w:rsidRPr="00720AFF">
        <w:rPr>
          <w:rFonts w:ascii="Calibri" w:eastAsia="Calibri" w:hAnsi="Calibri" w:cs="Calibri"/>
        </w:rPr>
        <w:t xml:space="preserve">epartment </w:t>
      </w:r>
      <w:r w:rsidR="001F62C2" w:rsidRPr="00720AFF">
        <w:rPr>
          <w:rFonts w:ascii="Calibri" w:eastAsia="Calibri" w:hAnsi="Calibri" w:cs="Calibri"/>
        </w:rPr>
        <w:t>will publish regular</w:t>
      </w:r>
      <w:r w:rsidR="0527E448" w:rsidRPr="00720AFF">
        <w:rPr>
          <w:rFonts w:ascii="Calibri" w:eastAsia="Calibri" w:hAnsi="Calibri" w:cs="Calibri"/>
        </w:rPr>
        <w:t xml:space="preserve"> Cost Recovery Implementation Statements </w:t>
      </w:r>
      <w:r w:rsidR="2EDA99F1" w:rsidRPr="00720AFF">
        <w:rPr>
          <w:rFonts w:ascii="Calibri" w:eastAsia="Calibri" w:hAnsi="Calibri" w:cs="Calibri"/>
        </w:rPr>
        <w:t>(CRIS)</w:t>
      </w:r>
      <w:r w:rsidR="002D389B" w:rsidRPr="00720AFF">
        <w:rPr>
          <w:rFonts w:ascii="Calibri" w:eastAsia="Calibri" w:hAnsi="Calibri" w:cs="Calibri"/>
        </w:rPr>
        <w:t xml:space="preserve"> to demonstrate compliance with the Australian Government’s Charging Framework</w:t>
      </w:r>
      <w:r w:rsidR="00033233" w:rsidRPr="00720AFF">
        <w:rPr>
          <w:rStyle w:val="FootnoteReference"/>
          <w:rFonts w:ascii="Calibri" w:eastAsia="Calibri" w:hAnsi="Calibri" w:cs="Calibri"/>
        </w:rPr>
        <w:footnoteReference w:id="18"/>
      </w:r>
      <w:r w:rsidR="0527E448" w:rsidRPr="00720AFF">
        <w:rPr>
          <w:rFonts w:ascii="Calibri" w:eastAsia="Calibri" w:hAnsi="Calibri" w:cs="Calibri"/>
        </w:rPr>
        <w:t xml:space="preserve"> for the CBD Program to ensure that</w:t>
      </w:r>
      <w:r w:rsidR="005313D9" w:rsidRPr="00720AFF">
        <w:rPr>
          <w:rFonts w:ascii="Calibri" w:eastAsia="Calibri" w:hAnsi="Calibri" w:cs="Calibri"/>
        </w:rPr>
        <w:t xml:space="preserve"> cost recovery</w:t>
      </w:r>
      <w:r w:rsidR="0527E448" w:rsidRPr="00720AFF">
        <w:rPr>
          <w:rFonts w:ascii="Calibri" w:eastAsia="Calibri" w:hAnsi="Calibri" w:cs="Calibri"/>
        </w:rPr>
        <w:t xml:space="preserve"> information is transparent and accessible to the public. Additionally, the </w:t>
      </w:r>
      <w:r w:rsidR="001D6DA4" w:rsidRPr="00720AFF">
        <w:rPr>
          <w:rFonts w:ascii="Calibri" w:eastAsia="Calibri" w:hAnsi="Calibri" w:cs="Calibri"/>
        </w:rPr>
        <w:t>d</w:t>
      </w:r>
      <w:r w:rsidR="0527E448" w:rsidRPr="00720AFF">
        <w:rPr>
          <w:rFonts w:ascii="Calibri" w:eastAsia="Calibri" w:hAnsi="Calibri" w:cs="Calibri"/>
        </w:rPr>
        <w:t xml:space="preserve">epartment may </w:t>
      </w:r>
      <w:r w:rsidR="00E40BB9" w:rsidRPr="00720AFF">
        <w:rPr>
          <w:rFonts w:ascii="Calibri" w:eastAsia="Calibri" w:hAnsi="Calibri" w:cs="Calibri"/>
        </w:rPr>
        <w:t xml:space="preserve">conduct </w:t>
      </w:r>
      <w:r w:rsidR="00F10067" w:rsidRPr="00720AFF">
        <w:rPr>
          <w:rFonts w:ascii="Calibri" w:eastAsia="Calibri" w:hAnsi="Calibri" w:cs="Calibri"/>
        </w:rPr>
        <w:t xml:space="preserve">reviews </w:t>
      </w:r>
      <w:r w:rsidR="004D648D" w:rsidRPr="00720AFF">
        <w:rPr>
          <w:rFonts w:ascii="Calibri" w:eastAsia="Calibri" w:hAnsi="Calibri" w:cs="Calibri"/>
        </w:rPr>
        <w:t>into</w:t>
      </w:r>
      <w:r w:rsidR="0527E448" w:rsidRPr="00720AFF">
        <w:rPr>
          <w:rFonts w:ascii="Calibri" w:eastAsia="Calibri" w:hAnsi="Calibri" w:cs="Calibri"/>
        </w:rPr>
        <w:t xml:space="preserve"> fee structures or charging points as required to align with cost recovery objectives. </w:t>
      </w:r>
    </w:p>
    <w:p w14:paraId="4A09C1B3" w14:textId="77777777" w:rsidR="00163BE2" w:rsidRPr="00720AFF" w:rsidRDefault="00163BE2" w:rsidP="00326579">
      <w:pPr>
        <w:spacing w:after="120"/>
        <w:jc w:val="both"/>
        <w:rPr>
          <w:rFonts w:ascii="Calibri" w:eastAsia="Calibri" w:hAnsi="Calibri" w:cs="Calibri"/>
        </w:rPr>
      </w:pPr>
    </w:p>
    <w:p w14:paraId="0360A29C" w14:textId="77777777" w:rsidR="00833F9C" w:rsidRPr="00720AFF" w:rsidRDefault="00833F9C">
      <w:pPr>
        <w:rPr>
          <w:rFonts w:ascii="Calibri" w:eastAsiaTheme="minorEastAsia" w:hAnsi="Calibri"/>
          <w:bCs/>
          <w:color w:val="197C7D"/>
          <w:sz w:val="56"/>
          <w:szCs w:val="28"/>
          <w:lang w:eastAsia="ja-JP"/>
        </w:rPr>
      </w:pPr>
      <w:bookmarkStart w:id="31" w:name="_Ref189835668"/>
      <w:bookmarkStart w:id="32" w:name="_Ref189835673"/>
      <w:bookmarkStart w:id="33" w:name="_Ref189835773"/>
      <w:r w:rsidRPr="00720AFF">
        <w:br w:type="page"/>
      </w:r>
    </w:p>
    <w:p w14:paraId="715AE00A" w14:textId="0BAA7834" w:rsidR="00576032" w:rsidRPr="00720AFF" w:rsidRDefault="00A164FA" w:rsidP="4E42E3EC">
      <w:pPr>
        <w:pStyle w:val="Heading2"/>
        <w:jc w:val="both"/>
      </w:pPr>
      <w:bookmarkStart w:id="34" w:name="_Toc200017013"/>
      <w:r w:rsidRPr="00720AFF">
        <w:lastRenderedPageBreak/>
        <w:t xml:space="preserve">High priority </w:t>
      </w:r>
      <w:bookmarkEnd w:id="31"/>
      <w:bookmarkEnd w:id="32"/>
      <w:bookmarkEnd w:id="33"/>
      <w:r w:rsidR="00EB1AEC" w:rsidRPr="00720AFF">
        <w:t>actions</w:t>
      </w:r>
      <w:r w:rsidR="00765848" w:rsidRPr="00720AFF">
        <w:t xml:space="preserve"> </w:t>
      </w:r>
      <w:r w:rsidR="003E7411" w:rsidRPr="00720AFF">
        <w:t>(stages </w:t>
      </w:r>
      <w:r w:rsidR="008C5945" w:rsidRPr="00720AFF">
        <w:t>1</w:t>
      </w:r>
      <w:r w:rsidR="003E7411" w:rsidRPr="00720AFF">
        <w:t>-</w:t>
      </w:r>
      <w:r w:rsidR="003446E9" w:rsidRPr="00720AFF">
        <w:t>7</w:t>
      </w:r>
      <w:r w:rsidR="003E7411" w:rsidRPr="00720AFF">
        <w:t>)</w:t>
      </w:r>
      <w:bookmarkEnd w:id="34"/>
    </w:p>
    <w:p w14:paraId="16F1DEFB" w14:textId="14CBFECD" w:rsidR="001F1B9A" w:rsidRPr="00720AFF" w:rsidRDefault="00E74270" w:rsidP="001F1B9A">
      <w:pPr>
        <w:pStyle w:val="Heading3"/>
        <w:numPr>
          <w:ilvl w:val="1"/>
          <w:numId w:val="29"/>
        </w:numPr>
        <w:spacing w:after="120"/>
        <w:ind w:left="0" w:firstLine="0"/>
        <w:jc w:val="both"/>
      </w:pPr>
      <w:bookmarkStart w:id="35" w:name="_Toc200017014"/>
      <w:r w:rsidRPr="00720AFF">
        <w:t>Non-regulatory activities</w:t>
      </w:r>
      <w:bookmarkEnd w:id="35"/>
    </w:p>
    <w:p w14:paraId="0C85FE83" w14:textId="39AB6B31" w:rsidR="00E82A4F" w:rsidRPr="00720AFF" w:rsidRDefault="00F31D58" w:rsidP="001F1B9A">
      <w:pPr>
        <w:rPr>
          <w:b/>
          <w:bCs/>
          <w:sz w:val="28"/>
          <w:szCs w:val="28"/>
          <w:lang w:eastAsia="ja-JP"/>
        </w:rPr>
      </w:pPr>
      <w:r w:rsidRPr="00720AFF">
        <w:rPr>
          <w:b/>
          <w:bCs/>
          <w:sz w:val="28"/>
          <w:szCs w:val="28"/>
          <w:lang w:eastAsia="ja-JP"/>
        </w:rPr>
        <w:t xml:space="preserve">Publication of </w:t>
      </w:r>
      <w:r w:rsidR="00B00FC9">
        <w:rPr>
          <w:b/>
          <w:bCs/>
          <w:sz w:val="28"/>
          <w:szCs w:val="28"/>
          <w:lang w:eastAsia="ja-JP"/>
        </w:rPr>
        <w:t>r</w:t>
      </w:r>
      <w:r w:rsidRPr="00720AFF">
        <w:rPr>
          <w:b/>
          <w:bCs/>
          <w:sz w:val="28"/>
          <w:szCs w:val="28"/>
          <w:lang w:eastAsia="ja-JP"/>
        </w:rPr>
        <w:t>oadmap</w:t>
      </w:r>
    </w:p>
    <w:p w14:paraId="5523A667" w14:textId="52935B0E" w:rsidR="00345645" w:rsidRPr="00720AFF" w:rsidRDefault="00973633" w:rsidP="004F52A7">
      <w:pPr>
        <w:rPr>
          <w:lang w:eastAsia="ja-JP"/>
        </w:rPr>
      </w:pPr>
      <w:r w:rsidRPr="00720AFF">
        <w:rPr>
          <w:lang w:eastAsia="ja-JP"/>
        </w:rPr>
        <w:t>Publication and promotion of this roadmap is expected to increase voluntary up</w:t>
      </w:r>
      <w:r w:rsidR="007B7676" w:rsidRPr="00720AFF">
        <w:rPr>
          <w:lang w:eastAsia="ja-JP"/>
        </w:rPr>
        <w:t>take of NABERS energy tool</w:t>
      </w:r>
      <w:r w:rsidR="00C609A3" w:rsidRPr="00720AFF">
        <w:rPr>
          <w:lang w:eastAsia="ja-JP"/>
        </w:rPr>
        <w:t>s</w:t>
      </w:r>
      <w:r w:rsidR="007B7676" w:rsidRPr="00720AFF">
        <w:rPr>
          <w:lang w:eastAsia="ja-JP"/>
        </w:rPr>
        <w:t xml:space="preserve"> as organisations prepare for mandatory disclosure.</w:t>
      </w:r>
      <w:r w:rsidR="00B05903" w:rsidRPr="00720AFF">
        <w:rPr>
          <w:lang w:eastAsia="ja-JP"/>
        </w:rPr>
        <w:t xml:space="preserve"> </w:t>
      </w:r>
      <w:r w:rsidR="00345645" w:rsidRPr="00720AFF">
        <w:rPr>
          <w:rFonts w:cstheme="minorHAnsi"/>
        </w:rPr>
        <w:t xml:space="preserve">The department will work closely with NABERS to ensure it is prepared and can support the </w:t>
      </w:r>
      <w:r w:rsidR="00C15A94" w:rsidRPr="00720AFF">
        <w:rPr>
          <w:rFonts w:cstheme="minorHAnsi"/>
        </w:rPr>
        <w:t xml:space="preserve">proposed </w:t>
      </w:r>
      <w:r w:rsidR="00345645" w:rsidRPr="00720AFF">
        <w:rPr>
          <w:rFonts w:cstheme="minorHAnsi"/>
        </w:rPr>
        <w:t>changes. This includes clear and consistent communications to regulated entities to enable them to prepare, understand and fulfil their obligations under the Act.</w:t>
      </w:r>
    </w:p>
    <w:p w14:paraId="6702FEFD" w14:textId="77777777" w:rsidR="007B7676" w:rsidRPr="00720AFF" w:rsidRDefault="007B7676" w:rsidP="001F1B9A">
      <w:pPr>
        <w:rPr>
          <w:lang w:eastAsia="ja-JP"/>
        </w:rPr>
      </w:pPr>
    </w:p>
    <w:p w14:paraId="3FE5DB0B" w14:textId="49E521B3" w:rsidR="00A3707F" w:rsidRPr="00720AFF" w:rsidRDefault="00F31D58" w:rsidP="004C6703">
      <w:pPr>
        <w:spacing w:after="120"/>
        <w:jc w:val="both"/>
        <w:rPr>
          <w:b/>
          <w:bCs/>
          <w:sz w:val="28"/>
          <w:szCs w:val="28"/>
        </w:rPr>
      </w:pPr>
      <w:r w:rsidRPr="00720AFF">
        <w:rPr>
          <w:b/>
          <w:bCs/>
          <w:sz w:val="28"/>
          <w:szCs w:val="28"/>
        </w:rPr>
        <w:t>NABERS continuous improvement</w:t>
      </w:r>
    </w:p>
    <w:p w14:paraId="1EF81728" w14:textId="6F085D0B" w:rsidR="004C6703" w:rsidRPr="00720AFF" w:rsidRDefault="004C6703" w:rsidP="004C6703">
      <w:pPr>
        <w:spacing w:after="120"/>
        <w:jc w:val="both"/>
      </w:pPr>
      <w:r w:rsidRPr="00720AFF">
        <w:t xml:space="preserve">NABERS </w:t>
      </w:r>
      <w:r w:rsidR="00941B52" w:rsidRPr="00720AFF">
        <w:t xml:space="preserve">will </w:t>
      </w:r>
      <w:r w:rsidR="009844F4" w:rsidRPr="00720AFF">
        <w:t>continue to</w:t>
      </w:r>
      <w:r w:rsidRPr="00720AFF">
        <w:t xml:space="preserve"> improve its tools, rules and ratings to ensure it is still relevant to the market and delivers to stakeholders a fair comparison of their performance across their industry. NABERS energy ratings continue to be adapted to Australian conditions. For example, NABERS is taking action to ensure NABERS energy ratings remain relevant and communicate the energy efficiency and environmental impact of buildings as the electricity grid decarbonises. </w:t>
      </w:r>
    </w:p>
    <w:p w14:paraId="4CF20678" w14:textId="226CA989" w:rsidR="00F31D58" w:rsidRPr="00720AFF" w:rsidRDefault="00DF1E21" w:rsidP="00D3268C">
      <w:pPr>
        <w:spacing w:after="120"/>
        <w:jc w:val="both"/>
        <w:rPr>
          <w:b/>
          <w:bCs/>
          <w:sz w:val="28"/>
          <w:szCs w:val="28"/>
        </w:rPr>
      </w:pPr>
      <w:r w:rsidRPr="00720AFF">
        <w:rPr>
          <w:b/>
          <w:bCs/>
          <w:sz w:val="28"/>
          <w:szCs w:val="28"/>
        </w:rPr>
        <w:t>Public buildings</w:t>
      </w:r>
    </w:p>
    <w:p w14:paraId="5E60A6A2" w14:textId="4B611C2B" w:rsidR="00D3268C" w:rsidRPr="00720AFF" w:rsidRDefault="00D3268C" w:rsidP="00D3268C">
      <w:pPr>
        <w:spacing w:after="120"/>
        <w:jc w:val="both"/>
      </w:pPr>
      <w:r w:rsidRPr="00720AFF">
        <w:t xml:space="preserve">Governments own and procure a significant proportion of Australia’s building stock and should take a leadership role in reducing its own building energy and emissions. All Commonwealth, state and territory governments have made public commitments to </w:t>
      </w:r>
      <w:r w:rsidR="001110E3" w:rsidRPr="00720AFF">
        <w:t xml:space="preserve">reduce </w:t>
      </w:r>
      <w:r w:rsidRPr="00720AFF">
        <w:t xml:space="preserve">emissions from government operations. </w:t>
      </w:r>
    </w:p>
    <w:p w14:paraId="3CE579DB" w14:textId="596E2C39" w:rsidR="00D3268C" w:rsidRPr="00720AFF" w:rsidRDefault="00D3268C" w:rsidP="00D3268C">
      <w:pPr>
        <w:spacing w:after="120"/>
        <w:jc w:val="both"/>
      </w:pPr>
      <w:r w:rsidRPr="00720AFF">
        <w:t>In relation to building types that can be owned by a variety of entities (including government entities), such as office buildings, it is intended that the CBD Program apply to government entities when the legislative reforms are made as set out in section 4.</w:t>
      </w:r>
      <w:r w:rsidR="004A61FD">
        <w:t>4</w:t>
      </w:r>
      <w:r w:rsidRPr="00720AFF">
        <w:t>. Government entities which own buildings that are disclosure affected will be subject to obligations under the Act along with other building owners.</w:t>
      </w:r>
    </w:p>
    <w:p w14:paraId="4A809AB4" w14:textId="56864532" w:rsidR="00D3268C" w:rsidRPr="00720AFF" w:rsidRDefault="00D3268C" w:rsidP="00D3268C">
      <w:pPr>
        <w:spacing w:after="120"/>
        <w:jc w:val="both"/>
      </w:pPr>
      <w:r w:rsidRPr="00720AFF">
        <w:t>In relation to building types typically owned by state and territory government</w:t>
      </w:r>
      <w:r w:rsidR="00AF41F4">
        <w:t>s</w:t>
      </w:r>
      <w:r w:rsidRPr="00720AFF">
        <w:t xml:space="preserve">, such as public schools and public hospitals, the government will pursue a commitment to </w:t>
      </w:r>
      <w:r w:rsidR="009C1B23">
        <w:t xml:space="preserve">improve the </w:t>
      </w:r>
      <w:r w:rsidR="0063538D">
        <w:t>uptake of</w:t>
      </w:r>
      <w:r w:rsidRPr="00720AFF">
        <w:t xml:space="preserve"> NABERS energy ratings</w:t>
      </w:r>
      <w:r w:rsidR="0063538D">
        <w:t xml:space="preserve"> in public buildings and the performance of these buildings</w:t>
      </w:r>
      <w:r w:rsidRPr="00720AFF">
        <w:t xml:space="preserve"> from states and territories through dedicated actions under the Trajectory </w:t>
      </w:r>
      <w:r w:rsidR="00BF3FDA" w:rsidRPr="00720AFF">
        <w:t xml:space="preserve">for Low Energy Buildings </w:t>
      </w:r>
      <w:r w:rsidRPr="00720AFF">
        <w:t xml:space="preserve">and through respective net zero in government operations strategies. </w:t>
      </w:r>
    </w:p>
    <w:p w14:paraId="2BEB74AA" w14:textId="6D5FC527" w:rsidR="004C6703" w:rsidRPr="00720AFF" w:rsidRDefault="00D3268C" w:rsidP="00F01F42">
      <w:pPr>
        <w:spacing w:after="120"/>
        <w:jc w:val="both"/>
      </w:pPr>
      <w:r w:rsidRPr="00720AFF">
        <w:t>States and territories should continue to lead by example through early adoption of the NABERS ratings. For example, the Victorian Government has obtained and disclosed NABERS energy ratings for all public hospitals.</w:t>
      </w:r>
      <w:r w:rsidRPr="00720AFF">
        <w:rPr>
          <w:rStyle w:val="FootnoteReference"/>
        </w:rPr>
        <w:footnoteReference w:id="19"/>
      </w:r>
      <w:r w:rsidRPr="00720AFF">
        <w:t xml:space="preserve"> This work can continue independently of any legislative change to the CBD Program. Direct regulation of public schools and hospital buildings through the CBD Program should be further considered after the new legislative framework is in place. </w:t>
      </w:r>
    </w:p>
    <w:p w14:paraId="728604DE" w14:textId="0EF62D6C" w:rsidR="00403F73" w:rsidRPr="00720AFF" w:rsidRDefault="00403F73" w:rsidP="00FE73BD">
      <w:pPr>
        <w:pStyle w:val="Heading3"/>
        <w:numPr>
          <w:ilvl w:val="1"/>
          <w:numId w:val="29"/>
        </w:numPr>
        <w:spacing w:after="120"/>
        <w:ind w:left="0" w:firstLine="0"/>
        <w:jc w:val="both"/>
      </w:pPr>
      <w:bookmarkStart w:id="36" w:name="_Toc200017015"/>
      <w:r w:rsidRPr="00720AFF">
        <w:t>Renewable Ener</w:t>
      </w:r>
      <w:r w:rsidR="003A5EB3" w:rsidRPr="00720AFF">
        <w:t>gy Indicator</w:t>
      </w:r>
      <w:bookmarkEnd w:id="36"/>
    </w:p>
    <w:p w14:paraId="5DB7C1A9" w14:textId="4C495DE7" w:rsidR="003E5B4D" w:rsidRPr="00720AFF" w:rsidRDefault="00055363" w:rsidP="003E5B4D">
      <w:pPr>
        <w:spacing w:after="120"/>
        <w:jc w:val="both"/>
      </w:pPr>
      <w:r w:rsidRPr="00720AFF">
        <w:t xml:space="preserve">From 2023, </w:t>
      </w:r>
      <w:r w:rsidR="006A06DF" w:rsidRPr="00720AFF">
        <w:t xml:space="preserve">all </w:t>
      </w:r>
      <w:r w:rsidRPr="00720AFF">
        <w:t xml:space="preserve">NABERS </w:t>
      </w:r>
      <w:r w:rsidR="006A06DF" w:rsidRPr="00720AFF">
        <w:t xml:space="preserve">energy </w:t>
      </w:r>
      <w:r w:rsidR="002E319B" w:rsidRPr="00720AFF">
        <w:t xml:space="preserve">rating </w:t>
      </w:r>
      <w:r w:rsidRPr="00720AFF">
        <w:t xml:space="preserve">certificates have included </w:t>
      </w:r>
      <w:r w:rsidR="004828CC" w:rsidRPr="00720AFF">
        <w:t>a</w:t>
      </w:r>
      <w:r w:rsidRPr="00720AFF">
        <w:t xml:space="preserve"> Renewable Energy Indicator (REI). The indicator </w:t>
      </w:r>
      <w:r w:rsidR="00553DAB" w:rsidRPr="00720AFF">
        <w:t xml:space="preserve">displays the proportion </w:t>
      </w:r>
      <w:r w:rsidR="00773328" w:rsidRPr="00720AFF">
        <w:t xml:space="preserve">of the building’s energy that comes from </w:t>
      </w:r>
      <w:r w:rsidR="0064202E" w:rsidRPr="00720AFF">
        <w:t>consumed renewable energy generated on</w:t>
      </w:r>
      <w:r w:rsidR="00124EAC">
        <w:t>-</w:t>
      </w:r>
      <w:r w:rsidR="0064202E" w:rsidRPr="00720AFF">
        <w:t>site and off-site renewable energy procured</w:t>
      </w:r>
      <w:r w:rsidRPr="00720AFF">
        <w:t>.</w:t>
      </w:r>
      <w:r w:rsidR="00773328" w:rsidRPr="00720AFF">
        <w:t xml:space="preserve"> </w:t>
      </w:r>
      <w:r w:rsidR="008A3FE7" w:rsidRPr="00720AFF">
        <w:t>The REI</w:t>
      </w:r>
      <w:r w:rsidR="00773328" w:rsidRPr="00720AFF">
        <w:t xml:space="preserve"> </w:t>
      </w:r>
      <w:r w:rsidR="00F04290" w:rsidRPr="00720AFF">
        <w:t xml:space="preserve">assists </w:t>
      </w:r>
      <w:r w:rsidR="00773328" w:rsidRPr="00720AFF">
        <w:t xml:space="preserve">building owners </w:t>
      </w:r>
      <w:r w:rsidR="00C64CBF" w:rsidRPr="00720AFF">
        <w:t xml:space="preserve">and tenants </w:t>
      </w:r>
      <w:r w:rsidR="009A5DF9" w:rsidRPr="00720AFF">
        <w:t>stand out for their energy efficiency and commitment to reach 100% renewable energy.</w:t>
      </w:r>
      <w:r w:rsidRPr="00720AFF">
        <w:t xml:space="preserve"> </w:t>
      </w:r>
    </w:p>
    <w:p w14:paraId="39C6D31B" w14:textId="17E6CB8F" w:rsidR="000715C3" w:rsidRPr="00720AFF" w:rsidRDefault="00E3663E" w:rsidP="003E5B4D">
      <w:pPr>
        <w:spacing w:after="120"/>
        <w:jc w:val="both"/>
      </w:pPr>
      <w:r w:rsidRPr="00720AFF">
        <w:lastRenderedPageBreak/>
        <w:t xml:space="preserve">The REI has </w:t>
      </w:r>
      <w:r w:rsidR="00E013B1" w:rsidRPr="00720AFF">
        <w:t xml:space="preserve">strong </w:t>
      </w:r>
      <w:r w:rsidR="00C476E6" w:rsidRPr="00720AFF">
        <w:t xml:space="preserve">industry support </w:t>
      </w:r>
      <w:r w:rsidR="00C52767" w:rsidRPr="00720AFF">
        <w:t>and there is a broad recognition that the use of renewable energy should be recognised.</w:t>
      </w:r>
      <w:r w:rsidR="00704D1D" w:rsidRPr="00720AFF">
        <w:t xml:space="preserve"> </w:t>
      </w:r>
      <w:r w:rsidR="000715C3" w:rsidRPr="00720AFF">
        <w:t xml:space="preserve">Under the current </w:t>
      </w:r>
      <w:r w:rsidR="00E07587" w:rsidRPr="00720AFF">
        <w:t>CBD P</w:t>
      </w:r>
      <w:r w:rsidR="000715C3" w:rsidRPr="00720AFF">
        <w:t xml:space="preserve">rogram, there is no requirement to disclose the NABERS REI </w:t>
      </w:r>
      <w:proofErr w:type="gramStart"/>
      <w:r w:rsidR="000715C3" w:rsidRPr="00720AFF">
        <w:t>information</w:t>
      </w:r>
      <w:proofErr w:type="gramEnd"/>
      <w:r w:rsidR="000715C3" w:rsidRPr="00720AFF">
        <w:t xml:space="preserve"> and it does not form part of the </w:t>
      </w:r>
      <w:r w:rsidR="00083FD2">
        <w:t>BEEC</w:t>
      </w:r>
      <w:r w:rsidR="000715C3" w:rsidRPr="00720AFF">
        <w:t xml:space="preserve">. </w:t>
      </w:r>
    </w:p>
    <w:p w14:paraId="386501AC" w14:textId="3BDC76E5" w:rsidR="00C00FAA" w:rsidRPr="00720AFF" w:rsidRDefault="001F4774" w:rsidP="003E5B4D">
      <w:pPr>
        <w:spacing w:after="120"/>
        <w:jc w:val="both"/>
      </w:pPr>
      <w:r w:rsidRPr="00720AFF">
        <w:t xml:space="preserve">As all NABERS energy rating certificates currently contain </w:t>
      </w:r>
      <w:r w:rsidR="004A1994" w:rsidRPr="00720AFF">
        <w:t>the REI, there is no</w:t>
      </w:r>
      <w:r w:rsidR="00704D1D" w:rsidRPr="00720AFF">
        <w:t xml:space="preserve"> additional compliance or cost burden</w:t>
      </w:r>
      <w:r w:rsidR="004A1994" w:rsidRPr="00720AFF">
        <w:t xml:space="preserve"> on industry if</w:t>
      </w:r>
      <w:r w:rsidR="000715C3" w:rsidRPr="00720AFF">
        <w:t xml:space="preserve"> the REI is required to be disclosed under the CBD Program.</w:t>
      </w:r>
      <w:r w:rsidR="00295B9A" w:rsidRPr="00720AFF">
        <w:t xml:space="preserve"> </w:t>
      </w:r>
      <w:r w:rsidR="002A7D1E" w:rsidRPr="00720AFF">
        <w:t xml:space="preserve">The government will prioritise including the REI </w:t>
      </w:r>
      <w:r w:rsidR="002540C3" w:rsidRPr="00720AFF">
        <w:t xml:space="preserve">in </w:t>
      </w:r>
      <w:r w:rsidR="00970C87" w:rsidRPr="00720AFF">
        <w:t>all</w:t>
      </w:r>
      <w:r w:rsidR="002540C3" w:rsidRPr="00720AFF">
        <w:t xml:space="preserve"> </w:t>
      </w:r>
      <w:r w:rsidR="00083FD2">
        <w:t>BEEC</w:t>
      </w:r>
      <w:r w:rsidR="00970C87" w:rsidRPr="00720AFF">
        <w:t>s issued under the Act</w:t>
      </w:r>
      <w:r w:rsidR="002540C3" w:rsidRPr="00720AFF">
        <w:t>.</w:t>
      </w:r>
      <w:r w:rsidR="00CD1B57" w:rsidRPr="00720AFF">
        <w:t xml:space="preserve"> </w:t>
      </w:r>
      <w:r w:rsidR="002540C3" w:rsidRPr="00720AFF">
        <w:t xml:space="preserve"> </w:t>
      </w:r>
      <w:r w:rsidR="0033017D" w:rsidRPr="00720AFF">
        <w:t xml:space="preserve">This can be done ahead of any legislative reform </w:t>
      </w:r>
      <w:r w:rsidR="0087760E" w:rsidRPr="00720AFF">
        <w:t xml:space="preserve">through </w:t>
      </w:r>
      <w:r w:rsidR="002D0535" w:rsidRPr="00720AFF">
        <w:t xml:space="preserve">new </w:t>
      </w:r>
      <w:r w:rsidR="00A56FDE" w:rsidRPr="00720AFF">
        <w:t>M</w:t>
      </w:r>
      <w:r w:rsidR="002D0535" w:rsidRPr="00720AFF">
        <w:t>inisterial determinations under the current Act</w:t>
      </w:r>
      <w:r w:rsidR="00782F86" w:rsidRPr="00720AFF">
        <w:t xml:space="preserve"> and through internal </w:t>
      </w:r>
      <w:r w:rsidR="005678E7" w:rsidRPr="00720AFF">
        <w:t xml:space="preserve">departmental </w:t>
      </w:r>
      <w:r w:rsidR="00C05EAC" w:rsidRPr="00720AFF">
        <w:t xml:space="preserve">ICT </w:t>
      </w:r>
      <w:r w:rsidR="00CC7243" w:rsidRPr="00720AFF">
        <w:t>changes.</w:t>
      </w:r>
    </w:p>
    <w:p w14:paraId="01995F8B" w14:textId="45C7ED49" w:rsidR="008074C6" w:rsidRPr="00720AFF" w:rsidRDefault="008074C6" w:rsidP="003E5B4D">
      <w:pPr>
        <w:spacing w:after="120"/>
        <w:jc w:val="both"/>
      </w:pPr>
      <w:r w:rsidRPr="00720AFF">
        <w:t xml:space="preserve">Any </w:t>
      </w:r>
      <w:r w:rsidR="0011384C" w:rsidRPr="00720AFF">
        <w:t xml:space="preserve">future </w:t>
      </w:r>
      <w:r w:rsidRPr="00720AFF">
        <w:t xml:space="preserve">improvements to the REI, including any </w:t>
      </w:r>
      <w:r w:rsidR="007F1712" w:rsidRPr="00720AFF">
        <w:t xml:space="preserve">more explicit </w:t>
      </w:r>
      <w:r w:rsidR="00B60A18" w:rsidRPr="00720AFF">
        <w:t>breakdown of</w:t>
      </w:r>
      <w:r w:rsidR="00077D02" w:rsidRPr="00720AFF">
        <w:t xml:space="preserve"> </w:t>
      </w:r>
      <w:r w:rsidR="00DC49E1" w:rsidRPr="00720AFF">
        <w:t>on-site fossil fuel use</w:t>
      </w:r>
      <w:r w:rsidR="00454AE5" w:rsidRPr="00720AFF">
        <w:t xml:space="preserve"> compared to renewable energy sources, would </w:t>
      </w:r>
      <w:r w:rsidR="0011384C" w:rsidRPr="00720AFF">
        <w:t xml:space="preserve">flow through </w:t>
      </w:r>
      <w:r w:rsidR="00997FA7" w:rsidRPr="00720AFF">
        <w:t xml:space="preserve">and be incorporated </w:t>
      </w:r>
      <w:r w:rsidR="00322872" w:rsidRPr="00720AFF">
        <w:t>in</w:t>
      </w:r>
      <w:r w:rsidR="0011384C" w:rsidRPr="00720AFF">
        <w:t xml:space="preserve">to </w:t>
      </w:r>
      <w:r w:rsidR="003E5519" w:rsidRPr="00720AFF">
        <w:t>disclosure obligations under the CBD Program.</w:t>
      </w:r>
    </w:p>
    <w:p w14:paraId="6BE0D039" w14:textId="48A08721" w:rsidR="00E52C44" w:rsidRPr="00720AFF" w:rsidRDefault="00E52C44" w:rsidP="003E5B4D">
      <w:pPr>
        <w:pStyle w:val="Heading3"/>
        <w:numPr>
          <w:ilvl w:val="1"/>
          <w:numId w:val="29"/>
        </w:numPr>
        <w:spacing w:after="120"/>
        <w:ind w:left="0" w:hanging="11"/>
        <w:jc w:val="both"/>
      </w:pPr>
      <w:bookmarkStart w:id="37" w:name="_Ref188022513"/>
      <w:bookmarkStart w:id="38" w:name="_Ref188022520"/>
      <w:bookmarkStart w:id="39" w:name="_Toc200017016"/>
      <w:r w:rsidRPr="00720AFF">
        <w:t>Periodic trigger</w:t>
      </w:r>
      <w:bookmarkEnd w:id="37"/>
      <w:bookmarkEnd w:id="38"/>
      <w:bookmarkEnd w:id="39"/>
    </w:p>
    <w:p w14:paraId="6DB879D6" w14:textId="464E7045" w:rsidR="00D90D44" w:rsidRPr="00720AFF" w:rsidRDefault="00D90D44" w:rsidP="003E5B4D">
      <w:pPr>
        <w:spacing w:after="120"/>
        <w:jc w:val="both"/>
        <w:rPr>
          <w:rFonts w:ascii="Calibri" w:eastAsia="Calibri" w:hAnsi="Calibri" w:cs="Calibri"/>
        </w:rPr>
      </w:pPr>
      <w:r w:rsidRPr="00720AFF">
        <w:rPr>
          <w:rFonts w:ascii="Calibri" w:eastAsia="Calibri" w:hAnsi="Calibri" w:cs="Calibri"/>
        </w:rPr>
        <w:t xml:space="preserve">As described in Section </w:t>
      </w:r>
      <w:r w:rsidR="00414343" w:rsidRPr="00720AFF">
        <w:rPr>
          <w:rFonts w:ascii="Calibri" w:eastAsia="Calibri" w:hAnsi="Calibri" w:cs="Calibri"/>
        </w:rPr>
        <w:t>3.2</w:t>
      </w:r>
      <w:r w:rsidRPr="00720AFF">
        <w:rPr>
          <w:rFonts w:ascii="Calibri" w:eastAsia="Calibri" w:hAnsi="Calibri" w:cs="Calibri"/>
        </w:rPr>
        <w:t xml:space="preserve">, </w:t>
      </w:r>
      <w:r w:rsidR="00695BD3" w:rsidRPr="00720AFF">
        <w:rPr>
          <w:rFonts w:ascii="Calibri" w:eastAsia="Calibri" w:hAnsi="Calibri" w:cs="Calibri"/>
        </w:rPr>
        <w:t xml:space="preserve">as part of the new legislative framework, the government will </w:t>
      </w:r>
      <w:r w:rsidR="000471B6" w:rsidRPr="00720AFF">
        <w:rPr>
          <w:rFonts w:ascii="Calibri" w:eastAsia="Calibri" w:hAnsi="Calibri" w:cs="Calibri"/>
        </w:rPr>
        <w:t>require certain building owners and tenants to obtain a NABERS energy rating a</w:t>
      </w:r>
      <w:r w:rsidR="00EF0268" w:rsidRPr="00720AFF">
        <w:rPr>
          <w:rFonts w:ascii="Calibri" w:eastAsia="Calibri" w:hAnsi="Calibri" w:cs="Calibri"/>
        </w:rPr>
        <w:t>t regular intervals.</w:t>
      </w:r>
    </w:p>
    <w:p w14:paraId="0B31A289" w14:textId="2DB12395" w:rsidR="000F2BB3" w:rsidRPr="00720AFF" w:rsidRDefault="00FF4D71" w:rsidP="003E5B4D">
      <w:pPr>
        <w:spacing w:after="120"/>
        <w:jc w:val="both"/>
      </w:pPr>
      <w:r w:rsidRPr="00720AFF">
        <w:t xml:space="preserve">Previous independent reports </w:t>
      </w:r>
      <w:r w:rsidR="000A26D9" w:rsidRPr="00720AFF">
        <w:t>from</w:t>
      </w:r>
      <w:r w:rsidRPr="00720AFF">
        <w:t xml:space="preserve"> </w:t>
      </w:r>
      <w:r w:rsidR="00E52C44" w:rsidRPr="00720AFF">
        <w:t>KPMG</w:t>
      </w:r>
      <w:r w:rsidR="00E029E5" w:rsidRPr="00720AFF">
        <w:rPr>
          <w:rStyle w:val="FootnoteReference"/>
        </w:rPr>
        <w:footnoteReference w:id="20"/>
      </w:r>
      <w:r w:rsidR="00E52C44" w:rsidRPr="00720AFF">
        <w:t xml:space="preserve"> and </w:t>
      </w:r>
      <w:r w:rsidR="004B3C04" w:rsidRPr="00720AFF">
        <w:t xml:space="preserve">the </w:t>
      </w:r>
      <w:r w:rsidR="00E52C44" w:rsidRPr="00720AFF">
        <w:t>C</w:t>
      </w:r>
      <w:r w:rsidR="004B3C04" w:rsidRPr="00720AFF">
        <w:t xml:space="preserve">entre for </w:t>
      </w:r>
      <w:r w:rsidR="00E52C44" w:rsidRPr="00720AFF">
        <w:t>I</w:t>
      </w:r>
      <w:r w:rsidR="004B3C04" w:rsidRPr="00720AFF">
        <w:t xml:space="preserve">nternational </w:t>
      </w:r>
      <w:r w:rsidR="00E52C44" w:rsidRPr="00720AFF">
        <w:t>E</w:t>
      </w:r>
      <w:r w:rsidR="004B3C04" w:rsidRPr="00720AFF">
        <w:t>conomics</w:t>
      </w:r>
      <w:r w:rsidR="00E029E5" w:rsidRPr="00720AFF">
        <w:rPr>
          <w:rStyle w:val="FootnoteReference"/>
        </w:rPr>
        <w:footnoteReference w:id="21"/>
      </w:r>
      <w:r w:rsidR="00E52C44" w:rsidRPr="00720AFF">
        <w:t xml:space="preserve"> recommend</w:t>
      </w:r>
      <w:r w:rsidR="000D7799" w:rsidRPr="00720AFF">
        <w:t>ed</w:t>
      </w:r>
      <w:r w:rsidR="00E52C44" w:rsidRPr="00720AFF">
        <w:t xml:space="preserve"> introducing </w:t>
      </w:r>
      <w:r w:rsidR="00762B37" w:rsidRPr="00720AFF">
        <w:t xml:space="preserve">this regular requirement </w:t>
      </w:r>
      <w:r w:rsidR="00EC2315" w:rsidRPr="00720AFF">
        <w:t>(rather than a requirement to only obtain a</w:t>
      </w:r>
      <w:r w:rsidR="00E868B9" w:rsidRPr="00720AFF">
        <w:t>n energy rating on sale or lease)</w:t>
      </w:r>
      <w:r w:rsidR="00E52C44" w:rsidRPr="00720AFF">
        <w:t xml:space="preserve"> to </w:t>
      </w:r>
      <w:r w:rsidR="000A427A" w:rsidRPr="00720AFF">
        <w:t xml:space="preserve">expand </w:t>
      </w:r>
      <w:r w:rsidR="007E04B8" w:rsidRPr="00720AFF">
        <w:t xml:space="preserve">and increase </w:t>
      </w:r>
      <w:r w:rsidR="00E52C44" w:rsidRPr="00720AFF">
        <w:t xml:space="preserve">the </w:t>
      </w:r>
      <w:r w:rsidR="005F7DC5" w:rsidRPr="00720AFF">
        <w:t xml:space="preserve">impact of the </w:t>
      </w:r>
      <w:r w:rsidR="00E52C44" w:rsidRPr="00720AFF">
        <w:t>CBD Program</w:t>
      </w:r>
      <w:r w:rsidR="000A427A" w:rsidRPr="00720AFF">
        <w:t>.</w:t>
      </w:r>
      <w:r w:rsidR="00E52C44" w:rsidRPr="00720AFF">
        <w:t xml:space="preserve"> </w:t>
      </w:r>
      <w:r w:rsidR="00BF1CC7" w:rsidRPr="00720AFF">
        <w:t xml:space="preserve">This </w:t>
      </w:r>
      <w:r w:rsidR="003D0487" w:rsidRPr="00720AFF">
        <w:t>change will enable mo</w:t>
      </w:r>
      <w:r w:rsidR="0068620F" w:rsidRPr="00720AFF">
        <w:t xml:space="preserve">re building types that are not regularly </w:t>
      </w:r>
      <w:r w:rsidR="00A12156" w:rsidRPr="00720AFF">
        <w:t xml:space="preserve">sold or leased </w:t>
      </w:r>
      <w:r w:rsidR="0093773B" w:rsidRPr="00720AFF">
        <w:t xml:space="preserve">to be effectively included in the </w:t>
      </w:r>
      <w:r w:rsidR="008660E7" w:rsidRPr="00720AFF">
        <w:t xml:space="preserve">CBD </w:t>
      </w:r>
      <w:r w:rsidR="0093773B" w:rsidRPr="00720AFF">
        <w:t>Program</w:t>
      </w:r>
      <w:r w:rsidR="00405728" w:rsidRPr="00720AFF">
        <w:t>.</w:t>
      </w:r>
      <w:r w:rsidR="00B53897" w:rsidRPr="00720AFF">
        <w:t xml:space="preserve"> The change will also </w:t>
      </w:r>
      <w:r w:rsidR="00EC15C0" w:rsidRPr="00720AFF">
        <w:t>require</w:t>
      </w:r>
      <w:r w:rsidR="00B53897" w:rsidRPr="00720AFF">
        <w:t xml:space="preserve"> more frequent </w:t>
      </w:r>
      <w:r w:rsidR="00EC15C0" w:rsidRPr="00720AFF">
        <w:t>and regular energy assessments</w:t>
      </w:r>
      <w:r w:rsidR="1E5D14D2" w:rsidRPr="00720AFF">
        <w:t xml:space="preserve"> on those building types</w:t>
      </w:r>
      <w:r w:rsidR="00B53897" w:rsidRPr="00720AFF">
        <w:t>, thereby shifting from a transaction-based</w:t>
      </w:r>
      <w:r w:rsidR="00171E93" w:rsidRPr="00720AFF">
        <w:t xml:space="preserve"> approach to a continuous evaluation</w:t>
      </w:r>
      <w:r w:rsidR="00EA1C19" w:rsidRPr="00720AFF">
        <w:t xml:space="preserve"> and improvement approach.</w:t>
      </w:r>
      <w:r w:rsidR="00646FEE" w:rsidRPr="00720AFF">
        <w:t xml:space="preserve"> </w:t>
      </w:r>
    </w:p>
    <w:p w14:paraId="3713ABB0" w14:textId="064C75DC" w:rsidR="00B315CF" w:rsidRPr="00720AFF" w:rsidRDefault="00CD7923" w:rsidP="003E5B4D">
      <w:pPr>
        <w:spacing w:after="120"/>
        <w:jc w:val="both"/>
      </w:pPr>
      <w:r w:rsidRPr="00720AFF">
        <w:t>Periodic updates provide stakeholders with reliable</w:t>
      </w:r>
      <w:r w:rsidR="00B44616" w:rsidRPr="00720AFF">
        <w:t>, consistently updated</w:t>
      </w:r>
      <w:r w:rsidR="00C1079C" w:rsidRPr="00720AFF">
        <w:t xml:space="preserve"> and accurate</w:t>
      </w:r>
      <w:r w:rsidR="00B44616" w:rsidRPr="00720AFF">
        <w:t xml:space="preserve"> information, </w:t>
      </w:r>
      <w:r w:rsidR="0024228A" w:rsidRPr="00720AFF">
        <w:t xml:space="preserve">and </w:t>
      </w:r>
      <w:r w:rsidR="00B44616" w:rsidRPr="00720AFF">
        <w:t xml:space="preserve">enable more informed energy management and investment decisions. </w:t>
      </w:r>
      <w:r w:rsidR="00B139B0" w:rsidRPr="00720AFF">
        <w:t>For building owners</w:t>
      </w:r>
      <w:r w:rsidR="002C1B4B" w:rsidRPr="00720AFF">
        <w:t xml:space="preserve"> and manager</w:t>
      </w:r>
      <w:r w:rsidR="00745D58" w:rsidRPr="00720AFF">
        <w:t>s</w:t>
      </w:r>
      <w:r w:rsidR="002C1B4B" w:rsidRPr="00720AFF">
        <w:t xml:space="preserve">, </w:t>
      </w:r>
      <w:r w:rsidR="00F720C0" w:rsidRPr="00720AFF">
        <w:t xml:space="preserve">the requirement to obtain a NABERS </w:t>
      </w:r>
      <w:r w:rsidR="002D13A4" w:rsidRPr="00720AFF">
        <w:t xml:space="preserve">energy </w:t>
      </w:r>
      <w:r w:rsidR="00F720C0" w:rsidRPr="00720AFF">
        <w:t>rating a</w:t>
      </w:r>
      <w:r w:rsidR="00960CD9" w:rsidRPr="00720AFF">
        <w:t>t</w:t>
      </w:r>
      <w:r w:rsidR="00F720C0" w:rsidRPr="00720AFF">
        <w:t xml:space="preserve"> regular intervals </w:t>
      </w:r>
      <w:r w:rsidR="00916416" w:rsidRPr="00720AFF">
        <w:t xml:space="preserve">will </w:t>
      </w:r>
      <w:r w:rsidR="002E14CE" w:rsidRPr="00720AFF">
        <w:t>ensure they are aware of the</w:t>
      </w:r>
      <w:r w:rsidR="005E558A" w:rsidRPr="00720AFF">
        <w:t xml:space="preserve"> performance o</w:t>
      </w:r>
      <w:r w:rsidR="00716ABA" w:rsidRPr="00720AFF">
        <w:t>f</w:t>
      </w:r>
      <w:r w:rsidR="005E558A" w:rsidRPr="00720AFF">
        <w:t xml:space="preserve"> their building </w:t>
      </w:r>
      <w:r w:rsidR="00945B1F" w:rsidRPr="00720AFF">
        <w:t xml:space="preserve">compared to other </w:t>
      </w:r>
      <w:r w:rsidR="007A7EA1" w:rsidRPr="00720AFF">
        <w:t>similar buildings</w:t>
      </w:r>
      <w:r w:rsidR="00AF66C0" w:rsidRPr="00720AFF">
        <w:t>.</w:t>
      </w:r>
      <w:r w:rsidR="008B5669" w:rsidRPr="00720AFF">
        <w:t xml:space="preserve"> Introducing </w:t>
      </w:r>
      <w:r w:rsidR="00A16310" w:rsidRPr="00720AFF">
        <w:t xml:space="preserve">regular requirements for certain tenants to obtain a </w:t>
      </w:r>
      <w:r w:rsidR="000A151D" w:rsidRPr="00720AFF">
        <w:t>tenancy energy rating will allow existing tenants to track their performance over time.</w:t>
      </w:r>
      <w:r w:rsidR="00AF66C0" w:rsidRPr="00720AFF">
        <w:t xml:space="preserve"> </w:t>
      </w:r>
    </w:p>
    <w:p w14:paraId="1D65C0C6" w14:textId="0F65978D" w:rsidR="00211D0F" w:rsidRPr="00720AFF" w:rsidRDefault="00211D0F" w:rsidP="003E5B4D">
      <w:pPr>
        <w:spacing w:after="120"/>
        <w:jc w:val="both"/>
      </w:pPr>
      <w:r w:rsidRPr="00720AFF">
        <w:t xml:space="preserve">This change will expand the size and impact of the CBD Program. While some building owners already exceed current requirements and will continue to do so (for example, by voluntarily obtaining annual ratings), adding a periodic trigger will increase the number of buildings under the </w:t>
      </w:r>
      <w:r w:rsidR="008660E7" w:rsidRPr="00720AFF">
        <w:t xml:space="preserve">CBD </w:t>
      </w:r>
      <w:r w:rsidRPr="00720AFF">
        <w:t>Program.</w:t>
      </w:r>
    </w:p>
    <w:p w14:paraId="46D45C7C" w14:textId="07579377" w:rsidR="001764B2" w:rsidRPr="00720AFF" w:rsidRDefault="001B6BCA" w:rsidP="003E5B4D">
      <w:pPr>
        <w:pStyle w:val="Heading3"/>
        <w:numPr>
          <w:ilvl w:val="1"/>
          <w:numId w:val="29"/>
        </w:numPr>
        <w:spacing w:after="120"/>
        <w:ind w:left="0" w:firstLine="0"/>
        <w:jc w:val="both"/>
      </w:pPr>
      <w:bookmarkStart w:id="40" w:name="_Toc200017017"/>
      <w:r w:rsidRPr="00720AFF">
        <w:t>Ownership types</w:t>
      </w:r>
      <w:bookmarkEnd w:id="40"/>
    </w:p>
    <w:p w14:paraId="2E67AFCD" w14:textId="22DB3BC8" w:rsidR="003059A5" w:rsidRPr="00720AFF" w:rsidRDefault="007178E7" w:rsidP="003E5B4D">
      <w:pPr>
        <w:spacing w:after="120"/>
        <w:jc w:val="both"/>
      </w:pPr>
      <w:r w:rsidRPr="00720AFF">
        <w:t>Currently</w:t>
      </w:r>
      <w:r w:rsidR="00D632FF" w:rsidRPr="00720AFF">
        <w:t xml:space="preserve">, the CBD Program only applies to </w:t>
      </w:r>
      <w:r w:rsidR="000E6188" w:rsidRPr="00720AFF">
        <w:t xml:space="preserve">office </w:t>
      </w:r>
      <w:r w:rsidR="00D632FF" w:rsidRPr="00720AFF">
        <w:t xml:space="preserve">buildings owned by companies established under the </w:t>
      </w:r>
      <w:r w:rsidR="00D632FF" w:rsidRPr="00720AFF">
        <w:rPr>
          <w:i/>
          <w:iCs/>
        </w:rPr>
        <w:t>Corporations Act 2001</w:t>
      </w:r>
      <w:r w:rsidR="000F44A3" w:rsidRPr="00720AFF">
        <w:t xml:space="preserve">, using the </w:t>
      </w:r>
      <w:r w:rsidR="2AE1A03C" w:rsidRPr="00720AFF">
        <w:t>corporation's</w:t>
      </w:r>
      <w:r w:rsidR="000F44A3" w:rsidRPr="00720AFF">
        <w:t xml:space="preserve"> power in the C</w:t>
      </w:r>
      <w:r w:rsidR="00C430F0" w:rsidRPr="00720AFF">
        <w:t>onstitution</w:t>
      </w:r>
      <w:r w:rsidR="00D632FF" w:rsidRPr="00720AFF">
        <w:t xml:space="preserve">. </w:t>
      </w:r>
      <w:r w:rsidR="003F4549" w:rsidRPr="00720AFF">
        <w:t xml:space="preserve">New objectives were introduced to the Act in 2022 via the </w:t>
      </w:r>
      <w:r w:rsidR="003F4549" w:rsidRPr="00720AFF">
        <w:rPr>
          <w:i/>
          <w:iCs/>
        </w:rPr>
        <w:t>Climate Change (Consequential Amendments) Act 2022</w:t>
      </w:r>
      <w:r w:rsidR="008015AB" w:rsidRPr="00720AFF">
        <w:t>. This includes an</w:t>
      </w:r>
      <w:r w:rsidR="001C7FF6" w:rsidRPr="00720AFF">
        <w:t xml:space="preserve"> objective to contribute to the achievement of Australia’s greenhouse gas emissions reduction targets</w:t>
      </w:r>
      <w:r w:rsidR="005E6245" w:rsidRPr="00720AFF">
        <w:t xml:space="preserve"> </w:t>
      </w:r>
      <w:r w:rsidR="00E80637" w:rsidRPr="00720AFF">
        <w:t xml:space="preserve">in accordance with </w:t>
      </w:r>
      <w:r w:rsidR="00165EC0" w:rsidRPr="00720AFF">
        <w:t>the Paris Agreement</w:t>
      </w:r>
      <w:r w:rsidR="001C7FF6" w:rsidRPr="00720AFF">
        <w:t>.</w:t>
      </w:r>
    </w:p>
    <w:p w14:paraId="2070A72D" w14:textId="290887C2" w:rsidR="007D0341" w:rsidRPr="00720AFF" w:rsidRDefault="00C74C5F" w:rsidP="003E5B4D">
      <w:pPr>
        <w:spacing w:after="120"/>
        <w:jc w:val="both"/>
      </w:pPr>
      <w:proofErr w:type="gramStart"/>
      <w:r w:rsidRPr="00720AFF">
        <w:t>Taking into account</w:t>
      </w:r>
      <w:proofErr w:type="gramEnd"/>
      <w:r w:rsidRPr="00720AFF">
        <w:t xml:space="preserve"> these expanded objectives</w:t>
      </w:r>
      <w:r w:rsidR="00987944" w:rsidRPr="00720AFF">
        <w:t>, the gover</w:t>
      </w:r>
      <w:r w:rsidR="004B2555" w:rsidRPr="00720AFF">
        <w:t xml:space="preserve">nment will </w:t>
      </w:r>
      <w:r w:rsidR="00E62498" w:rsidRPr="00720AFF">
        <w:t>e</w:t>
      </w:r>
      <w:r w:rsidR="0044088D" w:rsidRPr="00720AFF">
        <w:t>xpand</w:t>
      </w:r>
      <w:r w:rsidR="00D42BC5" w:rsidRPr="00720AFF">
        <w:t xml:space="preserve"> the</w:t>
      </w:r>
      <w:r w:rsidR="008660E7" w:rsidRPr="00720AFF">
        <w:t xml:space="preserve"> CBD</w:t>
      </w:r>
      <w:r w:rsidR="00D42BC5" w:rsidRPr="00720AFF">
        <w:t xml:space="preserve"> Program </w:t>
      </w:r>
      <w:r w:rsidR="005648BB" w:rsidRPr="00720AFF">
        <w:t xml:space="preserve">(to the extent legally possible) </w:t>
      </w:r>
      <w:r w:rsidR="00D42BC5" w:rsidRPr="00720AFF">
        <w:t xml:space="preserve">to cover </w:t>
      </w:r>
      <w:r w:rsidR="0010099C" w:rsidRPr="00720AFF">
        <w:t>all building owners</w:t>
      </w:r>
      <w:r w:rsidR="008A229D" w:rsidRPr="00720AFF">
        <w:t>hip types</w:t>
      </w:r>
      <w:r w:rsidR="00063390" w:rsidRPr="00720AFF">
        <w:t>. This could include</w:t>
      </w:r>
      <w:r w:rsidR="0010099C" w:rsidRPr="00720AFF">
        <w:t xml:space="preserve"> companies, </w:t>
      </w:r>
      <w:r w:rsidR="00C60BE2" w:rsidRPr="00720AFF">
        <w:t xml:space="preserve">partnerships, </w:t>
      </w:r>
      <w:r w:rsidR="0010099C" w:rsidRPr="00720AFF">
        <w:t xml:space="preserve">owner occupiers, trusts, </w:t>
      </w:r>
      <w:r w:rsidR="005A2F18" w:rsidRPr="00720AFF">
        <w:t xml:space="preserve">government entities, </w:t>
      </w:r>
      <w:r w:rsidR="00BA1513" w:rsidRPr="00720AFF">
        <w:t>commercial strata and others.</w:t>
      </w:r>
      <w:r w:rsidR="003C6CEC" w:rsidRPr="00720AFF" w:rsidDel="003C6CEC">
        <w:t xml:space="preserve"> </w:t>
      </w:r>
      <w:r w:rsidR="00EB58E5" w:rsidRPr="00720AFF">
        <w:t xml:space="preserve">This means that if </w:t>
      </w:r>
      <w:r w:rsidR="00470454" w:rsidRPr="00720AFF">
        <w:t>a certain building type</w:t>
      </w:r>
      <w:r w:rsidR="009D6066" w:rsidRPr="00720AFF">
        <w:t xml:space="preserve"> </w:t>
      </w:r>
      <w:r w:rsidR="00470454" w:rsidRPr="00720AFF">
        <w:t>is disclosure affected</w:t>
      </w:r>
      <w:r w:rsidR="009D6066" w:rsidRPr="00720AFF">
        <w:t xml:space="preserve"> (for example, large office buildings), all owners of that building type will </w:t>
      </w:r>
      <w:r w:rsidR="00890BEC" w:rsidRPr="00720AFF">
        <w:t>have obligations to obtain and disclosure the relevant NABERS energy rating.</w:t>
      </w:r>
    </w:p>
    <w:p w14:paraId="647F6C93" w14:textId="24E1015B" w:rsidR="00B67879" w:rsidRPr="00720AFF" w:rsidRDefault="00634C48" w:rsidP="003E5B4D">
      <w:pPr>
        <w:spacing w:after="120"/>
        <w:jc w:val="both"/>
      </w:pPr>
      <w:r w:rsidRPr="00720AFF">
        <w:lastRenderedPageBreak/>
        <w:t xml:space="preserve">Including </w:t>
      </w:r>
      <w:r w:rsidR="00FB484C" w:rsidRPr="00720AFF">
        <w:t xml:space="preserve">these different ownership types </w:t>
      </w:r>
      <w:r w:rsidR="00D35BA1" w:rsidRPr="00720AFF">
        <w:t xml:space="preserve">could </w:t>
      </w:r>
      <w:r w:rsidR="00FB484C" w:rsidRPr="00720AFF">
        <w:t xml:space="preserve">involve </w:t>
      </w:r>
      <w:r w:rsidR="00B51712" w:rsidRPr="00720AFF">
        <w:t xml:space="preserve">making a </w:t>
      </w:r>
      <w:r w:rsidR="00A03398" w:rsidRPr="00720AFF">
        <w:t xml:space="preserve">public notification </w:t>
      </w:r>
      <w:r w:rsidR="00E236E2" w:rsidRPr="00720AFF">
        <w:t>and education</w:t>
      </w:r>
      <w:r w:rsidR="00A03398" w:rsidRPr="00720AFF">
        <w:t xml:space="preserve"> for owners </w:t>
      </w:r>
      <w:r w:rsidR="00A03398" w:rsidRPr="00720AFF" w:rsidDel="00502F30">
        <w:t xml:space="preserve">of </w:t>
      </w:r>
      <w:r w:rsidR="00502F30" w:rsidRPr="00720AFF">
        <w:t>disclosure affected buildings</w:t>
      </w:r>
      <w:r w:rsidR="00A03398" w:rsidRPr="00720AFF">
        <w:t xml:space="preserve"> that their building </w:t>
      </w:r>
      <w:r w:rsidR="0023609E" w:rsidRPr="00720AFF">
        <w:t xml:space="preserve">may be covered by the CBD Program and </w:t>
      </w:r>
      <w:r w:rsidR="00E2663F" w:rsidRPr="00720AFF">
        <w:t xml:space="preserve">informing them of the </w:t>
      </w:r>
      <w:r w:rsidR="00364623" w:rsidRPr="00720AFF">
        <w:t>requirements to obtain an</w:t>
      </w:r>
      <w:r w:rsidR="00DB68C5" w:rsidRPr="00720AFF">
        <w:t>d</w:t>
      </w:r>
      <w:r w:rsidR="00364623" w:rsidRPr="00720AFF">
        <w:t xml:space="preserve"> disclose </w:t>
      </w:r>
      <w:r w:rsidR="00A83248" w:rsidRPr="00720AFF">
        <w:t>the relevant</w:t>
      </w:r>
      <w:r w:rsidR="00E2663F" w:rsidRPr="00720AFF">
        <w:t xml:space="preserve"> NABERS</w:t>
      </w:r>
      <w:r w:rsidR="00364623" w:rsidRPr="00720AFF">
        <w:t xml:space="preserve"> energy rating</w:t>
      </w:r>
      <w:r w:rsidR="00DC1810" w:rsidRPr="00720AFF">
        <w:t>.</w:t>
      </w:r>
      <w:r w:rsidR="004246C3" w:rsidRPr="00720AFF">
        <w:t xml:space="preserve"> </w:t>
      </w:r>
    </w:p>
    <w:p w14:paraId="7EEF3A11" w14:textId="31407927" w:rsidR="00DF61CB" w:rsidRPr="00720AFF" w:rsidRDefault="00B67879" w:rsidP="003E5B4D">
      <w:pPr>
        <w:pStyle w:val="Heading3"/>
        <w:numPr>
          <w:ilvl w:val="1"/>
          <w:numId w:val="29"/>
        </w:numPr>
        <w:spacing w:after="120"/>
        <w:ind w:left="0" w:firstLine="0"/>
        <w:jc w:val="both"/>
      </w:pPr>
      <w:bookmarkStart w:id="41" w:name="_Toc200017018"/>
      <w:r w:rsidRPr="00720AFF">
        <w:t>O</w:t>
      </w:r>
      <w:r w:rsidR="003C233D" w:rsidRPr="00720AFF">
        <w:t>ffice tenancies</w:t>
      </w:r>
      <w:bookmarkEnd w:id="41"/>
    </w:p>
    <w:p w14:paraId="5119713E" w14:textId="5CB82FDD" w:rsidR="00AD5012" w:rsidRPr="00720AFF" w:rsidRDefault="00AD5012" w:rsidP="003E5B4D">
      <w:pPr>
        <w:spacing w:after="120"/>
        <w:jc w:val="both"/>
      </w:pPr>
      <w:r w:rsidRPr="00720AFF">
        <w:t xml:space="preserve">Offices make up the largest share of commercial building energy use in Australia, accounting for around 26% of energy use from commercial buildings. Energy use by office tenants could be responsible for up to 50% of the energy use from office buildings but </w:t>
      </w:r>
      <w:r w:rsidR="003B5506" w:rsidRPr="00720AFF">
        <w:t xml:space="preserve">are </w:t>
      </w:r>
      <w:r w:rsidRPr="00720AFF">
        <w:t>currently not part of the CBD Program.</w:t>
      </w:r>
    </w:p>
    <w:p w14:paraId="0CDBF9C8" w14:textId="485BE96F" w:rsidR="00D12007" w:rsidRPr="00720AFF" w:rsidRDefault="00D12007" w:rsidP="003E5B4D">
      <w:pPr>
        <w:spacing w:after="120"/>
        <w:jc w:val="both"/>
      </w:pPr>
      <w:r w:rsidRPr="00720AFF">
        <w:t>To enable future Ministerial determinations relating to tenants, there will be new powers under the Act to require certain tenants to periodically obtain an energy rating for their tenanted space. It is intended that large office tenants will be subject to this requirement first, with the NABERS office tenancy energy rating the most appropriate rating to be used. Tenancy energy ratings will only be required by a tenant after at least 12 months of occupancy. This is because NABERS energy ratings need 12 months of energy consumption data to be calculated.</w:t>
      </w:r>
    </w:p>
    <w:p w14:paraId="4DD33C7A" w14:textId="21EB639F" w:rsidR="00501B24" w:rsidRPr="00720AFF" w:rsidRDefault="00501B24" w:rsidP="003E5B4D">
      <w:pPr>
        <w:spacing w:after="120"/>
        <w:jc w:val="both"/>
      </w:pPr>
      <w:r w:rsidRPr="00720AFF">
        <w:t xml:space="preserve">The NABERS office tenancy </w:t>
      </w:r>
      <w:r w:rsidR="004515E1" w:rsidRPr="00720AFF">
        <w:t>energy</w:t>
      </w:r>
      <w:r w:rsidRPr="00720AFF">
        <w:t xml:space="preserve"> </w:t>
      </w:r>
      <w:r w:rsidR="00EC568F" w:rsidRPr="00720AFF">
        <w:t>rating</w:t>
      </w:r>
      <w:r w:rsidRPr="00720AFF">
        <w:t xml:space="preserve"> has been </w:t>
      </w:r>
      <w:r w:rsidR="00631E47" w:rsidRPr="00720AFF">
        <w:t>available</w:t>
      </w:r>
      <w:r w:rsidRPr="00720AFF">
        <w:t xml:space="preserve"> </w:t>
      </w:r>
      <w:r w:rsidR="003B5506" w:rsidRPr="00720AFF">
        <w:t>voluntarily</w:t>
      </w:r>
      <w:r w:rsidRPr="00720AFF">
        <w:t xml:space="preserve"> for</w:t>
      </w:r>
      <w:r w:rsidR="00C24903">
        <w:t xml:space="preserve"> over</w:t>
      </w:r>
      <w:r w:rsidRPr="00720AFF">
        <w:t xml:space="preserve"> </w:t>
      </w:r>
      <w:r w:rsidR="00CA2558" w:rsidRPr="00720AFF">
        <w:t>7</w:t>
      </w:r>
      <w:r w:rsidRPr="00720AFF">
        <w:t xml:space="preserve"> years and </w:t>
      </w:r>
      <w:r w:rsidR="00F57558" w:rsidRPr="00720AFF">
        <w:t>around 350</w:t>
      </w:r>
      <w:r w:rsidRPr="00720AFF">
        <w:t xml:space="preserve"> tenancies received a rating in 2024. NABERS </w:t>
      </w:r>
      <w:r w:rsidR="00601EC5" w:rsidRPr="00720AFF">
        <w:t>c</w:t>
      </w:r>
      <w:r w:rsidRPr="00720AFF">
        <w:t xml:space="preserve">o-assess </w:t>
      </w:r>
      <w:r w:rsidR="007B1647" w:rsidRPr="00720AFF">
        <w:t xml:space="preserve">is an application process that allows </w:t>
      </w:r>
      <w:r w:rsidR="00750E66" w:rsidRPr="00720AFF">
        <w:t xml:space="preserve">office </w:t>
      </w:r>
      <w:r w:rsidR="007B1647" w:rsidRPr="00720AFF">
        <w:t xml:space="preserve">tenancies to be rated alongside the </w:t>
      </w:r>
      <w:r w:rsidR="00100306" w:rsidRPr="00720AFF">
        <w:t xml:space="preserve">NABERS office </w:t>
      </w:r>
      <w:r w:rsidR="007B1647" w:rsidRPr="00720AFF">
        <w:t>base building energy rating. This provides one streamlined process for multiple ratings at the same property.</w:t>
      </w:r>
      <w:r w:rsidRPr="00720AFF">
        <w:t xml:space="preserve"> NABERS </w:t>
      </w:r>
      <w:r w:rsidR="00FE4ABA">
        <w:t>has</w:t>
      </w:r>
      <w:r w:rsidRPr="00720AFF">
        <w:t xml:space="preserve"> streamlin</w:t>
      </w:r>
      <w:r w:rsidR="00FE4ABA">
        <w:t>ed</w:t>
      </w:r>
      <w:r w:rsidRPr="00720AFF">
        <w:t xml:space="preserve"> the </w:t>
      </w:r>
      <w:r w:rsidR="0039122E" w:rsidRPr="00720AFF">
        <w:t xml:space="preserve">NABERS </w:t>
      </w:r>
      <w:r w:rsidRPr="00720AFF">
        <w:t xml:space="preserve">co-assess process </w:t>
      </w:r>
      <w:r w:rsidR="00480B3A" w:rsidRPr="00720AFF">
        <w:t xml:space="preserve">by transferring it </w:t>
      </w:r>
      <w:r w:rsidRPr="00720AFF">
        <w:t xml:space="preserve">to </w:t>
      </w:r>
      <w:r w:rsidR="00480B3A" w:rsidRPr="00720AFF">
        <w:t xml:space="preserve">the NABERS Perform platform, </w:t>
      </w:r>
      <w:r w:rsidR="00241303" w:rsidRPr="00720AFF">
        <w:t xml:space="preserve">a cloud platform for </w:t>
      </w:r>
      <w:r w:rsidR="003374FA" w:rsidRPr="00720AFF">
        <w:t xml:space="preserve">conducting NABERS ratings </w:t>
      </w:r>
      <w:r w:rsidR="00685A01" w:rsidRPr="00720AFF">
        <w:t>fast and efficie</w:t>
      </w:r>
      <w:r w:rsidR="00CA7DEB" w:rsidRPr="00720AFF">
        <w:t>n</w:t>
      </w:r>
      <w:r w:rsidR="00685A01" w:rsidRPr="00720AFF">
        <w:t>tly</w:t>
      </w:r>
      <w:r w:rsidRPr="00720AFF">
        <w:t>.</w:t>
      </w:r>
    </w:p>
    <w:p w14:paraId="581A45D1" w14:textId="4334E530" w:rsidR="00AD5012" w:rsidRPr="00720AFF" w:rsidRDefault="00EF3F23" w:rsidP="003E5B4D">
      <w:pPr>
        <w:spacing w:after="120"/>
        <w:jc w:val="both"/>
      </w:pPr>
      <w:r w:rsidRPr="00720AFF">
        <w:t>Tenancy ratings</w:t>
      </w:r>
      <w:r w:rsidR="00AD5012" w:rsidRPr="00720AFF">
        <w:t xml:space="preserve"> will provide </w:t>
      </w:r>
      <w:r w:rsidRPr="00720AFF">
        <w:t>large office tenants</w:t>
      </w:r>
      <w:r w:rsidR="00AD5012" w:rsidRPr="00720AFF">
        <w:t xml:space="preserve"> with information that they can then use to reduce their energy use, emissions and costs. In the first instance, </w:t>
      </w:r>
      <w:r w:rsidR="00915BB4" w:rsidRPr="00720AFF">
        <w:t xml:space="preserve">owners of large office buildings will be required to </w:t>
      </w:r>
      <w:r w:rsidR="00E76E11" w:rsidRPr="00720AFF">
        <w:t xml:space="preserve">offer NABERS </w:t>
      </w:r>
      <w:r w:rsidR="00601EC5" w:rsidRPr="00720AFF">
        <w:t>c</w:t>
      </w:r>
      <w:r w:rsidR="00E76E11" w:rsidRPr="00720AFF">
        <w:t xml:space="preserve">o-assess </w:t>
      </w:r>
      <w:r w:rsidR="00A00F7D" w:rsidRPr="00720AFF">
        <w:t xml:space="preserve">to their </w:t>
      </w:r>
      <w:r w:rsidR="00EA53BB" w:rsidRPr="00720AFF">
        <w:t xml:space="preserve">large </w:t>
      </w:r>
      <w:r w:rsidR="00A00F7D" w:rsidRPr="00720AFF">
        <w:t xml:space="preserve">tenants when they undertake the NABERS </w:t>
      </w:r>
      <w:r w:rsidR="007F4079" w:rsidRPr="00720AFF">
        <w:t>office base</w:t>
      </w:r>
      <w:r w:rsidR="00A00F7D" w:rsidRPr="00720AFF">
        <w:t xml:space="preserve"> bui</w:t>
      </w:r>
      <w:r w:rsidR="00DA38F2" w:rsidRPr="00720AFF">
        <w:t>lding</w:t>
      </w:r>
      <w:r w:rsidR="007F4079" w:rsidRPr="00720AFF">
        <w:t xml:space="preserve"> </w:t>
      </w:r>
      <w:r w:rsidR="00A00F7D" w:rsidRPr="00720AFF">
        <w:t>energy rating on their bui</w:t>
      </w:r>
      <w:r w:rsidR="00DA38F2" w:rsidRPr="00720AFF">
        <w:t xml:space="preserve">lding. </w:t>
      </w:r>
      <w:r w:rsidR="00C173DC" w:rsidRPr="00720AFF">
        <w:t>R</w:t>
      </w:r>
      <w:r w:rsidR="00AD5012" w:rsidRPr="00720AFF">
        <w:t xml:space="preserve">equiring assessments for tenants in </w:t>
      </w:r>
      <w:r w:rsidR="005B045E" w:rsidRPr="00720AFF">
        <w:t xml:space="preserve">large </w:t>
      </w:r>
      <w:r w:rsidR="00AD5012" w:rsidRPr="00720AFF">
        <w:t>office buildings that are already captured by the CBD Program will mean that these tenants will have exposure to NABERS energy ratings from when they originally leased their tenancies, and they will have experienced building owners to work with.</w:t>
      </w:r>
      <w:r w:rsidR="00C173DC" w:rsidRPr="00720AFF">
        <w:t xml:space="preserve"> Using NABERS </w:t>
      </w:r>
      <w:r w:rsidR="00601EC5" w:rsidRPr="00720AFF">
        <w:t>c</w:t>
      </w:r>
      <w:r w:rsidR="00C173DC" w:rsidRPr="00720AFF">
        <w:t xml:space="preserve">o-assess reduces the cost to tenants by having one assessor </w:t>
      </w:r>
      <w:r w:rsidR="003B5506" w:rsidRPr="00720AFF">
        <w:t xml:space="preserve">complete </w:t>
      </w:r>
      <w:r w:rsidR="00C173DC" w:rsidRPr="00720AFF">
        <w:t xml:space="preserve">all the ratings in the building at once. </w:t>
      </w:r>
    </w:p>
    <w:p w14:paraId="22ABD926" w14:textId="43A130AE" w:rsidR="009073E6" w:rsidRPr="00720AFF" w:rsidRDefault="00AD5012" w:rsidP="003E5B4D">
      <w:pPr>
        <w:spacing w:after="120"/>
        <w:jc w:val="both"/>
      </w:pPr>
      <w:r w:rsidRPr="00720AFF">
        <w:t xml:space="preserve">The legal requirement to </w:t>
      </w:r>
      <w:r w:rsidR="003B5506" w:rsidRPr="00720AFF">
        <w:t xml:space="preserve">obtain </w:t>
      </w:r>
      <w:r w:rsidRPr="00720AFF">
        <w:t>and display a tenant rating will rest with the tenant, not the building owner.</w:t>
      </w:r>
      <w:r w:rsidR="00620041" w:rsidRPr="00720AFF">
        <w:t xml:space="preserve"> This means that if a tenant chooses not to be involved in the NABERS </w:t>
      </w:r>
      <w:r w:rsidR="0028357F" w:rsidRPr="00720AFF">
        <w:t>c</w:t>
      </w:r>
      <w:r w:rsidR="00620041" w:rsidRPr="00720AFF">
        <w:t xml:space="preserve">o-assess process when it is offered by their building owner, they will be required to </w:t>
      </w:r>
      <w:r w:rsidR="000F5029" w:rsidRPr="00720AFF">
        <w:t xml:space="preserve">engage </w:t>
      </w:r>
      <w:r w:rsidR="00620041" w:rsidRPr="00720AFF">
        <w:t>an assessor themselves</w:t>
      </w:r>
      <w:r w:rsidR="004F6A57" w:rsidRPr="00720AFF">
        <w:t xml:space="preserve"> and complete a NABERS </w:t>
      </w:r>
      <w:r w:rsidR="00AE6712" w:rsidRPr="00720AFF">
        <w:t>office</w:t>
      </w:r>
      <w:r w:rsidR="004F6A57" w:rsidRPr="00720AFF">
        <w:t xml:space="preserve"> </w:t>
      </w:r>
      <w:r w:rsidR="00627EBB" w:rsidRPr="00720AFF">
        <w:t xml:space="preserve">tenancy energy rating for their </w:t>
      </w:r>
      <w:r w:rsidR="0098141B" w:rsidRPr="00720AFF">
        <w:t xml:space="preserve">individual </w:t>
      </w:r>
      <w:r w:rsidR="00627EBB" w:rsidRPr="00720AFF">
        <w:t>tenancy</w:t>
      </w:r>
      <w:r w:rsidR="00620041" w:rsidRPr="00720AFF">
        <w:t>.</w:t>
      </w:r>
      <w:r w:rsidR="00122D74" w:rsidRPr="00720AFF">
        <w:t xml:space="preserve"> If they do choose to participate in the co-assess process, </w:t>
      </w:r>
      <w:r w:rsidR="00E807FC" w:rsidRPr="00720AFF">
        <w:t xml:space="preserve">tenants will be obligated to </w:t>
      </w:r>
      <w:r w:rsidR="00E0077D" w:rsidRPr="00720AFF">
        <w:t xml:space="preserve">provide </w:t>
      </w:r>
      <w:r w:rsidR="00997423" w:rsidRPr="00720AFF">
        <w:t>physical access to tenanted area</w:t>
      </w:r>
      <w:r w:rsidR="001C19FA" w:rsidRPr="00720AFF">
        <w:t>s and relevant energy data</w:t>
      </w:r>
      <w:r w:rsidR="00867F4B" w:rsidRPr="00720AFF">
        <w:t xml:space="preserve"> to the energy assessor that the building owner has engaged</w:t>
      </w:r>
      <w:r w:rsidR="001C19FA" w:rsidRPr="00720AFF">
        <w:t>.</w:t>
      </w:r>
    </w:p>
    <w:p w14:paraId="4E060E68" w14:textId="3AB7CDB6" w:rsidR="0005575B" w:rsidRPr="00720AFF" w:rsidRDefault="0005575B" w:rsidP="003E5B4D">
      <w:pPr>
        <w:spacing w:after="120"/>
        <w:jc w:val="both"/>
      </w:pPr>
      <w:r w:rsidRPr="00720AFF">
        <w:t>Requiring energy ratings only for tenancies above a threshold (for example, 1000m</w:t>
      </w:r>
      <w:r w:rsidRPr="00720AFF">
        <w:rPr>
          <w:vertAlign w:val="superscript"/>
        </w:rPr>
        <w:t>2</w:t>
      </w:r>
      <w:r w:rsidRPr="00720AFF">
        <w:t>) will ensure that small tenancies will not be captured.</w:t>
      </w:r>
    </w:p>
    <w:p w14:paraId="7B450380" w14:textId="391B8B8B" w:rsidR="009073E6" w:rsidRPr="00720AFF" w:rsidRDefault="00C76054" w:rsidP="003E5B4D">
      <w:pPr>
        <w:pStyle w:val="Heading3"/>
        <w:numPr>
          <w:ilvl w:val="1"/>
          <w:numId w:val="29"/>
        </w:numPr>
        <w:spacing w:after="120"/>
        <w:ind w:left="0" w:firstLine="0"/>
        <w:jc w:val="both"/>
      </w:pPr>
      <w:bookmarkStart w:id="42" w:name="_Toc200017019"/>
      <w:r w:rsidRPr="00720AFF">
        <w:t>Large hotels</w:t>
      </w:r>
      <w:bookmarkEnd w:id="42"/>
    </w:p>
    <w:p w14:paraId="1625D108" w14:textId="7BBE6222" w:rsidR="003333DD" w:rsidRPr="00720AFF" w:rsidRDefault="00ED3DB7" w:rsidP="003E5B4D">
      <w:pPr>
        <w:spacing w:after="120"/>
        <w:jc w:val="both"/>
      </w:pPr>
      <w:r w:rsidRPr="00720AFF">
        <w:t xml:space="preserve">Expanding </w:t>
      </w:r>
      <w:r w:rsidR="008C3CAC" w:rsidRPr="00720AFF">
        <w:t xml:space="preserve">the CBD Program </w:t>
      </w:r>
      <w:r w:rsidRPr="00720AFF">
        <w:t xml:space="preserve">to </w:t>
      </w:r>
      <w:r w:rsidR="000A384B" w:rsidRPr="00720AFF">
        <w:t>l</w:t>
      </w:r>
      <w:r w:rsidRPr="00720AFF">
        <w:t xml:space="preserve">arge </w:t>
      </w:r>
      <w:r w:rsidR="000A384B" w:rsidRPr="00720AFF">
        <w:t>h</w:t>
      </w:r>
      <w:r w:rsidRPr="00720AFF">
        <w:t xml:space="preserve">otels has </w:t>
      </w:r>
      <w:r w:rsidR="00CC15FF" w:rsidRPr="00720AFF">
        <w:t xml:space="preserve">the </w:t>
      </w:r>
      <w:r w:rsidR="00963F0D" w:rsidRPr="00720AFF">
        <w:t xml:space="preserve">potential </w:t>
      </w:r>
      <w:r w:rsidR="00A40652" w:rsidRPr="00720AFF">
        <w:t>t</w:t>
      </w:r>
      <w:r w:rsidR="00963F0D" w:rsidRPr="00720AFF">
        <w:t xml:space="preserve">o </w:t>
      </w:r>
      <w:r w:rsidR="00035F29" w:rsidRPr="00720AFF">
        <w:t>significantly</w:t>
      </w:r>
      <w:r w:rsidR="00D23F6F" w:rsidRPr="00720AFF">
        <w:t xml:space="preserve"> improve their </w:t>
      </w:r>
      <w:r w:rsidR="00A000CB" w:rsidRPr="00720AFF">
        <w:t xml:space="preserve">operational emissions and </w:t>
      </w:r>
      <w:r w:rsidR="000A6073" w:rsidRPr="00720AFF">
        <w:t xml:space="preserve">energy use. </w:t>
      </w:r>
      <w:r w:rsidR="00654A27" w:rsidRPr="00720AFF">
        <w:t>For this building type, mandatory d</w:t>
      </w:r>
      <w:r w:rsidR="00C94CDA" w:rsidRPr="00720AFF">
        <w:t xml:space="preserve">isclosure </w:t>
      </w:r>
      <w:r w:rsidR="00B838C6" w:rsidRPr="00720AFF">
        <w:t>is</w:t>
      </w:r>
      <w:r w:rsidR="00DC7EB3" w:rsidRPr="00720AFF">
        <w:t xml:space="preserve"> expected to be</w:t>
      </w:r>
      <w:r w:rsidR="00C94CDA" w:rsidRPr="00720AFF">
        <w:t xml:space="preserve"> an effective </w:t>
      </w:r>
      <w:r w:rsidR="00F758C3" w:rsidRPr="00720AFF">
        <w:t xml:space="preserve">way to </w:t>
      </w:r>
      <w:r w:rsidR="0021345F" w:rsidRPr="00720AFF">
        <w:t>correct</w:t>
      </w:r>
      <w:r w:rsidR="00C0133C" w:rsidRPr="00720AFF">
        <w:t xml:space="preserve"> information failures</w:t>
      </w:r>
      <w:r w:rsidR="00060A88" w:rsidRPr="00720AFF">
        <w:t xml:space="preserve"> </w:t>
      </w:r>
      <w:r w:rsidR="007E4AAF" w:rsidRPr="00720AFF">
        <w:t>around the energy per</w:t>
      </w:r>
      <w:r w:rsidR="00822D20" w:rsidRPr="00720AFF">
        <w:t xml:space="preserve">formance of hotels </w:t>
      </w:r>
      <w:r w:rsidR="00060A88" w:rsidRPr="00720AFF">
        <w:t>and</w:t>
      </w:r>
      <w:r w:rsidR="0021345F" w:rsidRPr="00720AFF">
        <w:t xml:space="preserve"> </w:t>
      </w:r>
      <w:r w:rsidR="003F5803" w:rsidRPr="00720AFF">
        <w:t xml:space="preserve">encourage </w:t>
      </w:r>
      <w:r w:rsidR="00690E6A" w:rsidRPr="00720AFF">
        <w:t>behavioural</w:t>
      </w:r>
      <w:r w:rsidR="003F5803" w:rsidRPr="00720AFF">
        <w:t xml:space="preserve"> change</w:t>
      </w:r>
      <w:r w:rsidR="00527282" w:rsidRPr="00720AFF">
        <w:t xml:space="preserve"> in </w:t>
      </w:r>
      <w:r w:rsidR="00882961" w:rsidRPr="00720AFF">
        <w:t xml:space="preserve">hotel owners and </w:t>
      </w:r>
      <w:r w:rsidR="00287C91" w:rsidRPr="00720AFF">
        <w:t>operators</w:t>
      </w:r>
      <w:r w:rsidR="00882961" w:rsidRPr="00720AFF">
        <w:t>.</w:t>
      </w:r>
      <w:r w:rsidR="003A7C41" w:rsidRPr="00720AFF">
        <w:t xml:space="preserve"> </w:t>
      </w:r>
    </w:p>
    <w:p w14:paraId="0AA8248B" w14:textId="2362F1BD" w:rsidR="00D96E97" w:rsidRPr="00720AFF" w:rsidRDefault="00D96E97" w:rsidP="003E5B4D">
      <w:pPr>
        <w:spacing w:after="120"/>
        <w:jc w:val="both"/>
      </w:pPr>
      <w:r w:rsidRPr="00720AFF">
        <w:t xml:space="preserve">The NABERS hotel energy rating </w:t>
      </w:r>
      <w:r w:rsidR="00FC08D3" w:rsidRPr="00720AFF">
        <w:t>is a fit for purpose tool that has been in operation since 2009.</w:t>
      </w:r>
      <w:r w:rsidR="00CC11BA" w:rsidRPr="00720AFF">
        <w:t xml:space="preserve"> </w:t>
      </w:r>
      <w:r w:rsidR="00E56A05" w:rsidRPr="00720AFF">
        <w:t xml:space="preserve">The </w:t>
      </w:r>
      <w:r w:rsidRPr="00720AFF">
        <w:t xml:space="preserve">benchmarks used for the tool have been developed using real Australian </w:t>
      </w:r>
      <w:r w:rsidR="004E0B81" w:rsidRPr="00720AFF">
        <w:t>h</w:t>
      </w:r>
      <w:r w:rsidRPr="00720AFF">
        <w:t>otels data</w:t>
      </w:r>
      <w:r w:rsidR="004E0B81" w:rsidRPr="00720AFF">
        <w:t xml:space="preserve"> </w:t>
      </w:r>
      <w:r w:rsidRPr="00720AFF">
        <w:t xml:space="preserve">and the tool itself has been developed and recently reviewed with in depth industry consultation and involvement.  </w:t>
      </w:r>
    </w:p>
    <w:p w14:paraId="7A495409" w14:textId="6A77C7B0" w:rsidR="001172EA" w:rsidRPr="00720AFF" w:rsidRDefault="00CC755E" w:rsidP="003E5B4D">
      <w:pPr>
        <w:spacing w:after="120"/>
        <w:jc w:val="both"/>
      </w:pPr>
      <w:r w:rsidRPr="00720AFF">
        <w:t xml:space="preserve">There is a growing demand from </w:t>
      </w:r>
      <w:r w:rsidR="00601958" w:rsidRPr="00720AFF">
        <w:t xml:space="preserve">governments and </w:t>
      </w:r>
      <w:r w:rsidR="00E817CD" w:rsidRPr="00720AFF">
        <w:t xml:space="preserve">larger corporates, </w:t>
      </w:r>
      <w:r w:rsidR="003435F5" w:rsidRPr="00720AFF">
        <w:t xml:space="preserve">and to a lesser extent personal travellers, for </w:t>
      </w:r>
      <w:r w:rsidR="002E764E" w:rsidRPr="00720AFF">
        <w:t xml:space="preserve">trusted information about the energy performance of </w:t>
      </w:r>
      <w:r w:rsidR="00B832E6" w:rsidRPr="00720AFF">
        <w:t>hotels</w:t>
      </w:r>
      <w:r w:rsidR="00D86212" w:rsidRPr="00720AFF">
        <w:t xml:space="preserve">. </w:t>
      </w:r>
      <w:r w:rsidR="00AD5066" w:rsidRPr="00720AFF">
        <w:t xml:space="preserve">Many government and </w:t>
      </w:r>
      <w:r w:rsidR="00AD5066" w:rsidRPr="00720AFF">
        <w:lastRenderedPageBreak/>
        <w:t xml:space="preserve">corporate travellers </w:t>
      </w:r>
      <w:r w:rsidR="003927F2" w:rsidRPr="00720AFF">
        <w:t xml:space="preserve">are increasingly required to </w:t>
      </w:r>
      <w:r w:rsidR="00C650EF" w:rsidRPr="00720AFF">
        <w:t>book accommodation in line with sustainable procurement policies</w:t>
      </w:r>
      <w:r w:rsidR="006512DE" w:rsidRPr="00720AFF">
        <w:t>.</w:t>
      </w:r>
      <w:r w:rsidR="00C84FDD" w:rsidRPr="00720AFF">
        <w:rPr>
          <w:rStyle w:val="FootnoteReference"/>
        </w:rPr>
        <w:footnoteReference w:id="22"/>
      </w:r>
    </w:p>
    <w:p w14:paraId="3B7D47E0" w14:textId="1D87E547" w:rsidR="002E4670" w:rsidRPr="00720AFF" w:rsidRDefault="00B87D58" w:rsidP="003E5B4D">
      <w:pPr>
        <w:spacing w:after="120"/>
        <w:jc w:val="both"/>
      </w:pPr>
      <w:r w:rsidRPr="00720AFF">
        <w:t xml:space="preserve">Requiring </w:t>
      </w:r>
      <w:r w:rsidR="00C76EF2" w:rsidRPr="00720AFF">
        <w:t xml:space="preserve">large hotel owners to </w:t>
      </w:r>
      <w:r w:rsidR="00D635E1" w:rsidRPr="00720AFF">
        <w:t xml:space="preserve">obtain and disclose </w:t>
      </w:r>
      <w:r w:rsidR="00065C71">
        <w:t>energy ratings</w:t>
      </w:r>
    </w:p>
    <w:p w14:paraId="71D27AFB" w14:textId="4870F717" w:rsidR="002E4670" w:rsidRPr="00720AFF" w:rsidRDefault="00D96E97" w:rsidP="002E4670">
      <w:pPr>
        <w:pStyle w:val="ListParagraph"/>
        <w:numPr>
          <w:ilvl w:val="0"/>
          <w:numId w:val="39"/>
        </w:numPr>
        <w:spacing w:after="120"/>
        <w:jc w:val="both"/>
      </w:pPr>
      <w:r w:rsidRPr="00720AFF">
        <w:t xml:space="preserve">will </w:t>
      </w:r>
      <w:r w:rsidR="00F5193E" w:rsidRPr="00720AFF">
        <w:t>enable</w:t>
      </w:r>
      <w:r w:rsidRPr="00720AFF">
        <w:t xml:space="preserve"> all interested parties to easily identify </w:t>
      </w:r>
      <w:r w:rsidR="008878D6" w:rsidRPr="00720AFF">
        <w:t xml:space="preserve">a hotel’s energy </w:t>
      </w:r>
      <w:r w:rsidRPr="00720AFF">
        <w:t>performance when compared with other similar hotels</w:t>
      </w:r>
    </w:p>
    <w:p w14:paraId="6C437019" w14:textId="7230720E" w:rsidR="002E4670" w:rsidRPr="00720AFF" w:rsidRDefault="00D96E97" w:rsidP="002E4670">
      <w:pPr>
        <w:pStyle w:val="ListParagraph"/>
        <w:numPr>
          <w:ilvl w:val="0"/>
          <w:numId w:val="39"/>
        </w:numPr>
        <w:spacing w:after="120"/>
        <w:jc w:val="both"/>
      </w:pPr>
      <w:r w:rsidRPr="00720AFF">
        <w:t>allow asset owners and operators to improve the</w:t>
      </w:r>
      <w:r w:rsidR="00497E94" w:rsidRPr="00720AFF">
        <w:t xml:space="preserve"> energy</w:t>
      </w:r>
      <w:r w:rsidRPr="00720AFF">
        <w:t xml:space="preserve"> </w:t>
      </w:r>
      <w:r w:rsidR="00497E94" w:rsidRPr="00720AFF">
        <w:t>performance</w:t>
      </w:r>
      <w:r w:rsidRPr="00720AFF">
        <w:t xml:space="preserve"> of their hotels </w:t>
      </w:r>
    </w:p>
    <w:p w14:paraId="24A92039" w14:textId="216B1675" w:rsidR="002E4670" w:rsidRPr="00720AFF" w:rsidRDefault="00144271" w:rsidP="002E4670">
      <w:pPr>
        <w:pStyle w:val="ListParagraph"/>
        <w:numPr>
          <w:ilvl w:val="0"/>
          <w:numId w:val="39"/>
        </w:numPr>
        <w:spacing w:after="120"/>
        <w:jc w:val="both"/>
      </w:pPr>
      <w:r w:rsidRPr="00720AFF">
        <w:t xml:space="preserve">maximise the effectiveness of </w:t>
      </w:r>
      <w:r w:rsidR="00D96E97" w:rsidRPr="00720AFF">
        <w:t xml:space="preserve">government and private travel </w:t>
      </w:r>
      <w:r w:rsidR="00455CF6" w:rsidRPr="00720AFF">
        <w:t xml:space="preserve">sustainable </w:t>
      </w:r>
      <w:r w:rsidR="00D96E97" w:rsidRPr="00720AFF">
        <w:t xml:space="preserve">procurement policies </w:t>
      </w:r>
    </w:p>
    <w:p w14:paraId="60C1BEE5" w14:textId="47947068" w:rsidR="00D96E97" w:rsidRPr="00720AFF" w:rsidRDefault="006343E3" w:rsidP="002E4670">
      <w:pPr>
        <w:pStyle w:val="ListParagraph"/>
        <w:numPr>
          <w:ilvl w:val="0"/>
          <w:numId w:val="39"/>
        </w:numPr>
        <w:spacing w:after="120"/>
        <w:jc w:val="both"/>
      </w:pPr>
      <w:r w:rsidRPr="00720AFF">
        <w:t xml:space="preserve">enable </w:t>
      </w:r>
      <w:r w:rsidR="00D96E97" w:rsidRPr="00720AFF">
        <w:t xml:space="preserve">individuals to make an informed decision when considering the environmental impact of their stay. </w:t>
      </w:r>
    </w:p>
    <w:p w14:paraId="0D1997D7" w14:textId="5CAC0EA3" w:rsidR="001C06E0" w:rsidRPr="00720AFF" w:rsidRDefault="009A4E88" w:rsidP="003E5B4D">
      <w:pPr>
        <w:spacing w:after="120"/>
        <w:jc w:val="both"/>
      </w:pPr>
      <w:r w:rsidRPr="00720AFF">
        <w:t xml:space="preserve">Large hotels </w:t>
      </w:r>
      <w:r w:rsidR="00115628" w:rsidRPr="00720AFF">
        <w:t xml:space="preserve">utilise similar heating and cooling </w:t>
      </w:r>
      <w:r w:rsidR="00B67F17" w:rsidRPr="00720AFF">
        <w:t xml:space="preserve">systems and have similar requirements for comfort as </w:t>
      </w:r>
      <w:r w:rsidR="00351878" w:rsidRPr="00720AFF">
        <w:t xml:space="preserve">large </w:t>
      </w:r>
      <w:r w:rsidR="00BD7C53" w:rsidRPr="00720AFF">
        <w:t>office</w:t>
      </w:r>
      <w:r w:rsidR="00351878" w:rsidRPr="00720AFF">
        <w:t xml:space="preserve"> buildings. </w:t>
      </w:r>
      <w:r w:rsidR="00F30A1B" w:rsidRPr="00720AFF">
        <w:t xml:space="preserve">However, they do have </w:t>
      </w:r>
      <w:r w:rsidR="007B1870">
        <w:t>important</w:t>
      </w:r>
      <w:r w:rsidR="00F30A1B" w:rsidRPr="00720AFF">
        <w:t xml:space="preserve"> differences such as </w:t>
      </w:r>
      <w:proofErr w:type="gramStart"/>
      <w:r w:rsidR="00F30A1B" w:rsidRPr="00720AFF">
        <w:t>24 hour</w:t>
      </w:r>
      <w:proofErr w:type="gramEnd"/>
      <w:r w:rsidR="00F30A1B" w:rsidRPr="00720AFF">
        <w:t xml:space="preserve"> operation and significant hot water requirements. </w:t>
      </w:r>
      <w:r w:rsidR="001E2A05" w:rsidRPr="00720AFF">
        <w:t xml:space="preserve">It is expected that introducing requirements for </w:t>
      </w:r>
      <w:r w:rsidR="004D5D9E" w:rsidRPr="00720AFF">
        <w:t xml:space="preserve">owners to obtain and disclose </w:t>
      </w:r>
      <w:r w:rsidR="00DA4FAB" w:rsidRPr="00720AFF">
        <w:t>energy rating</w:t>
      </w:r>
      <w:r w:rsidR="00583B81">
        <w:t>s</w:t>
      </w:r>
      <w:r w:rsidR="00DA4FAB" w:rsidRPr="00720AFF">
        <w:t xml:space="preserve"> </w:t>
      </w:r>
      <w:r w:rsidR="001E2A05" w:rsidRPr="00720AFF">
        <w:t xml:space="preserve">will </w:t>
      </w:r>
      <w:r w:rsidR="0093536A" w:rsidRPr="00720AFF">
        <w:t xml:space="preserve">spark a similar </w:t>
      </w:r>
      <w:r w:rsidR="008C2E73" w:rsidRPr="00720AFF">
        <w:t xml:space="preserve">drive </w:t>
      </w:r>
      <w:r w:rsidR="004C2FE0" w:rsidRPr="00720AFF">
        <w:t xml:space="preserve">to improve energy </w:t>
      </w:r>
      <w:r w:rsidR="001A2073" w:rsidRPr="00720AFF">
        <w:t>performance</w:t>
      </w:r>
      <w:r w:rsidR="007E6793" w:rsidRPr="00720AFF">
        <w:t xml:space="preserve"> </w:t>
      </w:r>
      <w:r w:rsidR="00492CD8" w:rsidRPr="00720AFF">
        <w:t xml:space="preserve">to reduce operational costs but also </w:t>
      </w:r>
      <w:r w:rsidR="00E25702" w:rsidRPr="00720AFF">
        <w:t xml:space="preserve">to </w:t>
      </w:r>
      <w:r w:rsidR="00BC58EA" w:rsidRPr="00720AFF">
        <w:t>attract other benefits in relation to sustainable finance</w:t>
      </w:r>
      <w:r w:rsidR="00E131B9" w:rsidRPr="00720AFF">
        <w:t xml:space="preserve"> and investment. </w:t>
      </w:r>
    </w:p>
    <w:p w14:paraId="79C2F493" w14:textId="7C691788" w:rsidR="002B4486" w:rsidRPr="00720AFF" w:rsidRDefault="00197903" w:rsidP="003E5B4D">
      <w:pPr>
        <w:spacing w:after="120"/>
        <w:jc w:val="both"/>
      </w:pPr>
      <w:r w:rsidRPr="00720AFF">
        <w:t>Disclosure of</w:t>
      </w:r>
      <w:r w:rsidR="00293A30" w:rsidRPr="00720AFF">
        <w:t xml:space="preserve"> </w:t>
      </w:r>
      <w:r w:rsidR="00634812" w:rsidRPr="00720AFF">
        <w:t>operational</w:t>
      </w:r>
      <w:r w:rsidR="00293A30" w:rsidRPr="00720AFF">
        <w:t xml:space="preserve"> emissions and energy</w:t>
      </w:r>
      <w:r w:rsidR="00634812" w:rsidRPr="00720AFF">
        <w:t xml:space="preserve"> </w:t>
      </w:r>
      <w:r w:rsidR="00F74348" w:rsidRPr="00720AFF">
        <w:t xml:space="preserve">utilising the NABERS </w:t>
      </w:r>
      <w:r w:rsidR="003E0844" w:rsidRPr="00720AFF">
        <w:t>hotel energy rating</w:t>
      </w:r>
      <w:r w:rsidR="00F74348" w:rsidRPr="00720AFF">
        <w:t xml:space="preserve">, has been </w:t>
      </w:r>
      <w:r w:rsidR="00A13BBB" w:rsidRPr="00720AFF">
        <w:t xml:space="preserve">previously </w:t>
      </w:r>
      <w:r w:rsidR="00F74348" w:rsidRPr="00720AFF">
        <w:t xml:space="preserve">assessed as being a </w:t>
      </w:r>
      <w:r w:rsidR="00A454CE" w:rsidRPr="00720AFF">
        <w:t>cost-effective</w:t>
      </w:r>
      <w:r w:rsidR="00F74348" w:rsidRPr="00720AFF">
        <w:t xml:space="preserve"> </w:t>
      </w:r>
      <w:r w:rsidR="00E94CE0" w:rsidRPr="00720AFF">
        <w:t>measure which</w:t>
      </w:r>
      <w:r w:rsidR="002238FF" w:rsidRPr="00720AFF">
        <w:t xml:space="preserve"> would </w:t>
      </w:r>
      <w:r w:rsidR="00D75431" w:rsidRPr="00720AFF">
        <w:t xml:space="preserve">have a </w:t>
      </w:r>
      <w:r w:rsidR="00C237AF" w:rsidRPr="00720AFF">
        <w:t xml:space="preserve">financial </w:t>
      </w:r>
      <w:r w:rsidR="00D75431" w:rsidRPr="00720AFF">
        <w:t xml:space="preserve">net </w:t>
      </w:r>
      <w:r w:rsidR="00DE736A" w:rsidRPr="00720AFF">
        <w:t>benefit</w:t>
      </w:r>
      <w:r w:rsidR="00C237AF" w:rsidRPr="00720AFF">
        <w:t xml:space="preserve"> to the nation</w:t>
      </w:r>
      <w:r w:rsidR="00592DFA" w:rsidRPr="00720AFF">
        <w:t xml:space="preserve"> through </w:t>
      </w:r>
      <w:r w:rsidR="00A2500E" w:rsidRPr="00720AFF">
        <w:t>a reduction in emissions and</w:t>
      </w:r>
      <w:r w:rsidR="00DE736A" w:rsidRPr="00720AFF">
        <w:t xml:space="preserve"> </w:t>
      </w:r>
      <w:r w:rsidR="008360DD" w:rsidRPr="00720AFF">
        <w:t>achieve a positive return to owners</w:t>
      </w:r>
      <w:r w:rsidR="00A2500E" w:rsidRPr="00720AFF">
        <w:t xml:space="preserve"> and </w:t>
      </w:r>
      <w:r w:rsidR="008360DD" w:rsidRPr="00720AFF">
        <w:t xml:space="preserve">operators through </w:t>
      </w:r>
      <w:r w:rsidR="00CF466C" w:rsidRPr="00720AFF">
        <w:t>lower energy bills.</w:t>
      </w:r>
      <w:r w:rsidR="00C32EF7" w:rsidRPr="00720AFF">
        <w:rPr>
          <w:rStyle w:val="FootnoteReference"/>
        </w:rPr>
        <w:footnoteReference w:id="23"/>
      </w:r>
      <w:r w:rsidR="00CF466C" w:rsidRPr="00720AFF">
        <w:t xml:space="preserve"> </w:t>
      </w:r>
    </w:p>
    <w:p w14:paraId="7EEC80F7" w14:textId="04AA70D0" w:rsidR="006170A8" w:rsidRPr="00720AFF" w:rsidRDefault="00813EA7" w:rsidP="003E5B4D">
      <w:pPr>
        <w:spacing w:after="120"/>
        <w:jc w:val="both"/>
      </w:pPr>
      <w:r w:rsidRPr="00720AFF">
        <w:t xml:space="preserve">While </w:t>
      </w:r>
      <w:r w:rsidR="00CF756C" w:rsidRPr="00720AFF">
        <w:t xml:space="preserve">specific policy </w:t>
      </w:r>
      <w:r w:rsidR="00B65987" w:rsidRPr="00720AFF">
        <w:t xml:space="preserve">parameters will be finalised following further policy impact analysis, it is expected that </w:t>
      </w:r>
      <w:r w:rsidR="002B723A" w:rsidRPr="00720AFF">
        <w:t xml:space="preserve">larger hotels </w:t>
      </w:r>
      <w:r w:rsidR="003F13E1" w:rsidRPr="00720AFF">
        <w:t>(</w:t>
      </w:r>
      <w:r w:rsidR="00B70CC8">
        <w:t>for example</w:t>
      </w:r>
      <w:r w:rsidR="007B1870">
        <w:t>,</w:t>
      </w:r>
      <w:r w:rsidR="00B70CC8">
        <w:t xml:space="preserve"> </w:t>
      </w:r>
      <w:r w:rsidR="005B54E2" w:rsidRPr="00720AFF">
        <w:t>over 100 rooms</w:t>
      </w:r>
      <w:r w:rsidR="00A57798" w:rsidRPr="00720AFF">
        <w:t xml:space="preserve">) </w:t>
      </w:r>
      <w:r w:rsidR="002B723A" w:rsidRPr="00720AFF">
        <w:t xml:space="preserve">will be subject to CBD requirements first. </w:t>
      </w:r>
      <w:r w:rsidR="006F2576" w:rsidRPr="00720AFF">
        <w:t xml:space="preserve">NABERS ratings </w:t>
      </w:r>
      <w:r w:rsidR="00ED3560" w:rsidRPr="00720AFF">
        <w:t xml:space="preserve">would be </w:t>
      </w:r>
      <w:r w:rsidR="00504D67" w:rsidRPr="00720AFF">
        <w:t xml:space="preserve">required periodically, in line with the new </w:t>
      </w:r>
      <w:r w:rsidR="00DA4357" w:rsidRPr="00720AFF">
        <w:t xml:space="preserve">legislative </w:t>
      </w:r>
      <w:r w:rsidR="00CE2FAD" w:rsidRPr="00720AFF">
        <w:t xml:space="preserve">framework </w:t>
      </w:r>
      <w:r w:rsidR="00504D67" w:rsidRPr="00720AFF">
        <w:t>(</w:t>
      </w:r>
      <w:r w:rsidR="00CE2FAD" w:rsidRPr="00720AFF">
        <w:t xml:space="preserve">for </w:t>
      </w:r>
      <w:r w:rsidR="00504D67" w:rsidRPr="00720AFF">
        <w:t>example, once every two years)</w:t>
      </w:r>
      <w:r w:rsidR="0002060D" w:rsidRPr="00720AFF">
        <w:t xml:space="preserve"> and</w:t>
      </w:r>
      <w:r w:rsidR="00834000" w:rsidRPr="00720AFF">
        <w:t xml:space="preserve"> the </w:t>
      </w:r>
      <w:r w:rsidR="006B7C99" w:rsidRPr="00720AFF">
        <w:t xml:space="preserve">NABERS </w:t>
      </w:r>
      <w:r w:rsidR="00851A27" w:rsidRPr="00720AFF">
        <w:t>hotel energy rating</w:t>
      </w:r>
      <w:r w:rsidR="001E7B9F" w:rsidRPr="00720AFF">
        <w:t xml:space="preserve">, along with the REI, </w:t>
      </w:r>
      <w:r w:rsidR="00BB6964" w:rsidRPr="00720AFF">
        <w:t>could be</w:t>
      </w:r>
      <w:r w:rsidR="00363C01" w:rsidRPr="00720AFF">
        <w:t xml:space="preserve"> required </w:t>
      </w:r>
      <w:r w:rsidR="00E97C04" w:rsidRPr="00720AFF">
        <w:t xml:space="preserve">to be </w:t>
      </w:r>
      <w:proofErr w:type="gramStart"/>
      <w:r w:rsidR="00E97C04" w:rsidRPr="00720AFF">
        <w:t xml:space="preserve">disclosed </w:t>
      </w:r>
      <w:r w:rsidR="008F7B2F" w:rsidRPr="00720AFF">
        <w:t>at all time</w:t>
      </w:r>
      <w:r w:rsidR="006170A8" w:rsidRPr="00720AFF">
        <w:t>s</w:t>
      </w:r>
      <w:proofErr w:type="gramEnd"/>
      <w:r w:rsidR="00B4714C" w:rsidRPr="00720AFF">
        <w:t xml:space="preserve"> </w:t>
      </w:r>
      <w:r w:rsidR="00E97C04" w:rsidRPr="00720AFF">
        <w:t xml:space="preserve">on the </w:t>
      </w:r>
      <w:r w:rsidR="00803AA1" w:rsidRPr="00720AFF">
        <w:t>hotel’s</w:t>
      </w:r>
      <w:r w:rsidR="00E97C04" w:rsidRPr="00720AFF">
        <w:t xml:space="preserve"> website </w:t>
      </w:r>
      <w:r w:rsidR="00AF21BA" w:rsidRPr="00720AFF">
        <w:t>and on</w:t>
      </w:r>
      <w:r w:rsidR="00E97C04" w:rsidRPr="00720AFF">
        <w:t xml:space="preserve"> the</w:t>
      </w:r>
      <w:r w:rsidR="005736DC" w:rsidRPr="00720AFF">
        <w:t xml:space="preserve"> </w:t>
      </w:r>
      <w:proofErr w:type="gramStart"/>
      <w:r w:rsidR="005736DC" w:rsidRPr="00720AFF">
        <w:t>hotel</w:t>
      </w:r>
      <w:r w:rsidR="00FD3948" w:rsidRPr="00720AFF">
        <w:t>’</w:t>
      </w:r>
      <w:r w:rsidR="005736DC" w:rsidRPr="00720AFF">
        <w:t>s</w:t>
      </w:r>
      <w:proofErr w:type="gramEnd"/>
      <w:r w:rsidR="00E97C04" w:rsidRPr="00720AFF">
        <w:t xml:space="preserve"> room booking pages</w:t>
      </w:r>
      <w:r w:rsidR="00C30F19" w:rsidRPr="00720AFF">
        <w:t xml:space="preserve">. </w:t>
      </w:r>
    </w:p>
    <w:p w14:paraId="7AD29914" w14:textId="093D42A8" w:rsidR="006A51FC" w:rsidRPr="00720AFF" w:rsidRDefault="00C30F19" w:rsidP="003E5B4D">
      <w:pPr>
        <w:spacing w:after="120"/>
        <w:jc w:val="both"/>
      </w:pPr>
      <w:r w:rsidRPr="00720AFF">
        <w:t>Furthermore</w:t>
      </w:r>
      <w:r w:rsidR="00B074F0" w:rsidRPr="00720AFF">
        <w:t>,</w:t>
      </w:r>
      <w:r w:rsidRPr="00720AFF">
        <w:t xml:space="preserve"> </w:t>
      </w:r>
      <w:r w:rsidR="00162633" w:rsidRPr="00720AFF">
        <w:t xml:space="preserve">disclosure of the </w:t>
      </w:r>
      <w:r w:rsidR="002C42BD" w:rsidRPr="00720AFF">
        <w:t>rating and other relevant data points</w:t>
      </w:r>
      <w:r w:rsidR="007279AE" w:rsidRPr="00720AFF">
        <w:t xml:space="preserve"> would be </w:t>
      </w:r>
      <w:r w:rsidR="00FD3948" w:rsidRPr="00720AFF">
        <w:t>required on</w:t>
      </w:r>
      <w:r w:rsidR="00A641A1" w:rsidRPr="00720AFF">
        <w:t xml:space="preserve"> </w:t>
      </w:r>
      <w:r w:rsidR="00196D7A" w:rsidRPr="00720AFF">
        <w:t>the online government register</w:t>
      </w:r>
      <w:r w:rsidR="00DB6FAA" w:rsidRPr="00720AFF">
        <w:t xml:space="preserve"> (see section 3.4)</w:t>
      </w:r>
      <w:r w:rsidR="005F6AAC" w:rsidRPr="00720AFF">
        <w:t xml:space="preserve">. </w:t>
      </w:r>
      <w:r w:rsidR="00053619" w:rsidRPr="00720AFF">
        <w:t xml:space="preserve"> </w:t>
      </w:r>
    </w:p>
    <w:p w14:paraId="4FD56035" w14:textId="58AEBA46" w:rsidR="000A47A1" w:rsidRDefault="000A47A1" w:rsidP="003E5B4D">
      <w:pPr>
        <w:spacing w:after="120"/>
        <w:jc w:val="both"/>
      </w:pPr>
      <w:r w:rsidRPr="00720AFF">
        <w:t xml:space="preserve">The issue of heritage hotel buildings was raised during consultation. </w:t>
      </w:r>
      <w:r w:rsidR="00E9012A" w:rsidRPr="00720AFF">
        <w:t xml:space="preserve">Work will be undertaken </w:t>
      </w:r>
      <w:r w:rsidR="009A72FF" w:rsidRPr="00720AFF">
        <w:t>to examine the suitability of disclosure as a mechanism to improve the energy efficiency of these buildings. The BEED Act</w:t>
      </w:r>
      <w:r w:rsidRPr="00720AFF">
        <w:t xml:space="preserve"> </w:t>
      </w:r>
      <w:r w:rsidR="009A72FF" w:rsidRPr="00720AFF">
        <w:t xml:space="preserve">is designed to </w:t>
      </w:r>
      <w:r w:rsidR="00E3193F" w:rsidRPr="00720AFF">
        <w:t>provide</w:t>
      </w:r>
      <w:r w:rsidR="009A72FF" w:rsidRPr="00720AFF">
        <w:t xml:space="preserve"> flexibility</w:t>
      </w:r>
      <w:r w:rsidR="00CE6D90" w:rsidRPr="00720AFF">
        <w:t xml:space="preserve"> around which buildings disclosure will </w:t>
      </w:r>
      <w:r w:rsidR="001B364B" w:rsidRPr="00720AFF">
        <w:t>apply to.</w:t>
      </w:r>
      <w:r w:rsidR="00E33DE3" w:rsidRPr="00720AFF">
        <w:t xml:space="preserve"> If certain buildings</w:t>
      </w:r>
      <w:r w:rsidR="00CF086A" w:rsidRPr="00720AFF">
        <w:t xml:space="preserve"> are unable to respond to disclosure </w:t>
      </w:r>
      <w:r w:rsidR="00B71C7A" w:rsidRPr="00720AFF">
        <w:t>to help meet the objects of the Act, an exemption category may be required.</w:t>
      </w:r>
      <w:r w:rsidR="00F56F9A" w:rsidRPr="00720AFF">
        <w:t xml:space="preserve"> Work will also be undertaken with local, state and territory governments to ensure that the </w:t>
      </w:r>
      <w:r w:rsidR="007B7237" w:rsidRPr="00720AFF">
        <w:t xml:space="preserve">regulations placed on these buildings are compatible </w:t>
      </w:r>
      <w:r w:rsidR="00370B2A" w:rsidRPr="00720AFF">
        <w:t>and not contradictory with respect to energy efficiency improvements.</w:t>
      </w:r>
    </w:p>
    <w:p w14:paraId="40246F02" w14:textId="77777777" w:rsidR="00E06B3B" w:rsidRPr="00720AFF" w:rsidRDefault="00E06B3B" w:rsidP="00E06B3B">
      <w:pPr>
        <w:pStyle w:val="Heading3"/>
        <w:numPr>
          <w:ilvl w:val="1"/>
          <w:numId w:val="29"/>
        </w:numPr>
        <w:spacing w:after="120"/>
        <w:ind w:left="0" w:hanging="11"/>
        <w:jc w:val="both"/>
      </w:pPr>
      <w:bookmarkStart w:id="43" w:name="_Ref190176602"/>
      <w:bookmarkStart w:id="44" w:name="_Toc200017020"/>
      <w:r w:rsidRPr="00720AFF">
        <w:t>Mixed use office buildings</w:t>
      </w:r>
      <w:bookmarkEnd w:id="43"/>
      <w:bookmarkEnd w:id="44"/>
    </w:p>
    <w:p w14:paraId="50C38913" w14:textId="77777777" w:rsidR="00E06B3B" w:rsidRPr="00720AFF" w:rsidRDefault="00E06B3B" w:rsidP="00E06B3B">
      <w:pPr>
        <w:spacing w:after="120"/>
        <w:jc w:val="both"/>
      </w:pPr>
      <w:r w:rsidRPr="00720AFF">
        <w:t>Since the Act was introduced in 2010, the CBD Program has not included office buildings containing less than 75% office space by net lettable area.</w:t>
      </w:r>
    </w:p>
    <w:p w14:paraId="786E8693" w14:textId="77777777" w:rsidR="00E06B3B" w:rsidRPr="00720AFF" w:rsidRDefault="00E06B3B" w:rsidP="00E06B3B">
      <w:pPr>
        <w:spacing w:after="120"/>
        <w:jc w:val="both"/>
      </w:pPr>
      <w:r w:rsidRPr="00720AFF">
        <w:t>NABERS regularly provides voluntary energy ratings for mixed use buildings, including buildings where the office space is less than 75%. All NABERS rules specify when and how a rating can be obtained for mixed use buildings.</w:t>
      </w:r>
    </w:p>
    <w:p w14:paraId="432DAC17" w14:textId="77777777" w:rsidR="00E06B3B" w:rsidRPr="00720AFF" w:rsidRDefault="00E06B3B" w:rsidP="00E06B3B">
      <w:pPr>
        <w:spacing w:after="120"/>
        <w:jc w:val="both"/>
      </w:pPr>
      <w:r w:rsidRPr="00720AFF">
        <w:lastRenderedPageBreak/>
        <w:t xml:space="preserve">There is no compelling reason why larger buildings that contain between 50% and 75% office space should be exempt from disclosure requirements. The original policy intent for excluding mixed use buildings was driven by the practicalities of splitting the office energy consumption from other non-office functions, with the complexity and cost of NABERS compliant electricity and gas metering and sub-metering systems flagged as a major issue. Metering technology has since improved, and costs have reduced. Broader metering and sub-metering requirements for new commercial buildings and refurbishments have also come into effect under the National Construction Code (NCC), meaning more </w:t>
      </w:r>
      <w:proofErr w:type="gramStart"/>
      <w:r w:rsidRPr="00720AFF">
        <w:t>mixed use</w:t>
      </w:r>
      <w:proofErr w:type="gramEnd"/>
      <w:r w:rsidRPr="00720AFF">
        <w:t xml:space="preserve"> facilities have the required metering to accurately split end use energy consumption for NABERS energy ratings.</w:t>
      </w:r>
    </w:p>
    <w:p w14:paraId="4A2FBD68" w14:textId="77777777" w:rsidR="00E06B3B" w:rsidRPr="00720AFF" w:rsidRDefault="00E06B3B" w:rsidP="00E06B3B">
      <w:pPr>
        <w:spacing w:after="120"/>
        <w:jc w:val="both"/>
      </w:pPr>
      <w:r w:rsidRPr="00720AFF">
        <w:t>Applying the roadmap principles in section 2.2, there is a mature and well refined energy rating tool for larger office buildings that contain between 50% and 75% office space. There is robust data from the existing CBD Program to demonstrate that office buildings captured by the CBD Program make energy performance improvements faster than those not captured. While the number of larger buildings that contain between 50% and 75% office space is difficult to estimate, there has been an increasing general trend, notable in major cities and urban areas, towards buildings which are mixed use.</w:t>
      </w:r>
      <w:r w:rsidRPr="00720AFF">
        <w:rPr>
          <w:rStyle w:val="FootnoteReference"/>
        </w:rPr>
        <w:footnoteReference w:id="24"/>
      </w:r>
      <w:r w:rsidRPr="00720AFF">
        <w:t xml:space="preserve"> It is increasingly common to see mixed use developments comprising commercial, retail and residential uses.</w:t>
      </w:r>
    </w:p>
    <w:p w14:paraId="24820A76" w14:textId="4A6DF03B" w:rsidR="00E06B3B" w:rsidRPr="00720AFF" w:rsidRDefault="00E06B3B" w:rsidP="00E06B3B">
      <w:pPr>
        <w:spacing w:after="120"/>
        <w:jc w:val="both"/>
      </w:pPr>
      <w:r w:rsidRPr="00720AFF">
        <w:t xml:space="preserve">The government will review the threshold by which a </w:t>
      </w:r>
      <w:proofErr w:type="gramStart"/>
      <w:r w:rsidRPr="00720AFF">
        <w:t>mixed use</w:t>
      </w:r>
      <w:proofErr w:type="gramEnd"/>
      <w:r w:rsidRPr="00720AFF">
        <w:t xml:space="preserve"> office building is considered a non-disclosure affected building.</w:t>
      </w:r>
    </w:p>
    <w:p w14:paraId="434327E5" w14:textId="77777777" w:rsidR="00E06B3B" w:rsidRPr="00720AFF" w:rsidRDefault="00E06B3B" w:rsidP="003E5B4D">
      <w:pPr>
        <w:spacing w:after="120"/>
        <w:jc w:val="both"/>
      </w:pPr>
    </w:p>
    <w:p w14:paraId="690296CF" w14:textId="7EA7416C" w:rsidR="00AE5368" w:rsidRPr="00720AFF" w:rsidRDefault="00AE5368" w:rsidP="004F52A7">
      <w:pPr>
        <w:pStyle w:val="Heading3"/>
        <w:spacing w:after="120"/>
        <w:ind w:left="0" w:firstLine="0"/>
        <w:jc w:val="both"/>
      </w:pPr>
    </w:p>
    <w:p w14:paraId="1E9C9A91" w14:textId="77777777" w:rsidR="00B607E1" w:rsidRPr="00720AFF" w:rsidRDefault="00B607E1" w:rsidP="003E5B4D">
      <w:pPr>
        <w:spacing w:after="120"/>
        <w:jc w:val="both"/>
        <w:rPr>
          <w:rFonts w:ascii="Calibri" w:eastAsiaTheme="minorEastAsia" w:hAnsi="Calibri"/>
          <w:color w:val="197C7D"/>
          <w:sz w:val="56"/>
          <w:szCs w:val="56"/>
          <w:lang w:eastAsia="ja-JP"/>
        </w:rPr>
      </w:pPr>
      <w:r w:rsidRPr="00720AFF">
        <w:br w:type="page"/>
      </w:r>
    </w:p>
    <w:p w14:paraId="61A2F0FC" w14:textId="40FCFA3D" w:rsidR="00153224" w:rsidRPr="00720AFF" w:rsidRDefault="00153224" w:rsidP="4E42E3EC">
      <w:pPr>
        <w:pStyle w:val="Heading2"/>
        <w:jc w:val="both"/>
      </w:pPr>
      <w:bookmarkStart w:id="45" w:name="_Ref189835602"/>
      <w:bookmarkStart w:id="46" w:name="_Ref189835605"/>
      <w:bookmarkStart w:id="47" w:name="_Toc200017021"/>
      <w:r w:rsidRPr="00720AFF">
        <w:lastRenderedPageBreak/>
        <w:t xml:space="preserve">Future </w:t>
      </w:r>
      <w:r w:rsidR="00B92036" w:rsidRPr="00720AFF">
        <w:t xml:space="preserve">expansion </w:t>
      </w:r>
      <w:r w:rsidRPr="00720AFF">
        <w:t>prioritisation</w:t>
      </w:r>
      <w:bookmarkEnd w:id="45"/>
      <w:bookmarkEnd w:id="46"/>
      <w:bookmarkEnd w:id="47"/>
      <w:r w:rsidRPr="00720AFF">
        <w:t xml:space="preserve"> </w:t>
      </w:r>
    </w:p>
    <w:p w14:paraId="35439724" w14:textId="6C23C137" w:rsidR="00CA2776" w:rsidRPr="00720AFF" w:rsidRDefault="00CA2776" w:rsidP="000B75A3">
      <w:pPr>
        <w:pStyle w:val="Heading3"/>
        <w:numPr>
          <w:ilvl w:val="1"/>
          <w:numId w:val="30"/>
        </w:numPr>
        <w:spacing w:after="120"/>
        <w:ind w:left="0" w:hanging="11"/>
        <w:jc w:val="both"/>
      </w:pPr>
      <w:bookmarkStart w:id="48" w:name="_Ref189835616"/>
      <w:bookmarkStart w:id="49" w:name="_Toc200017022"/>
      <w:r w:rsidRPr="00720AFF">
        <w:t>Prioritisation process</w:t>
      </w:r>
      <w:bookmarkEnd w:id="48"/>
      <w:bookmarkEnd w:id="49"/>
    </w:p>
    <w:p w14:paraId="4CFBBD3C" w14:textId="2DE777E5" w:rsidR="00B705C3" w:rsidRPr="00720AFF" w:rsidRDefault="00ED0A1B" w:rsidP="000B75A3">
      <w:pPr>
        <w:spacing w:after="120"/>
        <w:jc w:val="both"/>
      </w:pPr>
      <w:r w:rsidRPr="00720AFF">
        <w:t>Th</w:t>
      </w:r>
      <w:r w:rsidR="004E0951" w:rsidRPr="00720AFF">
        <w:t>is</w:t>
      </w:r>
      <w:r w:rsidRPr="00720AFF">
        <w:t xml:space="preserve"> section</w:t>
      </w:r>
      <w:r w:rsidR="000979B0" w:rsidRPr="00720AFF">
        <w:t xml:space="preserve"> </w:t>
      </w:r>
      <w:r w:rsidR="00F83515" w:rsidRPr="00720AFF">
        <w:t>assesses</w:t>
      </w:r>
      <w:r w:rsidR="000979B0" w:rsidRPr="00720AFF">
        <w:t xml:space="preserve"> </w:t>
      </w:r>
      <w:r w:rsidR="00C42D70" w:rsidRPr="00720AFF">
        <w:t xml:space="preserve">major commercial building types against the principles articulated in section </w:t>
      </w:r>
      <w:r w:rsidR="00C41963" w:rsidRPr="00720AFF">
        <w:t>2.2</w:t>
      </w:r>
      <w:r w:rsidR="000255DB" w:rsidRPr="00720AFF">
        <w:t xml:space="preserve"> </w:t>
      </w:r>
      <w:r w:rsidR="00BA405F" w:rsidRPr="00720AFF">
        <w:t xml:space="preserve">to give an indication of </w:t>
      </w:r>
      <w:r w:rsidR="000569D7" w:rsidRPr="00720AFF">
        <w:t xml:space="preserve">when </w:t>
      </w:r>
      <w:proofErr w:type="gramStart"/>
      <w:r w:rsidR="000569D7" w:rsidRPr="00720AFF">
        <w:t>particular</w:t>
      </w:r>
      <w:r w:rsidR="00BA405F" w:rsidRPr="00720AFF">
        <w:t xml:space="preserve"> </w:t>
      </w:r>
      <w:r w:rsidR="005552E1" w:rsidRPr="00720AFF">
        <w:t>building</w:t>
      </w:r>
      <w:proofErr w:type="gramEnd"/>
      <w:r w:rsidR="005552E1" w:rsidRPr="00720AFF">
        <w:t xml:space="preserve"> types </w:t>
      </w:r>
      <w:r w:rsidR="00232EEF" w:rsidRPr="00720AFF">
        <w:t>may</w:t>
      </w:r>
      <w:r w:rsidR="005552E1" w:rsidRPr="00720AFF">
        <w:t xml:space="preserve"> be </w:t>
      </w:r>
      <w:r w:rsidR="00623B83" w:rsidRPr="00720AFF">
        <w:t xml:space="preserve">considered </w:t>
      </w:r>
      <w:r w:rsidR="00636A62" w:rsidRPr="00720AFF">
        <w:t>in detail after the legislative reforms and high priority expansion changes have been completed.</w:t>
      </w:r>
    </w:p>
    <w:p w14:paraId="02F44269" w14:textId="37E28B26" w:rsidR="00232EEF" w:rsidRPr="00720AFF" w:rsidRDefault="00F25DDA" w:rsidP="000B75A3">
      <w:pPr>
        <w:spacing w:after="120"/>
        <w:jc w:val="both"/>
      </w:pPr>
      <w:r w:rsidRPr="00720AFF">
        <w:t xml:space="preserve">This section does not </w:t>
      </w:r>
      <w:r w:rsidR="00BF26D2" w:rsidRPr="00720AFF">
        <w:t xml:space="preserve">definitively </w:t>
      </w:r>
      <w:r w:rsidR="007D4D0B" w:rsidRPr="00720AFF">
        <w:t xml:space="preserve">list what building types will be included in the CBD </w:t>
      </w:r>
      <w:proofErr w:type="gramStart"/>
      <w:r w:rsidR="007D4D0B" w:rsidRPr="00720AFF">
        <w:t>Program, but</w:t>
      </w:r>
      <w:proofErr w:type="gramEnd"/>
      <w:r w:rsidR="007D4D0B" w:rsidRPr="00720AFF">
        <w:t xml:space="preserve"> rather provides </w:t>
      </w:r>
      <w:r w:rsidR="00650066" w:rsidRPr="00720AFF">
        <w:t xml:space="preserve">an </w:t>
      </w:r>
      <w:r w:rsidR="00395842" w:rsidRPr="00720AFF">
        <w:t xml:space="preserve">order of priority in which </w:t>
      </w:r>
      <w:r w:rsidR="00650066" w:rsidRPr="00720AFF">
        <w:t xml:space="preserve">the government </w:t>
      </w:r>
      <w:r w:rsidR="006301F1" w:rsidRPr="00720AFF">
        <w:t>expects to</w:t>
      </w:r>
      <w:r w:rsidR="00650066" w:rsidRPr="00720AFF">
        <w:t xml:space="preserve"> </w:t>
      </w:r>
      <w:r w:rsidR="00303288" w:rsidRPr="00720AFF">
        <w:t>undertake more detailed policy impact and cost benefit analysis</w:t>
      </w:r>
      <w:r w:rsidR="00D268B0" w:rsidRPr="00720AFF">
        <w:t xml:space="preserve"> </w:t>
      </w:r>
      <w:r w:rsidR="000E2379" w:rsidRPr="00720AFF">
        <w:t xml:space="preserve">to </w:t>
      </w:r>
      <w:r w:rsidR="004830E5" w:rsidRPr="00720AFF">
        <w:t>decide on</w:t>
      </w:r>
      <w:r w:rsidR="008C37D9" w:rsidRPr="00720AFF">
        <w:t xml:space="preserve"> whether to include them in the CBD Program</w:t>
      </w:r>
      <w:r w:rsidR="00303288" w:rsidRPr="00720AFF">
        <w:t>.</w:t>
      </w:r>
      <w:r w:rsidR="007E67DA" w:rsidRPr="00720AFF">
        <w:t xml:space="preserve"> </w:t>
      </w:r>
    </w:p>
    <w:p w14:paraId="53B7D332" w14:textId="73AF3BEC" w:rsidR="008F4ADE" w:rsidRPr="00720AFF" w:rsidRDefault="00725B8E" w:rsidP="000B75A3">
      <w:pPr>
        <w:pStyle w:val="Heading3"/>
        <w:numPr>
          <w:ilvl w:val="1"/>
          <w:numId w:val="30"/>
        </w:numPr>
        <w:spacing w:after="120"/>
        <w:ind w:left="0" w:firstLine="0"/>
        <w:jc w:val="both"/>
      </w:pPr>
      <w:bookmarkStart w:id="50" w:name="_Ref189835868"/>
      <w:bookmarkStart w:id="51" w:name="_Toc200017023"/>
      <w:r w:rsidRPr="00720AFF">
        <w:t xml:space="preserve">Sectors to be considered </w:t>
      </w:r>
      <w:r w:rsidR="002C1004" w:rsidRPr="00720AFF">
        <w:t xml:space="preserve">after </w:t>
      </w:r>
      <w:r w:rsidR="00714F4F" w:rsidRPr="00720AFF">
        <w:t>high priority changes</w:t>
      </w:r>
      <w:r w:rsidR="00CA2776" w:rsidRPr="00720AFF">
        <w:t xml:space="preserve"> </w:t>
      </w:r>
      <w:r w:rsidR="000E3D83" w:rsidRPr="00720AFF">
        <w:t xml:space="preserve">are </w:t>
      </w:r>
      <w:r w:rsidR="00CA2776" w:rsidRPr="00720AFF">
        <w:t>addressed</w:t>
      </w:r>
      <w:bookmarkEnd w:id="50"/>
      <w:r w:rsidR="003864BA" w:rsidRPr="00720AFF">
        <w:t xml:space="preserve"> (Stage </w:t>
      </w:r>
      <w:r w:rsidR="00CE2780" w:rsidRPr="00720AFF">
        <w:t>8</w:t>
      </w:r>
      <w:r w:rsidR="003864BA" w:rsidRPr="00720AFF">
        <w:t>)</w:t>
      </w:r>
      <w:bookmarkEnd w:id="51"/>
    </w:p>
    <w:p w14:paraId="6D032CCC" w14:textId="67F9C518" w:rsidR="008805CE" w:rsidRPr="00720AFF" w:rsidRDefault="001F4D43" w:rsidP="000B75A3">
      <w:pPr>
        <w:pStyle w:val="Heading4"/>
        <w:spacing w:after="120"/>
        <w:jc w:val="both"/>
        <w:rPr>
          <w:rStyle w:val="IntenseEmphasis"/>
          <w:i w:val="0"/>
          <w:color w:val="auto"/>
          <w:sz w:val="36"/>
          <w:szCs w:val="36"/>
        </w:rPr>
      </w:pPr>
      <w:r w:rsidRPr="00720AFF">
        <w:t xml:space="preserve">Office </w:t>
      </w:r>
      <w:r w:rsidR="003759F3" w:rsidRPr="00720AFF">
        <w:t>buildings</w:t>
      </w:r>
      <w:r w:rsidR="00FA4FEB" w:rsidRPr="00720AFF">
        <w:t xml:space="preserve"> and spaces</w:t>
      </w:r>
      <w:r w:rsidR="001405EB" w:rsidRPr="00720AFF">
        <w:t xml:space="preserve"> between 500</w:t>
      </w:r>
      <w:r w:rsidR="00176956" w:rsidRPr="00720AFF">
        <w:t>m</w:t>
      </w:r>
      <w:r w:rsidR="00176956" w:rsidRPr="00720AFF">
        <w:rPr>
          <w:vertAlign w:val="superscript"/>
        </w:rPr>
        <w:t>2</w:t>
      </w:r>
      <w:r w:rsidR="001405EB" w:rsidRPr="00720AFF">
        <w:t xml:space="preserve"> and 1000</w:t>
      </w:r>
      <w:r w:rsidR="00176956" w:rsidRPr="00720AFF">
        <w:t>m</w:t>
      </w:r>
      <w:r w:rsidR="00176956" w:rsidRPr="00720AFF">
        <w:rPr>
          <w:vertAlign w:val="superscript"/>
        </w:rPr>
        <w:t>2</w:t>
      </w:r>
      <w:r w:rsidR="00D00D0E" w:rsidRPr="00720AFF">
        <w:t xml:space="preserve"> </w:t>
      </w:r>
      <w:r w:rsidR="008805CE" w:rsidRPr="00720AFF">
        <w:t xml:space="preserve"> </w:t>
      </w:r>
    </w:p>
    <w:p w14:paraId="423625AE" w14:textId="3DD3BB9E" w:rsidR="0049289E" w:rsidRPr="00720AFF" w:rsidRDefault="0049289E" w:rsidP="000B75A3">
      <w:pPr>
        <w:spacing w:after="120"/>
        <w:jc w:val="both"/>
      </w:pPr>
      <w:r w:rsidRPr="00720AFF">
        <w:t>The CBD Program first started with coverage at office buildings over 2,000m</w:t>
      </w:r>
      <w:r w:rsidRPr="00720AFF">
        <w:rPr>
          <w:vertAlign w:val="superscript"/>
        </w:rPr>
        <w:t>2</w:t>
      </w:r>
      <w:r w:rsidRPr="00720AFF">
        <w:t xml:space="preserve"> in 2010 and was reduced to 1,000m</w:t>
      </w:r>
      <w:r w:rsidRPr="00720AFF">
        <w:rPr>
          <w:vertAlign w:val="superscript"/>
        </w:rPr>
        <w:t>2</w:t>
      </w:r>
      <w:r w:rsidRPr="00720AFF">
        <w:t xml:space="preserve"> in 2018. Further reducing the size threshold for disclosure affected office buildings to 500m</w:t>
      </w:r>
      <w:r w:rsidRPr="00720AFF">
        <w:rPr>
          <w:vertAlign w:val="superscript"/>
        </w:rPr>
        <w:t>2</w:t>
      </w:r>
      <w:r w:rsidRPr="00720AFF">
        <w:t xml:space="preserve"> would expand the </w:t>
      </w:r>
      <w:r w:rsidR="008A5FB0" w:rsidRPr="00720AFF">
        <w:t>CBD P</w:t>
      </w:r>
      <w:r w:rsidRPr="00720AFF">
        <w:t>rogram and capture more smaller office buildings. The NABERS Energy for offices base building rating tool is well developed and suited to office buildings between 500m</w:t>
      </w:r>
      <w:r w:rsidRPr="00720AFF">
        <w:rPr>
          <w:vertAlign w:val="superscript"/>
        </w:rPr>
        <w:t>2</w:t>
      </w:r>
      <w:r w:rsidRPr="00720AFF">
        <w:t xml:space="preserve"> and 1000m</w:t>
      </w:r>
      <w:r w:rsidRPr="00720AFF">
        <w:rPr>
          <w:vertAlign w:val="superscript"/>
        </w:rPr>
        <w:t>2</w:t>
      </w:r>
      <w:r w:rsidRPr="00720AFF">
        <w:t>.</w:t>
      </w:r>
    </w:p>
    <w:p w14:paraId="32505309" w14:textId="7291CA9B" w:rsidR="0049289E" w:rsidRPr="00720AFF" w:rsidRDefault="0049289E" w:rsidP="000B75A3">
      <w:pPr>
        <w:spacing w:after="120"/>
        <w:jc w:val="both"/>
      </w:pPr>
      <w:r w:rsidRPr="00720AFF">
        <w:t xml:space="preserve">However, outstanding questions remain about the range and size of the benefits of this proposed change, compared to the administrative and industry burden. </w:t>
      </w:r>
      <w:proofErr w:type="gramStart"/>
      <w:r w:rsidRPr="00720AFF">
        <w:t>A large number of</w:t>
      </w:r>
      <w:proofErr w:type="gramEnd"/>
      <w:r w:rsidRPr="00720AFF">
        <w:t xml:space="preserve"> smaller building owners would be captured by this change and the proportion of total office floorspace covered by this cohort may be relatively small. For example, more than 60% of the City of Melbourne’s building stock with office space have a floor area of less than 1,000m</w:t>
      </w:r>
      <w:r w:rsidRPr="00720AFF">
        <w:rPr>
          <w:vertAlign w:val="superscript"/>
        </w:rPr>
        <w:t>2</w:t>
      </w:r>
      <w:r w:rsidRPr="00720AFF">
        <w:t>. This cohort represents only 6% of the total estimated office floor area.</w:t>
      </w:r>
      <w:r w:rsidRPr="00720AFF">
        <w:rPr>
          <w:rStyle w:val="FootnoteReference"/>
        </w:rPr>
        <w:footnoteReference w:id="25"/>
      </w:r>
      <w:r w:rsidRPr="00720AFF">
        <w:t xml:space="preserve"> However, smaller office buildings tend to be more energy intensive than larger office buildings</w:t>
      </w:r>
      <w:r w:rsidR="00801F07" w:rsidRPr="00720AFF">
        <w:t xml:space="preserve"> – and therefore present large energy saving potential</w:t>
      </w:r>
      <w:r w:rsidRPr="00720AFF">
        <w:t>.</w:t>
      </w:r>
      <w:r w:rsidRPr="00720AFF">
        <w:rPr>
          <w:rStyle w:val="FootnoteReference"/>
        </w:rPr>
        <w:footnoteReference w:id="26"/>
      </w:r>
    </w:p>
    <w:p w14:paraId="45BB6C4A" w14:textId="3404077C" w:rsidR="0049289E" w:rsidRPr="00720AFF" w:rsidRDefault="0049289E" w:rsidP="000B75A3">
      <w:pPr>
        <w:spacing w:after="120"/>
        <w:jc w:val="both"/>
      </w:pPr>
      <w:r w:rsidRPr="00720AFF">
        <w:t>Further investigation into the administrative and industry burden compared to the size of the benefits of this change should be completed once the high priority expansion changes are complete.</w:t>
      </w:r>
    </w:p>
    <w:p w14:paraId="5CAC438A" w14:textId="3382BBA3" w:rsidR="00543FDA" w:rsidRPr="00720AFF" w:rsidRDefault="00543FDA" w:rsidP="000B75A3">
      <w:pPr>
        <w:pStyle w:val="Heading4"/>
        <w:spacing w:after="120"/>
        <w:jc w:val="both"/>
        <w:rPr>
          <w:rStyle w:val="IntenseEmphasis"/>
          <w:i w:val="0"/>
          <w:color w:val="auto"/>
          <w:sz w:val="36"/>
          <w:szCs w:val="36"/>
        </w:rPr>
      </w:pPr>
      <w:r w:rsidRPr="00720AFF">
        <w:t xml:space="preserve">Shopping </w:t>
      </w:r>
      <w:r w:rsidR="00E56435" w:rsidRPr="00720AFF">
        <w:t>c</w:t>
      </w:r>
      <w:r w:rsidRPr="00720AFF">
        <w:t>entres</w:t>
      </w:r>
      <w:r w:rsidR="00902AA4" w:rsidRPr="00720AFF">
        <w:t xml:space="preserve"> </w:t>
      </w:r>
    </w:p>
    <w:p w14:paraId="527B66BF" w14:textId="71EC1930" w:rsidR="00426E6E" w:rsidRPr="00720AFF" w:rsidRDefault="00543FDA" w:rsidP="000B75A3">
      <w:pPr>
        <w:spacing w:after="120"/>
        <w:jc w:val="both"/>
      </w:pPr>
      <w:r w:rsidRPr="00720AFF">
        <w:t>Shopping centres are large energy users</w:t>
      </w:r>
      <w:r w:rsidR="00612D39" w:rsidRPr="00720AFF">
        <w:t xml:space="preserve"> typically with large </w:t>
      </w:r>
      <w:r w:rsidR="006A4E9B" w:rsidRPr="00720AFF">
        <w:t>air con</w:t>
      </w:r>
      <w:r w:rsidR="00316843" w:rsidRPr="00720AFF">
        <w:t>ditioning, heating and lighting requirements</w:t>
      </w:r>
      <w:r w:rsidR="0061261D" w:rsidRPr="00720AFF">
        <w:t>.</w:t>
      </w:r>
      <w:r w:rsidRPr="00720AFF">
        <w:t xml:space="preserve"> </w:t>
      </w:r>
      <w:r w:rsidR="0061261D" w:rsidRPr="00720AFF">
        <w:t>There are an</w:t>
      </w:r>
      <w:r w:rsidR="007B79E6" w:rsidRPr="00720AFF">
        <w:t xml:space="preserve"> estimated </w:t>
      </w:r>
      <w:r w:rsidR="0061261D" w:rsidRPr="00720AFF">
        <w:t xml:space="preserve">3848 </w:t>
      </w:r>
      <w:r w:rsidR="007B79E6" w:rsidRPr="00720AFF">
        <w:t xml:space="preserve">shopping centres </w:t>
      </w:r>
      <w:r w:rsidR="0061261D" w:rsidRPr="00720AFF">
        <w:t>around</w:t>
      </w:r>
      <w:r w:rsidR="007B79E6" w:rsidRPr="00720AFF">
        <w:t xml:space="preserve"> Australia.</w:t>
      </w:r>
      <w:r w:rsidR="007B79E6" w:rsidRPr="00720AFF">
        <w:rPr>
          <w:rStyle w:val="FootnoteReference"/>
        </w:rPr>
        <w:footnoteReference w:id="27"/>
      </w:r>
      <w:r w:rsidR="002F2D52" w:rsidRPr="00720AFF">
        <w:t xml:space="preserve"> </w:t>
      </w:r>
      <w:r w:rsidR="00B04C7C" w:rsidRPr="00720AFF">
        <w:t xml:space="preserve">While </w:t>
      </w:r>
      <w:r w:rsidR="000C1EC4" w:rsidRPr="00720AFF">
        <w:t xml:space="preserve">many </w:t>
      </w:r>
      <w:r w:rsidR="00F76B46" w:rsidRPr="00720AFF">
        <w:t>shopping centres</w:t>
      </w:r>
      <w:r w:rsidR="00F939F8" w:rsidRPr="00720AFF">
        <w:t xml:space="preserve"> have </w:t>
      </w:r>
      <w:r w:rsidR="005F2D24" w:rsidRPr="00720AFF">
        <w:t xml:space="preserve">reduced their </w:t>
      </w:r>
      <w:r w:rsidR="003473D8" w:rsidRPr="00720AFF">
        <w:t>energy consumption and energy costs</w:t>
      </w:r>
      <w:r w:rsidR="004C1437" w:rsidRPr="00720AFF">
        <w:t xml:space="preserve"> over the last decade</w:t>
      </w:r>
      <w:r w:rsidR="00C43C52" w:rsidRPr="00720AFF">
        <w:t xml:space="preserve"> through operational changes </w:t>
      </w:r>
      <w:r w:rsidR="000C1EC4" w:rsidRPr="00720AFF">
        <w:t>and retrofits</w:t>
      </w:r>
      <w:r w:rsidR="003473D8" w:rsidRPr="00720AFF">
        <w:t xml:space="preserve">, there is still significant potential </w:t>
      </w:r>
      <w:r w:rsidR="00B01D9F" w:rsidRPr="00720AFF">
        <w:t xml:space="preserve">to unlock further </w:t>
      </w:r>
      <w:r w:rsidR="003473D8" w:rsidRPr="00720AFF">
        <w:t>energy savings</w:t>
      </w:r>
      <w:r w:rsidR="00CA5372" w:rsidRPr="00720AFF">
        <w:t>.</w:t>
      </w:r>
    </w:p>
    <w:p w14:paraId="4D0DD12D" w14:textId="6118A894" w:rsidR="00091CE7" w:rsidRPr="00720AFF" w:rsidRDefault="00F85F16" w:rsidP="000B75A3">
      <w:pPr>
        <w:spacing w:after="120"/>
        <w:jc w:val="both"/>
      </w:pPr>
      <w:r w:rsidRPr="00720AFF">
        <w:t xml:space="preserve">The NABERS </w:t>
      </w:r>
      <w:r w:rsidR="00CC23EA" w:rsidRPr="00720AFF">
        <w:t>shopping centre energy rating</w:t>
      </w:r>
      <w:r w:rsidRPr="00720AFF">
        <w:t xml:space="preserve"> has been in operation since 2010. It measures the central services and common areas including all facilities provided to retail tenants and the associated back-of-house facilities. The rating does not include tenancy energy use for light and power. </w:t>
      </w:r>
      <w:r w:rsidR="0097133A" w:rsidRPr="00720AFF">
        <w:t>As with all NABERS energy ratings, it includes</w:t>
      </w:r>
      <w:r w:rsidR="0083366E" w:rsidRPr="00720AFF">
        <w:t xml:space="preserve"> the NABERS </w:t>
      </w:r>
      <w:r w:rsidR="0030659A" w:rsidRPr="00720AFF">
        <w:t xml:space="preserve">REI </w:t>
      </w:r>
      <w:r w:rsidR="00E3310E" w:rsidRPr="00720AFF">
        <w:t xml:space="preserve">which provides information about the proportion </w:t>
      </w:r>
      <w:r w:rsidR="00E3310E" w:rsidRPr="00720AFF">
        <w:lastRenderedPageBreak/>
        <w:t>of the building’s energy that comes from on-site renewable energy generated and offsite renewable energy procured.</w:t>
      </w:r>
      <w:r w:rsidR="0083366E" w:rsidRPr="00720AFF">
        <w:t xml:space="preserve"> </w:t>
      </w:r>
    </w:p>
    <w:p w14:paraId="516FF201" w14:textId="6B4E0741" w:rsidR="000A0489" w:rsidRPr="00720AFF" w:rsidRDefault="00F85F16" w:rsidP="000B75A3">
      <w:pPr>
        <w:spacing w:after="120"/>
        <w:jc w:val="both"/>
      </w:pPr>
      <w:r w:rsidRPr="00720AFF">
        <w:t>Almost half of Australia’s shopping centre footprint was voluntarily rated by NABERS in 2022-23.</w:t>
      </w:r>
      <w:r w:rsidRPr="00720AFF">
        <w:rPr>
          <w:rStyle w:val="FootnoteReference"/>
        </w:rPr>
        <w:footnoteReference w:id="28"/>
      </w:r>
      <w:r w:rsidRPr="00720AFF">
        <w:t xml:space="preserve"> The availability and maturity of the shopping centre </w:t>
      </w:r>
      <w:r w:rsidR="003B0BB2" w:rsidRPr="00720AFF">
        <w:t>energy rating</w:t>
      </w:r>
      <w:r w:rsidRPr="00720AFF">
        <w:t xml:space="preserve"> makes it technically feasible to extend the CBD Program to shopping centres.</w:t>
      </w:r>
    </w:p>
    <w:p w14:paraId="02925FA4" w14:textId="13A3C383" w:rsidR="00B776ED" w:rsidRPr="00720AFF" w:rsidRDefault="00F653EA" w:rsidP="000B75A3">
      <w:pPr>
        <w:spacing w:after="120"/>
        <w:jc w:val="both"/>
      </w:pPr>
      <w:r w:rsidRPr="00720AFF">
        <w:t xml:space="preserve">For those </w:t>
      </w:r>
      <w:r w:rsidR="004F1C0D" w:rsidRPr="00720AFF">
        <w:t xml:space="preserve">shopping centres </w:t>
      </w:r>
      <w:r w:rsidRPr="00720AFF">
        <w:t xml:space="preserve">that </w:t>
      </w:r>
      <w:r w:rsidR="00B566B5" w:rsidRPr="00720AFF">
        <w:t xml:space="preserve">voluntarily use the NABERS </w:t>
      </w:r>
      <w:r w:rsidR="00FC7542" w:rsidRPr="00720AFF">
        <w:t>shopping centre energy rating</w:t>
      </w:r>
      <w:r w:rsidRPr="00720AFF">
        <w:t xml:space="preserve">, </w:t>
      </w:r>
      <w:r w:rsidR="00DB3DCA" w:rsidRPr="00720AFF">
        <w:t xml:space="preserve">stakeholder feedback suggests that </w:t>
      </w:r>
      <w:r w:rsidR="0046370B" w:rsidRPr="00720AFF">
        <w:t>it has been useful in</w:t>
      </w:r>
      <w:r w:rsidRPr="00720AFF">
        <w:t xml:space="preserve"> monitoring</w:t>
      </w:r>
      <w:r w:rsidR="001D4ECF" w:rsidRPr="00720AFF">
        <w:t xml:space="preserve"> </w:t>
      </w:r>
      <w:r w:rsidR="00783707" w:rsidRPr="00720AFF">
        <w:t xml:space="preserve">and comparing </w:t>
      </w:r>
      <w:r w:rsidR="001D4ECF" w:rsidRPr="00720AFF">
        <w:t xml:space="preserve">their </w:t>
      </w:r>
      <w:r w:rsidR="00783707" w:rsidRPr="00720AFF">
        <w:t xml:space="preserve">own </w:t>
      </w:r>
      <w:r w:rsidR="001D4ECF" w:rsidRPr="00720AFF">
        <w:t xml:space="preserve">performance over time to </w:t>
      </w:r>
      <w:r w:rsidR="007525A2" w:rsidRPr="00720AFF">
        <w:t xml:space="preserve">optimise </w:t>
      </w:r>
      <w:r w:rsidR="00DA33CD" w:rsidRPr="00720AFF">
        <w:t>operations</w:t>
      </w:r>
      <w:r w:rsidR="00460B04" w:rsidRPr="00720AFF">
        <w:t xml:space="preserve"> and </w:t>
      </w:r>
      <w:r w:rsidR="001D4ECF" w:rsidRPr="00720AFF">
        <w:t xml:space="preserve">inform </w:t>
      </w:r>
      <w:r w:rsidR="004E63FA" w:rsidRPr="00720AFF">
        <w:t xml:space="preserve">future energy </w:t>
      </w:r>
      <w:r w:rsidR="00A12672" w:rsidRPr="00720AFF">
        <w:t xml:space="preserve">performance </w:t>
      </w:r>
      <w:r w:rsidR="000826FB" w:rsidRPr="00720AFF">
        <w:t>improvements</w:t>
      </w:r>
      <w:r w:rsidR="00765D2A" w:rsidRPr="00720AFF">
        <w:t>.</w:t>
      </w:r>
      <w:r w:rsidR="00BD42D8" w:rsidRPr="00720AFF">
        <w:rPr>
          <w:rStyle w:val="FootnoteReference"/>
        </w:rPr>
        <w:footnoteReference w:id="29"/>
      </w:r>
      <w:r w:rsidR="004E25C3" w:rsidRPr="00720AFF">
        <w:t xml:space="preserve"> </w:t>
      </w:r>
    </w:p>
    <w:p w14:paraId="75D6FC5F" w14:textId="0B2BE567" w:rsidR="000422AE" w:rsidRPr="00720AFF" w:rsidRDefault="004D1588" w:rsidP="000B75A3">
      <w:pPr>
        <w:spacing w:after="120"/>
        <w:jc w:val="both"/>
      </w:pPr>
      <w:r w:rsidRPr="00720AFF">
        <w:t xml:space="preserve">Shopping centre owners have </w:t>
      </w:r>
      <w:r w:rsidR="001B0AF9" w:rsidRPr="00720AFF">
        <w:t xml:space="preserve">also </w:t>
      </w:r>
      <w:r w:rsidRPr="00720AFF">
        <w:t>stated that i</w:t>
      </w:r>
      <w:r w:rsidR="004E25C3" w:rsidRPr="00720AFF">
        <w:t>t has been useful in</w:t>
      </w:r>
      <w:r w:rsidR="00783707" w:rsidRPr="00720AFF">
        <w:t xml:space="preserve"> communicating the</w:t>
      </w:r>
      <w:r w:rsidR="00923021" w:rsidRPr="00720AFF">
        <w:t xml:space="preserve"> energy performance of their buildings</w:t>
      </w:r>
      <w:r w:rsidR="002D434E" w:rsidRPr="00720AFF">
        <w:t>.</w:t>
      </w:r>
      <w:r w:rsidR="00B07DBE" w:rsidRPr="00720AFF">
        <w:t xml:space="preserve"> </w:t>
      </w:r>
      <w:r w:rsidRPr="00720AFF">
        <w:t>C</w:t>
      </w:r>
      <w:r w:rsidR="00674F2E" w:rsidRPr="00720AFF">
        <w:t xml:space="preserve">urrent published </w:t>
      </w:r>
      <w:r w:rsidR="00A651DD" w:rsidRPr="00720AFF">
        <w:t xml:space="preserve">NABERS </w:t>
      </w:r>
      <w:r w:rsidR="00674F2E" w:rsidRPr="00720AFF">
        <w:t>shopping centre</w:t>
      </w:r>
      <w:r w:rsidR="00A651DD" w:rsidRPr="00720AFF">
        <w:t xml:space="preserve"> </w:t>
      </w:r>
      <w:r w:rsidR="0038737B" w:rsidRPr="00720AFF">
        <w:t xml:space="preserve">energy </w:t>
      </w:r>
      <w:r w:rsidR="00A651DD" w:rsidRPr="00720AFF">
        <w:t xml:space="preserve">ratings are being used </w:t>
      </w:r>
      <w:r w:rsidR="004F0E0D" w:rsidRPr="00720AFF">
        <w:t xml:space="preserve">to </w:t>
      </w:r>
      <w:r w:rsidR="00654AA7" w:rsidRPr="00720AFF">
        <w:t xml:space="preserve">communicate </w:t>
      </w:r>
      <w:r w:rsidR="00B30519" w:rsidRPr="00720AFF">
        <w:t xml:space="preserve">to a wider range of stakeholders including financial institutions </w:t>
      </w:r>
      <w:r w:rsidR="0057780A" w:rsidRPr="00720AFF">
        <w:t xml:space="preserve">and other investors </w:t>
      </w:r>
      <w:r w:rsidR="00A000BF" w:rsidRPr="00720AFF">
        <w:t>to demonstrate</w:t>
      </w:r>
      <w:r w:rsidR="00C671EB" w:rsidRPr="00720AFF">
        <w:t xml:space="preserve"> their sustainability credentials.</w:t>
      </w:r>
      <w:r w:rsidR="00093B3F" w:rsidRPr="00720AFF">
        <w:t xml:space="preserve"> There is limited evidence that </w:t>
      </w:r>
      <w:r w:rsidR="00CC4EB1" w:rsidRPr="00720AFF">
        <w:t xml:space="preserve">shopping centre </w:t>
      </w:r>
      <w:r w:rsidR="00093B3F" w:rsidRPr="00720AFF">
        <w:t xml:space="preserve">tenants currently use published NABERS shopping centre </w:t>
      </w:r>
      <w:r w:rsidR="00834869" w:rsidRPr="00720AFF">
        <w:t xml:space="preserve">energy </w:t>
      </w:r>
      <w:r w:rsidR="00093B3F" w:rsidRPr="00720AFF">
        <w:t>ratings to inform their leasing decisions, however, this may change as more larger retail tenants adopt net zero goals.</w:t>
      </w:r>
      <w:r w:rsidR="006440CC" w:rsidRPr="00720AFF">
        <w:t xml:space="preserve"> </w:t>
      </w:r>
    </w:p>
    <w:p w14:paraId="0E93BB37" w14:textId="6F19FC0E" w:rsidR="002365EA" w:rsidRPr="00720AFF" w:rsidRDefault="00BB6249" w:rsidP="000B75A3">
      <w:pPr>
        <w:spacing w:after="120"/>
        <w:jc w:val="both"/>
      </w:pPr>
      <w:r w:rsidRPr="00720AFF">
        <w:t xml:space="preserve">While it is acknowledged that </w:t>
      </w:r>
      <w:r w:rsidR="008715A7" w:rsidRPr="00720AFF">
        <w:t xml:space="preserve">shopping centre owners are making significant </w:t>
      </w:r>
      <w:r w:rsidR="00032D4B" w:rsidRPr="00720AFF">
        <w:t xml:space="preserve">energy performance improvements without </w:t>
      </w:r>
      <w:r w:rsidR="00816026" w:rsidRPr="00720AFF">
        <w:t>being regulated under the CBD Program, m</w:t>
      </w:r>
      <w:r w:rsidR="009254D5" w:rsidRPr="00720AFF">
        <w:t xml:space="preserve">andatory disclosure </w:t>
      </w:r>
      <w:r w:rsidR="001C3F6A" w:rsidRPr="00720AFF">
        <w:t xml:space="preserve">of shopping centre energy ratings, including the REI, </w:t>
      </w:r>
      <w:r w:rsidR="009254D5" w:rsidRPr="00720AFF">
        <w:t xml:space="preserve">is expected to drive </w:t>
      </w:r>
      <w:r w:rsidR="00DA2764" w:rsidRPr="00720AFF">
        <w:t xml:space="preserve">further </w:t>
      </w:r>
      <w:r w:rsidR="009254D5" w:rsidRPr="00720AFF">
        <w:t xml:space="preserve">behaviour change </w:t>
      </w:r>
      <w:r w:rsidR="006C7C7A" w:rsidRPr="00720AFF">
        <w:t>and prompt owners to target action within their own asset portfolio and prioritise building energy performance</w:t>
      </w:r>
      <w:r w:rsidR="004155D5" w:rsidRPr="00720AFF">
        <w:t xml:space="preserve"> and </w:t>
      </w:r>
      <w:r w:rsidR="00174028" w:rsidRPr="00720AFF">
        <w:t xml:space="preserve">increase </w:t>
      </w:r>
      <w:r w:rsidR="00580AD8" w:rsidRPr="00720AFF">
        <w:t xml:space="preserve">on-site and off-site </w:t>
      </w:r>
      <w:r w:rsidR="00465BB4" w:rsidRPr="00720AFF">
        <w:t xml:space="preserve">renewable energy </w:t>
      </w:r>
      <w:r w:rsidR="00F964C7" w:rsidRPr="00720AFF">
        <w:t>investments</w:t>
      </w:r>
      <w:r w:rsidR="006C7C7A" w:rsidRPr="00720AFF">
        <w:t>.</w:t>
      </w:r>
      <w:r w:rsidR="00F964C7" w:rsidRPr="00720AFF">
        <w:t xml:space="preserve"> </w:t>
      </w:r>
    </w:p>
    <w:p w14:paraId="7E647EBC" w14:textId="15D7B050" w:rsidR="009254D5" w:rsidRPr="00720AFF" w:rsidRDefault="00514A7D" w:rsidP="000B75A3">
      <w:pPr>
        <w:spacing w:after="120"/>
        <w:jc w:val="both"/>
      </w:pPr>
      <w:r w:rsidRPr="00720AFF">
        <w:t xml:space="preserve">It is also expected to </w:t>
      </w:r>
      <w:r w:rsidR="00F764A5" w:rsidRPr="00720AFF">
        <w:t xml:space="preserve">have an impact on the </w:t>
      </w:r>
      <w:r w:rsidR="001B1943" w:rsidRPr="00720AFF">
        <w:t xml:space="preserve">decisions of </w:t>
      </w:r>
      <w:r w:rsidR="00631123" w:rsidRPr="00720AFF">
        <w:t>financial institutions</w:t>
      </w:r>
      <w:r w:rsidR="00F42615" w:rsidRPr="00720AFF">
        <w:t xml:space="preserve"> and </w:t>
      </w:r>
      <w:r w:rsidR="00631123" w:rsidRPr="00720AFF">
        <w:t xml:space="preserve">other </w:t>
      </w:r>
      <w:r w:rsidR="00AA468E" w:rsidRPr="00720AFF">
        <w:t>investors</w:t>
      </w:r>
      <w:r w:rsidR="00917418" w:rsidRPr="00720AFF">
        <w:t xml:space="preserve"> </w:t>
      </w:r>
      <w:r w:rsidR="00F42615" w:rsidRPr="00720AFF">
        <w:t xml:space="preserve">and stakeholders </w:t>
      </w:r>
      <w:r w:rsidR="00917418" w:rsidRPr="00720AFF">
        <w:t>in relation to shopping centres.</w:t>
      </w:r>
      <w:r w:rsidR="007C25E8" w:rsidRPr="00720AFF">
        <w:t xml:space="preserve"> As more </w:t>
      </w:r>
      <w:r w:rsidR="00DE6222" w:rsidRPr="00720AFF">
        <w:t xml:space="preserve">organisations </w:t>
      </w:r>
      <w:r w:rsidR="007C3A50" w:rsidRPr="00720AFF">
        <w:t xml:space="preserve">adopt </w:t>
      </w:r>
      <w:r w:rsidR="008D175E" w:rsidRPr="00720AFF">
        <w:t>net zero goals</w:t>
      </w:r>
      <w:r w:rsidR="00000CD3" w:rsidRPr="00720AFF">
        <w:t xml:space="preserve"> and </w:t>
      </w:r>
      <w:r w:rsidR="00945D8F" w:rsidRPr="00720AFF">
        <w:t>take action to miti</w:t>
      </w:r>
      <w:r w:rsidR="00FE0228" w:rsidRPr="00720AFF">
        <w:t xml:space="preserve">gate their own climate </w:t>
      </w:r>
      <w:r w:rsidR="00ED7F5E" w:rsidRPr="00720AFF">
        <w:t>transitional risks</w:t>
      </w:r>
      <w:r w:rsidR="00842C6B" w:rsidRPr="00720AFF">
        <w:t xml:space="preserve">, they </w:t>
      </w:r>
      <w:r w:rsidR="002257C8" w:rsidRPr="00720AFF">
        <w:t xml:space="preserve">require trusted, benchmarked and verified information about </w:t>
      </w:r>
      <w:r w:rsidR="00B56822" w:rsidRPr="00720AFF">
        <w:t>the assets they own, occupy or in</w:t>
      </w:r>
      <w:r w:rsidR="0012642F" w:rsidRPr="00720AFF">
        <w:t>vest</w:t>
      </w:r>
      <w:r w:rsidR="00106E83" w:rsidRPr="00720AFF">
        <w:t xml:space="preserve"> in.</w:t>
      </w:r>
    </w:p>
    <w:p w14:paraId="7C0CE24B" w14:textId="659DEE72" w:rsidR="00994D64" w:rsidRPr="00720AFF" w:rsidRDefault="005D643A" w:rsidP="000B75A3">
      <w:pPr>
        <w:spacing w:after="120"/>
        <w:jc w:val="both"/>
      </w:pPr>
      <w:r w:rsidRPr="00720AFF">
        <w:t>The independent review of the CBD Program in 2019 (which was not finalise</w:t>
      </w:r>
      <w:r w:rsidR="00094405" w:rsidRPr="00720AFF">
        <w:t>d</w:t>
      </w:r>
      <w:r w:rsidRPr="00720AFF">
        <w:t xml:space="preserve"> due to COVID-19) </w:t>
      </w:r>
      <w:r w:rsidR="00284E72" w:rsidRPr="00720AFF">
        <w:t xml:space="preserve">found that the expected </w:t>
      </w:r>
      <w:r w:rsidR="00265A91" w:rsidRPr="00720AFF">
        <w:t xml:space="preserve">behaviour change </w:t>
      </w:r>
      <w:r w:rsidR="00284E72" w:rsidRPr="00720AFF">
        <w:t xml:space="preserve">benefits </w:t>
      </w:r>
      <w:r w:rsidR="00612E9B" w:rsidRPr="00720AFF">
        <w:t>were not likely to outweigh</w:t>
      </w:r>
      <w:r w:rsidR="00265A91" w:rsidRPr="00720AFF">
        <w:t xml:space="preserve"> the costs </w:t>
      </w:r>
      <w:r w:rsidR="00023383" w:rsidRPr="00720AFF">
        <w:t xml:space="preserve">to </w:t>
      </w:r>
      <w:r w:rsidR="00FC66A7" w:rsidRPr="00720AFF">
        <w:t xml:space="preserve">the </w:t>
      </w:r>
      <w:r w:rsidR="000F5C88" w:rsidRPr="00720AFF">
        <w:t xml:space="preserve">shopping centre </w:t>
      </w:r>
      <w:r w:rsidR="00FC66A7" w:rsidRPr="00720AFF">
        <w:t>sector</w:t>
      </w:r>
      <w:r w:rsidR="00170AA7" w:rsidRPr="00720AFF">
        <w:t xml:space="preserve"> at that time</w:t>
      </w:r>
      <w:r w:rsidR="00FC66A7" w:rsidRPr="00720AFF">
        <w:t>.</w:t>
      </w:r>
      <w:r w:rsidR="004A7F52" w:rsidRPr="00720AFF">
        <w:t xml:space="preserve"> </w:t>
      </w:r>
    </w:p>
    <w:p w14:paraId="2EB77723" w14:textId="03EF9317" w:rsidR="00DC0867" w:rsidRPr="00720AFF" w:rsidRDefault="00994D64" w:rsidP="000B75A3">
      <w:pPr>
        <w:spacing w:after="120"/>
        <w:jc w:val="both"/>
      </w:pPr>
      <w:r w:rsidRPr="00720AFF">
        <w:t xml:space="preserve">While respecting the draft findings in the 2019 draft report, </w:t>
      </w:r>
      <w:r w:rsidR="00EB07FF" w:rsidRPr="00720AFF">
        <w:t>all regulatory program</w:t>
      </w:r>
      <w:r w:rsidR="000C1EAB" w:rsidRPr="00720AFF">
        <w:t>s</w:t>
      </w:r>
      <w:r w:rsidR="00EB07FF" w:rsidRPr="00720AFF">
        <w:t xml:space="preserve"> should be periodically reviewed to determine if intervention is</w:t>
      </w:r>
      <w:r w:rsidR="002C37BB" w:rsidRPr="00720AFF">
        <w:t xml:space="preserve"> still needed or could be improved. </w:t>
      </w:r>
      <w:r w:rsidR="00891A6C" w:rsidRPr="00720AFF">
        <w:t>A</w:t>
      </w:r>
      <w:r w:rsidR="00FD2105" w:rsidRPr="00720AFF">
        <w:t>n updated</w:t>
      </w:r>
      <w:r w:rsidR="005E00DA" w:rsidRPr="00720AFF">
        <w:t xml:space="preserve"> impact assessment</w:t>
      </w:r>
      <w:r w:rsidR="00AE188D" w:rsidRPr="00720AFF">
        <w:t xml:space="preserve"> should be conducted</w:t>
      </w:r>
      <w:r w:rsidR="00AB4113" w:rsidRPr="00720AFF">
        <w:t>, soon after the high priority expansion changes detailed in this roadmap have been addressed</w:t>
      </w:r>
      <w:r w:rsidR="00AE188D" w:rsidRPr="00720AFF">
        <w:t xml:space="preserve">. This </w:t>
      </w:r>
      <w:r w:rsidR="001623B4" w:rsidRPr="00720AFF">
        <w:t>analysis should</w:t>
      </w:r>
      <w:r w:rsidR="00891A6C" w:rsidRPr="00720AFF">
        <w:t xml:space="preserve"> consider a wider range of benefits</w:t>
      </w:r>
      <w:r w:rsidR="001623B4" w:rsidRPr="00720AFF">
        <w:t xml:space="preserve">, </w:t>
      </w:r>
      <w:r w:rsidR="00E0236B" w:rsidRPr="00720AFF">
        <w:t xml:space="preserve">including </w:t>
      </w:r>
      <w:r w:rsidR="00EF52A3" w:rsidRPr="00720AFF">
        <w:t xml:space="preserve">expected </w:t>
      </w:r>
      <w:r w:rsidR="00471584" w:rsidRPr="00720AFF">
        <w:t xml:space="preserve">greenhouse gas emission savings and </w:t>
      </w:r>
      <w:r w:rsidR="001623B4" w:rsidRPr="00720AFF">
        <w:t xml:space="preserve">benefits </w:t>
      </w:r>
      <w:r w:rsidR="009C22A4" w:rsidRPr="00720AFF">
        <w:t xml:space="preserve">in disclosing NABERS </w:t>
      </w:r>
      <w:r w:rsidR="003940BD" w:rsidRPr="00720AFF">
        <w:t xml:space="preserve">shopping centre </w:t>
      </w:r>
      <w:r w:rsidR="009C22A4" w:rsidRPr="00720AFF">
        <w:t xml:space="preserve">energy ratings </w:t>
      </w:r>
      <w:r w:rsidR="000235CA" w:rsidRPr="00720AFF">
        <w:t>to a wide</w:t>
      </w:r>
      <w:r w:rsidR="005415F4" w:rsidRPr="00720AFF">
        <w:t>r</w:t>
      </w:r>
      <w:r w:rsidR="000235CA" w:rsidRPr="00720AFF">
        <w:t xml:space="preserve"> range of stakeholders (not </w:t>
      </w:r>
      <w:r w:rsidR="00F71AD8" w:rsidRPr="00720AFF">
        <w:t>restricted to</w:t>
      </w:r>
      <w:r w:rsidR="000235CA" w:rsidRPr="00720AFF">
        <w:t xml:space="preserve"> tenants)</w:t>
      </w:r>
      <w:r w:rsidR="00FD3A87" w:rsidRPr="00720AFF">
        <w:t xml:space="preserve">. It should also </w:t>
      </w:r>
      <w:r w:rsidR="006A33C9" w:rsidRPr="00720AFF">
        <w:t xml:space="preserve">consider </w:t>
      </w:r>
      <w:r w:rsidR="00891A6C" w:rsidRPr="00720AFF">
        <w:t xml:space="preserve">an updated </w:t>
      </w:r>
      <w:r w:rsidR="00D1179D" w:rsidRPr="00720AFF">
        <w:t>assessment</w:t>
      </w:r>
      <w:r w:rsidR="00891A6C" w:rsidRPr="00720AFF">
        <w:t xml:space="preserve"> of costs</w:t>
      </w:r>
      <w:r w:rsidR="00D1179D" w:rsidRPr="00720AFF">
        <w:t xml:space="preserve"> against the new legislative framework</w:t>
      </w:r>
      <w:r w:rsidR="00891A6C" w:rsidRPr="00720AFF">
        <w:t>.</w:t>
      </w:r>
      <w:r w:rsidR="007F19E7" w:rsidRPr="00720AFF">
        <w:t xml:space="preserve"> </w:t>
      </w:r>
      <w:r w:rsidR="000F0BA1" w:rsidRPr="00720AFF">
        <w:t xml:space="preserve">As a starting point, </w:t>
      </w:r>
      <w:r w:rsidR="00180ED6" w:rsidRPr="00720AFF">
        <w:t xml:space="preserve">regulation should be considered </w:t>
      </w:r>
      <w:r w:rsidR="00527A5D" w:rsidRPr="00720AFF">
        <w:t xml:space="preserve">for </w:t>
      </w:r>
      <w:r w:rsidR="00F84636" w:rsidRPr="00720AFF">
        <w:t xml:space="preserve">medium to </w:t>
      </w:r>
      <w:r w:rsidR="00527A5D" w:rsidRPr="00720AFF">
        <w:t>large shopping centres first (for example, over 5000</w:t>
      </w:r>
      <w:r w:rsidR="00210E84" w:rsidRPr="00720AFF">
        <w:t>m</w:t>
      </w:r>
      <w:r w:rsidR="00210E84" w:rsidRPr="00720AFF">
        <w:rPr>
          <w:vertAlign w:val="superscript"/>
        </w:rPr>
        <w:t>2</w:t>
      </w:r>
      <w:r w:rsidR="00527A5D" w:rsidRPr="00720AFF">
        <w:t>)</w:t>
      </w:r>
      <w:r w:rsidR="0046027D" w:rsidRPr="00720AFF">
        <w:t xml:space="preserve"> to maxim</w:t>
      </w:r>
      <w:r w:rsidR="00D66520" w:rsidRPr="00720AFF">
        <w:t xml:space="preserve">ise the </w:t>
      </w:r>
      <w:r w:rsidR="00563D2F" w:rsidRPr="00720AFF">
        <w:t xml:space="preserve">floor area captured by the </w:t>
      </w:r>
      <w:r w:rsidR="00D95448" w:rsidRPr="00720AFF">
        <w:t xml:space="preserve">CBD </w:t>
      </w:r>
      <w:r w:rsidR="00563D2F" w:rsidRPr="00720AFF">
        <w:t>Program while minimising the number of regulated entities.</w:t>
      </w:r>
    </w:p>
    <w:p w14:paraId="674CDEAF" w14:textId="23223CD4" w:rsidR="00273C7C" w:rsidRPr="00720AFF" w:rsidRDefault="00273C7C" w:rsidP="000B75A3">
      <w:pPr>
        <w:pStyle w:val="Heading4"/>
        <w:spacing w:after="120"/>
        <w:jc w:val="both"/>
      </w:pPr>
      <w:r w:rsidRPr="00720AFF">
        <w:t>Retail stores</w:t>
      </w:r>
    </w:p>
    <w:p w14:paraId="69F7735C" w14:textId="0A081E98" w:rsidR="00F85F16" w:rsidRPr="00720AFF" w:rsidRDefault="00F85F16" w:rsidP="000B75A3">
      <w:pPr>
        <w:spacing w:after="120"/>
        <w:jc w:val="both"/>
      </w:pPr>
      <w:r w:rsidRPr="00720AFF">
        <w:t>The retail sector is responsible for over 1</w:t>
      </w:r>
      <w:r w:rsidR="00FF4B11">
        <w:t>1</w:t>
      </w:r>
      <w:r w:rsidRPr="00720AFF">
        <w:t>% of energy consumption by buildings in Australia</w:t>
      </w:r>
      <w:r w:rsidR="001A696B" w:rsidRPr="00720AFF">
        <w:t>.</w:t>
      </w:r>
      <w:r w:rsidR="0051180D" w:rsidRPr="00720AFF">
        <w:rPr>
          <w:rStyle w:val="FootnoteReference"/>
        </w:rPr>
        <w:footnoteReference w:id="30"/>
      </w:r>
      <w:r w:rsidRPr="00720AFF">
        <w:t xml:space="preserve"> Based on the large floor area of buildings in Australia dedicated to retail, there is significant scope for further energy performance improvements</w:t>
      </w:r>
      <w:r w:rsidR="00AE233A" w:rsidRPr="00720AFF">
        <w:t xml:space="preserve"> for this building types</w:t>
      </w:r>
      <w:r w:rsidRPr="00720AFF">
        <w:t>.</w:t>
      </w:r>
    </w:p>
    <w:p w14:paraId="4A4724D3" w14:textId="0D5455D7" w:rsidR="00554B6B" w:rsidRPr="00720AFF" w:rsidRDefault="00B74D35" w:rsidP="000B75A3">
      <w:pPr>
        <w:spacing w:after="120"/>
        <w:jc w:val="both"/>
      </w:pPr>
      <w:r w:rsidRPr="00720AFF">
        <w:lastRenderedPageBreak/>
        <w:t xml:space="preserve">The NABERS </w:t>
      </w:r>
      <w:r w:rsidR="00B40586" w:rsidRPr="00720AFF">
        <w:t>retail</w:t>
      </w:r>
      <w:r w:rsidRPr="00720AFF">
        <w:t xml:space="preserve"> energy </w:t>
      </w:r>
      <w:r w:rsidR="00C66395" w:rsidRPr="00720AFF">
        <w:t>rating</w:t>
      </w:r>
      <w:r w:rsidRPr="00720AFF">
        <w:t xml:space="preserve"> was recently launched in 2024</w:t>
      </w:r>
      <w:r w:rsidR="001753C9" w:rsidRPr="00720AFF">
        <w:t xml:space="preserve"> and covers retail</w:t>
      </w:r>
      <w:r w:rsidR="00AB3B21" w:rsidRPr="00720AFF">
        <w:t xml:space="preserve"> stores in shopping centres,</w:t>
      </w:r>
      <w:r w:rsidR="00A54859" w:rsidRPr="00720AFF">
        <w:t xml:space="preserve"> </w:t>
      </w:r>
      <w:r w:rsidR="003E1F28" w:rsidRPr="00720AFF">
        <w:t>standalone</w:t>
      </w:r>
      <w:r w:rsidR="00A54859" w:rsidRPr="00720AFF">
        <w:t xml:space="preserve"> </w:t>
      </w:r>
      <w:r w:rsidR="00257397" w:rsidRPr="00720AFF">
        <w:t xml:space="preserve">retail stores </w:t>
      </w:r>
      <w:r w:rsidR="003E1F28" w:rsidRPr="00720AFF">
        <w:t xml:space="preserve">and </w:t>
      </w:r>
      <w:r w:rsidR="00262B00" w:rsidRPr="00720AFF">
        <w:t xml:space="preserve">retail </w:t>
      </w:r>
      <w:r w:rsidR="00584F31" w:rsidRPr="00720AFF">
        <w:t>strips</w:t>
      </w:r>
      <w:r w:rsidRPr="00720AFF">
        <w:t>.</w:t>
      </w:r>
      <w:r w:rsidR="003938FD" w:rsidRPr="00720AFF">
        <w:t xml:space="preserve"> NABERS </w:t>
      </w:r>
      <w:r w:rsidR="00266018" w:rsidRPr="00720AFF">
        <w:t>has expanded</w:t>
      </w:r>
      <w:r w:rsidR="00A05693" w:rsidRPr="00720AFF">
        <w:t xml:space="preserve"> </w:t>
      </w:r>
      <w:r w:rsidR="00054EA7" w:rsidRPr="00720AFF">
        <w:t>the</w:t>
      </w:r>
      <w:r w:rsidR="5F7D03D4" w:rsidRPr="00720AFF">
        <w:t xml:space="preserve"> </w:t>
      </w:r>
      <w:r w:rsidR="00A05693" w:rsidRPr="00720AFF">
        <w:t xml:space="preserve">co-assess </w:t>
      </w:r>
      <w:r w:rsidR="00881F91" w:rsidRPr="00720AFF">
        <w:t>process</w:t>
      </w:r>
      <w:r w:rsidR="00A05693" w:rsidRPr="00720AFF">
        <w:t xml:space="preserve"> </w:t>
      </w:r>
      <w:r w:rsidR="00880D0C" w:rsidRPr="00720AFF">
        <w:t>to retail</w:t>
      </w:r>
      <w:r w:rsidR="0036372D" w:rsidRPr="00720AFF">
        <w:t xml:space="preserve">. </w:t>
      </w:r>
      <w:proofErr w:type="gramStart"/>
      <w:r w:rsidR="00C2139A" w:rsidRPr="00720AFF">
        <w:t>Similar to</w:t>
      </w:r>
      <w:proofErr w:type="gramEnd"/>
      <w:r w:rsidR="00C2139A" w:rsidRPr="00720AFF">
        <w:t xml:space="preserve"> offices, t</w:t>
      </w:r>
      <w:r w:rsidR="00CE791D" w:rsidRPr="00720AFF">
        <w:t>his</w:t>
      </w:r>
      <w:r w:rsidR="0036372D" w:rsidRPr="00720AFF">
        <w:t xml:space="preserve"> </w:t>
      </w:r>
      <w:r w:rsidR="00665984" w:rsidRPr="00720AFF">
        <w:t>enables retail tenants to obtain a NABERS rating alongside their shopping centre’s building energy rating</w:t>
      </w:r>
      <w:r w:rsidR="00432381" w:rsidRPr="00720AFF">
        <w:t>.</w:t>
      </w:r>
      <w:r w:rsidR="00B345EC" w:rsidRPr="00720AFF">
        <w:t xml:space="preserve"> </w:t>
      </w:r>
      <w:r w:rsidR="003938FD" w:rsidRPr="00720AFF">
        <w:t xml:space="preserve">These readily available energy ratings </w:t>
      </w:r>
      <w:r w:rsidR="76B7212B" w:rsidRPr="00720AFF">
        <w:t>make</w:t>
      </w:r>
      <w:r w:rsidR="003938FD" w:rsidRPr="00720AFF">
        <w:t xml:space="preserve"> it technically feasible to extend the CBD Program to </w:t>
      </w:r>
      <w:r w:rsidR="00B345EC" w:rsidRPr="00720AFF">
        <w:t>the</w:t>
      </w:r>
      <w:r w:rsidR="00D14DD5" w:rsidRPr="00720AFF">
        <w:t xml:space="preserve"> retail</w:t>
      </w:r>
      <w:r w:rsidR="003938FD" w:rsidRPr="00720AFF">
        <w:t xml:space="preserve"> sector.</w:t>
      </w:r>
    </w:p>
    <w:p w14:paraId="554AF3D6" w14:textId="5453A471" w:rsidR="00002D3F" w:rsidRPr="00720AFF" w:rsidRDefault="00E13BF5" w:rsidP="000B75A3">
      <w:pPr>
        <w:spacing w:after="120"/>
        <w:jc w:val="both"/>
      </w:pPr>
      <w:r w:rsidRPr="00720AFF">
        <w:t xml:space="preserve">Consideration of whether </w:t>
      </w:r>
      <w:r w:rsidR="008F30F5" w:rsidRPr="00720AFF">
        <w:t xml:space="preserve">to extend the CBD Program to retail stores should be made </w:t>
      </w:r>
      <w:r w:rsidR="00BC4926" w:rsidRPr="00720AFF">
        <w:t>at the same time as shopping centres.</w:t>
      </w:r>
      <w:r w:rsidR="000B380C" w:rsidRPr="00720AFF">
        <w:t xml:space="preserve"> To minimise the regulatory burden, </w:t>
      </w:r>
      <w:r w:rsidR="00383F71" w:rsidRPr="00720AFF">
        <w:t>large retail space</w:t>
      </w:r>
      <w:r w:rsidR="00C47646" w:rsidRPr="00720AFF">
        <w:t>s</w:t>
      </w:r>
      <w:r w:rsidR="00383F71" w:rsidRPr="00720AFF">
        <w:t xml:space="preserve"> should be considered first, </w:t>
      </w:r>
      <w:r w:rsidR="0028102F" w:rsidRPr="00720AFF">
        <w:t xml:space="preserve">along with </w:t>
      </w:r>
      <w:r w:rsidR="000E5E85" w:rsidRPr="00720AFF">
        <w:t>considering how</w:t>
      </w:r>
      <w:r w:rsidR="001036D0" w:rsidRPr="00720AFF">
        <w:t xml:space="preserve"> </w:t>
      </w:r>
      <w:r w:rsidR="00AA6DAF" w:rsidRPr="00720AFF">
        <w:t>rating a portfolio of stores</w:t>
      </w:r>
      <w:r w:rsidR="00AD603E" w:rsidRPr="00720AFF">
        <w:t xml:space="preserve"> can be </w:t>
      </w:r>
      <w:r w:rsidR="001036D0" w:rsidRPr="00720AFF">
        <w:t xml:space="preserve">operationally </w:t>
      </w:r>
      <w:r w:rsidR="00E664C2" w:rsidRPr="00720AFF">
        <w:t>streamlined.</w:t>
      </w:r>
    </w:p>
    <w:p w14:paraId="78F5B57A" w14:textId="168DEABE" w:rsidR="00002D3F" w:rsidRPr="00720AFF" w:rsidRDefault="00002D3F" w:rsidP="000B75A3">
      <w:pPr>
        <w:pStyle w:val="Heading4"/>
        <w:spacing w:after="120"/>
        <w:jc w:val="both"/>
      </w:pPr>
      <w:r w:rsidRPr="00720AFF">
        <w:t xml:space="preserve">Data </w:t>
      </w:r>
      <w:r w:rsidR="00992D01" w:rsidRPr="00720AFF">
        <w:t>c</w:t>
      </w:r>
      <w:r w:rsidRPr="00720AFF">
        <w:t>entres</w:t>
      </w:r>
    </w:p>
    <w:p w14:paraId="1E8C3D49" w14:textId="0BFF0A3A" w:rsidR="00F85F16" w:rsidRPr="00720AFF" w:rsidRDefault="00BC7A7A" w:rsidP="000B75A3">
      <w:pPr>
        <w:spacing w:after="120"/>
        <w:jc w:val="both"/>
      </w:pPr>
      <w:r w:rsidRPr="00720AFF">
        <w:t xml:space="preserve">There are approximately </w:t>
      </w:r>
      <w:r w:rsidR="007C1A2D" w:rsidRPr="00720AFF">
        <w:t>300</w:t>
      </w:r>
      <w:r w:rsidRPr="00720AFF">
        <w:t xml:space="preserve"> </w:t>
      </w:r>
      <w:r w:rsidR="00C8293F" w:rsidRPr="00720AFF">
        <w:t xml:space="preserve">data </w:t>
      </w:r>
      <w:r w:rsidRPr="00720AFF">
        <w:t xml:space="preserve">centres currently in </w:t>
      </w:r>
      <w:r w:rsidR="007F3F02" w:rsidRPr="00720AFF">
        <w:t>Australia</w:t>
      </w:r>
      <w:r w:rsidR="00831FF4">
        <w:t xml:space="preserve"> (estimates vary)</w:t>
      </w:r>
      <w:r w:rsidR="0008775F" w:rsidRPr="00720AFF">
        <w:t>.</w:t>
      </w:r>
      <w:r w:rsidR="0032196C" w:rsidRPr="00720AFF">
        <w:rPr>
          <w:rStyle w:val="FootnoteReference"/>
        </w:rPr>
        <w:footnoteReference w:id="31"/>
      </w:r>
      <w:r w:rsidR="007F3F02" w:rsidRPr="00720AFF">
        <w:t xml:space="preserve"> </w:t>
      </w:r>
      <w:r w:rsidR="000F4377">
        <w:t>In 2024-25, data centres consumed around 4TWh of electricity across the N</w:t>
      </w:r>
      <w:r w:rsidR="0075697F">
        <w:t xml:space="preserve">ational </w:t>
      </w:r>
      <w:r w:rsidR="000F4377">
        <w:t>E</w:t>
      </w:r>
      <w:r w:rsidR="0075697F">
        <w:t xml:space="preserve">lectricity </w:t>
      </w:r>
      <w:r w:rsidR="000F4377">
        <w:t>M</w:t>
      </w:r>
      <w:r w:rsidR="0075697F">
        <w:t>arket</w:t>
      </w:r>
      <w:r w:rsidR="000F4377">
        <w:t xml:space="preserve">, accounting for around 2% of grid delivered supply. </w:t>
      </w:r>
      <w:r w:rsidR="00A03DBA">
        <w:t xml:space="preserve">The sector is experiencing rapid growth in scale and energy needs. </w:t>
      </w:r>
      <w:r w:rsidR="000F4377">
        <w:t xml:space="preserve">Data centre consumption is forecast to reach 21.4 TWh by 2034-35 under the Australian Energy Market Operator’s </w:t>
      </w:r>
      <w:r w:rsidR="000F4377">
        <w:rPr>
          <w:i/>
          <w:iCs/>
        </w:rPr>
        <w:t xml:space="preserve">Step </w:t>
      </w:r>
      <w:r w:rsidR="000F4377" w:rsidRPr="00B72522">
        <w:t>Change</w:t>
      </w:r>
      <w:r w:rsidR="000F4377">
        <w:t xml:space="preserve"> scenario.</w:t>
      </w:r>
      <w:r w:rsidR="00DA5E87" w:rsidRPr="00720AFF">
        <w:rPr>
          <w:rStyle w:val="FootnoteReference"/>
        </w:rPr>
        <w:footnoteReference w:id="32"/>
      </w:r>
    </w:p>
    <w:p w14:paraId="77B434CD" w14:textId="24A34391" w:rsidR="00386BFA" w:rsidRPr="00720AFF" w:rsidRDefault="004E788F" w:rsidP="000B75A3">
      <w:pPr>
        <w:spacing w:after="120"/>
        <w:jc w:val="both"/>
      </w:pPr>
      <w:r w:rsidRPr="00720AFF">
        <w:t xml:space="preserve">The </w:t>
      </w:r>
      <w:r w:rsidR="009C7BA5" w:rsidRPr="00720AFF">
        <w:t xml:space="preserve">NABERS </w:t>
      </w:r>
      <w:r w:rsidR="00421D49" w:rsidRPr="00720AFF">
        <w:t>data centre energy rating</w:t>
      </w:r>
      <w:r w:rsidR="009C7BA5" w:rsidRPr="00720AFF">
        <w:t xml:space="preserve"> ha</w:t>
      </w:r>
      <w:r w:rsidR="00913683" w:rsidRPr="00720AFF">
        <w:t>s</w:t>
      </w:r>
      <w:r w:rsidR="009C7BA5" w:rsidRPr="00720AFF">
        <w:t xml:space="preserve"> been</w:t>
      </w:r>
      <w:r w:rsidR="000A14D1" w:rsidRPr="00720AFF">
        <w:t xml:space="preserve"> in operation since </w:t>
      </w:r>
      <w:r w:rsidR="00EA6B93" w:rsidRPr="00720AFF">
        <w:t xml:space="preserve">2014. </w:t>
      </w:r>
      <w:r w:rsidR="00532B7C" w:rsidRPr="00720AFF">
        <w:t xml:space="preserve">The </w:t>
      </w:r>
      <w:r w:rsidR="00743FCD" w:rsidRPr="00720AFF">
        <w:t>rating</w:t>
      </w:r>
      <w:r w:rsidR="00E53A64" w:rsidRPr="00720AFF">
        <w:t xml:space="preserve"> is based on the data centre’s Power Usage Effectiveness (PUE)</w:t>
      </w:r>
      <w:r w:rsidR="00BC0943" w:rsidRPr="00720AFF">
        <w:t xml:space="preserve"> which is a globally accepted metric. </w:t>
      </w:r>
      <w:r w:rsidR="006C6B90" w:rsidRPr="00720AFF">
        <w:t xml:space="preserve">The </w:t>
      </w:r>
      <w:r w:rsidR="00FC2A45" w:rsidRPr="00720AFF">
        <w:t>ratings</w:t>
      </w:r>
      <w:r w:rsidR="007B7020" w:rsidRPr="00720AFF">
        <w:t xml:space="preserve"> cover facilities that a</w:t>
      </w:r>
      <w:r w:rsidR="00F83A90" w:rsidRPr="00720AFF">
        <w:t xml:space="preserve">re dedicated to </w:t>
      </w:r>
      <w:r w:rsidR="00A90AE0" w:rsidRPr="00720AFF">
        <w:t>the housing and operation of IT equipment</w:t>
      </w:r>
      <w:r w:rsidR="003777D6" w:rsidRPr="00720AFF">
        <w:t xml:space="preserve">, whether that be a standalone facility or a facility within a building that also includes other facilities such as offices. </w:t>
      </w:r>
      <w:r w:rsidR="00A540F6" w:rsidRPr="00720AFF">
        <w:t xml:space="preserve">The NABERS </w:t>
      </w:r>
      <w:r w:rsidR="0032155A" w:rsidRPr="00720AFF">
        <w:t xml:space="preserve">data centre infrastructure rating is the most </w:t>
      </w:r>
      <w:r w:rsidR="003551BA" w:rsidRPr="00720AFF">
        <w:t>relevant rating</w:t>
      </w:r>
      <w:r w:rsidR="0088354B" w:rsidRPr="00720AFF">
        <w:t xml:space="preserve"> for data centre owners and managers. It </w:t>
      </w:r>
      <w:r w:rsidR="00C4616E" w:rsidRPr="00720AFF">
        <w:t xml:space="preserve">allows them to determine their </w:t>
      </w:r>
      <w:r w:rsidR="004351D3" w:rsidRPr="00720AFF">
        <w:t>facility’s energy efficiency in supplying the infrastructure</w:t>
      </w:r>
      <w:r w:rsidR="002C017F" w:rsidRPr="00720AFF">
        <w:t xml:space="preserve"> </w:t>
      </w:r>
      <w:r w:rsidR="00A91E60" w:rsidRPr="00720AFF">
        <w:t>services to the IT equipment housed in a data centre</w:t>
      </w:r>
      <w:r w:rsidR="008B524F" w:rsidRPr="00720AFF">
        <w:t>.</w:t>
      </w:r>
      <w:r w:rsidR="00A91E60" w:rsidRPr="00720AFF">
        <w:rPr>
          <w:rStyle w:val="FootnoteReference"/>
        </w:rPr>
        <w:footnoteReference w:id="33"/>
      </w:r>
      <w:r w:rsidR="007204E6" w:rsidRPr="00720AFF">
        <w:t xml:space="preserve"> </w:t>
      </w:r>
      <w:r w:rsidR="00FB5B55" w:rsidRPr="00720AFF">
        <w:t>All rating</w:t>
      </w:r>
      <w:r w:rsidR="00EA1AC5" w:rsidRPr="00720AFF">
        <w:t xml:space="preserve"> certificates</w:t>
      </w:r>
      <w:r w:rsidR="00FB5B55" w:rsidRPr="00720AFF">
        <w:t xml:space="preserve">, including for data centres, also </w:t>
      </w:r>
      <w:r w:rsidR="00EA1AC5" w:rsidRPr="00720AFF">
        <w:t xml:space="preserve">contain the </w:t>
      </w:r>
      <w:r w:rsidR="00FB140C" w:rsidRPr="00720AFF">
        <w:t>REI</w:t>
      </w:r>
      <w:r w:rsidR="00B85AEF" w:rsidRPr="00720AFF">
        <w:t>.</w:t>
      </w:r>
    </w:p>
    <w:p w14:paraId="768B99ED" w14:textId="1C2693BD" w:rsidR="009A745D" w:rsidRPr="00720AFF" w:rsidRDefault="00B94168" w:rsidP="000B75A3">
      <w:pPr>
        <w:spacing w:after="120"/>
        <w:jc w:val="both"/>
      </w:pPr>
      <w:r w:rsidRPr="00720AFF">
        <w:t xml:space="preserve">Feedback from </w:t>
      </w:r>
      <w:proofErr w:type="gramStart"/>
      <w:r w:rsidRPr="00720AFF">
        <w:t>a number of</w:t>
      </w:r>
      <w:proofErr w:type="gramEnd"/>
      <w:r w:rsidRPr="00720AFF">
        <w:t xml:space="preserve"> data centre stakeholders suggest that </w:t>
      </w:r>
      <w:r w:rsidR="00201F69" w:rsidRPr="00720AFF">
        <w:t xml:space="preserve">further refinement of the tool may be needed before </w:t>
      </w:r>
      <w:r w:rsidR="00E5261B" w:rsidRPr="00720AFF">
        <w:t xml:space="preserve">the CBD Program can be effectively applied to data centres. </w:t>
      </w:r>
      <w:proofErr w:type="gramStart"/>
      <w:r w:rsidR="00E65716" w:rsidRPr="00720AFF">
        <w:t xml:space="preserve">In particular, </w:t>
      </w:r>
      <w:r w:rsidR="00B80009" w:rsidRPr="00720AFF">
        <w:t>reviewing</w:t>
      </w:r>
      <w:proofErr w:type="gramEnd"/>
      <w:r w:rsidR="00B80009" w:rsidRPr="00720AFF">
        <w:t xml:space="preserve"> how </w:t>
      </w:r>
      <w:r w:rsidR="005E3722" w:rsidRPr="00720AFF">
        <w:t xml:space="preserve">water </w:t>
      </w:r>
      <w:r w:rsidR="00DC7EF0" w:rsidRPr="00720AFF">
        <w:t xml:space="preserve">efficiency should be </w:t>
      </w:r>
      <w:r w:rsidR="00C519A7" w:rsidRPr="00720AFF">
        <w:t>considered</w:t>
      </w:r>
      <w:r w:rsidR="00DC7EF0" w:rsidRPr="00720AFF">
        <w:t xml:space="preserve"> when assessing energy effi</w:t>
      </w:r>
      <w:r w:rsidR="00A3276C" w:rsidRPr="00720AFF">
        <w:t xml:space="preserve">ciency </w:t>
      </w:r>
      <w:r w:rsidR="000B1EB9" w:rsidRPr="00720AFF">
        <w:t>considering how</w:t>
      </w:r>
      <w:r w:rsidR="005C4330" w:rsidRPr="00720AFF">
        <w:t xml:space="preserve"> closely link</w:t>
      </w:r>
      <w:r w:rsidR="002D63CB" w:rsidRPr="00720AFF">
        <w:t>ed</w:t>
      </w:r>
      <w:r w:rsidR="005C4330" w:rsidRPr="00720AFF">
        <w:t xml:space="preserve"> water and energy use are</w:t>
      </w:r>
      <w:r w:rsidR="00EA3428" w:rsidRPr="00720AFF">
        <w:t xml:space="preserve"> in data centres.</w:t>
      </w:r>
      <w:r w:rsidR="005C4330" w:rsidRPr="00720AFF">
        <w:t xml:space="preserve"> </w:t>
      </w:r>
      <w:r w:rsidR="00B22B09" w:rsidRPr="00720AFF">
        <w:t xml:space="preserve"> </w:t>
      </w:r>
      <w:r w:rsidR="002C0DC1" w:rsidRPr="00720AFF">
        <w:t xml:space="preserve">The department is working with NABERS to investigate </w:t>
      </w:r>
      <w:r w:rsidR="00BC1C30" w:rsidRPr="00720AFF">
        <w:t>options</w:t>
      </w:r>
      <w:r w:rsidR="002C0DC1" w:rsidRPr="00720AFF">
        <w:t xml:space="preserve"> to </w:t>
      </w:r>
      <w:r w:rsidR="00CD1566" w:rsidRPr="00720AFF">
        <w:t>address this feedback</w:t>
      </w:r>
      <w:r w:rsidR="002C0DC1" w:rsidRPr="00720AFF">
        <w:t>.</w:t>
      </w:r>
    </w:p>
    <w:p w14:paraId="3EF3E718" w14:textId="67E3C166" w:rsidR="009A745D" w:rsidRPr="00720AFF" w:rsidRDefault="009A745D" w:rsidP="000B75A3">
      <w:pPr>
        <w:spacing w:after="120"/>
        <w:jc w:val="both"/>
      </w:pPr>
      <w:r w:rsidRPr="00720AFF">
        <w:t xml:space="preserve">As with shopping centres, the independent review of the CBD Program in 2019 </w:t>
      </w:r>
      <w:r w:rsidR="009056DE" w:rsidRPr="00720AFF">
        <w:t>made a draft finding that</w:t>
      </w:r>
      <w:r w:rsidR="00AE0B84" w:rsidRPr="00720AFF">
        <w:t xml:space="preserve"> the CBD Program should not be </w:t>
      </w:r>
      <w:r w:rsidR="008925E5" w:rsidRPr="00720AFF">
        <w:t xml:space="preserve">extended to data centres at this time. Considering the rapid change </w:t>
      </w:r>
      <w:r w:rsidR="00DE040D" w:rsidRPr="00720AFF">
        <w:t xml:space="preserve">and growth in the data centre industry and </w:t>
      </w:r>
      <w:r w:rsidR="00916CB3" w:rsidRPr="00720AFF">
        <w:t xml:space="preserve">increased imperatives around </w:t>
      </w:r>
      <w:r w:rsidR="009856E6" w:rsidRPr="00720AFF">
        <w:t>energy</w:t>
      </w:r>
      <w:r w:rsidRPr="00720AFF">
        <w:t xml:space="preserve"> </w:t>
      </w:r>
      <w:r w:rsidR="0046677D" w:rsidRPr="00720AFF">
        <w:t>and emissions reduction</w:t>
      </w:r>
      <w:r w:rsidR="006B1D4A" w:rsidRPr="00720AFF">
        <w:t xml:space="preserve">s, </w:t>
      </w:r>
      <w:r w:rsidR="006432A3" w:rsidRPr="00720AFF">
        <w:t>an updated assessment should be conducted, soon after the high priority expansion changes detailed in this roadmap have been addressed.</w:t>
      </w:r>
    </w:p>
    <w:p w14:paraId="7CBD7FE5" w14:textId="009DC602" w:rsidR="00730795" w:rsidRPr="00720AFF" w:rsidRDefault="00730795" w:rsidP="000B75A3">
      <w:pPr>
        <w:pStyle w:val="Heading4"/>
        <w:spacing w:after="120"/>
        <w:jc w:val="both"/>
      </w:pPr>
      <w:r w:rsidRPr="00720AFF">
        <w:t>Aged care and retirement living</w:t>
      </w:r>
    </w:p>
    <w:p w14:paraId="56CD3D2A" w14:textId="3576BFF5" w:rsidR="004D4A10" w:rsidRPr="00720AFF" w:rsidRDefault="00E43D73" w:rsidP="000B75A3">
      <w:pPr>
        <w:spacing w:after="120"/>
        <w:jc w:val="both"/>
      </w:pPr>
      <w:r w:rsidRPr="00720AFF">
        <w:t>Australia’s</w:t>
      </w:r>
      <w:r w:rsidR="00C80074" w:rsidRPr="00720AFF">
        <w:t xml:space="preserve"> aged care </w:t>
      </w:r>
      <w:r w:rsidR="004F4314" w:rsidRPr="00720AFF">
        <w:t>and retirement living</w:t>
      </w:r>
      <w:r w:rsidR="00C80074" w:rsidRPr="00720AFF">
        <w:t xml:space="preserve"> sector is </w:t>
      </w:r>
      <w:r w:rsidR="00984022" w:rsidRPr="00720AFF">
        <w:t>large</w:t>
      </w:r>
      <w:r w:rsidR="00C80074" w:rsidRPr="00720AFF">
        <w:t xml:space="preserve">, </w:t>
      </w:r>
      <w:r w:rsidR="003B695A" w:rsidRPr="00720AFF">
        <w:t>covering</w:t>
      </w:r>
      <w:r w:rsidR="00C80074" w:rsidRPr="00720AFF">
        <w:t xml:space="preserve"> 18 million square metres</w:t>
      </w:r>
      <w:r w:rsidR="002921A5" w:rsidRPr="00720AFF">
        <w:t xml:space="preserve"> of commercial space across </w:t>
      </w:r>
      <w:r w:rsidR="004547C9" w:rsidRPr="00720AFF">
        <w:t>more t</w:t>
      </w:r>
      <w:r w:rsidR="001B266F" w:rsidRPr="00720AFF">
        <w:t>ha</w:t>
      </w:r>
      <w:r w:rsidR="004547C9" w:rsidRPr="00720AFF">
        <w:t xml:space="preserve">n </w:t>
      </w:r>
      <w:r w:rsidR="007F0938">
        <w:t>30,000 buildings</w:t>
      </w:r>
      <w:r w:rsidR="008A02D1" w:rsidRPr="00720AFF">
        <w:t>.</w:t>
      </w:r>
      <w:r w:rsidR="004F4314" w:rsidRPr="00720AFF">
        <w:t xml:space="preserve"> These facilities </w:t>
      </w:r>
      <w:r w:rsidR="001B266F" w:rsidRPr="00720AFF">
        <w:t xml:space="preserve">are estimated to </w:t>
      </w:r>
      <w:r w:rsidR="00365E9F" w:rsidRPr="00720AFF">
        <w:t xml:space="preserve">consume </w:t>
      </w:r>
      <w:r w:rsidR="00D10543">
        <w:t>4.9</w:t>
      </w:r>
      <w:r w:rsidR="00B508FE" w:rsidRPr="00720AFF">
        <w:t xml:space="preserve"> PJ</w:t>
      </w:r>
      <w:r w:rsidR="00365E9F" w:rsidRPr="00720AFF">
        <w:t xml:space="preserve"> of energy annually, </w:t>
      </w:r>
      <w:r w:rsidR="000E41C5" w:rsidRPr="00720AFF">
        <w:t>accounting for</w:t>
      </w:r>
      <w:r w:rsidR="002D62B4" w:rsidRPr="00720AFF">
        <w:t xml:space="preserve"> </w:t>
      </w:r>
      <w:r w:rsidR="00E8063E" w:rsidRPr="00720AFF">
        <w:t xml:space="preserve">a </w:t>
      </w:r>
      <w:r w:rsidR="00D10543">
        <w:t>1</w:t>
      </w:r>
      <w:r w:rsidR="001D15CF" w:rsidRPr="00720AFF">
        <w:t xml:space="preserve">.8% </w:t>
      </w:r>
      <w:r w:rsidR="00E8063E" w:rsidRPr="00720AFF">
        <w:t xml:space="preserve">share </w:t>
      </w:r>
      <w:r w:rsidR="001D15CF" w:rsidRPr="00720AFF">
        <w:t>of commercial building energy use in Australia</w:t>
      </w:r>
      <w:r w:rsidR="001229E6" w:rsidRPr="00720AFF">
        <w:t>.</w:t>
      </w:r>
      <w:r w:rsidR="00D417C0" w:rsidRPr="00720AFF">
        <w:rPr>
          <w:rStyle w:val="FootnoteReference"/>
        </w:rPr>
        <w:footnoteReference w:id="34"/>
      </w:r>
      <w:r w:rsidR="004F4314" w:rsidRPr="00720AFF">
        <w:t xml:space="preserve"> </w:t>
      </w:r>
      <w:r w:rsidR="00173F6E">
        <w:t xml:space="preserve">While </w:t>
      </w:r>
      <w:r w:rsidR="00EE60B3">
        <w:t xml:space="preserve">this share of energy use is low, </w:t>
      </w:r>
      <w:r w:rsidR="008F0656">
        <w:t xml:space="preserve">the efficiency of </w:t>
      </w:r>
      <w:r w:rsidR="00EE60B3">
        <w:t xml:space="preserve">these buildings </w:t>
      </w:r>
      <w:r w:rsidR="00BD2FBE">
        <w:t>is</w:t>
      </w:r>
      <w:r w:rsidR="00EE60B3">
        <w:t xml:space="preserve"> of great importance due to </w:t>
      </w:r>
      <w:r w:rsidR="002A4031">
        <w:t xml:space="preserve">vulnerable </w:t>
      </w:r>
      <w:r w:rsidR="00BB6BC2">
        <w:t xml:space="preserve">people </w:t>
      </w:r>
      <w:r w:rsidR="00A862F5">
        <w:t>being dependent on</w:t>
      </w:r>
      <w:r w:rsidR="00BB6BC2">
        <w:t xml:space="preserve"> them.</w:t>
      </w:r>
    </w:p>
    <w:p w14:paraId="04809D7F" w14:textId="52E8F80F" w:rsidR="00785122" w:rsidRPr="00720AFF" w:rsidRDefault="00782458" w:rsidP="000B75A3">
      <w:pPr>
        <w:spacing w:after="120"/>
        <w:jc w:val="both"/>
      </w:pPr>
      <w:r w:rsidRPr="00720AFF">
        <w:t xml:space="preserve">NABERS </w:t>
      </w:r>
      <w:r w:rsidR="00955A52" w:rsidRPr="00720AFF">
        <w:t xml:space="preserve">provides </w:t>
      </w:r>
      <w:r w:rsidR="00453384" w:rsidRPr="00720AFF">
        <w:t xml:space="preserve">a combined </w:t>
      </w:r>
      <w:r w:rsidRPr="00720AFF">
        <w:t xml:space="preserve">rating tool for </w:t>
      </w:r>
      <w:r w:rsidR="00955A52" w:rsidRPr="00720AFF">
        <w:t xml:space="preserve">this sector, </w:t>
      </w:r>
      <w:r w:rsidR="00673069" w:rsidRPr="00720AFF">
        <w:t>with three</w:t>
      </w:r>
      <w:r w:rsidR="00955A52" w:rsidRPr="00720AFF">
        <w:t xml:space="preserve"> </w:t>
      </w:r>
      <w:r w:rsidR="00785122" w:rsidRPr="00720AFF">
        <w:t>types of ratings available:</w:t>
      </w:r>
    </w:p>
    <w:p w14:paraId="7188C6B8" w14:textId="4B23BACB" w:rsidR="00CA01E3" w:rsidRPr="00720AFF" w:rsidRDefault="00CA01E3" w:rsidP="000B75A3">
      <w:pPr>
        <w:pStyle w:val="ListParagraph"/>
        <w:numPr>
          <w:ilvl w:val="0"/>
          <w:numId w:val="1"/>
        </w:numPr>
        <w:spacing w:after="120"/>
        <w:jc w:val="both"/>
      </w:pPr>
      <w:r w:rsidRPr="00720AFF">
        <w:lastRenderedPageBreak/>
        <w:t>Residential aged care</w:t>
      </w:r>
      <w:r w:rsidR="00FE26A5" w:rsidRPr="00720AFF">
        <w:t xml:space="preserve"> facilities</w:t>
      </w:r>
      <w:r w:rsidR="002A6D4C" w:rsidRPr="00720AFF">
        <w:t xml:space="preserve"> </w:t>
      </w:r>
      <w:r w:rsidR="00A12239" w:rsidRPr="00720AFF">
        <w:t>–</w:t>
      </w:r>
      <w:r w:rsidR="002A6D4C" w:rsidRPr="00720AFF">
        <w:t xml:space="preserve"> </w:t>
      </w:r>
      <w:r w:rsidR="00F644F4" w:rsidRPr="00720AFF">
        <w:t>f</w:t>
      </w:r>
      <w:r w:rsidR="002A6D4C" w:rsidRPr="00720AFF">
        <w:t xml:space="preserve">acilities that provide supported aged care for those unable to live independently. Residents receive catered meals and </w:t>
      </w:r>
      <w:proofErr w:type="gramStart"/>
      <w:r w:rsidR="002A6D4C" w:rsidRPr="00720AFF">
        <w:t>full time</w:t>
      </w:r>
      <w:proofErr w:type="gramEnd"/>
      <w:r w:rsidR="002A6D4C" w:rsidRPr="00720AFF">
        <w:t xml:space="preserve"> care at all </w:t>
      </w:r>
      <w:proofErr w:type="gramStart"/>
      <w:r w:rsidR="002A6D4C" w:rsidRPr="00720AFF">
        <w:t>times, and</w:t>
      </w:r>
      <w:proofErr w:type="gramEnd"/>
      <w:r w:rsidR="002A6D4C" w:rsidRPr="00720AFF">
        <w:t xml:space="preserve"> occupy a bed within the facility</w:t>
      </w:r>
      <w:r w:rsidR="00EA60AE" w:rsidRPr="00720AFF">
        <w:t>.</w:t>
      </w:r>
    </w:p>
    <w:p w14:paraId="67560DDD" w14:textId="6688B319" w:rsidR="00FE26A5" w:rsidRPr="00720AFF" w:rsidRDefault="00FE26A5" w:rsidP="000B75A3">
      <w:pPr>
        <w:pStyle w:val="ListParagraph"/>
        <w:numPr>
          <w:ilvl w:val="0"/>
          <w:numId w:val="1"/>
        </w:numPr>
        <w:spacing w:after="120"/>
        <w:jc w:val="both"/>
      </w:pPr>
      <w:r w:rsidRPr="00720AFF">
        <w:t>Retirement living facilities</w:t>
      </w:r>
      <w:r w:rsidR="002A6D4C" w:rsidRPr="00720AFF">
        <w:t xml:space="preserve"> </w:t>
      </w:r>
      <w:r w:rsidR="00A12239" w:rsidRPr="00720AFF">
        <w:t>–</w:t>
      </w:r>
      <w:r w:rsidR="002A6D4C" w:rsidRPr="00720AFF">
        <w:t xml:space="preserve"> </w:t>
      </w:r>
      <w:r w:rsidR="00F644F4" w:rsidRPr="00720AFF">
        <w:t>f</w:t>
      </w:r>
      <w:r w:rsidR="007D3A94" w:rsidRPr="00720AFF">
        <w:t xml:space="preserve">acilities that provide an independent lifestyle to residents over the age of </w:t>
      </w:r>
      <w:proofErr w:type="gramStart"/>
      <w:r w:rsidR="007D3A94" w:rsidRPr="00720AFF">
        <w:t>55, and</w:t>
      </w:r>
      <w:proofErr w:type="gramEnd"/>
      <w:r w:rsidR="007D3A94" w:rsidRPr="00720AFF">
        <w:t xml:space="preserve"> provide minimal</w:t>
      </w:r>
      <w:r w:rsidR="000B5B72" w:rsidRPr="00720AFF">
        <w:t xml:space="preserve"> </w:t>
      </w:r>
      <w:r w:rsidR="007D3A94" w:rsidRPr="00720AFF">
        <w:t>to</w:t>
      </w:r>
      <w:r w:rsidR="006D6789" w:rsidRPr="00720AFF">
        <w:t xml:space="preserve"> </w:t>
      </w:r>
      <w:r w:rsidR="007D3A94" w:rsidRPr="00720AFF">
        <w:t>no day-to-day assistance. A retirement living resident occupies a dwelling within the facility.</w:t>
      </w:r>
    </w:p>
    <w:p w14:paraId="07A0BA6F" w14:textId="51313888" w:rsidR="004251F1" w:rsidRPr="00720AFF" w:rsidRDefault="007704DE" w:rsidP="000B75A3">
      <w:pPr>
        <w:pStyle w:val="ListParagraph"/>
        <w:numPr>
          <w:ilvl w:val="0"/>
          <w:numId w:val="1"/>
        </w:numPr>
        <w:spacing w:after="120"/>
        <w:jc w:val="both"/>
      </w:pPr>
      <w:r w:rsidRPr="00720AFF">
        <w:t xml:space="preserve">Co-located </w:t>
      </w:r>
      <w:r w:rsidR="00FE522F" w:rsidRPr="00720AFF">
        <w:t xml:space="preserve">residential aged care </w:t>
      </w:r>
      <w:r w:rsidRPr="00720AFF">
        <w:t xml:space="preserve">and retirement living </w:t>
      </w:r>
      <w:r w:rsidR="00F644F4" w:rsidRPr="00720AFF">
        <w:t>–</w:t>
      </w:r>
      <w:r w:rsidR="0025470C" w:rsidRPr="00720AFF">
        <w:t xml:space="preserve"> facilit</w:t>
      </w:r>
      <w:r w:rsidR="00F644F4" w:rsidRPr="00720AFF">
        <w:t>ies</w:t>
      </w:r>
      <w:r w:rsidR="0025470C" w:rsidRPr="00720AFF">
        <w:t xml:space="preserve"> that ha</w:t>
      </w:r>
      <w:r w:rsidR="00F644F4" w:rsidRPr="00720AFF">
        <w:t>ve</w:t>
      </w:r>
      <w:r w:rsidR="0025470C" w:rsidRPr="00720AFF">
        <w:t xml:space="preserve"> a residential aged care facility and retirement living facility located within the same site area.</w:t>
      </w:r>
    </w:p>
    <w:p w14:paraId="429AFEF5" w14:textId="4ED84911" w:rsidR="009044A9" w:rsidRPr="00720AFF" w:rsidRDefault="00782458" w:rsidP="000B75A3">
      <w:pPr>
        <w:spacing w:after="120"/>
        <w:jc w:val="both"/>
      </w:pPr>
      <w:r w:rsidRPr="00720AFF">
        <w:t>Th</w:t>
      </w:r>
      <w:r w:rsidR="00A42D7E" w:rsidRPr="00720AFF">
        <w:t>e NABERS aged care and retirement living energy</w:t>
      </w:r>
      <w:r w:rsidRPr="00720AFF">
        <w:t xml:space="preserve"> </w:t>
      </w:r>
      <w:r w:rsidR="000D49E4" w:rsidRPr="00720AFF">
        <w:t>rating</w:t>
      </w:r>
      <w:r w:rsidR="004251F1" w:rsidRPr="00720AFF">
        <w:t xml:space="preserve"> i</w:t>
      </w:r>
      <w:r w:rsidR="002F0F71" w:rsidRPr="00720AFF">
        <w:t>s</w:t>
      </w:r>
      <w:r w:rsidRPr="00720AFF">
        <w:t xml:space="preserve"> </w:t>
      </w:r>
      <w:r w:rsidR="00FE522F" w:rsidRPr="00720AFF">
        <w:t>relatively new, having launc</w:t>
      </w:r>
      <w:r w:rsidR="00EE5DC6" w:rsidRPr="00720AFF">
        <w:t>h</w:t>
      </w:r>
      <w:r w:rsidR="00FE522F" w:rsidRPr="00720AFF">
        <w:t xml:space="preserve">ed in 2021. </w:t>
      </w:r>
      <w:r w:rsidR="00F01698" w:rsidRPr="00720AFF">
        <w:t xml:space="preserve">The </w:t>
      </w:r>
      <w:r w:rsidR="006D70C5" w:rsidRPr="00720AFF">
        <w:t>rating</w:t>
      </w:r>
      <w:r w:rsidR="00F01698" w:rsidRPr="00720AFF">
        <w:t xml:space="preserve"> provides </w:t>
      </w:r>
      <w:r w:rsidR="00DC419E" w:rsidRPr="00720AFF">
        <w:t xml:space="preserve">aged care </w:t>
      </w:r>
      <w:r w:rsidR="0043648E" w:rsidRPr="00720AFF">
        <w:t xml:space="preserve">and retirement living </w:t>
      </w:r>
      <w:r w:rsidR="00DC419E" w:rsidRPr="00720AFF">
        <w:t>facilities with</w:t>
      </w:r>
      <w:r w:rsidR="00F01698" w:rsidRPr="00720AFF">
        <w:t xml:space="preserve"> a rating from one to six stars</w:t>
      </w:r>
      <w:r w:rsidR="00DC419E" w:rsidRPr="00720AFF">
        <w:t>,</w:t>
      </w:r>
      <w:r w:rsidR="00F01698" w:rsidRPr="00720AFF">
        <w:t xml:space="preserve"> as per other </w:t>
      </w:r>
      <w:r w:rsidR="0048674E" w:rsidRPr="00720AFF">
        <w:t xml:space="preserve">NABERS </w:t>
      </w:r>
      <w:r w:rsidR="00E06853" w:rsidRPr="00720AFF">
        <w:t xml:space="preserve">energy </w:t>
      </w:r>
      <w:r w:rsidR="0048674E" w:rsidRPr="00720AFF">
        <w:t xml:space="preserve">ratings. The final </w:t>
      </w:r>
      <w:r w:rsidR="00DC419E" w:rsidRPr="00720AFF">
        <w:t>star rating</w:t>
      </w:r>
      <w:r w:rsidR="0048674E" w:rsidRPr="00720AFF">
        <w:t xml:space="preserve"> outcome</w:t>
      </w:r>
      <w:r w:rsidR="000B555E" w:rsidRPr="00720AFF">
        <w:t xml:space="preserve"> is</w:t>
      </w:r>
      <w:r w:rsidR="00F01698" w:rsidRPr="00720AFF">
        <w:t xml:space="preserve"> based on the </w:t>
      </w:r>
      <w:r w:rsidR="00425201" w:rsidRPr="00720AFF">
        <w:t xml:space="preserve">annual </w:t>
      </w:r>
      <w:r w:rsidR="00F01698" w:rsidRPr="00720AFF">
        <w:t xml:space="preserve">energy use </w:t>
      </w:r>
      <w:r w:rsidR="00271F2E" w:rsidRPr="00720AFF">
        <w:t>at the site</w:t>
      </w:r>
      <w:r w:rsidR="00425201" w:rsidRPr="00720AFF">
        <w:t>,</w:t>
      </w:r>
      <w:r w:rsidR="00271F2E" w:rsidRPr="00720AFF">
        <w:t xml:space="preserve"> and the </w:t>
      </w:r>
      <w:r w:rsidR="00680F5F" w:rsidRPr="00720AFF">
        <w:t>level</w:t>
      </w:r>
      <w:r w:rsidR="00F01698" w:rsidRPr="00720AFF">
        <w:t xml:space="preserve"> of services </w:t>
      </w:r>
      <w:r w:rsidR="00680F5F" w:rsidRPr="00720AFF">
        <w:t xml:space="preserve">provided </w:t>
      </w:r>
      <w:r w:rsidR="00F01698" w:rsidRPr="00720AFF">
        <w:t xml:space="preserve">such as occupied bed days, heavy laundry processed on site, meals cooked and shared facilities such as heated pools. </w:t>
      </w:r>
      <w:r w:rsidR="00690903" w:rsidRPr="00720AFF">
        <w:t xml:space="preserve">All rating certificates, including for </w:t>
      </w:r>
      <w:r w:rsidR="00DA7F8C" w:rsidRPr="00720AFF">
        <w:t>aged care and retirement living</w:t>
      </w:r>
      <w:r w:rsidR="00690903" w:rsidRPr="00720AFF">
        <w:t xml:space="preserve">, also contain the </w:t>
      </w:r>
      <w:r w:rsidR="008E251A" w:rsidRPr="00720AFF">
        <w:t>REI</w:t>
      </w:r>
      <w:r w:rsidR="0074617F" w:rsidRPr="00720AFF">
        <w:t>.</w:t>
      </w:r>
      <w:r w:rsidR="00690903" w:rsidRPr="00720AFF">
        <w:t xml:space="preserve"> </w:t>
      </w:r>
    </w:p>
    <w:p w14:paraId="12CF62E2" w14:textId="1BA49AD7" w:rsidR="00E17CF8" w:rsidRPr="00720AFF" w:rsidRDefault="00E95113" w:rsidP="000B75A3">
      <w:pPr>
        <w:spacing w:after="120"/>
        <w:jc w:val="both"/>
      </w:pPr>
      <w:r w:rsidRPr="00720AFF">
        <w:t xml:space="preserve">Of </w:t>
      </w:r>
      <w:r w:rsidR="00186218" w:rsidRPr="00720AFF">
        <w:t>voluntary ratings</w:t>
      </w:r>
      <w:r w:rsidRPr="00720AFF">
        <w:t xml:space="preserve"> </w:t>
      </w:r>
      <w:r w:rsidR="00A9056E" w:rsidRPr="00720AFF">
        <w:t>completed for this sector</w:t>
      </w:r>
      <w:r w:rsidR="00DA1680" w:rsidRPr="00720AFF">
        <w:t xml:space="preserve"> since </w:t>
      </w:r>
      <w:r w:rsidR="00485C07" w:rsidRPr="00720AFF">
        <w:t>the tool was launched</w:t>
      </w:r>
      <w:r w:rsidR="00A9056E" w:rsidRPr="00720AFF">
        <w:t xml:space="preserve">, </w:t>
      </w:r>
      <w:r w:rsidR="00DA3306" w:rsidRPr="00720AFF">
        <w:t xml:space="preserve">more than </w:t>
      </w:r>
      <w:r w:rsidR="007F0D20" w:rsidRPr="00720AFF">
        <w:t>68</w:t>
      </w:r>
      <w:r w:rsidR="00DA3306" w:rsidRPr="00720AFF">
        <w:t>%</w:t>
      </w:r>
      <w:r w:rsidR="00A9056E" w:rsidRPr="00720AFF">
        <w:t xml:space="preserve"> </w:t>
      </w:r>
      <w:r w:rsidR="00832313" w:rsidRPr="00720AFF">
        <w:t xml:space="preserve">are 3.5 stars or less, suggesting there is scope for improvement in the operations </w:t>
      </w:r>
      <w:r w:rsidR="00337460" w:rsidRPr="00720AFF">
        <w:t>and energy</w:t>
      </w:r>
      <w:r w:rsidR="00832313" w:rsidRPr="00720AFF">
        <w:t xml:space="preserve"> efficiency of these facilities.</w:t>
      </w:r>
      <w:r w:rsidR="004A7DAE" w:rsidRPr="00720AFF">
        <w:t xml:space="preserve"> </w:t>
      </w:r>
      <w:r w:rsidR="00B2083D" w:rsidRPr="00720AFF">
        <w:t>Other studies have suggested that health care (including aged care) is particularly carbon intensive</w:t>
      </w:r>
      <w:r w:rsidR="00B2083D" w:rsidRPr="00720AFF">
        <w:rPr>
          <w:rStyle w:val="FootnoteReference"/>
        </w:rPr>
        <w:footnoteReference w:id="35"/>
      </w:r>
      <w:r w:rsidR="00B2083D" w:rsidRPr="00720AFF">
        <w:t xml:space="preserve"> with scope for</w:t>
      </w:r>
      <w:r w:rsidR="00037D05" w:rsidRPr="00720AFF">
        <w:t xml:space="preserve"> improvement.</w:t>
      </w:r>
    </w:p>
    <w:p w14:paraId="2CFFDB96" w14:textId="5765B108" w:rsidR="00872A1E" w:rsidRPr="00720AFF" w:rsidRDefault="00C0223A" w:rsidP="000B75A3">
      <w:pPr>
        <w:spacing w:after="120"/>
        <w:jc w:val="both"/>
      </w:pPr>
      <w:r w:rsidRPr="00720AFF">
        <w:t>T</w:t>
      </w:r>
      <w:r w:rsidR="00231495" w:rsidRPr="00720AFF">
        <w:t xml:space="preserve">his sector is </w:t>
      </w:r>
      <w:r w:rsidR="005101CB" w:rsidRPr="00720AFF">
        <w:t xml:space="preserve">considered </w:t>
      </w:r>
      <w:r w:rsidR="007266EB" w:rsidRPr="00720AFF">
        <w:t xml:space="preserve">not </w:t>
      </w:r>
      <w:r w:rsidR="005101CB" w:rsidRPr="00720AFF">
        <w:t xml:space="preserve">to be of </w:t>
      </w:r>
      <w:r w:rsidR="007266EB" w:rsidRPr="00720AFF">
        <w:t xml:space="preserve">high </w:t>
      </w:r>
      <w:r w:rsidR="00231495" w:rsidRPr="00720AFF">
        <w:t xml:space="preserve">priority </w:t>
      </w:r>
      <w:r w:rsidR="00832313" w:rsidRPr="00720AFF">
        <w:t xml:space="preserve">for </w:t>
      </w:r>
      <w:r w:rsidR="00B2083D" w:rsidRPr="00720AFF">
        <w:t xml:space="preserve">CBD Program expansion </w:t>
      </w:r>
      <w:r w:rsidR="007428B4" w:rsidRPr="00720AFF">
        <w:t>under the roadmap</w:t>
      </w:r>
      <w:r w:rsidR="00FA5AC8" w:rsidRPr="00720AFF">
        <w:t xml:space="preserve"> as the </w:t>
      </w:r>
      <w:r w:rsidR="006F73AC" w:rsidRPr="00720AFF">
        <w:t>ratings have only recently been introduced</w:t>
      </w:r>
      <w:r w:rsidR="007428B4" w:rsidRPr="00720AFF">
        <w:t xml:space="preserve">. </w:t>
      </w:r>
      <w:r w:rsidR="00037D05" w:rsidRPr="00720AFF">
        <w:t xml:space="preserve">Broader use of the available NABERS </w:t>
      </w:r>
      <w:r w:rsidR="007C368E" w:rsidRPr="00720AFF">
        <w:t xml:space="preserve">energy </w:t>
      </w:r>
      <w:r w:rsidR="00037D05" w:rsidRPr="00720AFF">
        <w:t>ratings will provide more detailed data on operational performance for this sector, and a stronger basis for potential mandatory disclosure in the future</w:t>
      </w:r>
      <w:r w:rsidR="009E5A73" w:rsidRPr="00720AFF">
        <w:t xml:space="preserve"> following higher priority change</w:t>
      </w:r>
      <w:r w:rsidR="005B2971" w:rsidRPr="00720AFF">
        <w:t>s</w:t>
      </w:r>
      <w:r w:rsidR="00037D05" w:rsidRPr="00720AFF">
        <w:t>.</w:t>
      </w:r>
    </w:p>
    <w:p w14:paraId="6E97D491" w14:textId="150D9320" w:rsidR="00872A1E" w:rsidRPr="00720AFF" w:rsidRDefault="006A537F" w:rsidP="000B75A3">
      <w:pPr>
        <w:pStyle w:val="Heading3"/>
        <w:numPr>
          <w:ilvl w:val="1"/>
          <w:numId w:val="30"/>
        </w:numPr>
        <w:spacing w:after="120"/>
        <w:ind w:left="0" w:hanging="11"/>
        <w:jc w:val="both"/>
      </w:pPr>
      <w:bookmarkStart w:id="52" w:name="_Toc200017024"/>
      <w:r w:rsidRPr="00720AFF">
        <w:t xml:space="preserve">Sectors </w:t>
      </w:r>
      <w:r w:rsidR="00983965" w:rsidRPr="00720AFF">
        <w:t>to be considered at a later stage</w:t>
      </w:r>
      <w:r w:rsidR="00A555DB" w:rsidRPr="00720AFF">
        <w:t xml:space="preserve"> </w:t>
      </w:r>
      <w:r w:rsidR="007245E9" w:rsidRPr="00720AFF">
        <w:t xml:space="preserve">(Stage </w:t>
      </w:r>
      <w:r w:rsidR="0002674D" w:rsidRPr="00720AFF">
        <w:t>9</w:t>
      </w:r>
      <w:r w:rsidR="007245E9" w:rsidRPr="00720AFF">
        <w:t>)</w:t>
      </w:r>
      <w:bookmarkEnd w:id="52"/>
    </w:p>
    <w:p w14:paraId="20888400" w14:textId="08C4E67E" w:rsidR="00872A1E" w:rsidRPr="00720AFF" w:rsidRDefault="00872A1E" w:rsidP="000B75A3">
      <w:pPr>
        <w:pStyle w:val="Heading4"/>
        <w:spacing w:after="120"/>
        <w:jc w:val="both"/>
      </w:pPr>
      <w:r w:rsidRPr="00720AFF">
        <w:t>Warehouses</w:t>
      </w:r>
      <w:r w:rsidR="00D810F6" w:rsidRPr="00720AFF">
        <w:t xml:space="preserve"> and cold stores</w:t>
      </w:r>
    </w:p>
    <w:p w14:paraId="58CA867F" w14:textId="27AEFB90" w:rsidR="000E4B56" w:rsidRPr="00720AFF" w:rsidRDefault="000E4B56" w:rsidP="000B75A3">
      <w:pPr>
        <w:spacing w:after="120"/>
        <w:jc w:val="both"/>
      </w:pPr>
      <w:r w:rsidRPr="00720AFF">
        <w:t>Warehouses and cold stores</w:t>
      </w:r>
      <w:r w:rsidR="00D10715" w:rsidRPr="00720AFF">
        <w:t xml:space="preserve"> have the second highest total gross floor area by space use </w:t>
      </w:r>
      <w:r w:rsidR="00634F7A" w:rsidRPr="00720AFF">
        <w:t xml:space="preserve">(following </w:t>
      </w:r>
      <w:r w:rsidR="00652228" w:rsidRPr="00720AFF">
        <w:t>offices) in Australia</w:t>
      </w:r>
      <w:r w:rsidR="00E15713" w:rsidRPr="00720AFF">
        <w:t>.</w:t>
      </w:r>
      <w:r w:rsidR="00DB2D23" w:rsidRPr="00720AFF">
        <w:rPr>
          <w:rStyle w:val="FootnoteReference"/>
        </w:rPr>
        <w:footnoteReference w:id="36"/>
      </w:r>
      <w:r w:rsidR="00E15713" w:rsidRPr="00720AFF">
        <w:t xml:space="preserve"> </w:t>
      </w:r>
      <w:r w:rsidR="00C64C38" w:rsidRPr="00720AFF">
        <w:t xml:space="preserve">As the Commercial Building Baseline </w:t>
      </w:r>
      <w:r w:rsidR="00E011D0">
        <w:t>S</w:t>
      </w:r>
      <w:r w:rsidR="00C64C38" w:rsidRPr="00720AFF">
        <w:t xml:space="preserve">tudy articulates, </w:t>
      </w:r>
      <w:r w:rsidR="009E61B4" w:rsidRPr="00720AFF">
        <w:t>there is relatively little</w:t>
      </w:r>
      <w:r w:rsidR="721707B0" w:rsidRPr="00720AFF">
        <w:t xml:space="preserve"> d</w:t>
      </w:r>
      <w:r w:rsidR="00CD6968" w:rsidRPr="00720AFF">
        <w:t xml:space="preserve">etailed </w:t>
      </w:r>
      <w:r w:rsidR="009E61B4" w:rsidRPr="00720AFF">
        <w:t xml:space="preserve">analysis </w:t>
      </w:r>
      <w:r w:rsidR="002737A7" w:rsidRPr="00720AFF">
        <w:t xml:space="preserve">in Australia </w:t>
      </w:r>
      <w:r w:rsidR="00CD6968" w:rsidRPr="00720AFF">
        <w:t>on warehouses and their energy use</w:t>
      </w:r>
      <w:r w:rsidR="00055E30" w:rsidRPr="00720AFF">
        <w:t>. Warehouses can be air-conditioned, partially space conditioned, or not at al</w:t>
      </w:r>
      <w:r w:rsidR="003970AB" w:rsidRPr="00720AFF">
        <w:t>l and can have a wide range of energy intensities.</w:t>
      </w:r>
    </w:p>
    <w:p w14:paraId="025C70E1" w14:textId="1CECD6B3" w:rsidR="00232ECB" w:rsidRPr="00720AFF" w:rsidRDefault="00D917EE" w:rsidP="000B75A3">
      <w:pPr>
        <w:spacing w:after="120"/>
        <w:jc w:val="both"/>
      </w:pPr>
      <w:r w:rsidRPr="00720AFF">
        <w:t xml:space="preserve">The NABERS </w:t>
      </w:r>
      <w:r w:rsidR="00E448C2" w:rsidRPr="00720AFF">
        <w:t xml:space="preserve">warehouse and cold store </w:t>
      </w:r>
      <w:r w:rsidR="0051037A" w:rsidRPr="00720AFF">
        <w:t>energy rating</w:t>
      </w:r>
      <w:r w:rsidR="00E448C2" w:rsidRPr="00720AFF">
        <w:t xml:space="preserve"> was released in 2022</w:t>
      </w:r>
      <w:r w:rsidR="001D6A60" w:rsidRPr="00720AFF">
        <w:t xml:space="preserve">, following detailed consultation with </w:t>
      </w:r>
      <w:proofErr w:type="gramStart"/>
      <w:r w:rsidR="001D6A60" w:rsidRPr="00720AFF">
        <w:t>a number of</w:t>
      </w:r>
      <w:proofErr w:type="gramEnd"/>
      <w:r w:rsidR="001D6A60" w:rsidRPr="00720AFF">
        <w:t xml:space="preserve"> </w:t>
      </w:r>
      <w:r w:rsidR="00017AF8" w:rsidRPr="00720AFF">
        <w:t xml:space="preserve">businesses </w:t>
      </w:r>
      <w:r w:rsidR="00F86187" w:rsidRPr="00720AFF">
        <w:t>involved in owning and occupying warehouses and cold stores</w:t>
      </w:r>
      <w:r w:rsidR="007676F1" w:rsidRPr="00720AFF">
        <w:t>.</w:t>
      </w:r>
      <w:r w:rsidR="004862ED" w:rsidRPr="00720AFF">
        <w:t xml:space="preserve"> </w:t>
      </w:r>
      <w:r w:rsidR="007676F1" w:rsidRPr="00720AFF">
        <w:t xml:space="preserve">The NABERS warehouse </w:t>
      </w:r>
      <w:r w:rsidR="001C1A03" w:rsidRPr="00720AFF">
        <w:t>and cold store energy rating</w:t>
      </w:r>
      <w:r w:rsidR="007014AF" w:rsidRPr="00720AFF">
        <w:t xml:space="preserve"> </w:t>
      </w:r>
      <w:r w:rsidR="00DA63B0" w:rsidRPr="00720AFF">
        <w:t xml:space="preserve">applies to a whole building or </w:t>
      </w:r>
      <w:r w:rsidR="006548C3" w:rsidRPr="00720AFF">
        <w:t>group</w:t>
      </w:r>
      <w:r w:rsidR="00DA63B0" w:rsidRPr="00720AFF">
        <w:t xml:space="preserve"> of buildings</w:t>
      </w:r>
      <w:r w:rsidR="006548C3" w:rsidRPr="00720AFF">
        <w:t>, or a part of a building in a multi-tenancy building.</w:t>
      </w:r>
      <w:r w:rsidR="00E90B0D" w:rsidRPr="00720AFF">
        <w:t xml:space="preserve"> It covers </w:t>
      </w:r>
      <w:r w:rsidR="000F7365" w:rsidRPr="00720AFF">
        <w:t>buildings or part of a building where goods are stored and distributed as the main function.</w:t>
      </w:r>
      <w:r w:rsidR="00F96B46" w:rsidRPr="00720AFF">
        <w:t xml:space="preserve"> The tool is primarily targeted at facilities with logistics and distribution functions.</w:t>
      </w:r>
      <w:r w:rsidR="00005971" w:rsidRPr="00720AFF">
        <w:t xml:space="preserve"> Industrial sites that function primarily to manufacture or transfo</w:t>
      </w:r>
      <w:r w:rsidR="00C9643B" w:rsidRPr="00720AFF">
        <w:t>rm goo</w:t>
      </w:r>
      <w:r w:rsidR="001D2351" w:rsidRPr="00720AFF">
        <w:t>ds are excluded from this tool.</w:t>
      </w:r>
      <w:r w:rsidR="004862ED" w:rsidRPr="00720AFF">
        <w:t xml:space="preserve"> </w:t>
      </w:r>
    </w:p>
    <w:p w14:paraId="274351E7" w14:textId="71CFC76C" w:rsidR="00C51B25" w:rsidRPr="00720AFF" w:rsidRDefault="004862ED" w:rsidP="000B75A3">
      <w:pPr>
        <w:spacing w:after="120"/>
        <w:jc w:val="both"/>
      </w:pPr>
      <w:r w:rsidRPr="00720AFF">
        <w:t xml:space="preserve">The NABERS warehouse </w:t>
      </w:r>
      <w:r w:rsidR="0083138B" w:rsidRPr="00720AFF">
        <w:t>and cold store energy rating</w:t>
      </w:r>
      <w:r w:rsidRPr="00720AFF">
        <w:t xml:space="preserve"> has been useful </w:t>
      </w:r>
      <w:r w:rsidR="005D4E4D" w:rsidRPr="00720AFF">
        <w:t xml:space="preserve">for </w:t>
      </w:r>
      <w:r w:rsidR="00E93BB2" w:rsidRPr="00720AFF">
        <w:t>certain warehouse</w:t>
      </w:r>
      <w:r w:rsidR="00FB3554" w:rsidRPr="00720AFF">
        <w:t xml:space="preserve"> owners</w:t>
      </w:r>
      <w:r w:rsidR="00EA0173" w:rsidRPr="00720AFF">
        <w:t xml:space="preserve"> </w:t>
      </w:r>
      <w:r w:rsidR="00BB0A33" w:rsidRPr="00720AFF">
        <w:t>and tenants</w:t>
      </w:r>
      <w:r w:rsidR="00C7217C" w:rsidRPr="00720AFF">
        <w:t xml:space="preserve"> </w:t>
      </w:r>
      <w:r w:rsidR="000771FF" w:rsidRPr="00720AFF">
        <w:t xml:space="preserve">seeking to </w:t>
      </w:r>
      <w:r w:rsidR="00222771" w:rsidRPr="00720AFF">
        <w:t>measure</w:t>
      </w:r>
      <w:r w:rsidR="0006372F" w:rsidRPr="00720AFF">
        <w:t xml:space="preserve"> the </w:t>
      </w:r>
      <w:r w:rsidR="00544FD0" w:rsidRPr="00720AFF">
        <w:t xml:space="preserve">operational </w:t>
      </w:r>
      <w:r w:rsidR="0006372F" w:rsidRPr="00720AFF">
        <w:t>energy consumption</w:t>
      </w:r>
      <w:r w:rsidR="00544FD0" w:rsidRPr="00720AFF">
        <w:t xml:space="preserve"> of the </w:t>
      </w:r>
      <w:r w:rsidR="005C6E64" w:rsidRPr="00720AFF">
        <w:t xml:space="preserve">whole </w:t>
      </w:r>
      <w:r w:rsidR="00544FD0" w:rsidRPr="00720AFF">
        <w:t>building and compare that consumption to similar warehouse</w:t>
      </w:r>
      <w:r w:rsidR="00D76C6C" w:rsidRPr="00720AFF">
        <w:t xml:space="preserve"> operations</w:t>
      </w:r>
      <w:r w:rsidR="00E93BB2" w:rsidRPr="00720AFF">
        <w:t xml:space="preserve">. </w:t>
      </w:r>
      <w:r w:rsidR="00341B73" w:rsidRPr="00720AFF">
        <w:t xml:space="preserve">The landlord benefits by getting a better understanding </w:t>
      </w:r>
      <w:r w:rsidR="007E778D" w:rsidRPr="00720AFF">
        <w:t xml:space="preserve">about </w:t>
      </w:r>
      <w:r w:rsidR="004F1EFC" w:rsidRPr="00720AFF">
        <w:t>how their asset</w:t>
      </w:r>
      <w:r w:rsidR="00B01FDE" w:rsidRPr="00720AFF">
        <w:t>s are performing</w:t>
      </w:r>
      <w:r w:rsidR="00D41811" w:rsidRPr="00720AFF">
        <w:t xml:space="preserve">. Tenants benefit </w:t>
      </w:r>
      <w:r w:rsidR="00551D3D" w:rsidRPr="00720AFF">
        <w:t xml:space="preserve">from a greater awareness about </w:t>
      </w:r>
      <w:r w:rsidR="00551D3D" w:rsidRPr="00720AFF">
        <w:lastRenderedPageBreak/>
        <w:t>their operational energy use</w:t>
      </w:r>
      <w:r w:rsidR="00273E8A" w:rsidRPr="00720AFF">
        <w:t xml:space="preserve"> and the</w:t>
      </w:r>
      <w:r w:rsidR="00BC1E5C" w:rsidRPr="00720AFF">
        <w:t xml:space="preserve"> </w:t>
      </w:r>
      <w:r w:rsidR="00551D3D" w:rsidRPr="00720AFF">
        <w:t xml:space="preserve">NABERS </w:t>
      </w:r>
      <w:r w:rsidR="003C6603" w:rsidRPr="00720AFF">
        <w:t xml:space="preserve">energy </w:t>
      </w:r>
      <w:r w:rsidR="00551D3D" w:rsidRPr="00720AFF">
        <w:t xml:space="preserve">rating can be the basis for a shared </w:t>
      </w:r>
      <w:r w:rsidR="007A3893" w:rsidRPr="00720AFF">
        <w:t>understanding and action</w:t>
      </w:r>
      <w:r w:rsidR="00551D3D" w:rsidRPr="00720AFF">
        <w:t xml:space="preserve"> between </w:t>
      </w:r>
      <w:r w:rsidR="007A3893" w:rsidRPr="00720AFF">
        <w:t xml:space="preserve">the tenant and landlord to make changes to improve </w:t>
      </w:r>
      <w:r w:rsidR="00423D66" w:rsidRPr="00720AFF">
        <w:t>energy performance.</w:t>
      </w:r>
    </w:p>
    <w:p w14:paraId="775295F2" w14:textId="6A8859E9" w:rsidR="002D43C0" w:rsidRPr="00720AFF" w:rsidRDefault="00A37799" w:rsidP="000B75A3">
      <w:pPr>
        <w:spacing w:after="120"/>
        <w:jc w:val="both"/>
      </w:pPr>
      <w:r w:rsidRPr="00720AFF">
        <w:t xml:space="preserve">Despite </w:t>
      </w:r>
      <w:r w:rsidR="0002777A" w:rsidRPr="00720AFF">
        <w:t>the large</w:t>
      </w:r>
      <w:r w:rsidR="005657A8" w:rsidRPr="00720AFF">
        <w:t xml:space="preserve"> gross floor area th</w:t>
      </w:r>
      <w:r w:rsidR="00E82B48" w:rsidRPr="00720AFF">
        <w:t>at</w:t>
      </w:r>
      <w:r w:rsidR="005657A8" w:rsidRPr="00720AFF">
        <w:t xml:space="preserve"> warehouses and cold stores cover</w:t>
      </w:r>
      <w:r w:rsidR="003D0DA4" w:rsidRPr="00720AFF">
        <w:t xml:space="preserve"> and potentially large </w:t>
      </w:r>
      <w:r w:rsidR="00C35229" w:rsidRPr="00720AFF">
        <w:t xml:space="preserve">gains </w:t>
      </w:r>
      <w:r w:rsidR="003D0DA4" w:rsidRPr="00720AFF">
        <w:t>energ</w:t>
      </w:r>
      <w:r w:rsidR="00DD2CBB" w:rsidRPr="00720AFF">
        <w:t xml:space="preserve">y performance and emissions improvements </w:t>
      </w:r>
      <w:r w:rsidR="00C35229" w:rsidRPr="00720AFF">
        <w:t>to be unlocked, t</w:t>
      </w:r>
      <w:r w:rsidR="00521D3A" w:rsidRPr="00720AFF">
        <w:t>here are some complexities</w:t>
      </w:r>
      <w:r w:rsidR="00120C02" w:rsidRPr="00720AFF">
        <w:t xml:space="preserve"> </w:t>
      </w:r>
      <w:r w:rsidR="000D6934" w:rsidRPr="00720AFF">
        <w:t>to requiring</w:t>
      </w:r>
      <w:r w:rsidR="00120C02" w:rsidRPr="00720AFF">
        <w:t xml:space="preserve"> building owners to </w:t>
      </w:r>
      <w:r w:rsidR="009A4A0F" w:rsidRPr="00720AFF">
        <w:t>obtain</w:t>
      </w:r>
      <w:r w:rsidR="005029B9" w:rsidRPr="00720AFF">
        <w:t xml:space="preserve"> a</w:t>
      </w:r>
      <w:r w:rsidR="00801D7D" w:rsidRPr="00720AFF">
        <w:t>nd disclose the current</w:t>
      </w:r>
      <w:r w:rsidR="005029B9" w:rsidRPr="00720AFF">
        <w:t xml:space="preserve"> NABERS </w:t>
      </w:r>
      <w:r w:rsidR="009F4E2D" w:rsidRPr="00720AFF">
        <w:t>warehouse</w:t>
      </w:r>
      <w:r w:rsidR="005B4EE0" w:rsidRPr="00720AFF">
        <w:t xml:space="preserve"> </w:t>
      </w:r>
      <w:r w:rsidR="00472C80" w:rsidRPr="00720AFF">
        <w:t xml:space="preserve">and </w:t>
      </w:r>
      <w:r w:rsidR="009F4E2D" w:rsidRPr="00720AFF">
        <w:t>cold store energy rating</w:t>
      </w:r>
      <w:r w:rsidR="00472C80" w:rsidRPr="00720AFF">
        <w:t>.</w:t>
      </w:r>
      <w:r w:rsidR="005B4EE0" w:rsidRPr="00720AFF">
        <w:t xml:space="preserve"> </w:t>
      </w:r>
      <w:r w:rsidR="00B560C7" w:rsidRPr="00720AFF">
        <w:t>This is because t</w:t>
      </w:r>
      <w:r w:rsidR="00472C80" w:rsidRPr="00720AFF">
        <w:t xml:space="preserve">he </w:t>
      </w:r>
      <w:r w:rsidR="00B1670C" w:rsidRPr="00720AFF">
        <w:t xml:space="preserve">relevant NABERS energy rating is a </w:t>
      </w:r>
      <w:r w:rsidR="00472C80" w:rsidRPr="00720AFF">
        <w:t>whole building</w:t>
      </w:r>
      <w:r w:rsidR="005B4EE0" w:rsidRPr="00720AFF">
        <w:t xml:space="preserve"> rating</w:t>
      </w:r>
      <w:r w:rsidR="006770D5" w:rsidRPr="00720AFF">
        <w:t xml:space="preserve"> and</w:t>
      </w:r>
      <w:r w:rsidR="005B4EE0" w:rsidRPr="00720AFF">
        <w:t xml:space="preserve"> is largely reflective of the </w:t>
      </w:r>
      <w:r w:rsidR="0005224C" w:rsidRPr="00720AFF">
        <w:t>tenant’s</w:t>
      </w:r>
      <w:r w:rsidR="005B4EE0" w:rsidRPr="00720AFF">
        <w:t xml:space="preserve"> operation</w:t>
      </w:r>
      <w:r w:rsidR="00472C80" w:rsidRPr="00720AFF">
        <w:t>al energy use</w:t>
      </w:r>
      <w:r w:rsidR="005B4EE0" w:rsidRPr="00720AFF">
        <w:t xml:space="preserve">. </w:t>
      </w:r>
      <w:r w:rsidR="003C6F23" w:rsidRPr="00720AFF">
        <w:t>This means that th</w:t>
      </w:r>
      <w:r w:rsidR="008C18F8" w:rsidRPr="00720AFF">
        <w:t xml:space="preserve">e </w:t>
      </w:r>
      <w:r w:rsidR="00CC2C84" w:rsidRPr="00720AFF">
        <w:t xml:space="preserve">NABERS rating is not necessarily </w:t>
      </w:r>
      <w:r w:rsidR="00C63990" w:rsidRPr="00720AFF">
        <w:t xml:space="preserve">wholly </w:t>
      </w:r>
      <w:r w:rsidR="00CC2C84" w:rsidRPr="00720AFF">
        <w:t xml:space="preserve">within the </w:t>
      </w:r>
      <w:r w:rsidR="00C63990" w:rsidRPr="00720AFF">
        <w:t xml:space="preserve">ability </w:t>
      </w:r>
      <w:r w:rsidR="00F86E8F" w:rsidRPr="00720AFF">
        <w:t>of</w:t>
      </w:r>
      <w:r w:rsidR="00DC028F" w:rsidRPr="00720AFF">
        <w:t xml:space="preserve"> the owner to</w:t>
      </w:r>
      <w:r w:rsidR="00CC2C84" w:rsidRPr="00720AFF">
        <w:t xml:space="preserve"> control</w:t>
      </w:r>
      <w:r w:rsidR="00DC028F" w:rsidRPr="00720AFF">
        <w:t>.</w:t>
      </w:r>
      <w:r w:rsidR="00364D8B" w:rsidRPr="00720AFF">
        <w:t xml:space="preserve"> </w:t>
      </w:r>
      <w:r w:rsidR="0050486C" w:rsidRPr="00720AFF">
        <w:t xml:space="preserve">Requiring owners to disclose an energy rating that they may not have control over could disadvantage </w:t>
      </w:r>
      <w:r w:rsidR="000754C9" w:rsidRPr="00720AFF">
        <w:t>owners</w:t>
      </w:r>
      <w:r w:rsidR="00384B36" w:rsidRPr="00720AFF">
        <w:t xml:space="preserve">. It is also unclear </w:t>
      </w:r>
      <w:r w:rsidR="0067314C" w:rsidRPr="00720AFF">
        <w:t xml:space="preserve">what </w:t>
      </w:r>
      <w:r w:rsidR="00D20B92" w:rsidRPr="00720AFF">
        <w:t>impact</w:t>
      </w:r>
      <w:r w:rsidR="00BE21D5" w:rsidRPr="00720AFF">
        <w:t xml:space="preserve"> requiring public disclosure of </w:t>
      </w:r>
      <w:r w:rsidR="00A55B61" w:rsidRPr="00720AFF">
        <w:t>warehouse and cold stores</w:t>
      </w:r>
      <w:r w:rsidR="007D0ED3" w:rsidRPr="00720AFF">
        <w:t xml:space="preserve"> energy rating</w:t>
      </w:r>
      <w:r w:rsidR="00A55B61" w:rsidRPr="00720AFF">
        <w:t>s</w:t>
      </w:r>
      <w:r w:rsidR="00FD56F8" w:rsidRPr="00720AFF">
        <w:t xml:space="preserve"> will have on the decisions </w:t>
      </w:r>
      <w:r w:rsidR="00A55B61" w:rsidRPr="00720AFF">
        <w:t xml:space="preserve">of </w:t>
      </w:r>
      <w:r w:rsidR="001214D4" w:rsidRPr="00720AFF">
        <w:t>warehouse owners, tenants and others</w:t>
      </w:r>
      <w:r w:rsidR="007D0ED3" w:rsidRPr="00720AFF">
        <w:t>.</w:t>
      </w:r>
    </w:p>
    <w:p w14:paraId="688E1BB7" w14:textId="76601228" w:rsidR="00872A1E" w:rsidRPr="00720AFF" w:rsidRDefault="002D43C0" w:rsidP="000B75A3">
      <w:pPr>
        <w:spacing w:after="120"/>
        <w:jc w:val="both"/>
      </w:pPr>
      <w:r w:rsidRPr="00720AFF">
        <w:t>Further consideration</w:t>
      </w:r>
      <w:r w:rsidR="006E3C9F" w:rsidRPr="00720AFF">
        <w:t xml:space="preserve"> is needed before the CBD Program could be applied to this sector. </w:t>
      </w:r>
      <w:r w:rsidR="00C2515B" w:rsidRPr="00720AFF">
        <w:t>This i</w:t>
      </w:r>
      <w:r w:rsidR="00D70838" w:rsidRPr="00720AFF">
        <w:t>nclud</w:t>
      </w:r>
      <w:r w:rsidR="00C2515B" w:rsidRPr="00720AFF">
        <w:t xml:space="preserve">es </w:t>
      </w:r>
      <w:r w:rsidR="00016381" w:rsidRPr="00720AFF">
        <w:t>whether</w:t>
      </w:r>
      <w:r w:rsidR="00D70838" w:rsidRPr="00720AFF">
        <w:t xml:space="preserve"> the obligation </w:t>
      </w:r>
      <w:r w:rsidR="00A77F5C" w:rsidRPr="00720AFF">
        <w:t xml:space="preserve">to obtain and disclose a rating </w:t>
      </w:r>
      <w:r w:rsidR="00016381" w:rsidRPr="00720AFF">
        <w:t>sh</w:t>
      </w:r>
      <w:r w:rsidR="00D70838" w:rsidRPr="00720AFF">
        <w:t>ould sit with the tenant or owner</w:t>
      </w:r>
      <w:r w:rsidR="00E91742" w:rsidRPr="00720AFF">
        <w:t>, any further refin</w:t>
      </w:r>
      <w:r w:rsidR="00383BA9" w:rsidRPr="00720AFF">
        <w:t xml:space="preserve">ements to the NABERS </w:t>
      </w:r>
      <w:r w:rsidR="008D15EC" w:rsidRPr="00720AFF">
        <w:t>energy rating</w:t>
      </w:r>
      <w:r w:rsidR="00383BA9" w:rsidRPr="00720AFF">
        <w:t xml:space="preserve">, and </w:t>
      </w:r>
      <w:r w:rsidR="00B71295" w:rsidRPr="00720AFF">
        <w:t xml:space="preserve">analysis of the impact </w:t>
      </w:r>
      <w:r w:rsidR="005E5D51" w:rsidRPr="00720AFF">
        <w:t xml:space="preserve">on behavioural change </w:t>
      </w:r>
      <w:r w:rsidR="00C2515B" w:rsidRPr="00720AFF">
        <w:t>for this sector.</w:t>
      </w:r>
    </w:p>
    <w:p w14:paraId="2F90809D" w14:textId="3FE65A9C" w:rsidR="00872A1E" w:rsidRPr="00720AFF" w:rsidRDefault="00872A1E" w:rsidP="000B75A3">
      <w:pPr>
        <w:pStyle w:val="Heading4"/>
        <w:spacing w:after="120"/>
        <w:jc w:val="both"/>
      </w:pPr>
      <w:r w:rsidRPr="00720AFF">
        <w:t xml:space="preserve">Sectors without a </w:t>
      </w:r>
      <w:r w:rsidR="00807FFE" w:rsidRPr="00720AFF">
        <w:t xml:space="preserve">sector specific NABERS </w:t>
      </w:r>
      <w:r w:rsidR="00782484" w:rsidRPr="00720AFF">
        <w:t>energy rating</w:t>
      </w:r>
    </w:p>
    <w:p w14:paraId="42EFDB8C" w14:textId="4643E4C9" w:rsidR="008D1923" w:rsidRPr="00720AFF" w:rsidRDefault="00B96F78" w:rsidP="000B75A3">
      <w:pPr>
        <w:spacing w:after="120"/>
        <w:jc w:val="both"/>
      </w:pPr>
      <w:r w:rsidRPr="00720AFF">
        <w:t xml:space="preserve">Other significant </w:t>
      </w:r>
      <w:r w:rsidR="009F487B" w:rsidRPr="00720AFF">
        <w:t xml:space="preserve">commercial building types that do not yet have a NABERS </w:t>
      </w:r>
      <w:r w:rsidR="00206895" w:rsidRPr="00720AFF">
        <w:t xml:space="preserve">energy </w:t>
      </w:r>
      <w:r w:rsidR="009F487B" w:rsidRPr="00720AFF">
        <w:t>rating include private hospitals, medical centres, supermarkets</w:t>
      </w:r>
      <w:r w:rsidR="00AA5F34" w:rsidRPr="00720AFF">
        <w:t xml:space="preserve"> and</w:t>
      </w:r>
      <w:r w:rsidR="00E12DF1" w:rsidRPr="00720AFF">
        <w:t xml:space="preserve"> higher education</w:t>
      </w:r>
      <w:r w:rsidR="003E1E88" w:rsidRPr="00720AFF">
        <w:t xml:space="preserve"> </w:t>
      </w:r>
      <w:r w:rsidR="00EA7280" w:rsidRPr="00720AFF">
        <w:t>buildings</w:t>
      </w:r>
      <w:r w:rsidR="002E5B43" w:rsidRPr="00720AFF">
        <w:t xml:space="preserve">. </w:t>
      </w:r>
      <w:r w:rsidR="005C2B9E" w:rsidRPr="00720AFF">
        <w:t xml:space="preserve">NABERS is </w:t>
      </w:r>
      <w:r w:rsidR="00B3247A" w:rsidRPr="00720AFF">
        <w:t xml:space="preserve">continuing to </w:t>
      </w:r>
      <w:r w:rsidR="005C2B9E" w:rsidRPr="00720AFF">
        <w:t>conside</w:t>
      </w:r>
      <w:r w:rsidR="00B3247A" w:rsidRPr="00720AFF">
        <w:t>r new</w:t>
      </w:r>
      <w:r w:rsidR="005C2B9E" w:rsidRPr="00720AFF">
        <w:t xml:space="preserve"> sector specific tools for these sectors</w:t>
      </w:r>
      <w:r w:rsidR="00341BCB" w:rsidRPr="00720AFF">
        <w:t>, subject to funding</w:t>
      </w:r>
      <w:r w:rsidR="00411F15" w:rsidRPr="00720AFF">
        <w:t>,</w:t>
      </w:r>
      <w:r w:rsidR="00341BCB" w:rsidRPr="00720AFF">
        <w:t xml:space="preserve"> and</w:t>
      </w:r>
      <w:r w:rsidR="00411F15" w:rsidRPr="00720AFF">
        <w:t xml:space="preserve"> based on</w:t>
      </w:r>
      <w:r w:rsidR="00341BCB" w:rsidRPr="00720AFF">
        <w:t xml:space="preserve"> </w:t>
      </w:r>
      <w:r w:rsidR="00B117B9" w:rsidRPr="00720AFF">
        <w:t xml:space="preserve">assessments of </w:t>
      </w:r>
      <w:r w:rsidR="001B2B81" w:rsidRPr="00720AFF">
        <w:t xml:space="preserve">market readiness, technical feasibility, and </w:t>
      </w:r>
      <w:r w:rsidR="001451B4" w:rsidRPr="00720AFF">
        <w:t>relative environmental impact.</w:t>
      </w:r>
    </w:p>
    <w:p w14:paraId="15B8B63D" w14:textId="6E6F25AB" w:rsidR="59AAB882" w:rsidRPr="00720AFF" w:rsidRDefault="005C6707" w:rsidP="000B75A3">
      <w:pPr>
        <w:spacing w:after="120"/>
        <w:jc w:val="both"/>
      </w:pPr>
      <w:r w:rsidRPr="00720AFF">
        <w:t>The absence of a sector specific tool</w:t>
      </w:r>
      <w:r w:rsidR="00096AB3" w:rsidRPr="00720AFF">
        <w:t xml:space="preserve"> does not </w:t>
      </w:r>
      <w:r w:rsidR="00A34738" w:rsidRPr="00720AFF">
        <w:t xml:space="preserve">by itself prevent the CBD Program </w:t>
      </w:r>
      <w:r w:rsidR="000D500D" w:rsidRPr="00720AFF">
        <w:t>expanding to these sectors.</w:t>
      </w:r>
      <w:r w:rsidR="00096AB3" w:rsidRPr="00720AFF">
        <w:t xml:space="preserve"> </w:t>
      </w:r>
      <w:r w:rsidR="000D500D" w:rsidRPr="00720AFF">
        <w:t xml:space="preserve">In 2024, NABERS released the </w:t>
      </w:r>
      <w:r w:rsidR="00924EC0" w:rsidRPr="00720AFF">
        <w:t>NEPI</w:t>
      </w:r>
      <w:r w:rsidR="00900393">
        <w:t xml:space="preserve"> tool</w:t>
      </w:r>
      <w:r w:rsidR="00DE1D80" w:rsidRPr="00720AFF">
        <w:t xml:space="preserve">. This is a simplified energy rating for </w:t>
      </w:r>
      <w:r w:rsidR="00280671" w:rsidRPr="00720AFF">
        <w:t xml:space="preserve">smaller sectors that do not currently have a </w:t>
      </w:r>
      <w:r w:rsidR="00206895" w:rsidRPr="00720AFF">
        <w:t>sector specific</w:t>
      </w:r>
      <w:r w:rsidR="00280671" w:rsidRPr="00720AFF">
        <w:t xml:space="preserve"> NABER</w:t>
      </w:r>
      <w:r w:rsidR="00863203" w:rsidRPr="00720AFF">
        <w:t>S</w:t>
      </w:r>
      <w:r w:rsidR="33EBB6D8" w:rsidRPr="00720AFF">
        <w:t xml:space="preserve"> </w:t>
      </w:r>
      <w:r w:rsidR="00591725" w:rsidRPr="00720AFF">
        <w:t>e</w:t>
      </w:r>
      <w:r w:rsidR="00280671" w:rsidRPr="00720AFF">
        <w:t>nergy rating. It provides a verified measure of energy and emissions intensity</w:t>
      </w:r>
      <w:r w:rsidR="00FA239A" w:rsidRPr="00720AFF">
        <w:t xml:space="preserve"> </w:t>
      </w:r>
      <w:r w:rsidR="00D5117B" w:rsidRPr="00720AFF">
        <w:t xml:space="preserve">with a sector comparison dial </w:t>
      </w:r>
      <w:r w:rsidR="00903290" w:rsidRPr="00720AFF">
        <w:t>available for some eligible sectors</w:t>
      </w:r>
      <w:r w:rsidR="006D3BB9" w:rsidRPr="00720AFF">
        <w:t>. This tool</w:t>
      </w:r>
      <w:r w:rsidR="00E019FB" w:rsidRPr="00720AFF">
        <w:t xml:space="preserve"> could be used in the future </w:t>
      </w:r>
      <w:r w:rsidR="001A3936" w:rsidRPr="00720AFF">
        <w:t>to expand the CBD Program to those building types without a sector specific tool.</w:t>
      </w:r>
      <w:r w:rsidR="00E8496D" w:rsidRPr="00720AFF">
        <w:t xml:space="preserve"> </w:t>
      </w:r>
    </w:p>
    <w:p w14:paraId="3EA8CDB0" w14:textId="11D57625" w:rsidR="008A78FA" w:rsidRPr="00720AFF" w:rsidRDefault="007801DB" w:rsidP="000B75A3">
      <w:pPr>
        <w:spacing w:after="120"/>
        <w:jc w:val="both"/>
      </w:pPr>
      <w:r w:rsidRPr="00720AFF">
        <w:t xml:space="preserve">For example, </w:t>
      </w:r>
      <w:r w:rsidR="00095812" w:rsidRPr="00720AFF">
        <w:t xml:space="preserve">supermarkets have a significant environmental footprint but do not have a dedicated NABERS </w:t>
      </w:r>
      <w:r w:rsidR="005C3677" w:rsidRPr="00720AFF">
        <w:t>energy rating</w:t>
      </w:r>
      <w:r w:rsidR="00843721" w:rsidRPr="00720AFF">
        <w:t xml:space="preserve">. This is because NABERS requires </w:t>
      </w:r>
      <w:r w:rsidR="00216FB5" w:rsidRPr="00720AFF">
        <w:t xml:space="preserve">proactive industry engagement to develop </w:t>
      </w:r>
      <w:r w:rsidR="00125B9A" w:rsidRPr="00720AFF">
        <w:t>a tool</w:t>
      </w:r>
      <w:r w:rsidR="00D34D7F" w:rsidRPr="00720AFF">
        <w:t>,</w:t>
      </w:r>
      <w:r w:rsidR="00125B9A" w:rsidRPr="00720AFF">
        <w:t xml:space="preserve"> and </w:t>
      </w:r>
      <w:r w:rsidR="00694EB0" w:rsidRPr="00720AFF">
        <w:t xml:space="preserve">the major supermarkets have been slow to engage with the development of such a </w:t>
      </w:r>
      <w:r w:rsidR="005C3677" w:rsidRPr="00720AFF">
        <w:t>rating</w:t>
      </w:r>
      <w:r w:rsidR="00B1260A" w:rsidRPr="00720AFF">
        <w:t xml:space="preserve">. </w:t>
      </w:r>
      <w:r w:rsidR="00694EB0" w:rsidRPr="00720AFF">
        <w:t xml:space="preserve">In the absence of this engagement, </w:t>
      </w:r>
      <w:r w:rsidR="00811AB1" w:rsidRPr="00720AFF">
        <w:t xml:space="preserve">the CBD Program could still expand to supermarkets using </w:t>
      </w:r>
      <w:r w:rsidR="008826EF">
        <w:t>an updated version of</w:t>
      </w:r>
      <w:r w:rsidR="0098193A">
        <w:t xml:space="preserve"> the NEPI</w:t>
      </w:r>
      <w:r w:rsidR="00811AB1" w:rsidRPr="00720AFF">
        <w:t xml:space="preserve">. Once </w:t>
      </w:r>
      <w:r w:rsidR="00463F17" w:rsidRPr="00720AFF">
        <w:t xml:space="preserve">the supermarkets are required to engage with </w:t>
      </w:r>
      <w:r w:rsidR="00811AB1" w:rsidRPr="00720AFF">
        <w:t>the NEPI</w:t>
      </w:r>
      <w:r w:rsidR="00463F17" w:rsidRPr="00720AFF">
        <w:t xml:space="preserve">, there could be </w:t>
      </w:r>
      <w:r w:rsidR="00164740" w:rsidRPr="00720AFF">
        <w:t>enough data and engagement to</w:t>
      </w:r>
      <w:r w:rsidR="0087235A">
        <w:t xml:space="preserve"> subsequently</w:t>
      </w:r>
      <w:r w:rsidR="00164740" w:rsidRPr="00720AFF">
        <w:t xml:space="preserve"> develop a </w:t>
      </w:r>
      <w:r w:rsidR="00446920" w:rsidRPr="00720AFF">
        <w:t xml:space="preserve">dedicated NABERS </w:t>
      </w:r>
      <w:r w:rsidR="00EF78CF" w:rsidRPr="00720AFF">
        <w:t>supermarket energy rating</w:t>
      </w:r>
      <w:r w:rsidR="00446920" w:rsidRPr="00720AFF">
        <w:t>.</w:t>
      </w:r>
      <w:r w:rsidR="00811AB1" w:rsidRPr="00720AFF">
        <w:t xml:space="preserve"> </w:t>
      </w:r>
      <w:r w:rsidR="0093094E">
        <w:t xml:space="preserve">If the government and NABERS decided to update the NEPI tool for this purpose, consideration of expanding the CBD Program to cover supermarkets could be </w:t>
      </w:r>
      <w:r w:rsidR="00152981">
        <w:t>elevated</w:t>
      </w:r>
      <w:r w:rsidR="0093094E">
        <w:t xml:space="preserve"> into the high priority changes.</w:t>
      </w:r>
    </w:p>
    <w:p w14:paraId="7DC5004D" w14:textId="49CD48C2" w:rsidR="000A6589" w:rsidRPr="00720AFF" w:rsidRDefault="0093094E" w:rsidP="000B75A3">
      <w:pPr>
        <w:spacing w:after="120"/>
        <w:jc w:val="both"/>
      </w:pPr>
      <w:r>
        <w:t>In addition</w:t>
      </w:r>
      <w:r w:rsidR="0090563C" w:rsidRPr="00720AFF">
        <w:t xml:space="preserve">, </w:t>
      </w:r>
      <w:r w:rsidR="00FE41AE" w:rsidRPr="00720AFF">
        <w:t xml:space="preserve">development of a dedicated private hospitals tool has </w:t>
      </w:r>
      <w:r w:rsidR="00E53266" w:rsidRPr="00720AFF">
        <w:t xml:space="preserve">high industry and government interest. </w:t>
      </w:r>
      <w:r w:rsidR="00627BA8" w:rsidRPr="00720AFF">
        <w:t xml:space="preserve">If funding </w:t>
      </w:r>
      <w:r w:rsidR="00303398" w:rsidRPr="00720AFF">
        <w:t>became</w:t>
      </w:r>
      <w:r w:rsidR="00627BA8" w:rsidRPr="00720AFF">
        <w:t xml:space="preserve"> available, the development of this tool could proceed</w:t>
      </w:r>
      <w:r w:rsidR="005C07AB" w:rsidRPr="00720AFF">
        <w:t xml:space="preserve"> relatively quickly</w:t>
      </w:r>
      <w:r w:rsidR="00EC1123" w:rsidRPr="00720AFF">
        <w:t xml:space="preserve"> an</w:t>
      </w:r>
      <w:r w:rsidR="00303398" w:rsidRPr="00720AFF">
        <w:t>d</w:t>
      </w:r>
      <w:r w:rsidR="00760458" w:rsidRPr="00720AFF">
        <w:t xml:space="preserve"> </w:t>
      </w:r>
      <w:r w:rsidR="00F418EF" w:rsidRPr="00720AFF">
        <w:t>a fresh consideration of whether the CBD Program should expand to private hospitals could be made.</w:t>
      </w:r>
    </w:p>
    <w:p w14:paraId="684CA46B" w14:textId="05DFC7E3" w:rsidR="00B36DA1" w:rsidRPr="00720AFF" w:rsidRDefault="00452221" w:rsidP="000B75A3">
      <w:pPr>
        <w:spacing w:after="120"/>
        <w:jc w:val="both"/>
      </w:pPr>
      <w:r w:rsidRPr="00720AFF">
        <w:t xml:space="preserve">The NEPI tool </w:t>
      </w:r>
      <w:r w:rsidR="007F2B5C" w:rsidRPr="00720AFF">
        <w:t xml:space="preserve">could </w:t>
      </w:r>
      <w:r w:rsidR="00D6789E" w:rsidRPr="00720AFF">
        <w:t xml:space="preserve">also </w:t>
      </w:r>
      <w:r w:rsidR="007F2B5C" w:rsidRPr="00720AFF">
        <w:t>apply to mixed use buildings and buildings with known high energy use such as airports and student accommodation.</w:t>
      </w:r>
    </w:p>
    <w:p w14:paraId="46B8B6C7" w14:textId="03CFF172" w:rsidR="00835AB1" w:rsidRPr="00720AFF" w:rsidRDefault="008509C8" w:rsidP="004F52A7">
      <w:pPr>
        <w:pStyle w:val="Heading4"/>
        <w:spacing w:after="120"/>
      </w:pPr>
      <w:r w:rsidRPr="00720AFF">
        <w:t xml:space="preserve">Other </w:t>
      </w:r>
      <w:r w:rsidR="00835AB1" w:rsidRPr="00720AFF">
        <w:t xml:space="preserve">potential additions to the </w:t>
      </w:r>
      <w:r w:rsidR="00627282" w:rsidRPr="00720AFF">
        <w:t xml:space="preserve">CBD </w:t>
      </w:r>
      <w:r w:rsidR="00986AB8" w:rsidRPr="00720AFF">
        <w:t>P</w:t>
      </w:r>
      <w:r w:rsidR="00835AB1" w:rsidRPr="00720AFF">
        <w:t>rogram</w:t>
      </w:r>
    </w:p>
    <w:p w14:paraId="03CCC812" w14:textId="3CA4BE2C" w:rsidR="00C455D6" w:rsidRPr="00720AFF" w:rsidRDefault="00836471" w:rsidP="005379EE">
      <w:r w:rsidRPr="00720AFF">
        <w:t xml:space="preserve">There are other significant </w:t>
      </w:r>
      <w:r w:rsidR="0055235C" w:rsidRPr="00720AFF">
        <w:t xml:space="preserve">sources of emissions from buildings that will not be captured by energy ratings. </w:t>
      </w:r>
      <w:r w:rsidR="00972452" w:rsidRPr="00720AFF">
        <w:t xml:space="preserve">Current government policy for the CBD Program is focussed on the disclosure of energy ratings. </w:t>
      </w:r>
      <w:r w:rsidR="00D507E2" w:rsidRPr="00720AFF">
        <w:t xml:space="preserve">However, this could be broadened if government priorities were to change to </w:t>
      </w:r>
      <w:r w:rsidR="00D41D7E" w:rsidRPr="00720AFF">
        <w:t xml:space="preserve">include all sources of emissions from buildings. </w:t>
      </w:r>
      <w:r w:rsidR="007E4F91" w:rsidRPr="00720AFF">
        <w:t>In that case, b</w:t>
      </w:r>
      <w:r w:rsidR="00E76C1C" w:rsidRPr="00720AFF">
        <w:t xml:space="preserve">oth embodied carbon </w:t>
      </w:r>
      <w:r w:rsidR="00E572F1" w:rsidRPr="00720AFF">
        <w:t xml:space="preserve">from the construction of the building and emissions of refrigerants, chiefly from </w:t>
      </w:r>
      <w:r w:rsidR="00D67782" w:rsidRPr="00720AFF">
        <w:t>heating, cooling and ventilation</w:t>
      </w:r>
      <w:r w:rsidR="007F45AE" w:rsidRPr="00720AFF">
        <w:t xml:space="preserve"> systems </w:t>
      </w:r>
      <w:r w:rsidR="00D27FCB" w:rsidRPr="00720AFF">
        <w:t xml:space="preserve">could be considered for </w:t>
      </w:r>
      <w:r w:rsidR="00035342" w:rsidRPr="00720AFF">
        <w:t>disclosure</w:t>
      </w:r>
      <w:r w:rsidR="00A327C9" w:rsidRPr="00720AFF">
        <w:t>.</w:t>
      </w:r>
    </w:p>
    <w:p w14:paraId="6A7A3DB1" w14:textId="77777777" w:rsidR="00C455D6" w:rsidRPr="00720AFF" w:rsidRDefault="00C455D6" w:rsidP="005379EE"/>
    <w:p w14:paraId="50293B45" w14:textId="51B96869" w:rsidR="003F45AD" w:rsidRPr="00720AFF" w:rsidRDefault="000A6589" w:rsidP="001D4C36">
      <w:pPr>
        <w:pStyle w:val="Heading2"/>
        <w:jc w:val="both"/>
      </w:pPr>
      <w:r w:rsidRPr="00720AFF">
        <w:br w:type="page"/>
      </w:r>
      <w:bookmarkStart w:id="53" w:name="_Toc200017025"/>
      <w:r w:rsidR="008900B2" w:rsidRPr="00720AFF">
        <w:lastRenderedPageBreak/>
        <w:t>Minimum energy performance</w:t>
      </w:r>
      <w:r w:rsidR="004D4523" w:rsidRPr="00720AFF">
        <w:t xml:space="preserve"> </w:t>
      </w:r>
      <w:r w:rsidR="008900B2" w:rsidRPr="00720AFF">
        <w:t>standards</w:t>
      </w:r>
      <w:r w:rsidR="00417FE1" w:rsidRPr="00720AFF">
        <w:t xml:space="preserve"> for comme</w:t>
      </w:r>
      <w:r w:rsidR="004B3D7E" w:rsidRPr="00720AFF">
        <w:t>rc</w:t>
      </w:r>
      <w:r w:rsidR="00E15550" w:rsidRPr="00720AFF">
        <w:t>ial buildings</w:t>
      </w:r>
      <w:bookmarkEnd w:id="53"/>
      <w:r w:rsidR="008900B2" w:rsidRPr="00720AFF">
        <w:t xml:space="preserve"> </w:t>
      </w:r>
    </w:p>
    <w:p w14:paraId="4CAFC752" w14:textId="38B7CDB5" w:rsidR="008900B2" w:rsidRPr="00720AFF" w:rsidRDefault="008900B2" w:rsidP="00FE73BD">
      <w:pPr>
        <w:pStyle w:val="Heading3"/>
        <w:numPr>
          <w:ilvl w:val="1"/>
          <w:numId w:val="32"/>
        </w:numPr>
        <w:spacing w:after="120"/>
        <w:jc w:val="both"/>
      </w:pPr>
      <w:bookmarkStart w:id="54" w:name="_Toc200017026"/>
      <w:r w:rsidRPr="00720AFF">
        <w:t>The need for minimum energy performance standards</w:t>
      </w:r>
      <w:bookmarkEnd w:id="54"/>
    </w:p>
    <w:p w14:paraId="07DFC045" w14:textId="13B9D31B" w:rsidR="00D838D2" w:rsidRPr="00720AFF" w:rsidRDefault="00167E68" w:rsidP="001525A7">
      <w:pPr>
        <w:spacing w:after="120"/>
        <w:jc w:val="both"/>
      </w:pPr>
      <w:r w:rsidRPr="00720AFF">
        <w:t xml:space="preserve">Requiring owners of </w:t>
      </w:r>
      <w:r w:rsidR="003936C4" w:rsidRPr="00720AFF">
        <w:t xml:space="preserve">certain </w:t>
      </w:r>
      <w:r w:rsidRPr="00720AFF">
        <w:t xml:space="preserve">commercial buildings to meet a </w:t>
      </w:r>
      <w:r w:rsidR="002D7B41" w:rsidRPr="00720AFF">
        <w:t>minimum</w:t>
      </w:r>
      <w:r w:rsidRPr="00720AFF">
        <w:t xml:space="preserve"> </w:t>
      </w:r>
      <w:r w:rsidR="00E15550" w:rsidRPr="00720AFF">
        <w:t xml:space="preserve">building </w:t>
      </w:r>
      <w:r w:rsidRPr="00720AFF">
        <w:t>energy performance threshold is an increasingly common approach to drive improvements in existing commercial buildings and reduce building emissions.</w:t>
      </w:r>
      <w:r w:rsidR="00E554DA" w:rsidRPr="00720AFF">
        <w:t xml:space="preserve"> For example, in England and Wales, minimum energy efficiency standards </w:t>
      </w:r>
      <w:r w:rsidR="002A5DD7" w:rsidRPr="00720AFF">
        <w:t>require certain commercial properties to meet specific Energy Performance Certificate (E</w:t>
      </w:r>
      <w:r w:rsidR="0077138D" w:rsidRPr="00720AFF">
        <w:t>P</w:t>
      </w:r>
      <w:r w:rsidR="002A5DD7" w:rsidRPr="00720AFF">
        <w:t xml:space="preserve">C) ratings </w:t>
      </w:r>
      <w:r w:rsidR="00AD10D3" w:rsidRPr="00720AFF">
        <w:t>to be legally lettable.</w:t>
      </w:r>
    </w:p>
    <w:p w14:paraId="45FDA8B0" w14:textId="282306C5" w:rsidR="00167E68" w:rsidRPr="00720AFF" w:rsidRDefault="00167E68" w:rsidP="001525A7">
      <w:pPr>
        <w:spacing w:after="120"/>
        <w:jc w:val="both"/>
      </w:pPr>
      <w:r w:rsidRPr="00720AFF">
        <w:t xml:space="preserve">There will </w:t>
      </w:r>
      <w:r w:rsidR="00904844" w:rsidRPr="00720AFF">
        <w:t xml:space="preserve">always be a significant cohort of </w:t>
      </w:r>
      <w:r w:rsidR="00317E6E" w:rsidRPr="00720AFF">
        <w:t xml:space="preserve">building owners that do not improve their buildings, even with mandatory disclosure requirements. </w:t>
      </w:r>
      <w:r w:rsidRPr="00720AFF">
        <w:t xml:space="preserve">Without the introduction of </w:t>
      </w:r>
      <w:r w:rsidR="004E58F5" w:rsidRPr="00720AFF">
        <w:t>minimum energy performance standards (</w:t>
      </w:r>
      <w:r w:rsidRPr="00720AFF">
        <w:t>MEPS</w:t>
      </w:r>
      <w:r w:rsidR="004E58F5" w:rsidRPr="00720AFF">
        <w:t>)</w:t>
      </w:r>
      <w:r w:rsidRPr="00720AFF">
        <w:t xml:space="preserve">, there </w:t>
      </w:r>
      <w:r w:rsidR="00FE67BC">
        <w:t>is expected t</w:t>
      </w:r>
      <w:r w:rsidR="00EC100E">
        <w:t>o</w:t>
      </w:r>
      <w:r w:rsidRPr="00720AFF">
        <w:t xml:space="preserve"> continue to be a long tail of poor performing buildings that have no incentive or reason to improve. </w:t>
      </w:r>
    </w:p>
    <w:p w14:paraId="2F3D3E2E" w14:textId="2899CA4F" w:rsidR="00167E68" w:rsidRPr="00720AFF" w:rsidRDefault="00167E68" w:rsidP="001525A7">
      <w:pPr>
        <w:spacing w:after="120"/>
        <w:jc w:val="both"/>
      </w:pPr>
      <w:r w:rsidRPr="00720AFF">
        <w:t xml:space="preserve">Regulating for a minimum </w:t>
      </w:r>
      <w:r w:rsidR="00B37E6C" w:rsidRPr="00720AFF">
        <w:t xml:space="preserve">building </w:t>
      </w:r>
      <w:r w:rsidRPr="00720AFF">
        <w:t xml:space="preserve">energy performance standard will help drive greater energy performance improvements and eventually phase out </w:t>
      </w:r>
      <w:r w:rsidR="00E52E01" w:rsidRPr="00720AFF">
        <w:t xml:space="preserve">or improve </w:t>
      </w:r>
      <w:r w:rsidRPr="00720AFF">
        <w:t>the poorest performing buildings from the market. </w:t>
      </w:r>
    </w:p>
    <w:p w14:paraId="5B87472C" w14:textId="1C4E353C" w:rsidR="00167E68" w:rsidRPr="00720AFF" w:rsidRDefault="00495F01" w:rsidP="001525A7">
      <w:pPr>
        <w:spacing w:after="120"/>
        <w:jc w:val="both"/>
      </w:pPr>
      <w:r w:rsidRPr="00720AFF">
        <w:t>The National Construction Code and g</w:t>
      </w:r>
      <w:r w:rsidR="00167E68" w:rsidRPr="00720AFF">
        <w:t xml:space="preserve">overnment procurement policies are already implementing minimum energy performance requirements. For example, the Australian Government Net Zero in Government Operations Strategy introduces minimum NABERS </w:t>
      </w:r>
      <w:r w:rsidR="00BC48E8" w:rsidRPr="00720AFF">
        <w:t>energy</w:t>
      </w:r>
      <w:r w:rsidR="00167E68" w:rsidRPr="00720AFF">
        <w:t xml:space="preserve"> ratings to drive emissions reductions in government owned or leased offices, data centres and warehouses.</w:t>
      </w:r>
      <w:r w:rsidR="002A6B5F" w:rsidRPr="00720AFF">
        <w:rPr>
          <w:rStyle w:val="FootnoteReference"/>
        </w:rPr>
        <w:footnoteReference w:id="37"/>
      </w:r>
      <w:r w:rsidR="00167E68" w:rsidRPr="00720AFF">
        <w:t> </w:t>
      </w:r>
    </w:p>
    <w:p w14:paraId="075842F8" w14:textId="67DDD958" w:rsidR="009210DC" w:rsidRPr="00720AFF" w:rsidRDefault="006D4C24" w:rsidP="001525A7">
      <w:pPr>
        <w:pStyle w:val="Heading3"/>
        <w:numPr>
          <w:ilvl w:val="1"/>
          <w:numId w:val="32"/>
        </w:numPr>
        <w:spacing w:after="120"/>
        <w:jc w:val="both"/>
      </w:pPr>
      <w:bookmarkStart w:id="55" w:name="_Toc200017027"/>
      <w:r w:rsidRPr="00720AFF">
        <w:t>MEPS roadmap scope</w:t>
      </w:r>
      <w:bookmarkEnd w:id="55"/>
    </w:p>
    <w:p w14:paraId="7381E22D" w14:textId="58C155DD" w:rsidR="00E52E99" w:rsidRPr="00720AFF" w:rsidRDefault="007647C1" w:rsidP="001525A7">
      <w:pPr>
        <w:spacing w:after="120"/>
        <w:jc w:val="both"/>
      </w:pPr>
      <w:r w:rsidRPr="00720AFF">
        <w:t xml:space="preserve">This roadmap envisions MEPS being introduced for </w:t>
      </w:r>
      <w:r w:rsidRPr="00720AFF">
        <w:rPr>
          <w:b/>
          <w:bCs/>
        </w:rPr>
        <w:t>office buildings</w:t>
      </w:r>
      <w:r w:rsidR="00D71CF6" w:rsidRPr="00720AFF">
        <w:t xml:space="preserve"> </w:t>
      </w:r>
      <w:r w:rsidR="00851381" w:rsidRPr="00720AFF">
        <w:t xml:space="preserve">through </w:t>
      </w:r>
      <w:r w:rsidR="008A7D1E" w:rsidRPr="00720AFF">
        <w:t xml:space="preserve">legislative change to </w:t>
      </w:r>
      <w:r w:rsidR="00851381" w:rsidRPr="00720AFF">
        <w:t xml:space="preserve">the </w:t>
      </w:r>
      <w:r w:rsidR="00851381" w:rsidRPr="00720AFF">
        <w:rPr>
          <w:i/>
          <w:iCs/>
        </w:rPr>
        <w:t>Building Energy Efficiency Disclosure Act 2010</w:t>
      </w:r>
      <w:r w:rsidR="008A7D1E" w:rsidRPr="00720AFF">
        <w:rPr>
          <w:i/>
          <w:iCs/>
        </w:rPr>
        <w:t>.</w:t>
      </w:r>
      <w:r w:rsidR="00D317EE" w:rsidRPr="00720AFF">
        <w:t xml:space="preserve"> </w:t>
      </w:r>
      <w:r w:rsidR="008A7D1E" w:rsidRPr="00720AFF">
        <w:t xml:space="preserve">This </w:t>
      </w:r>
      <w:r w:rsidR="000F53EA" w:rsidRPr="00720AFF">
        <w:t>introduction</w:t>
      </w:r>
      <w:r w:rsidR="008A7D1E" w:rsidRPr="00720AFF">
        <w:t xml:space="preserve"> should be contemplated </w:t>
      </w:r>
      <w:r w:rsidR="00170E1C" w:rsidRPr="00720AFF">
        <w:t xml:space="preserve">at the </w:t>
      </w:r>
      <w:r w:rsidR="000F53EA" w:rsidRPr="00720AFF">
        <w:t xml:space="preserve">same </w:t>
      </w:r>
      <w:r w:rsidR="00170E1C" w:rsidRPr="00720AFF">
        <w:t xml:space="preserve">time </w:t>
      </w:r>
      <w:r w:rsidR="008A7D1E" w:rsidRPr="00720AFF">
        <w:t>as</w:t>
      </w:r>
      <w:r w:rsidR="00170E1C" w:rsidRPr="00720AFF">
        <w:t xml:space="preserve"> </w:t>
      </w:r>
      <w:r w:rsidR="008A7D1E" w:rsidRPr="00720AFF">
        <w:t>amendments relating to disclosure</w:t>
      </w:r>
      <w:r w:rsidR="001612E9" w:rsidRPr="00720AFF">
        <w:t xml:space="preserve"> </w:t>
      </w:r>
      <w:r w:rsidR="000F53EA" w:rsidRPr="00720AFF">
        <w:t xml:space="preserve">are considered </w:t>
      </w:r>
      <w:r w:rsidR="001612E9" w:rsidRPr="00720AFF">
        <w:t xml:space="preserve">(see stage </w:t>
      </w:r>
      <w:r w:rsidR="00CB052C">
        <w:t>5</w:t>
      </w:r>
      <w:r w:rsidR="001612E9" w:rsidRPr="00720AFF">
        <w:t xml:space="preserve"> of the summary roadmap)</w:t>
      </w:r>
      <w:r w:rsidRPr="00720AFF">
        <w:t xml:space="preserve">. </w:t>
      </w:r>
      <w:r w:rsidR="00CD5C6B" w:rsidRPr="00720AFF">
        <w:t>Office buildings and office spaces of at least 1000</w:t>
      </w:r>
      <w:r w:rsidR="00F47207" w:rsidRPr="00720AFF">
        <w:t>m</w:t>
      </w:r>
      <w:r w:rsidR="00F47207" w:rsidRPr="00720AFF">
        <w:rPr>
          <w:vertAlign w:val="superscript"/>
        </w:rPr>
        <w:t>2</w:t>
      </w:r>
      <w:r w:rsidR="00F47207" w:rsidRPr="00720AFF">
        <w:t xml:space="preserve"> </w:t>
      </w:r>
      <w:r w:rsidR="00CD5C6B" w:rsidRPr="00720AFF">
        <w:t>by NLA are proposed be MEPS affected in the first instance.  </w:t>
      </w:r>
      <w:r w:rsidRPr="00720AFF">
        <w:t>Extending MEPS to other building types could be the subject of further future revisions to this roadmap. </w:t>
      </w:r>
    </w:p>
    <w:p w14:paraId="5D05B173" w14:textId="62B54B6A" w:rsidR="00167E68" w:rsidRPr="00720AFF" w:rsidRDefault="00167E68" w:rsidP="001525A7">
      <w:pPr>
        <w:spacing w:after="120"/>
        <w:jc w:val="both"/>
      </w:pPr>
      <w:r w:rsidRPr="00720AFF">
        <w:t xml:space="preserve">There are low-cost operational improvements commonly used by </w:t>
      </w:r>
      <w:r w:rsidR="005764B3" w:rsidRPr="00720AFF">
        <w:t xml:space="preserve">office </w:t>
      </w:r>
      <w:r w:rsidRPr="00720AFF">
        <w:t xml:space="preserve">building owners to improve their NABERS </w:t>
      </w:r>
      <w:r w:rsidR="00E514F6" w:rsidRPr="00720AFF">
        <w:t>energy</w:t>
      </w:r>
      <w:r w:rsidRPr="00720AFF">
        <w:t xml:space="preserve"> rating. CAPEX investments progressively get more expensive with higher NABERS </w:t>
      </w:r>
      <w:r w:rsidR="00E514F6" w:rsidRPr="00720AFF">
        <w:t>energy</w:t>
      </w:r>
      <w:r w:rsidRPr="00720AFF">
        <w:t xml:space="preserve"> rating. Optimisation of Building Management System (BMS) and performance can yield good results with low or no costs</w:t>
      </w:r>
      <w:r w:rsidR="00CB5A8C" w:rsidRPr="00720AFF">
        <w:t>,</w:t>
      </w:r>
      <w:r w:rsidRPr="00720AFF">
        <w:t xml:space="preserve"> particularly with lower ratings. </w:t>
      </w:r>
    </w:p>
    <w:p w14:paraId="3E7572BA" w14:textId="05961DCA" w:rsidR="00167E68" w:rsidRPr="00720AFF" w:rsidRDefault="00167E68" w:rsidP="001525A7">
      <w:pPr>
        <w:spacing w:after="120"/>
        <w:jc w:val="both"/>
      </w:pPr>
      <w:r w:rsidRPr="00720AFF">
        <w:t xml:space="preserve">The KPMG CBD expansion feasibility report provided a preliminary estimate of a net benefit for </w:t>
      </w:r>
      <w:r w:rsidR="003A08A6" w:rsidRPr="00720AFF">
        <w:t xml:space="preserve">the average </w:t>
      </w:r>
      <w:r w:rsidRPr="00720AFF">
        <w:t xml:space="preserve">building </w:t>
      </w:r>
      <w:r w:rsidR="00D366CF" w:rsidRPr="00720AFF">
        <w:t>covered by th</w:t>
      </w:r>
      <w:r w:rsidR="00CC350D">
        <w:t>is</w:t>
      </w:r>
      <w:r w:rsidR="00D366CF" w:rsidRPr="00720AFF">
        <w:t xml:space="preserve"> policy</w:t>
      </w:r>
      <w:r w:rsidRPr="00720AFF">
        <w:t xml:space="preserve"> ranging from $1.1 million to $1.8 million over a 20-year period, depending on the average size of the </w:t>
      </w:r>
      <w:r w:rsidR="006C16F4" w:rsidRPr="00720AFF">
        <w:t>office</w:t>
      </w:r>
      <w:r w:rsidRPr="00720AFF">
        <w:t xml:space="preserve"> buildings</w:t>
      </w:r>
      <w:r w:rsidR="006C16F4" w:rsidRPr="00720AFF">
        <w:t xml:space="preserve"> included</w:t>
      </w:r>
      <w:r w:rsidRPr="00720AFF">
        <w:t>.</w:t>
      </w:r>
      <w:r w:rsidR="00940A13" w:rsidRPr="00720AFF">
        <w:t xml:space="preserve"> </w:t>
      </w:r>
      <w:r w:rsidRPr="00720AFF">
        <w:t xml:space="preserve">The KPMG analysis </w:t>
      </w:r>
      <w:proofErr w:type="gramStart"/>
      <w:r w:rsidRPr="00720AFF">
        <w:t>takes into account</w:t>
      </w:r>
      <w:proofErr w:type="gramEnd"/>
      <w:r w:rsidRPr="00720AFF">
        <w:t xml:space="preserve"> the benefits of bill savings and emissions savings, and the costs of upgrades, compliance and program costs. </w:t>
      </w:r>
    </w:p>
    <w:p w14:paraId="688D36D2" w14:textId="49CBC88B" w:rsidR="009A3880" w:rsidRPr="00720AFF" w:rsidRDefault="009A3880" w:rsidP="001525A7">
      <w:pPr>
        <w:spacing w:after="120"/>
        <w:jc w:val="both"/>
      </w:pPr>
      <w:r w:rsidRPr="00720AFF">
        <w:t>It is difficult to estimate the number of office buildings over 1,000m</w:t>
      </w:r>
      <w:r w:rsidR="003D59E7" w:rsidRPr="00720AFF">
        <w:rPr>
          <w:vertAlign w:val="superscript"/>
        </w:rPr>
        <w:t>2</w:t>
      </w:r>
      <w:r w:rsidRPr="00720AFF">
        <w:t xml:space="preserve"> in Australia</w:t>
      </w:r>
      <w:r w:rsidR="00A35E93" w:rsidRPr="00720AFF">
        <w:t xml:space="preserve"> due to the lack of </w:t>
      </w:r>
      <w:r w:rsidR="00C27A61" w:rsidRPr="00720AFF">
        <w:t>quality data</w:t>
      </w:r>
      <w:r w:rsidRPr="00720AFF">
        <w:t>. Using data from the 2022 Commercial Building Baseline Study, there could be up to 88,000 office buildings above 1000</w:t>
      </w:r>
      <w:r w:rsidR="002C2D07" w:rsidRPr="00720AFF">
        <w:t>m</w:t>
      </w:r>
      <w:r w:rsidR="002C2D07" w:rsidRPr="00720AFF">
        <w:rPr>
          <w:vertAlign w:val="superscript"/>
        </w:rPr>
        <w:t>2</w:t>
      </w:r>
      <w:r w:rsidRPr="00720AFF">
        <w:t xml:space="preserve"> by net lettable area.</w:t>
      </w:r>
      <w:r w:rsidR="0091656E" w:rsidRPr="00720AFF">
        <w:t xml:space="preserve"> </w:t>
      </w:r>
      <w:r w:rsidRPr="00720AFF">
        <w:t xml:space="preserve">However, the </w:t>
      </w:r>
      <w:r w:rsidR="007F5FB5" w:rsidRPr="00720AFF">
        <w:t>CBD</w:t>
      </w:r>
      <w:r w:rsidRPr="00720AFF">
        <w:t xml:space="preserve"> Program has only ever </w:t>
      </w:r>
      <w:r w:rsidR="00E55C02" w:rsidRPr="00720AFF">
        <w:lastRenderedPageBreak/>
        <w:t>issued certificates or exemptions to around 4,000</w:t>
      </w:r>
      <w:r w:rsidR="00820DBB" w:rsidRPr="00720AFF">
        <w:t xml:space="preserve"> different office</w:t>
      </w:r>
      <w:r w:rsidRPr="00720AFF">
        <w:t xml:space="preserve"> buildings since the program commenced in </w:t>
      </w:r>
      <w:r w:rsidR="00C222E8" w:rsidRPr="00720AFF">
        <w:t>2010</w:t>
      </w:r>
      <w:r w:rsidRPr="00720AFF">
        <w:t>. </w:t>
      </w:r>
    </w:p>
    <w:p w14:paraId="0C7D1393" w14:textId="08073B78" w:rsidR="009A3880" w:rsidRPr="00720AFF" w:rsidRDefault="00530092" w:rsidP="001525A7">
      <w:pPr>
        <w:spacing w:after="120"/>
        <w:jc w:val="both"/>
      </w:pPr>
      <w:r w:rsidRPr="00720AFF">
        <w:t xml:space="preserve">Using the NABERS </w:t>
      </w:r>
      <w:r w:rsidR="006A3B2B" w:rsidRPr="00720AFF">
        <w:t>office e</w:t>
      </w:r>
      <w:r w:rsidR="00434C9E" w:rsidRPr="00720AFF">
        <w:t xml:space="preserve">nergy </w:t>
      </w:r>
      <w:r w:rsidR="006A3B2B" w:rsidRPr="00720AFF">
        <w:t>ratings</w:t>
      </w:r>
      <w:r w:rsidR="00434C9E" w:rsidRPr="00720AFF">
        <w:t xml:space="preserve"> data set</w:t>
      </w:r>
      <w:r w:rsidR="00A24A4E" w:rsidRPr="00720AFF">
        <w:t>,</w:t>
      </w:r>
      <w:r w:rsidR="004C044A" w:rsidRPr="00720AFF">
        <w:rPr>
          <w:rStyle w:val="FootnoteReference"/>
        </w:rPr>
        <w:footnoteReference w:id="38"/>
      </w:r>
      <w:r w:rsidR="004C044A" w:rsidRPr="00720AFF">
        <w:t xml:space="preserve"> </w:t>
      </w:r>
      <w:r w:rsidR="009A3880" w:rsidRPr="00720AFF">
        <w:t>the following key themes emerge: </w:t>
      </w:r>
    </w:p>
    <w:p w14:paraId="3F6AE427" w14:textId="1923CAAE" w:rsidR="009A3880" w:rsidRPr="00720AFF" w:rsidRDefault="009A3880" w:rsidP="001525A7">
      <w:pPr>
        <w:numPr>
          <w:ilvl w:val="0"/>
          <w:numId w:val="16"/>
        </w:numPr>
        <w:spacing w:after="120"/>
        <w:jc w:val="both"/>
      </w:pPr>
      <w:r w:rsidRPr="00720AFF">
        <w:t>There is a small, but significant, tail of underperforming office buildings in Australia.</w:t>
      </w:r>
      <w:r w:rsidR="005D34EE" w:rsidRPr="00720AFF">
        <w:t xml:space="preserve"> </w:t>
      </w:r>
      <w:r w:rsidRPr="00720AFF">
        <w:t xml:space="preserve">374 of the 2,086 (18%) </w:t>
      </w:r>
      <w:r w:rsidR="00A24A4E" w:rsidRPr="00720AFF">
        <w:t xml:space="preserve">NABERS </w:t>
      </w:r>
      <w:r w:rsidR="008C1EC2" w:rsidRPr="00720AFF">
        <w:t xml:space="preserve">energy </w:t>
      </w:r>
      <w:r w:rsidRPr="00720AFF">
        <w:t>rated office buildings in Australia have never received a NABERS base building energy rating greater than 3 stars.</w:t>
      </w:r>
      <w:r w:rsidR="005D34EE" w:rsidRPr="00720AFF">
        <w:t xml:space="preserve"> </w:t>
      </w:r>
      <w:r w:rsidRPr="00720AFF">
        <w:t>102 have never received a rating higher than zero stars. Lower rated office buildings (three stars or less) make up 7% (1,519,494m</w:t>
      </w:r>
      <w:r w:rsidRPr="00720AFF">
        <w:rPr>
          <w:vertAlign w:val="superscript"/>
        </w:rPr>
        <w:t>2</w:t>
      </w:r>
      <w:r w:rsidRPr="00720AFF">
        <w:t>) of the total rated office building floor area (21,769,355m</w:t>
      </w:r>
      <w:r w:rsidRPr="00720AFF">
        <w:rPr>
          <w:vertAlign w:val="superscript"/>
        </w:rPr>
        <w:t>2</w:t>
      </w:r>
      <w:r w:rsidRPr="00720AFF">
        <w:t>). </w:t>
      </w:r>
    </w:p>
    <w:p w14:paraId="02BF8E41" w14:textId="77777777" w:rsidR="009A3880" w:rsidRPr="00720AFF" w:rsidRDefault="009A3880" w:rsidP="001525A7">
      <w:pPr>
        <w:numPr>
          <w:ilvl w:val="0"/>
          <w:numId w:val="17"/>
        </w:numPr>
        <w:spacing w:after="120"/>
        <w:jc w:val="both"/>
      </w:pPr>
      <w:r w:rsidRPr="00720AFF">
        <w:t>Lower rated office buildings do not significantly differ from others by location, with 52% of all lower rated offices located in metropolitan city areas. </w:t>
      </w:r>
    </w:p>
    <w:p w14:paraId="09C0FE2D" w14:textId="77777777" w:rsidR="009A3880" w:rsidRPr="00720AFF" w:rsidRDefault="009A3880" w:rsidP="001525A7">
      <w:pPr>
        <w:numPr>
          <w:ilvl w:val="0"/>
          <w:numId w:val="18"/>
        </w:numPr>
        <w:spacing w:after="120"/>
        <w:jc w:val="both"/>
      </w:pPr>
      <w:r w:rsidRPr="00720AFF">
        <w:t>Lower rated office buildings are smaller in size and ownership structure. </w:t>
      </w:r>
    </w:p>
    <w:p w14:paraId="4BE3BE6B" w14:textId="40019475" w:rsidR="009A3880" w:rsidRPr="00720AFF" w:rsidRDefault="009A3880" w:rsidP="001525A7">
      <w:pPr>
        <w:numPr>
          <w:ilvl w:val="0"/>
          <w:numId w:val="19"/>
        </w:numPr>
        <w:spacing w:after="120"/>
        <w:jc w:val="both"/>
      </w:pPr>
      <w:r w:rsidRPr="00720AFF">
        <w:t>4,218 m</w:t>
      </w:r>
      <w:r w:rsidRPr="00720AFF">
        <w:rPr>
          <w:vertAlign w:val="superscript"/>
        </w:rPr>
        <w:t>2</w:t>
      </w:r>
      <w:r w:rsidRPr="00720AFF">
        <w:t xml:space="preserve"> is the average rated area of office buildings that have never received more than a </w:t>
      </w:r>
      <w:r w:rsidR="3CFE3AEE" w:rsidRPr="00720AFF">
        <w:t>3-star</w:t>
      </w:r>
      <w:r w:rsidRPr="00720AFF">
        <w:t xml:space="preserve"> NABERS energy rating. </w:t>
      </w:r>
    </w:p>
    <w:p w14:paraId="7B0CF6EF" w14:textId="59D89A2E" w:rsidR="009A3880" w:rsidRPr="00720AFF" w:rsidRDefault="009A3880" w:rsidP="001525A7">
      <w:pPr>
        <w:numPr>
          <w:ilvl w:val="0"/>
          <w:numId w:val="20"/>
        </w:numPr>
        <w:spacing w:after="120"/>
        <w:jc w:val="both"/>
      </w:pPr>
      <w:r w:rsidRPr="00720AFF">
        <w:t xml:space="preserve">21%, or 328 of the 1553 rated office buildings owned by smaller investment trusts, family trusts, joint ventures, sole proprietors or institutions have never received more than a </w:t>
      </w:r>
      <w:r w:rsidR="45799BD5" w:rsidRPr="00720AFF">
        <w:t>3-star</w:t>
      </w:r>
      <w:r w:rsidRPr="00720AFF">
        <w:t xml:space="preserve"> NABERS energy rating. </w:t>
      </w:r>
    </w:p>
    <w:p w14:paraId="3B6A2B35" w14:textId="0EDD084B" w:rsidR="009A3880" w:rsidRPr="00720AFF" w:rsidRDefault="009A3880" w:rsidP="001525A7">
      <w:pPr>
        <w:numPr>
          <w:ilvl w:val="0"/>
          <w:numId w:val="21"/>
        </w:numPr>
        <w:spacing w:after="120"/>
        <w:jc w:val="both"/>
      </w:pPr>
      <w:r w:rsidRPr="00720AFF">
        <w:t xml:space="preserve">11%, or 83 of the 750 rated office buildings owned by large Real Estate Investments Trusts (REITs) have never got more than a </w:t>
      </w:r>
      <w:r w:rsidR="71E35BA0" w:rsidRPr="00720AFF">
        <w:t>3-star</w:t>
      </w:r>
      <w:r w:rsidRPr="00720AFF">
        <w:t xml:space="preserve"> NABERS energy rating. </w:t>
      </w:r>
    </w:p>
    <w:p w14:paraId="4ABE716E" w14:textId="01D48CC8" w:rsidR="009A3880" w:rsidRPr="00720AFF" w:rsidRDefault="009A3880" w:rsidP="001525A7">
      <w:pPr>
        <w:numPr>
          <w:ilvl w:val="0"/>
          <w:numId w:val="22"/>
        </w:numPr>
        <w:spacing w:after="120"/>
        <w:jc w:val="both"/>
      </w:pPr>
      <w:r w:rsidRPr="00720AFF">
        <w:t>3%, or 3 of the 93 buildings owned by superannuation funds fall into this group. </w:t>
      </w:r>
    </w:p>
    <w:p w14:paraId="5099835D" w14:textId="288E32B2" w:rsidR="00805B69" w:rsidRDefault="00805B69" w:rsidP="001525A7">
      <w:pPr>
        <w:spacing w:after="120"/>
        <w:jc w:val="both"/>
      </w:pPr>
      <w:r w:rsidRPr="00720AFF">
        <w:t xml:space="preserve">Using the </w:t>
      </w:r>
      <w:r w:rsidR="009F1633" w:rsidRPr="00720AFF">
        <w:t xml:space="preserve">CBD dataset, </w:t>
      </w:r>
      <w:r w:rsidR="000B69DB" w:rsidRPr="00720AFF">
        <w:t xml:space="preserve">the </w:t>
      </w:r>
      <w:r w:rsidR="00547C2D" w:rsidRPr="00720AFF">
        <w:t xml:space="preserve">breakdown of NABERS ratings by building size </w:t>
      </w:r>
      <w:r w:rsidR="008C17CE" w:rsidRPr="00720AFF">
        <w:t xml:space="preserve">also highlights </w:t>
      </w:r>
      <w:r w:rsidR="00D9143A" w:rsidRPr="00720AFF">
        <w:t>how</w:t>
      </w:r>
      <w:r w:rsidR="00AF4DB2" w:rsidRPr="00720AFF">
        <w:t xml:space="preserve"> </w:t>
      </w:r>
      <w:r w:rsidR="00B12E20" w:rsidRPr="00720AFF">
        <w:t xml:space="preserve">lower rated office buildings </w:t>
      </w:r>
      <w:r w:rsidR="00AF4DB2" w:rsidRPr="00720AFF">
        <w:t>are</w:t>
      </w:r>
      <w:r w:rsidR="00B12E20" w:rsidRPr="00720AFF">
        <w:t xml:space="preserve"> smaller in size</w:t>
      </w:r>
      <w:r w:rsidR="00547C2D" w:rsidRPr="00720AFF">
        <w:t>:</w:t>
      </w:r>
    </w:p>
    <w:tbl>
      <w:tblPr>
        <w:tblStyle w:val="TableGrid"/>
        <w:tblW w:w="0" w:type="auto"/>
        <w:tblLook w:val="04A0" w:firstRow="1" w:lastRow="0" w:firstColumn="1" w:lastColumn="0" w:noHBand="0" w:noVBand="1"/>
      </w:tblPr>
      <w:tblGrid>
        <w:gridCol w:w="2254"/>
        <w:gridCol w:w="2254"/>
        <w:gridCol w:w="2254"/>
        <w:gridCol w:w="2254"/>
      </w:tblGrid>
      <w:tr w:rsidR="0063200A" w:rsidRPr="004E2E46" w14:paraId="3041FB1D" w14:textId="77777777">
        <w:trPr>
          <w:trHeight w:val="300"/>
        </w:trPr>
        <w:tc>
          <w:tcPr>
            <w:tcW w:w="2254" w:type="dxa"/>
            <w:vAlign w:val="center"/>
          </w:tcPr>
          <w:p w14:paraId="00D1C6AE" w14:textId="77777777" w:rsidR="0063200A" w:rsidRPr="004E2E46" w:rsidRDefault="0063200A">
            <w:r w:rsidRPr="004E2E46">
              <w:t> </w:t>
            </w:r>
          </w:p>
        </w:tc>
        <w:tc>
          <w:tcPr>
            <w:tcW w:w="2254" w:type="dxa"/>
            <w:vAlign w:val="center"/>
          </w:tcPr>
          <w:p w14:paraId="0ABFA16F" w14:textId="77777777" w:rsidR="0063200A" w:rsidRPr="004E2E46" w:rsidRDefault="0063200A">
            <w:r w:rsidRPr="004E2E46">
              <w:t>1,000 - 5,000m</w:t>
            </w:r>
            <w:r w:rsidRPr="004E2E46">
              <w:rPr>
                <w:i/>
                <w:iCs/>
              </w:rPr>
              <w:t>2</w:t>
            </w:r>
          </w:p>
        </w:tc>
        <w:tc>
          <w:tcPr>
            <w:tcW w:w="2254" w:type="dxa"/>
            <w:vAlign w:val="center"/>
          </w:tcPr>
          <w:p w14:paraId="74A0D6D8" w14:textId="77777777" w:rsidR="0063200A" w:rsidRPr="004E2E46" w:rsidRDefault="0063200A">
            <w:r w:rsidRPr="004E2E46">
              <w:t>5,000-20,000 m</w:t>
            </w:r>
            <w:r w:rsidRPr="004E2E46">
              <w:rPr>
                <w:i/>
                <w:iCs/>
              </w:rPr>
              <w:t>2</w:t>
            </w:r>
          </w:p>
        </w:tc>
        <w:tc>
          <w:tcPr>
            <w:tcW w:w="2254" w:type="dxa"/>
            <w:vAlign w:val="center"/>
          </w:tcPr>
          <w:p w14:paraId="595F18A9" w14:textId="77777777" w:rsidR="0063200A" w:rsidRPr="004E2E46" w:rsidRDefault="0063200A">
            <w:r w:rsidRPr="004E2E46">
              <w:t>&gt;20,000m</w:t>
            </w:r>
            <w:r w:rsidRPr="004E2E46">
              <w:rPr>
                <w:i/>
                <w:iCs/>
              </w:rPr>
              <w:t>2</w:t>
            </w:r>
          </w:p>
        </w:tc>
      </w:tr>
      <w:tr w:rsidR="0063200A" w:rsidRPr="004E2E46" w14:paraId="7C67F81F" w14:textId="77777777">
        <w:trPr>
          <w:trHeight w:val="300"/>
        </w:trPr>
        <w:tc>
          <w:tcPr>
            <w:tcW w:w="2254" w:type="dxa"/>
            <w:vAlign w:val="center"/>
          </w:tcPr>
          <w:p w14:paraId="6E4B5AB4" w14:textId="77777777" w:rsidR="0063200A" w:rsidRPr="004E2E46" w:rsidRDefault="0063200A">
            <w:r w:rsidRPr="004E2E46">
              <w:rPr>
                <w:rStyle w:val="Strong"/>
              </w:rPr>
              <w:t>% 2 Star or less</w:t>
            </w:r>
          </w:p>
        </w:tc>
        <w:tc>
          <w:tcPr>
            <w:tcW w:w="2254" w:type="dxa"/>
            <w:vAlign w:val="center"/>
          </w:tcPr>
          <w:p w14:paraId="5BE39D0E" w14:textId="77777777" w:rsidR="0063200A" w:rsidRPr="004E2E46" w:rsidRDefault="0063200A">
            <w:r w:rsidRPr="004E2E46">
              <w:t>12.2%</w:t>
            </w:r>
          </w:p>
        </w:tc>
        <w:tc>
          <w:tcPr>
            <w:tcW w:w="2254" w:type="dxa"/>
            <w:vAlign w:val="center"/>
          </w:tcPr>
          <w:p w14:paraId="460D110E" w14:textId="77777777" w:rsidR="0063200A" w:rsidRPr="004E2E46" w:rsidRDefault="0063200A">
            <w:r w:rsidRPr="004E2E46">
              <w:t>7.4%</w:t>
            </w:r>
          </w:p>
        </w:tc>
        <w:tc>
          <w:tcPr>
            <w:tcW w:w="2254" w:type="dxa"/>
            <w:vAlign w:val="center"/>
          </w:tcPr>
          <w:p w14:paraId="7E54204C" w14:textId="77777777" w:rsidR="0063200A" w:rsidRPr="004E2E46" w:rsidRDefault="0063200A">
            <w:r w:rsidRPr="004E2E46">
              <w:t>0.7%</w:t>
            </w:r>
          </w:p>
        </w:tc>
      </w:tr>
      <w:tr w:rsidR="0063200A" w:rsidRPr="004E2E46" w14:paraId="3F709EBC" w14:textId="77777777">
        <w:trPr>
          <w:trHeight w:val="300"/>
        </w:trPr>
        <w:tc>
          <w:tcPr>
            <w:tcW w:w="2254" w:type="dxa"/>
            <w:vAlign w:val="center"/>
          </w:tcPr>
          <w:p w14:paraId="3BA6A87C" w14:textId="77777777" w:rsidR="0063200A" w:rsidRPr="004E2E46" w:rsidRDefault="0063200A">
            <w:r w:rsidRPr="004E2E46">
              <w:rPr>
                <w:rStyle w:val="Strong"/>
              </w:rPr>
              <w:t>% 2.5 to 3.5 Star</w:t>
            </w:r>
          </w:p>
        </w:tc>
        <w:tc>
          <w:tcPr>
            <w:tcW w:w="2254" w:type="dxa"/>
            <w:vAlign w:val="center"/>
          </w:tcPr>
          <w:p w14:paraId="039A7431" w14:textId="77777777" w:rsidR="0063200A" w:rsidRPr="004E2E46" w:rsidRDefault="0063200A">
            <w:r w:rsidRPr="004E2E46">
              <w:t>18.8%</w:t>
            </w:r>
          </w:p>
        </w:tc>
        <w:tc>
          <w:tcPr>
            <w:tcW w:w="2254" w:type="dxa"/>
            <w:vAlign w:val="center"/>
          </w:tcPr>
          <w:p w14:paraId="576838CB" w14:textId="77777777" w:rsidR="0063200A" w:rsidRPr="004E2E46" w:rsidRDefault="0063200A">
            <w:r w:rsidRPr="004E2E46">
              <w:t>13.2</w:t>
            </w:r>
            <w:r>
              <w:t>%</w:t>
            </w:r>
          </w:p>
        </w:tc>
        <w:tc>
          <w:tcPr>
            <w:tcW w:w="2254" w:type="dxa"/>
            <w:vAlign w:val="center"/>
          </w:tcPr>
          <w:p w14:paraId="5457980A" w14:textId="77777777" w:rsidR="0063200A" w:rsidRPr="004E2E46" w:rsidRDefault="0063200A">
            <w:r w:rsidRPr="004E2E46">
              <w:t>3.9%</w:t>
            </w:r>
          </w:p>
        </w:tc>
      </w:tr>
      <w:tr w:rsidR="0063200A" w:rsidRPr="004E2E46" w14:paraId="6B59C076" w14:textId="77777777">
        <w:trPr>
          <w:trHeight w:val="300"/>
        </w:trPr>
        <w:tc>
          <w:tcPr>
            <w:tcW w:w="2254" w:type="dxa"/>
            <w:vAlign w:val="center"/>
          </w:tcPr>
          <w:p w14:paraId="5E8669BD" w14:textId="77777777" w:rsidR="0063200A" w:rsidRPr="004E2E46" w:rsidRDefault="0063200A">
            <w:r w:rsidRPr="004E2E46">
              <w:rPr>
                <w:rStyle w:val="Strong"/>
              </w:rPr>
              <w:t>% 4 to 4.5 Star</w:t>
            </w:r>
          </w:p>
        </w:tc>
        <w:tc>
          <w:tcPr>
            <w:tcW w:w="2254" w:type="dxa"/>
            <w:vAlign w:val="center"/>
          </w:tcPr>
          <w:p w14:paraId="65935086" w14:textId="77777777" w:rsidR="0063200A" w:rsidRPr="004E2E46" w:rsidRDefault="0063200A">
            <w:r w:rsidRPr="004E2E46">
              <w:t>30%</w:t>
            </w:r>
          </w:p>
        </w:tc>
        <w:tc>
          <w:tcPr>
            <w:tcW w:w="2254" w:type="dxa"/>
            <w:vAlign w:val="center"/>
          </w:tcPr>
          <w:p w14:paraId="5F850EDA" w14:textId="77777777" w:rsidR="0063200A" w:rsidRPr="004E2E46" w:rsidRDefault="0063200A">
            <w:r w:rsidRPr="004E2E46">
              <w:t>34.1%</w:t>
            </w:r>
          </w:p>
        </w:tc>
        <w:tc>
          <w:tcPr>
            <w:tcW w:w="2254" w:type="dxa"/>
            <w:vAlign w:val="center"/>
          </w:tcPr>
          <w:p w14:paraId="0E97A9CC" w14:textId="77777777" w:rsidR="0063200A" w:rsidRPr="004E2E46" w:rsidRDefault="0063200A">
            <w:r w:rsidRPr="004E2E46">
              <w:t>20.4%</w:t>
            </w:r>
          </w:p>
        </w:tc>
      </w:tr>
      <w:tr w:rsidR="0063200A" w14:paraId="2A1C64DA" w14:textId="77777777">
        <w:trPr>
          <w:trHeight w:val="300"/>
        </w:trPr>
        <w:tc>
          <w:tcPr>
            <w:tcW w:w="2254" w:type="dxa"/>
            <w:vAlign w:val="center"/>
          </w:tcPr>
          <w:p w14:paraId="6D396866" w14:textId="77777777" w:rsidR="0063200A" w:rsidRPr="004E2E46" w:rsidRDefault="0063200A">
            <w:r w:rsidRPr="004E2E46">
              <w:rPr>
                <w:rStyle w:val="Strong"/>
              </w:rPr>
              <w:t>% 5 Star or above</w:t>
            </w:r>
          </w:p>
        </w:tc>
        <w:tc>
          <w:tcPr>
            <w:tcW w:w="2254" w:type="dxa"/>
            <w:vAlign w:val="center"/>
          </w:tcPr>
          <w:p w14:paraId="4E6702DF" w14:textId="77777777" w:rsidR="0063200A" w:rsidRPr="004E2E46" w:rsidRDefault="0063200A">
            <w:r w:rsidRPr="004E2E46">
              <w:t>38.9%</w:t>
            </w:r>
          </w:p>
        </w:tc>
        <w:tc>
          <w:tcPr>
            <w:tcW w:w="2254" w:type="dxa"/>
            <w:vAlign w:val="center"/>
          </w:tcPr>
          <w:p w14:paraId="60E5FB8D" w14:textId="77777777" w:rsidR="0063200A" w:rsidRPr="004E2E46" w:rsidRDefault="0063200A">
            <w:r w:rsidRPr="004E2E46">
              <w:t>45.2%</w:t>
            </w:r>
          </w:p>
        </w:tc>
        <w:tc>
          <w:tcPr>
            <w:tcW w:w="2254" w:type="dxa"/>
            <w:vAlign w:val="center"/>
          </w:tcPr>
          <w:p w14:paraId="71F0488E" w14:textId="77777777" w:rsidR="0063200A" w:rsidRDefault="0063200A">
            <w:r w:rsidRPr="004E2E46">
              <w:t>75%</w:t>
            </w:r>
          </w:p>
        </w:tc>
      </w:tr>
      <w:tr w:rsidR="0063200A" w14:paraId="3D627A0B" w14:textId="77777777">
        <w:trPr>
          <w:trHeight w:val="300"/>
        </w:trPr>
        <w:tc>
          <w:tcPr>
            <w:tcW w:w="2254" w:type="dxa"/>
            <w:vAlign w:val="center"/>
          </w:tcPr>
          <w:p w14:paraId="1E55BD03" w14:textId="77777777" w:rsidR="0063200A" w:rsidRDefault="0063200A">
            <w:pPr>
              <w:rPr>
                <w:rStyle w:val="Strong"/>
              </w:rPr>
            </w:pPr>
            <w:r w:rsidRPr="629C85E9">
              <w:rPr>
                <w:rStyle w:val="Strong"/>
              </w:rPr>
              <w:t>Total</w:t>
            </w:r>
          </w:p>
        </w:tc>
        <w:tc>
          <w:tcPr>
            <w:tcW w:w="2254" w:type="dxa"/>
            <w:vAlign w:val="center"/>
          </w:tcPr>
          <w:p w14:paraId="5A40F04F" w14:textId="77777777" w:rsidR="0063200A" w:rsidRDefault="0063200A">
            <w:r>
              <w:t>99.9%</w:t>
            </w:r>
          </w:p>
        </w:tc>
        <w:tc>
          <w:tcPr>
            <w:tcW w:w="2254" w:type="dxa"/>
            <w:vAlign w:val="center"/>
          </w:tcPr>
          <w:p w14:paraId="084FE6D6" w14:textId="77777777" w:rsidR="0063200A" w:rsidRDefault="0063200A">
            <w:r>
              <w:t>99.9%</w:t>
            </w:r>
          </w:p>
        </w:tc>
        <w:tc>
          <w:tcPr>
            <w:tcW w:w="2254" w:type="dxa"/>
            <w:vAlign w:val="center"/>
          </w:tcPr>
          <w:p w14:paraId="7C5754F0" w14:textId="77777777" w:rsidR="0063200A" w:rsidRDefault="0063200A">
            <w:r>
              <w:t>100%</w:t>
            </w:r>
          </w:p>
        </w:tc>
      </w:tr>
    </w:tbl>
    <w:p w14:paraId="23E6F2D7" w14:textId="7EF589D1" w:rsidR="0063200A" w:rsidRPr="00720AFF" w:rsidRDefault="0063200A" w:rsidP="0063200A">
      <w:pPr>
        <w:spacing w:after="120"/>
        <w:ind w:left="360"/>
        <w:jc w:val="both"/>
        <w:rPr>
          <w:sz w:val="18"/>
          <w:szCs w:val="18"/>
        </w:rPr>
      </w:pPr>
      <w:r w:rsidRPr="00720AFF">
        <w:rPr>
          <w:b/>
          <w:bCs/>
          <w:sz w:val="18"/>
          <w:szCs w:val="18"/>
        </w:rPr>
        <w:t>Table 1:</w:t>
      </w:r>
      <w:r w:rsidRPr="00720AFF">
        <w:rPr>
          <w:sz w:val="18"/>
          <w:szCs w:val="18"/>
        </w:rPr>
        <w:t xml:space="preserve"> Breakdown of NABERS ratings by building size</w:t>
      </w:r>
      <w:r>
        <w:rPr>
          <w:sz w:val="18"/>
          <w:szCs w:val="18"/>
        </w:rPr>
        <w:t>, 2024 calendar year, CBD dataset.</w:t>
      </w:r>
    </w:p>
    <w:p w14:paraId="5B0D48E6" w14:textId="77777777" w:rsidR="0063200A" w:rsidRPr="00720AFF" w:rsidRDefault="0063200A" w:rsidP="001525A7">
      <w:pPr>
        <w:spacing w:after="120"/>
        <w:jc w:val="both"/>
      </w:pPr>
    </w:p>
    <w:p w14:paraId="1D0C2B0C" w14:textId="3C87910F" w:rsidR="006D4C24" w:rsidRPr="00720AFF" w:rsidRDefault="006D4C24" w:rsidP="001525A7">
      <w:pPr>
        <w:pStyle w:val="Heading3"/>
        <w:numPr>
          <w:ilvl w:val="1"/>
          <w:numId w:val="32"/>
        </w:numPr>
        <w:spacing w:after="120"/>
        <w:jc w:val="both"/>
      </w:pPr>
      <w:bookmarkStart w:id="56" w:name="_Toc200017028"/>
      <w:r w:rsidRPr="00720AFF">
        <w:t xml:space="preserve">MEPS </w:t>
      </w:r>
      <w:r w:rsidR="00795862" w:rsidRPr="00720AFF">
        <w:t xml:space="preserve">potential </w:t>
      </w:r>
      <w:r w:rsidRPr="00720AFF">
        <w:t>framework</w:t>
      </w:r>
      <w:bookmarkEnd w:id="56"/>
    </w:p>
    <w:p w14:paraId="73A96789" w14:textId="16768A42" w:rsidR="008B2281" w:rsidRPr="00720AFF" w:rsidRDefault="008B2281" w:rsidP="001525A7">
      <w:pPr>
        <w:spacing w:after="120"/>
        <w:jc w:val="both"/>
      </w:pPr>
      <w:r w:rsidRPr="00720AFF">
        <w:t xml:space="preserve">Specific details of how MEPS would be incorporated into the Act will need to be finalised following a more detailed consideration of the costs and benefits. However, the broad parameters of how a </w:t>
      </w:r>
      <w:r w:rsidR="00EC70C6" w:rsidRPr="00720AFF">
        <w:t xml:space="preserve">framework </w:t>
      </w:r>
      <w:r w:rsidR="00A970A0" w:rsidRPr="00720AFF">
        <w:t>could work</w:t>
      </w:r>
      <w:r w:rsidR="00365F48" w:rsidRPr="00720AFF">
        <w:t xml:space="preserve"> is discussed below.</w:t>
      </w:r>
    </w:p>
    <w:p w14:paraId="017AF3EE" w14:textId="2048EFF2" w:rsidR="002F5926" w:rsidRPr="00720AFF" w:rsidRDefault="00C94DC1" w:rsidP="001525A7">
      <w:pPr>
        <w:spacing w:after="120"/>
        <w:jc w:val="both"/>
      </w:pPr>
      <w:r w:rsidRPr="00720AFF">
        <w:t xml:space="preserve">Currently, </w:t>
      </w:r>
      <w:r w:rsidR="002F5926" w:rsidRPr="00720AFF">
        <w:t>NABERS is the most appropriate and relevant metric to use for MEPS for offices. It is trusted and recognised by industry as a fair and relevant tool. </w:t>
      </w:r>
      <w:r w:rsidR="004A0063" w:rsidRPr="00720AFF">
        <w:t>NABERS</w:t>
      </w:r>
      <w:r w:rsidR="00060DA3" w:rsidRPr="00720AFF">
        <w:t xml:space="preserve"> is </w:t>
      </w:r>
      <w:r w:rsidR="004A0063" w:rsidRPr="00720AFF">
        <w:t xml:space="preserve">an adopted proxy under the Australian </w:t>
      </w:r>
      <w:r w:rsidR="00DB56E2" w:rsidRPr="00720AFF">
        <w:t xml:space="preserve">sustainable finance taxonomy and is </w:t>
      </w:r>
      <w:r w:rsidR="00DD526D" w:rsidRPr="00720AFF">
        <w:t xml:space="preserve">evolving </w:t>
      </w:r>
      <w:r w:rsidR="005E3227" w:rsidRPr="00720AFF">
        <w:t xml:space="preserve">its </w:t>
      </w:r>
      <w:r w:rsidR="0022102D" w:rsidRPr="00720AFF">
        <w:t xml:space="preserve">tools to </w:t>
      </w:r>
      <w:r w:rsidR="005A7934" w:rsidRPr="00720AFF">
        <w:t xml:space="preserve">ensure NABERS energy ratings remain relevant and communicate the energy efficiency and environmental impact of buildings as the electricity grid </w:t>
      </w:r>
      <w:r w:rsidR="0099206D" w:rsidRPr="00720AFF">
        <w:t>decarbonises.</w:t>
      </w:r>
    </w:p>
    <w:p w14:paraId="5EE00609" w14:textId="04002763" w:rsidR="00167E68" w:rsidRPr="00720AFF" w:rsidRDefault="00167E68" w:rsidP="001525A7">
      <w:pPr>
        <w:spacing w:after="120"/>
        <w:jc w:val="both"/>
      </w:pPr>
      <w:r w:rsidRPr="00720AFF">
        <w:lastRenderedPageBreak/>
        <w:t xml:space="preserve">As with disclosure, the Minister would determine whether an office building is </w:t>
      </w:r>
      <w:r w:rsidRPr="00720AFF">
        <w:rPr>
          <w:i/>
          <w:iCs/>
        </w:rPr>
        <w:t>MEPS affected</w:t>
      </w:r>
      <w:r w:rsidRPr="00720AFF">
        <w:t>. An office building would need to be disclosure affected first for it to be determined to also be MEPS affected. </w:t>
      </w:r>
    </w:p>
    <w:p w14:paraId="6A8AF966" w14:textId="066FFB18" w:rsidR="00167E68" w:rsidRPr="00720AFF" w:rsidRDefault="009C69AC" w:rsidP="001525A7">
      <w:pPr>
        <w:spacing w:after="120"/>
        <w:jc w:val="both"/>
      </w:pPr>
      <w:r w:rsidRPr="00720AFF">
        <w:t>There would be an obligation placed on the owners of t</w:t>
      </w:r>
      <w:r w:rsidR="00167E68" w:rsidRPr="00720AFF">
        <w:t xml:space="preserve">hese office buildings </w:t>
      </w:r>
      <w:r w:rsidRPr="00720AFF">
        <w:t>to</w:t>
      </w:r>
      <w:r w:rsidR="00167E68" w:rsidRPr="00720AFF">
        <w:t xml:space="preserve"> </w:t>
      </w:r>
      <w:r w:rsidR="00E13F26" w:rsidRPr="00720AFF">
        <w:t>obtain</w:t>
      </w:r>
      <w:r w:rsidR="00167E68" w:rsidRPr="00720AFF">
        <w:t xml:space="preserve"> a current </w:t>
      </w:r>
      <w:r w:rsidR="00CC4A1A" w:rsidRPr="00720AFF">
        <w:t xml:space="preserve">NABERS </w:t>
      </w:r>
      <w:r w:rsidR="0060282F" w:rsidRPr="00720AFF">
        <w:t>e</w:t>
      </w:r>
      <w:r w:rsidR="00CC4A1A" w:rsidRPr="00720AFF">
        <w:t>nergy rating</w:t>
      </w:r>
      <w:r w:rsidR="00167E68" w:rsidRPr="00720AFF">
        <w:t xml:space="preserve"> </w:t>
      </w:r>
      <w:r w:rsidR="00707D07" w:rsidRPr="00720AFF">
        <w:t xml:space="preserve">and for their building to meet a </w:t>
      </w:r>
      <w:r w:rsidR="00167E68" w:rsidRPr="00720AFF">
        <w:t xml:space="preserve">minimum NABERS </w:t>
      </w:r>
      <w:r w:rsidR="0060282F" w:rsidRPr="00720AFF">
        <w:t>e</w:t>
      </w:r>
      <w:r w:rsidR="00167E68" w:rsidRPr="00720AFF">
        <w:t xml:space="preserve">nergy rating by a certain date in the future (for example, within the first three years of the policy commencing). The minimum star rating and timing would be finalised following completion of a </w:t>
      </w:r>
      <w:r w:rsidR="00195330" w:rsidRPr="00720AFF">
        <w:t xml:space="preserve">detailed </w:t>
      </w:r>
      <w:r w:rsidR="00167E68" w:rsidRPr="00720AFF">
        <w:t>cost benefit analysis. </w:t>
      </w:r>
    </w:p>
    <w:p w14:paraId="708EA082" w14:textId="3D6D22EF" w:rsidR="00167E68" w:rsidRPr="00720AFF" w:rsidRDefault="00167E68" w:rsidP="00265AD0">
      <w:pPr>
        <w:spacing w:after="60"/>
        <w:jc w:val="both"/>
      </w:pPr>
      <w:r w:rsidRPr="00720AFF">
        <w:t>If an owner of a MEPS affected office building does not comply with the requirements, there would be a gradient system of compliance measures</w:t>
      </w:r>
      <w:r w:rsidR="00F60076" w:rsidRPr="00720AFF">
        <w:t>. These could</w:t>
      </w:r>
      <w:r w:rsidRPr="00720AFF">
        <w:t xml:space="preserve"> includ</w:t>
      </w:r>
      <w:r w:rsidR="00F60076" w:rsidRPr="00720AFF">
        <w:t>e</w:t>
      </w:r>
      <w:r w:rsidRPr="00720AFF">
        <w:t>: </w:t>
      </w:r>
    </w:p>
    <w:p w14:paraId="2AB08EFE" w14:textId="77777777" w:rsidR="00167E68" w:rsidRPr="00720AFF" w:rsidRDefault="00167E68" w:rsidP="00265AD0">
      <w:pPr>
        <w:numPr>
          <w:ilvl w:val="0"/>
          <w:numId w:val="12"/>
        </w:numPr>
        <w:spacing w:after="60"/>
        <w:ind w:left="714" w:hanging="357"/>
        <w:jc w:val="both"/>
      </w:pPr>
      <w:r w:rsidRPr="00720AFF">
        <w:t>Warning letters </w:t>
      </w:r>
    </w:p>
    <w:p w14:paraId="526A722D" w14:textId="040FB5DC" w:rsidR="00167E68" w:rsidRPr="00720AFF" w:rsidRDefault="00167E68" w:rsidP="00265AD0">
      <w:pPr>
        <w:numPr>
          <w:ilvl w:val="0"/>
          <w:numId w:val="13"/>
        </w:numPr>
        <w:spacing w:after="60"/>
        <w:ind w:left="714" w:hanging="357"/>
        <w:jc w:val="both"/>
      </w:pPr>
      <w:r w:rsidRPr="00720AFF">
        <w:t>Improvement notices </w:t>
      </w:r>
      <w:r w:rsidR="005221FE" w:rsidRPr="00720AFF">
        <w:t>including upgrade plan requirements</w:t>
      </w:r>
    </w:p>
    <w:p w14:paraId="58AB0243" w14:textId="04C5609F" w:rsidR="00167E68" w:rsidRPr="00720AFF" w:rsidRDefault="00167E68" w:rsidP="00265AD0">
      <w:pPr>
        <w:numPr>
          <w:ilvl w:val="0"/>
          <w:numId w:val="14"/>
        </w:numPr>
        <w:spacing w:after="60"/>
        <w:ind w:left="714" w:hanging="357"/>
        <w:jc w:val="both"/>
      </w:pPr>
      <w:r w:rsidRPr="00720AFF">
        <w:t xml:space="preserve">Public register </w:t>
      </w:r>
      <w:r w:rsidR="00E0723C" w:rsidRPr="00720AFF">
        <w:t>of</w:t>
      </w:r>
      <w:r w:rsidR="00DB5412" w:rsidRPr="00720AFF">
        <w:t xml:space="preserve"> </w:t>
      </w:r>
      <w:r w:rsidR="00E0723C" w:rsidRPr="00720AFF">
        <w:t xml:space="preserve">buildings and owner details </w:t>
      </w:r>
      <w:r w:rsidRPr="00720AFF">
        <w:t>of non-compliance </w:t>
      </w:r>
    </w:p>
    <w:p w14:paraId="33829CFB" w14:textId="77777777" w:rsidR="00167E68" w:rsidRDefault="00167E68" w:rsidP="001525A7">
      <w:pPr>
        <w:numPr>
          <w:ilvl w:val="0"/>
          <w:numId w:val="15"/>
        </w:numPr>
        <w:spacing w:after="120"/>
        <w:ind w:left="714" w:hanging="357"/>
        <w:jc w:val="both"/>
      </w:pPr>
      <w:r w:rsidRPr="00720AFF">
        <w:t>Civil penalties, including infringement notices </w:t>
      </w:r>
    </w:p>
    <w:p w14:paraId="504FEE50" w14:textId="6D4A3FE8" w:rsidR="006F443B" w:rsidRPr="00720AFF" w:rsidRDefault="006F443B" w:rsidP="001525A7">
      <w:pPr>
        <w:numPr>
          <w:ilvl w:val="0"/>
          <w:numId w:val="15"/>
        </w:numPr>
        <w:spacing w:after="120"/>
        <w:ind w:left="714" w:hanging="357"/>
        <w:jc w:val="both"/>
      </w:pPr>
      <w:r>
        <w:t>Restrictions on leas</w:t>
      </w:r>
      <w:r w:rsidR="00F95DB3">
        <w:t>ing the building.</w:t>
      </w:r>
    </w:p>
    <w:p w14:paraId="34CD1E74" w14:textId="39344A95" w:rsidR="00167E68" w:rsidRPr="00720AFF" w:rsidRDefault="00167E68" w:rsidP="001525A7">
      <w:pPr>
        <w:spacing w:after="120"/>
        <w:jc w:val="both"/>
      </w:pPr>
      <w:r w:rsidRPr="00720AFF">
        <w:t xml:space="preserve">If a MEPS affected building below the MEPS threshold were offered for sale, the disclosure requirements mean it would need to display the low NABERS </w:t>
      </w:r>
      <w:r w:rsidR="00F96FCD" w:rsidRPr="00720AFF">
        <w:t xml:space="preserve">energy </w:t>
      </w:r>
      <w:r w:rsidRPr="00720AFF">
        <w:t>rating</w:t>
      </w:r>
      <w:r w:rsidR="00860D63" w:rsidRPr="00720AFF">
        <w:t xml:space="preserve"> and</w:t>
      </w:r>
      <w:r w:rsidRPr="00720AFF">
        <w:t xml:space="preserve"> </w:t>
      </w:r>
      <w:r w:rsidR="00860D63" w:rsidRPr="00720AFF">
        <w:t>p</w:t>
      </w:r>
      <w:r w:rsidRPr="00720AFF">
        <w:t xml:space="preserve">rospective buyers would be made aware that the building is non-compliant with the Act. While the Act provisions </w:t>
      </w:r>
      <w:r w:rsidR="0045154A">
        <w:t xml:space="preserve">are </w:t>
      </w:r>
      <w:r w:rsidR="00F953C1">
        <w:t xml:space="preserve">not </w:t>
      </w:r>
      <w:r w:rsidR="0045154A">
        <w:t>expected</w:t>
      </w:r>
      <w:r w:rsidRPr="00720AFF">
        <w:t xml:space="preserve"> </w:t>
      </w:r>
      <w:r w:rsidR="00F953C1">
        <w:t>to</w:t>
      </w:r>
      <w:r w:rsidRPr="00720AFF">
        <w:t xml:space="preserve"> restrict the sale of non-compliant buildings, </w:t>
      </w:r>
      <w:r w:rsidR="009A6C78" w:rsidRPr="00720AFF">
        <w:t>impacts</w:t>
      </w:r>
      <w:r w:rsidRPr="00720AFF">
        <w:t xml:space="preserve"> in sale price due to the non-compliance and low energy performance would be expected.  </w:t>
      </w:r>
    </w:p>
    <w:p w14:paraId="3C1616BE" w14:textId="77777777" w:rsidR="00167E68" w:rsidRPr="00720AFF" w:rsidRDefault="00167E68" w:rsidP="001525A7">
      <w:pPr>
        <w:spacing w:after="120"/>
        <w:jc w:val="both"/>
      </w:pPr>
      <w:r w:rsidRPr="00720AFF">
        <w:t>Prospective buyers may still be willing to purchase a non-compliant building to invest in energy performance upgrades, or to change the space use of the building from office to another purpose. </w:t>
      </w:r>
    </w:p>
    <w:p w14:paraId="7E4E7E58" w14:textId="628EA2E0" w:rsidR="00167E68" w:rsidRPr="00720AFF" w:rsidRDefault="00167E68" w:rsidP="001525A7">
      <w:pPr>
        <w:spacing w:after="120"/>
        <w:jc w:val="both"/>
      </w:pPr>
      <w:r w:rsidRPr="00720AFF">
        <w:t xml:space="preserve">If a building, or area of a building, has a current exemption from the disclosure requirements and therefore does not need a </w:t>
      </w:r>
      <w:r w:rsidR="0060675A" w:rsidRPr="00720AFF">
        <w:t xml:space="preserve">NABERS </w:t>
      </w:r>
      <w:r w:rsidR="00F96FCD" w:rsidRPr="00720AFF">
        <w:t>e</w:t>
      </w:r>
      <w:r w:rsidR="0060675A" w:rsidRPr="00720AFF">
        <w:t>nergy rating</w:t>
      </w:r>
      <w:r w:rsidRPr="00720AFF">
        <w:t>, then the same building or area of the building would be exempt from the MEPS requirements. These exemptions cover extended vacancy, major refurbishments, buildings that are non-assessable and buildings used by polic</w:t>
      </w:r>
      <w:r w:rsidR="00423487" w:rsidRPr="00720AFF">
        <w:t>e</w:t>
      </w:r>
      <w:r w:rsidRPr="00720AFF">
        <w:t xml:space="preserve"> and security agencies.  </w:t>
      </w:r>
    </w:p>
    <w:p w14:paraId="2D7C5DEE" w14:textId="5A384155" w:rsidR="008900B2" w:rsidRPr="00720AFF" w:rsidRDefault="00167E68" w:rsidP="001525A7">
      <w:pPr>
        <w:spacing w:after="120"/>
        <w:jc w:val="both"/>
      </w:pPr>
      <w:r w:rsidRPr="00720AFF">
        <w:t>In addition to the above exemptions, a cost cap could be considered, to limit building capital upgrade costs where it is impractical.</w:t>
      </w:r>
    </w:p>
    <w:p w14:paraId="79D8D383" w14:textId="0EAF94C9" w:rsidR="00376976" w:rsidRPr="00720AFF" w:rsidRDefault="00A20AAF" w:rsidP="001525A7">
      <w:pPr>
        <w:spacing w:after="120"/>
        <w:jc w:val="both"/>
      </w:pPr>
      <w:r w:rsidRPr="00720AFF">
        <w:t>Changes to the Act in relation to introducing the framework for MEPS will be considered at the same time amendments are made to the disclosure</w:t>
      </w:r>
      <w:r w:rsidR="00A917D9" w:rsidRPr="00720AFF">
        <w:t xml:space="preserve"> framework.</w:t>
      </w:r>
    </w:p>
    <w:p w14:paraId="4C2B5C1D" w14:textId="7D77ACD0" w:rsidR="003F54A6" w:rsidRDefault="003F54A6">
      <w:r>
        <w:br w:type="page"/>
      </w:r>
    </w:p>
    <w:p w14:paraId="0E231432" w14:textId="77777777" w:rsidR="003F54A6" w:rsidRDefault="003F54A6" w:rsidP="003F54A6">
      <w:pPr>
        <w:pStyle w:val="Heading2"/>
        <w:ind w:left="720" w:hanging="720"/>
      </w:pPr>
      <w:bookmarkStart w:id="57" w:name="_Toc201580122"/>
      <w:r>
        <w:lastRenderedPageBreak/>
        <w:t>Appendices</w:t>
      </w:r>
      <w:bookmarkEnd w:id="57"/>
      <w:r>
        <w:t xml:space="preserve"> </w:t>
      </w:r>
    </w:p>
    <w:p w14:paraId="72CA6B12" w14:textId="77777777" w:rsidR="003F54A6" w:rsidRDefault="003F54A6" w:rsidP="003F54A6">
      <w:pPr>
        <w:rPr>
          <w:rFonts w:ascii="Calibri" w:eastAsia="Times New Roman" w:hAnsi="Calibri" w:cs="Times New Roman"/>
          <w:b/>
          <w:bCs/>
          <w:sz w:val="36"/>
          <w:szCs w:val="24"/>
        </w:rPr>
      </w:pPr>
      <w:r w:rsidRPr="00514E80">
        <w:rPr>
          <w:rFonts w:ascii="Calibri" w:eastAsia="Times New Roman" w:hAnsi="Calibri" w:cs="Times New Roman"/>
          <w:b/>
          <w:bCs/>
          <w:sz w:val="36"/>
          <w:szCs w:val="24"/>
        </w:rPr>
        <w:t>Figure 1:</w:t>
      </w:r>
    </w:p>
    <w:p w14:paraId="5A7A987C" w14:textId="77777777" w:rsidR="003F54A6" w:rsidRPr="00514E80" w:rsidRDefault="003F54A6" w:rsidP="003F54A6">
      <w:r w:rsidRPr="00514E80">
        <w:t xml:space="preserve">CBD expansion roadmap infographic showing nine sequential steps for a program rollout related to NABERS energy tools and public building disclosures. Each step is represented by a numbered title, a short description, and a horizontal progress bar ranging from 2025 through to 2035. The progress bar on the regulated activities </w:t>
      </w:r>
      <w:proofErr w:type="gramStart"/>
      <w:r w:rsidRPr="00514E80">
        <w:t>include</w:t>
      </w:r>
      <w:proofErr w:type="gramEnd"/>
      <w:r w:rsidRPr="00514E80">
        <w:t xml:space="preserve"> a circle showing current progress prediction.</w:t>
      </w:r>
    </w:p>
    <w:p w14:paraId="2C38AC22" w14:textId="77777777" w:rsidR="003F54A6" w:rsidRPr="00514E80" w:rsidRDefault="003F54A6" w:rsidP="003F54A6"/>
    <w:p w14:paraId="15305B16" w14:textId="77777777" w:rsidR="003F54A6" w:rsidRPr="00514E80" w:rsidRDefault="003F54A6" w:rsidP="003F54A6">
      <w:r w:rsidRPr="00514E80">
        <w:t xml:space="preserve">Step 1 Publication of Roadmap - Sectioned in the non-regulatory group. Progress bar indicates 2025. </w:t>
      </w:r>
    </w:p>
    <w:p w14:paraId="7B232073" w14:textId="77777777" w:rsidR="003F54A6" w:rsidRPr="00514E80" w:rsidRDefault="003F54A6" w:rsidP="003F54A6">
      <w:r w:rsidRPr="00514E80">
        <w:t>Sub text - Publication and promotion of this roadmap is expected to increase voluntary uptake of NABERS energy tools as organisations prepare for mandatory disclosure.</w:t>
      </w:r>
    </w:p>
    <w:p w14:paraId="0DA0C43B" w14:textId="77777777" w:rsidR="003F54A6" w:rsidRPr="00514E80" w:rsidRDefault="003F54A6" w:rsidP="003F54A6"/>
    <w:p w14:paraId="6B94C700" w14:textId="77777777" w:rsidR="003F54A6" w:rsidRPr="00514E80" w:rsidRDefault="003F54A6" w:rsidP="003F54A6">
      <w:r w:rsidRPr="00514E80">
        <w:t xml:space="preserve">Step 2 NABERS Continuous Improvement. Sectioned in the non-regulatory group. </w:t>
      </w:r>
    </w:p>
    <w:p w14:paraId="45A33459" w14:textId="77777777" w:rsidR="003F54A6" w:rsidRPr="00514E80" w:rsidRDefault="003F54A6" w:rsidP="003F54A6">
      <w:r w:rsidRPr="00514E80">
        <w:t>Progress bar indicates a continuation from 2025 through to 2035.</w:t>
      </w:r>
    </w:p>
    <w:p w14:paraId="211C2329" w14:textId="77777777" w:rsidR="003F54A6" w:rsidRPr="00514E80" w:rsidRDefault="003F54A6" w:rsidP="003F54A6">
      <w:r w:rsidRPr="00514E80">
        <w:t xml:space="preserve">Subtext - NABERS tool refinement and development to ensure continued relevance, quality and trust. </w:t>
      </w:r>
    </w:p>
    <w:p w14:paraId="4F7D93CA" w14:textId="77777777" w:rsidR="003F54A6" w:rsidRPr="00514E80" w:rsidRDefault="003F54A6" w:rsidP="003F54A6"/>
    <w:p w14:paraId="1F9B998E" w14:textId="77777777" w:rsidR="003F54A6" w:rsidRPr="00514E80" w:rsidRDefault="003F54A6" w:rsidP="003F54A6">
      <w:r w:rsidRPr="00514E80">
        <w:t>Step 3 Public Buildings.</w:t>
      </w:r>
    </w:p>
    <w:p w14:paraId="2F5EA904" w14:textId="77777777" w:rsidR="003F54A6" w:rsidRPr="00514E80" w:rsidRDefault="003F54A6" w:rsidP="003F54A6">
      <w:r w:rsidRPr="00514E80">
        <w:t>Sectioned in the non-regulatory group. Progress bar indicates a continuation from 2025 through to 2035.</w:t>
      </w:r>
    </w:p>
    <w:p w14:paraId="5D86BC6B" w14:textId="77777777" w:rsidR="003F54A6" w:rsidRPr="00514E80" w:rsidRDefault="003F54A6" w:rsidP="003F54A6">
      <w:r w:rsidRPr="00514E80">
        <w:t>Sub text - For public buildings such as public schools and hospitals, pursue jurisdictional commitments to comprehensive disclosure of energy ratings through dedicated actions under the Trajectory for Low Energy Buildings and respective net zero in government operations strategies.</w:t>
      </w:r>
    </w:p>
    <w:p w14:paraId="14F73708" w14:textId="77777777" w:rsidR="003F54A6" w:rsidRPr="00514E80" w:rsidRDefault="003F54A6" w:rsidP="003F54A6"/>
    <w:p w14:paraId="6B06DF6E" w14:textId="77777777" w:rsidR="003F54A6" w:rsidRPr="00514E80" w:rsidRDefault="003F54A6" w:rsidP="003F54A6">
      <w:r w:rsidRPr="00514E80">
        <w:t>Step 4 Renewable Energy Indicator.</w:t>
      </w:r>
    </w:p>
    <w:p w14:paraId="01B681A4" w14:textId="77777777" w:rsidR="003F54A6" w:rsidRPr="00514E80" w:rsidRDefault="003F54A6" w:rsidP="003F54A6">
      <w:r w:rsidRPr="00514E80">
        <w:t xml:space="preserve">Sectioned in the regulatory group. Progress </w:t>
      </w:r>
      <w:proofErr w:type="gramStart"/>
      <w:r w:rsidRPr="00514E80">
        <w:t>bar</w:t>
      </w:r>
      <w:proofErr w:type="gramEnd"/>
      <w:r w:rsidRPr="00514E80">
        <w:t xml:space="preserve"> indicate continuation from 2025 through to a couple years later. Circle is situated at the end of the bar.</w:t>
      </w:r>
    </w:p>
    <w:p w14:paraId="51981BA9" w14:textId="77777777" w:rsidR="003F54A6" w:rsidRPr="00514E80" w:rsidRDefault="003F54A6" w:rsidP="003F54A6">
      <w:r w:rsidRPr="00514E80">
        <w:t>Sub text - Include the NABERS REI as a mandatory piece of information to be disclosed for current and future disclosure affected buildings and spaces.</w:t>
      </w:r>
    </w:p>
    <w:p w14:paraId="536A0D3E" w14:textId="77777777" w:rsidR="003F54A6" w:rsidRPr="00514E80" w:rsidRDefault="003F54A6" w:rsidP="003F54A6"/>
    <w:p w14:paraId="268AF51E" w14:textId="77777777" w:rsidR="003F54A6" w:rsidRPr="00514E80" w:rsidRDefault="003F54A6" w:rsidP="003F54A6">
      <w:r w:rsidRPr="00514E80">
        <w:t>Step 5 Program Structural Change. Sectioned in the regulatory group.</w:t>
      </w:r>
    </w:p>
    <w:p w14:paraId="3BEA4176" w14:textId="77777777" w:rsidR="003F54A6" w:rsidRPr="00514E80" w:rsidRDefault="003F54A6" w:rsidP="003F54A6">
      <w:r w:rsidRPr="00514E80">
        <w:t>Progress bar indicates continuation from 2025 through to 2028. Circle is situated at the end of the bar.</w:t>
      </w:r>
    </w:p>
    <w:p w14:paraId="24DE233C" w14:textId="77777777" w:rsidR="003F54A6" w:rsidRPr="00514E80" w:rsidRDefault="003F54A6" w:rsidP="003F54A6">
      <w:r w:rsidRPr="00514E80">
        <w:t xml:space="preserve">Sub text - Act amendments to enable obligations to periodically obtain and disclosure energy ratings to be applied to different </w:t>
      </w:r>
      <w:proofErr w:type="gramStart"/>
      <w:r w:rsidRPr="00514E80">
        <w:t>buildings</w:t>
      </w:r>
      <w:proofErr w:type="gramEnd"/>
      <w:r w:rsidRPr="00514E80">
        <w:t xml:space="preserve"> types and ownership structures; and other associated amendments.</w:t>
      </w:r>
    </w:p>
    <w:p w14:paraId="78FA86B1" w14:textId="77777777" w:rsidR="003F54A6" w:rsidRPr="00514E80" w:rsidRDefault="003F54A6" w:rsidP="003F54A6"/>
    <w:p w14:paraId="3E0E2298" w14:textId="77777777" w:rsidR="003F54A6" w:rsidRPr="00514E80" w:rsidRDefault="003F54A6" w:rsidP="003F54A6">
      <w:r w:rsidRPr="00514E80">
        <w:t>Step 6 Office Tenancies – Sectioned in the non-regulatory group.</w:t>
      </w:r>
    </w:p>
    <w:p w14:paraId="3F520972" w14:textId="77777777" w:rsidR="003F54A6" w:rsidRPr="00514E80" w:rsidRDefault="003F54A6" w:rsidP="003F54A6">
      <w:r w:rsidRPr="00514E80">
        <w:t>Progress bar indicates continuation from 2025 through to 2028-2029. Circle is situated at the end of the bar.</w:t>
      </w:r>
    </w:p>
    <w:p w14:paraId="4941274A" w14:textId="77777777" w:rsidR="003F54A6" w:rsidRPr="00514E80" w:rsidRDefault="003F54A6" w:rsidP="003F54A6">
      <w:r w:rsidRPr="00514E80">
        <w:t xml:space="preserve">Sub text - Obligations to periodically obtain and disclose energy ratings extended to large office tenancies. </w:t>
      </w:r>
    </w:p>
    <w:p w14:paraId="638D29A8" w14:textId="77777777" w:rsidR="003F54A6" w:rsidRPr="00514E80" w:rsidRDefault="003F54A6" w:rsidP="003F54A6"/>
    <w:p w14:paraId="398401D3" w14:textId="77777777" w:rsidR="003F54A6" w:rsidRPr="00514E80" w:rsidRDefault="003F54A6" w:rsidP="003F54A6">
      <w:r w:rsidRPr="00514E80">
        <w:t xml:space="preserve">Step 7 Hotel Sector. </w:t>
      </w:r>
    </w:p>
    <w:p w14:paraId="1846D5CB" w14:textId="77777777" w:rsidR="003F54A6" w:rsidRPr="00514E80" w:rsidRDefault="003F54A6" w:rsidP="003F54A6">
      <w:r w:rsidRPr="00514E80">
        <w:t>Sectioned in the Regulatory group.</w:t>
      </w:r>
    </w:p>
    <w:p w14:paraId="708493ED" w14:textId="77777777" w:rsidR="003F54A6" w:rsidRPr="00514E80" w:rsidRDefault="003F54A6" w:rsidP="003F54A6">
      <w:r w:rsidRPr="00514E80">
        <w:t>Progress bar indicates continuation from 2025 through to 2028-29. Circle is situated at the end of the bar.</w:t>
      </w:r>
    </w:p>
    <w:p w14:paraId="292BDA5E" w14:textId="77777777" w:rsidR="003F54A6" w:rsidRPr="00514E80" w:rsidRDefault="003F54A6" w:rsidP="003F54A6">
      <w:r w:rsidRPr="00514E80">
        <w:t>Sub text - Obligations to periodically obtain and disclose energy ratings to large hotels.</w:t>
      </w:r>
    </w:p>
    <w:p w14:paraId="126517F3" w14:textId="77777777" w:rsidR="003F54A6" w:rsidRPr="00514E80" w:rsidRDefault="003F54A6" w:rsidP="003F54A6"/>
    <w:p w14:paraId="4B5489E9" w14:textId="77777777" w:rsidR="003F54A6" w:rsidRPr="00514E80" w:rsidRDefault="003F54A6" w:rsidP="003F54A6">
      <w:r w:rsidRPr="00514E80">
        <w:t>Step 8 Medium Priority Sectors. Sectioned in the Regulatory group.</w:t>
      </w:r>
    </w:p>
    <w:p w14:paraId="053B982C" w14:textId="77777777" w:rsidR="003F54A6" w:rsidRPr="00514E80" w:rsidRDefault="003F54A6" w:rsidP="003F54A6">
      <w:r w:rsidRPr="00514E80">
        <w:lastRenderedPageBreak/>
        <w:t>Progress bar and indicates continuation from 2026-2027 through to 2032-2033. Circle is situated at the end of the bar.</w:t>
      </w:r>
    </w:p>
    <w:p w14:paraId="5A49925F" w14:textId="77777777" w:rsidR="003F54A6" w:rsidRPr="00514E80" w:rsidRDefault="003F54A6" w:rsidP="003F54A6">
      <w:r w:rsidRPr="00514E80">
        <w:t xml:space="preserve">Subtext - Applying roadmap expansion principles, government to consider and decide whether to include smaller office buildings/spaces, shopping centres and retail stores, data centres, aged care and retirement living. </w:t>
      </w:r>
    </w:p>
    <w:p w14:paraId="53811DCD" w14:textId="77777777" w:rsidR="003F54A6" w:rsidRPr="00514E80" w:rsidRDefault="003F54A6" w:rsidP="003F54A6"/>
    <w:p w14:paraId="1B6132C4" w14:textId="77777777" w:rsidR="003F54A6" w:rsidRPr="00514E80" w:rsidRDefault="003F54A6" w:rsidP="003F54A6">
      <w:r w:rsidRPr="00514E80">
        <w:t>Step 9 Sectors to be considered at a later stage.</w:t>
      </w:r>
    </w:p>
    <w:p w14:paraId="7AE55541" w14:textId="77777777" w:rsidR="003F54A6" w:rsidRPr="00514E80" w:rsidRDefault="003F54A6" w:rsidP="003F54A6">
      <w:r w:rsidRPr="00514E80">
        <w:t>Sectioned in the Regulatory group.</w:t>
      </w:r>
    </w:p>
    <w:p w14:paraId="4B048677" w14:textId="77777777" w:rsidR="003F54A6" w:rsidRPr="00514E80" w:rsidRDefault="003F54A6" w:rsidP="003F54A6">
      <w:r w:rsidRPr="00514E80">
        <w:t>Progress bar indicates continuation between 2030 to 2035. Circle is situated at the end of the bar.</w:t>
      </w:r>
    </w:p>
    <w:p w14:paraId="07A753C8" w14:textId="77777777" w:rsidR="003F54A6" w:rsidRDefault="003F54A6" w:rsidP="003F54A6">
      <w:r w:rsidRPr="00514E80">
        <w:t>Subtext - Applying roadmap expansion principles, government to consider and decide on warehouses and cold stores, and other significant types that do not yet have a specific rating tool.</w:t>
      </w:r>
    </w:p>
    <w:p w14:paraId="3945DD3F" w14:textId="77777777" w:rsidR="003F54A6" w:rsidRDefault="003F54A6" w:rsidP="003F54A6"/>
    <w:p w14:paraId="0D79DEAB" w14:textId="77777777" w:rsidR="003F54A6" w:rsidRDefault="003F54A6" w:rsidP="003F54A6"/>
    <w:p w14:paraId="175FF81A" w14:textId="355755BA" w:rsidR="003F54A6" w:rsidRPr="007D58F8" w:rsidRDefault="003F54A6" w:rsidP="003F54A6">
      <w:pPr>
        <w:rPr>
          <w:rFonts w:ascii="Calibri" w:eastAsia="Times New Roman" w:hAnsi="Calibri" w:cs="Times New Roman"/>
          <w:b/>
          <w:bCs/>
          <w:sz w:val="36"/>
          <w:szCs w:val="24"/>
        </w:rPr>
      </w:pPr>
      <w:r w:rsidRPr="007D58F8">
        <w:rPr>
          <w:rFonts w:ascii="Calibri" w:eastAsia="Times New Roman" w:hAnsi="Calibri" w:cs="Times New Roman"/>
          <w:b/>
          <w:bCs/>
          <w:sz w:val="36"/>
          <w:szCs w:val="24"/>
        </w:rPr>
        <w:t xml:space="preserve">Figure </w:t>
      </w:r>
      <w:r w:rsidR="00FF5FD6">
        <w:rPr>
          <w:rFonts w:ascii="Calibri" w:eastAsia="Times New Roman" w:hAnsi="Calibri" w:cs="Times New Roman"/>
          <w:b/>
          <w:bCs/>
          <w:sz w:val="36"/>
          <w:szCs w:val="24"/>
        </w:rPr>
        <w:t>2</w:t>
      </w:r>
      <w:r w:rsidRPr="007D58F8">
        <w:rPr>
          <w:rFonts w:ascii="Calibri" w:eastAsia="Times New Roman" w:hAnsi="Calibri" w:cs="Times New Roman"/>
          <w:b/>
          <w:bCs/>
          <w:sz w:val="36"/>
          <w:szCs w:val="24"/>
        </w:rPr>
        <w:t>: CBD expansion principles</w:t>
      </w:r>
    </w:p>
    <w:p w14:paraId="57BDB6D7" w14:textId="77777777" w:rsidR="003F54A6" w:rsidRDefault="003F54A6" w:rsidP="003F54A6">
      <w:r>
        <w:t>Graphic with four numbered principles displayed in a grid, each with an icon and brief text.</w:t>
      </w:r>
    </w:p>
    <w:p w14:paraId="241C3531" w14:textId="77777777" w:rsidR="003F54A6" w:rsidRDefault="003F54A6" w:rsidP="003F54A6">
      <w:r>
        <w:t>Label 1 - Trusted energy rating tools – Illustrated with a billboard displaying a NABERS star rating and a depiction of a building.</w:t>
      </w:r>
    </w:p>
    <w:p w14:paraId="69315F88" w14:textId="77777777" w:rsidR="003F54A6" w:rsidRDefault="003F54A6" w:rsidP="003F54A6"/>
    <w:p w14:paraId="262AD03B" w14:textId="77777777" w:rsidR="003F54A6" w:rsidRDefault="003F54A6" w:rsidP="003F54A6">
      <w:r>
        <w:t>Label 2 - Strong government rationale – Depicted with a bar chart with increasing values and an exclamation mark.</w:t>
      </w:r>
    </w:p>
    <w:p w14:paraId="53832985" w14:textId="77777777" w:rsidR="003F54A6" w:rsidRDefault="003F54A6" w:rsidP="003F54A6"/>
    <w:p w14:paraId="69DCB518" w14:textId="77777777" w:rsidR="003F54A6" w:rsidRDefault="003F54A6" w:rsidP="003F54A6">
      <w:r>
        <w:t>Label 3 - Prioritise maximum impact – Represented by a checklist and magnifying glass, emphasizing focus on areas with greatest benefit.</w:t>
      </w:r>
    </w:p>
    <w:p w14:paraId="531C5B7E" w14:textId="77777777" w:rsidR="003F54A6" w:rsidRDefault="003F54A6" w:rsidP="003F54A6"/>
    <w:p w14:paraId="01EEE1B2" w14:textId="77777777" w:rsidR="003F54A6" w:rsidRDefault="003F54A6" w:rsidP="003F54A6">
      <w:r>
        <w:t>Labe 4 - Staged expansion – Illustrated with icons for various building types, showing a progressive rollout approach.</w:t>
      </w:r>
    </w:p>
    <w:p w14:paraId="445512E0" w14:textId="77777777" w:rsidR="003F54A6" w:rsidRDefault="003F54A6" w:rsidP="003F54A6">
      <w:r w:rsidRPr="006C0C8C">
        <w:t>Full description in appendix.</w:t>
      </w:r>
    </w:p>
    <w:p w14:paraId="0EC1F179" w14:textId="77777777" w:rsidR="003F54A6" w:rsidRDefault="003F54A6" w:rsidP="003F54A6"/>
    <w:p w14:paraId="42EA042D" w14:textId="77777777" w:rsidR="00AF3ECD" w:rsidRDefault="00AF3ECD" w:rsidP="003F54A6"/>
    <w:p w14:paraId="41596E1F" w14:textId="5AB05367" w:rsidR="003F54A6" w:rsidRDefault="003F54A6" w:rsidP="003F54A6">
      <w:pPr>
        <w:rPr>
          <w:rFonts w:ascii="Calibri" w:eastAsia="Times New Roman" w:hAnsi="Calibri" w:cs="Times New Roman"/>
          <w:b/>
          <w:bCs/>
          <w:sz w:val="36"/>
          <w:szCs w:val="24"/>
        </w:rPr>
      </w:pPr>
      <w:r w:rsidRPr="002622C7">
        <w:rPr>
          <w:rFonts w:ascii="Calibri" w:eastAsia="Times New Roman" w:hAnsi="Calibri" w:cs="Times New Roman"/>
          <w:b/>
          <w:bCs/>
          <w:sz w:val="36"/>
          <w:szCs w:val="24"/>
        </w:rPr>
        <w:t xml:space="preserve">Figure </w:t>
      </w:r>
      <w:r w:rsidR="003F7B0A">
        <w:rPr>
          <w:rFonts w:ascii="Calibri" w:eastAsia="Times New Roman" w:hAnsi="Calibri" w:cs="Times New Roman"/>
          <w:b/>
          <w:bCs/>
          <w:sz w:val="36"/>
          <w:szCs w:val="24"/>
        </w:rPr>
        <w:t>3</w:t>
      </w:r>
      <w:r w:rsidRPr="002622C7">
        <w:rPr>
          <w:rFonts w:ascii="Calibri" w:eastAsia="Times New Roman" w:hAnsi="Calibri" w:cs="Times New Roman"/>
          <w:b/>
          <w:bCs/>
          <w:sz w:val="36"/>
          <w:szCs w:val="24"/>
        </w:rPr>
        <w:t>: Total energy (electricity and gas) consumption</w:t>
      </w:r>
      <w:r w:rsidR="00D56973">
        <w:rPr>
          <w:rFonts w:ascii="Calibri" w:eastAsia="Times New Roman" w:hAnsi="Calibri" w:cs="Times New Roman"/>
          <w:b/>
          <w:bCs/>
          <w:sz w:val="36"/>
          <w:szCs w:val="24"/>
        </w:rPr>
        <w:t xml:space="preserve"> </w:t>
      </w:r>
      <w:r w:rsidRPr="002622C7">
        <w:rPr>
          <w:rFonts w:ascii="Calibri" w:eastAsia="Times New Roman" w:hAnsi="Calibri" w:cs="Times New Roman"/>
          <w:b/>
          <w:bCs/>
          <w:sz w:val="36"/>
          <w:szCs w:val="24"/>
        </w:rPr>
        <w:t>shares (%), by space use type, FY202</w:t>
      </w:r>
      <w:r w:rsidR="00D56973">
        <w:rPr>
          <w:rFonts w:ascii="Calibri" w:eastAsia="Times New Roman" w:hAnsi="Calibri" w:cs="Times New Roman"/>
          <w:b/>
          <w:bCs/>
          <w:sz w:val="36"/>
          <w:szCs w:val="24"/>
        </w:rPr>
        <w:t>4</w:t>
      </w:r>
      <w:r w:rsidRPr="002622C7">
        <w:rPr>
          <w:rFonts w:ascii="Calibri" w:eastAsia="Times New Roman" w:hAnsi="Calibri" w:cs="Times New Roman"/>
          <w:b/>
          <w:bCs/>
          <w:sz w:val="36"/>
          <w:szCs w:val="24"/>
        </w:rPr>
        <w:t xml:space="preserve">, Australia </w:t>
      </w:r>
    </w:p>
    <w:p w14:paraId="1EE279D3" w14:textId="07BC6088" w:rsidR="003F54A6" w:rsidRDefault="003F54A6" w:rsidP="003F54A6">
      <w:r>
        <w:t>A p</w:t>
      </w:r>
      <w:r w:rsidRPr="006C0C8C">
        <w:t>ie chart showing the distribution of different building types in descending percentage values starting with Offices at 25%</w:t>
      </w:r>
      <w:r w:rsidR="000D6210">
        <w:t>;</w:t>
      </w:r>
      <w:r w:rsidRPr="006C0C8C">
        <w:t xml:space="preserve"> followed by</w:t>
      </w:r>
      <w:r w:rsidR="00C10D27">
        <w:t xml:space="preserve"> Warehouses at 13%</w:t>
      </w:r>
      <w:r w:rsidR="000D6210">
        <w:t>;</w:t>
      </w:r>
      <w:r w:rsidRPr="006C0C8C">
        <w:t xml:space="preserve"> Retail and wholesale trade buildings at 1</w:t>
      </w:r>
      <w:r w:rsidR="00F5250A">
        <w:t>1</w:t>
      </w:r>
      <w:r w:rsidRPr="006C0C8C">
        <w:t>%</w:t>
      </w:r>
      <w:r w:rsidR="000D6210">
        <w:t>;</w:t>
      </w:r>
      <w:r w:rsidRPr="006C0C8C">
        <w:t xml:space="preserve"> Short term accommodation buildings at </w:t>
      </w:r>
      <w:r w:rsidR="00F5250A">
        <w:t>9</w:t>
      </w:r>
      <w:r w:rsidRPr="006C0C8C">
        <w:t>%</w:t>
      </w:r>
      <w:r w:rsidR="000D6210">
        <w:t>;</w:t>
      </w:r>
      <w:r w:rsidRPr="006C0C8C">
        <w:t xml:space="preserve"> </w:t>
      </w:r>
      <w:r w:rsidR="0071335D">
        <w:t>Health Facilities 4%</w:t>
      </w:r>
      <w:r w:rsidR="000D6210">
        <w:t>;</w:t>
      </w:r>
      <w:r w:rsidR="0071335D">
        <w:t xml:space="preserve"> Education Buildings 3%</w:t>
      </w:r>
      <w:r w:rsidR="000D6210">
        <w:t>;</w:t>
      </w:r>
      <w:r w:rsidR="0071335D">
        <w:t xml:space="preserve"> Other industrial buildings </w:t>
      </w:r>
      <w:r w:rsidR="00B53285">
        <w:t>2%</w:t>
      </w:r>
      <w:r w:rsidR="000D6210">
        <w:t>;</w:t>
      </w:r>
      <w:r w:rsidR="00B53285">
        <w:t xml:space="preserve"> Aged care facilities 2%</w:t>
      </w:r>
      <w:r w:rsidR="000D6210">
        <w:t>;</w:t>
      </w:r>
      <w:r w:rsidRPr="006C0C8C">
        <w:t xml:space="preserve"> Other categories</w:t>
      </w:r>
      <w:r w:rsidR="000D6210">
        <w:t xml:space="preserve"> 31%</w:t>
      </w:r>
      <w:r w:rsidRPr="006C0C8C">
        <w:t xml:space="preserve"> </w:t>
      </w:r>
      <w:proofErr w:type="gramStart"/>
      <w:r w:rsidRPr="006C0C8C">
        <w:t>include</w:t>
      </w:r>
      <w:r w:rsidR="000D6210">
        <w:t>s</w:t>
      </w:r>
      <w:proofErr w:type="gramEnd"/>
      <w:r w:rsidRPr="006C0C8C">
        <w:t xml:space="preserve"> </w:t>
      </w:r>
      <w:r w:rsidR="006338B8">
        <w:t>transport, f</w:t>
      </w:r>
      <w:r w:rsidRPr="006C0C8C">
        <w:t>actories</w:t>
      </w:r>
      <w:r w:rsidR="006338B8">
        <w:t>, agriculture, recreation and religion</w:t>
      </w:r>
      <w:r w:rsidRPr="006C0C8C">
        <w:t>.</w:t>
      </w:r>
    </w:p>
    <w:p w14:paraId="71684FF8" w14:textId="77777777" w:rsidR="003F54A6" w:rsidRDefault="003F54A6" w:rsidP="003F54A6">
      <w:pPr>
        <w:rPr>
          <w:rFonts w:ascii="Calibri" w:eastAsia="Times New Roman" w:hAnsi="Calibri" w:cs="Times New Roman"/>
          <w:b/>
          <w:bCs/>
          <w:sz w:val="36"/>
          <w:szCs w:val="24"/>
        </w:rPr>
      </w:pPr>
    </w:p>
    <w:p w14:paraId="5CA44B0E" w14:textId="60CFF6AE" w:rsidR="003D5C68" w:rsidRPr="00067621" w:rsidRDefault="003D5C68" w:rsidP="003D5C68">
      <w:pPr>
        <w:rPr>
          <w:rFonts w:ascii="Calibri" w:eastAsia="Times New Roman" w:hAnsi="Calibri" w:cs="Times New Roman"/>
          <w:b/>
          <w:bCs/>
          <w:sz w:val="36"/>
          <w:szCs w:val="24"/>
        </w:rPr>
      </w:pPr>
      <w:r w:rsidRPr="00067621">
        <w:rPr>
          <w:rFonts w:ascii="Calibri" w:eastAsia="Times New Roman" w:hAnsi="Calibri" w:cs="Times New Roman"/>
          <w:b/>
          <w:bCs/>
          <w:sz w:val="36"/>
          <w:szCs w:val="24"/>
        </w:rPr>
        <w:t xml:space="preserve">Figure </w:t>
      </w:r>
      <w:r>
        <w:rPr>
          <w:rFonts w:ascii="Calibri" w:eastAsia="Times New Roman" w:hAnsi="Calibri" w:cs="Times New Roman"/>
          <w:b/>
          <w:bCs/>
          <w:sz w:val="36"/>
          <w:szCs w:val="24"/>
        </w:rPr>
        <w:t>4</w:t>
      </w:r>
      <w:r w:rsidRPr="00067621">
        <w:rPr>
          <w:rFonts w:ascii="Calibri" w:eastAsia="Times New Roman" w:hAnsi="Calibri" w:cs="Times New Roman"/>
          <w:b/>
          <w:bCs/>
          <w:sz w:val="36"/>
          <w:szCs w:val="24"/>
        </w:rPr>
        <w:t>: CBD Program regular review process.</w:t>
      </w:r>
    </w:p>
    <w:p w14:paraId="25E034ED" w14:textId="77777777" w:rsidR="003D5C68" w:rsidRDefault="003D5C68" w:rsidP="003D5C68">
      <w:r>
        <w:t xml:space="preserve">A cycle diagram illustrating the continuous policy process for expanding the number of buildings affected by energy disclosure requirements. </w:t>
      </w:r>
    </w:p>
    <w:p w14:paraId="255B1D99" w14:textId="77777777" w:rsidR="003D5C68" w:rsidRDefault="003D5C68" w:rsidP="003D5C68"/>
    <w:p w14:paraId="338B4495" w14:textId="77777777" w:rsidR="003D5C68" w:rsidRDefault="003D5C68" w:rsidP="003D5C68">
      <w:r>
        <w:t>The cycle includes five interconnected stages proceeding in a clockwise layout:</w:t>
      </w:r>
    </w:p>
    <w:p w14:paraId="00D2E558" w14:textId="77777777" w:rsidR="003D5C68" w:rsidRDefault="003D5C68" w:rsidP="003D5C68"/>
    <w:p w14:paraId="35B512F2" w14:textId="77777777" w:rsidR="003D5C68" w:rsidRDefault="003D5C68" w:rsidP="003D5C68">
      <w:r>
        <w:t xml:space="preserve">First text box - New Ministerial determination to expand the number of </w:t>
      </w:r>
      <w:proofErr w:type="gramStart"/>
      <w:r>
        <w:t>disclosure</w:t>
      </w:r>
      <w:proofErr w:type="gramEnd"/>
      <w:r>
        <w:t xml:space="preserve"> affected buildings.</w:t>
      </w:r>
    </w:p>
    <w:p w14:paraId="7EA4ADAC" w14:textId="77777777" w:rsidR="003D5C68" w:rsidRDefault="003D5C68" w:rsidP="003D5C68"/>
    <w:p w14:paraId="0EA78A09" w14:textId="77777777" w:rsidR="003D5C68" w:rsidRDefault="003D5C68" w:rsidP="003D5C68">
      <w:r>
        <w:t>Second text box - Implementation of new disclosure affected buildings</w:t>
      </w:r>
    </w:p>
    <w:p w14:paraId="4C673A22" w14:textId="77777777" w:rsidR="003D5C68" w:rsidRDefault="003D5C68" w:rsidP="003D5C68"/>
    <w:p w14:paraId="2F2E1367" w14:textId="77777777" w:rsidR="003D5C68" w:rsidRDefault="003D5C68" w:rsidP="003D5C68">
      <w:r>
        <w:t>Third text box - Program evaluation</w:t>
      </w:r>
    </w:p>
    <w:p w14:paraId="15AB2339" w14:textId="77777777" w:rsidR="003D5C68" w:rsidRDefault="003D5C68" w:rsidP="003D5C68"/>
    <w:p w14:paraId="6172FC26" w14:textId="77777777" w:rsidR="003D5C68" w:rsidRDefault="003D5C68" w:rsidP="003D5C68">
      <w:r>
        <w:t xml:space="preserve">Fourth text box - Policy impact analysis on next building type/s in accordance with roadmap priority </w:t>
      </w:r>
    </w:p>
    <w:p w14:paraId="134031B9" w14:textId="77777777" w:rsidR="003D5C68" w:rsidRDefault="003D5C68" w:rsidP="003D5C68"/>
    <w:p w14:paraId="20C0399C" w14:textId="77777777" w:rsidR="003D5C68" w:rsidRDefault="003D5C68" w:rsidP="003D5C68">
      <w:r>
        <w:t>Fifth text box - Public consultation</w:t>
      </w:r>
    </w:p>
    <w:p w14:paraId="096EE061" w14:textId="77777777" w:rsidR="003D5C68" w:rsidRDefault="003D5C68" w:rsidP="003D5C68"/>
    <w:p w14:paraId="7DA2A062" w14:textId="77777777" w:rsidR="003D5C68" w:rsidRDefault="003D5C68" w:rsidP="003D5C68">
      <w:r>
        <w:t>The process forms a loop, indicating that once public consultation is complete, a new ministerial determination may follow, continuing the cycle.</w:t>
      </w:r>
    </w:p>
    <w:p w14:paraId="6F6587DE" w14:textId="77777777" w:rsidR="003D5C68" w:rsidRPr="005B0670" w:rsidRDefault="003D5C68" w:rsidP="003F54A6">
      <w:pPr>
        <w:rPr>
          <w:rFonts w:ascii="Calibri" w:eastAsia="Times New Roman" w:hAnsi="Calibri" w:cs="Times New Roman"/>
          <w:b/>
          <w:bCs/>
          <w:sz w:val="36"/>
          <w:szCs w:val="24"/>
        </w:rPr>
      </w:pPr>
    </w:p>
    <w:p w14:paraId="49D0BF66" w14:textId="253750AC" w:rsidR="003F54A6" w:rsidRPr="005B0670" w:rsidRDefault="003F54A6" w:rsidP="003F54A6">
      <w:pPr>
        <w:rPr>
          <w:rFonts w:ascii="Calibri" w:eastAsia="Times New Roman" w:hAnsi="Calibri" w:cs="Times New Roman"/>
          <w:b/>
          <w:bCs/>
          <w:sz w:val="36"/>
          <w:szCs w:val="24"/>
        </w:rPr>
      </w:pPr>
      <w:r w:rsidRPr="005B0670">
        <w:rPr>
          <w:rFonts w:ascii="Calibri" w:eastAsia="Times New Roman" w:hAnsi="Calibri" w:cs="Times New Roman"/>
          <w:b/>
          <w:bCs/>
          <w:sz w:val="36"/>
          <w:szCs w:val="24"/>
        </w:rPr>
        <w:t xml:space="preserve">Figure </w:t>
      </w:r>
      <w:r w:rsidR="003D5C68">
        <w:rPr>
          <w:rFonts w:ascii="Calibri" w:eastAsia="Times New Roman" w:hAnsi="Calibri" w:cs="Times New Roman"/>
          <w:b/>
          <w:bCs/>
          <w:sz w:val="36"/>
          <w:szCs w:val="24"/>
        </w:rPr>
        <w:t>5</w:t>
      </w:r>
      <w:r w:rsidRPr="005B0670">
        <w:rPr>
          <w:rFonts w:ascii="Calibri" w:eastAsia="Times New Roman" w:hAnsi="Calibri" w:cs="Times New Roman"/>
          <w:b/>
          <w:bCs/>
          <w:sz w:val="36"/>
          <w:szCs w:val="24"/>
        </w:rPr>
        <w:t xml:space="preserve">: CBD Expansion Roadmap, High priority expansion changes - Additional GHG Emissions Savings, Disclosure 2026-2035 </w:t>
      </w:r>
    </w:p>
    <w:p w14:paraId="684B91E1" w14:textId="77777777" w:rsidR="003F54A6" w:rsidRDefault="003F54A6" w:rsidP="003F54A6">
      <w:r>
        <w:t>A bar chart titled "CBD Expansion Roadmap – High priority expansion cumulative GHG emissions savings." The y-axis represents greenhouse gas emissions savings in tonnes of CO₂ equivalent (t CO₂-e), ranging from 0 to 1,200,000. The x-axis shows financial years from 2026 to 2035. Each year has two stacked segments in a bar:</w:t>
      </w:r>
    </w:p>
    <w:p w14:paraId="36285F2C" w14:textId="77777777" w:rsidR="003F54A6" w:rsidRDefault="003F54A6" w:rsidP="003F54A6"/>
    <w:p w14:paraId="45D7ED2E" w14:textId="77777777" w:rsidR="003F54A6" w:rsidRDefault="003F54A6" w:rsidP="003F54A6">
      <w:r>
        <w:t>Dark blue for "Business as usual"</w:t>
      </w:r>
    </w:p>
    <w:p w14:paraId="07B2E185" w14:textId="77777777" w:rsidR="003F54A6" w:rsidRDefault="003F54A6" w:rsidP="003F54A6"/>
    <w:p w14:paraId="74825CB1" w14:textId="77777777" w:rsidR="003F54A6" w:rsidRDefault="003F54A6" w:rsidP="003F54A6">
      <w:r>
        <w:t>Bright green for "High priority expansion changes"</w:t>
      </w:r>
    </w:p>
    <w:p w14:paraId="482AE70A" w14:textId="77777777" w:rsidR="003F54A6" w:rsidRDefault="003F54A6" w:rsidP="003F54A6"/>
    <w:p w14:paraId="30EE4479" w14:textId="77777777" w:rsidR="003F54A6" w:rsidRDefault="003F54A6" w:rsidP="003F54A6">
      <w:r>
        <w:t>The bars grow cumulatively over time:</w:t>
      </w:r>
    </w:p>
    <w:p w14:paraId="3FC5A7A1" w14:textId="77777777" w:rsidR="003F54A6" w:rsidRDefault="003F54A6" w:rsidP="003F54A6"/>
    <w:p w14:paraId="1CBCA4E1" w14:textId="77777777" w:rsidR="003F54A6" w:rsidRDefault="003F54A6" w:rsidP="003F54A6">
      <w:r>
        <w:t>2026: ~40,000 t CO₂-e (BAU ~20,000; High priority ~20,000)</w:t>
      </w:r>
    </w:p>
    <w:p w14:paraId="0C0E19F8" w14:textId="77777777" w:rsidR="003F54A6" w:rsidRDefault="003F54A6" w:rsidP="003F54A6"/>
    <w:p w14:paraId="1406E47C" w14:textId="77777777" w:rsidR="003F54A6" w:rsidRDefault="003F54A6" w:rsidP="003F54A6">
      <w:r>
        <w:t>2027: ~180,000 (BAU ~70,000; High priority ~110,000)</w:t>
      </w:r>
    </w:p>
    <w:p w14:paraId="67783506" w14:textId="77777777" w:rsidR="003F54A6" w:rsidRDefault="003F54A6" w:rsidP="003F54A6"/>
    <w:p w14:paraId="09970811" w14:textId="77777777" w:rsidR="003F54A6" w:rsidRDefault="003F54A6" w:rsidP="003F54A6">
      <w:r>
        <w:t>2028: ~330,000 (BAU ~120,000; High priority ~210,000)</w:t>
      </w:r>
    </w:p>
    <w:p w14:paraId="021D2256" w14:textId="77777777" w:rsidR="003F54A6" w:rsidRDefault="003F54A6" w:rsidP="003F54A6"/>
    <w:p w14:paraId="32BAEC86" w14:textId="77777777" w:rsidR="003F54A6" w:rsidRDefault="003F54A6" w:rsidP="003F54A6">
      <w:r>
        <w:t>2029: ~470,000 (BAU ~160,000; High priority ~310,000)</w:t>
      </w:r>
    </w:p>
    <w:p w14:paraId="48109BC3" w14:textId="77777777" w:rsidR="003F54A6" w:rsidRDefault="003F54A6" w:rsidP="003F54A6"/>
    <w:p w14:paraId="40345278" w14:textId="77777777" w:rsidR="003F54A6" w:rsidRDefault="003F54A6" w:rsidP="003F54A6">
      <w:r>
        <w:t>2030: ~570,000 (BAU ~190,000; High priority ~380,000)</w:t>
      </w:r>
    </w:p>
    <w:p w14:paraId="324C9C23" w14:textId="77777777" w:rsidR="003F54A6" w:rsidRDefault="003F54A6" w:rsidP="003F54A6"/>
    <w:p w14:paraId="400EBCB0" w14:textId="77777777" w:rsidR="003F54A6" w:rsidRDefault="003F54A6" w:rsidP="003F54A6">
      <w:r>
        <w:t>2031: ~680,000 (BAU ~230,000; High priority ~450,000)</w:t>
      </w:r>
    </w:p>
    <w:p w14:paraId="10697AD7" w14:textId="77777777" w:rsidR="003F54A6" w:rsidRDefault="003F54A6" w:rsidP="003F54A6"/>
    <w:p w14:paraId="399A47D9" w14:textId="77777777" w:rsidR="003F54A6" w:rsidRDefault="003F54A6" w:rsidP="003F54A6">
      <w:r>
        <w:t>2032: ~790,000 (BAU ~270,000; High priority ~520,000)</w:t>
      </w:r>
    </w:p>
    <w:p w14:paraId="6EC31D15" w14:textId="77777777" w:rsidR="003F54A6" w:rsidRDefault="003F54A6" w:rsidP="003F54A6"/>
    <w:p w14:paraId="4E3F92E2" w14:textId="77777777" w:rsidR="003F54A6" w:rsidRDefault="003F54A6" w:rsidP="003F54A6">
      <w:r>
        <w:t>2033: ~910,000 (BAU ~300,000; High priority ~610,000)</w:t>
      </w:r>
    </w:p>
    <w:p w14:paraId="77F2C370" w14:textId="77777777" w:rsidR="003F54A6" w:rsidRDefault="003F54A6" w:rsidP="003F54A6"/>
    <w:p w14:paraId="374089A3" w14:textId="77777777" w:rsidR="003F54A6" w:rsidRDefault="003F54A6" w:rsidP="003F54A6">
      <w:r>
        <w:t>2034: ~1,010,000 (BAU ~330,000; High priority ~680,000)</w:t>
      </w:r>
    </w:p>
    <w:p w14:paraId="41ED060F" w14:textId="77777777" w:rsidR="003F54A6" w:rsidRDefault="003F54A6" w:rsidP="003F54A6"/>
    <w:p w14:paraId="3D0E511B" w14:textId="77777777" w:rsidR="003F54A6" w:rsidRDefault="003F54A6" w:rsidP="003F54A6">
      <w:r>
        <w:t>2035: ~1,100,000 (BAU ~360,000; High priority ~740,000)</w:t>
      </w:r>
    </w:p>
    <w:p w14:paraId="732D91A8" w14:textId="77777777" w:rsidR="003F45AD" w:rsidRPr="00720AFF" w:rsidRDefault="003F45AD" w:rsidP="001525A7">
      <w:pPr>
        <w:spacing w:after="120"/>
        <w:jc w:val="both"/>
      </w:pPr>
    </w:p>
    <w:p w14:paraId="0E4B2B3E" w14:textId="58D3B09D" w:rsidR="00A32152" w:rsidRPr="00720AFF" w:rsidRDefault="00A32152" w:rsidP="001525A7">
      <w:pPr>
        <w:spacing w:after="120"/>
        <w:jc w:val="both"/>
      </w:pPr>
      <w:r w:rsidRPr="00720AFF">
        <w:br w:type="page"/>
      </w:r>
    </w:p>
    <w:bookmarkEnd w:id="6"/>
    <w:p w14:paraId="28ED012A" w14:textId="77777777" w:rsidR="00764D6A" w:rsidRPr="00720AFF" w:rsidRDefault="00764D6A" w:rsidP="59AAB882">
      <w:pPr>
        <w:jc w:val="both"/>
        <w:sectPr w:rsidR="00764D6A" w:rsidRPr="00720AFF" w:rsidSect="00FC577E">
          <w:headerReference w:type="even" r:id="rId23"/>
          <w:headerReference w:type="default" r:id="rId24"/>
          <w:footerReference w:type="even" r:id="rId25"/>
          <w:footerReference w:type="default" r:id="rId26"/>
          <w:headerReference w:type="first" r:id="rId27"/>
          <w:footerReference w:type="first" r:id="rId28"/>
          <w:pgSz w:w="11906" w:h="16838"/>
          <w:pgMar w:top="1418" w:right="1418" w:bottom="1418" w:left="1418" w:header="567" w:footer="283" w:gutter="0"/>
          <w:cols w:space="708"/>
          <w:docGrid w:linePitch="360"/>
        </w:sectPr>
      </w:pPr>
    </w:p>
    <w:p w14:paraId="2752731D" w14:textId="77777777" w:rsidR="00764D6A" w:rsidRPr="00720AFF" w:rsidRDefault="00E91D72" w:rsidP="00CB2439">
      <w:pPr>
        <w:pStyle w:val="Heading2"/>
        <w:ind w:left="720" w:hanging="720"/>
      </w:pPr>
      <w:bookmarkStart w:id="58" w:name="_Toc430782161"/>
      <w:bookmarkStart w:id="59" w:name="_Toc200017029"/>
      <w:r w:rsidRPr="00720AFF">
        <w:lastRenderedPageBreak/>
        <w:t>Glossary</w:t>
      </w:r>
      <w:bookmarkEnd w:id="58"/>
      <w:bookmarkEnd w:id="59"/>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rsidRPr="00720AFF" w14:paraId="6369A589" w14:textId="77777777" w:rsidTr="00FE64BC">
        <w:trPr>
          <w:cantSplit/>
          <w:tblHeader/>
        </w:trPr>
        <w:tc>
          <w:tcPr>
            <w:tcW w:w="1250" w:type="pct"/>
            <w:tcMar>
              <w:left w:w="108" w:type="dxa"/>
              <w:right w:w="108" w:type="dxa"/>
            </w:tcMar>
          </w:tcPr>
          <w:p w14:paraId="2116E49F" w14:textId="77777777" w:rsidR="00FE64BC" w:rsidRPr="00720AFF" w:rsidRDefault="00FE64BC" w:rsidP="00FE64BC">
            <w:pPr>
              <w:pStyle w:val="TableHeading"/>
            </w:pPr>
            <w:bookmarkStart w:id="60" w:name="Title_Glossary"/>
            <w:bookmarkEnd w:id="60"/>
            <w:r w:rsidRPr="00720AFF">
              <w:t>Term</w:t>
            </w:r>
          </w:p>
        </w:tc>
        <w:tc>
          <w:tcPr>
            <w:tcW w:w="3750" w:type="pct"/>
            <w:tcMar>
              <w:left w:w="108" w:type="dxa"/>
              <w:right w:w="108" w:type="dxa"/>
            </w:tcMar>
          </w:tcPr>
          <w:p w14:paraId="064D6D60" w14:textId="77777777" w:rsidR="00FE64BC" w:rsidRPr="00720AFF" w:rsidRDefault="00FE64BC" w:rsidP="00FE64BC">
            <w:pPr>
              <w:pStyle w:val="TableHeading"/>
            </w:pPr>
            <w:r w:rsidRPr="00720AFF">
              <w:t>Definition</w:t>
            </w:r>
          </w:p>
        </w:tc>
      </w:tr>
      <w:tr w:rsidR="00F13A09" w:rsidRPr="00720AFF" w14:paraId="58EFE82D" w14:textId="77777777" w:rsidTr="00FE64BC">
        <w:tc>
          <w:tcPr>
            <w:tcW w:w="1250" w:type="pct"/>
            <w:tcMar>
              <w:left w:w="108" w:type="dxa"/>
              <w:right w:w="108" w:type="dxa"/>
            </w:tcMar>
          </w:tcPr>
          <w:p w14:paraId="4F309CE1" w14:textId="77777777" w:rsidR="00F13A09" w:rsidRPr="00720AFF" w:rsidRDefault="00F13A09" w:rsidP="00FE64BC">
            <w:pPr>
              <w:pStyle w:val="TableText"/>
            </w:pPr>
            <w:r w:rsidRPr="00720AFF">
              <w:t>AEMO</w:t>
            </w:r>
          </w:p>
        </w:tc>
        <w:tc>
          <w:tcPr>
            <w:tcW w:w="3750" w:type="pct"/>
            <w:tcMar>
              <w:left w:w="108" w:type="dxa"/>
              <w:right w:w="108" w:type="dxa"/>
            </w:tcMar>
          </w:tcPr>
          <w:p w14:paraId="16FF3DBB" w14:textId="00AF3D18" w:rsidR="00F13A09" w:rsidRPr="00720AFF" w:rsidRDefault="00F13A09" w:rsidP="00FE64BC">
            <w:pPr>
              <w:pStyle w:val="TableText"/>
            </w:pPr>
            <w:r w:rsidRPr="00720AFF">
              <w:t>Australian Energy Market Operator</w:t>
            </w:r>
          </w:p>
        </w:tc>
      </w:tr>
      <w:tr w:rsidR="00F13A09" w:rsidRPr="00720AFF" w14:paraId="023DCF45" w14:textId="77777777" w:rsidTr="00FE64BC">
        <w:tc>
          <w:tcPr>
            <w:tcW w:w="1250" w:type="pct"/>
            <w:tcMar>
              <w:left w:w="108" w:type="dxa"/>
              <w:right w:w="108" w:type="dxa"/>
            </w:tcMar>
          </w:tcPr>
          <w:p w14:paraId="06AAFDDD" w14:textId="77777777" w:rsidR="00F13A09" w:rsidRPr="00720AFF" w:rsidRDefault="00F13A09" w:rsidP="00FE64BC">
            <w:pPr>
              <w:pStyle w:val="TableText"/>
            </w:pPr>
            <w:r w:rsidRPr="00720AFF">
              <w:t>BMS</w:t>
            </w:r>
          </w:p>
        </w:tc>
        <w:tc>
          <w:tcPr>
            <w:tcW w:w="3750" w:type="pct"/>
            <w:tcMar>
              <w:left w:w="108" w:type="dxa"/>
              <w:right w:w="108" w:type="dxa"/>
            </w:tcMar>
          </w:tcPr>
          <w:p w14:paraId="68D9AFE5" w14:textId="3933107E" w:rsidR="00F13A09" w:rsidRPr="00720AFF" w:rsidRDefault="00F13A09" w:rsidP="00FE64BC">
            <w:pPr>
              <w:pStyle w:val="TableText"/>
            </w:pPr>
            <w:r w:rsidRPr="00720AFF">
              <w:t>Building Management System</w:t>
            </w:r>
          </w:p>
        </w:tc>
      </w:tr>
      <w:tr w:rsidR="00F13A09" w:rsidRPr="00720AFF" w14:paraId="15005766" w14:textId="77777777" w:rsidTr="00FE64BC">
        <w:tc>
          <w:tcPr>
            <w:tcW w:w="1250" w:type="pct"/>
            <w:tcMar>
              <w:left w:w="108" w:type="dxa"/>
              <w:right w:w="108" w:type="dxa"/>
            </w:tcMar>
          </w:tcPr>
          <w:p w14:paraId="18452CD6" w14:textId="77777777" w:rsidR="00F13A09" w:rsidRPr="00720AFF" w:rsidRDefault="00F13A09" w:rsidP="00FE64BC">
            <w:pPr>
              <w:pStyle w:val="TableText"/>
              <w:rPr>
                <w:highlight w:val="yellow"/>
              </w:rPr>
            </w:pPr>
            <w:r w:rsidRPr="00720AFF">
              <w:t>CBD</w:t>
            </w:r>
          </w:p>
        </w:tc>
        <w:tc>
          <w:tcPr>
            <w:tcW w:w="3750" w:type="pct"/>
            <w:tcMar>
              <w:left w:w="108" w:type="dxa"/>
              <w:right w:w="108" w:type="dxa"/>
            </w:tcMar>
          </w:tcPr>
          <w:p w14:paraId="30D5CC03" w14:textId="4E206246" w:rsidR="00F13A09" w:rsidRPr="00720AFF" w:rsidRDefault="00F13A09" w:rsidP="00FE64BC">
            <w:pPr>
              <w:pStyle w:val="TableText"/>
            </w:pPr>
            <w:r w:rsidRPr="00720AFF">
              <w:t>Commercial Building Disclosure Program</w:t>
            </w:r>
          </w:p>
        </w:tc>
      </w:tr>
      <w:tr w:rsidR="00F13A09" w:rsidRPr="00720AFF" w14:paraId="3191E8CD" w14:textId="77777777" w:rsidTr="00FE64BC">
        <w:tc>
          <w:tcPr>
            <w:tcW w:w="1250" w:type="pct"/>
            <w:tcMar>
              <w:left w:w="108" w:type="dxa"/>
              <w:right w:w="108" w:type="dxa"/>
            </w:tcMar>
          </w:tcPr>
          <w:p w14:paraId="4925A265" w14:textId="77777777" w:rsidR="00F13A09" w:rsidRPr="00720AFF" w:rsidRDefault="00F13A09" w:rsidP="00FE64BC">
            <w:pPr>
              <w:pStyle w:val="TableText"/>
            </w:pPr>
            <w:r w:rsidRPr="00720AFF">
              <w:t>CRFD</w:t>
            </w:r>
          </w:p>
        </w:tc>
        <w:tc>
          <w:tcPr>
            <w:tcW w:w="3750" w:type="pct"/>
            <w:tcMar>
              <w:left w:w="108" w:type="dxa"/>
              <w:right w:w="108" w:type="dxa"/>
            </w:tcMar>
          </w:tcPr>
          <w:p w14:paraId="43D3DB53" w14:textId="7A015A90" w:rsidR="00F13A09" w:rsidRPr="00720AFF" w:rsidRDefault="00F13A09" w:rsidP="00FE64BC">
            <w:pPr>
              <w:pStyle w:val="TableText"/>
            </w:pPr>
            <w:r w:rsidRPr="00720AFF">
              <w:t xml:space="preserve">Climate-related </w:t>
            </w:r>
            <w:r w:rsidR="00B8255A" w:rsidRPr="00720AFF">
              <w:t>f</w:t>
            </w:r>
            <w:r w:rsidRPr="00720AFF">
              <w:t xml:space="preserve">inancial </w:t>
            </w:r>
            <w:r w:rsidR="00B8255A" w:rsidRPr="00720AFF">
              <w:t>d</w:t>
            </w:r>
            <w:r w:rsidRPr="00720AFF">
              <w:t>isclosures</w:t>
            </w:r>
          </w:p>
        </w:tc>
      </w:tr>
      <w:tr w:rsidR="00F13A09" w:rsidRPr="00720AFF" w14:paraId="38CD0358" w14:textId="77777777" w:rsidTr="00FE64BC">
        <w:tc>
          <w:tcPr>
            <w:tcW w:w="1250" w:type="pct"/>
            <w:tcMar>
              <w:left w:w="108" w:type="dxa"/>
              <w:right w:w="108" w:type="dxa"/>
            </w:tcMar>
          </w:tcPr>
          <w:p w14:paraId="459CDEA8" w14:textId="77777777" w:rsidR="00F13A09" w:rsidRPr="00720AFF" w:rsidRDefault="00F13A09" w:rsidP="00FE64BC">
            <w:pPr>
              <w:pStyle w:val="TableText"/>
            </w:pPr>
            <w:r w:rsidRPr="00720AFF">
              <w:t>CRIS</w:t>
            </w:r>
          </w:p>
        </w:tc>
        <w:tc>
          <w:tcPr>
            <w:tcW w:w="3750" w:type="pct"/>
            <w:tcMar>
              <w:left w:w="108" w:type="dxa"/>
              <w:right w:w="108" w:type="dxa"/>
            </w:tcMar>
          </w:tcPr>
          <w:p w14:paraId="2E16B93C" w14:textId="10B6149F" w:rsidR="00F13A09" w:rsidRPr="00720AFF" w:rsidRDefault="00B8255A" w:rsidP="00FE64BC">
            <w:pPr>
              <w:pStyle w:val="TableText"/>
            </w:pPr>
            <w:r w:rsidRPr="00720AFF">
              <w:t xml:space="preserve">Cost </w:t>
            </w:r>
            <w:r w:rsidR="002B5958" w:rsidRPr="00720AFF">
              <w:t>Recovery Implementation Statement</w:t>
            </w:r>
          </w:p>
        </w:tc>
      </w:tr>
      <w:tr w:rsidR="00F13A09" w:rsidRPr="00720AFF" w14:paraId="196FF9A5" w14:textId="77777777" w:rsidTr="00FE64BC">
        <w:tc>
          <w:tcPr>
            <w:tcW w:w="1250" w:type="pct"/>
            <w:tcMar>
              <w:left w:w="108" w:type="dxa"/>
              <w:right w:w="108" w:type="dxa"/>
            </w:tcMar>
          </w:tcPr>
          <w:p w14:paraId="2C062AED" w14:textId="77777777" w:rsidR="00F13A09" w:rsidRPr="00720AFF" w:rsidRDefault="00F13A09" w:rsidP="00FE64BC">
            <w:pPr>
              <w:pStyle w:val="TableText"/>
            </w:pPr>
            <w:r w:rsidRPr="00720AFF">
              <w:t>GBCA</w:t>
            </w:r>
          </w:p>
        </w:tc>
        <w:tc>
          <w:tcPr>
            <w:tcW w:w="3750" w:type="pct"/>
            <w:tcMar>
              <w:left w:w="108" w:type="dxa"/>
              <w:right w:w="108" w:type="dxa"/>
            </w:tcMar>
          </w:tcPr>
          <w:p w14:paraId="03A9856B" w14:textId="58773C92" w:rsidR="00F13A09" w:rsidRPr="00720AFF" w:rsidRDefault="002B5958" w:rsidP="00FE64BC">
            <w:pPr>
              <w:pStyle w:val="TableText"/>
            </w:pPr>
            <w:r w:rsidRPr="00720AFF">
              <w:t>Green Building Council of Australia</w:t>
            </w:r>
          </w:p>
        </w:tc>
      </w:tr>
      <w:tr w:rsidR="00F13A09" w:rsidRPr="00720AFF" w14:paraId="28BFA12A" w14:textId="77777777" w:rsidTr="00FE64BC">
        <w:tc>
          <w:tcPr>
            <w:tcW w:w="1250" w:type="pct"/>
            <w:tcMar>
              <w:left w:w="108" w:type="dxa"/>
              <w:right w:w="108" w:type="dxa"/>
            </w:tcMar>
          </w:tcPr>
          <w:p w14:paraId="77C8E303" w14:textId="77777777" w:rsidR="00F13A09" w:rsidRPr="00720AFF" w:rsidRDefault="00F13A09" w:rsidP="00FE64BC">
            <w:pPr>
              <w:pStyle w:val="TableText"/>
            </w:pPr>
            <w:r w:rsidRPr="00720AFF">
              <w:t>GWP</w:t>
            </w:r>
          </w:p>
        </w:tc>
        <w:tc>
          <w:tcPr>
            <w:tcW w:w="3750" w:type="pct"/>
            <w:tcMar>
              <w:left w:w="108" w:type="dxa"/>
              <w:right w:w="108" w:type="dxa"/>
            </w:tcMar>
          </w:tcPr>
          <w:p w14:paraId="70B9F381" w14:textId="07080C8E" w:rsidR="00F13A09" w:rsidRPr="00720AFF" w:rsidRDefault="002B5958" w:rsidP="00FE64BC">
            <w:pPr>
              <w:pStyle w:val="TableText"/>
            </w:pPr>
            <w:r w:rsidRPr="00720AFF">
              <w:t>Global warming potential</w:t>
            </w:r>
          </w:p>
        </w:tc>
      </w:tr>
      <w:tr w:rsidR="00F13A09" w:rsidRPr="00720AFF" w14:paraId="1067479D" w14:textId="77777777" w:rsidTr="00FE64BC">
        <w:tc>
          <w:tcPr>
            <w:tcW w:w="1250" w:type="pct"/>
            <w:tcMar>
              <w:left w:w="108" w:type="dxa"/>
              <w:right w:w="108" w:type="dxa"/>
            </w:tcMar>
          </w:tcPr>
          <w:p w14:paraId="5A968121" w14:textId="77777777" w:rsidR="00F13A09" w:rsidRPr="00720AFF" w:rsidRDefault="00F13A09" w:rsidP="00FE64BC">
            <w:pPr>
              <w:pStyle w:val="TableText"/>
            </w:pPr>
            <w:r w:rsidRPr="00720AFF">
              <w:t>MEPS</w:t>
            </w:r>
          </w:p>
        </w:tc>
        <w:tc>
          <w:tcPr>
            <w:tcW w:w="3750" w:type="pct"/>
            <w:tcMar>
              <w:left w:w="108" w:type="dxa"/>
              <w:right w:w="108" w:type="dxa"/>
            </w:tcMar>
          </w:tcPr>
          <w:p w14:paraId="5AE4A3A8" w14:textId="14551EEB" w:rsidR="00F13A09" w:rsidRPr="00720AFF" w:rsidRDefault="00A35FC5" w:rsidP="00FE64BC">
            <w:pPr>
              <w:pStyle w:val="TableText"/>
            </w:pPr>
            <w:r w:rsidRPr="00720AFF">
              <w:t>Minimum energy performance standards</w:t>
            </w:r>
          </w:p>
        </w:tc>
      </w:tr>
      <w:tr w:rsidR="00F13A09" w:rsidRPr="00720AFF" w14:paraId="70156350" w14:textId="77777777" w:rsidTr="00FE64BC">
        <w:tc>
          <w:tcPr>
            <w:tcW w:w="1250" w:type="pct"/>
            <w:tcMar>
              <w:left w:w="108" w:type="dxa"/>
              <w:right w:w="108" w:type="dxa"/>
            </w:tcMar>
          </w:tcPr>
          <w:p w14:paraId="653314DF" w14:textId="77777777" w:rsidR="00F13A09" w:rsidRPr="00720AFF" w:rsidRDefault="00F13A09" w:rsidP="00FE64BC">
            <w:pPr>
              <w:pStyle w:val="TableText"/>
            </w:pPr>
            <w:r w:rsidRPr="00720AFF">
              <w:t>NABERS</w:t>
            </w:r>
          </w:p>
        </w:tc>
        <w:tc>
          <w:tcPr>
            <w:tcW w:w="3750" w:type="pct"/>
            <w:tcMar>
              <w:left w:w="108" w:type="dxa"/>
              <w:right w:w="108" w:type="dxa"/>
            </w:tcMar>
          </w:tcPr>
          <w:p w14:paraId="73B489BF" w14:textId="0D6C83D1" w:rsidR="00F13A09" w:rsidRPr="00720AFF" w:rsidRDefault="00A35FC5" w:rsidP="00FE64BC">
            <w:pPr>
              <w:pStyle w:val="TableText"/>
            </w:pPr>
            <w:r w:rsidRPr="00720AFF">
              <w:t>National Australian Built Environment Rating System</w:t>
            </w:r>
          </w:p>
        </w:tc>
      </w:tr>
      <w:tr w:rsidR="00F13A09" w:rsidRPr="00720AFF" w14:paraId="5E218AD4" w14:textId="77777777" w:rsidTr="00FE64BC">
        <w:tc>
          <w:tcPr>
            <w:tcW w:w="1250" w:type="pct"/>
            <w:tcMar>
              <w:left w:w="108" w:type="dxa"/>
              <w:right w:w="108" w:type="dxa"/>
            </w:tcMar>
          </w:tcPr>
          <w:p w14:paraId="7F8FE8DF" w14:textId="77777777" w:rsidR="00F13A09" w:rsidRPr="00720AFF" w:rsidRDefault="00F13A09" w:rsidP="00FE64BC">
            <w:pPr>
              <w:pStyle w:val="TableText"/>
            </w:pPr>
            <w:r w:rsidRPr="00720AFF">
              <w:t>NCC</w:t>
            </w:r>
          </w:p>
        </w:tc>
        <w:tc>
          <w:tcPr>
            <w:tcW w:w="3750" w:type="pct"/>
            <w:tcMar>
              <w:left w:w="108" w:type="dxa"/>
              <w:right w:w="108" w:type="dxa"/>
            </w:tcMar>
          </w:tcPr>
          <w:p w14:paraId="4EE5BA1B" w14:textId="43136CC6" w:rsidR="00F13A09" w:rsidRPr="00720AFF" w:rsidRDefault="00A35FC5" w:rsidP="00FE64BC">
            <w:pPr>
              <w:pStyle w:val="TableText"/>
            </w:pPr>
            <w:r w:rsidRPr="00720AFF">
              <w:t>National Construction Code</w:t>
            </w:r>
          </w:p>
        </w:tc>
      </w:tr>
      <w:tr w:rsidR="00F13A09" w:rsidRPr="00720AFF" w14:paraId="047075C1" w14:textId="77777777" w:rsidTr="00FE64BC">
        <w:tc>
          <w:tcPr>
            <w:tcW w:w="1250" w:type="pct"/>
            <w:tcMar>
              <w:left w:w="108" w:type="dxa"/>
              <w:right w:w="108" w:type="dxa"/>
            </w:tcMar>
          </w:tcPr>
          <w:p w14:paraId="47D7CBDE" w14:textId="77777777" w:rsidR="00F13A09" w:rsidRPr="00720AFF" w:rsidRDefault="00F13A09" w:rsidP="00FE64BC">
            <w:pPr>
              <w:pStyle w:val="TableText"/>
            </w:pPr>
            <w:r w:rsidRPr="00720AFF">
              <w:t>NEPI</w:t>
            </w:r>
          </w:p>
        </w:tc>
        <w:tc>
          <w:tcPr>
            <w:tcW w:w="3750" w:type="pct"/>
            <w:tcMar>
              <w:left w:w="108" w:type="dxa"/>
              <w:right w:w="108" w:type="dxa"/>
            </w:tcMar>
          </w:tcPr>
          <w:p w14:paraId="3CB4F038" w14:textId="0D2B9DA3" w:rsidR="00F13A09" w:rsidRPr="00720AFF" w:rsidRDefault="00471852" w:rsidP="00FE64BC">
            <w:pPr>
              <w:pStyle w:val="TableText"/>
            </w:pPr>
            <w:r w:rsidRPr="00720AFF">
              <w:t>N</w:t>
            </w:r>
            <w:r>
              <w:t>ABERS</w:t>
            </w:r>
            <w:r w:rsidRPr="00720AFF">
              <w:t xml:space="preserve"> </w:t>
            </w:r>
            <w:r w:rsidR="00A35FC5" w:rsidRPr="00720AFF">
              <w:t>Energy Performance Indicator</w:t>
            </w:r>
          </w:p>
        </w:tc>
      </w:tr>
      <w:tr w:rsidR="00F13A09" w:rsidRPr="00720AFF" w14:paraId="144CBF00" w14:textId="77777777" w:rsidTr="00FE64BC">
        <w:tc>
          <w:tcPr>
            <w:tcW w:w="1250" w:type="pct"/>
            <w:tcMar>
              <w:left w:w="108" w:type="dxa"/>
              <w:right w:w="108" w:type="dxa"/>
            </w:tcMar>
          </w:tcPr>
          <w:p w14:paraId="696225AF" w14:textId="77777777" w:rsidR="00F13A09" w:rsidRPr="00720AFF" w:rsidRDefault="00F13A09" w:rsidP="00FE64BC">
            <w:pPr>
              <w:pStyle w:val="TableText"/>
            </w:pPr>
            <w:r w:rsidRPr="00720AFF">
              <w:t>NLA</w:t>
            </w:r>
          </w:p>
        </w:tc>
        <w:tc>
          <w:tcPr>
            <w:tcW w:w="3750" w:type="pct"/>
            <w:tcMar>
              <w:left w:w="108" w:type="dxa"/>
              <w:right w:w="108" w:type="dxa"/>
            </w:tcMar>
          </w:tcPr>
          <w:p w14:paraId="754C89BB" w14:textId="29F3B070" w:rsidR="00F13A09" w:rsidRPr="00720AFF" w:rsidRDefault="00A35FC5" w:rsidP="00FE64BC">
            <w:pPr>
              <w:pStyle w:val="TableText"/>
            </w:pPr>
            <w:r w:rsidRPr="00720AFF">
              <w:t>Nett lettable area</w:t>
            </w:r>
          </w:p>
        </w:tc>
      </w:tr>
      <w:tr w:rsidR="00F13A09" w:rsidRPr="00720AFF" w14:paraId="24353454" w14:textId="77777777" w:rsidTr="00FE64BC">
        <w:tc>
          <w:tcPr>
            <w:tcW w:w="1250" w:type="pct"/>
            <w:tcMar>
              <w:left w:w="108" w:type="dxa"/>
              <w:right w:w="108" w:type="dxa"/>
            </w:tcMar>
          </w:tcPr>
          <w:p w14:paraId="5F482469" w14:textId="77777777" w:rsidR="00F13A09" w:rsidRPr="00720AFF" w:rsidRDefault="00F13A09" w:rsidP="00FE64BC">
            <w:pPr>
              <w:pStyle w:val="TableText"/>
            </w:pPr>
            <w:r w:rsidRPr="00720AFF">
              <w:t>NLPD</w:t>
            </w:r>
          </w:p>
        </w:tc>
        <w:tc>
          <w:tcPr>
            <w:tcW w:w="3750" w:type="pct"/>
            <w:tcMar>
              <w:left w:w="108" w:type="dxa"/>
              <w:right w:w="108" w:type="dxa"/>
            </w:tcMar>
          </w:tcPr>
          <w:p w14:paraId="6DA9BFEF" w14:textId="0B1E6878" w:rsidR="00F13A09" w:rsidRPr="00720AFF" w:rsidRDefault="00A35FC5" w:rsidP="00FE64BC">
            <w:pPr>
              <w:pStyle w:val="TableText"/>
            </w:pPr>
            <w:r w:rsidRPr="00720AFF">
              <w:t>Nominal lighting power density</w:t>
            </w:r>
          </w:p>
        </w:tc>
      </w:tr>
      <w:tr w:rsidR="00F13A09" w:rsidRPr="00720AFF" w14:paraId="4D196270" w14:textId="77777777" w:rsidTr="00FE64BC">
        <w:tc>
          <w:tcPr>
            <w:tcW w:w="1250" w:type="pct"/>
            <w:tcMar>
              <w:left w:w="108" w:type="dxa"/>
              <w:right w:w="108" w:type="dxa"/>
            </w:tcMar>
          </w:tcPr>
          <w:p w14:paraId="282541C6" w14:textId="77777777" w:rsidR="00F13A09" w:rsidRPr="00720AFF" w:rsidRDefault="00F13A09" w:rsidP="00FE64BC">
            <w:pPr>
              <w:pStyle w:val="TableText"/>
            </w:pPr>
            <w:r w:rsidRPr="00720AFF">
              <w:t>PUE</w:t>
            </w:r>
          </w:p>
        </w:tc>
        <w:tc>
          <w:tcPr>
            <w:tcW w:w="3750" w:type="pct"/>
            <w:tcMar>
              <w:left w:w="108" w:type="dxa"/>
              <w:right w:w="108" w:type="dxa"/>
            </w:tcMar>
          </w:tcPr>
          <w:p w14:paraId="385918CE" w14:textId="5542EAF6" w:rsidR="00F13A09" w:rsidRPr="00720AFF" w:rsidRDefault="00A35FC5" w:rsidP="00FE64BC">
            <w:pPr>
              <w:pStyle w:val="TableText"/>
            </w:pPr>
            <w:r w:rsidRPr="00720AFF">
              <w:t>Power usage effectiveness</w:t>
            </w:r>
          </w:p>
        </w:tc>
      </w:tr>
      <w:tr w:rsidR="00F13A09" w:rsidRPr="00720AFF" w14:paraId="3FA71074" w14:textId="77777777" w:rsidTr="00FE64BC">
        <w:tc>
          <w:tcPr>
            <w:tcW w:w="1250" w:type="pct"/>
            <w:tcMar>
              <w:left w:w="108" w:type="dxa"/>
              <w:right w:w="108" w:type="dxa"/>
            </w:tcMar>
          </w:tcPr>
          <w:p w14:paraId="61E24717" w14:textId="77777777" w:rsidR="00F13A09" w:rsidRPr="00720AFF" w:rsidRDefault="00F13A09" w:rsidP="00FE64BC">
            <w:pPr>
              <w:pStyle w:val="TableText"/>
            </w:pPr>
            <w:r w:rsidRPr="00720AFF">
              <w:t>REI</w:t>
            </w:r>
          </w:p>
        </w:tc>
        <w:tc>
          <w:tcPr>
            <w:tcW w:w="3750" w:type="pct"/>
            <w:tcMar>
              <w:left w:w="108" w:type="dxa"/>
              <w:right w:w="108" w:type="dxa"/>
            </w:tcMar>
          </w:tcPr>
          <w:p w14:paraId="40CE267B" w14:textId="1FA4B77E" w:rsidR="00F13A09" w:rsidRPr="00720AFF" w:rsidRDefault="00A35FC5" w:rsidP="00FE64BC">
            <w:pPr>
              <w:pStyle w:val="TableText"/>
            </w:pPr>
            <w:r w:rsidRPr="00720AFF">
              <w:t xml:space="preserve">Renewable </w:t>
            </w:r>
            <w:r w:rsidR="00362742" w:rsidRPr="00720AFF">
              <w:t>E</w:t>
            </w:r>
            <w:r w:rsidRPr="00720AFF">
              <w:t xml:space="preserve">nergy </w:t>
            </w:r>
            <w:r w:rsidR="00362742" w:rsidRPr="00720AFF">
              <w:t>I</w:t>
            </w:r>
            <w:r w:rsidRPr="00720AFF">
              <w:t>ndicator</w:t>
            </w:r>
          </w:p>
        </w:tc>
      </w:tr>
      <w:tr w:rsidR="00F13A09" w:rsidRPr="00720AFF" w14:paraId="6B55FBCA" w14:textId="77777777" w:rsidTr="00FE64BC">
        <w:tc>
          <w:tcPr>
            <w:tcW w:w="1250" w:type="pct"/>
            <w:tcMar>
              <w:left w:w="108" w:type="dxa"/>
              <w:right w:w="108" w:type="dxa"/>
            </w:tcMar>
          </w:tcPr>
          <w:p w14:paraId="072F0ED5" w14:textId="33163E74" w:rsidR="00F13A09" w:rsidRPr="00720AFF" w:rsidRDefault="00F13A09" w:rsidP="00FE64BC">
            <w:pPr>
              <w:pStyle w:val="TableText"/>
            </w:pPr>
            <w:r w:rsidRPr="00720AFF">
              <w:t>RE</w:t>
            </w:r>
            <w:r w:rsidR="00362742" w:rsidRPr="00720AFF">
              <w:t>IT</w:t>
            </w:r>
          </w:p>
        </w:tc>
        <w:tc>
          <w:tcPr>
            <w:tcW w:w="3750" w:type="pct"/>
            <w:tcMar>
              <w:left w:w="108" w:type="dxa"/>
              <w:right w:w="108" w:type="dxa"/>
            </w:tcMar>
          </w:tcPr>
          <w:p w14:paraId="3358A8F1" w14:textId="1BB17074" w:rsidR="00F13A09" w:rsidRPr="00720AFF" w:rsidRDefault="00362742" w:rsidP="00FE64BC">
            <w:pPr>
              <w:pStyle w:val="TableText"/>
            </w:pPr>
            <w:r w:rsidRPr="00720AFF">
              <w:t>Real estate investment</w:t>
            </w:r>
            <w:r w:rsidR="006F3639" w:rsidRPr="00720AFF">
              <w:t xml:space="preserve"> trusts</w:t>
            </w:r>
          </w:p>
        </w:tc>
      </w:tr>
      <w:tr w:rsidR="00F13A09" w:rsidRPr="00720AFF" w14:paraId="2F840E90" w14:textId="77777777" w:rsidTr="00FE64BC">
        <w:tc>
          <w:tcPr>
            <w:tcW w:w="1250" w:type="pct"/>
            <w:tcMar>
              <w:left w:w="108" w:type="dxa"/>
              <w:right w:w="108" w:type="dxa"/>
            </w:tcMar>
          </w:tcPr>
          <w:p w14:paraId="5CA97735" w14:textId="77777777" w:rsidR="00F13A09" w:rsidRPr="00720AFF" w:rsidRDefault="00F13A09" w:rsidP="00FE64BC">
            <w:pPr>
              <w:pStyle w:val="TableText"/>
            </w:pPr>
            <w:r w:rsidRPr="00720AFF">
              <w:t>Taxonomy</w:t>
            </w:r>
          </w:p>
        </w:tc>
        <w:tc>
          <w:tcPr>
            <w:tcW w:w="3750" w:type="pct"/>
            <w:tcMar>
              <w:left w:w="108" w:type="dxa"/>
              <w:right w:w="108" w:type="dxa"/>
            </w:tcMar>
          </w:tcPr>
          <w:p w14:paraId="6C4F0BC9" w14:textId="253F688F" w:rsidR="00F13A09" w:rsidRPr="00720AFF" w:rsidRDefault="002938A1" w:rsidP="00FE64BC">
            <w:pPr>
              <w:pStyle w:val="TableText"/>
            </w:pPr>
            <w:r w:rsidRPr="00720AFF">
              <w:t>Australian s</w:t>
            </w:r>
            <w:r w:rsidR="00C2645D" w:rsidRPr="00720AFF">
              <w:t xml:space="preserve">ustainable finance </w:t>
            </w:r>
            <w:r w:rsidR="002E6944" w:rsidRPr="00720AFF">
              <w:t>taxonom</w:t>
            </w:r>
            <w:r w:rsidR="00420D8F" w:rsidRPr="00720AFF">
              <w:t>y</w:t>
            </w:r>
          </w:p>
        </w:tc>
      </w:tr>
      <w:tr w:rsidR="00F13A09" w:rsidRPr="00720AFF" w14:paraId="3B98B444" w14:textId="77777777" w:rsidTr="00FE64BC">
        <w:tc>
          <w:tcPr>
            <w:tcW w:w="1250" w:type="pct"/>
            <w:tcMar>
              <w:left w:w="108" w:type="dxa"/>
              <w:right w:w="108" w:type="dxa"/>
            </w:tcMar>
          </w:tcPr>
          <w:p w14:paraId="782F7D8E" w14:textId="77777777" w:rsidR="00F13A09" w:rsidRPr="00720AFF" w:rsidRDefault="00F13A09" w:rsidP="00FE64BC">
            <w:pPr>
              <w:pStyle w:val="TableText"/>
            </w:pPr>
            <w:r w:rsidRPr="00720AFF">
              <w:t>the Act</w:t>
            </w:r>
          </w:p>
        </w:tc>
        <w:tc>
          <w:tcPr>
            <w:tcW w:w="3750" w:type="pct"/>
            <w:tcMar>
              <w:left w:w="108" w:type="dxa"/>
              <w:right w:w="108" w:type="dxa"/>
            </w:tcMar>
          </w:tcPr>
          <w:p w14:paraId="50F0A938" w14:textId="00EF09C7" w:rsidR="00F13A09" w:rsidRPr="00720AFF" w:rsidRDefault="009443D0" w:rsidP="00FE64BC">
            <w:pPr>
              <w:pStyle w:val="TableText"/>
            </w:pPr>
            <w:r w:rsidRPr="00720AFF">
              <w:t>Building Energy Efficiency Disclosure Act 2010</w:t>
            </w:r>
          </w:p>
        </w:tc>
      </w:tr>
      <w:tr w:rsidR="00F13A09" w:rsidRPr="00720AFF" w14:paraId="635991D2" w14:textId="77777777" w:rsidTr="00FE64BC">
        <w:tc>
          <w:tcPr>
            <w:tcW w:w="1250" w:type="pct"/>
            <w:tcMar>
              <w:left w:w="108" w:type="dxa"/>
              <w:right w:w="108" w:type="dxa"/>
            </w:tcMar>
          </w:tcPr>
          <w:p w14:paraId="6C487642" w14:textId="77777777" w:rsidR="00F13A09" w:rsidRPr="00720AFF" w:rsidRDefault="00F13A09" w:rsidP="00FE64BC">
            <w:pPr>
              <w:pStyle w:val="TableText"/>
            </w:pPr>
            <w:r w:rsidRPr="00720AFF">
              <w:t>TLA</w:t>
            </w:r>
          </w:p>
        </w:tc>
        <w:tc>
          <w:tcPr>
            <w:tcW w:w="3750" w:type="pct"/>
            <w:tcMar>
              <w:left w:w="108" w:type="dxa"/>
              <w:right w:w="108" w:type="dxa"/>
            </w:tcMar>
          </w:tcPr>
          <w:p w14:paraId="32EDAED9" w14:textId="29ECB0DF" w:rsidR="00F13A09" w:rsidRPr="00720AFF" w:rsidRDefault="009443D0" w:rsidP="00FE64BC">
            <w:pPr>
              <w:pStyle w:val="TableText"/>
            </w:pPr>
            <w:r w:rsidRPr="00720AFF">
              <w:t>Tenancy Lighting Assessment</w:t>
            </w:r>
          </w:p>
        </w:tc>
      </w:tr>
      <w:tr w:rsidR="00F13A09" w:rsidRPr="00720AFF" w14:paraId="5F839B54" w14:textId="77777777" w:rsidTr="00FE64BC">
        <w:tc>
          <w:tcPr>
            <w:tcW w:w="1250" w:type="pct"/>
            <w:tcMar>
              <w:left w:w="108" w:type="dxa"/>
              <w:right w:w="108" w:type="dxa"/>
            </w:tcMar>
          </w:tcPr>
          <w:p w14:paraId="7E3C2111" w14:textId="77777777" w:rsidR="00F13A09" w:rsidRPr="00720AFF" w:rsidRDefault="00F13A09" w:rsidP="00FE64BC">
            <w:pPr>
              <w:pStyle w:val="TableText"/>
            </w:pPr>
            <w:r w:rsidRPr="00720AFF">
              <w:t>Trajectory</w:t>
            </w:r>
          </w:p>
        </w:tc>
        <w:tc>
          <w:tcPr>
            <w:tcW w:w="3750" w:type="pct"/>
            <w:tcMar>
              <w:left w:w="108" w:type="dxa"/>
              <w:right w:w="108" w:type="dxa"/>
            </w:tcMar>
          </w:tcPr>
          <w:p w14:paraId="63CD8C13" w14:textId="5DFA72D3" w:rsidR="00F13A09" w:rsidRPr="00720AFF" w:rsidRDefault="009443D0" w:rsidP="00FE64BC">
            <w:pPr>
              <w:pStyle w:val="TableText"/>
            </w:pPr>
            <w:r w:rsidRPr="00720AFF">
              <w:t>Trajectory for Low Energy Buildings</w:t>
            </w:r>
          </w:p>
        </w:tc>
      </w:tr>
    </w:tbl>
    <w:p w14:paraId="2E2A0F9C" w14:textId="77777777" w:rsidR="005A7193" w:rsidRPr="00720AFF" w:rsidRDefault="005A7193" w:rsidP="005A7193">
      <w:pPr>
        <w:rPr>
          <w:lang w:eastAsia="ja-JP"/>
        </w:rPr>
      </w:pPr>
    </w:p>
    <w:p w14:paraId="1AB3C089" w14:textId="472DC9CA" w:rsidR="00A32152" w:rsidRPr="00FA03A1" w:rsidRDefault="00A32152" w:rsidP="00FA03A1">
      <w:pPr>
        <w:pStyle w:val="Heading2"/>
      </w:pPr>
    </w:p>
    <w:sectPr w:rsidR="00A32152" w:rsidRPr="00FA03A1">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C817" w14:textId="77777777" w:rsidR="00BE22E5" w:rsidRPr="00720AFF" w:rsidRDefault="00BE22E5">
      <w:r w:rsidRPr="00720AFF">
        <w:separator/>
      </w:r>
    </w:p>
    <w:p w14:paraId="6C5BF47E" w14:textId="77777777" w:rsidR="00BE22E5" w:rsidRPr="00720AFF" w:rsidRDefault="00BE22E5"/>
    <w:p w14:paraId="1EBF7352" w14:textId="77777777" w:rsidR="00BE22E5" w:rsidRPr="00720AFF" w:rsidRDefault="00BE22E5"/>
  </w:endnote>
  <w:endnote w:type="continuationSeparator" w:id="0">
    <w:p w14:paraId="752D1120" w14:textId="77777777" w:rsidR="00BE22E5" w:rsidRPr="00720AFF" w:rsidRDefault="00BE22E5">
      <w:r w:rsidRPr="00720AFF">
        <w:continuationSeparator/>
      </w:r>
    </w:p>
    <w:p w14:paraId="5CF6FAC6" w14:textId="77777777" w:rsidR="00BE22E5" w:rsidRPr="00720AFF" w:rsidRDefault="00BE22E5"/>
    <w:p w14:paraId="09FF6B67" w14:textId="77777777" w:rsidR="00BE22E5" w:rsidRPr="00720AFF" w:rsidRDefault="00BE22E5"/>
  </w:endnote>
  <w:endnote w:type="continuationNotice" w:id="1">
    <w:p w14:paraId="642846E7" w14:textId="77777777" w:rsidR="00BE22E5" w:rsidRPr="00720AFF" w:rsidRDefault="00BE22E5">
      <w:pPr>
        <w:pStyle w:val="Footer"/>
      </w:pPr>
    </w:p>
    <w:p w14:paraId="7834EF92" w14:textId="77777777" w:rsidR="00BE22E5" w:rsidRPr="00720AFF" w:rsidRDefault="00BE22E5"/>
    <w:p w14:paraId="21D7A435" w14:textId="77777777" w:rsidR="00BE22E5" w:rsidRPr="00720AFF" w:rsidRDefault="00BE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EE3D" w14:textId="098022EA" w:rsidR="002E75FB" w:rsidRPr="00720AFF" w:rsidRDefault="005511B7">
    <w:pPr>
      <w:pStyle w:val="Footer"/>
    </w:pPr>
    <w:r>
      <w:rPr>
        <w:noProof/>
      </w:rPr>
      <mc:AlternateContent>
        <mc:Choice Requires="wps">
          <w:drawing>
            <wp:anchor distT="0" distB="0" distL="0" distR="0" simplePos="0" relativeHeight="251658244" behindDoc="0" locked="0" layoutInCell="1" allowOverlap="1" wp14:anchorId="13C81F76" wp14:editId="3995B9B6">
              <wp:simplePos x="635" y="635"/>
              <wp:positionH relativeFrom="page">
                <wp:align>center</wp:align>
              </wp:positionH>
              <wp:positionV relativeFrom="page">
                <wp:align>bottom</wp:align>
              </wp:positionV>
              <wp:extent cx="551815" cy="376555"/>
              <wp:effectExtent l="0" t="0" r="635" b="0"/>
              <wp:wrapNone/>
              <wp:docPr id="13157682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8D68CF" w14:textId="2BFAC6C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81F76"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08D68CF" w14:textId="2BFAC6C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349" w14:textId="35F4DBFE" w:rsidR="00B861B4" w:rsidRPr="00720AFF" w:rsidRDefault="005511B7">
    <w:pPr>
      <w:pStyle w:val="Footer"/>
    </w:pPr>
    <w:r>
      <w:rPr>
        <w:noProof/>
      </w:rPr>
      <mc:AlternateContent>
        <mc:Choice Requires="wps">
          <w:drawing>
            <wp:anchor distT="0" distB="0" distL="0" distR="0" simplePos="0" relativeHeight="251658245" behindDoc="0" locked="0" layoutInCell="1" allowOverlap="1" wp14:anchorId="0DA87E23" wp14:editId="42D033B0">
              <wp:simplePos x="635" y="635"/>
              <wp:positionH relativeFrom="page">
                <wp:align>center</wp:align>
              </wp:positionH>
              <wp:positionV relativeFrom="page">
                <wp:align>bottom</wp:align>
              </wp:positionV>
              <wp:extent cx="551815" cy="376555"/>
              <wp:effectExtent l="0" t="0" r="635" b="0"/>
              <wp:wrapNone/>
              <wp:docPr id="21132605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96C452" w14:textId="44F63EC0"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87E23"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A96C452" w14:textId="44F63EC0"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r w:rsidR="00D86640" w:rsidRPr="00720AFF">
      <w:t>Department of Climate Change, Energy, the Environment and Water</w:t>
    </w:r>
  </w:p>
  <w:p w14:paraId="2B4EB1DA" w14:textId="77777777" w:rsidR="00B861B4" w:rsidRPr="00720AFF" w:rsidRDefault="00B861B4">
    <w:pPr>
      <w:pStyle w:val="Footer"/>
    </w:pPr>
    <w:r w:rsidRPr="00720AFF">
      <w:fldChar w:fldCharType="begin"/>
    </w:r>
    <w:r w:rsidRPr="00720AFF">
      <w:instrText xml:space="preserve"> PAGE   \* MERGEFORMAT </w:instrText>
    </w:r>
    <w:r w:rsidRPr="00720AFF">
      <w:fldChar w:fldCharType="separate"/>
    </w:r>
    <w:r w:rsidR="005E25BD" w:rsidRPr="00720AFF">
      <w:t>12</w:t>
    </w:r>
    <w:r w:rsidRPr="00720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A6EE" w14:textId="16EEF50C" w:rsidR="002E75FB" w:rsidRPr="00720AFF" w:rsidRDefault="005511B7">
    <w:pPr>
      <w:pStyle w:val="Footer"/>
    </w:pPr>
    <w:r>
      <w:rPr>
        <w:noProof/>
      </w:rPr>
      <mc:AlternateContent>
        <mc:Choice Requires="wps">
          <w:drawing>
            <wp:anchor distT="0" distB="0" distL="0" distR="0" simplePos="0" relativeHeight="251658243" behindDoc="0" locked="0" layoutInCell="1" allowOverlap="1" wp14:anchorId="683B90B8" wp14:editId="57A90BD8">
              <wp:simplePos x="635" y="635"/>
              <wp:positionH relativeFrom="page">
                <wp:align>center</wp:align>
              </wp:positionH>
              <wp:positionV relativeFrom="page">
                <wp:align>bottom</wp:align>
              </wp:positionV>
              <wp:extent cx="551815" cy="376555"/>
              <wp:effectExtent l="0" t="0" r="635" b="0"/>
              <wp:wrapNone/>
              <wp:docPr id="1475530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A463B8" w14:textId="4F925AC4"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B90B8" id="_x0000_t202" coordsize="21600,21600" o:spt="202" path="m,l,21600r21600,l21600,xe">
              <v:stroke joinstyle="miter"/>
              <v:path gradientshapeok="t" o:connecttype="rect"/>
            </v:shapetype>
            <v:shape id="Text Box 4" o:spid="_x0000_s1035"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AA463B8" w14:textId="4F925AC4"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0CD6" w14:textId="77777777" w:rsidR="00BE22E5" w:rsidRPr="00720AFF" w:rsidRDefault="00BE22E5">
      <w:r w:rsidRPr="00720AFF">
        <w:separator/>
      </w:r>
    </w:p>
  </w:footnote>
  <w:footnote w:type="continuationSeparator" w:id="0">
    <w:p w14:paraId="79C9B098" w14:textId="77777777" w:rsidR="00BE22E5" w:rsidRPr="00720AFF" w:rsidRDefault="00BE22E5">
      <w:r w:rsidRPr="00720AFF">
        <w:continuationSeparator/>
      </w:r>
    </w:p>
  </w:footnote>
  <w:footnote w:type="continuationNotice" w:id="1">
    <w:p w14:paraId="1E530C27" w14:textId="77777777" w:rsidR="00BE22E5" w:rsidRPr="00720AFF" w:rsidRDefault="00BE22E5">
      <w:pPr>
        <w:pStyle w:val="Footer"/>
      </w:pPr>
    </w:p>
    <w:p w14:paraId="7305ECF6" w14:textId="77777777" w:rsidR="00BE22E5" w:rsidRPr="00720AFF" w:rsidRDefault="00BE22E5"/>
    <w:p w14:paraId="45608D6E" w14:textId="77777777" w:rsidR="00BE22E5" w:rsidRPr="00720AFF" w:rsidRDefault="00BE22E5"/>
  </w:footnote>
  <w:footnote w:id="2">
    <w:p w14:paraId="2A657DE4" w14:textId="2AEF4D39" w:rsidR="009F6219" w:rsidRPr="00720AFF" w:rsidRDefault="009F6219">
      <w:pPr>
        <w:pStyle w:val="FootnoteText"/>
      </w:pPr>
      <w:r w:rsidRPr="00720AFF">
        <w:rPr>
          <w:rStyle w:val="FootnoteReference"/>
        </w:rPr>
        <w:footnoteRef/>
      </w:r>
      <w:r w:rsidRPr="00720AFF">
        <w:t xml:space="preserve"> </w:t>
      </w:r>
      <w:r w:rsidR="003050F3" w:rsidRPr="00720AFF">
        <w:t>NABERS</w:t>
      </w:r>
      <w:r w:rsidR="00127831" w:rsidRPr="00720AFF">
        <w:t xml:space="preserve"> (202</w:t>
      </w:r>
      <w:r w:rsidR="001A41BE">
        <w:t>4</w:t>
      </w:r>
      <w:r w:rsidR="00127831" w:rsidRPr="00720AFF">
        <w:t>)</w:t>
      </w:r>
      <w:r w:rsidR="005373D0" w:rsidRPr="00720AFF">
        <w:t xml:space="preserve"> </w:t>
      </w:r>
      <w:hyperlink r:id="rId1" w:history="1">
        <w:r w:rsidR="000B2E2D" w:rsidRPr="00720AFF">
          <w:rPr>
            <w:rStyle w:val="Hyperlink"/>
          </w:rPr>
          <w:t>NABERS Annual Report 2022-2023</w:t>
        </w:r>
      </w:hyperlink>
      <w:r w:rsidR="002146E3" w:rsidRPr="00720AFF">
        <w:t xml:space="preserve">, NABERS website, accessed </w:t>
      </w:r>
      <w:r w:rsidR="00F408AA">
        <w:t>June</w:t>
      </w:r>
      <w:r w:rsidR="00ED72B8" w:rsidRPr="00720AFF">
        <w:t xml:space="preserve"> 2025.</w:t>
      </w:r>
    </w:p>
  </w:footnote>
  <w:footnote w:id="3">
    <w:p w14:paraId="02F0BD4A" w14:textId="5AE08533" w:rsidR="0084264E" w:rsidRDefault="0084264E">
      <w:pPr>
        <w:pStyle w:val="FootnoteText"/>
      </w:pPr>
      <w:r>
        <w:rPr>
          <w:rStyle w:val="FootnoteReference"/>
        </w:rPr>
        <w:footnoteRef/>
      </w:r>
      <w:r>
        <w:t xml:space="preserve"> </w:t>
      </w:r>
      <w:r w:rsidR="00FC6C06">
        <w:t xml:space="preserve">DCCEEW (2025) </w:t>
      </w:r>
      <w:hyperlink r:id="rId2" w:history="1">
        <w:r w:rsidR="00FC6C06" w:rsidRPr="00024681">
          <w:rPr>
            <w:rStyle w:val="Hyperlink"/>
          </w:rPr>
          <w:t>Trajectory for Low Energy Buildings,</w:t>
        </w:r>
      </w:hyperlink>
      <w:r w:rsidR="00FC6C06">
        <w:t xml:space="preserve"> DCCEEW website, accessed August 2025.</w:t>
      </w:r>
    </w:p>
  </w:footnote>
  <w:footnote w:id="4">
    <w:p w14:paraId="7850C0E8" w14:textId="59F980CA" w:rsidR="007A6834" w:rsidRPr="00720AFF" w:rsidRDefault="007A6834" w:rsidP="007958FC">
      <w:pPr>
        <w:pStyle w:val="FootnoteText"/>
        <w:spacing w:after="0" w:line="240" w:lineRule="auto"/>
      </w:pPr>
      <w:r w:rsidRPr="00720AFF">
        <w:rPr>
          <w:rStyle w:val="FootnoteReference"/>
        </w:rPr>
        <w:footnoteRef/>
      </w:r>
      <w:r w:rsidRPr="00720AFF">
        <w:t xml:space="preserve"> </w:t>
      </w:r>
      <w:r w:rsidR="0016192D" w:rsidRPr="00720AFF">
        <w:t>SPR (Strategy Policy Research)</w:t>
      </w:r>
      <w:r w:rsidR="0014445F" w:rsidRPr="00720AFF">
        <w:t xml:space="preserve"> (2022)</w:t>
      </w:r>
      <w:r w:rsidR="00B4462F" w:rsidRPr="00720AFF">
        <w:t>,</w:t>
      </w:r>
      <w:r w:rsidR="00DD260F" w:rsidRPr="00720AFF">
        <w:t xml:space="preserve"> </w:t>
      </w:r>
      <w:hyperlink r:id="rId3" w:history="1">
        <w:r w:rsidRPr="00720AFF">
          <w:rPr>
            <w:rStyle w:val="Hyperlink"/>
          </w:rPr>
          <w:t>Commercial Building Baseline Study</w:t>
        </w:r>
      </w:hyperlink>
      <w:r w:rsidR="00266B38" w:rsidRPr="00720AFF">
        <w:t>, DCCEEW website</w:t>
      </w:r>
      <w:r w:rsidR="00AA1FBD" w:rsidRPr="00720AFF">
        <w:t xml:space="preserve">, accessed </w:t>
      </w:r>
      <w:r w:rsidR="00C34BD8">
        <w:t>June</w:t>
      </w:r>
      <w:r w:rsidR="00AA1FBD" w:rsidRPr="00720AFF">
        <w:t xml:space="preserve"> 2025</w:t>
      </w:r>
      <w:r w:rsidR="008F7662" w:rsidRPr="00720AFF">
        <w:t>.</w:t>
      </w:r>
    </w:p>
  </w:footnote>
  <w:footnote w:id="5">
    <w:p w14:paraId="10D9F22E" w14:textId="644595A5" w:rsidR="005511B7" w:rsidRDefault="005511B7">
      <w:pPr>
        <w:pStyle w:val="FootnoteText"/>
      </w:pPr>
      <w:r>
        <w:rPr>
          <w:rStyle w:val="FootnoteReference"/>
        </w:rPr>
        <w:footnoteRef/>
      </w:r>
      <w:r>
        <w:t xml:space="preserve"> DCCEEW (2025) </w:t>
      </w:r>
      <w:hyperlink r:id="rId4" w:history="1">
        <w:r w:rsidRPr="005511B7">
          <w:rPr>
            <w:rStyle w:val="Hyperlink"/>
          </w:rPr>
          <w:t>Net Zero Plan</w:t>
        </w:r>
      </w:hyperlink>
      <w:r>
        <w:t>, DCCEEW website accessed September 2025.</w:t>
      </w:r>
    </w:p>
  </w:footnote>
  <w:footnote w:id="6">
    <w:p w14:paraId="3AB7C1C7" w14:textId="2ED5428E" w:rsidR="008668BB" w:rsidRPr="00720AFF" w:rsidRDefault="008668BB" w:rsidP="007958FC">
      <w:pPr>
        <w:pStyle w:val="FootnoteText"/>
        <w:spacing w:after="0" w:line="240" w:lineRule="auto"/>
      </w:pPr>
      <w:r w:rsidRPr="00720AFF">
        <w:rPr>
          <w:rStyle w:val="FootnoteReference"/>
        </w:rPr>
        <w:footnoteRef/>
      </w:r>
      <w:r w:rsidRPr="00720AFF">
        <w:t xml:space="preserve"> </w:t>
      </w:r>
      <w:r w:rsidR="00134C4D" w:rsidRPr="00720AFF">
        <w:t xml:space="preserve">In Australia, </w:t>
      </w:r>
      <w:r w:rsidR="000011BB" w:rsidRPr="00720AFF">
        <w:t>there is a dedicated property industry that invests, develops, finances, owns or manages property as it</w:t>
      </w:r>
      <w:r w:rsidR="00DB6E5F" w:rsidRPr="00720AFF">
        <w:t>s</w:t>
      </w:r>
      <w:r w:rsidR="000011BB" w:rsidRPr="00720AFF">
        <w:t xml:space="preserve"> core business or corporate activity. </w:t>
      </w:r>
      <w:r w:rsidR="0038070D" w:rsidRPr="00720AFF">
        <w:t>There are also owners of property that</w:t>
      </w:r>
      <w:r w:rsidR="00DB6E5F" w:rsidRPr="00720AFF">
        <w:t xml:space="preserve"> have other core business operations. For example,</w:t>
      </w:r>
      <w:r w:rsidR="00C53184" w:rsidRPr="00720AFF">
        <w:t xml:space="preserve"> supermarkets </w:t>
      </w:r>
      <w:r w:rsidR="00B46118" w:rsidRPr="00720AFF">
        <w:t xml:space="preserve">can own </w:t>
      </w:r>
      <w:proofErr w:type="gramStart"/>
      <w:r w:rsidR="00B46118" w:rsidRPr="00720AFF">
        <w:t>property</w:t>
      </w:r>
      <w:proofErr w:type="gramEnd"/>
      <w:r w:rsidR="00B46118" w:rsidRPr="00720AFF">
        <w:t xml:space="preserve"> but their core business is retail.</w:t>
      </w:r>
      <w:r w:rsidR="0038070D" w:rsidRPr="00720AFF">
        <w:t xml:space="preserve"> </w:t>
      </w:r>
      <w:r w:rsidR="00FC78B4" w:rsidRPr="00720AFF">
        <w:t xml:space="preserve">According to the </w:t>
      </w:r>
      <w:r w:rsidR="0042339E" w:rsidRPr="00720AFF">
        <w:t>2024</w:t>
      </w:r>
      <w:r w:rsidR="00FC78B4" w:rsidRPr="00720AFF">
        <w:t xml:space="preserve"> DCCEEW commissioned </w:t>
      </w:r>
      <w:r w:rsidR="00D27B27" w:rsidRPr="00720AFF">
        <w:t>report title</w:t>
      </w:r>
      <w:r w:rsidR="003F3715" w:rsidRPr="00720AFF">
        <w:t>d</w:t>
      </w:r>
      <w:r w:rsidR="00D27B27" w:rsidRPr="00720AFF">
        <w:t xml:space="preserve"> </w:t>
      </w:r>
      <w:hyperlink r:id="rId5" w:history="1">
        <w:r w:rsidR="00D27B27" w:rsidRPr="00720AFF">
          <w:rPr>
            <w:rStyle w:val="Hyperlink"/>
            <w:i/>
            <w:iCs/>
          </w:rPr>
          <w:t>Barriers to Building Energy Performance</w:t>
        </w:r>
      </w:hyperlink>
      <w:r w:rsidR="00841B52">
        <w:t xml:space="preserve"> (DCCEEW website, accessed June</w:t>
      </w:r>
      <w:r w:rsidR="00A520C3">
        <w:t xml:space="preserve"> </w:t>
      </w:r>
      <w:r w:rsidR="00841B52">
        <w:t>2025)</w:t>
      </w:r>
      <w:r w:rsidR="00D27B27" w:rsidRPr="00720AFF">
        <w:rPr>
          <w:i/>
          <w:iCs/>
        </w:rPr>
        <w:t xml:space="preserve"> </w:t>
      </w:r>
      <w:r w:rsidR="00466D91" w:rsidRPr="00720AFF">
        <w:t>c</w:t>
      </w:r>
      <w:r w:rsidR="00B46118" w:rsidRPr="00720AFF">
        <w:t>ommercial property o</w:t>
      </w:r>
      <w:r w:rsidR="005A09AA" w:rsidRPr="00720AFF">
        <w:t xml:space="preserve">wnership structure can </w:t>
      </w:r>
      <w:r w:rsidR="007516B1" w:rsidRPr="00720AFF">
        <w:t xml:space="preserve">be </w:t>
      </w:r>
      <w:r w:rsidR="005A09AA" w:rsidRPr="00720AFF">
        <w:t xml:space="preserve">divided into five broad categories. </w:t>
      </w:r>
      <w:r w:rsidR="005A09AA" w:rsidRPr="00720AFF">
        <w:rPr>
          <w:b/>
          <w:bCs/>
        </w:rPr>
        <w:t>1.</w:t>
      </w:r>
      <w:r w:rsidR="005A09AA" w:rsidRPr="00720AFF">
        <w:t xml:space="preserve"> </w:t>
      </w:r>
      <w:r w:rsidR="0047126C" w:rsidRPr="00720AFF">
        <w:t xml:space="preserve">Real Estate Investment Trusts, development corporations and large investment funds; </w:t>
      </w:r>
      <w:r w:rsidR="0047126C" w:rsidRPr="00720AFF">
        <w:rPr>
          <w:b/>
          <w:bCs/>
        </w:rPr>
        <w:t>2.</w:t>
      </w:r>
      <w:r w:rsidR="0047126C" w:rsidRPr="00720AFF">
        <w:t xml:space="preserve"> Large superannuation companies</w:t>
      </w:r>
      <w:r w:rsidR="00B96EAA" w:rsidRPr="00720AFF">
        <w:t>;</w:t>
      </w:r>
      <w:r w:rsidR="0047126C" w:rsidRPr="00720AFF">
        <w:t xml:space="preserve"> </w:t>
      </w:r>
      <w:r w:rsidR="0047126C" w:rsidRPr="00720AFF">
        <w:rPr>
          <w:b/>
          <w:bCs/>
        </w:rPr>
        <w:t>3.</w:t>
      </w:r>
      <w:r w:rsidR="0047126C" w:rsidRPr="00720AFF">
        <w:t xml:space="preserve"> Real estate and property management companies</w:t>
      </w:r>
      <w:r w:rsidR="007148B6" w:rsidRPr="00720AFF">
        <w:t xml:space="preserve">; </w:t>
      </w:r>
      <w:r w:rsidR="007148B6" w:rsidRPr="00720AFF">
        <w:rPr>
          <w:b/>
          <w:bCs/>
        </w:rPr>
        <w:t>4</w:t>
      </w:r>
      <w:r w:rsidR="007148B6" w:rsidRPr="00720AFF">
        <w:t xml:space="preserve"> Private ownership, family trusts, small to mid-sized investments trusts</w:t>
      </w:r>
      <w:r w:rsidR="006131A3" w:rsidRPr="00720AFF">
        <w:t>;</w:t>
      </w:r>
      <w:r w:rsidR="007148B6" w:rsidRPr="00720AFF">
        <w:t xml:space="preserve"> </w:t>
      </w:r>
      <w:r w:rsidR="007148B6" w:rsidRPr="00720AFF">
        <w:rPr>
          <w:b/>
          <w:bCs/>
        </w:rPr>
        <w:t>5</w:t>
      </w:r>
      <w:r w:rsidR="007148B6" w:rsidRPr="00720AFF">
        <w:t>. Institutional owner</w:t>
      </w:r>
      <w:r w:rsidR="00905847" w:rsidRPr="00720AFF">
        <w:t>s.</w:t>
      </w:r>
    </w:p>
  </w:footnote>
  <w:footnote w:id="7">
    <w:p w14:paraId="5FEC92D2" w14:textId="78A039BC" w:rsidR="00612614" w:rsidRPr="00720AFF" w:rsidRDefault="00612614" w:rsidP="007C75CD">
      <w:pPr>
        <w:pStyle w:val="FootnoteText"/>
        <w:spacing w:after="0" w:line="240" w:lineRule="auto"/>
      </w:pPr>
      <w:r w:rsidRPr="00720AFF">
        <w:rPr>
          <w:rStyle w:val="FootnoteReference"/>
        </w:rPr>
        <w:footnoteRef/>
      </w:r>
      <w:r w:rsidRPr="00720AFF">
        <w:t xml:space="preserve"> </w:t>
      </w:r>
      <w:r w:rsidR="00AC452E" w:rsidRPr="00720AFF">
        <w:t>KPMG (</w:t>
      </w:r>
      <w:r w:rsidR="002C3C39" w:rsidRPr="00720AFF">
        <w:t>2024</w:t>
      </w:r>
      <w:r w:rsidR="00AC452E" w:rsidRPr="00720AFF">
        <w:t>)</w:t>
      </w:r>
      <w:r w:rsidR="002C3C39" w:rsidRPr="00720AFF">
        <w:t xml:space="preserve">, </w:t>
      </w:r>
      <w:hyperlink r:id="rId6" w:history="1">
        <w:r w:rsidR="002C3C39" w:rsidRPr="00720AFF">
          <w:rPr>
            <w:rStyle w:val="Hyperlink"/>
          </w:rPr>
          <w:t>Expanding the Commercial Building Disclosure Program</w:t>
        </w:r>
      </w:hyperlink>
      <w:r w:rsidR="008D0C76" w:rsidRPr="00720AFF">
        <w:t xml:space="preserve">, </w:t>
      </w:r>
      <w:r w:rsidR="00297714">
        <w:t>CBD</w:t>
      </w:r>
      <w:r w:rsidR="00FB3055" w:rsidRPr="00720AFF">
        <w:t xml:space="preserve"> website</w:t>
      </w:r>
      <w:r w:rsidR="0011647C" w:rsidRPr="00720AFF">
        <w:t xml:space="preserve">, accessed </w:t>
      </w:r>
      <w:r w:rsidR="00E93EBE">
        <w:t>June</w:t>
      </w:r>
      <w:r w:rsidR="0011647C" w:rsidRPr="00720AFF">
        <w:t xml:space="preserve"> 2025</w:t>
      </w:r>
      <w:r w:rsidR="002C3C39" w:rsidRPr="00720AFF">
        <w:t xml:space="preserve"> </w:t>
      </w:r>
      <w:r w:rsidR="0011647C" w:rsidRPr="00720AFF">
        <w:t>[</w:t>
      </w:r>
      <w:r w:rsidR="002C3C39" w:rsidRPr="00720AFF">
        <w:t>p</w:t>
      </w:r>
      <w:r w:rsidR="00710515" w:rsidRPr="00720AFF">
        <w:t>.</w:t>
      </w:r>
      <w:r w:rsidR="00AB6682">
        <w:t> </w:t>
      </w:r>
      <w:r w:rsidR="002C3C39" w:rsidRPr="00720AFF">
        <w:t>2</w:t>
      </w:r>
      <w:r w:rsidR="00E93EBE">
        <w:t>5</w:t>
      </w:r>
      <w:r w:rsidR="00710515" w:rsidRPr="00720AFF">
        <w:t>]</w:t>
      </w:r>
      <w:r w:rsidR="002C3C39" w:rsidRPr="00720AFF">
        <w:t>.</w:t>
      </w:r>
    </w:p>
  </w:footnote>
  <w:footnote w:id="8">
    <w:p w14:paraId="2C6DD7B2" w14:textId="50E2AADE" w:rsidR="00BA6346" w:rsidRPr="00720AFF" w:rsidRDefault="00BA6346" w:rsidP="007C75CD">
      <w:pPr>
        <w:pStyle w:val="FootnoteText"/>
        <w:spacing w:after="0" w:line="240" w:lineRule="auto"/>
      </w:pPr>
      <w:r w:rsidRPr="00720AFF">
        <w:rPr>
          <w:rStyle w:val="FootnoteReference"/>
        </w:rPr>
        <w:footnoteRef/>
      </w:r>
      <w:r w:rsidRPr="00720AFF">
        <w:t xml:space="preserve"> </w:t>
      </w:r>
      <w:r w:rsidR="007949A2">
        <w:t>The Office of Impact Analysis</w:t>
      </w:r>
      <w:r w:rsidR="0050591B">
        <w:t xml:space="preserve"> (</w:t>
      </w:r>
      <w:r w:rsidR="00DC5BA8">
        <w:t xml:space="preserve">2023), </w:t>
      </w:r>
      <w:hyperlink r:id="rId7" w:history="1">
        <w:r w:rsidR="001F293E" w:rsidRPr="00EB7EB6">
          <w:rPr>
            <w:rStyle w:val="Hyperlink"/>
          </w:rPr>
          <w:t xml:space="preserve">Australian Government Guide to </w:t>
        </w:r>
        <w:r w:rsidR="009168B3" w:rsidRPr="00EB7EB6">
          <w:rPr>
            <w:rStyle w:val="Hyperlink"/>
          </w:rPr>
          <w:t xml:space="preserve">Policy </w:t>
        </w:r>
        <w:r w:rsidR="001F293E" w:rsidRPr="00EB7EB6">
          <w:rPr>
            <w:rStyle w:val="Hyperlink"/>
          </w:rPr>
          <w:t>Impact Analysis</w:t>
        </w:r>
      </w:hyperlink>
      <w:r w:rsidR="00EB7EB6">
        <w:t xml:space="preserve">, </w:t>
      </w:r>
      <w:r w:rsidR="007949A2">
        <w:t>OIA</w:t>
      </w:r>
      <w:r w:rsidR="00EB7EB6">
        <w:t xml:space="preserve"> website, accessed June 2025.</w:t>
      </w:r>
    </w:p>
  </w:footnote>
  <w:footnote w:id="9">
    <w:p w14:paraId="644724AB" w14:textId="25874AFF" w:rsidR="00A82A65" w:rsidRPr="00720AFF" w:rsidRDefault="00A82A65" w:rsidP="007C75CD">
      <w:pPr>
        <w:pStyle w:val="FootnoteText"/>
        <w:spacing w:after="0" w:line="240" w:lineRule="auto"/>
      </w:pPr>
      <w:r w:rsidRPr="00720AFF">
        <w:rPr>
          <w:rStyle w:val="FootnoteReference"/>
        </w:rPr>
        <w:footnoteRef/>
      </w:r>
      <w:r w:rsidRPr="00720AFF">
        <w:t xml:space="preserve"> </w:t>
      </w:r>
      <w:r w:rsidR="00261F96" w:rsidRPr="00720AFF">
        <w:t>DCCEEW</w:t>
      </w:r>
      <w:r w:rsidR="00766883" w:rsidRPr="00720AFF">
        <w:t xml:space="preserve"> </w:t>
      </w:r>
      <w:r w:rsidR="00CA6EE3" w:rsidRPr="00720AFF">
        <w:t xml:space="preserve">(2024), </w:t>
      </w:r>
      <w:hyperlink r:id="rId8" w:history="1">
        <w:r w:rsidR="00C748AC" w:rsidRPr="00720AFF">
          <w:rPr>
            <w:rStyle w:val="Hyperlink"/>
          </w:rPr>
          <w:t>Home Energy Ratings Disclosure Framework – Version 2</w:t>
        </w:r>
      </w:hyperlink>
      <w:r w:rsidR="00C748AC" w:rsidRPr="00720AFF">
        <w:t xml:space="preserve">, </w:t>
      </w:r>
      <w:r w:rsidR="00F416E1">
        <w:t>Energy.gov.au</w:t>
      </w:r>
      <w:r w:rsidR="00C748AC" w:rsidRPr="00720AFF">
        <w:t xml:space="preserve"> website, accessed </w:t>
      </w:r>
      <w:r w:rsidR="00D76343">
        <w:t>June</w:t>
      </w:r>
      <w:r w:rsidR="00071C12" w:rsidRPr="00720AFF">
        <w:t xml:space="preserve"> 2025</w:t>
      </w:r>
      <w:r w:rsidR="00537D7F" w:rsidRPr="00720AFF">
        <w:t xml:space="preserve">. </w:t>
      </w:r>
    </w:p>
  </w:footnote>
  <w:footnote w:id="10">
    <w:p w14:paraId="3FEE3F45" w14:textId="3B9C5FE4" w:rsidR="004A3382" w:rsidRPr="00720AFF" w:rsidRDefault="004A3382" w:rsidP="007C75CD">
      <w:pPr>
        <w:pStyle w:val="FootnoteText"/>
        <w:spacing w:after="0" w:line="240" w:lineRule="auto"/>
      </w:pPr>
      <w:r w:rsidRPr="00720AFF">
        <w:rPr>
          <w:rStyle w:val="FootnoteReference"/>
        </w:rPr>
        <w:footnoteRef/>
      </w:r>
      <w:r w:rsidRPr="00720AFF">
        <w:t xml:space="preserve"> </w:t>
      </w:r>
      <w:r w:rsidR="00464E96" w:rsidRPr="00720AFF">
        <w:t xml:space="preserve">Department of Finance (2024), </w:t>
      </w:r>
      <w:hyperlink r:id="rId9" w:history="1">
        <w:r w:rsidR="00EB4548" w:rsidRPr="00720AFF">
          <w:rPr>
            <w:rStyle w:val="Hyperlink"/>
          </w:rPr>
          <w:t>Regulatory</w:t>
        </w:r>
        <w:r w:rsidR="00B75F19" w:rsidRPr="00720AFF">
          <w:rPr>
            <w:rStyle w:val="Hyperlink"/>
          </w:rPr>
          <w:t xml:space="preserve"> </w:t>
        </w:r>
        <w:r w:rsidR="00EB4548" w:rsidRPr="00720AFF">
          <w:rPr>
            <w:rStyle w:val="Hyperlink"/>
          </w:rPr>
          <w:t>Policy</w:t>
        </w:r>
        <w:r w:rsidR="00B75F19" w:rsidRPr="00720AFF">
          <w:rPr>
            <w:rStyle w:val="Hyperlink"/>
          </w:rPr>
          <w:t xml:space="preserve">, </w:t>
        </w:r>
        <w:r w:rsidR="00EB4548" w:rsidRPr="00720AFF">
          <w:rPr>
            <w:rStyle w:val="Hyperlink"/>
          </w:rPr>
          <w:t>Practice</w:t>
        </w:r>
        <w:r w:rsidR="00B75F19" w:rsidRPr="00720AFF">
          <w:rPr>
            <w:rStyle w:val="Hyperlink"/>
          </w:rPr>
          <w:t xml:space="preserve"> &amp; </w:t>
        </w:r>
        <w:r w:rsidR="00EB4548" w:rsidRPr="00720AFF">
          <w:rPr>
            <w:rStyle w:val="Hyperlink"/>
          </w:rPr>
          <w:t>Performance</w:t>
        </w:r>
        <w:r w:rsidR="00B75F19" w:rsidRPr="00720AFF">
          <w:rPr>
            <w:rStyle w:val="Hyperlink"/>
          </w:rPr>
          <w:t xml:space="preserve"> </w:t>
        </w:r>
        <w:r w:rsidR="00EB4548" w:rsidRPr="00720AFF">
          <w:rPr>
            <w:rStyle w:val="Hyperlink"/>
          </w:rPr>
          <w:t>Framework</w:t>
        </w:r>
      </w:hyperlink>
      <w:r w:rsidR="00450766" w:rsidRPr="00720AFF">
        <w:t xml:space="preserve">, Department of </w:t>
      </w:r>
      <w:r w:rsidR="00BC0002" w:rsidRPr="00720AFF">
        <w:t xml:space="preserve">Finance website, accessed </w:t>
      </w:r>
      <w:r w:rsidR="00DE7376">
        <w:t>June</w:t>
      </w:r>
      <w:r w:rsidR="00BC0002" w:rsidRPr="00720AFF">
        <w:t xml:space="preserve"> 2025. </w:t>
      </w:r>
    </w:p>
  </w:footnote>
  <w:footnote w:id="11">
    <w:p w14:paraId="647E36A0" w14:textId="77777777" w:rsidR="00B352AC" w:rsidRPr="00720AFF" w:rsidRDefault="00B352AC" w:rsidP="00B352AC">
      <w:pPr>
        <w:pStyle w:val="FootnoteText"/>
        <w:spacing w:after="0" w:line="240" w:lineRule="auto"/>
      </w:pPr>
      <w:r w:rsidRPr="00720AFF">
        <w:rPr>
          <w:rStyle w:val="FootnoteReference"/>
        </w:rPr>
        <w:footnoteRef/>
      </w:r>
      <w:r w:rsidRPr="00720AFF">
        <w:t xml:space="preserve"> DCCEEW (2024), </w:t>
      </w:r>
      <w:hyperlink r:id="rId10" w:history="1">
        <w:r w:rsidRPr="00720AFF">
          <w:rPr>
            <w:rStyle w:val="Hyperlink"/>
          </w:rPr>
          <w:t>National Energy Performance Strategy</w:t>
        </w:r>
      </w:hyperlink>
      <w:r w:rsidRPr="00720AFF">
        <w:t xml:space="preserve">, DCCEEW website, accessed </w:t>
      </w:r>
      <w:r>
        <w:t>June</w:t>
      </w:r>
      <w:r w:rsidRPr="00720AFF">
        <w:t xml:space="preserve"> 2025.</w:t>
      </w:r>
      <w:r>
        <w:t xml:space="preserve"> Note: Energy Performance includes energy efficiency, demand flexibility and electrification/fuel switching.</w:t>
      </w:r>
      <w:r w:rsidRPr="00720AFF">
        <w:t xml:space="preserve"> </w:t>
      </w:r>
    </w:p>
  </w:footnote>
  <w:footnote w:id="12">
    <w:p w14:paraId="6509C984" w14:textId="77777777" w:rsidR="001C063E" w:rsidRPr="00720AFF" w:rsidRDefault="001C063E" w:rsidP="001C063E">
      <w:pPr>
        <w:pStyle w:val="FootnoteText"/>
      </w:pPr>
      <w:r w:rsidRPr="00720AFF">
        <w:rPr>
          <w:rStyle w:val="FootnoteReference"/>
        </w:rPr>
        <w:footnoteRef/>
      </w:r>
      <w:r w:rsidRPr="00720AFF">
        <w:t xml:space="preserve"> DCCEEW (20</w:t>
      </w:r>
      <w:r>
        <w:t>25</w:t>
      </w:r>
      <w:r w:rsidRPr="00720AFF">
        <w:t xml:space="preserve">), </w:t>
      </w:r>
      <w:hyperlink r:id="rId11" w:history="1">
        <w:r w:rsidRPr="00720AFF">
          <w:rPr>
            <w:rStyle w:val="Hyperlink"/>
          </w:rPr>
          <w:t>Trajectory for Low Energy Buildings</w:t>
        </w:r>
      </w:hyperlink>
      <w:r w:rsidRPr="00720AFF">
        <w:t xml:space="preserve">, DCCEEW website, accessed </w:t>
      </w:r>
      <w:r>
        <w:t>August</w:t>
      </w:r>
      <w:r w:rsidRPr="00720AFF">
        <w:t xml:space="preserve"> 2025.  </w:t>
      </w:r>
    </w:p>
  </w:footnote>
  <w:footnote w:id="13">
    <w:p w14:paraId="3687A362" w14:textId="487F906C" w:rsidR="00A45965" w:rsidRPr="00720AFF" w:rsidRDefault="00A45965" w:rsidP="00EB1113">
      <w:pPr>
        <w:pStyle w:val="FootnoteText"/>
        <w:spacing w:after="0" w:line="240" w:lineRule="auto"/>
      </w:pPr>
      <w:r w:rsidRPr="00720AFF">
        <w:rPr>
          <w:rStyle w:val="FootnoteReference"/>
        </w:rPr>
        <w:footnoteRef/>
      </w:r>
      <w:r w:rsidRPr="00720AFF">
        <w:t xml:space="preserve"> </w:t>
      </w:r>
      <w:r w:rsidR="003A3DA4" w:rsidRPr="00720AFF">
        <w:t>Federal Register of Legislation</w:t>
      </w:r>
      <w:r w:rsidR="0034040C" w:rsidRPr="00720AFF">
        <w:t xml:space="preserve">, </w:t>
      </w:r>
      <w:hyperlink r:id="rId12" w:history="1">
        <w:r w:rsidRPr="00720AFF">
          <w:rPr>
            <w:rStyle w:val="Hyperlink"/>
            <w:i/>
            <w:iCs/>
          </w:rPr>
          <w:t>Building Energy Efficiency Disclosure Determination 2016 (Secretary's Determination)</w:t>
        </w:r>
      </w:hyperlink>
      <w:r w:rsidR="00AF5989" w:rsidRPr="00720AFF">
        <w:t>,</w:t>
      </w:r>
      <w:r w:rsidR="00733BD7" w:rsidRPr="00720AFF">
        <w:t xml:space="preserve"> </w:t>
      </w:r>
      <w:r w:rsidR="0040722E">
        <w:t xml:space="preserve">Federal Register of Legislation website, </w:t>
      </w:r>
      <w:r w:rsidR="00E12DE1" w:rsidRPr="00720AFF">
        <w:t xml:space="preserve">accessed </w:t>
      </w:r>
      <w:r w:rsidR="0040722E">
        <w:t>June</w:t>
      </w:r>
      <w:r w:rsidR="00E12DE1" w:rsidRPr="00720AFF">
        <w:t xml:space="preserve"> 2025.</w:t>
      </w:r>
      <w:r w:rsidRPr="00720AFF">
        <w:rPr>
          <w:i/>
          <w:iCs/>
        </w:rPr>
        <w:t> </w:t>
      </w:r>
    </w:p>
  </w:footnote>
  <w:footnote w:id="14">
    <w:p w14:paraId="21CDF3C8" w14:textId="1BB160ED" w:rsidR="00954FA1" w:rsidRPr="00720AFF" w:rsidRDefault="00954FA1" w:rsidP="00EB1113">
      <w:pPr>
        <w:pStyle w:val="FootnoteText"/>
        <w:spacing w:after="0" w:line="240" w:lineRule="auto"/>
      </w:pPr>
      <w:r w:rsidRPr="00720AFF">
        <w:rPr>
          <w:rStyle w:val="FootnoteReference"/>
        </w:rPr>
        <w:footnoteRef/>
      </w:r>
      <w:r w:rsidRPr="00720AFF">
        <w:t xml:space="preserve"> </w:t>
      </w:r>
      <w:r w:rsidR="00C1211F" w:rsidRPr="00720AFF">
        <w:t xml:space="preserve">KPMG (2024), </w:t>
      </w:r>
      <w:hyperlink r:id="rId13" w:history="1">
        <w:r w:rsidR="00C1211F" w:rsidRPr="00720AFF">
          <w:rPr>
            <w:rStyle w:val="Hyperlink"/>
          </w:rPr>
          <w:t>Expanding the Commercial Building Disclosure Program</w:t>
        </w:r>
      </w:hyperlink>
      <w:r w:rsidR="00C1211F" w:rsidRPr="00720AFF">
        <w:t xml:space="preserve">, </w:t>
      </w:r>
      <w:r w:rsidR="00297714">
        <w:t>CBD</w:t>
      </w:r>
      <w:r w:rsidR="00C1211F" w:rsidRPr="00720AFF">
        <w:t xml:space="preserve"> website, accessed </w:t>
      </w:r>
      <w:r w:rsidR="00BA1715">
        <w:t>June</w:t>
      </w:r>
      <w:r w:rsidR="00C1211F" w:rsidRPr="00720AFF">
        <w:t xml:space="preserve"> 2025 [p.</w:t>
      </w:r>
      <w:r w:rsidR="0092527C">
        <w:t> </w:t>
      </w:r>
      <w:r w:rsidR="00BA1715">
        <w:t>43</w:t>
      </w:r>
      <w:r w:rsidR="00C1211F" w:rsidRPr="00720AFF">
        <w:t>].</w:t>
      </w:r>
    </w:p>
  </w:footnote>
  <w:footnote w:id="15">
    <w:p w14:paraId="7849BA1A" w14:textId="3861E3BC" w:rsidR="00104298" w:rsidRPr="00720AFF" w:rsidRDefault="00104298" w:rsidP="00EB1113">
      <w:pPr>
        <w:pStyle w:val="FootnoteText"/>
        <w:spacing w:after="0" w:line="240" w:lineRule="auto"/>
      </w:pPr>
      <w:r w:rsidRPr="00720AFF">
        <w:rPr>
          <w:rStyle w:val="FootnoteReference"/>
        </w:rPr>
        <w:footnoteRef/>
      </w:r>
      <w:r w:rsidRPr="00720AFF">
        <w:t xml:space="preserve"> </w:t>
      </w:r>
      <w:r w:rsidR="00B91B11" w:rsidRPr="00B91B11">
        <w:t xml:space="preserve">SPR (Strategy Policy Research) (2024) </w:t>
      </w:r>
      <w:hyperlink r:id="rId14" w:tgtFrame="_blank" w:tooltip="https://www.dcceew.gov.au/energy/publications/commercial-building-baseline-study-2024" w:history="1">
        <w:r w:rsidR="00B91B11" w:rsidRPr="00B91B11">
          <w:rPr>
            <w:rStyle w:val="Hyperlink"/>
          </w:rPr>
          <w:t>Commercial Building Baseline Study – 2024 Update</w:t>
        </w:r>
      </w:hyperlink>
      <w:r w:rsidR="00B91B11" w:rsidRPr="00B91B11">
        <w:t>, DCCEEW website, accessed June 2025.</w:t>
      </w:r>
    </w:p>
  </w:footnote>
  <w:footnote w:id="16">
    <w:p w14:paraId="4001D418" w14:textId="6C5DC03C" w:rsidR="00191E68" w:rsidRPr="00720AFF" w:rsidRDefault="00191E68" w:rsidP="00EB1113">
      <w:pPr>
        <w:pStyle w:val="FootnoteText"/>
        <w:spacing w:after="0" w:line="240" w:lineRule="auto"/>
      </w:pPr>
      <w:r w:rsidRPr="00720AFF">
        <w:rPr>
          <w:rStyle w:val="FootnoteReference"/>
        </w:rPr>
        <w:footnoteRef/>
      </w:r>
      <w:r w:rsidRPr="00720AFF">
        <w:t xml:space="preserve"> </w:t>
      </w:r>
      <w:r w:rsidR="00D15A8F" w:rsidRPr="00720AFF">
        <w:t xml:space="preserve">KPMG (2024), </w:t>
      </w:r>
      <w:hyperlink r:id="rId15" w:history="1">
        <w:r w:rsidR="00D15A8F" w:rsidRPr="00720AFF">
          <w:rPr>
            <w:rStyle w:val="Hyperlink"/>
          </w:rPr>
          <w:t>Expanding the Commercial Building Disclosure Program</w:t>
        </w:r>
      </w:hyperlink>
      <w:r w:rsidR="00D15A8F" w:rsidRPr="00720AFF">
        <w:t xml:space="preserve">, </w:t>
      </w:r>
      <w:r w:rsidR="00D65A02">
        <w:t>CBD</w:t>
      </w:r>
      <w:r w:rsidR="00D15A8F" w:rsidRPr="00720AFF">
        <w:t xml:space="preserve"> website, accessed </w:t>
      </w:r>
      <w:r w:rsidR="00D65A02">
        <w:t>June</w:t>
      </w:r>
      <w:r w:rsidR="00D15A8F" w:rsidRPr="00720AFF">
        <w:t xml:space="preserve"> 2025.</w:t>
      </w:r>
    </w:p>
  </w:footnote>
  <w:footnote w:id="17">
    <w:p w14:paraId="7854A531" w14:textId="4AED3F6E" w:rsidR="002A50F5" w:rsidRPr="00720AFF" w:rsidRDefault="002A50F5" w:rsidP="00EB1113">
      <w:pPr>
        <w:pStyle w:val="FootnoteText"/>
        <w:spacing w:after="0" w:line="240" w:lineRule="auto"/>
      </w:pPr>
      <w:r w:rsidRPr="00720AFF">
        <w:rPr>
          <w:rStyle w:val="FootnoteReference"/>
        </w:rPr>
        <w:footnoteRef/>
      </w:r>
      <w:r w:rsidRPr="00720AFF">
        <w:t xml:space="preserve"> </w:t>
      </w:r>
      <w:r w:rsidR="004063E1">
        <w:t>National Cabinet</w:t>
      </w:r>
      <w:r w:rsidR="0084144F" w:rsidRPr="00720AFF">
        <w:t xml:space="preserve"> (</w:t>
      </w:r>
      <w:r w:rsidR="006849D0" w:rsidRPr="00720AFF">
        <w:t>2021)</w:t>
      </w:r>
      <w:r w:rsidR="00333A10" w:rsidRPr="00720AFF">
        <w:t xml:space="preserve">, </w:t>
      </w:r>
      <w:hyperlink r:id="rId16" w:history="1">
        <w:r w:rsidR="00333A10" w:rsidRPr="00720AFF">
          <w:rPr>
            <w:rStyle w:val="Hyperlink"/>
          </w:rPr>
          <w:t>Intergovernmental Agreement on Data Sharing</w:t>
        </w:r>
      </w:hyperlink>
      <w:r w:rsidR="00333A10" w:rsidRPr="00720AFF">
        <w:t>,</w:t>
      </w:r>
      <w:r w:rsidR="006F1F4D" w:rsidRPr="00720AFF">
        <w:t xml:space="preserve"> </w:t>
      </w:r>
      <w:r w:rsidR="004063E1">
        <w:t>federation.gov.au</w:t>
      </w:r>
      <w:r w:rsidR="00EB1113" w:rsidRPr="00720AFF">
        <w:t xml:space="preserve"> website</w:t>
      </w:r>
      <w:r w:rsidR="006F1F4D" w:rsidRPr="00720AFF">
        <w:t xml:space="preserve">, accessed </w:t>
      </w:r>
      <w:r w:rsidR="004063E1">
        <w:t>June</w:t>
      </w:r>
      <w:r w:rsidR="006F1F4D" w:rsidRPr="00720AFF">
        <w:t xml:space="preserve"> 2025.</w:t>
      </w:r>
      <w:r w:rsidRPr="00720AFF">
        <w:t xml:space="preserve"> </w:t>
      </w:r>
    </w:p>
  </w:footnote>
  <w:footnote w:id="18">
    <w:p w14:paraId="7AA6C3C7" w14:textId="786F4550" w:rsidR="00033233" w:rsidRPr="00720AFF" w:rsidRDefault="00033233" w:rsidP="00EB1113">
      <w:pPr>
        <w:pStyle w:val="FootnoteText"/>
        <w:spacing w:after="0" w:line="240" w:lineRule="auto"/>
      </w:pPr>
      <w:r w:rsidRPr="00720AFF">
        <w:rPr>
          <w:rStyle w:val="FootnoteReference"/>
        </w:rPr>
        <w:footnoteRef/>
      </w:r>
      <w:r w:rsidRPr="00720AFF">
        <w:t xml:space="preserve"> </w:t>
      </w:r>
      <w:r w:rsidR="00EC5B90" w:rsidRPr="00720AFF">
        <w:t>Department of Finance (2023)</w:t>
      </w:r>
      <w:r w:rsidR="00BF704C" w:rsidRPr="00720AFF">
        <w:t xml:space="preserve">, </w:t>
      </w:r>
      <w:hyperlink r:id="rId17" w:history="1">
        <w:r w:rsidR="00CE17A6" w:rsidRPr="00CE17A6">
          <w:rPr>
            <w:rStyle w:val="Hyperlink"/>
          </w:rPr>
          <w:t xml:space="preserve">Australian Government </w:t>
        </w:r>
        <w:r w:rsidR="00BF704C" w:rsidRPr="00CE17A6">
          <w:rPr>
            <w:rStyle w:val="Hyperlink"/>
          </w:rPr>
          <w:t>Charging Framework</w:t>
        </w:r>
      </w:hyperlink>
      <w:r w:rsidR="00BF704C" w:rsidRPr="00720AFF">
        <w:t>, Department of Finance website</w:t>
      </w:r>
      <w:r w:rsidR="00BE480A">
        <w:t>,</w:t>
      </w:r>
      <w:r w:rsidR="00BF704C" w:rsidRPr="00720AFF">
        <w:t xml:space="preserve"> accessed </w:t>
      </w:r>
      <w:r w:rsidR="00BE480A">
        <w:t>June</w:t>
      </w:r>
      <w:r w:rsidR="00BF704C" w:rsidRPr="00720AFF">
        <w:t xml:space="preserve"> 2025.</w:t>
      </w:r>
      <w:r w:rsidR="00AA6106" w:rsidRPr="00720AFF">
        <w:t xml:space="preserve"> </w:t>
      </w:r>
    </w:p>
  </w:footnote>
  <w:footnote w:id="19">
    <w:p w14:paraId="38705B45" w14:textId="58B548EE" w:rsidR="00D3268C" w:rsidRPr="00720AFF" w:rsidRDefault="00D3268C" w:rsidP="00D3268C">
      <w:pPr>
        <w:pStyle w:val="FootnoteText"/>
        <w:spacing w:after="0" w:line="240" w:lineRule="auto"/>
      </w:pPr>
      <w:r w:rsidRPr="00720AFF">
        <w:rPr>
          <w:rStyle w:val="FootnoteReference"/>
        </w:rPr>
        <w:footnoteRef/>
      </w:r>
      <w:r w:rsidRPr="00720AFF">
        <w:t xml:space="preserve"> NABERS (2024), </w:t>
      </w:r>
      <w:hyperlink r:id="rId18" w:history="1">
        <w:r w:rsidRPr="00720AFF">
          <w:rPr>
            <w:rStyle w:val="Hyperlink"/>
          </w:rPr>
          <w:t>Sustainable Portfolios Index 2024 – Public Hospitals</w:t>
        </w:r>
      </w:hyperlink>
      <w:r w:rsidRPr="00720AFF">
        <w:t xml:space="preserve">, NABERS website, accessed </w:t>
      </w:r>
      <w:r w:rsidR="007A233A">
        <w:t>June</w:t>
      </w:r>
      <w:r w:rsidRPr="00720AFF">
        <w:t xml:space="preserve"> 2025.</w:t>
      </w:r>
    </w:p>
  </w:footnote>
  <w:footnote w:id="20">
    <w:p w14:paraId="23CBB8DF" w14:textId="69B94C3F" w:rsidR="00E029E5" w:rsidRPr="00720AFF" w:rsidRDefault="00E029E5" w:rsidP="00EB1113">
      <w:pPr>
        <w:pStyle w:val="FootnoteText"/>
        <w:spacing w:after="0" w:line="240" w:lineRule="auto"/>
      </w:pPr>
      <w:r w:rsidRPr="00720AFF">
        <w:rPr>
          <w:rStyle w:val="FootnoteReference"/>
        </w:rPr>
        <w:footnoteRef/>
      </w:r>
      <w:r w:rsidRPr="00720AFF">
        <w:t xml:space="preserve"> </w:t>
      </w:r>
      <w:r w:rsidR="00191000" w:rsidRPr="00720AFF">
        <w:t xml:space="preserve">KPMG (2024), </w:t>
      </w:r>
      <w:hyperlink r:id="rId19" w:history="1">
        <w:r w:rsidR="00191000" w:rsidRPr="00720AFF">
          <w:rPr>
            <w:rStyle w:val="Hyperlink"/>
          </w:rPr>
          <w:t>Expanding the Commercial Building Disclosure Program</w:t>
        </w:r>
      </w:hyperlink>
      <w:r w:rsidR="00191000" w:rsidRPr="00720AFF">
        <w:t xml:space="preserve">, </w:t>
      </w:r>
      <w:r w:rsidR="00980694">
        <w:t>CBD</w:t>
      </w:r>
      <w:r w:rsidR="00191000" w:rsidRPr="00720AFF">
        <w:t xml:space="preserve"> website, accessed </w:t>
      </w:r>
      <w:r w:rsidR="00980694">
        <w:t>June</w:t>
      </w:r>
      <w:r w:rsidR="00191000" w:rsidRPr="00720AFF">
        <w:t xml:space="preserve"> 2025.</w:t>
      </w:r>
    </w:p>
  </w:footnote>
  <w:footnote w:id="21">
    <w:p w14:paraId="71113B03" w14:textId="190B8DFF" w:rsidR="00E029E5" w:rsidRPr="00720AFF" w:rsidRDefault="00E029E5" w:rsidP="00EB1113">
      <w:pPr>
        <w:pStyle w:val="FootnoteText"/>
        <w:spacing w:after="0" w:line="240" w:lineRule="auto"/>
      </w:pPr>
      <w:r w:rsidRPr="00720AFF">
        <w:rPr>
          <w:rStyle w:val="FootnoteReference"/>
        </w:rPr>
        <w:footnoteRef/>
      </w:r>
      <w:r w:rsidRPr="00720AFF">
        <w:t xml:space="preserve"> </w:t>
      </w:r>
      <w:r w:rsidR="00804A08" w:rsidRPr="00720AFF">
        <w:t xml:space="preserve">CIE (Centre for International Economics) (2019), </w:t>
      </w:r>
      <w:hyperlink r:id="rId20" w:history="1">
        <w:r w:rsidR="009B483A" w:rsidRPr="00720AFF">
          <w:rPr>
            <w:rStyle w:val="Hyperlink"/>
          </w:rPr>
          <w:t>Draft Report: Independent review of the Commercial Building Disclosure Program</w:t>
        </w:r>
      </w:hyperlink>
      <w:r w:rsidR="00191000" w:rsidRPr="00720AFF">
        <w:t xml:space="preserve">, </w:t>
      </w:r>
      <w:r w:rsidR="00980694">
        <w:t>CBD</w:t>
      </w:r>
      <w:r w:rsidR="00191000" w:rsidRPr="00720AFF">
        <w:t xml:space="preserve"> website, accessed </w:t>
      </w:r>
      <w:r w:rsidR="00242C6D">
        <w:t>June</w:t>
      </w:r>
      <w:r w:rsidR="00191000" w:rsidRPr="00720AFF">
        <w:t xml:space="preserve"> 2025.</w:t>
      </w:r>
    </w:p>
  </w:footnote>
  <w:footnote w:id="22">
    <w:p w14:paraId="5C3EB8DB" w14:textId="4DC531C4" w:rsidR="00C84FDD" w:rsidRPr="00720AFF" w:rsidRDefault="00C84FDD" w:rsidP="00EB1113">
      <w:pPr>
        <w:pStyle w:val="FootnoteText"/>
        <w:spacing w:after="0" w:line="240" w:lineRule="auto"/>
      </w:pPr>
      <w:r w:rsidRPr="00720AFF">
        <w:rPr>
          <w:rStyle w:val="FootnoteReference"/>
        </w:rPr>
        <w:footnoteRef/>
      </w:r>
      <w:r w:rsidR="59AAB882" w:rsidRPr="00720AFF">
        <w:t xml:space="preserve"> For example, the Australian Government Net Zero in Government Operations, requires APS employees to consider the environmental impact of work travel. To support greener energy choices NABERS Energy ratings are displayed next to applicable hotels in the APS Online Booking Tool.</w:t>
      </w:r>
    </w:p>
  </w:footnote>
  <w:footnote w:id="23">
    <w:p w14:paraId="53CEC280" w14:textId="49C69041" w:rsidR="00C32EF7" w:rsidRPr="00720AFF" w:rsidRDefault="00C32EF7" w:rsidP="00EB1113">
      <w:pPr>
        <w:pStyle w:val="FootnoteText"/>
        <w:spacing w:after="0" w:line="240" w:lineRule="auto"/>
      </w:pPr>
      <w:r w:rsidRPr="00720AFF">
        <w:rPr>
          <w:rStyle w:val="FootnoteReference"/>
        </w:rPr>
        <w:footnoteRef/>
      </w:r>
      <w:r w:rsidRPr="00720AFF">
        <w:t xml:space="preserve"> </w:t>
      </w:r>
      <w:r w:rsidR="00291D27" w:rsidRPr="00720AFF">
        <w:t xml:space="preserve">CIE (Centre for International Economics) (2019), </w:t>
      </w:r>
      <w:hyperlink r:id="rId21" w:history="1">
        <w:r w:rsidR="00291D27" w:rsidRPr="00720AFF">
          <w:rPr>
            <w:rStyle w:val="Hyperlink"/>
          </w:rPr>
          <w:t>Draft Report: Independent review of the Commercial Building Disclosure Program</w:t>
        </w:r>
      </w:hyperlink>
      <w:r w:rsidR="00291D27" w:rsidRPr="00720AFF">
        <w:t xml:space="preserve">, </w:t>
      </w:r>
      <w:r w:rsidR="00B53B25">
        <w:t>CBD</w:t>
      </w:r>
      <w:r w:rsidR="00291D27" w:rsidRPr="00720AFF">
        <w:t xml:space="preserve"> website, accessed </w:t>
      </w:r>
      <w:r w:rsidR="00B53B25">
        <w:t>June</w:t>
      </w:r>
      <w:r w:rsidR="00291D27" w:rsidRPr="00720AFF">
        <w:t xml:space="preserve"> 2025.</w:t>
      </w:r>
    </w:p>
  </w:footnote>
  <w:footnote w:id="24">
    <w:p w14:paraId="2BD815E1" w14:textId="77777777" w:rsidR="00E06B3B" w:rsidRPr="00720AFF" w:rsidRDefault="00E06B3B" w:rsidP="00E06B3B">
      <w:pPr>
        <w:pStyle w:val="FootnoteText"/>
        <w:spacing w:after="0" w:line="240" w:lineRule="auto"/>
      </w:pPr>
      <w:r w:rsidRPr="00720AFF">
        <w:rPr>
          <w:rStyle w:val="FootnoteReference"/>
        </w:rPr>
        <w:footnoteRef/>
      </w:r>
      <w:r w:rsidRPr="00720AFF">
        <w:t xml:space="preserve"> SPR (Strategy Policy Research) (2022), </w:t>
      </w:r>
      <w:hyperlink r:id="rId22" w:history="1">
        <w:r w:rsidRPr="00720AFF">
          <w:rPr>
            <w:rStyle w:val="Hyperlink"/>
          </w:rPr>
          <w:t>Commercial Building Baseline Study</w:t>
        </w:r>
      </w:hyperlink>
      <w:r w:rsidRPr="00720AFF">
        <w:t xml:space="preserve">, DCCEEW website, accessed </w:t>
      </w:r>
      <w:r>
        <w:t>June</w:t>
      </w:r>
      <w:r w:rsidRPr="00720AFF">
        <w:t xml:space="preserve"> 2025.</w:t>
      </w:r>
    </w:p>
  </w:footnote>
  <w:footnote w:id="25">
    <w:p w14:paraId="46A23027" w14:textId="2A444275" w:rsidR="0049289E" w:rsidRPr="00720AFF" w:rsidRDefault="0049289E" w:rsidP="00EB1113">
      <w:pPr>
        <w:pStyle w:val="FootnoteText"/>
        <w:spacing w:after="0" w:line="240" w:lineRule="auto"/>
        <w:rPr>
          <w:i/>
          <w:iCs/>
        </w:rPr>
      </w:pPr>
      <w:r w:rsidRPr="00720AFF">
        <w:rPr>
          <w:rStyle w:val="FootnoteReference"/>
        </w:rPr>
        <w:footnoteRef/>
      </w:r>
      <w:r w:rsidRPr="00720AFF">
        <w:t xml:space="preserve"> City of Melbourne</w:t>
      </w:r>
      <w:r w:rsidR="001E552C" w:rsidRPr="00720AFF">
        <w:t xml:space="preserve"> (</w:t>
      </w:r>
      <w:r w:rsidRPr="00720AFF">
        <w:t>2024</w:t>
      </w:r>
      <w:r w:rsidR="001E552C" w:rsidRPr="00720AFF">
        <w:t>),</w:t>
      </w:r>
      <w:r w:rsidRPr="00720AFF">
        <w:t xml:space="preserve"> </w:t>
      </w:r>
      <w:hyperlink r:id="rId23" w:history="1">
        <w:r w:rsidR="001E552C" w:rsidRPr="00720AFF">
          <w:rPr>
            <w:rStyle w:val="Hyperlink"/>
          </w:rPr>
          <w:t>S</w:t>
        </w:r>
        <w:r w:rsidRPr="00720AFF">
          <w:rPr>
            <w:rStyle w:val="Hyperlink"/>
          </w:rPr>
          <w:t>ubmission to the public consultation on expanding the Commercial Building Disclosure Program</w:t>
        </w:r>
      </w:hyperlink>
      <w:r w:rsidR="00EE6FC6" w:rsidRPr="00720AFF">
        <w:t xml:space="preserve">, </w:t>
      </w:r>
      <w:r w:rsidR="008B70B7">
        <w:t>CBD</w:t>
      </w:r>
      <w:r w:rsidR="00EE6FC6" w:rsidRPr="00720AFF">
        <w:t xml:space="preserve"> website, accessed </w:t>
      </w:r>
      <w:r w:rsidR="008B70B7">
        <w:t>June</w:t>
      </w:r>
      <w:r w:rsidR="00EE6FC6" w:rsidRPr="00720AFF">
        <w:t xml:space="preserve"> 2025</w:t>
      </w:r>
      <w:r w:rsidRPr="00720AFF">
        <w:t>.</w:t>
      </w:r>
    </w:p>
  </w:footnote>
  <w:footnote w:id="26">
    <w:p w14:paraId="571E2C0C" w14:textId="5D63E927" w:rsidR="0049289E" w:rsidRPr="00720AFF" w:rsidRDefault="0049289E" w:rsidP="00EB1113">
      <w:pPr>
        <w:pStyle w:val="FootnoteText"/>
        <w:spacing w:after="0" w:line="240" w:lineRule="auto"/>
      </w:pPr>
      <w:r w:rsidRPr="00720AFF">
        <w:rPr>
          <w:rStyle w:val="FootnoteReference"/>
        </w:rPr>
        <w:footnoteRef/>
      </w:r>
      <w:r w:rsidRPr="00720AFF">
        <w:t xml:space="preserve"> Acil Allen Consulting </w:t>
      </w:r>
      <w:r w:rsidR="008305C9" w:rsidRPr="00720AFF">
        <w:t>(</w:t>
      </w:r>
      <w:r w:rsidRPr="00720AFF">
        <w:t>2016</w:t>
      </w:r>
      <w:r w:rsidR="008305C9" w:rsidRPr="00720AFF">
        <w:t>)</w:t>
      </w:r>
      <w:r w:rsidRPr="00720AFF">
        <w:t xml:space="preserve">, </w:t>
      </w:r>
      <w:hyperlink r:id="rId24" w:history="1">
        <w:r w:rsidRPr="00720AFF">
          <w:rPr>
            <w:rStyle w:val="Hyperlink"/>
          </w:rPr>
          <w:t>Improving the energy efficiency performance of small office building, Regulation impact statement</w:t>
        </w:r>
      </w:hyperlink>
      <w:r w:rsidR="008305C9" w:rsidRPr="00720AFF">
        <w:t xml:space="preserve">, </w:t>
      </w:r>
      <w:r w:rsidR="008B6220">
        <w:t>CBD</w:t>
      </w:r>
      <w:r w:rsidR="008305C9" w:rsidRPr="00720AFF">
        <w:t xml:space="preserve"> website, accessed </w:t>
      </w:r>
      <w:r w:rsidR="008B6220">
        <w:t>June</w:t>
      </w:r>
      <w:r w:rsidR="008305C9" w:rsidRPr="00720AFF">
        <w:t xml:space="preserve"> 2025.</w:t>
      </w:r>
      <w:r w:rsidRPr="00720AFF">
        <w:t xml:space="preserve"> </w:t>
      </w:r>
    </w:p>
  </w:footnote>
  <w:footnote w:id="27">
    <w:p w14:paraId="19604854" w14:textId="5FD448FA" w:rsidR="007B79E6" w:rsidRPr="00720AFF" w:rsidRDefault="007B79E6" w:rsidP="00EB1113">
      <w:pPr>
        <w:pStyle w:val="FootnoteText"/>
        <w:spacing w:after="0" w:line="240" w:lineRule="auto"/>
      </w:pPr>
      <w:r w:rsidRPr="00720AFF">
        <w:rPr>
          <w:rStyle w:val="FootnoteReference"/>
        </w:rPr>
        <w:footnoteRef/>
      </w:r>
      <w:r w:rsidRPr="00720AFF">
        <w:t xml:space="preserve"> </w:t>
      </w:r>
      <w:r w:rsidR="008305C9" w:rsidRPr="00720AFF">
        <w:t xml:space="preserve">SPR (Strategy Policy Research) (2022), </w:t>
      </w:r>
      <w:hyperlink r:id="rId25" w:history="1">
        <w:r w:rsidR="008305C9" w:rsidRPr="00720AFF">
          <w:rPr>
            <w:rStyle w:val="Hyperlink"/>
          </w:rPr>
          <w:t>Commercial Building Baseline Study</w:t>
        </w:r>
      </w:hyperlink>
      <w:r w:rsidR="008305C9" w:rsidRPr="00720AFF">
        <w:t xml:space="preserve">, DCCEEW website, accessed </w:t>
      </w:r>
      <w:r w:rsidR="00B25610">
        <w:t>June</w:t>
      </w:r>
      <w:r w:rsidR="008305C9" w:rsidRPr="00720AFF">
        <w:t xml:space="preserve"> 2025</w:t>
      </w:r>
      <w:r w:rsidR="00451A0D" w:rsidRPr="00720AFF">
        <w:t xml:space="preserve"> [</w:t>
      </w:r>
      <w:r w:rsidRPr="00720AFF">
        <w:t>Tab</w:t>
      </w:r>
      <w:r w:rsidR="00453882" w:rsidRPr="00720AFF">
        <w:t>l</w:t>
      </w:r>
      <w:r w:rsidRPr="00720AFF">
        <w:t>e 58</w:t>
      </w:r>
      <w:r w:rsidR="00451A0D" w:rsidRPr="00720AFF">
        <w:t>]</w:t>
      </w:r>
      <w:r w:rsidRPr="00720AFF">
        <w:t>.</w:t>
      </w:r>
    </w:p>
  </w:footnote>
  <w:footnote w:id="28">
    <w:p w14:paraId="299DFC92" w14:textId="7DFECEF9" w:rsidR="00F85F16" w:rsidRPr="00720AFF" w:rsidRDefault="00F85F16" w:rsidP="00EB1113">
      <w:pPr>
        <w:pStyle w:val="FootnoteText"/>
        <w:spacing w:after="0" w:line="240" w:lineRule="auto"/>
      </w:pPr>
      <w:r w:rsidRPr="00720AFF">
        <w:rPr>
          <w:rStyle w:val="FootnoteReference"/>
        </w:rPr>
        <w:footnoteRef/>
      </w:r>
      <w:r w:rsidRPr="00720AFF">
        <w:t xml:space="preserve"> NABERS </w:t>
      </w:r>
      <w:r w:rsidR="00451A0D" w:rsidRPr="00720AFF">
        <w:t xml:space="preserve">(2023), </w:t>
      </w:r>
      <w:hyperlink r:id="rId26" w:history="1">
        <w:r w:rsidR="00451A0D" w:rsidRPr="00720AFF">
          <w:rPr>
            <w:rStyle w:val="Hyperlink"/>
          </w:rPr>
          <w:t>NABERS A</w:t>
        </w:r>
        <w:r w:rsidRPr="00720AFF">
          <w:rPr>
            <w:rStyle w:val="Hyperlink"/>
          </w:rPr>
          <w:t>nnual report 2022-23</w:t>
        </w:r>
      </w:hyperlink>
      <w:r w:rsidR="00451A0D" w:rsidRPr="00720AFF">
        <w:t xml:space="preserve">, NABERS website, accessed </w:t>
      </w:r>
      <w:r w:rsidR="008303D2">
        <w:t>June</w:t>
      </w:r>
      <w:r w:rsidR="00451A0D" w:rsidRPr="00720AFF">
        <w:t xml:space="preserve"> 2025.</w:t>
      </w:r>
    </w:p>
  </w:footnote>
  <w:footnote w:id="29">
    <w:p w14:paraId="41F1FCC0" w14:textId="583A5A00" w:rsidR="00BD42D8" w:rsidRPr="00720AFF" w:rsidRDefault="00BD42D8" w:rsidP="00EB1113">
      <w:pPr>
        <w:pStyle w:val="FootnoteText"/>
        <w:spacing w:after="0" w:line="240" w:lineRule="auto"/>
      </w:pPr>
      <w:r w:rsidRPr="00720AFF">
        <w:rPr>
          <w:rStyle w:val="FootnoteReference"/>
        </w:rPr>
        <w:footnoteRef/>
      </w:r>
      <w:r w:rsidRPr="00720AFF">
        <w:t xml:space="preserve"> </w:t>
      </w:r>
      <w:r w:rsidR="00E564F7" w:rsidRPr="00720AFF">
        <w:t xml:space="preserve">NABERS (NABERS (2023), </w:t>
      </w:r>
      <w:hyperlink r:id="rId27" w:history="1">
        <w:r w:rsidR="00E564F7" w:rsidRPr="00720AFF">
          <w:rPr>
            <w:rStyle w:val="Hyperlink"/>
          </w:rPr>
          <w:t>NABERS Annual report 2022-23</w:t>
        </w:r>
      </w:hyperlink>
      <w:r w:rsidR="00E564F7" w:rsidRPr="00720AFF">
        <w:t xml:space="preserve">, NABERS website, accessed </w:t>
      </w:r>
      <w:r w:rsidR="008303D2">
        <w:t>June</w:t>
      </w:r>
      <w:r w:rsidR="00E564F7" w:rsidRPr="00720AFF">
        <w:t xml:space="preserve"> 2025</w:t>
      </w:r>
      <w:r w:rsidR="002361DA" w:rsidRPr="00720AFF">
        <w:t xml:space="preserve"> [Shopping Centre Spotlight]</w:t>
      </w:r>
      <w:r w:rsidR="00E564F7" w:rsidRPr="00720AFF">
        <w:t>.</w:t>
      </w:r>
    </w:p>
  </w:footnote>
  <w:footnote w:id="30">
    <w:p w14:paraId="72085E17" w14:textId="4C7C7A95" w:rsidR="0051180D" w:rsidRPr="00720AFF" w:rsidRDefault="0051180D" w:rsidP="00EB1113">
      <w:pPr>
        <w:pStyle w:val="FootnoteText"/>
        <w:spacing w:after="0" w:line="240" w:lineRule="auto"/>
      </w:pPr>
      <w:r w:rsidRPr="00720AFF">
        <w:rPr>
          <w:rStyle w:val="FootnoteReference"/>
        </w:rPr>
        <w:footnoteRef/>
      </w:r>
      <w:r w:rsidRPr="00720AFF">
        <w:t xml:space="preserve"> </w:t>
      </w:r>
      <w:r w:rsidR="00007262" w:rsidRPr="00B91B11">
        <w:t xml:space="preserve">SPR (Strategy Policy Research) (2024) </w:t>
      </w:r>
      <w:hyperlink r:id="rId28" w:tgtFrame="_blank" w:tooltip="https://www.dcceew.gov.au/energy/publications/commercial-building-baseline-study-2024" w:history="1">
        <w:r w:rsidR="00007262" w:rsidRPr="00B91B11">
          <w:rPr>
            <w:rStyle w:val="Hyperlink"/>
          </w:rPr>
          <w:t>Commercial Building Baseline Study – 2024 Update</w:t>
        </w:r>
      </w:hyperlink>
      <w:r w:rsidR="00007262" w:rsidRPr="00B91B11">
        <w:t>, DCCEEW website, accessed June 2025</w:t>
      </w:r>
      <w:r w:rsidR="00B018E9" w:rsidRPr="00720AFF">
        <w:t>.</w:t>
      </w:r>
      <w:r w:rsidR="00F04162" w:rsidRPr="00720AFF">
        <w:t xml:space="preserve"> </w:t>
      </w:r>
      <w:r w:rsidR="00C10AF2" w:rsidRPr="00720AFF">
        <w:t xml:space="preserve">Note this statistic includes </w:t>
      </w:r>
      <w:r w:rsidR="008B5A6A" w:rsidRPr="00720AFF">
        <w:rPr>
          <w:i/>
          <w:iCs/>
        </w:rPr>
        <w:t>Retail and wholesale trade buildings</w:t>
      </w:r>
      <w:r w:rsidR="008B5A6A" w:rsidRPr="00720AFF">
        <w:t xml:space="preserve"> </w:t>
      </w:r>
      <w:r w:rsidR="00F048EA" w:rsidRPr="00720AFF">
        <w:t>which are buildings the primarily sell good</w:t>
      </w:r>
      <w:r w:rsidR="00F04162" w:rsidRPr="00720AFF">
        <w:t>s</w:t>
      </w:r>
      <w:r w:rsidR="00F048EA" w:rsidRPr="00720AFF">
        <w:t xml:space="preserve"> and services to the public. The NABERS </w:t>
      </w:r>
      <w:r w:rsidR="00D66426" w:rsidRPr="00720AFF">
        <w:t>energy</w:t>
      </w:r>
      <w:r w:rsidR="00F048EA" w:rsidRPr="00720AFF">
        <w:t xml:space="preserve"> retail tool covers a subset of </w:t>
      </w:r>
      <w:r w:rsidR="00D66426" w:rsidRPr="00720AFF">
        <w:t>this wider class.</w:t>
      </w:r>
    </w:p>
  </w:footnote>
  <w:footnote w:id="31">
    <w:p w14:paraId="5728DEBA" w14:textId="02A3DD07" w:rsidR="0032196C" w:rsidRPr="00720AFF" w:rsidRDefault="0032196C">
      <w:pPr>
        <w:pStyle w:val="FootnoteText"/>
      </w:pPr>
      <w:r w:rsidRPr="00720AFF">
        <w:rPr>
          <w:rStyle w:val="FootnoteReference"/>
        </w:rPr>
        <w:footnoteRef/>
      </w:r>
      <w:r w:rsidRPr="00720AFF">
        <w:t xml:space="preserve"> </w:t>
      </w:r>
      <w:r w:rsidR="00B142FB" w:rsidRPr="00720AFF">
        <w:t xml:space="preserve">See for example </w:t>
      </w:r>
      <w:r w:rsidR="003C6961" w:rsidRPr="00720AFF">
        <w:t xml:space="preserve">estimates from </w:t>
      </w:r>
      <w:hyperlink r:id="rId29" w:history="1">
        <w:proofErr w:type="spellStart"/>
        <w:r w:rsidR="003C6961" w:rsidRPr="00720AFF">
          <w:rPr>
            <w:rStyle w:val="Hyperlink"/>
          </w:rPr>
          <w:t>Cloudscene</w:t>
        </w:r>
        <w:proofErr w:type="spellEnd"/>
      </w:hyperlink>
      <w:r w:rsidR="009D48A2" w:rsidRPr="00720AFF">
        <w:t xml:space="preserve">, accessed June 2025 and </w:t>
      </w:r>
      <w:r w:rsidR="00581883" w:rsidRPr="00720AFF">
        <w:t xml:space="preserve">the </w:t>
      </w:r>
      <w:hyperlink r:id="rId30" w:history="1">
        <w:r w:rsidR="00581883" w:rsidRPr="00720AFF">
          <w:rPr>
            <w:rStyle w:val="Hyperlink"/>
          </w:rPr>
          <w:t>Data Centre Map</w:t>
        </w:r>
      </w:hyperlink>
      <w:r w:rsidR="00581883" w:rsidRPr="00720AFF">
        <w:t>, accessed June 2025</w:t>
      </w:r>
      <w:r w:rsidR="00821B93" w:rsidRPr="00720AFF">
        <w:t>.</w:t>
      </w:r>
    </w:p>
  </w:footnote>
  <w:footnote w:id="32">
    <w:p w14:paraId="7B3F55BC" w14:textId="01527847" w:rsidR="00DA5E87" w:rsidRPr="00720AFF" w:rsidRDefault="00DA5E87">
      <w:pPr>
        <w:pStyle w:val="FootnoteText"/>
      </w:pPr>
      <w:r w:rsidRPr="00720AFF">
        <w:rPr>
          <w:rStyle w:val="FootnoteReference"/>
        </w:rPr>
        <w:footnoteRef/>
      </w:r>
      <w:r w:rsidRPr="00720AFF">
        <w:t xml:space="preserve"> </w:t>
      </w:r>
      <w:r w:rsidR="00E20EAB" w:rsidRPr="00720AFF">
        <w:t>AEMO (202</w:t>
      </w:r>
      <w:r w:rsidR="004C5CC4">
        <w:t>5</w:t>
      </w:r>
      <w:r w:rsidR="00E20EAB" w:rsidRPr="00720AFF">
        <w:t xml:space="preserve">), </w:t>
      </w:r>
      <w:hyperlink r:id="rId31" w:history="1">
        <w:r w:rsidR="00E20EAB" w:rsidRPr="00720AFF">
          <w:rPr>
            <w:rStyle w:val="Hyperlink"/>
          </w:rPr>
          <w:t>202</w:t>
        </w:r>
        <w:r w:rsidR="004C5CC4">
          <w:rPr>
            <w:rStyle w:val="Hyperlink"/>
          </w:rPr>
          <w:t>5</w:t>
        </w:r>
        <w:r w:rsidR="00E20EAB" w:rsidRPr="00720AFF">
          <w:rPr>
            <w:rStyle w:val="Hyperlink"/>
          </w:rPr>
          <w:t xml:space="preserve"> Electricity Statement of Opportunities</w:t>
        </w:r>
      </w:hyperlink>
      <w:r w:rsidR="000F0CA6" w:rsidRPr="00720AFF">
        <w:t xml:space="preserve">, AEMO website, accessed </w:t>
      </w:r>
      <w:r w:rsidR="004C5CC4">
        <w:t>August</w:t>
      </w:r>
      <w:r w:rsidR="004C5CC4" w:rsidRPr="00720AFF">
        <w:t xml:space="preserve"> </w:t>
      </w:r>
      <w:r w:rsidR="000F0CA6" w:rsidRPr="00720AFF">
        <w:t>2025.</w:t>
      </w:r>
    </w:p>
  </w:footnote>
  <w:footnote w:id="33">
    <w:p w14:paraId="62849378" w14:textId="70356FAD" w:rsidR="00A91E60" w:rsidRPr="00720AFF" w:rsidRDefault="00A91E60" w:rsidP="00EB1113">
      <w:pPr>
        <w:pStyle w:val="FootnoteText"/>
        <w:spacing w:after="0" w:line="240" w:lineRule="auto"/>
      </w:pPr>
      <w:r w:rsidRPr="00720AFF">
        <w:rPr>
          <w:rStyle w:val="FootnoteReference"/>
        </w:rPr>
        <w:footnoteRef/>
      </w:r>
      <w:r w:rsidRPr="00720AFF">
        <w:t xml:space="preserve"> </w:t>
      </w:r>
      <w:r w:rsidR="00E26734" w:rsidRPr="00720AFF">
        <w:t>NABERS</w:t>
      </w:r>
      <w:r w:rsidR="009A773C" w:rsidRPr="00720AFF">
        <w:t xml:space="preserve"> (2024), </w:t>
      </w:r>
      <w:hyperlink r:id="rId32" w:history="1">
        <w:r w:rsidR="009A773C" w:rsidRPr="00720AFF">
          <w:rPr>
            <w:rStyle w:val="Hyperlink"/>
          </w:rPr>
          <w:t>NABERS Data Centre Fact Sheet</w:t>
        </w:r>
      </w:hyperlink>
      <w:r w:rsidR="009A773C" w:rsidRPr="00720AFF">
        <w:t xml:space="preserve">, NABERS website, accessed </w:t>
      </w:r>
      <w:r w:rsidR="00821B93" w:rsidRPr="00720AFF">
        <w:t>June</w:t>
      </w:r>
      <w:r w:rsidR="009A773C" w:rsidRPr="00720AFF">
        <w:t xml:space="preserve"> 2025. </w:t>
      </w:r>
    </w:p>
  </w:footnote>
  <w:footnote w:id="34">
    <w:p w14:paraId="2C738167" w14:textId="25561404" w:rsidR="00D417C0" w:rsidRPr="00720AFF" w:rsidRDefault="00D417C0" w:rsidP="00EB1113">
      <w:pPr>
        <w:pStyle w:val="FootnoteText"/>
        <w:spacing w:after="0" w:line="240" w:lineRule="auto"/>
      </w:pPr>
      <w:r w:rsidRPr="00720AFF">
        <w:rPr>
          <w:rStyle w:val="FootnoteReference"/>
        </w:rPr>
        <w:footnoteRef/>
      </w:r>
      <w:r w:rsidRPr="00720AFF">
        <w:t xml:space="preserve"> </w:t>
      </w:r>
      <w:r w:rsidR="002D373C" w:rsidRPr="00B91B11">
        <w:t xml:space="preserve">SPR (Strategy Policy Research) (2024) </w:t>
      </w:r>
      <w:hyperlink r:id="rId33" w:tgtFrame="_blank" w:tooltip="https://www.dcceew.gov.au/energy/publications/commercial-building-baseline-study-2024" w:history="1">
        <w:r w:rsidR="002D373C" w:rsidRPr="00B91B11">
          <w:rPr>
            <w:rStyle w:val="Hyperlink"/>
          </w:rPr>
          <w:t>Commercial Building Baseline Study – 2024 Update</w:t>
        </w:r>
      </w:hyperlink>
      <w:r w:rsidR="002D373C" w:rsidRPr="00B91B11">
        <w:t xml:space="preserve">, DCCEEW website, accessed </w:t>
      </w:r>
      <w:r w:rsidR="002D373C">
        <w:t>September</w:t>
      </w:r>
      <w:r w:rsidR="002D373C" w:rsidRPr="00B91B11">
        <w:t xml:space="preserve"> 2025</w:t>
      </w:r>
      <w:r w:rsidR="0026151A" w:rsidRPr="00720AFF">
        <w:t xml:space="preserve">. </w:t>
      </w:r>
    </w:p>
  </w:footnote>
  <w:footnote w:id="35">
    <w:p w14:paraId="208B347E" w14:textId="08ECBF47" w:rsidR="00B2083D" w:rsidRPr="00720AFF" w:rsidRDefault="00B2083D" w:rsidP="00EB1113">
      <w:pPr>
        <w:pStyle w:val="FootnoteText"/>
        <w:spacing w:after="0" w:line="240" w:lineRule="auto"/>
      </w:pPr>
      <w:r w:rsidRPr="00720AFF">
        <w:rPr>
          <w:rStyle w:val="FootnoteReference"/>
        </w:rPr>
        <w:footnoteRef/>
      </w:r>
      <w:r w:rsidRPr="00720AFF">
        <w:t xml:space="preserve"> </w:t>
      </w:r>
      <w:r w:rsidR="00BE775B" w:rsidRPr="00720AFF">
        <w:t xml:space="preserve">Desmond Sharon, Smith Jenny, Hogg Jessica, Walton-Hespe Jo, Gardner-Marlin Jo (2023) </w:t>
      </w:r>
      <w:hyperlink r:id="rId34" w:anchor="R3" w:history="1">
        <w:r w:rsidR="00BE775B" w:rsidRPr="00720AFF">
          <w:rPr>
            <w:rStyle w:val="Hyperlink"/>
          </w:rPr>
          <w:t>Gathering the evidence: health and aged care carbon inventory study</w:t>
        </w:r>
      </w:hyperlink>
      <w:r w:rsidR="00BE775B" w:rsidRPr="00720AFF">
        <w:t>. </w:t>
      </w:r>
      <w:r w:rsidR="00BE775B" w:rsidRPr="00720AFF">
        <w:rPr>
          <w:i/>
          <w:iCs/>
        </w:rPr>
        <w:t>Australian Health Review</w:t>
      </w:r>
      <w:r w:rsidR="00BE775B" w:rsidRPr="00720AFF">
        <w:t> </w:t>
      </w:r>
      <w:r w:rsidR="00BE775B" w:rsidRPr="00720AFF">
        <w:rPr>
          <w:b/>
          <w:bCs/>
        </w:rPr>
        <w:t>47</w:t>
      </w:r>
      <w:r w:rsidR="00BE775B" w:rsidRPr="00720AFF">
        <w:t>, 634-640</w:t>
      </w:r>
      <w:r w:rsidR="00422714">
        <w:t>, accessed June 2025.</w:t>
      </w:r>
      <w:r w:rsidR="009E263E" w:rsidRPr="00720AFF">
        <w:t xml:space="preserve"> </w:t>
      </w:r>
    </w:p>
  </w:footnote>
  <w:footnote w:id="36">
    <w:p w14:paraId="2FF0ECE8" w14:textId="59E8A55A" w:rsidR="00DB2D23" w:rsidRPr="00720AFF" w:rsidRDefault="00DB2D23" w:rsidP="00EB1113">
      <w:pPr>
        <w:pStyle w:val="FootnoteText"/>
        <w:spacing w:after="0" w:line="240" w:lineRule="auto"/>
      </w:pPr>
      <w:r w:rsidRPr="00720AFF">
        <w:rPr>
          <w:rStyle w:val="FootnoteReference"/>
        </w:rPr>
        <w:footnoteRef/>
      </w:r>
      <w:r w:rsidRPr="00720AFF">
        <w:t xml:space="preserve"> </w:t>
      </w:r>
      <w:r w:rsidR="000356F8" w:rsidRPr="00B91B11">
        <w:t xml:space="preserve">SPR (Strategy Policy Research) (2024) </w:t>
      </w:r>
      <w:hyperlink r:id="rId35" w:tgtFrame="_blank" w:tooltip="https://www.dcceew.gov.au/energy/publications/commercial-building-baseline-study-2024" w:history="1">
        <w:r w:rsidR="000356F8" w:rsidRPr="00B91B11">
          <w:rPr>
            <w:rStyle w:val="Hyperlink"/>
          </w:rPr>
          <w:t>Commercial Building Baseline Study – 2024 Update</w:t>
        </w:r>
      </w:hyperlink>
      <w:r w:rsidR="000356F8" w:rsidRPr="00B91B11">
        <w:t>, DCCEEW website, accessed June 2025</w:t>
      </w:r>
    </w:p>
  </w:footnote>
  <w:footnote w:id="37">
    <w:p w14:paraId="6999740A" w14:textId="15ABFFB7" w:rsidR="002A6B5F" w:rsidRPr="00720AFF" w:rsidRDefault="002A6B5F" w:rsidP="006D59C3">
      <w:pPr>
        <w:pStyle w:val="FootnoteText"/>
        <w:spacing w:after="0" w:line="240" w:lineRule="auto"/>
      </w:pPr>
      <w:r w:rsidRPr="00720AFF">
        <w:rPr>
          <w:rStyle w:val="FootnoteReference"/>
        </w:rPr>
        <w:footnoteRef/>
      </w:r>
      <w:r w:rsidRPr="00720AFF">
        <w:t xml:space="preserve"> Department of Finance (</w:t>
      </w:r>
      <w:r w:rsidR="009B6550" w:rsidRPr="00720AFF">
        <w:t>202</w:t>
      </w:r>
      <w:r w:rsidR="000904ED">
        <w:t>4</w:t>
      </w:r>
      <w:r w:rsidR="009B6550" w:rsidRPr="00720AFF">
        <w:t xml:space="preserve">), </w:t>
      </w:r>
      <w:hyperlink r:id="rId36" w:history="1">
        <w:r w:rsidR="009B6550" w:rsidRPr="00603CAF">
          <w:rPr>
            <w:rStyle w:val="Hyperlink"/>
          </w:rPr>
          <w:t xml:space="preserve">Net Zero in Government Operations Strategy </w:t>
        </w:r>
        <w:r w:rsidR="005852C6" w:rsidRPr="00603CAF">
          <w:rPr>
            <w:rStyle w:val="Hyperlink"/>
          </w:rPr>
          <w:t>–</w:t>
        </w:r>
        <w:r w:rsidR="009B6550" w:rsidRPr="00603CAF">
          <w:rPr>
            <w:rStyle w:val="Hyperlink"/>
          </w:rPr>
          <w:t xml:space="preserve"> Roadmap</w:t>
        </w:r>
      </w:hyperlink>
      <w:r w:rsidR="005852C6" w:rsidRPr="00720AFF">
        <w:t xml:space="preserve">, Department of Finance website, accessed </w:t>
      </w:r>
      <w:r w:rsidR="00712818">
        <w:t>June</w:t>
      </w:r>
      <w:r w:rsidR="005852C6" w:rsidRPr="00720AFF">
        <w:t xml:space="preserve"> 2025.</w:t>
      </w:r>
    </w:p>
  </w:footnote>
  <w:footnote w:id="38">
    <w:p w14:paraId="3AA718DB" w14:textId="3E7854AC" w:rsidR="004C044A" w:rsidRDefault="004C044A" w:rsidP="005852C6">
      <w:pPr>
        <w:pStyle w:val="FootnoteText"/>
        <w:spacing w:after="0" w:line="240" w:lineRule="auto"/>
      </w:pPr>
      <w:r w:rsidRPr="00720AFF">
        <w:rPr>
          <w:rStyle w:val="FootnoteReference"/>
        </w:rPr>
        <w:footnoteRef/>
      </w:r>
      <w:r w:rsidRPr="00720AFF">
        <w:t xml:space="preserve"> </w:t>
      </w:r>
      <w:r w:rsidR="00270839" w:rsidRPr="00720AFF">
        <w:t xml:space="preserve">Paper Giant and ARUP (2024), </w:t>
      </w:r>
      <w:hyperlink r:id="rId37" w:history="1">
        <w:r w:rsidR="00270839" w:rsidRPr="00720AFF">
          <w:rPr>
            <w:rStyle w:val="Hyperlink"/>
          </w:rPr>
          <w:t>Barriers to Building Energy Performance</w:t>
        </w:r>
      </w:hyperlink>
      <w:r w:rsidR="00270839" w:rsidRPr="00720AFF">
        <w:t xml:space="preserve">, DCCEEW website, accessed </w:t>
      </w:r>
      <w:r w:rsidR="008D2088">
        <w:t>June</w:t>
      </w:r>
      <w:r w:rsidR="00270839" w:rsidRPr="00720AFF">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5177" w14:textId="41E5E401" w:rsidR="002E75FB" w:rsidRPr="00720AFF" w:rsidRDefault="005511B7">
    <w:pPr>
      <w:pStyle w:val="Header"/>
    </w:pPr>
    <w:r>
      <w:rPr>
        <w:noProof/>
      </w:rPr>
      <mc:AlternateContent>
        <mc:Choice Requires="wps">
          <w:drawing>
            <wp:anchor distT="0" distB="0" distL="0" distR="0" simplePos="0" relativeHeight="251658241" behindDoc="0" locked="0" layoutInCell="1" allowOverlap="1" wp14:anchorId="2B68C272" wp14:editId="450C8565">
              <wp:simplePos x="635" y="635"/>
              <wp:positionH relativeFrom="page">
                <wp:align>center</wp:align>
              </wp:positionH>
              <wp:positionV relativeFrom="page">
                <wp:align>top</wp:align>
              </wp:positionV>
              <wp:extent cx="551815" cy="376555"/>
              <wp:effectExtent l="0" t="0" r="635" b="4445"/>
              <wp:wrapNone/>
              <wp:docPr id="1748998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69859E" w14:textId="5E37C08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8C272" id="_x0000_t202" coordsize="21600,21600" o:spt="202" path="m,l,21600r21600,l21600,xe">
              <v:stroke joinstyle="miter"/>
              <v:path gradientshapeok="t" o:connecttype="rect"/>
            </v:shapetype>
            <v:shape id="Text Box 2" o:spid="_x0000_s1030"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69859E" w14:textId="5E37C08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679D" w14:textId="4B2692AC" w:rsidR="00B861B4" w:rsidRPr="00720AFF" w:rsidRDefault="005511B7">
    <w:pPr>
      <w:pStyle w:val="Header"/>
    </w:pPr>
    <w:r>
      <w:rPr>
        <w:noProof/>
      </w:rPr>
      <mc:AlternateContent>
        <mc:Choice Requires="wps">
          <w:drawing>
            <wp:anchor distT="0" distB="0" distL="0" distR="0" simplePos="0" relativeHeight="251658242" behindDoc="0" locked="0" layoutInCell="1" allowOverlap="1" wp14:anchorId="21D5BC3C" wp14:editId="1598ACD4">
              <wp:simplePos x="635" y="635"/>
              <wp:positionH relativeFrom="page">
                <wp:align>center</wp:align>
              </wp:positionH>
              <wp:positionV relativeFrom="page">
                <wp:align>top</wp:align>
              </wp:positionV>
              <wp:extent cx="551815" cy="376555"/>
              <wp:effectExtent l="0" t="0" r="635" b="4445"/>
              <wp:wrapNone/>
              <wp:docPr id="14135665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006AE9" w14:textId="471247A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5BC3C" id="_x0000_t202" coordsize="21600,21600" o:spt="202" path="m,l,21600r21600,l21600,xe">
              <v:stroke joinstyle="miter"/>
              <v:path gradientshapeok="t" o:connecttype="rect"/>
            </v:shapetype>
            <v:shape id="Text Box 3" o:spid="_x0000_s1031"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C006AE9" w14:textId="471247AF"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r w:rsidR="003858B1" w:rsidRPr="00720AFF">
      <w:t>Commercial Building Disclosure Program – Policy Roadmap</w:t>
    </w:r>
  </w:p>
  <w:p w14:paraId="50C5A709" w14:textId="75BF95CB" w:rsidR="00844BC9" w:rsidRPr="00720AFF" w:rsidRDefault="00844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AABD" w14:textId="551EEB59" w:rsidR="00B861B4" w:rsidRPr="00720AFF" w:rsidRDefault="005511B7">
    <w:pPr>
      <w:pStyle w:val="Header"/>
      <w:jc w:val="left"/>
    </w:pPr>
    <w:r>
      <w:rPr>
        <w:noProof/>
      </w:rPr>
      <mc:AlternateContent>
        <mc:Choice Requires="wps">
          <w:drawing>
            <wp:anchor distT="0" distB="0" distL="0" distR="0" simplePos="0" relativeHeight="251658240" behindDoc="0" locked="0" layoutInCell="1" allowOverlap="1" wp14:anchorId="1E37A68D" wp14:editId="7AA768DB">
              <wp:simplePos x="635" y="635"/>
              <wp:positionH relativeFrom="page">
                <wp:align>center</wp:align>
              </wp:positionH>
              <wp:positionV relativeFrom="page">
                <wp:align>top</wp:align>
              </wp:positionV>
              <wp:extent cx="551815" cy="376555"/>
              <wp:effectExtent l="0" t="0" r="635" b="4445"/>
              <wp:wrapNone/>
              <wp:docPr id="372543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CC804F" w14:textId="6B6326B8"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7A68D" id="_x0000_t202" coordsize="21600,21600" o:spt="202" path="m,l,21600r21600,l21600,xe">
              <v:stroke joinstyle="miter"/>
              <v:path gradientshapeok="t" o:connecttype="rect"/>
            </v:shapetype>
            <v:shape id="_x0000_s1034"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7CC804F" w14:textId="6B6326B8" w:rsidR="005511B7" w:rsidRPr="005511B7" w:rsidRDefault="005511B7" w:rsidP="005511B7">
                    <w:pPr>
                      <w:rPr>
                        <w:rFonts w:ascii="Calibri" w:eastAsia="Calibri" w:hAnsi="Calibri" w:cs="Calibri"/>
                        <w:noProof/>
                        <w:color w:val="FF0000"/>
                        <w:sz w:val="24"/>
                        <w:szCs w:val="24"/>
                      </w:rPr>
                    </w:pPr>
                    <w:r w:rsidRPr="005511B7">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B1B"/>
    <w:multiLevelType w:val="hybridMultilevel"/>
    <w:tmpl w:val="BD74B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90D13"/>
    <w:multiLevelType w:val="multilevel"/>
    <w:tmpl w:val="902E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36D3"/>
    <w:multiLevelType w:val="multilevel"/>
    <w:tmpl w:val="EEDCF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5004766"/>
    <w:multiLevelType w:val="hybridMultilevel"/>
    <w:tmpl w:val="9B2A2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632ABA"/>
    <w:multiLevelType w:val="hybridMultilevel"/>
    <w:tmpl w:val="DEF02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C64F9"/>
    <w:multiLevelType w:val="multilevel"/>
    <w:tmpl w:val="E20803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1BC930E7"/>
    <w:multiLevelType w:val="hybridMultilevel"/>
    <w:tmpl w:val="8D3CD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B41E89"/>
    <w:multiLevelType w:val="multilevel"/>
    <w:tmpl w:val="4C8C20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00D5A8B"/>
    <w:multiLevelType w:val="multilevel"/>
    <w:tmpl w:val="B05C64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0841D25"/>
    <w:multiLevelType w:val="multilevel"/>
    <w:tmpl w:val="AD5417E8"/>
    <w:lvl w:ilvl="0">
      <w:start w:val="4"/>
      <w:numFmt w:val="decimal"/>
      <w:lvlText w:val="%1"/>
      <w:lvlJc w:val="left"/>
      <w:pPr>
        <w:ind w:left="450" w:hanging="450"/>
      </w:pPr>
      <w:rPr>
        <w:rFonts w:hint="default"/>
      </w:rPr>
    </w:lvl>
    <w:lvl w:ilvl="1">
      <w:start w:val="1"/>
      <w:numFmt w:val="decimal"/>
      <w:lvlText w:val="%1.%2"/>
      <w:lvlJc w:val="left"/>
      <w:pPr>
        <w:ind w:left="5114" w:hanging="720"/>
      </w:pPr>
      <w:rPr>
        <w:rFonts w:hint="default"/>
      </w:rPr>
    </w:lvl>
    <w:lvl w:ilvl="2">
      <w:start w:val="1"/>
      <w:numFmt w:val="decimal"/>
      <w:lvlText w:val="%1.%2.%3"/>
      <w:lvlJc w:val="left"/>
      <w:pPr>
        <w:ind w:left="9868" w:hanging="1080"/>
      </w:pPr>
      <w:rPr>
        <w:rFonts w:hint="default"/>
      </w:rPr>
    </w:lvl>
    <w:lvl w:ilvl="3">
      <w:start w:val="1"/>
      <w:numFmt w:val="decimal"/>
      <w:lvlText w:val="%1.%2.%3.%4"/>
      <w:lvlJc w:val="left"/>
      <w:pPr>
        <w:ind w:left="14262" w:hanging="1080"/>
      </w:pPr>
      <w:rPr>
        <w:rFonts w:hint="default"/>
      </w:rPr>
    </w:lvl>
    <w:lvl w:ilvl="4">
      <w:start w:val="1"/>
      <w:numFmt w:val="decimal"/>
      <w:lvlText w:val="%1.%2.%3.%4.%5"/>
      <w:lvlJc w:val="left"/>
      <w:pPr>
        <w:ind w:left="19016" w:hanging="1440"/>
      </w:pPr>
      <w:rPr>
        <w:rFonts w:hint="default"/>
      </w:rPr>
    </w:lvl>
    <w:lvl w:ilvl="5">
      <w:start w:val="1"/>
      <w:numFmt w:val="decimal"/>
      <w:lvlText w:val="%1.%2.%3.%4.%5.%6"/>
      <w:lvlJc w:val="left"/>
      <w:pPr>
        <w:ind w:left="23770" w:hanging="1800"/>
      </w:pPr>
      <w:rPr>
        <w:rFonts w:hint="default"/>
      </w:rPr>
    </w:lvl>
    <w:lvl w:ilvl="6">
      <w:start w:val="1"/>
      <w:numFmt w:val="decimal"/>
      <w:lvlText w:val="%1.%2.%3.%4.%5.%6.%7"/>
      <w:lvlJc w:val="left"/>
      <w:pPr>
        <w:ind w:left="28524" w:hanging="2160"/>
      </w:pPr>
      <w:rPr>
        <w:rFonts w:hint="default"/>
      </w:rPr>
    </w:lvl>
    <w:lvl w:ilvl="7">
      <w:start w:val="1"/>
      <w:numFmt w:val="decimal"/>
      <w:lvlText w:val="%1.%2.%3.%4.%5.%6.%7.%8"/>
      <w:lvlJc w:val="left"/>
      <w:pPr>
        <w:ind w:left="-32618" w:hanging="2160"/>
      </w:pPr>
      <w:rPr>
        <w:rFonts w:hint="default"/>
      </w:rPr>
    </w:lvl>
    <w:lvl w:ilvl="8">
      <w:start w:val="1"/>
      <w:numFmt w:val="decimal"/>
      <w:lvlText w:val="%1.%2.%3.%4.%5.%6.%7.%8.%9"/>
      <w:lvlJc w:val="left"/>
      <w:pPr>
        <w:ind w:left="-27864" w:hanging="2520"/>
      </w:pPr>
      <w:rPr>
        <w:rFonts w:hint="default"/>
      </w:rPr>
    </w:lvl>
  </w:abstractNum>
  <w:abstractNum w:abstractNumId="12" w15:restartNumberingAfterBreak="0">
    <w:nsid w:val="21E20078"/>
    <w:multiLevelType w:val="multilevel"/>
    <w:tmpl w:val="F36C17E8"/>
    <w:styleLink w:val="Headinglist"/>
    <w:lvl w:ilvl="0">
      <w:start w:val="2"/>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358"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D375F3"/>
    <w:multiLevelType w:val="multilevel"/>
    <w:tmpl w:val="5FC47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475E0"/>
    <w:multiLevelType w:val="multilevel"/>
    <w:tmpl w:val="D458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732C91"/>
    <w:multiLevelType w:val="hybridMultilevel"/>
    <w:tmpl w:val="FFFFFFFF"/>
    <w:lvl w:ilvl="0" w:tplc="718445A2">
      <w:start w:val="1"/>
      <w:numFmt w:val="bullet"/>
      <w:lvlText w:val=""/>
      <w:lvlJc w:val="left"/>
      <w:pPr>
        <w:ind w:left="720" w:hanging="360"/>
      </w:pPr>
      <w:rPr>
        <w:rFonts w:ascii="Symbol" w:hAnsi="Symbol" w:hint="default"/>
      </w:rPr>
    </w:lvl>
    <w:lvl w:ilvl="1" w:tplc="DE98F2C8">
      <w:start w:val="1"/>
      <w:numFmt w:val="bullet"/>
      <w:lvlText w:val="o"/>
      <w:lvlJc w:val="left"/>
      <w:pPr>
        <w:ind w:left="1440" w:hanging="360"/>
      </w:pPr>
      <w:rPr>
        <w:rFonts w:ascii="Courier New" w:hAnsi="Courier New" w:hint="default"/>
      </w:rPr>
    </w:lvl>
    <w:lvl w:ilvl="2" w:tplc="8A08FB82">
      <w:start w:val="1"/>
      <w:numFmt w:val="bullet"/>
      <w:lvlText w:val=""/>
      <w:lvlJc w:val="left"/>
      <w:pPr>
        <w:ind w:left="2160" w:hanging="360"/>
      </w:pPr>
      <w:rPr>
        <w:rFonts w:ascii="Wingdings" w:hAnsi="Wingdings" w:hint="default"/>
      </w:rPr>
    </w:lvl>
    <w:lvl w:ilvl="3" w:tplc="70444068">
      <w:start w:val="1"/>
      <w:numFmt w:val="bullet"/>
      <w:lvlText w:val=""/>
      <w:lvlJc w:val="left"/>
      <w:pPr>
        <w:ind w:left="2880" w:hanging="360"/>
      </w:pPr>
      <w:rPr>
        <w:rFonts w:ascii="Symbol" w:hAnsi="Symbol" w:hint="default"/>
      </w:rPr>
    </w:lvl>
    <w:lvl w:ilvl="4" w:tplc="5D92215C">
      <w:start w:val="1"/>
      <w:numFmt w:val="bullet"/>
      <w:lvlText w:val="o"/>
      <w:lvlJc w:val="left"/>
      <w:pPr>
        <w:ind w:left="3600" w:hanging="360"/>
      </w:pPr>
      <w:rPr>
        <w:rFonts w:ascii="Courier New" w:hAnsi="Courier New" w:hint="default"/>
      </w:rPr>
    </w:lvl>
    <w:lvl w:ilvl="5" w:tplc="371C84B8">
      <w:start w:val="1"/>
      <w:numFmt w:val="bullet"/>
      <w:lvlText w:val=""/>
      <w:lvlJc w:val="left"/>
      <w:pPr>
        <w:ind w:left="4320" w:hanging="360"/>
      </w:pPr>
      <w:rPr>
        <w:rFonts w:ascii="Wingdings" w:hAnsi="Wingdings" w:hint="default"/>
      </w:rPr>
    </w:lvl>
    <w:lvl w:ilvl="6" w:tplc="0966E360">
      <w:start w:val="1"/>
      <w:numFmt w:val="bullet"/>
      <w:lvlText w:val=""/>
      <w:lvlJc w:val="left"/>
      <w:pPr>
        <w:ind w:left="5040" w:hanging="360"/>
      </w:pPr>
      <w:rPr>
        <w:rFonts w:ascii="Symbol" w:hAnsi="Symbol" w:hint="default"/>
      </w:rPr>
    </w:lvl>
    <w:lvl w:ilvl="7" w:tplc="7EDA0A5C">
      <w:start w:val="1"/>
      <w:numFmt w:val="bullet"/>
      <w:lvlText w:val="o"/>
      <w:lvlJc w:val="left"/>
      <w:pPr>
        <w:ind w:left="5760" w:hanging="360"/>
      </w:pPr>
      <w:rPr>
        <w:rFonts w:ascii="Courier New" w:hAnsi="Courier New" w:hint="default"/>
      </w:rPr>
    </w:lvl>
    <w:lvl w:ilvl="8" w:tplc="E928438E">
      <w:start w:val="1"/>
      <w:numFmt w:val="bullet"/>
      <w:lvlText w:val=""/>
      <w:lvlJc w:val="left"/>
      <w:pPr>
        <w:ind w:left="6480" w:hanging="360"/>
      </w:pPr>
      <w:rPr>
        <w:rFonts w:ascii="Wingdings" w:hAnsi="Wingdings" w:hint="default"/>
      </w:rPr>
    </w:lvl>
  </w:abstractNum>
  <w:abstractNum w:abstractNumId="16" w15:restartNumberingAfterBreak="0">
    <w:nsid w:val="278D0705"/>
    <w:multiLevelType w:val="hybridMultilevel"/>
    <w:tmpl w:val="87C2C350"/>
    <w:lvl w:ilvl="0" w:tplc="6C846EF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16748"/>
    <w:multiLevelType w:val="hybridMultilevel"/>
    <w:tmpl w:val="ACB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32E5F"/>
    <w:multiLevelType w:val="multilevel"/>
    <w:tmpl w:val="74A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B0BD6"/>
    <w:multiLevelType w:val="hybridMultilevel"/>
    <w:tmpl w:val="FB441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6247B0"/>
    <w:multiLevelType w:val="hybridMultilevel"/>
    <w:tmpl w:val="DEF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2" w15:restartNumberingAfterBreak="0">
    <w:nsid w:val="4AFC7A8F"/>
    <w:multiLevelType w:val="multilevel"/>
    <w:tmpl w:val="4304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E41F9"/>
    <w:multiLevelType w:val="multilevel"/>
    <w:tmpl w:val="5A6C5C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4CE53EF3"/>
    <w:multiLevelType w:val="hybridMultilevel"/>
    <w:tmpl w:val="4E6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E0527F"/>
    <w:multiLevelType w:val="hybridMultilevel"/>
    <w:tmpl w:val="3F1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7" w15:restartNumberingAfterBreak="0">
    <w:nsid w:val="5A8B541B"/>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0" w15:restartNumberingAfterBreak="0">
    <w:nsid w:val="66BC07AC"/>
    <w:multiLevelType w:val="multilevel"/>
    <w:tmpl w:val="F854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46F90"/>
    <w:multiLevelType w:val="multilevel"/>
    <w:tmpl w:val="F36C17E8"/>
    <w:numStyleLink w:val="Headinglist"/>
  </w:abstractNum>
  <w:abstractNum w:abstractNumId="32" w15:restartNumberingAfterBreak="0">
    <w:nsid w:val="766A01F5"/>
    <w:multiLevelType w:val="multilevel"/>
    <w:tmpl w:val="7382CC8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8B05B86"/>
    <w:multiLevelType w:val="hybridMultilevel"/>
    <w:tmpl w:val="C5A6F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2432A1"/>
    <w:multiLevelType w:val="multilevel"/>
    <w:tmpl w:val="FE3C0D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7DAE55DE"/>
    <w:multiLevelType w:val="multilevel"/>
    <w:tmpl w:val="F914320C"/>
    <w:lvl w:ilvl="0">
      <w:start w:val="5"/>
      <w:numFmt w:val="decimal"/>
      <w:lvlText w:val="%1"/>
      <w:lvlJc w:val="left"/>
      <w:pPr>
        <w:ind w:left="450" w:hanging="450"/>
      </w:pPr>
      <w:rPr>
        <w:rFonts w:hint="default"/>
      </w:rPr>
    </w:lvl>
    <w:lvl w:ilvl="1">
      <w:start w:val="1"/>
      <w:numFmt w:val="decimal"/>
      <w:lvlText w:val="%1.%2"/>
      <w:lvlJc w:val="left"/>
      <w:pPr>
        <w:ind w:left="5114" w:hanging="720"/>
      </w:pPr>
      <w:rPr>
        <w:rFonts w:hint="default"/>
      </w:rPr>
    </w:lvl>
    <w:lvl w:ilvl="2">
      <w:start w:val="1"/>
      <w:numFmt w:val="decimal"/>
      <w:lvlText w:val="%1.%2.%3"/>
      <w:lvlJc w:val="left"/>
      <w:pPr>
        <w:ind w:left="9868" w:hanging="1080"/>
      </w:pPr>
      <w:rPr>
        <w:rFonts w:hint="default"/>
      </w:rPr>
    </w:lvl>
    <w:lvl w:ilvl="3">
      <w:start w:val="1"/>
      <w:numFmt w:val="decimal"/>
      <w:lvlText w:val="%1.%2.%3.%4"/>
      <w:lvlJc w:val="left"/>
      <w:pPr>
        <w:ind w:left="14262" w:hanging="1080"/>
      </w:pPr>
      <w:rPr>
        <w:rFonts w:hint="default"/>
      </w:rPr>
    </w:lvl>
    <w:lvl w:ilvl="4">
      <w:start w:val="1"/>
      <w:numFmt w:val="decimal"/>
      <w:lvlText w:val="%1.%2.%3.%4.%5"/>
      <w:lvlJc w:val="left"/>
      <w:pPr>
        <w:ind w:left="19016" w:hanging="1440"/>
      </w:pPr>
      <w:rPr>
        <w:rFonts w:hint="default"/>
      </w:rPr>
    </w:lvl>
    <w:lvl w:ilvl="5">
      <w:start w:val="1"/>
      <w:numFmt w:val="decimal"/>
      <w:lvlText w:val="%1.%2.%3.%4.%5.%6"/>
      <w:lvlJc w:val="left"/>
      <w:pPr>
        <w:ind w:left="23770" w:hanging="1800"/>
      </w:pPr>
      <w:rPr>
        <w:rFonts w:hint="default"/>
      </w:rPr>
    </w:lvl>
    <w:lvl w:ilvl="6">
      <w:start w:val="1"/>
      <w:numFmt w:val="decimal"/>
      <w:lvlText w:val="%1.%2.%3.%4.%5.%6.%7"/>
      <w:lvlJc w:val="left"/>
      <w:pPr>
        <w:ind w:left="28524" w:hanging="2160"/>
      </w:pPr>
      <w:rPr>
        <w:rFonts w:hint="default"/>
      </w:rPr>
    </w:lvl>
    <w:lvl w:ilvl="7">
      <w:start w:val="1"/>
      <w:numFmt w:val="decimal"/>
      <w:lvlText w:val="%1.%2.%3.%4.%5.%6.%7.%8"/>
      <w:lvlJc w:val="left"/>
      <w:pPr>
        <w:ind w:left="-32618" w:hanging="2160"/>
      </w:pPr>
      <w:rPr>
        <w:rFonts w:hint="default"/>
      </w:rPr>
    </w:lvl>
    <w:lvl w:ilvl="8">
      <w:start w:val="1"/>
      <w:numFmt w:val="decimal"/>
      <w:lvlText w:val="%1.%2.%3.%4.%5.%6.%7.%8.%9"/>
      <w:lvlJc w:val="left"/>
      <w:pPr>
        <w:ind w:left="-27864" w:hanging="2520"/>
      </w:pPr>
      <w:rPr>
        <w:rFonts w:hint="default"/>
      </w:rPr>
    </w:lvl>
  </w:abstractNum>
  <w:abstractNum w:abstractNumId="36" w15:restartNumberingAfterBreak="0">
    <w:nsid w:val="7DEB7A24"/>
    <w:multiLevelType w:val="hybridMultilevel"/>
    <w:tmpl w:val="35B6163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F50563"/>
    <w:multiLevelType w:val="hybridMultilevel"/>
    <w:tmpl w:val="C87CD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5D0FDE"/>
    <w:multiLevelType w:val="multilevel"/>
    <w:tmpl w:val="DB803F3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24618862">
    <w:abstractNumId w:val="15"/>
  </w:num>
  <w:num w:numId="2" w16cid:durableId="1404451164">
    <w:abstractNumId w:val="21"/>
  </w:num>
  <w:num w:numId="3" w16cid:durableId="1666787524">
    <w:abstractNumId w:val="7"/>
  </w:num>
  <w:num w:numId="4" w16cid:durableId="381057155">
    <w:abstractNumId w:val="28"/>
  </w:num>
  <w:num w:numId="5" w16cid:durableId="1639215797">
    <w:abstractNumId w:val="29"/>
  </w:num>
  <w:num w:numId="6" w16cid:durableId="1643265712">
    <w:abstractNumId w:val="12"/>
  </w:num>
  <w:num w:numId="7" w16cid:durableId="1314063411">
    <w:abstractNumId w:val="26"/>
  </w:num>
  <w:num w:numId="8" w16cid:durableId="281765065">
    <w:abstractNumId w:val="27"/>
  </w:num>
  <w:num w:numId="9" w16cid:durableId="866915021">
    <w:abstractNumId w:val="3"/>
  </w:num>
  <w:num w:numId="10" w16cid:durableId="563876411">
    <w:abstractNumId w:val="0"/>
  </w:num>
  <w:num w:numId="11" w16cid:durableId="201020949">
    <w:abstractNumId w:val="36"/>
  </w:num>
  <w:num w:numId="12" w16cid:durableId="896282193">
    <w:abstractNumId w:val="30"/>
  </w:num>
  <w:num w:numId="13" w16cid:durableId="950210993">
    <w:abstractNumId w:val="14"/>
  </w:num>
  <w:num w:numId="14" w16cid:durableId="2125539713">
    <w:abstractNumId w:val="22"/>
  </w:num>
  <w:num w:numId="15" w16cid:durableId="1398161314">
    <w:abstractNumId w:val="18"/>
  </w:num>
  <w:num w:numId="16" w16cid:durableId="734399979">
    <w:abstractNumId w:val="1"/>
  </w:num>
  <w:num w:numId="17" w16cid:durableId="565798998">
    <w:abstractNumId w:val="2"/>
  </w:num>
  <w:num w:numId="18" w16cid:durableId="899442899">
    <w:abstractNumId w:val="13"/>
  </w:num>
  <w:num w:numId="19" w16cid:durableId="251814222">
    <w:abstractNumId w:val="9"/>
  </w:num>
  <w:num w:numId="20" w16cid:durableId="439296381">
    <w:abstractNumId w:val="6"/>
  </w:num>
  <w:num w:numId="21" w16cid:durableId="1175724769">
    <w:abstractNumId w:val="34"/>
  </w:num>
  <w:num w:numId="22" w16cid:durableId="698551746">
    <w:abstractNumId w:val="23"/>
  </w:num>
  <w:num w:numId="23" w16cid:durableId="18900953">
    <w:abstractNumId w:val="24"/>
  </w:num>
  <w:num w:numId="24" w16cid:durableId="320624389">
    <w:abstractNumId w:val="4"/>
  </w:num>
  <w:num w:numId="25" w16cid:durableId="170529581">
    <w:abstractNumId w:val="10"/>
  </w:num>
  <w:num w:numId="26" w16cid:durableId="1128426053">
    <w:abstractNumId w:val="31"/>
    <w:lvlOverride w:ilvl="0">
      <w:startOverride w:val="3"/>
    </w:lvlOverride>
    <w:lvlOverride w:ilvl="1">
      <w:startOverride w:val="1"/>
    </w:lvlOverride>
  </w:num>
  <w:num w:numId="27" w16cid:durableId="1530023315">
    <w:abstractNumId w:val="25"/>
  </w:num>
  <w:num w:numId="28" w16cid:durableId="785347072">
    <w:abstractNumId w:val="32"/>
  </w:num>
  <w:num w:numId="29" w16cid:durableId="964507161">
    <w:abstractNumId w:val="11"/>
  </w:num>
  <w:num w:numId="30" w16cid:durableId="719473755">
    <w:abstractNumId w:val="35"/>
  </w:num>
  <w:num w:numId="31" w16cid:durableId="519122063">
    <w:abstractNumId w:val="5"/>
  </w:num>
  <w:num w:numId="32" w16cid:durableId="1145121923">
    <w:abstractNumId w:val="38"/>
  </w:num>
  <w:num w:numId="33" w16cid:durableId="1517772326">
    <w:abstractNumId w:val="17"/>
  </w:num>
  <w:num w:numId="34" w16cid:durableId="1102335157">
    <w:abstractNumId w:val="33"/>
  </w:num>
  <w:num w:numId="35" w16cid:durableId="888372439">
    <w:abstractNumId w:val="8"/>
  </w:num>
  <w:num w:numId="36" w16cid:durableId="973868197">
    <w:abstractNumId w:val="20"/>
  </w:num>
  <w:num w:numId="37" w16cid:durableId="1588147955">
    <w:abstractNumId w:val="19"/>
  </w:num>
  <w:num w:numId="38" w16cid:durableId="1793937958">
    <w:abstractNumId w:val="16"/>
  </w:num>
  <w:num w:numId="39" w16cid:durableId="1347290308">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F"/>
    <w:rsid w:val="000002FF"/>
    <w:rsid w:val="000004B1"/>
    <w:rsid w:val="000007A4"/>
    <w:rsid w:val="00000854"/>
    <w:rsid w:val="00000A79"/>
    <w:rsid w:val="00000C18"/>
    <w:rsid w:val="00000CD3"/>
    <w:rsid w:val="00000D04"/>
    <w:rsid w:val="00000DB7"/>
    <w:rsid w:val="00000EAE"/>
    <w:rsid w:val="00000EB5"/>
    <w:rsid w:val="00000FF0"/>
    <w:rsid w:val="0000117A"/>
    <w:rsid w:val="000011BB"/>
    <w:rsid w:val="000012D4"/>
    <w:rsid w:val="000014AC"/>
    <w:rsid w:val="000018DD"/>
    <w:rsid w:val="00001996"/>
    <w:rsid w:val="00001D4B"/>
    <w:rsid w:val="00001EC2"/>
    <w:rsid w:val="00001F1D"/>
    <w:rsid w:val="00002127"/>
    <w:rsid w:val="0000212B"/>
    <w:rsid w:val="000023C0"/>
    <w:rsid w:val="000027EC"/>
    <w:rsid w:val="00002D3F"/>
    <w:rsid w:val="00002F56"/>
    <w:rsid w:val="00003004"/>
    <w:rsid w:val="0000318D"/>
    <w:rsid w:val="00003251"/>
    <w:rsid w:val="000032FE"/>
    <w:rsid w:val="0000369E"/>
    <w:rsid w:val="000038CF"/>
    <w:rsid w:val="00003979"/>
    <w:rsid w:val="00003A51"/>
    <w:rsid w:val="00003B5D"/>
    <w:rsid w:val="00003E91"/>
    <w:rsid w:val="00004137"/>
    <w:rsid w:val="000041A4"/>
    <w:rsid w:val="000041FF"/>
    <w:rsid w:val="00004727"/>
    <w:rsid w:val="00004882"/>
    <w:rsid w:val="00004AD6"/>
    <w:rsid w:val="00004F10"/>
    <w:rsid w:val="00004F2D"/>
    <w:rsid w:val="000050C9"/>
    <w:rsid w:val="0000527A"/>
    <w:rsid w:val="0000548F"/>
    <w:rsid w:val="000054BA"/>
    <w:rsid w:val="000055E7"/>
    <w:rsid w:val="0000564B"/>
    <w:rsid w:val="00005696"/>
    <w:rsid w:val="000057A0"/>
    <w:rsid w:val="00005971"/>
    <w:rsid w:val="00005E27"/>
    <w:rsid w:val="00005EC3"/>
    <w:rsid w:val="00005ED0"/>
    <w:rsid w:val="00006022"/>
    <w:rsid w:val="00006217"/>
    <w:rsid w:val="0000637F"/>
    <w:rsid w:val="00006621"/>
    <w:rsid w:val="00006BF1"/>
    <w:rsid w:val="00006C51"/>
    <w:rsid w:val="00006D28"/>
    <w:rsid w:val="00006D46"/>
    <w:rsid w:val="00006E11"/>
    <w:rsid w:val="00006ECE"/>
    <w:rsid w:val="0000704B"/>
    <w:rsid w:val="00007080"/>
    <w:rsid w:val="000071AE"/>
    <w:rsid w:val="00007262"/>
    <w:rsid w:val="0000744C"/>
    <w:rsid w:val="00007453"/>
    <w:rsid w:val="00007469"/>
    <w:rsid w:val="00007487"/>
    <w:rsid w:val="0000760C"/>
    <w:rsid w:val="0000773A"/>
    <w:rsid w:val="00007750"/>
    <w:rsid w:val="000077B2"/>
    <w:rsid w:val="00007E44"/>
    <w:rsid w:val="00007FEC"/>
    <w:rsid w:val="00010067"/>
    <w:rsid w:val="00010253"/>
    <w:rsid w:val="00010349"/>
    <w:rsid w:val="000103EE"/>
    <w:rsid w:val="00010418"/>
    <w:rsid w:val="000105EB"/>
    <w:rsid w:val="000107F6"/>
    <w:rsid w:val="00010ACA"/>
    <w:rsid w:val="00010BD4"/>
    <w:rsid w:val="00010F5B"/>
    <w:rsid w:val="0001114D"/>
    <w:rsid w:val="00011288"/>
    <w:rsid w:val="0001144E"/>
    <w:rsid w:val="00011664"/>
    <w:rsid w:val="000118C1"/>
    <w:rsid w:val="00011EAA"/>
    <w:rsid w:val="00011F03"/>
    <w:rsid w:val="00011F35"/>
    <w:rsid w:val="00011F46"/>
    <w:rsid w:val="0001202C"/>
    <w:rsid w:val="0001210B"/>
    <w:rsid w:val="0001233B"/>
    <w:rsid w:val="00012352"/>
    <w:rsid w:val="00012738"/>
    <w:rsid w:val="00012813"/>
    <w:rsid w:val="0001298E"/>
    <w:rsid w:val="000129C6"/>
    <w:rsid w:val="00012B49"/>
    <w:rsid w:val="00012C0E"/>
    <w:rsid w:val="00012F24"/>
    <w:rsid w:val="00013024"/>
    <w:rsid w:val="00013048"/>
    <w:rsid w:val="0001315C"/>
    <w:rsid w:val="000133E6"/>
    <w:rsid w:val="000134B6"/>
    <w:rsid w:val="000135DA"/>
    <w:rsid w:val="0001369B"/>
    <w:rsid w:val="000137FC"/>
    <w:rsid w:val="00013B24"/>
    <w:rsid w:val="00013D9A"/>
    <w:rsid w:val="00013D9F"/>
    <w:rsid w:val="00013F31"/>
    <w:rsid w:val="00013F3D"/>
    <w:rsid w:val="00013FA2"/>
    <w:rsid w:val="00014098"/>
    <w:rsid w:val="00014552"/>
    <w:rsid w:val="0001485C"/>
    <w:rsid w:val="00014881"/>
    <w:rsid w:val="000149D6"/>
    <w:rsid w:val="00014DE6"/>
    <w:rsid w:val="00014E39"/>
    <w:rsid w:val="0001513F"/>
    <w:rsid w:val="00015183"/>
    <w:rsid w:val="000151B0"/>
    <w:rsid w:val="00015232"/>
    <w:rsid w:val="000152E3"/>
    <w:rsid w:val="00015637"/>
    <w:rsid w:val="000157EF"/>
    <w:rsid w:val="000159CD"/>
    <w:rsid w:val="000159EB"/>
    <w:rsid w:val="00015BE8"/>
    <w:rsid w:val="00015FBD"/>
    <w:rsid w:val="0001610A"/>
    <w:rsid w:val="00016169"/>
    <w:rsid w:val="00016175"/>
    <w:rsid w:val="00016270"/>
    <w:rsid w:val="00016381"/>
    <w:rsid w:val="000163D1"/>
    <w:rsid w:val="000163D3"/>
    <w:rsid w:val="00016547"/>
    <w:rsid w:val="0001656C"/>
    <w:rsid w:val="000166AE"/>
    <w:rsid w:val="000167B0"/>
    <w:rsid w:val="00016B3B"/>
    <w:rsid w:val="00016D30"/>
    <w:rsid w:val="00016D59"/>
    <w:rsid w:val="00016E38"/>
    <w:rsid w:val="00017172"/>
    <w:rsid w:val="000175F5"/>
    <w:rsid w:val="00017748"/>
    <w:rsid w:val="00017AF8"/>
    <w:rsid w:val="00017B36"/>
    <w:rsid w:val="00017D4C"/>
    <w:rsid w:val="00017DBE"/>
    <w:rsid w:val="00020071"/>
    <w:rsid w:val="000200D0"/>
    <w:rsid w:val="000203D5"/>
    <w:rsid w:val="000205E1"/>
    <w:rsid w:val="000205F5"/>
    <w:rsid w:val="0002060D"/>
    <w:rsid w:val="00020731"/>
    <w:rsid w:val="00020782"/>
    <w:rsid w:val="00020923"/>
    <w:rsid w:val="00020979"/>
    <w:rsid w:val="00020A20"/>
    <w:rsid w:val="00020B8D"/>
    <w:rsid w:val="00020C3B"/>
    <w:rsid w:val="00020C4A"/>
    <w:rsid w:val="00020F5E"/>
    <w:rsid w:val="00020FAB"/>
    <w:rsid w:val="00021199"/>
    <w:rsid w:val="000211F5"/>
    <w:rsid w:val="000219D1"/>
    <w:rsid w:val="00021A7C"/>
    <w:rsid w:val="00021D35"/>
    <w:rsid w:val="00021DCB"/>
    <w:rsid w:val="000222CB"/>
    <w:rsid w:val="0002251A"/>
    <w:rsid w:val="000225AF"/>
    <w:rsid w:val="00022659"/>
    <w:rsid w:val="00022750"/>
    <w:rsid w:val="00022A4E"/>
    <w:rsid w:val="00022B6B"/>
    <w:rsid w:val="00022DC7"/>
    <w:rsid w:val="00022E27"/>
    <w:rsid w:val="00023182"/>
    <w:rsid w:val="00023293"/>
    <w:rsid w:val="00023383"/>
    <w:rsid w:val="00023440"/>
    <w:rsid w:val="000235CA"/>
    <w:rsid w:val="000236BE"/>
    <w:rsid w:val="00023937"/>
    <w:rsid w:val="00023967"/>
    <w:rsid w:val="00023AF3"/>
    <w:rsid w:val="00023F0C"/>
    <w:rsid w:val="000240F9"/>
    <w:rsid w:val="000242DE"/>
    <w:rsid w:val="000243C8"/>
    <w:rsid w:val="0002440D"/>
    <w:rsid w:val="0002451B"/>
    <w:rsid w:val="00024681"/>
    <w:rsid w:val="00024987"/>
    <w:rsid w:val="00024A7B"/>
    <w:rsid w:val="00024BC3"/>
    <w:rsid w:val="00024DBA"/>
    <w:rsid w:val="00024E31"/>
    <w:rsid w:val="00024F54"/>
    <w:rsid w:val="00024FF7"/>
    <w:rsid w:val="00025044"/>
    <w:rsid w:val="000255AF"/>
    <w:rsid w:val="000255DB"/>
    <w:rsid w:val="000256A9"/>
    <w:rsid w:val="0002575E"/>
    <w:rsid w:val="0002582D"/>
    <w:rsid w:val="00025975"/>
    <w:rsid w:val="000259AF"/>
    <w:rsid w:val="000259DF"/>
    <w:rsid w:val="00025A79"/>
    <w:rsid w:val="00025BCB"/>
    <w:rsid w:val="00025D56"/>
    <w:rsid w:val="00025DE9"/>
    <w:rsid w:val="00025FCA"/>
    <w:rsid w:val="000260A2"/>
    <w:rsid w:val="0002674D"/>
    <w:rsid w:val="000267F8"/>
    <w:rsid w:val="00026B19"/>
    <w:rsid w:val="00026BC8"/>
    <w:rsid w:val="00026D6C"/>
    <w:rsid w:val="000270AB"/>
    <w:rsid w:val="0002711C"/>
    <w:rsid w:val="00027142"/>
    <w:rsid w:val="0002722F"/>
    <w:rsid w:val="00027235"/>
    <w:rsid w:val="0002723C"/>
    <w:rsid w:val="0002777A"/>
    <w:rsid w:val="000278CB"/>
    <w:rsid w:val="000278DD"/>
    <w:rsid w:val="00027A07"/>
    <w:rsid w:val="00027ABC"/>
    <w:rsid w:val="00030093"/>
    <w:rsid w:val="000303CA"/>
    <w:rsid w:val="000305C4"/>
    <w:rsid w:val="00030684"/>
    <w:rsid w:val="00030775"/>
    <w:rsid w:val="000307CC"/>
    <w:rsid w:val="000307E1"/>
    <w:rsid w:val="000308BC"/>
    <w:rsid w:val="00030E0F"/>
    <w:rsid w:val="00031054"/>
    <w:rsid w:val="00031123"/>
    <w:rsid w:val="000311B8"/>
    <w:rsid w:val="000311FF"/>
    <w:rsid w:val="00031239"/>
    <w:rsid w:val="000313A0"/>
    <w:rsid w:val="000313B6"/>
    <w:rsid w:val="000318DC"/>
    <w:rsid w:val="00031AAE"/>
    <w:rsid w:val="00031D34"/>
    <w:rsid w:val="00032091"/>
    <w:rsid w:val="000322E8"/>
    <w:rsid w:val="00032C6A"/>
    <w:rsid w:val="00032D4B"/>
    <w:rsid w:val="00032FA9"/>
    <w:rsid w:val="00033067"/>
    <w:rsid w:val="00033075"/>
    <w:rsid w:val="000331D7"/>
    <w:rsid w:val="00033233"/>
    <w:rsid w:val="00033290"/>
    <w:rsid w:val="000332A7"/>
    <w:rsid w:val="00033656"/>
    <w:rsid w:val="0003366C"/>
    <w:rsid w:val="00033684"/>
    <w:rsid w:val="000337F5"/>
    <w:rsid w:val="00033A6D"/>
    <w:rsid w:val="00034031"/>
    <w:rsid w:val="00034620"/>
    <w:rsid w:val="000346A3"/>
    <w:rsid w:val="000346C1"/>
    <w:rsid w:val="00034964"/>
    <w:rsid w:val="00034A26"/>
    <w:rsid w:val="00034EAA"/>
    <w:rsid w:val="0003506B"/>
    <w:rsid w:val="00035156"/>
    <w:rsid w:val="000352A3"/>
    <w:rsid w:val="00035305"/>
    <w:rsid w:val="00035342"/>
    <w:rsid w:val="000353E8"/>
    <w:rsid w:val="000354D6"/>
    <w:rsid w:val="00035605"/>
    <w:rsid w:val="000356F8"/>
    <w:rsid w:val="000358E3"/>
    <w:rsid w:val="00035E5C"/>
    <w:rsid w:val="00035F29"/>
    <w:rsid w:val="00035F78"/>
    <w:rsid w:val="000362CF"/>
    <w:rsid w:val="000365CD"/>
    <w:rsid w:val="0003678F"/>
    <w:rsid w:val="00036A22"/>
    <w:rsid w:val="0003703B"/>
    <w:rsid w:val="00037122"/>
    <w:rsid w:val="00037159"/>
    <w:rsid w:val="0003731B"/>
    <w:rsid w:val="00037415"/>
    <w:rsid w:val="0003751F"/>
    <w:rsid w:val="000377FB"/>
    <w:rsid w:val="000379F0"/>
    <w:rsid w:val="00037D05"/>
    <w:rsid w:val="000400B8"/>
    <w:rsid w:val="000400BC"/>
    <w:rsid w:val="0004016B"/>
    <w:rsid w:val="00040269"/>
    <w:rsid w:val="0004079E"/>
    <w:rsid w:val="000407FC"/>
    <w:rsid w:val="0004081D"/>
    <w:rsid w:val="00040BA6"/>
    <w:rsid w:val="00040C0F"/>
    <w:rsid w:val="00040C9C"/>
    <w:rsid w:val="00040D75"/>
    <w:rsid w:val="00040EAB"/>
    <w:rsid w:val="00040ED3"/>
    <w:rsid w:val="00040FE1"/>
    <w:rsid w:val="0004115A"/>
    <w:rsid w:val="000411A6"/>
    <w:rsid w:val="0004140D"/>
    <w:rsid w:val="00041551"/>
    <w:rsid w:val="0004160B"/>
    <w:rsid w:val="00041637"/>
    <w:rsid w:val="000417E0"/>
    <w:rsid w:val="000417FE"/>
    <w:rsid w:val="00041811"/>
    <w:rsid w:val="00041820"/>
    <w:rsid w:val="0004190B"/>
    <w:rsid w:val="00041B0B"/>
    <w:rsid w:val="00041C51"/>
    <w:rsid w:val="00041FAA"/>
    <w:rsid w:val="00042099"/>
    <w:rsid w:val="0004224B"/>
    <w:rsid w:val="000422AE"/>
    <w:rsid w:val="000423BD"/>
    <w:rsid w:val="00042514"/>
    <w:rsid w:val="000425B2"/>
    <w:rsid w:val="000425F1"/>
    <w:rsid w:val="0004285C"/>
    <w:rsid w:val="00042A28"/>
    <w:rsid w:val="00042B01"/>
    <w:rsid w:val="00042CB0"/>
    <w:rsid w:val="00042CCA"/>
    <w:rsid w:val="00042FC2"/>
    <w:rsid w:val="00042FEC"/>
    <w:rsid w:val="00043392"/>
    <w:rsid w:val="00043404"/>
    <w:rsid w:val="00043536"/>
    <w:rsid w:val="00043A73"/>
    <w:rsid w:val="00043CEC"/>
    <w:rsid w:val="00043E17"/>
    <w:rsid w:val="00043EA0"/>
    <w:rsid w:val="00043EC9"/>
    <w:rsid w:val="000443A3"/>
    <w:rsid w:val="00044501"/>
    <w:rsid w:val="00044BCA"/>
    <w:rsid w:val="00044D44"/>
    <w:rsid w:val="00044DE3"/>
    <w:rsid w:val="00044E3C"/>
    <w:rsid w:val="00044F00"/>
    <w:rsid w:val="000451FE"/>
    <w:rsid w:val="00045381"/>
    <w:rsid w:val="0004546E"/>
    <w:rsid w:val="000454F8"/>
    <w:rsid w:val="00045879"/>
    <w:rsid w:val="00045BA4"/>
    <w:rsid w:val="00045BA5"/>
    <w:rsid w:val="00045BBE"/>
    <w:rsid w:val="00045C02"/>
    <w:rsid w:val="00045DDB"/>
    <w:rsid w:val="0004618F"/>
    <w:rsid w:val="000462C6"/>
    <w:rsid w:val="00046395"/>
    <w:rsid w:val="000467E7"/>
    <w:rsid w:val="00046A12"/>
    <w:rsid w:val="00046A86"/>
    <w:rsid w:val="00046AF2"/>
    <w:rsid w:val="00046B08"/>
    <w:rsid w:val="000470EB"/>
    <w:rsid w:val="00047194"/>
    <w:rsid w:val="000471B6"/>
    <w:rsid w:val="00047294"/>
    <w:rsid w:val="00047791"/>
    <w:rsid w:val="00047948"/>
    <w:rsid w:val="00047B06"/>
    <w:rsid w:val="00047C3E"/>
    <w:rsid w:val="00047E1A"/>
    <w:rsid w:val="00047F69"/>
    <w:rsid w:val="000502DF"/>
    <w:rsid w:val="000507C3"/>
    <w:rsid w:val="000508CF"/>
    <w:rsid w:val="000509D9"/>
    <w:rsid w:val="00050A24"/>
    <w:rsid w:val="00050B2E"/>
    <w:rsid w:val="00050CA8"/>
    <w:rsid w:val="00050D0E"/>
    <w:rsid w:val="00050D91"/>
    <w:rsid w:val="00050DFD"/>
    <w:rsid w:val="00050E8A"/>
    <w:rsid w:val="00050EF1"/>
    <w:rsid w:val="0005117E"/>
    <w:rsid w:val="000516FE"/>
    <w:rsid w:val="00051739"/>
    <w:rsid w:val="000518CF"/>
    <w:rsid w:val="00051A14"/>
    <w:rsid w:val="00051B93"/>
    <w:rsid w:val="00051D55"/>
    <w:rsid w:val="00052087"/>
    <w:rsid w:val="0005224C"/>
    <w:rsid w:val="00052455"/>
    <w:rsid w:val="00052617"/>
    <w:rsid w:val="00052674"/>
    <w:rsid w:val="00052918"/>
    <w:rsid w:val="00052AFF"/>
    <w:rsid w:val="00052DA9"/>
    <w:rsid w:val="00052DB9"/>
    <w:rsid w:val="00052DBB"/>
    <w:rsid w:val="00052EC0"/>
    <w:rsid w:val="00053619"/>
    <w:rsid w:val="00053880"/>
    <w:rsid w:val="00053C20"/>
    <w:rsid w:val="00053FB2"/>
    <w:rsid w:val="0005403D"/>
    <w:rsid w:val="0005439E"/>
    <w:rsid w:val="00054569"/>
    <w:rsid w:val="000547AE"/>
    <w:rsid w:val="00054831"/>
    <w:rsid w:val="00054952"/>
    <w:rsid w:val="00054A29"/>
    <w:rsid w:val="00054A48"/>
    <w:rsid w:val="00054A6F"/>
    <w:rsid w:val="00054BFB"/>
    <w:rsid w:val="00054E84"/>
    <w:rsid w:val="00054EA7"/>
    <w:rsid w:val="00054EDE"/>
    <w:rsid w:val="000550CE"/>
    <w:rsid w:val="0005514D"/>
    <w:rsid w:val="00055190"/>
    <w:rsid w:val="0005523C"/>
    <w:rsid w:val="00055248"/>
    <w:rsid w:val="00055363"/>
    <w:rsid w:val="00055506"/>
    <w:rsid w:val="0005562B"/>
    <w:rsid w:val="00055658"/>
    <w:rsid w:val="0005569D"/>
    <w:rsid w:val="000556CE"/>
    <w:rsid w:val="000556E6"/>
    <w:rsid w:val="0005575B"/>
    <w:rsid w:val="00055AA7"/>
    <w:rsid w:val="00055BC3"/>
    <w:rsid w:val="00055BE1"/>
    <w:rsid w:val="00055DF9"/>
    <w:rsid w:val="00055E30"/>
    <w:rsid w:val="00055E72"/>
    <w:rsid w:val="00055E82"/>
    <w:rsid w:val="00055F5D"/>
    <w:rsid w:val="00055FEF"/>
    <w:rsid w:val="000560E2"/>
    <w:rsid w:val="000560F3"/>
    <w:rsid w:val="0005622A"/>
    <w:rsid w:val="000562C0"/>
    <w:rsid w:val="00056414"/>
    <w:rsid w:val="000564BF"/>
    <w:rsid w:val="000568DD"/>
    <w:rsid w:val="0005696F"/>
    <w:rsid w:val="000569D7"/>
    <w:rsid w:val="00056B00"/>
    <w:rsid w:val="00056B05"/>
    <w:rsid w:val="00056F0F"/>
    <w:rsid w:val="00057029"/>
    <w:rsid w:val="00057127"/>
    <w:rsid w:val="000571E2"/>
    <w:rsid w:val="000574A8"/>
    <w:rsid w:val="00057566"/>
    <w:rsid w:val="0005787A"/>
    <w:rsid w:val="00057A13"/>
    <w:rsid w:val="00057AE0"/>
    <w:rsid w:val="00057EC5"/>
    <w:rsid w:val="0006029C"/>
    <w:rsid w:val="00060321"/>
    <w:rsid w:val="00060328"/>
    <w:rsid w:val="000603F3"/>
    <w:rsid w:val="00060686"/>
    <w:rsid w:val="0006092D"/>
    <w:rsid w:val="00060A88"/>
    <w:rsid w:val="00060AB8"/>
    <w:rsid w:val="00060B1B"/>
    <w:rsid w:val="00060BF6"/>
    <w:rsid w:val="00060DA3"/>
    <w:rsid w:val="00060F89"/>
    <w:rsid w:val="00060FB4"/>
    <w:rsid w:val="0006112A"/>
    <w:rsid w:val="00061538"/>
    <w:rsid w:val="000616C2"/>
    <w:rsid w:val="000616FA"/>
    <w:rsid w:val="00061795"/>
    <w:rsid w:val="000617BB"/>
    <w:rsid w:val="00061832"/>
    <w:rsid w:val="000618CA"/>
    <w:rsid w:val="000619EF"/>
    <w:rsid w:val="00061B36"/>
    <w:rsid w:val="00061B82"/>
    <w:rsid w:val="00061BD4"/>
    <w:rsid w:val="00061EA3"/>
    <w:rsid w:val="0006207D"/>
    <w:rsid w:val="00062171"/>
    <w:rsid w:val="000624E2"/>
    <w:rsid w:val="00062758"/>
    <w:rsid w:val="000628DB"/>
    <w:rsid w:val="00062D8A"/>
    <w:rsid w:val="00063169"/>
    <w:rsid w:val="000632AB"/>
    <w:rsid w:val="00063390"/>
    <w:rsid w:val="00063391"/>
    <w:rsid w:val="000634D4"/>
    <w:rsid w:val="000635AA"/>
    <w:rsid w:val="000635B7"/>
    <w:rsid w:val="000635D8"/>
    <w:rsid w:val="0006372F"/>
    <w:rsid w:val="00063750"/>
    <w:rsid w:val="000637D7"/>
    <w:rsid w:val="00063911"/>
    <w:rsid w:val="00063CDA"/>
    <w:rsid w:val="000640AE"/>
    <w:rsid w:val="000640C6"/>
    <w:rsid w:val="00064214"/>
    <w:rsid w:val="0006446B"/>
    <w:rsid w:val="000645BB"/>
    <w:rsid w:val="00064650"/>
    <w:rsid w:val="00064913"/>
    <w:rsid w:val="000650BB"/>
    <w:rsid w:val="000653E9"/>
    <w:rsid w:val="00065647"/>
    <w:rsid w:val="00065687"/>
    <w:rsid w:val="000657B6"/>
    <w:rsid w:val="00065886"/>
    <w:rsid w:val="000658D5"/>
    <w:rsid w:val="0006594E"/>
    <w:rsid w:val="00065C71"/>
    <w:rsid w:val="00065F5A"/>
    <w:rsid w:val="00065F6D"/>
    <w:rsid w:val="00066156"/>
    <w:rsid w:val="00066217"/>
    <w:rsid w:val="00066221"/>
    <w:rsid w:val="0006639F"/>
    <w:rsid w:val="00066453"/>
    <w:rsid w:val="00066527"/>
    <w:rsid w:val="0006655E"/>
    <w:rsid w:val="000665B8"/>
    <w:rsid w:val="0006662D"/>
    <w:rsid w:val="00066883"/>
    <w:rsid w:val="000669D4"/>
    <w:rsid w:val="00066B6F"/>
    <w:rsid w:val="00066C19"/>
    <w:rsid w:val="000672C9"/>
    <w:rsid w:val="00067378"/>
    <w:rsid w:val="00067544"/>
    <w:rsid w:val="000675DB"/>
    <w:rsid w:val="000676F8"/>
    <w:rsid w:val="00067940"/>
    <w:rsid w:val="00067B96"/>
    <w:rsid w:val="000701EC"/>
    <w:rsid w:val="00070514"/>
    <w:rsid w:val="00070694"/>
    <w:rsid w:val="00070981"/>
    <w:rsid w:val="00070B63"/>
    <w:rsid w:val="00070BAF"/>
    <w:rsid w:val="00070EDB"/>
    <w:rsid w:val="00071009"/>
    <w:rsid w:val="0007120B"/>
    <w:rsid w:val="0007158D"/>
    <w:rsid w:val="000715C3"/>
    <w:rsid w:val="000716DB"/>
    <w:rsid w:val="0007175D"/>
    <w:rsid w:val="00071A23"/>
    <w:rsid w:val="00071C12"/>
    <w:rsid w:val="00071EE8"/>
    <w:rsid w:val="00071F4C"/>
    <w:rsid w:val="000724FA"/>
    <w:rsid w:val="00072B20"/>
    <w:rsid w:val="00072B32"/>
    <w:rsid w:val="00072FC1"/>
    <w:rsid w:val="000733B4"/>
    <w:rsid w:val="00073480"/>
    <w:rsid w:val="0007375B"/>
    <w:rsid w:val="00073872"/>
    <w:rsid w:val="00073886"/>
    <w:rsid w:val="000739CF"/>
    <w:rsid w:val="00073A18"/>
    <w:rsid w:val="00073C9F"/>
    <w:rsid w:val="00073E6E"/>
    <w:rsid w:val="00074288"/>
    <w:rsid w:val="00074335"/>
    <w:rsid w:val="00074356"/>
    <w:rsid w:val="0007435C"/>
    <w:rsid w:val="00074414"/>
    <w:rsid w:val="00074512"/>
    <w:rsid w:val="000745C2"/>
    <w:rsid w:val="0007471E"/>
    <w:rsid w:val="00074A8B"/>
    <w:rsid w:val="00074CE3"/>
    <w:rsid w:val="00074D38"/>
    <w:rsid w:val="000750FF"/>
    <w:rsid w:val="00075108"/>
    <w:rsid w:val="00075235"/>
    <w:rsid w:val="000752BB"/>
    <w:rsid w:val="000752F4"/>
    <w:rsid w:val="000754C9"/>
    <w:rsid w:val="00075603"/>
    <w:rsid w:val="000756E5"/>
    <w:rsid w:val="000758AF"/>
    <w:rsid w:val="0007594C"/>
    <w:rsid w:val="000759AE"/>
    <w:rsid w:val="00075B86"/>
    <w:rsid w:val="00075E9E"/>
    <w:rsid w:val="00075F52"/>
    <w:rsid w:val="00075F77"/>
    <w:rsid w:val="0007612D"/>
    <w:rsid w:val="000761B8"/>
    <w:rsid w:val="000761E1"/>
    <w:rsid w:val="0007626E"/>
    <w:rsid w:val="0007647F"/>
    <w:rsid w:val="00076545"/>
    <w:rsid w:val="0007663B"/>
    <w:rsid w:val="0007664B"/>
    <w:rsid w:val="000766E8"/>
    <w:rsid w:val="00076EC2"/>
    <w:rsid w:val="00076EF8"/>
    <w:rsid w:val="00076FE2"/>
    <w:rsid w:val="00076FFA"/>
    <w:rsid w:val="0007717D"/>
    <w:rsid w:val="000771FF"/>
    <w:rsid w:val="000773F7"/>
    <w:rsid w:val="000775DF"/>
    <w:rsid w:val="00077616"/>
    <w:rsid w:val="0007790D"/>
    <w:rsid w:val="00077A5E"/>
    <w:rsid w:val="00077B7C"/>
    <w:rsid w:val="00077BB2"/>
    <w:rsid w:val="00077C44"/>
    <w:rsid w:val="00077D02"/>
    <w:rsid w:val="00077ECA"/>
    <w:rsid w:val="000803D6"/>
    <w:rsid w:val="000804DE"/>
    <w:rsid w:val="00080703"/>
    <w:rsid w:val="0008070C"/>
    <w:rsid w:val="0008073D"/>
    <w:rsid w:val="00080D2B"/>
    <w:rsid w:val="00080F2F"/>
    <w:rsid w:val="0008108C"/>
    <w:rsid w:val="00081470"/>
    <w:rsid w:val="000818D9"/>
    <w:rsid w:val="00081A02"/>
    <w:rsid w:val="00081A54"/>
    <w:rsid w:val="00081AE0"/>
    <w:rsid w:val="00081C74"/>
    <w:rsid w:val="00081D84"/>
    <w:rsid w:val="00082090"/>
    <w:rsid w:val="000820E1"/>
    <w:rsid w:val="000821D9"/>
    <w:rsid w:val="00082383"/>
    <w:rsid w:val="00082396"/>
    <w:rsid w:val="000826FB"/>
    <w:rsid w:val="000827CC"/>
    <w:rsid w:val="00082899"/>
    <w:rsid w:val="0008289F"/>
    <w:rsid w:val="0008299A"/>
    <w:rsid w:val="000829CC"/>
    <w:rsid w:val="000829E7"/>
    <w:rsid w:val="00082AD7"/>
    <w:rsid w:val="00082C95"/>
    <w:rsid w:val="00082E11"/>
    <w:rsid w:val="00082F3C"/>
    <w:rsid w:val="00082F61"/>
    <w:rsid w:val="00082FB2"/>
    <w:rsid w:val="0008303B"/>
    <w:rsid w:val="00083291"/>
    <w:rsid w:val="00083357"/>
    <w:rsid w:val="00083455"/>
    <w:rsid w:val="0008382F"/>
    <w:rsid w:val="00083865"/>
    <w:rsid w:val="0008392B"/>
    <w:rsid w:val="00083B51"/>
    <w:rsid w:val="00083BAB"/>
    <w:rsid w:val="00083BBD"/>
    <w:rsid w:val="00083D00"/>
    <w:rsid w:val="00083E99"/>
    <w:rsid w:val="00083FD2"/>
    <w:rsid w:val="00084119"/>
    <w:rsid w:val="0008438C"/>
    <w:rsid w:val="000843DE"/>
    <w:rsid w:val="000847AE"/>
    <w:rsid w:val="00084819"/>
    <w:rsid w:val="000849C8"/>
    <w:rsid w:val="00084AB8"/>
    <w:rsid w:val="00084ABB"/>
    <w:rsid w:val="00084CAD"/>
    <w:rsid w:val="00084D2F"/>
    <w:rsid w:val="00084F59"/>
    <w:rsid w:val="00085055"/>
    <w:rsid w:val="00085224"/>
    <w:rsid w:val="000852F4"/>
    <w:rsid w:val="00085442"/>
    <w:rsid w:val="0008583F"/>
    <w:rsid w:val="00085A74"/>
    <w:rsid w:val="00085B69"/>
    <w:rsid w:val="00085BC1"/>
    <w:rsid w:val="00085D50"/>
    <w:rsid w:val="00085F6E"/>
    <w:rsid w:val="00086121"/>
    <w:rsid w:val="000864AD"/>
    <w:rsid w:val="000865EF"/>
    <w:rsid w:val="000866A5"/>
    <w:rsid w:val="000866C1"/>
    <w:rsid w:val="00086792"/>
    <w:rsid w:val="000867DC"/>
    <w:rsid w:val="000869AB"/>
    <w:rsid w:val="00086BAC"/>
    <w:rsid w:val="00086D0C"/>
    <w:rsid w:val="00086D9D"/>
    <w:rsid w:val="00086E54"/>
    <w:rsid w:val="00086F62"/>
    <w:rsid w:val="00086FD8"/>
    <w:rsid w:val="00086FE1"/>
    <w:rsid w:val="0008714E"/>
    <w:rsid w:val="00087509"/>
    <w:rsid w:val="00087697"/>
    <w:rsid w:val="0008775F"/>
    <w:rsid w:val="00087999"/>
    <w:rsid w:val="000879D4"/>
    <w:rsid w:val="00087ACB"/>
    <w:rsid w:val="00087AEF"/>
    <w:rsid w:val="00087F8D"/>
    <w:rsid w:val="00087FF5"/>
    <w:rsid w:val="00090317"/>
    <w:rsid w:val="00090363"/>
    <w:rsid w:val="00090472"/>
    <w:rsid w:val="000904ED"/>
    <w:rsid w:val="00090661"/>
    <w:rsid w:val="00090796"/>
    <w:rsid w:val="00090830"/>
    <w:rsid w:val="00090A51"/>
    <w:rsid w:val="00090CEE"/>
    <w:rsid w:val="00090D82"/>
    <w:rsid w:val="00090DC9"/>
    <w:rsid w:val="00090FD4"/>
    <w:rsid w:val="00091752"/>
    <w:rsid w:val="000918C3"/>
    <w:rsid w:val="00091A2A"/>
    <w:rsid w:val="00091CE7"/>
    <w:rsid w:val="00091D2A"/>
    <w:rsid w:val="00091E91"/>
    <w:rsid w:val="00091EEF"/>
    <w:rsid w:val="000920F7"/>
    <w:rsid w:val="00092126"/>
    <w:rsid w:val="0009215D"/>
    <w:rsid w:val="000922A3"/>
    <w:rsid w:val="000922C5"/>
    <w:rsid w:val="0009240E"/>
    <w:rsid w:val="0009246F"/>
    <w:rsid w:val="000925DC"/>
    <w:rsid w:val="000927D1"/>
    <w:rsid w:val="000927D5"/>
    <w:rsid w:val="00092849"/>
    <w:rsid w:val="00093220"/>
    <w:rsid w:val="0009368B"/>
    <w:rsid w:val="00093762"/>
    <w:rsid w:val="00093A4A"/>
    <w:rsid w:val="00093B3F"/>
    <w:rsid w:val="00093E1F"/>
    <w:rsid w:val="00093E3A"/>
    <w:rsid w:val="000941B5"/>
    <w:rsid w:val="000941F5"/>
    <w:rsid w:val="0009424C"/>
    <w:rsid w:val="00094405"/>
    <w:rsid w:val="000945A4"/>
    <w:rsid w:val="00094641"/>
    <w:rsid w:val="0009475D"/>
    <w:rsid w:val="000947DC"/>
    <w:rsid w:val="00094A03"/>
    <w:rsid w:val="00094A1B"/>
    <w:rsid w:val="00094BFD"/>
    <w:rsid w:val="00094F28"/>
    <w:rsid w:val="00094FA3"/>
    <w:rsid w:val="00095293"/>
    <w:rsid w:val="000953AD"/>
    <w:rsid w:val="000955E7"/>
    <w:rsid w:val="0009564F"/>
    <w:rsid w:val="0009573A"/>
    <w:rsid w:val="00095812"/>
    <w:rsid w:val="0009589A"/>
    <w:rsid w:val="00095A97"/>
    <w:rsid w:val="00095D42"/>
    <w:rsid w:val="0009613A"/>
    <w:rsid w:val="00096154"/>
    <w:rsid w:val="00096312"/>
    <w:rsid w:val="00096A12"/>
    <w:rsid w:val="00096AB3"/>
    <w:rsid w:val="00096C48"/>
    <w:rsid w:val="00096DBE"/>
    <w:rsid w:val="00096DCC"/>
    <w:rsid w:val="000971F6"/>
    <w:rsid w:val="0009723F"/>
    <w:rsid w:val="00097390"/>
    <w:rsid w:val="000976C9"/>
    <w:rsid w:val="000979B0"/>
    <w:rsid w:val="00097BB4"/>
    <w:rsid w:val="00097BB5"/>
    <w:rsid w:val="00097F74"/>
    <w:rsid w:val="00097FA8"/>
    <w:rsid w:val="000A0174"/>
    <w:rsid w:val="000A025D"/>
    <w:rsid w:val="000A0357"/>
    <w:rsid w:val="000A0489"/>
    <w:rsid w:val="000A05E9"/>
    <w:rsid w:val="000A0C0B"/>
    <w:rsid w:val="000A0C44"/>
    <w:rsid w:val="000A0D89"/>
    <w:rsid w:val="000A0F01"/>
    <w:rsid w:val="000A1044"/>
    <w:rsid w:val="000A1197"/>
    <w:rsid w:val="000A1303"/>
    <w:rsid w:val="000A1407"/>
    <w:rsid w:val="000A1457"/>
    <w:rsid w:val="000A14D1"/>
    <w:rsid w:val="000A14ED"/>
    <w:rsid w:val="000A151D"/>
    <w:rsid w:val="000A15AD"/>
    <w:rsid w:val="000A1770"/>
    <w:rsid w:val="000A198A"/>
    <w:rsid w:val="000A20BE"/>
    <w:rsid w:val="000A215F"/>
    <w:rsid w:val="000A2336"/>
    <w:rsid w:val="000A2583"/>
    <w:rsid w:val="000A268D"/>
    <w:rsid w:val="000A26D9"/>
    <w:rsid w:val="000A2896"/>
    <w:rsid w:val="000A2C55"/>
    <w:rsid w:val="000A2EC5"/>
    <w:rsid w:val="000A310D"/>
    <w:rsid w:val="000A3389"/>
    <w:rsid w:val="000A3529"/>
    <w:rsid w:val="000A3844"/>
    <w:rsid w:val="000A384B"/>
    <w:rsid w:val="000A3AF9"/>
    <w:rsid w:val="000A3D5F"/>
    <w:rsid w:val="000A3E6D"/>
    <w:rsid w:val="000A3E8D"/>
    <w:rsid w:val="000A3F89"/>
    <w:rsid w:val="000A41AC"/>
    <w:rsid w:val="000A41DE"/>
    <w:rsid w:val="000A427A"/>
    <w:rsid w:val="000A44EF"/>
    <w:rsid w:val="000A4565"/>
    <w:rsid w:val="000A47A1"/>
    <w:rsid w:val="000A488D"/>
    <w:rsid w:val="000A4AD5"/>
    <w:rsid w:val="000A4C36"/>
    <w:rsid w:val="000A4E12"/>
    <w:rsid w:val="000A4F97"/>
    <w:rsid w:val="000A507D"/>
    <w:rsid w:val="000A512E"/>
    <w:rsid w:val="000A5417"/>
    <w:rsid w:val="000A55B7"/>
    <w:rsid w:val="000A5A52"/>
    <w:rsid w:val="000A5B35"/>
    <w:rsid w:val="000A5C0F"/>
    <w:rsid w:val="000A5C63"/>
    <w:rsid w:val="000A5D83"/>
    <w:rsid w:val="000A5FD6"/>
    <w:rsid w:val="000A6073"/>
    <w:rsid w:val="000A6181"/>
    <w:rsid w:val="000A6264"/>
    <w:rsid w:val="000A626C"/>
    <w:rsid w:val="000A63D1"/>
    <w:rsid w:val="000A645C"/>
    <w:rsid w:val="000A6589"/>
    <w:rsid w:val="000A6820"/>
    <w:rsid w:val="000A68C5"/>
    <w:rsid w:val="000A69F4"/>
    <w:rsid w:val="000A6D2C"/>
    <w:rsid w:val="000A6E4F"/>
    <w:rsid w:val="000A7070"/>
    <w:rsid w:val="000A70FE"/>
    <w:rsid w:val="000A75A2"/>
    <w:rsid w:val="000A7628"/>
    <w:rsid w:val="000A78F8"/>
    <w:rsid w:val="000A797F"/>
    <w:rsid w:val="000A7AAF"/>
    <w:rsid w:val="000A7AC9"/>
    <w:rsid w:val="000A7B53"/>
    <w:rsid w:val="000A7D5F"/>
    <w:rsid w:val="000A7D8E"/>
    <w:rsid w:val="000A7D9C"/>
    <w:rsid w:val="000A7DDA"/>
    <w:rsid w:val="000B0012"/>
    <w:rsid w:val="000B0184"/>
    <w:rsid w:val="000B06F4"/>
    <w:rsid w:val="000B080F"/>
    <w:rsid w:val="000B08D3"/>
    <w:rsid w:val="000B0A85"/>
    <w:rsid w:val="000B1270"/>
    <w:rsid w:val="000B136E"/>
    <w:rsid w:val="000B154D"/>
    <w:rsid w:val="000B16AA"/>
    <w:rsid w:val="000B1EB9"/>
    <w:rsid w:val="000B2388"/>
    <w:rsid w:val="000B26D5"/>
    <w:rsid w:val="000B2A70"/>
    <w:rsid w:val="000B2D55"/>
    <w:rsid w:val="000B2E2D"/>
    <w:rsid w:val="000B3013"/>
    <w:rsid w:val="000B3447"/>
    <w:rsid w:val="000B363D"/>
    <w:rsid w:val="000B37A3"/>
    <w:rsid w:val="000B380C"/>
    <w:rsid w:val="000B38A2"/>
    <w:rsid w:val="000B38C2"/>
    <w:rsid w:val="000B3BC5"/>
    <w:rsid w:val="000B400B"/>
    <w:rsid w:val="000B405C"/>
    <w:rsid w:val="000B43C9"/>
    <w:rsid w:val="000B44FE"/>
    <w:rsid w:val="000B467F"/>
    <w:rsid w:val="000B497C"/>
    <w:rsid w:val="000B4D16"/>
    <w:rsid w:val="000B4F1B"/>
    <w:rsid w:val="000B526E"/>
    <w:rsid w:val="000B555E"/>
    <w:rsid w:val="000B5620"/>
    <w:rsid w:val="000B577A"/>
    <w:rsid w:val="000B58CC"/>
    <w:rsid w:val="000B5B63"/>
    <w:rsid w:val="000B5B72"/>
    <w:rsid w:val="000B5C37"/>
    <w:rsid w:val="000B5D4B"/>
    <w:rsid w:val="000B5D69"/>
    <w:rsid w:val="000B5E25"/>
    <w:rsid w:val="000B6107"/>
    <w:rsid w:val="000B6420"/>
    <w:rsid w:val="000B658C"/>
    <w:rsid w:val="000B6639"/>
    <w:rsid w:val="000B69DB"/>
    <w:rsid w:val="000B6C99"/>
    <w:rsid w:val="000B6DA5"/>
    <w:rsid w:val="000B6ED8"/>
    <w:rsid w:val="000B702B"/>
    <w:rsid w:val="000B714C"/>
    <w:rsid w:val="000B75A3"/>
    <w:rsid w:val="000B75C4"/>
    <w:rsid w:val="000B7695"/>
    <w:rsid w:val="000B77B9"/>
    <w:rsid w:val="000B79DF"/>
    <w:rsid w:val="000B7C54"/>
    <w:rsid w:val="000B7CC4"/>
    <w:rsid w:val="000B7CF1"/>
    <w:rsid w:val="000B7DAE"/>
    <w:rsid w:val="000B7FD6"/>
    <w:rsid w:val="000C0053"/>
    <w:rsid w:val="000C00B4"/>
    <w:rsid w:val="000C01D9"/>
    <w:rsid w:val="000C05DF"/>
    <w:rsid w:val="000C0609"/>
    <w:rsid w:val="000C0795"/>
    <w:rsid w:val="000C0CE0"/>
    <w:rsid w:val="000C0DA7"/>
    <w:rsid w:val="000C0EEB"/>
    <w:rsid w:val="000C143E"/>
    <w:rsid w:val="000C1669"/>
    <w:rsid w:val="000C16B6"/>
    <w:rsid w:val="000C1726"/>
    <w:rsid w:val="000C1903"/>
    <w:rsid w:val="000C197B"/>
    <w:rsid w:val="000C1CB4"/>
    <w:rsid w:val="000C1EAB"/>
    <w:rsid w:val="000C1EC4"/>
    <w:rsid w:val="000C2656"/>
    <w:rsid w:val="000C289E"/>
    <w:rsid w:val="000C293D"/>
    <w:rsid w:val="000C2CE4"/>
    <w:rsid w:val="000C2DEC"/>
    <w:rsid w:val="000C31FE"/>
    <w:rsid w:val="000C331C"/>
    <w:rsid w:val="000C3386"/>
    <w:rsid w:val="000C3743"/>
    <w:rsid w:val="000C3A14"/>
    <w:rsid w:val="000C3B37"/>
    <w:rsid w:val="000C3B4B"/>
    <w:rsid w:val="000C3B84"/>
    <w:rsid w:val="000C3FD8"/>
    <w:rsid w:val="000C4136"/>
    <w:rsid w:val="000C4865"/>
    <w:rsid w:val="000C4AF8"/>
    <w:rsid w:val="000C4BAC"/>
    <w:rsid w:val="000C4BC4"/>
    <w:rsid w:val="000C4DBF"/>
    <w:rsid w:val="000C502B"/>
    <w:rsid w:val="000C53C5"/>
    <w:rsid w:val="000C5423"/>
    <w:rsid w:val="000C5561"/>
    <w:rsid w:val="000C59D8"/>
    <w:rsid w:val="000C5AC4"/>
    <w:rsid w:val="000C5F05"/>
    <w:rsid w:val="000C5F87"/>
    <w:rsid w:val="000C6203"/>
    <w:rsid w:val="000C64C2"/>
    <w:rsid w:val="000C6A0F"/>
    <w:rsid w:val="000C6A2D"/>
    <w:rsid w:val="000C6A70"/>
    <w:rsid w:val="000C6CBD"/>
    <w:rsid w:val="000C7038"/>
    <w:rsid w:val="000C70A7"/>
    <w:rsid w:val="000C7143"/>
    <w:rsid w:val="000C71BF"/>
    <w:rsid w:val="000C71E9"/>
    <w:rsid w:val="000C722B"/>
    <w:rsid w:val="000C753B"/>
    <w:rsid w:val="000C782F"/>
    <w:rsid w:val="000C78A0"/>
    <w:rsid w:val="000C7BA3"/>
    <w:rsid w:val="000CB560"/>
    <w:rsid w:val="000D02AA"/>
    <w:rsid w:val="000D0301"/>
    <w:rsid w:val="000D0453"/>
    <w:rsid w:val="000D0A67"/>
    <w:rsid w:val="000D0DAF"/>
    <w:rsid w:val="000D0F72"/>
    <w:rsid w:val="000D0FDE"/>
    <w:rsid w:val="000D11FB"/>
    <w:rsid w:val="000D128A"/>
    <w:rsid w:val="000D13D9"/>
    <w:rsid w:val="000D1816"/>
    <w:rsid w:val="000D1841"/>
    <w:rsid w:val="000D1953"/>
    <w:rsid w:val="000D1A54"/>
    <w:rsid w:val="000D1BCA"/>
    <w:rsid w:val="000D1C16"/>
    <w:rsid w:val="000D1EFE"/>
    <w:rsid w:val="000D21C4"/>
    <w:rsid w:val="000D2306"/>
    <w:rsid w:val="000D239E"/>
    <w:rsid w:val="000D246D"/>
    <w:rsid w:val="000D267D"/>
    <w:rsid w:val="000D2AC6"/>
    <w:rsid w:val="000D2C42"/>
    <w:rsid w:val="000D2C64"/>
    <w:rsid w:val="000D2CA5"/>
    <w:rsid w:val="000D2E5A"/>
    <w:rsid w:val="000D2F06"/>
    <w:rsid w:val="000D2FDE"/>
    <w:rsid w:val="000D2FFF"/>
    <w:rsid w:val="000D3361"/>
    <w:rsid w:val="000D3401"/>
    <w:rsid w:val="000D3790"/>
    <w:rsid w:val="000D385D"/>
    <w:rsid w:val="000D3A0D"/>
    <w:rsid w:val="000D3B78"/>
    <w:rsid w:val="000D3C53"/>
    <w:rsid w:val="000D3DE2"/>
    <w:rsid w:val="000D3E1B"/>
    <w:rsid w:val="000D4050"/>
    <w:rsid w:val="000D4139"/>
    <w:rsid w:val="000D41F1"/>
    <w:rsid w:val="000D463D"/>
    <w:rsid w:val="000D4684"/>
    <w:rsid w:val="000D49E4"/>
    <w:rsid w:val="000D4D50"/>
    <w:rsid w:val="000D4DCE"/>
    <w:rsid w:val="000D4DD6"/>
    <w:rsid w:val="000D4EF7"/>
    <w:rsid w:val="000D4F41"/>
    <w:rsid w:val="000D4F9E"/>
    <w:rsid w:val="000D500D"/>
    <w:rsid w:val="000D5197"/>
    <w:rsid w:val="000D52A2"/>
    <w:rsid w:val="000D52EF"/>
    <w:rsid w:val="000D58BC"/>
    <w:rsid w:val="000D5A3C"/>
    <w:rsid w:val="000D5C15"/>
    <w:rsid w:val="000D5DDC"/>
    <w:rsid w:val="000D5ECC"/>
    <w:rsid w:val="000D602E"/>
    <w:rsid w:val="000D6210"/>
    <w:rsid w:val="000D63E2"/>
    <w:rsid w:val="000D6797"/>
    <w:rsid w:val="000D6934"/>
    <w:rsid w:val="000D6974"/>
    <w:rsid w:val="000D6A0D"/>
    <w:rsid w:val="000D6C3C"/>
    <w:rsid w:val="000D6CD2"/>
    <w:rsid w:val="000D7044"/>
    <w:rsid w:val="000D70D4"/>
    <w:rsid w:val="000D7235"/>
    <w:rsid w:val="000D72BD"/>
    <w:rsid w:val="000D72DE"/>
    <w:rsid w:val="000D759C"/>
    <w:rsid w:val="000D7606"/>
    <w:rsid w:val="000D7732"/>
    <w:rsid w:val="000D7762"/>
    <w:rsid w:val="000D7799"/>
    <w:rsid w:val="000D78B9"/>
    <w:rsid w:val="000D7BAB"/>
    <w:rsid w:val="000E00F3"/>
    <w:rsid w:val="000E00F4"/>
    <w:rsid w:val="000E0151"/>
    <w:rsid w:val="000E0339"/>
    <w:rsid w:val="000E03DD"/>
    <w:rsid w:val="000E0485"/>
    <w:rsid w:val="000E06E6"/>
    <w:rsid w:val="000E0732"/>
    <w:rsid w:val="000E0857"/>
    <w:rsid w:val="000E0949"/>
    <w:rsid w:val="000E0B49"/>
    <w:rsid w:val="000E0B5E"/>
    <w:rsid w:val="000E0BDC"/>
    <w:rsid w:val="000E0C57"/>
    <w:rsid w:val="000E0DC6"/>
    <w:rsid w:val="000E0DD1"/>
    <w:rsid w:val="000E0E8B"/>
    <w:rsid w:val="000E0E9B"/>
    <w:rsid w:val="000E0EC9"/>
    <w:rsid w:val="000E1236"/>
    <w:rsid w:val="000E13C5"/>
    <w:rsid w:val="000E1A63"/>
    <w:rsid w:val="000E1E60"/>
    <w:rsid w:val="000E201E"/>
    <w:rsid w:val="000E22DA"/>
    <w:rsid w:val="000E2379"/>
    <w:rsid w:val="000E23A4"/>
    <w:rsid w:val="000E2600"/>
    <w:rsid w:val="000E2694"/>
    <w:rsid w:val="000E2736"/>
    <w:rsid w:val="000E27F9"/>
    <w:rsid w:val="000E28B4"/>
    <w:rsid w:val="000E28FF"/>
    <w:rsid w:val="000E29E4"/>
    <w:rsid w:val="000E2CE8"/>
    <w:rsid w:val="000E2E7A"/>
    <w:rsid w:val="000E3054"/>
    <w:rsid w:val="000E305F"/>
    <w:rsid w:val="000E30B8"/>
    <w:rsid w:val="000E3148"/>
    <w:rsid w:val="000E3150"/>
    <w:rsid w:val="000E3558"/>
    <w:rsid w:val="000E362A"/>
    <w:rsid w:val="000E399B"/>
    <w:rsid w:val="000E39B9"/>
    <w:rsid w:val="000E3A08"/>
    <w:rsid w:val="000E3D83"/>
    <w:rsid w:val="000E3F13"/>
    <w:rsid w:val="000E3F93"/>
    <w:rsid w:val="000E4023"/>
    <w:rsid w:val="000E41C5"/>
    <w:rsid w:val="000E4449"/>
    <w:rsid w:val="000E4547"/>
    <w:rsid w:val="000E45B5"/>
    <w:rsid w:val="000E47E8"/>
    <w:rsid w:val="000E4870"/>
    <w:rsid w:val="000E49B3"/>
    <w:rsid w:val="000E4B56"/>
    <w:rsid w:val="000E5360"/>
    <w:rsid w:val="000E572B"/>
    <w:rsid w:val="000E5804"/>
    <w:rsid w:val="000E580C"/>
    <w:rsid w:val="000E5914"/>
    <w:rsid w:val="000E5991"/>
    <w:rsid w:val="000E5997"/>
    <w:rsid w:val="000E5A45"/>
    <w:rsid w:val="000E5A6D"/>
    <w:rsid w:val="000E5D86"/>
    <w:rsid w:val="000E5E85"/>
    <w:rsid w:val="000E60D1"/>
    <w:rsid w:val="000E6122"/>
    <w:rsid w:val="000E6160"/>
    <w:rsid w:val="000E6188"/>
    <w:rsid w:val="000E66B8"/>
    <w:rsid w:val="000E670D"/>
    <w:rsid w:val="000E672B"/>
    <w:rsid w:val="000E6741"/>
    <w:rsid w:val="000E6943"/>
    <w:rsid w:val="000E6D89"/>
    <w:rsid w:val="000E7010"/>
    <w:rsid w:val="000E7601"/>
    <w:rsid w:val="000E7B3A"/>
    <w:rsid w:val="000E7B86"/>
    <w:rsid w:val="000F0070"/>
    <w:rsid w:val="000F0298"/>
    <w:rsid w:val="000F0590"/>
    <w:rsid w:val="000F08C4"/>
    <w:rsid w:val="000F0983"/>
    <w:rsid w:val="000F0AB2"/>
    <w:rsid w:val="000F0BA1"/>
    <w:rsid w:val="000F0C29"/>
    <w:rsid w:val="000F0CA6"/>
    <w:rsid w:val="000F0D3D"/>
    <w:rsid w:val="000F0F9F"/>
    <w:rsid w:val="000F1024"/>
    <w:rsid w:val="000F1058"/>
    <w:rsid w:val="000F1157"/>
    <w:rsid w:val="000F1367"/>
    <w:rsid w:val="000F17E1"/>
    <w:rsid w:val="000F1842"/>
    <w:rsid w:val="000F194A"/>
    <w:rsid w:val="000F1A01"/>
    <w:rsid w:val="000F1AF2"/>
    <w:rsid w:val="000F1BA2"/>
    <w:rsid w:val="000F1C34"/>
    <w:rsid w:val="000F1D94"/>
    <w:rsid w:val="000F1DFB"/>
    <w:rsid w:val="000F2194"/>
    <w:rsid w:val="000F260E"/>
    <w:rsid w:val="000F2621"/>
    <w:rsid w:val="000F268C"/>
    <w:rsid w:val="000F2821"/>
    <w:rsid w:val="000F2A86"/>
    <w:rsid w:val="000F2B03"/>
    <w:rsid w:val="000F2BB3"/>
    <w:rsid w:val="000F2BF4"/>
    <w:rsid w:val="000F2D21"/>
    <w:rsid w:val="000F2DD5"/>
    <w:rsid w:val="000F3279"/>
    <w:rsid w:val="000F33B0"/>
    <w:rsid w:val="000F34D2"/>
    <w:rsid w:val="000F3588"/>
    <w:rsid w:val="000F36A2"/>
    <w:rsid w:val="000F371F"/>
    <w:rsid w:val="000F38CC"/>
    <w:rsid w:val="000F391D"/>
    <w:rsid w:val="000F3CE7"/>
    <w:rsid w:val="000F3EB2"/>
    <w:rsid w:val="000F4377"/>
    <w:rsid w:val="000F4409"/>
    <w:rsid w:val="000F446D"/>
    <w:rsid w:val="000F44A3"/>
    <w:rsid w:val="000F4869"/>
    <w:rsid w:val="000F4C9D"/>
    <w:rsid w:val="000F4D97"/>
    <w:rsid w:val="000F5029"/>
    <w:rsid w:val="000F5080"/>
    <w:rsid w:val="000F52C4"/>
    <w:rsid w:val="000F5334"/>
    <w:rsid w:val="000F53EA"/>
    <w:rsid w:val="000F571E"/>
    <w:rsid w:val="000F579B"/>
    <w:rsid w:val="000F5817"/>
    <w:rsid w:val="000F5B71"/>
    <w:rsid w:val="000F5C88"/>
    <w:rsid w:val="000F5CE7"/>
    <w:rsid w:val="000F5CE8"/>
    <w:rsid w:val="000F5DA4"/>
    <w:rsid w:val="000F5DD7"/>
    <w:rsid w:val="000F5F71"/>
    <w:rsid w:val="000F6259"/>
    <w:rsid w:val="000F628E"/>
    <w:rsid w:val="000F64FA"/>
    <w:rsid w:val="000F652D"/>
    <w:rsid w:val="000F6975"/>
    <w:rsid w:val="000F6A85"/>
    <w:rsid w:val="000F6CC0"/>
    <w:rsid w:val="000F6E4B"/>
    <w:rsid w:val="000F6F93"/>
    <w:rsid w:val="000F702C"/>
    <w:rsid w:val="000F7062"/>
    <w:rsid w:val="000F7365"/>
    <w:rsid w:val="000F73AC"/>
    <w:rsid w:val="000F7514"/>
    <w:rsid w:val="000F7596"/>
    <w:rsid w:val="000F75AF"/>
    <w:rsid w:val="000F764C"/>
    <w:rsid w:val="000F7962"/>
    <w:rsid w:val="00100306"/>
    <w:rsid w:val="0010035B"/>
    <w:rsid w:val="00100544"/>
    <w:rsid w:val="0010055B"/>
    <w:rsid w:val="001006DB"/>
    <w:rsid w:val="0010099C"/>
    <w:rsid w:val="001009F9"/>
    <w:rsid w:val="00100B06"/>
    <w:rsid w:val="00100CE3"/>
    <w:rsid w:val="00100E00"/>
    <w:rsid w:val="001010F0"/>
    <w:rsid w:val="00101130"/>
    <w:rsid w:val="0010117E"/>
    <w:rsid w:val="001011E2"/>
    <w:rsid w:val="00101212"/>
    <w:rsid w:val="001013DD"/>
    <w:rsid w:val="001014A8"/>
    <w:rsid w:val="001014C3"/>
    <w:rsid w:val="0010171C"/>
    <w:rsid w:val="00101EE1"/>
    <w:rsid w:val="00102001"/>
    <w:rsid w:val="001020AA"/>
    <w:rsid w:val="001025D2"/>
    <w:rsid w:val="0010269B"/>
    <w:rsid w:val="00102805"/>
    <w:rsid w:val="00102883"/>
    <w:rsid w:val="00102CB6"/>
    <w:rsid w:val="00102E1B"/>
    <w:rsid w:val="00102F25"/>
    <w:rsid w:val="001030DB"/>
    <w:rsid w:val="00103284"/>
    <w:rsid w:val="00103648"/>
    <w:rsid w:val="001036CC"/>
    <w:rsid w:val="001036D0"/>
    <w:rsid w:val="00103803"/>
    <w:rsid w:val="00103888"/>
    <w:rsid w:val="001038B3"/>
    <w:rsid w:val="0010391E"/>
    <w:rsid w:val="00103BAA"/>
    <w:rsid w:val="00103C33"/>
    <w:rsid w:val="00103C75"/>
    <w:rsid w:val="00103DC9"/>
    <w:rsid w:val="00104195"/>
    <w:rsid w:val="00104298"/>
    <w:rsid w:val="00104300"/>
    <w:rsid w:val="001043C8"/>
    <w:rsid w:val="001044D5"/>
    <w:rsid w:val="00104584"/>
    <w:rsid w:val="001045F0"/>
    <w:rsid w:val="00104836"/>
    <w:rsid w:val="00104968"/>
    <w:rsid w:val="00104A27"/>
    <w:rsid w:val="00104BD1"/>
    <w:rsid w:val="00104C93"/>
    <w:rsid w:val="00104E8D"/>
    <w:rsid w:val="0010525C"/>
    <w:rsid w:val="001052F0"/>
    <w:rsid w:val="00105309"/>
    <w:rsid w:val="0010539F"/>
    <w:rsid w:val="00105601"/>
    <w:rsid w:val="00105DE8"/>
    <w:rsid w:val="00105F14"/>
    <w:rsid w:val="001060B5"/>
    <w:rsid w:val="00106386"/>
    <w:rsid w:val="001065C7"/>
    <w:rsid w:val="00106E83"/>
    <w:rsid w:val="001071A5"/>
    <w:rsid w:val="00107352"/>
    <w:rsid w:val="00107522"/>
    <w:rsid w:val="00107610"/>
    <w:rsid w:val="00107619"/>
    <w:rsid w:val="001077A6"/>
    <w:rsid w:val="00107950"/>
    <w:rsid w:val="001079A4"/>
    <w:rsid w:val="00107A2C"/>
    <w:rsid w:val="00107AFF"/>
    <w:rsid w:val="00107B79"/>
    <w:rsid w:val="00107B91"/>
    <w:rsid w:val="00107BB7"/>
    <w:rsid w:val="00107C1E"/>
    <w:rsid w:val="00107C50"/>
    <w:rsid w:val="00107D68"/>
    <w:rsid w:val="00107D89"/>
    <w:rsid w:val="00107F5C"/>
    <w:rsid w:val="00107FB5"/>
    <w:rsid w:val="00107FE8"/>
    <w:rsid w:val="00110632"/>
    <w:rsid w:val="001106CA"/>
    <w:rsid w:val="001107D4"/>
    <w:rsid w:val="001107F9"/>
    <w:rsid w:val="00110AA8"/>
    <w:rsid w:val="00110C2B"/>
    <w:rsid w:val="00110EED"/>
    <w:rsid w:val="001110E3"/>
    <w:rsid w:val="001112D7"/>
    <w:rsid w:val="0011148B"/>
    <w:rsid w:val="001114F8"/>
    <w:rsid w:val="00111587"/>
    <w:rsid w:val="00111746"/>
    <w:rsid w:val="0011184F"/>
    <w:rsid w:val="00111958"/>
    <w:rsid w:val="00111A42"/>
    <w:rsid w:val="00111DA0"/>
    <w:rsid w:val="00111DBF"/>
    <w:rsid w:val="00112115"/>
    <w:rsid w:val="00112237"/>
    <w:rsid w:val="0011224A"/>
    <w:rsid w:val="00112448"/>
    <w:rsid w:val="001129BA"/>
    <w:rsid w:val="00112A0D"/>
    <w:rsid w:val="00112E57"/>
    <w:rsid w:val="00112ECD"/>
    <w:rsid w:val="00112F12"/>
    <w:rsid w:val="00113095"/>
    <w:rsid w:val="00113101"/>
    <w:rsid w:val="0011310C"/>
    <w:rsid w:val="0011314D"/>
    <w:rsid w:val="001131FC"/>
    <w:rsid w:val="001132D1"/>
    <w:rsid w:val="001137DF"/>
    <w:rsid w:val="0011384C"/>
    <w:rsid w:val="001139C6"/>
    <w:rsid w:val="00113BAF"/>
    <w:rsid w:val="00113C66"/>
    <w:rsid w:val="00113CD8"/>
    <w:rsid w:val="00113CF2"/>
    <w:rsid w:val="00113D6C"/>
    <w:rsid w:val="00113DAC"/>
    <w:rsid w:val="00114002"/>
    <w:rsid w:val="00114197"/>
    <w:rsid w:val="0011449D"/>
    <w:rsid w:val="001148F0"/>
    <w:rsid w:val="001149D9"/>
    <w:rsid w:val="00114B1B"/>
    <w:rsid w:val="00114E66"/>
    <w:rsid w:val="00115186"/>
    <w:rsid w:val="001151A4"/>
    <w:rsid w:val="00115544"/>
    <w:rsid w:val="00115556"/>
    <w:rsid w:val="00115628"/>
    <w:rsid w:val="001156BA"/>
    <w:rsid w:val="00115705"/>
    <w:rsid w:val="00115AB4"/>
    <w:rsid w:val="00115E31"/>
    <w:rsid w:val="00115F4B"/>
    <w:rsid w:val="00116162"/>
    <w:rsid w:val="0011622D"/>
    <w:rsid w:val="00116338"/>
    <w:rsid w:val="0011647C"/>
    <w:rsid w:val="00116538"/>
    <w:rsid w:val="00116635"/>
    <w:rsid w:val="00116670"/>
    <w:rsid w:val="00116684"/>
    <w:rsid w:val="0011679B"/>
    <w:rsid w:val="0011698F"/>
    <w:rsid w:val="001169DD"/>
    <w:rsid w:val="00116AD9"/>
    <w:rsid w:val="001170B2"/>
    <w:rsid w:val="001172EA"/>
    <w:rsid w:val="00117402"/>
    <w:rsid w:val="00117417"/>
    <w:rsid w:val="00117663"/>
    <w:rsid w:val="00117836"/>
    <w:rsid w:val="00117BB7"/>
    <w:rsid w:val="00117BCF"/>
    <w:rsid w:val="00117C61"/>
    <w:rsid w:val="00117FA1"/>
    <w:rsid w:val="001203EF"/>
    <w:rsid w:val="00120917"/>
    <w:rsid w:val="00120A6F"/>
    <w:rsid w:val="00120AF9"/>
    <w:rsid w:val="00120C02"/>
    <w:rsid w:val="00120C3D"/>
    <w:rsid w:val="00120CDD"/>
    <w:rsid w:val="00120E3B"/>
    <w:rsid w:val="00120EA3"/>
    <w:rsid w:val="00120F41"/>
    <w:rsid w:val="0012100A"/>
    <w:rsid w:val="001212EB"/>
    <w:rsid w:val="00121302"/>
    <w:rsid w:val="001214D4"/>
    <w:rsid w:val="00121525"/>
    <w:rsid w:val="001217D9"/>
    <w:rsid w:val="00121841"/>
    <w:rsid w:val="00121945"/>
    <w:rsid w:val="00121A00"/>
    <w:rsid w:val="00121A1C"/>
    <w:rsid w:val="00121ABD"/>
    <w:rsid w:val="00121F6F"/>
    <w:rsid w:val="00121FB1"/>
    <w:rsid w:val="001220A9"/>
    <w:rsid w:val="001221B4"/>
    <w:rsid w:val="001221F8"/>
    <w:rsid w:val="00122381"/>
    <w:rsid w:val="00122390"/>
    <w:rsid w:val="001223CC"/>
    <w:rsid w:val="00122467"/>
    <w:rsid w:val="00122582"/>
    <w:rsid w:val="0012258D"/>
    <w:rsid w:val="001225D3"/>
    <w:rsid w:val="001226C0"/>
    <w:rsid w:val="00122754"/>
    <w:rsid w:val="00122846"/>
    <w:rsid w:val="0012285D"/>
    <w:rsid w:val="0012296E"/>
    <w:rsid w:val="001229E6"/>
    <w:rsid w:val="00122B99"/>
    <w:rsid w:val="00122BD6"/>
    <w:rsid w:val="00122CBE"/>
    <w:rsid w:val="00122D74"/>
    <w:rsid w:val="00122FDF"/>
    <w:rsid w:val="00123033"/>
    <w:rsid w:val="00123241"/>
    <w:rsid w:val="00123333"/>
    <w:rsid w:val="0012340C"/>
    <w:rsid w:val="0012365F"/>
    <w:rsid w:val="00123A03"/>
    <w:rsid w:val="00123AA1"/>
    <w:rsid w:val="00123ABE"/>
    <w:rsid w:val="00123D9B"/>
    <w:rsid w:val="00123DE7"/>
    <w:rsid w:val="001246A9"/>
    <w:rsid w:val="00124ADE"/>
    <w:rsid w:val="00124E48"/>
    <w:rsid w:val="00124E90"/>
    <w:rsid w:val="00124EAC"/>
    <w:rsid w:val="001250DB"/>
    <w:rsid w:val="00125361"/>
    <w:rsid w:val="0012538A"/>
    <w:rsid w:val="00125B9A"/>
    <w:rsid w:val="00125BE0"/>
    <w:rsid w:val="00125CEE"/>
    <w:rsid w:val="00125F2E"/>
    <w:rsid w:val="00125F75"/>
    <w:rsid w:val="00125FC9"/>
    <w:rsid w:val="00126034"/>
    <w:rsid w:val="00126172"/>
    <w:rsid w:val="001263DF"/>
    <w:rsid w:val="0012642F"/>
    <w:rsid w:val="001265B7"/>
    <w:rsid w:val="001265C4"/>
    <w:rsid w:val="00126630"/>
    <w:rsid w:val="00126E39"/>
    <w:rsid w:val="00127170"/>
    <w:rsid w:val="0012738E"/>
    <w:rsid w:val="00127395"/>
    <w:rsid w:val="001274BD"/>
    <w:rsid w:val="001274EB"/>
    <w:rsid w:val="0012759A"/>
    <w:rsid w:val="00127831"/>
    <w:rsid w:val="00127B1C"/>
    <w:rsid w:val="00127CA6"/>
    <w:rsid w:val="00127D37"/>
    <w:rsid w:val="00127DEA"/>
    <w:rsid w:val="00127E48"/>
    <w:rsid w:val="00127F86"/>
    <w:rsid w:val="001304B4"/>
    <w:rsid w:val="001304C7"/>
    <w:rsid w:val="001307D6"/>
    <w:rsid w:val="00130A0F"/>
    <w:rsid w:val="00130A26"/>
    <w:rsid w:val="00130ADB"/>
    <w:rsid w:val="00130D63"/>
    <w:rsid w:val="00130D6E"/>
    <w:rsid w:val="00131087"/>
    <w:rsid w:val="001311B3"/>
    <w:rsid w:val="001315A7"/>
    <w:rsid w:val="001315E1"/>
    <w:rsid w:val="00131681"/>
    <w:rsid w:val="00131748"/>
    <w:rsid w:val="0013195C"/>
    <w:rsid w:val="00131AC8"/>
    <w:rsid w:val="00131B8B"/>
    <w:rsid w:val="00131BC1"/>
    <w:rsid w:val="00131D30"/>
    <w:rsid w:val="00131FE1"/>
    <w:rsid w:val="001320D6"/>
    <w:rsid w:val="0013224C"/>
    <w:rsid w:val="001323A2"/>
    <w:rsid w:val="001323FD"/>
    <w:rsid w:val="00132614"/>
    <w:rsid w:val="0013265B"/>
    <w:rsid w:val="00132966"/>
    <w:rsid w:val="001329AB"/>
    <w:rsid w:val="00132B22"/>
    <w:rsid w:val="00132C7F"/>
    <w:rsid w:val="00132D16"/>
    <w:rsid w:val="00132DF2"/>
    <w:rsid w:val="001330F5"/>
    <w:rsid w:val="001334B0"/>
    <w:rsid w:val="0013373C"/>
    <w:rsid w:val="00133869"/>
    <w:rsid w:val="00133960"/>
    <w:rsid w:val="00133A60"/>
    <w:rsid w:val="00133AEF"/>
    <w:rsid w:val="00133E06"/>
    <w:rsid w:val="00133F4C"/>
    <w:rsid w:val="001340A6"/>
    <w:rsid w:val="001341AC"/>
    <w:rsid w:val="00134519"/>
    <w:rsid w:val="001345BA"/>
    <w:rsid w:val="0013475A"/>
    <w:rsid w:val="001347B1"/>
    <w:rsid w:val="001347E5"/>
    <w:rsid w:val="00134A34"/>
    <w:rsid w:val="00134C03"/>
    <w:rsid w:val="00134C4D"/>
    <w:rsid w:val="00134DA9"/>
    <w:rsid w:val="00135284"/>
    <w:rsid w:val="001352DA"/>
    <w:rsid w:val="00135381"/>
    <w:rsid w:val="00135440"/>
    <w:rsid w:val="00135528"/>
    <w:rsid w:val="00135678"/>
    <w:rsid w:val="001356EA"/>
    <w:rsid w:val="001358C1"/>
    <w:rsid w:val="00135A07"/>
    <w:rsid w:val="00135AA6"/>
    <w:rsid w:val="00135B69"/>
    <w:rsid w:val="00135C70"/>
    <w:rsid w:val="00135ED4"/>
    <w:rsid w:val="00135F09"/>
    <w:rsid w:val="001360BC"/>
    <w:rsid w:val="001365DE"/>
    <w:rsid w:val="00136623"/>
    <w:rsid w:val="00136798"/>
    <w:rsid w:val="0013681D"/>
    <w:rsid w:val="0013682E"/>
    <w:rsid w:val="00136877"/>
    <w:rsid w:val="001369B7"/>
    <w:rsid w:val="00136B80"/>
    <w:rsid w:val="00136DBC"/>
    <w:rsid w:val="00136DDC"/>
    <w:rsid w:val="00136F8D"/>
    <w:rsid w:val="001374EE"/>
    <w:rsid w:val="0013771A"/>
    <w:rsid w:val="00137867"/>
    <w:rsid w:val="001378D8"/>
    <w:rsid w:val="00137A53"/>
    <w:rsid w:val="00137BFD"/>
    <w:rsid w:val="00137DAD"/>
    <w:rsid w:val="001401EB"/>
    <w:rsid w:val="001405EB"/>
    <w:rsid w:val="001406E7"/>
    <w:rsid w:val="00140788"/>
    <w:rsid w:val="001407FB"/>
    <w:rsid w:val="00140816"/>
    <w:rsid w:val="00140824"/>
    <w:rsid w:val="00140851"/>
    <w:rsid w:val="0014098E"/>
    <w:rsid w:val="00140B2A"/>
    <w:rsid w:val="00140B6B"/>
    <w:rsid w:val="00140CDF"/>
    <w:rsid w:val="00140EC8"/>
    <w:rsid w:val="00141110"/>
    <w:rsid w:val="00141122"/>
    <w:rsid w:val="00141205"/>
    <w:rsid w:val="001416F2"/>
    <w:rsid w:val="001417AF"/>
    <w:rsid w:val="00141A07"/>
    <w:rsid w:val="00141D7C"/>
    <w:rsid w:val="00141F66"/>
    <w:rsid w:val="001423A0"/>
    <w:rsid w:val="00142821"/>
    <w:rsid w:val="001428DB"/>
    <w:rsid w:val="0014293C"/>
    <w:rsid w:val="00142C58"/>
    <w:rsid w:val="00142D3B"/>
    <w:rsid w:val="00142DE0"/>
    <w:rsid w:val="0014312E"/>
    <w:rsid w:val="00143244"/>
    <w:rsid w:val="001432F6"/>
    <w:rsid w:val="0014339A"/>
    <w:rsid w:val="001433A2"/>
    <w:rsid w:val="00143545"/>
    <w:rsid w:val="00143601"/>
    <w:rsid w:val="001436F5"/>
    <w:rsid w:val="00143933"/>
    <w:rsid w:val="00143A6E"/>
    <w:rsid w:val="00143B4B"/>
    <w:rsid w:val="00143B51"/>
    <w:rsid w:val="00143B81"/>
    <w:rsid w:val="00143BFB"/>
    <w:rsid w:val="00144243"/>
    <w:rsid w:val="00144271"/>
    <w:rsid w:val="0014445F"/>
    <w:rsid w:val="001444D2"/>
    <w:rsid w:val="00144637"/>
    <w:rsid w:val="00144643"/>
    <w:rsid w:val="0014469C"/>
    <w:rsid w:val="00144994"/>
    <w:rsid w:val="001449AD"/>
    <w:rsid w:val="00144B44"/>
    <w:rsid w:val="00144D40"/>
    <w:rsid w:val="00144DF1"/>
    <w:rsid w:val="00144F43"/>
    <w:rsid w:val="001451B4"/>
    <w:rsid w:val="001451FC"/>
    <w:rsid w:val="0014523D"/>
    <w:rsid w:val="0014525E"/>
    <w:rsid w:val="00145A5F"/>
    <w:rsid w:val="00145B3F"/>
    <w:rsid w:val="00145CAF"/>
    <w:rsid w:val="00145DED"/>
    <w:rsid w:val="00145E0B"/>
    <w:rsid w:val="00146054"/>
    <w:rsid w:val="001461CA"/>
    <w:rsid w:val="001461F6"/>
    <w:rsid w:val="00146259"/>
    <w:rsid w:val="0014631E"/>
    <w:rsid w:val="001463F0"/>
    <w:rsid w:val="0014640F"/>
    <w:rsid w:val="00146620"/>
    <w:rsid w:val="00146914"/>
    <w:rsid w:val="00146AAF"/>
    <w:rsid w:val="00146C5F"/>
    <w:rsid w:val="00146C91"/>
    <w:rsid w:val="00147182"/>
    <w:rsid w:val="0014760A"/>
    <w:rsid w:val="00147803"/>
    <w:rsid w:val="00147A10"/>
    <w:rsid w:val="00147A8F"/>
    <w:rsid w:val="00147B2E"/>
    <w:rsid w:val="00147C53"/>
    <w:rsid w:val="00147C6E"/>
    <w:rsid w:val="00147C82"/>
    <w:rsid w:val="00147D5E"/>
    <w:rsid w:val="00147F98"/>
    <w:rsid w:val="00150294"/>
    <w:rsid w:val="001506AD"/>
    <w:rsid w:val="001506E9"/>
    <w:rsid w:val="001508A3"/>
    <w:rsid w:val="001508BB"/>
    <w:rsid w:val="00150904"/>
    <w:rsid w:val="00150A2F"/>
    <w:rsid w:val="00150D45"/>
    <w:rsid w:val="00150DE7"/>
    <w:rsid w:val="00150F58"/>
    <w:rsid w:val="00151103"/>
    <w:rsid w:val="0015144F"/>
    <w:rsid w:val="00152245"/>
    <w:rsid w:val="00152428"/>
    <w:rsid w:val="001525A7"/>
    <w:rsid w:val="0015279F"/>
    <w:rsid w:val="001527B8"/>
    <w:rsid w:val="00152847"/>
    <w:rsid w:val="00152981"/>
    <w:rsid w:val="00152ACB"/>
    <w:rsid w:val="00152B3E"/>
    <w:rsid w:val="00152B41"/>
    <w:rsid w:val="00152DA3"/>
    <w:rsid w:val="00153224"/>
    <w:rsid w:val="001532CB"/>
    <w:rsid w:val="00153A1A"/>
    <w:rsid w:val="00153A7A"/>
    <w:rsid w:val="00153ACF"/>
    <w:rsid w:val="00153C4E"/>
    <w:rsid w:val="00153FB7"/>
    <w:rsid w:val="001541A4"/>
    <w:rsid w:val="0015433E"/>
    <w:rsid w:val="0015458B"/>
    <w:rsid w:val="001548FE"/>
    <w:rsid w:val="00154B67"/>
    <w:rsid w:val="00154BA2"/>
    <w:rsid w:val="00154CC5"/>
    <w:rsid w:val="00154E20"/>
    <w:rsid w:val="00155019"/>
    <w:rsid w:val="001551EA"/>
    <w:rsid w:val="001554A6"/>
    <w:rsid w:val="00155513"/>
    <w:rsid w:val="001555B5"/>
    <w:rsid w:val="00155926"/>
    <w:rsid w:val="00155A8D"/>
    <w:rsid w:val="00155B56"/>
    <w:rsid w:val="00155C64"/>
    <w:rsid w:val="00155C8F"/>
    <w:rsid w:val="00155D0A"/>
    <w:rsid w:val="00155DCF"/>
    <w:rsid w:val="0015605E"/>
    <w:rsid w:val="001560FF"/>
    <w:rsid w:val="00156442"/>
    <w:rsid w:val="0015659D"/>
    <w:rsid w:val="001568B3"/>
    <w:rsid w:val="00156C7B"/>
    <w:rsid w:val="00156CCD"/>
    <w:rsid w:val="00156CE0"/>
    <w:rsid w:val="00156D30"/>
    <w:rsid w:val="00157075"/>
    <w:rsid w:val="001571E3"/>
    <w:rsid w:val="0015733E"/>
    <w:rsid w:val="00157366"/>
    <w:rsid w:val="001574BE"/>
    <w:rsid w:val="00157524"/>
    <w:rsid w:val="0015767F"/>
    <w:rsid w:val="001576B6"/>
    <w:rsid w:val="001578A4"/>
    <w:rsid w:val="00157A41"/>
    <w:rsid w:val="00157A52"/>
    <w:rsid w:val="00157C6A"/>
    <w:rsid w:val="00157DAD"/>
    <w:rsid w:val="00157F39"/>
    <w:rsid w:val="00157F6E"/>
    <w:rsid w:val="00160049"/>
    <w:rsid w:val="00160132"/>
    <w:rsid w:val="0016043F"/>
    <w:rsid w:val="001604E2"/>
    <w:rsid w:val="00160586"/>
    <w:rsid w:val="00160801"/>
    <w:rsid w:val="0016088C"/>
    <w:rsid w:val="001608AE"/>
    <w:rsid w:val="00160924"/>
    <w:rsid w:val="0016093D"/>
    <w:rsid w:val="00160BB6"/>
    <w:rsid w:val="00160D3D"/>
    <w:rsid w:val="00161038"/>
    <w:rsid w:val="00161112"/>
    <w:rsid w:val="001612D2"/>
    <w:rsid w:val="001612E9"/>
    <w:rsid w:val="00161309"/>
    <w:rsid w:val="001614E5"/>
    <w:rsid w:val="001616B7"/>
    <w:rsid w:val="00161753"/>
    <w:rsid w:val="00161894"/>
    <w:rsid w:val="0016192D"/>
    <w:rsid w:val="00161A99"/>
    <w:rsid w:val="00161D47"/>
    <w:rsid w:val="00161F6B"/>
    <w:rsid w:val="00162058"/>
    <w:rsid w:val="0016224D"/>
    <w:rsid w:val="001623B4"/>
    <w:rsid w:val="00162553"/>
    <w:rsid w:val="001625C6"/>
    <w:rsid w:val="00162633"/>
    <w:rsid w:val="0016263F"/>
    <w:rsid w:val="00162A8C"/>
    <w:rsid w:val="00162C48"/>
    <w:rsid w:val="00162CF9"/>
    <w:rsid w:val="00162ED0"/>
    <w:rsid w:val="00163087"/>
    <w:rsid w:val="00163274"/>
    <w:rsid w:val="0016328F"/>
    <w:rsid w:val="001636E4"/>
    <w:rsid w:val="00163892"/>
    <w:rsid w:val="00163BE2"/>
    <w:rsid w:val="00163C20"/>
    <w:rsid w:val="00163CC7"/>
    <w:rsid w:val="00163D16"/>
    <w:rsid w:val="00163E0C"/>
    <w:rsid w:val="00163E73"/>
    <w:rsid w:val="00163EA4"/>
    <w:rsid w:val="00163FB0"/>
    <w:rsid w:val="001640F5"/>
    <w:rsid w:val="001641C7"/>
    <w:rsid w:val="00164206"/>
    <w:rsid w:val="00164297"/>
    <w:rsid w:val="00164352"/>
    <w:rsid w:val="001644BA"/>
    <w:rsid w:val="001646CB"/>
    <w:rsid w:val="00164740"/>
    <w:rsid w:val="0016493E"/>
    <w:rsid w:val="00164975"/>
    <w:rsid w:val="00164C7E"/>
    <w:rsid w:val="00164CF8"/>
    <w:rsid w:val="00164DCB"/>
    <w:rsid w:val="00164E17"/>
    <w:rsid w:val="00164E84"/>
    <w:rsid w:val="00164F46"/>
    <w:rsid w:val="00164F91"/>
    <w:rsid w:val="00164FE2"/>
    <w:rsid w:val="00165005"/>
    <w:rsid w:val="00165080"/>
    <w:rsid w:val="00165385"/>
    <w:rsid w:val="00165410"/>
    <w:rsid w:val="0016561D"/>
    <w:rsid w:val="001656B3"/>
    <w:rsid w:val="0016579E"/>
    <w:rsid w:val="001657D0"/>
    <w:rsid w:val="00165B5E"/>
    <w:rsid w:val="00165D00"/>
    <w:rsid w:val="00165EC0"/>
    <w:rsid w:val="0016603B"/>
    <w:rsid w:val="0016651B"/>
    <w:rsid w:val="00166666"/>
    <w:rsid w:val="0016681F"/>
    <w:rsid w:val="00166AFC"/>
    <w:rsid w:val="00167035"/>
    <w:rsid w:val="00167234"/>
    <w:rsid w:val="00167654"/>
    <w:rsid w:val="00167702"/>
    <w:rsid w:val="001677C7"/>
    <w:rsid w:val="001678C0"/>
    <w:rsid w:val="00167900"/>
    <w:rsid w:val="00167A4D"/>
    <w:rsid w:val="00167AC4"/>
    <w:rsid w:val="00167CDB"/>
    <w:rsid w:val="00167D88"/>
    <w:rsid w:val="00167E68"/>
    <w:rsid w:val="00167E7B"/>
    <w:rsid w:val="001700E9"/>
    <w:rsid w:val="0017030B"/>
    <w:rsid w:val="0017030D"/>
    <w:rsid w:val="00170469"/>
    <w:rsid w:val="00170734"/>
    <w:rsid w:val="00170AA7"/>
    <w:rsid w:val="00170C90"/>
    <w:rsid w:val="00170D00"/>
    <w:rsid w:val="00170E1C"/>
    <w:rsid w:val="00170F9D"/>
    <w:rsid w:val="0017125A"/>
    <w:rsid w:val="00171555"/>
    <w:rsid w:val="00171846"/>
    <w:rsid w:val="0017188E"/>
    <w:rsid w:val="001718BC"/>
    <w:rsid w:val="00171A77"/>
    <w:rsid w:val="00171BBE"/>
    <w:rsid w:val="00171E93"/>
    <w:rsid w:val="0017210B"/>
    <w:rsid w:val="00172173"/>
    <w:rsid w:val="0017245B"/>
    <w:rsid w:val="001724F8"/>
    <w:rsid w:val="0017274B"/>
    <w:rsid w:val="001727BE"/>
    <w:rsid w:val="00172978"/>
    <w:rsid w:val="00172A61"/>
    <w:rsid w:val="00172AE1"/>
    <w:rsid w:val="00172BCC"/>
    <w:rsid w:val="00172D17"/>
    <w:rsid w:val="00172EB7"/>
    <w:rsid w:val="00173116"/>
    <w:rsid w:val="0017318B"/>
    <w:rsid w:val="001737B7"/>
    <w:rsid w:val="00173B0F"/>
    <w:rsid w:val="00173B46"/>
    <w:rsid w:val="00173BCC"/>
    <w:rsid w:val="00173D9A"/>
    <w:rsid w:val="00173DB1"/>
    <w:rsid w:val="00173DCA"/>
    <w:rsid w:val="00173F42"/>
    <w:rsid w:val="00173F6E"/>
    <w:rsid w:val="00174005"/>
    <w:rsid w:val="00174028"/>
    <w:rsid w:val="001741E1"/>
    <w:rsid w:val="001742EF"/>
    <w:rsid w:val="00174385"/>
    <w:rsid w:val="00174647"/>
    <w:rsid w:val="00174867"/>
    <w:rsid w:val="00174906"/>
    <w:rsid w:val="0017492F"/>
    <w:rsid w:val="00174CD7"/>
    <w:rsid w:val="00174CFF"/>
    <w:rsid w:val="00174E82"/>
    <w:rsid w:val="00174E8C"/>
    <w:rsid w:val="00174FEC"/>
    <w:rsid w:val="00175362"/>
    <w:rsid w:val="001753C9"/>
    <w:rsid w:val="001755BB"/>
    <w:rsid w:val="001755CE"/>
    <w:rsid w:val="001756EA"/>
    <w:rsid w:val="001759ED"/>
    <w:rsid w:val="00175F8E"/>
    <w:rsid w:val="001762A1"/>
    <w:rsid w:val="001762C5"/>
    <w:rsid w:val="0017633D"/>
    <w:rsid w:val="001764A7"/>
    <w:rsid w:val="001764B2"/>
    <w:rsid w:val="001764CC"/>
    <w:rsid w:val="00176594"/>
    <w:rsid w:val="001766F6"/>
    <w:rsid w:val="00176835"/>
    <w:rsid w:val="00176956"/>
    <w:rsid w:val="0017699C"/>
    <w:rsid w:val="00176B07"/>
    <w:rsid w:val="00176B2E"/>
    <w:rsid w:val="00176B82"/>
    <w:rsid w:val="00176C80"/>
    <w:rsid w:val="0017702D"/>
    <w:rsid w:val="00177309"/>
    <w:rsid w:val="00177398"/>
    <w:rsid w:val="001773DC"/>
    <w:rsid w:val="0017796B"/>
    <w:rsid w:val="00177A3F"/>
    <w:rsid w:val="00177AE1"/>
    <w:rsid w:val="00177B8E"/>
    <w:rsid w:val="00177D16"/>
    <w:rsid w:val="00177D29"/>
    <w:rsid w:val="00177F14"/>
    <w:rsid w:val="0018014E"/>
    <w:rsid w:val="00180197"/>
    <w:rsid w:val="00180371"/>
    <w:rsid w:val="00180455"/>
    <w:rsid w:val="00180B0E"/>
    <w:rsid w:val="00180CA7"/>
    <w:rsid w:val="00180CEA"/>
    <w:rsid w:val="00180DEA"/>
    <w:rsid w:val="00180E66"/>
    <w:rsid w:val="00180ED6"/>
    <w:rsid w:val="00180F1C"/>
    <w:rsid w:val="00181372"/>
    <w:rsid w:val="00181659"/>
    <w:rsid w:val="0018165C"/>
    <w:rsid w:val="001816B5"/>
    <w:rsid w:val="001817BE"/>
    <w:rsid w:val="001817E1"/>
    <w:rsid w:val="0018191C"/>
    <w:rsid w:val="00181C57"/>
    <w:rsid w:val="00181DE9"/>
    <w:rsid w:val="00181EB3"/>
    <w:rsid w:val="00182179"/>
    <w:rsid w:val="00182529"/>
    <w:rsid w:val="00182768"/>
    <w:rsid w:val="00182AE0"/>
    <w:rsid w:val="00182CF8"/>
    <w:rsid w:val="00182F93"/>
    <w:rsid w:val="001830B0"/>
    <w:rsid w:val="001832E1"/>
    <w:rsid w:val="0018343B"/>
    <w:rsid w:val="00183506"/>
    <w:rsid w:val="0018353C"/>
    <w:rsid w:val="0018360D"/>
    <w:rsid w:val="0018360F"/>
    <w:rsid w:val="00183856"/>
    <w:rsid w:val="00183A2A"/>
    <w:rsid w:val="00183E45"/>
    <w:rsid w:val="00183E58"/>
    <w:rsid w:val="00183FA3"/>
    <w:rsid w:val="00184048"/>
    <w:rsid w:val="0018432E"/>
    <w:rsid w:val="0018444C"/>
    <w:rsid w:val="00184485"/>
    <w:rsid w:val="001844C2"/>
    <w:rsid w:val="00184826"/>
    <w:rsid w:val="00184A71"/>
    <w:rsid w:val="00184B69"/>
    <w:rsid w:val="00184E9F"/>
    <w:rsid w:val="00184EB9"/>
    <w:rsid w:val="00184F3D"/>
    <w:rsid w:val="00184FCF"/>
    <w:rsid w:val="0018521B"/>
    <w:rsid w:val="00185CAE"/>
    <w:rsid w:val="00185E9C"/>
    <w:rsid w:val="0018600C"/>
    <w:rsid w:val="00186218"/>
    <w:rsid w:val="00186572"/>
    <w:rsid w:val="00186585"/>
    <w:rsid w:val="00186775"/>
    <w:rsid w:val="0018678A"/>
    <w:rsid w:val="001867A9"/>
    <w:rsid w:val="001868C5"/>
    <w:rsid w:val="00186AB5"/>
    <w:rsid w:val="00186D7E"/>
    <w:rsid w:val="00186E06"/>
    <w:rsid w:val="001870B3"/>
    <w:rsid w:val="00187A1F"/>
    <w:rsid w:val="00187B59"/>
    <w:rsid w:val="00187B81"/>
    <w:rsid w:val="00187C15"/>
    <w:rsid w:val="00187D53"/>
    <w:rsid w:val="00190040"/>
    <w:rsid w:val="00190055"/>
    <w:rsid w:val="001900A5"/>
    <w:rsid w:val="00190252"/>
    <w:rsid w:val="00190289"/>
    <w:rsid w:val="001903E7"/>
    <w:rsid w:val="001904D2"/>
    <w:rsid w:val="0019062D"/>
    <w:rsid w:val="00190CB2"/>
    <w:rsid w:val="00190CFC"/>
    <w:rsid w:val="00191000"/>
    <w:rsid w:val="0019105D"/>
    <w:rsid w:val="00191124"/>
    <w:rsid w:val="00191678"/>
    <w:rsid w:val="00191AE6"/>
    <w:rsid w:val="00191D7A"/>
    <w:rsid w:val="00191E68"/>
    <w:rsid w:val="00191F68"/>
    <w:rsid w:val="00191FB9"/>
    <w:rsid w:val="0019211F"/>
    <w:rsid w:val="001924C9"/>
    <w:rsid w:val="00193238"/>
    <w:rsid w:val="0019326D"/>
    <w:rsid w:val="00193376"/>
    <w:rsid w:val="00193405"/>
    <w:rsid w:val="00193475"/>
    <w:rsid w:val="001934D5"/>
    <w:rsid w:val="00193506"/>
    <w:rsid w:val="00193717"/>
    <w:rsid w:val="00193764"/>
    <w:rsid w:val="00193B38"/>
    <w:rsid w:val="0019429E"/>
    <w:rsid w:val="0019445B"/>
    <w:rsid w:val="0019462D"/>
    <w:rsid w:val="00194732"/>
    <w:rsid w:val="0019491E"/>
    <w:rsid w:val="00194C6B"/>
    <w:rsid w:val="00194E42"/>
    <w:rsid w:val="001952E8"/>
    <w:rsid w:val="00195330"/>
    <w:rsid w:val="001953E5"/>
    <w:rsid w:val="001954D8"/>
    <w:rsid w:val="0019552D"/>
    <w:rsid w:val="001955D2"/>
    <w:rsid w:val="00195A1D"/>
    <w:rsid w:val="00195AE5"/>
    <w:rsid w:val="00195C76"/>
    <w:rsid w:val="00195CD3"/>
    <w:rsid w:val="00195EA2"/>
    <w:rsid w:val="00195EAC"/>
    <w:rsid w:val="00195F23"/>
    <w:rsid w:val="0019614F"/>
    <w:rsid w:val="001963E1"/>
    <w:rsid w:val="0019655C"/>
    <w:rsid w:val="0019666E"/>
    <w:rsid w:val="00196943"/>
    <w:rsid w:val="00196951"/>
    <w:rsid w:val="00196A47"/>
    <w:rsid w:val="00196B08"/>
    <w:rsid w:val="00196D7A"/>
    <w:rsid w:val="00197169"/>
    <w:rsid w:val="001975FF"/>
    <w:rsid w:val="00197657"/>
    <w:rsid w:val="001976CB"/>
    <w:rsid w:val="00197903"/>
    <w:rsid w:val="00197A59"/>
    <w:rsid w:val="00197AEE"/>
    <w:rsid w:val="001A0168"/>
    <w:rsid w:val="001A0183"/>
    <w:rsid w:val="001A018B"/>
    <w:rsid w:val="001A021C"/>
    <w:rsid w:val="001A0248"/>
    <w:rsid w:val="001A03A7"/>
    <w:rsid w:val="001A0529"/>
    <w:rsid w:val="001A05C2"/>
    <w:rsid w:val="001A0616"/>
    <w:rsid w:val="001A0992"/>
    <w:rsid w:val="001A0A9D"/>
    <w:rsid w:val="001A0B1D"/>
    <w:rsid w:val="001A0CE5"/>
    <w:rsid w:val="001A0D7C"/>
    <w:rsid w:val="001A0DF2"/>
    <w:rsid w:val="001A109D"/>
    <w:rsid w:val="001A124F"/>
    <w:rsid w:val="001A146A"/>
    <w:rsid w:val="001A1580"/>
    <w:rsid w:val="001A1751"/>
    <w:rsid w:val="001A1B61"/>
    <w:rsid w:val="001A1EE0"/>
    <w:rsid w:val="001A1FB2"/>
    <w:rsid w:val="001A2073"/>
    <w:rsid w:val="001A20ED"/>
    <w:rsid w:val="001A225B"/>
    <w:rsid w:val="001A2344"/>
    <w:rsid w:val="001A23F2"/>
    <w:rsid w:val="001A265C"/>
    <w:rsid w:val="001A2847"/>
    <w:rsid w:val="001A284F"/>
    <w:rsid w:val="001A2872"/>
    <w:rsid w:val="001A2882"/>
    <w:rsid w:val="001A2A79"/>
    <w:rsid w:val="001A2B19"/>
    <w:rsid w:val="001A2BE5"/>
    <w:rsid w:val="001A2D34"/>
    <w:rsid w:val="001A2D98"/>
    <w:rsid w:val="001A2F77"/>
    <w:rsid w:val="001A308D"/>
    <w:rsid w:val="001A31C4"/>
    <w:rsid w:val="001A32F4"/>
    <w:rsid w:val="001A3683"/>
    <w:rsid w:val="001A3876"/>
    <w:rsid w:val="001A3936"/>
    <w:rsid w:val="001A3E0B"/>
    <w:rsid w:val="001A3EB7"/>
    <w:rsid w:val="001A3EC3"/>
    <w:rsid w:val="001A3F27"/>
    <w:rsid w:val="001A3F99"/>
    <w:rsid w:val="001A4161"/>
    <w:rsid w:val="001A41B5"/>
    <w:rsid w:val="001A41BE"/>
    <w:rsid w:val="001A43E0"/>
    <w:rsid w:val="001A4645"/>
    <w:rsid w:val="001A4A3E"/>
    <w:rsid w:val="001A4AC6"/>
    <w:rsid w:val="001A4F57"/>
    <w:rsid w:val="001A5049"/>
    <w:rsid w:val="001A50A1"/>
    <w:rsid w:val="001A51BB"/>
    <w:rsid w:val="001A56C9"/>
    <w:rsid w:val="001A572D"/>
    <w:rsid w:val="001A5A2E"/>
    <w:rsid w:val="001A5A31"/>
    <w:rsid w:val="001A5A9E"/>
    <w:rsid w:val="001A5C51"/>
    <w:rsid w:val="001A5D67"/>
    <w:rsid w:val="001A5FC3"/>
    <w:rsid w:val="001A606D"/>
    <w:rsid w:val="001A62D2"/>
    <w:rsid w:val="001A631F"/>
    <w:rsid w:val="001A6494"/>
    <w:rsid w:val="001A653B"/>
    <w:rsid w:val="001A68CC"/>
    <w:rsid w:val="001A696B"/>
    <w:rsid w:val="001A6B5C"/>
    <w:rsid w:val="001A6BF3"/>
    <w:rsid w:val="001A6C44"/>
    <w:rsid w:val="001A6CC2"/>
    <w:rsid w:val="001A6FFA"/>
    <w:rsid w:val="001A752B"/>
    <w:rsid w:val="001A7628"/>
    <w:rsid w:val="001A774E"/>
    <w:rsid w:val="001A77AF"/>
    <w:rsid w:val="001A77D4"/>
    <w:rsid w:val="001A798D"/>
    <w:rsid w:val="001A79C1"/>
    <w:rsid w:val="001A7B0A"/>
    <w:rsid w:val="001A7D2E"/>
    <w:rsid w:val="001A7D75"/>
    <w:rsid w:val="001A7D85"/>
    <w:rsid w:val="001A7DF0"/>
    <w:rsid w:val="001A7FAE"/>
    <w:rsid w:val="001A7FE6"/>
    <w:rsid w:val="001B00F7"/>
    <w:rsid w:val="001B0492"/>
    <w:rsid w:val="001B054F"/>
    <w:rsid w:val="001B0867"/>
    <w:rsid w:val="001B0AF9"/>
    <w:rsid w:val="001B0B07"/>
    <w:rsid w:val="001B0B50"/>
    <w:rsid w:val="001B0C71"/>
    <w:rsid w:val="001B0C9A"/>
    <w:rsid w:val="001B0DAB"/>
    <w:rsid w:val="001B0E30"/>
    <w:rsid w:val="001B0F4C"/>
    <w:rsid w:val="001B120E"/>
    <w:rsid w:val="001B1761"/>
    <w:rsid w:val="001B1777"/>
    <w:rsid w:val="001B1859"/>
    <w:rsid w:val="001B1943"/>
    <w:rsid w:val="001B19A3"/>
    <w:rsid w:val="001B1D1A"/>
    <w:rsid w:val="001B2021"/>
    <w:rsid w:val="001B2064"/>
    <w:rsid w:val="001B216E"/>
    <w:rsid w:val="001B229E"/>
    <w:rsid w:val="001B2532"/>
    <w:rsid w:val="001B266F"/>
    <w:rsid w:val="001B29C1"/>
    <w:rsid w:val="001B2AE1"/>
    <w:rsid w:val="001B2B81"/>
    <w:rsid w:val="001B2CA4"/>
    <w:rsid w:val="001B2EAE"/>
    <w:rsid w:val="001B2FAA"/>
    <w:rsid w:val="001B353E"/>
    <w:rsid w:val="001B364B"/>
    <w:rsid w:val="001B37C8"/>
    <w:rsid w:val="001B38B6"/>
    <w:rsid w:val="001B3987"/>
    <w:rsid w:val="001B3A41"/>
    <w:rsid w:val="001B3C57"/>
    <w:rsid w:val="001B3D79"/>
    <w:rsid w:val="001B3DC5"/>
    <w:rsid w:val="001B3E69"/>
    <w:rsid w:val="001B42A1"/>
    <w:rsid w:val="001B447F"/>
    <w:rsid w:val="001B466F"/>
    <w:rsid w:val="001B4AA2"/>
    <w:rsid w:val="001B4D39"/>
    <w:rsid w:val="001B4DB4"/>
    <w:rsid w:val="001B4E8E"/>
    <w:rsid w:val="001B51A7"/>
    <w:rsid w:val="001B54E4"/>
    <w:rsid w:val="001B5580"/>
    <w:rsid w:val="001B57D1"/>
    <w:rsid w:val="001B5886"/>
    <w:rsid w:val="001B5CF4"/>
    <w:rsid w:val="001B5E4E"/>
    <w:rsid w:val="001B607D"/>
    <w:rsid w:val="001B61B6"/>
    <w:rsid w:val="001B6250"/>
    <w:rsid w:val="001B625C"/>
    <w:rsid w:val="001B6310"/>
    <w:rsid w:val="001B654C"/>
    <w:rsid w:val="001B6799"/>
    <w:rsid w:val="001B6823"/>
    <w:rsid w:val="001B69FC"/>
    <w:rsid w:val="001B6BCA"/>
    <w:rsid w:val="001B6CE8"/>
    <w:rsid w:val="001B6ECA"/>
    <w:rsid w:val="001B6F7D"/>
    <w:rsid w:val="001B6FF0"/>
    <w:rsid w:val="001B70CC"/>
    <w:rsid w:val="001B71CA"/>
    <w:rsid w:val="001B7236"/>
    <w:rsid w:val="001B72A0"/>
    <w:rsid w:val="001B72F7"/>
    <w:rsid w:val="001B7325"/>
    <w:rsid w:val="001B73F4"/>
    <w:rsid w:val="001B7492"/>
    <w:rsid w:val="001B76B6"/>
    <w:rsid w:val="001B78D5"/>
    <w:rsid w:val="001B796C"/>
    <w:rsid w:val="001B79B9"/>
    <w:rsid w:val="001B7A22"/>
    <w:rsid w:val="001B7ACB"/>
    <w:rsid w:val="001B7CA4"/>
    <w:rsid w:val="001B7F12"/>
    <w:rsid w:val="001C0009"/>
    <w:rsid w:val="001C00A4"/>
    <w:rsid w:val="001C00B2"/>
    <w:rsid w:val="001C0443"/>
    <w:rsid w:val="001C063E"/>
    <w:rsid w:val="001C06E0"/>
    <w:rsid w:val="001C0BA6"/>
    <w:rsid w:val="001C0BEC"/>
    <w:rsid w:val="001C0E55"/>
    <w:rsid w:val="001C1167"/>
    <w:rsid w:val="001C1462"/>
    <w:rsid w:val="001C148B"/>
    <w:rsid w:val="001C153D"/>
    <w:rsid w:val="001C1836"/>
    <w:rsid w:val="001C1946"/>
    <w:rsid w:val="001C19FA"/>
    <w:rsid w:val="001C1A03"/>
    <w:rsid w:val="001C1C70"/>
    <w:rsid w:val="001C1DA3"/>
    <w:rsid w:val="001C1FC1"/>
    <w:rsid w:val="001C20AF"/>
    <w:rsid w:val="001C22B9"/>
    <w:rsid w:val="001C22C1"/>
    <w:rsid w:val="001C22F8"/>
    <w:rsid w:val="001C236B"/>
    <w:rsid w:val="001C2596"/>
    <w:rsid w:val="001C25F0"/>
    <w:rsid w:val="001C25FC"/>
    <w:rsid w:val="001C27B9"/>
    <w:rsid w:val="001C28F7"/>
    <w:rsid w:val="001C2BB2"/>
    <w:rsid w:val="001C2BD7"/>
    <w:rsid w:val="001C2C7A"/>
    <w:rsid w:val="001C2D99"/>
    <w:rsid w:val="001C2E05"/>
    <w:rsid w:val="001C2EBE"/>
    <w:rsid w:val="001C3167"/>
    <w:rsid w:val="001C3218"/>
    <w:rsid w:val="001C3254"/>
    <w:rsid w:val="001C331D"/>
    <w:rsid w:val="001C3483"/>
    <w:rsid w:val="001C34D4"/>
    <w:rsid w:val="001C35E1"/>
    <w:rsid w:val="001C38C5"/>
    <w:rsid w:val="001C3AF2"/>
    <w:rsid w:val="001C3DF9"/>
    <w:rsid w:val="001C3E73"/>
    <w:rsid w:val="001C3F6A"/>
    <w:rsid w:val="001C411E"/>
    <w:rsid w:val="001C459F"/>
    <w:rsid w:val="001C46ED"/>
    <w:rsid w:val="001C47D6"/>
    <w:rsid w:val="001C4DE6"/>
    <w:rsid w:val="001C5249"/>
    <w:rsid w:val="001C5329"/>
    <w:rsid w:val="001C5580"/>
    <w:rsid w:val="001C55EA"/>
    <w:rsid w:val="001C5686"/>
    <w:rsid w:val="001C57D9"/>
    <w:rsid w:val="001C5C4D"/>
    <w:rsid w:val="001C5C9F"/>
    <w:rsid w:val="001C5CE0"/>
    <w:rsid w:val="001C5E29"/>
    <w:rsid w:val="001C6079"/>
    <w:rsid w:val="001C60D1"/>
    <w:rsid w:val="001C6251"/>
    <w:rsid w:val="001C67B4"/>
    <w:rsid w:val="001C6C5B"/>
    <w:rsid w:val="001C7011"/>
    <w:rsid w:val="001C705F"/>
    <w:rsid w:val="001C7253"/>
    <w:rsid w:val="001C7312"/>
    <w:rsid w:val="001C73DD"/>
    <w:rsid w:val="001C759A"/>
    <w:rsid w:val="001C7720"/>
    <w:rsid w:val="001C7B6C"/>
    <w:rsid w:val="001C7BC4"/>
    <w:rsid w:val="001C7CB0"/>
    <w:rsid w:val="001C7FF6"/>
    <w:rsid w:val="001D015F"/>
    <w:rsid w:val="001D0169"/>
    <w:rsid w:val="001D0238"/>
    <w:rsid w:val="001D026C"/>
    <w:rsid w:val="001D02D5"/>
    <w:rsid w:val="001D032C"/>
    <w:rsid w:val="001D05CF"/>
    <w:rsid w:val="001D093B"/>
    <w:rsid w:val="001D0CAE"/>
    <w:rsid w:val="001D0E7D"/>
    <w:rsid w:val="001D0F93"/>
    <w:rsid w:val="001D11EB"/>
    <w:rsid w:val="001D15C6"/>
    <w:rsid w:val="001D15CF"/>
    <w:rsid w:val="001D17A2"/>
    <w:rsid w:val="001D1A56"/>
    <w:rsid w:val="001D1DA3"/>
    <w:rsid w:val="001D1E5D"/>
    <w:rsid w:val="001D1F3A"/>
    <w:rsid w:val="001D2219"/>
    <w:rsid w:val="001D2351"/>
    <w:rsid w:val="001D2369"/>
    <w:rsid w:val="001D24D3"/>
    <w:rsid w:val="001D2577"/>
    <w:rsid w:val="001D26D4"/>
    <w:rsid w:val="001D2844"/>
    <w:rsid w:val="001D2B2C"/>
    <w:rsid w:val="001D3053"/>
    <w:rsid w:val="001D30E2"/>
    <w:rsid w:val="001D34A9"/>
    <w:rsid w:val="001D356D"/>
    <w:rsid w:val="001D391D"/>
    <w:rsid w:val="001D3AE6"/>
    <w:rsid w:val="001D3D7D"/>
    <w:rsid w:val="001D3FDD"/>
    <w:rsid w:val="001D407A"/>
    <w:rsid w:val="001D409A"/>
    <w:rsid w:val="001D4274"/>
    <w:rsid w:val="001D478B"/>
    <w:rsid w:val="001D490A"/>
    <w:rsid w:val="001D4AC3"/>
    <w:rsid w:val="001D4C36"/>
    <w:rsid w:val="001D4ECF"/>
    <w:rsid w:val="001D4EF1"/>
    <w:rsid w:val="001D5531"/>
    <w:rsid w:val="001D5581"/>
    <w:rsid w:val="001D56B8"/>
    <w:rsid w:val="001D5716"/>
    <w:rsid w:val="001D5754"/>
    <w:rsid w:val="001D58B0"/>
    <w:rsid w:val="001D5B49"/>
    <w:rsid w:val="001D628F"/>
    <w:rsid w:val="001D6531"/>
    <w:rsid w:val="001D667F"/>
    <w:rsid w:val="001D69C3"/>
    <w:rsid w:val="001D6A60"/>
    <w:rsid w:val="001D6BF3"/>
    <w:rsid w:val="001D6D45"/>
    <w:rsid w:val="001D6DA4"/>
    <w:rsid w:val="001D6E0A"/>
    <w:rsid w:val="001D7238"/>
    <w:rsid w:val="001D7330"/>
    <w:rsid w:val="001D73AF"/>
    <w:rsid w:val="001D73B2"/>
    <w:rsid w:val="001D761B"/>
    <w:rsid w:val="001D7766"/>
    <w:rsid w:val="001D79E3"/>
    <w:rsid w:val="001D7A64"/>
    <w:rsid w:val="001D7B18"/>
    <w:rsid w:val="001D7D1D"/>
    <w:rsid w:val="001D7D2A"/>
    <w:rsid w:val="001D7DD9"/>
    <w:rsid w:val="001E011D"/>
    <w:rsid w:val="001E08DC"/>
    <w:rsid w:val="001E0AC1"/>
    <w:rsid w:val="001E0EEE"/>
    <w:rsid w:val="001E125C"/>
    <w:rsid w:val="001E130D"/>
    <w:rsid w:val="001E1387"/>
    <w:rsid w:val="001E1429"/>
    <w:rsid w:val="001E187E"/>
    <w:rsid w:val="001E197E"/>
    <w:rsid w:val="001E1B9C"/>
    <w:rsid w:val="001E1BD9"/>
    <w:rsid w:val="001E1EB6"/>
    <w:rsid w:val="001E1F2B"/>
    <w:rsid w:val="001E2100"/>
    <w:rsid w:val="001E22BD"/>
    <w:rsid w:val="001E2451"/>
    <w:rsid w:val="001E27E1"/>
    <w:rsid w:val="001E2968"/>
    <w:rsid w:val="001E2A05"/>
    <w:rsid w:val="001E2AD5"/>
    <w:rsid w:val="001E2F06"/>
    <w:rsid w:val="001E3124"/>
    <w:rsid w:val="001E37E1"/>
    <w:rsid w:val="001E3827"/>
    <w:rsid w:val="001E38CE"/>
    <w:rsid w:val="001E3970"/>
    <w:rsid w:val="001E3C5D"/>
    <w:rsid w:val="001E3D63"/>
    <w:rsid w:val="001E3F7A"/>
    <w:rsid w:val="001E3F96"/>
    <w:rsid w:val="001E405D"/>
    <w:rsid w:val="001E40AA"/>
    <w:rsid w:val="001E425A"/>
    <w:rsid w:val="001E44F1"/>
    <w:rsid w:val="001E4530"/>
    <w:rsid w:val="001E4673"/>
    <w:rsid w:val="001E4699"/>
    <w:rsid w:val="001E4961"/>
    <w:rsid w:val="001E4AA2"/>
    <w:rsid w:val="001E4C2E"/>
    <w:rsid w:val="001E52BF"/>
    <w:rsid w:val="001E5306"/>
    <w:rsid w:val="001E5363"/>
    <w:rsid w:val="001E54D6"/>
    <w:rsid w:val="001E552C"/>
    <w:rsid w:val="001E56D9"/>
    <w:rsid w:val="001E575E"/>
    <w:rsid w:val="001E5883"/>
    <w:rsid w:val="001E5FC3"/>
    <w:rsid w:val="001E6010"/>
    <w:rsid w:val="001E6021"/>
    <w:rsid w:val="001E60E4"/>
    <w:rsid w:val="001E6495"/>
    <w:rsid w:val="001E66A7"/>
    <w:rsid w:val="001E66EB"/>
    <w:rsid w:val="001E6D82"/>
    <w:rsid w:val="001E6DBE"/>
    <w:rsid w:val="001E6F2A"/>
    <w:rsid w:val="001E6FF0"/>
    <w:rsid w:val="001E6FF2"/>
    <w:rsid w:val="001E701C"/>
    <w:rsid w:val="001E7204"/>
    <w:rsid w:val="001E731C"/>
    <w:rsid w:val="001E7328"/>
    <w:rsid w:val="001E7418"/>
    <w:rsid w:val="001E761A"/>
    <w:rsid w:val="001E7781"/>
    <w:rsid w:val="001E79E3"/>
    <w:rsid w:val="001E7AC9"/>
    <w:rsid w:val="001E7B9F"/>
    <w:rsid w:val="001E7D1B"/>
    <w:rsid w:val="001E7EC7"/>
    <w:rsid w:val="001E7F10"/>
    <w:rsid w:val="001F0198"/>
    <w:rsid w:val="001F02EE"/>
    <w:rsid w:val="001F0400"/>
    <w:rsid w:val="001F05DB"/>
    <w:rsid w:val="001F0748"/>
    <w:rsid w:val="001F0D4C"/>
    <w:rsid w:val="001F0FBC"/>
    <w:rsid w:val="001F10B7"/>
    <w:rsid w:val="001F11C3"/>
    <w:rsid w:val="001F1292"/>
    <w:rsid w:val="001F12D2"/>
    <w:rsid w:val="001F1401"/>
    <w:rsid w:val="001F160E"/>
    <w:rsid w:val="001F1A28"/>
    <w:rsid w:val="001F1B9A"/>
    <w:rsid w:val="001F1C1A"/>
    <w:rsid w:val="001F1D32"/>
    <w:rsid w:val="001F1E2F"/>
    <w:rsid w:val="001F21FD"/>
    <w:rsid w:val="001F2262"/>
    <w:rsid w:val="001F2445"/>
    <w:rsid w:val="001F25DC"/>
    <w:rsid w:val="001F2723"/>
    <w:rsid w:val="001F2813"/>
    <w:rsid w:val="001F293E"/>
    <w:rsid w:val="001F29F3"/>
    <w:rsid w:val="001F2C4E"/>
    <w:rsid w:val="001F30A6"/>
    <w:rsid w:val="001F3362"/>
    <w:rsid w:val="001F33EC"/>
    <w:rsid w:val="001F3709"/>
    <w:rsid w:val="001F3713"/>
    <w:rsid w:val="001F3974"/>
    <w:rsid w:val="001F3B50"/>
    <w:rsid w:val="001F3BDA"/>
    <w:rsid w:val="001F3BFF"/>
    <w:rsid w:val="001F3C5A"/>
    <w:rsid w:val="001F3C78"/>
    <w:rsid w:val="001F3FA3"/>
    <w:rsid w:val="001F4169"/>
    <w:rsid w:val="001F42E2"/>
    <w:rsid w:val="001F4375"/>
    <w:rsid w:val="001F4630"/>
    <w:rsid w:val="001F4774"/>
    <w:rsid w:val="001F4A03"/>
    <w:rsid w:val="001F4B1E"/>
    <w:rsid w:val="001F4C5B"/>
    <w:rsid w:val="001F4D43"/>
    <w:rsid w:val="001F4E75"/>
    <w:rsid w:val="001F4E78"/>
    <w:rsid w:val="001F5323"/>
    <w:rsid w:val="001F5335"/>
    <w:rsid w:val="001F53DE"/>
    <w:rsid w:val="001F558F"/>
    <w:rsid w:val="001F5624"/>
    <w:rsid w:val="001F5674"/>
    <w:rsid w:val="001F5712"/>
    <w:rsid w:val="001F573F"/>
    <w:rsid w:val="001F57E4"/>
    <w:rsid w:val="001F58AC"/>
    <w:rsid w:val="001F5AC8"/>
    <w:rsid w:val="001F5C61"/>
    <w:rsid w:val="001F5DBE"/>
    <w:rsid w:val="001F5DD8"/>
    <w:rsid w:val="001F5ED2"/>
    <w:rsid w:val="001F601A"/>
    <w:rsid w:val="001F6054"/>
    <w:rsid w:val="001F62C2"/>
    <w:rsid w:val="001F6382"/>
    <w:rsid w:val="001F63D3"/>
    <w:rsid w:val="001F64B1"/>
    <w:rsid w:val="001F64BF"/>
    <w:rsid w:val="001F64C3"/>
    <w:rsid w:val="001F6690"/>
    <w:rsid w:val="001F66C0"/>
    <w:rsid w:val="001F681C"/>
    <w:rsid w:val="001F6927"/>
    <w:rsid w:val="001F6A32"/>
    <w:rsid w:val="001F6AC9"/>
    <w:rsid w:val="001F6AE2"/>
    <w:rsid w:val="001F6BA3"/>
    <w:rsid w:val="001F6D75"/>
    <w:rsid w:val="001F708D"/>
    <w:rsid w:val="001F712E"/>
    <w:rsid w:val="001F727C"/>
    <w:rsid w:val="001F755E"/>
    <w:rsid w:val="001F7881"/>
    <w:rsid w:val="001F7B73"/>
    <w:rsid w:val="00200053"/>
    <w:rsid w:val="00200123"/>
    <w:rsid w:val="0020048F"/>
    <w:rsid w:val="002004BF"/>
    <w:rsid w:val="002004FB"/>
    <w:rsid w:val="002009BD"/>
    <w:rsid w:val="00200ADC"/>
    <w:rsid w:val="00200BD2"/>
    <w:rsid w:val="00200C34"/>
    <w:rsid w:val="00200D2B"/>
    <w:rsid w:val="00200D74"/>
    <w:rsid w:val="00200F56"/>
    <w:rsid w:val="00200FA3"/>
    <w:rsid w:val="0020153C"/>
    <w:rsid w:val="002015CF"/>
    <w:rsid w:val="002019E9"/>
    <w:rsid w:val="00201F69"/>
    <w:rsid w:val="00201F73"/>
    <w:rsid w:val="00202251"/>
    <w:rsid w:val="002022DD"/>
    <w:rsid w:val="002027D7"/>
    <w:rsid w:val="00202857"/>
    <w:rsid w:val="0020293D"/>
    <w:rsid w:val="00202B39"/>
    <w:rsid w:val="00202FAE"/>
    <w:rsid w:val="00203132"/>
    <w:rsid w:val="00203B95"/>
    <w:rsid w:val="00203DC6"/>
    <w:rsid w:val="00203E5D"/>
    <w:rsid w:val="002041EA"/>
    <w:rsid w:val="00204696"/>
    <w:rsid w:val="0020474D"/>
    <w:rsid w:val="00204900"/>
    <w:rsid w:val="0020499A"/>
    <w:rsid w:val="00204B90"/>
    <w:rsid w:val="00204B9D"/>
    <w:rsid w:val="00204BCA"/>
    <w:rsid w:val="00204C06"/>
    <w:rsid w:val="00204FAF"/>
    <w:rsid w:val="00205050"/>
    <w:rsid w:val="00205199"/>
    <w:rsid w:val="002056AC"/>
    <w:rsid w:val="0020572A"/>
    <w:rsid w:val="002059A8"/>
    <w:rsid w:val="00205BAC"/>
    <w:rsid w:val="00205C05"/>
    <w:rsid w:val="00205D08"/>
    <w:rsid w:val="00205DE2"/>
    <w:rsid w:val="00205F7F"/>
    <w:rsid w:val="002060E7"/>
    <w:rsid w:val="002061AA"/>
    <w:rsid w:val="0020640D"/>
    <w:rsid w:val="0020667A"/>
    <w:rsid w:val="00206895"/>
    <w:rsid w:val="00206908"/>
    <w:rsid w:val="00206998"/>
    <w:rsid w:val="002069DC"/>
    <w:rsid w:val="00206A7E"/>
    <w:rsid w:val="00206B54"/>
    <w:rsid w:val="00206BEF"/>
    <w:rsid w:val="00206C0E"/>
    <w:rsid w:val="00206CE8"/>
    <w:rsid w:val="00206F9C"/>
    <w:rsid w:val="002070A5"/>
    <w:rsid w:val="002070FA"/>
    <w:rsid w:val="002072F0"/>
    <w:rsid w:val="00207337"/>
    <w:rsid w:val="00207601"/>
    <w:rsid w:val="002077EE"/>
    <w:rsid w:val="00207A79"/>
    <w:rsid w:val="00207D38"/>
    <w:rsid w:val="00207DB2"/>
    <w:rsid w:val="00210083"/>
    <w:rsid w:val="00210117"/>
    <w:rsid w:val="00210164"/>
    <w:rsid w:val="00210397"/>
    <w:rsid w:val="002103DF"/>
    <w:rsid w:val="00210AAB"/>
    <w:rsid w:val="00210C46"/>
    <w:rsid w:val="00210D86"/>
    <w:rsid w:val="00210E84"/>
    <w:rsid w:val="00210E8E"/>
    <w:rsid w:val="00210EF4"/>
    <w:rsid w:val="002110C0"/>
    <w:rsid w:val="002110E7"/>
    <w:rsid w:val="00211427"/>
    <w:rsid w:val="00211479"/>
    <w:rsid w:val="002114FE"/>
    <w:rsid w:val="002116DE"/>
    <w:rsid w:val="0021184A"/>
    <w:rsid w:val="0021192A"/>
    <w:rsid w:val="002119A5"/>
    <w:rsid w:val="00211B50"/>
    <w:rsid w:val="00211C24"/>
    <w:rsid w:val="00211D0F"/>
    <w:rsid w:val="00211DF4"/>
    <w:rsid w:val="00211E9A"/>
    <w:rsid w:val="002120D1"/>
    <w:rsid w:val="00212126"/>
    <w:rsid w:val="002121DB"/>
    <w:rsid w:val="002121F7"/>
    <w:rsid w:val="002122FB"/>
    <w:rsid w:val="0021248C"/>
    <w:rsid w:val="002125DD"/>
    <w:rsid w:val="002126E3"/>
    <w:rsid w:val="00212762"/>
    <w:rsid w:val="00212845"/>
    <w:rsid w:val="002129FC"/>
    <w:rsid w:val="00212A6F"/>
    <w:rsid w:val="00212DD9"/>
    <w:rsid w:val="00212E8B"/>
    <w:rsid w:val="00212F2B"/>
    <w:rsid w:val="00212FC6"/>
    <w:rsid w:val="002133F9"/>
    <w:rsid w:val="0021345F"/>
    <w:rsid w:val="0021371E"/>
    <w:rsid w:val="002137AD"/>
    <w:rsid w:val="00213AB4"/>
    <w:rsid w:val="00213AC0"/>
    <w:rsid w:val="00213B11"/>
    <w:rsid w:val="00213D3C"/>
    <w:rsid w:val="00214106"/>
    <w:rsid w:val="00214293"/>
    <w:rsid w:val="00214663"/>
    <w:rsid w:val="0021466B"/>
    <w:rsid w:val="002146E3"/>
    <w:rsid w:val="00214A7E"/>
    <w:rsid w:val="00214C20"/>
    <w:rsid w:val="00214E1D"/>
    <w:rsid w:val="00215172"/>
    <w:rsid w:val="002152BC"/>
    <w:rsid w:val="00215305"/>
    <w:rsid w:val="00215307"/>
    <w:rsid w:val="0021575A"/>
    <w:rsid w:val="002158B0"/>
    <w:rsid w:val="00215A03"/>
    <w:rsid w:val="00215C51"/>
    <w:rsid w:val="00215E70"/>
    <w:rsid w:val="00216020"/>
    <w:rsid w:val="0021627D"/>
    <w:rsid w:val="002162A2"/>
    <w:rsid w:val="00216408"/>
    <w:rsid w:val="00216652"/>
    <w:rsid w:val="0021670C"/>
    <w:rsid w:val="00216959"/>
    <w:rsid w:val="00216DBD"/>
    <w:rsid w:val="00216FB5"/>
    <w:rsid w:val="002170EF"/>
    <w:rsid w:val="00217534"/>
    <w:rsid w:val="002175F7"/>
    <w:rsid w:val="0021765C"/>
    <w:rsid w:val="00217725"/>
    <w:rsid w:val="002178DE"/>
    <w:rsid w:val="00217AEF"/>
    <w:rsid w:val="00220108"/>
    <w:rsid w:val="0022012F"/>
    <w:rsid w:val="00220394"/>
    <w:rsid w:val="002203CF"/>
    <w:rsid w:val="00220A43"/>
    <w:rsid w:val="00220AB0"/>
    <w:rsid w:val="00220D0B"/>
    <w:rsid w:val="00220FBF"/>
    <w:rsid w:val="00220FFD"/>
    <w:rsid w:val="0022102D"/>
    <w:rsid w:val="002212DB"/>
    <w:rsid w:val="00221433"/>
    <w:rsid w:val="0022177A"/>
    <w:rsid w:val="00221795"/>
    <w:rsid w:val="00221A61"/>
    <w:rsid w:val="00221B25"/>
    <w:rsid w:val="00221DD7"/>
    <w:rsid w:val="0022206B"/>
    <w:rsid w:val="00222137"/>
    <w:rsid w:val="002221DA"/>
    <w:rsid w:val="00222412"/>
    <w:rsid w:val="002225E3"/>
    <w:rsid w:val="00222771"/>
    <w:rsid w:val="00222D8E"/>
    <w:rsid w:val="0022318C"/>
    <w:rsid w:val="00223397"/>
    <w:rsid w:val="0022344B"/>
    <w:rsid w:val="0022386E"/>
    <w:rsid w:val="002238FF"/>
    <w:rsid w:val="0022395E"/>
    <w:rsid w:val="00223B03"/>
    <w:rsid w:val="00223C73"/>
    <w:rsid w:val="00223CC8"/>
    <w:rsid w:val="00223FCF"/>
    <w:rsid w:val="00224018"/>
    <w:rsid w:val="002240CE"/>
    <w:rsid w:val="00224561"/>
    <w:rsid w:val="00224731"/>
    <w:rsid w:val="00224C1A"/>
    <w:rsid w:val="00224CF9"/>
    <w:rsid w:val="00224E65"/>
    <w:rsid w:val="00224F2A"/>
    <w:rsid w:val="002251A8"/>
    <w:rsid w:val="002252BF"/>
    <w:rsid w:val="00225605"/>
    <w:rsid w:val="00225745"/>
    <w:rsid w:val="002257C8"/>
    <w:rsid w:val="00225998"/>
    <w:rsid w:val="00225A74"/>
    <w:rsid w:val="00225C0E"/>
    <w:rsid w:val="00225DFA"/>
    <w:rsid w:val="00225EA7"/>
    <w:rsid w:val="00226204"/>
    <w:rsid w:val="002265BA"/>
    <w:rsid w:val="0022668D"/>
    <w:rsid w:val="00226AAD"/>
    <w:rsid w:val="00226AE2"/>
    <w:rsid w:val="00226AEC"/>
    <w:rsid w:val="00226EBC"/>
    <w:rsid w:val="0022705B"/>
    <w:rsid w:val="0022705E"/>
    <w:rsid w:val="00227241"/>
    <w:rsid w:val="00227326"/>
    <w:rsid w:val="00227392"/>
    <w:rsid w:val="00227494"/>
    <w:rsid w:val="00227CFB"/>
    <w:rsid w:val="00227D33"/>
    <w:rsid w:val="00227D8F"/>
    <w:rsid w:val="00227DAA"/>
    <w:rsid w:val="00227E7B"/>
    <w:rsid w:val="00227F55"/>
    <w:rsid w:val="002303C7"/>
    <w:rsid w:val="00230457"/>
    <w:rsid w:val="002306FD"/>
    <w:rsid w:val="0023076D"/>
    <w:rsid w:val="002308F0"/>
    <w:rsid w:val="00230A54"/>
    <w:rsid w:val="00230B21"/>
    <w:rsid w:val="00230DAB"/>
    <w:rsid w:val="00230EF7"/>
    <w:rsid w:val="00230EFB"/>
    <w:rsid w:val="00230FB0"/>
    <w:rsid w:val="00230FC9"/>
    <w:rsid w:val="00231475"/>
    <w:rsid w:val="00231495"/>
    <w:rsid w:val="002317FE"/>
    <w:rsid w:val="00231992"/>
    <w:rsid w:val="00231A00"/>
    <w:rsid w:val="00231A67"/>
    <w:rsid w:val="00231B0A"/>
    <w:rsid w:val="00231C39"/>
    <w:rsid w:val="00231C3C"/>
    <w:rsid w:val="00232006"/>
    <w:rsid w:val="002320DC"/>
    <w:rsid w:val="0023225D"/>
    <w:rsid w:val="00232346"/>
    <w:rsid w:val="00232421"/>
    <w:rsid w:val="002324FB"/>
    <w:rsid w:val="002327A7"/>
    <w:rsid w:val="002327D2"/>
    <w:rsid w:val="00232913"/>
    <w:rsid w:val="00232A43"/>
    <w:rsid w:val="00232AC0"/>
    <w:rsid w:val="00232DEE"/>
    <w:rsid w:val="00232E47"/>
    <w:rsid w:val="00232ECB"/>
    <w:rsid w:val="00232EE6"/>
    <w:rsid w:val="00232EEF"/>
    <w:rsid w:val="00232F0C"/>
    <w:rsid w:val="00232FCC"/>
    <w:rsid w:val="002330AA"/>
    <w:rsid w:val="002331F7"/>
    <w:rsid w:val="0023331B"/>
    <w:rsid w:val="002336C1"/>
    <w:rsid w:val="0023386F"/>
    <w:rsid w:val="002339AD"/>
    <w:rsid w:val="002339C2"/>
    <w:rsid w:val="00233B12"/>
    <w:rsid w:val="00233CC9"/>
    <w:rsid w:val="00233CCF"/>
    <w:rsid w:val="00233E0D"/>
    <w:rsid w:val="00233FB3"/>
    <w:rsid w:val="00234004"/>
    <w:rsid w:val="002341BB"/>
    <w:rsid w:val="002342CD"/>
    <w:rsid w:val="0023447D"/>
    <w:rsid w:val="00234891"/>
    <w:rsid w:val="0023498B"/>
    <w:rsid w:val="00234B0B"/>
    <w:rsid w:val="00234B32"/>
    <w:rsid w:val="00234C98"/>
    <w:rsid w:val="00234CCC"/>
    <w:rsid w:val="00234D30"/>
    <w:rsid w:val="00234DBF"/>
    <w:rsid w:val="00234F21"/>
    <w:rsid w:val="00234FEA"/>
    <w:rsid w:val="00234FF7"/>
    <w:rsid w:val="002350DE"/>
    <w:rsid w:val="00235150"/>
    <w:rsid w:val="00235470"/>
    <w:rsid w:val="00235486"/>
    <w:rsid w:val="00235530"/>
    <w:rsid w:val="002357A2"/>
    <w:rsid w:val="002357CD"/>
    <w:rsid w:val="002358F2"/>
    <w:rsid w:val="002358FD"/>
    <w:rsid w:val="00235F94"/>
    <w:rsid w:val="0023609E"/>
    <w:rsid w:val="0023618D"/>
    <w:rsid w:val="002361AE"/>
    <w:rsid w:val="002361DA"/>
    <w:rsid w:val="0023635B"/>
    <w:rsid w:val="0023637E"/>
    <w:rsid w:val="002364E8"/>
    <w:rsid w:val="00236582"/>
    <w:rsid w:val="00236596"/>
    <w:rsid w:val="002365EA"/>
    <w:rsid w:val="0023661C"/>
    <w:rsid w:val="002366DE"/>
    <w:rsid w:val="0023678B"/>
    <w:rsid w:val="002368B8"/>
    <w:rsid w:val="002369C7"/>
    <w:rsid w:val="00236C6D"/>
    <w:rsid w:val="00236C9F"/>
    <w:rsid w:val="00236D6C"/>
    <w:rsid w:val="00236F8E"/>
    <w:rsid w:val="00237335"/>
    <w:rsid w:val="00237520"/>
    <w:rsid w:val="00237697"/>
    <w:rsid w:val="002376C8"/>
    <w:rsid w:val="0023776D"/>
    <w:rsid w:val="00237BFF"/>
    <w:rsid w:val="00237EBC"/>
    <w:rsid w:val="00240010"/>
    <w:rsid w:val="0024002D"/>
    <w:rsid w:val="002402D8"/>
    <w:rsid w:val="00240354"/>
    <w:rsid w:val="00240AC2"/>
    <w:rsid w:val="00240C16"/>
    <w:rsid w:val="00240CC1"/>
    <w:rsid w:val="00240CF8"/>
    <w:rsid w:val="00240E5E"/>
    <w:rsid w:val="00240EAC"/>
    <w:rsid w:val="00240EFF"/>
    <w:rsid w:val="00240F1D"/>
    <w:rsid w:val="002410DD"/>
    <w:rsid w:val="0024117B"/>
    <w:rsid w:val="00241214"/>
    <w:rsid w:val="00241303"/>
    <w:rsid w:val="002415E3"/>
    <w:rsid w:val="00241933"/>
    <w:rsid w:val="002419C4"/>
    <w:rsid w:val="00241B2B"/>
    <w:rsid w:val="00241B8F"/>
    <w:rsid w:val="00241C31"/>
    <w:rsid w:val="00241F66"/>
    <w:rsid w:val="00242116"/>
    <w:rsid w:val="0024228A"/>
    <w:rsid w:val="0024265F"/>
    <w:rsid w:val="002426E8"/>
    <w:rsid w:val="002427E5"/>
    <w:rsid w:val="002427F9"/>
    <w:rsid w:val="0024295E"/>
    <w:rsid w:val="00242A49"/>
    <w:rsid w:val="00242C6D"/>
    <w:rsid w:val="00242C99"/>
    <w:rsid w:val="00242CC8"/>
    <w:rsid w:val="00242D7C"/>
    <w:rsid w:val="00242D83"/>
    <w:rsid w:val="00242DAD"/>
    <w:rsid w:val="00242DF0"/>
    <w:rsid w:val="00242F2E"/>
    <w:rsid w:val="002430CC"/>
    <w:rsid w:val="0024328E"/>
    <w:rsid w:val="0024394F"/>
    <w:rsid w:val="002439F5"/>
    <w:rsid w:val="00243AD0"/>
    <w:rsid w:val="00243DD6"/>
    <w:rsid w:val="0024435A"/>
    <w:rsid w:val="00244680"/>
    <w:rsid w:val="00244743"/>
    <w:rsid w:val="0024487A"/>
    <w:rsid w:val="0024487C"/>
    <w:rsid w:val="002448DD"/>
    <w:rsid w:val="00244957"/>
    <w:rsid w:val="00244A02"/>
    <w:rsid w:val="00244BDA"/>
    <w:rsid w:val="00244C36"/>
    <w:rsid w:val="00244DC7"/>
    <w:rsid w:val="00244FAF"/>
    <w:rsid w:val="002451D7"/>
    <w:rsid w:val="0024538A"/>
    <w:rsid w:val="002454A2"/>
    <w:rsid w:val="00245687"/>
    <w:rsid w:val="00245AA6"/>
    <w:rsid w:val="00245BEB"/>
    <w:rsid w:val="00245DBC"/>
    <w:rsid w:val="00245ED5"/>
    <w:rsid w:val="00245FBA"/>
    <w:rsid w:val="00245FDD"/>
    <w:rsid w:val="00246216"/>
    <w:rsid w:val="002462DD"/>
    <w:rsid w:val="0024647F"/>
    <w:rsid w:val="00246718"/>
    <w:rsid w:val="00246C51"/>
    <w:rsid w:val="00246CE6"/>
    <w:rsid w:val="00246E68"/>
    <w:rsid w:val="00246E8A"/>
    <w:rsid w:val="00246EB9"/>
    <w:rsid w:val="00247099"/>
    <w:rsid w:val="00247168"/>
    <w:rsid w:val="00247691"/>
    <w:rsid w:val="0024781D"/>
    <w:rsid w:val="00247993"/>
    <w:rsid w:val="00247C8D"/>
    <w:rsid w:val="00247DC1"/>
    <w:rsid w:val="00247F59"/>
    <w:rsid w:val="0025004D"/>
    <w:rsid w:val="0025025D"/>
    <w:rsid w:val="00250374"/>
    <w:rsid w:val="0025064B"/>
    <w:rsid w:val="0025079B"/>
    <w:rsid w:val="00250990"/>
    <w:rsid w:val="00250A72"/>
    <w:rsid w:val="00250AF3"/>
    <w:rsid w:val="00250F23"/>
    <w:rsid w:val="00250F49"/>
    <w:rsid w:val="00251075"/>
    <w:rsid w:val="002511D3"/>
    <w:rsid w:val="002511DE"/>
    <w:rsid w:val="002514A5"/>
    <w:rsid w:val="002514CD"/>
    <w:rsid w:val="0025151B"/>
    <w:rsid w:val="002515CE"/>
    <w:rsid w:val="002515D0"/>
    <w:rsid w:val="00251C2C"/>
    <w:rsid w:val="00251C54"/>
    <w:rsid w:val="00251DE3"/>
    <w:rsid w:val="00251EA5"/>
    <w:rsid w:val="00252150"/>
    <w:rsid w:val="00252224"/>
    <w:rsid w:val="0025278B"/>
    <w:rsid w:val="00252880"/>
    <w:rsid w:val="00252A34"/>
    <w:rsid w:val="00252B83"/>
    <w:rsid w:val="00253014"/>
    <w:rsid w:val="00253065"/>
    <w:rsid w:val="002530B1"/>
    <w:rsid w:val="002534A0"/>
    <w:rsid w:val="00253649"/>
    <w:rsid w:val="00253938"/>
    <w:rsid w:val="00253AF5"/>
    <w:rsid w:val="00253AF8"/>
    <w:rsid w:val="00253D11"/>
    <w:rsid w:val="00253EA5"/>
    <w:rsid w:val="00253F1F"/>
    <w:rsid w:val="00253F5D"/>
    <w:rsid w:val="00253FCA"/>
    <w:rsid w:val="00253FDD"/>
    <w:rsid w:val="00254059"/>
    <w:rsid w:val="002540C3"/>
    <w:rsid w:val="002541D2"/>
    <w:rsid w:val="002542E1"/>
    <w:rsid w:val="00254630"/>
    <w:rsid w:val="00254695"/>
    <w:rsid w:val="0025470C"/>
    <w:rsid w:val="00254BCB"/>
    <w:rsid w:val="00254CB3"/>
    <w:rsid w:val="00254E30"/>
    <w:rsid w:val="00254E43"/>
    <w:rsid w:val="002550D9"/>
    <w:rsid w:val="002550E3"/>
    <w:rsid w:val="002550E9"/>
    <w:rsid w:val="00255318"/>
    <w:rsid w:val="00255338"/>
    <w:rsid w:val="0025579D"/>
    <w:rsid w:val="002559F9"/>
    <w:rsid w:val="002560DB"/>
    <w:rsid w:val="0025613D"/>
    <w:rsid w:val="002562F4"/>
    <w:rsid w:val="002566FD"/>
    <w:rsid w:val="0025683A"/>
    <w:rsid w:val="00256868"/>
    <w:rsid w:val="0025694D"/>
    <w:rsid w:val="00256EE0"/>
    <w:rsid w:val="00257038"/>
    <w:rsid w:val="00257060"/>
    <w:rsid w:val="00257397"/>
    <w:rsid w:val="0025740B"/>
    <w:rsid w:val="00257459"/>
    <w:rsid w:val="00257601"/>
    <w:rsid w:val="002578FA"/>
    <w:rsid w:val="00257B0E"/>
    <w:rsid w:val="00257CDD"/>
    <w:rsid w:val="00257D30"/>
    <w:rsid w:val="00257DCA"/>
    <w:rsid w:val="00257EB9"/>
    <w:rsid w:val="002605E5"/>
    <w:rsid w:val="0026070C"/>
    <w:rsid w:val="00260801"/>
    <w:rsid w:val="002609A6"/>
    <w:rsid w:val="00260B5E"/>
    <w:rsid w:val="00260EC4"/>
    <w:rsid w:val="00260FDA"/>
    <w:rsid w:val="0026100A"/>
    <w:rsid w:val="0026120B"/>
    <w:rsid w:val="0026122C"/>
    <w:rsid w:val="0026151A"/>
    <w:rsid w:val="0026158F"/>
    <w:rsid w:val="0026171C"/>
    <w:rsid w:val="00261B45"/>
    <w:rsid w:val="00261F8F"/>
    <w:rsid w:val="00261F96"/>
    <w:rsid w:val="0026219D"/>
    <w:rsid w:val="002622E6"/>
    <w:rsid w:val="002623D8"/>
    <w:rsid w:val="002623DB"/>
    <w:rsid w:val="00262426"/>
    <w:rsid w:val="00262526"/>
    <w:rsid w:val="00262B00"/>
    <w:rsid w:val="00262CAB"/>
    <w:rsid w:val="00262CCF"/>
    <w:rsid w:val="00262CE4"/>
    <w:rsid w:val="00262E66"/>
    <w:rsid w:val="002633E4"/>
    <w:rsid w:val="00263482"/>
    <w:rsid w:val="002634EE"/>
    <w:rsid w:val="00263578"/>
    <w:rsid w:val="002635EB"/>
    <w:rsid w:val="002635F3"/>
    <w:rsid w:val="002637D7"/>
    <w:rsid w:val="00263AF2"/>
    <w:rsid w:val="00263AF4"/>
    <w:rsid w:val="00263C31"/>
    <w:rsid w:val="00263E28"/>
    <w:rsid w:val="00263FAB"/>
    <w:rsid w:val="0026414D"/>
    <w:rsid w:val="0026419E"/>
    <w:rsid w:val="00264C7D"/>
    <w:rsid w:val="00264D5D"/>
    <w:rsid w:val="00264EE3"/>
    <w:rsid w:val="00264FE8"/>
    <w:rsid w:val="0026510E"/>
    <w:rsid w:val="0026510F"/>
    <w:rsid w:val="0026529B"/>
    <w:rsid w:val="002653DD"/>
    <w:rsid w:val="002654FC"/>
    <w:rsid w:val="002655F1"/>
    <w:rsid w:val="00265711"/>
    <w:rsid w:val="0026574F"/>
    <w:rsid w:val="00265883"/>
    <w:rsid w:val="00265A91"/>
    <w:rsid w:val="00265AD0"/>
    <w:rsid w:val="00265CD5"/>
    <w:rsid w:val="00265D75"/>
    <w:rsid w:val="00265E49"/>
    <w:rsid w:val="00265F62"/>
    <w:rsid w:val="00266018"/>
    <w:rsid w:val="00266112"/>
    <w:rsid w:val="0026666B"/>
    <w:rsid w:val="00266B38"/>
    <w:rsid w:val="00266D35"/>
    <w:rsid w:val="00266E1D"/>
    <w:rsid w:val="00266E7D"/>
    <w:rsid w:val="00266E90"/>
    <w:rsid w:val="00266EF5"/>
    <w:rsid w:val="002670DD"/>
    <w:rsid w:val="00267407"/>
    <w:rsid w:val="00267584"/>
    <w:rsid w:val="00267694"/>
    <w:rsid w:val="002676B6"/>
    <w:rsid w:val="002677DB"/>
    <w:rsid w:val="00267B97"/>
    <w:rsid w:val="00267C1B"/>
    <w:rsid w:val="00267ED2"/>
    <w:rsid w:val="0027009D"/>
    <w:rsid w:val="002701D8"/>
    <w:rsid w:val="00270425"/>
    <w:rsid w:val="00270839"/>
    <w:rsid w:val="00270A1E"/>
    <w:rsid w:val="00270C28"/>
    <w:rsid w:val="00270C86"/>
    <w:rsid w:val="00270CA7"/>
    <w:rsid w:val="00270D9B"/>
    <w:rsid w:val="00270DC0"/>
    <w:rsid w:val="00270E08"/>
    <w:rsid w:val="00271123"/>
    <w:rsid w:val="00271197"/>
    <w:rsid w:val="0027133F"/>
    <w:rsid w:val="00271397"/>
    <w:rsid w:val="0027139F"/>
    <w:rsid w:val="00271A16"/>
    <w:rsid w:val="00271BE9"/>
    <w:rsid w:val="00271ED5"/>
    <w:rsid w:val="00271F20"/>
    <w:rsid w:val="00271F2E"/>
    <w:rsid w:val="00272085"/>
    <w:rsid w:val="002722A1"/>
    <w:rsid w:val="002724BA"/>
    <w:rsid w:val="00272509"/>
    <w:rsid w:val="00272769"/>
    <w:rsid w:val="002727DB"/>
    <w:rsid w:val="00272D2A"/>
    <w:rsid w:val="00272E38"/>
    <w:rsid w:val="00273193"/>
    <w:rsid w:val="0027319A"/>
    <w:rsid w:val="002735CD"/>
    <w:rsid w:val="002735E0"/>
    <w:rsid w:val="00273666"/>
    <w:rsid w:val="002737A7"/>
    <w:rsid w:val="002737DA"/>
    <w:rsid w:val="0027380C"/>
    <w:rsid w:val="002738EE"/>
    <w:rsid w:val="00273939"/>
    <w:rsid w:val="00273BD4"/>
    <w:rsid w:val="00273C7C"/>
    <w:rsid w:val="00273E8A"/>
    <w:rsid w:val="00273FA9"/>
    <w:rsid w:val="002741BC"/>
    <w:rsid w:val="00274370"/>
    <w:rsid w:val="0027460C"/>
    <w:rsid w:val="002747E7"/>
    <w:rsid w:val="0027493D"/>
    <w:rsid w:val="00274A36"/>
    <w:rsid w:val="00274ADF"/>
    <w:rsid w:val="00274FFF"/>
    <w:rsid w:val="0027537A"/>
    <w:rsid w:val="0027548A"/>
    <w:rsid w:val="00275520"/>
    <w:rsid w:val="00275552"/>
    <w:rsid w:val="002757A5"/>
    <w:rsid w:val="00275C6D"/>
    <w:rsid w:val="00275CC6"/>
    <w:rsid w:val="00276066"/>
    <w:rsid w:val="002760E8"/>
    <w:rsid w:val="002761C7"/>
    <w:rsid w:val="002764FC"/>
    <w:rsid w:val="00276690"/>
    <w:rsid w:val="002766C2"/>
    <w:rsid w:val="00276ACA"/>
    <w:rsid w:val="00276BFA"/>
    <w:rsid w:val="00276C29"/>
    <w:rsid w:val="00276CE5"/>
    <w:rsid w:val="00276E45"/>
    <w:rsid w:val="00276E56"/>
    <w:rsid w:val="00277111"/>
    <w:rsid w:val="00277172"/>
    <w:rsid w:val="002773AF"/>
    <w:rsid w:val="00277499"/>
    <w:rsid w:val="002775D7"/>
    <w:rsid w:val="0027769B"/>
    <w:rsid w:val="00277713"/>
    <w:rsid w:val="00277A63"/>
    <w:rsid w:val="00277BBD"/>
    <w:rsid w:val="00277EDF"/>
    <w:rsid w:val="00280201"/>
    <w:rsid w:val="0028042A"/>
    <w:rsid w:val="00280671"/>
    <w:rsid w:val="002806D2"/>
    <w:rsid w:val="002807AA"/>
    <w:rsid w:val="00280A32"/>
    <w:rsid w:val="00280A45"/>
    <w:rsid w:val="00280B12"/>
    <w:rsid w:val="00280B2C"/>
    <w:rsid w:val="00280D58"/>
    <w:rsid w:val="00280E5B"/>
    <w:rsid w:val="00280E72"/>
    <w:rsid w:val="0028101A"/>
    <w:rsid w:val="0028102F"/>
    <w:rsid w:val="002811F1"/>
    <w:rsid w:val="00281394"/>
    <w:rsid w:val="002818F2"/>
    <w:rsid w:val="00281BB6"/>
    <w:rsid w:val="00281E0D"/>
    <w:rsid w:val="00282219"/>
    <w:rsid w:val="00282432"/>
    <w:rsid w:val="00282437"/>
    <w:rsid w:val="0028246C"/>
    <w:rsid w:val="002825C1"/>
    <w:rsid w:val="00282622"/>
    <w:rsid w:val="0028283B"/>
    <w:rsid w:val="00282DED"/>
    <w:rsid w:val="0028305E"/>
    <w:rsid w:val="002830E1"/>
    <w:rsid w:val="002830E3"/>
    <w:rsid w:val="00283155"/>
    <w:rsid w:val="00283198"/>
    <w:rsid w:val="002831D2"/>
    <w:rsid w:val="002831F4"/>
    <w:rsid w:val="00283481"/>
    <w:rsid w:val="0028357F"/>
    <w:rsid w:val="0028371F"/>
    <w:rsid w:val="00283786"/>
    <w:rsid w:val="00283807"/>
    <w:rsid w:val="00283AB9"/>
    <w:rsid w:val="00283AFB"/>
    <w:rsid w:val="00283C44"/>
    <w:rsid w:val="00283E39"/>
    <w:rsid w:val="002840FF"/>
    <w:rsid w:val="002849F5"/>
    <w:rsid w:val="00284B5F"/>
    <w:rsid w:val="00284BE1"/>
    <w:rsid w:val="00284C5A"/>
    <w:rsid w:val="00284C71"/>
    <w:rsid w:val="00284D14"/>
    <w:rsid w:val="00284D53"/>
    <w:rsid w:val="00284E72"/>
    <w:rsid w:val="00284FA8"/>
    <w:rsid w:val="00285029"/>
    <w:rsid w:val="002851D5"/>
    <w:rsid w:val="0028555E"/>
    <w:rsid w:val="002855E8"/>
    <w:rsid w:val="002856E6"/>
    <w:rsid w:val="0028588C"/>
    <w:rsid w:val="00285A1C"/>
    <w:rsid w:val="00285C6B"/>
    <w:rsid w:val="00285F0E"/>
    <w:rsid w:val="00286109"/>
    <w:rsid w:val="002861D6"/>
    <w:rsid w:val="00286307"/>
    <w:rsid w:val="002864FF"/>
    <w:rsid w:val="0028651A"/>
    <w:rsid w:val="002865D2"/>
    <w:rsid w:val="0028678E"/>
    <w:rsid w:val="00286DF0"/>
    <w:rsid w:val="002870BF"/>
    <w:rsid w:val="0028733C"/>
    <w:rsid w:val="00287491"/>
    <w:rsid w:val="0028793E"/>
    <w:rsid w:val="00287997"/>
    <w:rsid w:val="00287B34"/>
    <w:rsid w:val="00287B65"/>
    <w:rsid w:val="00287C91"/>
    <w:rsid w:val="00287E12"/>
    <w:rsid w:val="00287F62"/>
    <w:rsid w:val="00290770"/>
    <w:rsid w:val="00290B36"/>
    <w:rsid w:val="00290B3F"/>
    <w:rsid w:val="00290C9C"/>
    <w:rsid w:val="00290CE8"/>
    <w:rsid w:val="00290DE9"/>
    <w:rsid w:val="00290E4E"/>
    <w:rsid w:val="00290EC6"/>
    <w:rsid w:val="00291038"/>
    <w:rsid w:val="002910D0"/>
    <w:rsid w:val="00291496"/>
    <w:rsid w:val="00291512"/>
    <w:rsid w:val="00291655"/>
    <w:rsid w:val="002917BD"/>
    <w:rsid w:val="00291D27"/>
    <w:rsid w:val="00291EC9"/>
    <w:rsid w:val="002920EC"/>
    <w:rsid w:val="002921A5"/>
    <w:rsid w:val="002922BE"/>
    <w:rsid w:val="00292727"/>
    <w:rsid w:val="00292A98"/>
    <w:rsid w:val="00292D30"/>
    <w:rsid w:val="00292D5C"/>
    <w:rsid w:val="00292D9B"/>
    <w:rsid w:val="002930A9"/>
    <w:rsid w:val="00293465"/>
    <w:rsid w:val="002938A1"/>
    <w:rsid w:val="00293957"/>
    <w:rsid w:val="00293987"/>
    <w:rsid w:val="002939A2"/>
    <w:rsid w:val="002939A5"/>
    <w:rsid w:val="00293A30"/>
    <w:rsid w:val="00293A33"/>
    <w:rsid w:val="00293D33"/>
    <w:rsid w:val="00293FC3"/>
    <w:rsid w:val="00293FC9"/>
    <w:rsid w:val="002940A1"/>
    <w:rsid w:val="0029433E"/>
    <w:rsid w:val="002944C6"/>
    <w:rsid w:val="0029460A"/>
    <w:rsid w:val="00294871"/>
    <w:rsid w:val="00294BD5"/>
    <w:rsid w:val="00294DFD"/>
    <w:rsid w:val="00294E3A"/>
    <w:rsid w:val="00295516"/>
    <w:rsid w:val="002955EA"/>
    <w:rsid w:val="002959C4"/>
    <w:rsid w:val="00295B9A"/>
    <w:rsid w:val="00295C15"/>
    <w:rsid w:val="00295C59"/>
    <w:rsid w:val="00295F29"/>
    <w:rsid w:val="00296023"/>
    <w:rsid w:val="0029618B"/>
    <w:rsid w:val="002964EA"/>
    <w:rsid w:val="00296607"/>
    <w:rsid w:val="00296627"/>
    <w:rsid w:val="0029668F"/>
    <w:rsid w:val="002966A0"/>
    <w:rsid w:val="002967D4"/>
    <w:rsid w:val="00296D8A"/>
    <w:rsid w:val="00296E2A"/>
    <w:rsid w:val="00296E60"/>
    <w:rsid w:val="00297103"/>
    <w:rsid w:val="00297714"/>
    <w:rsid w:val="0029772A"/>
    <w:rsid w:val="0029772E"/>
    <w:rsid w:val="00297B19"/>
    <w:rsid w:val="00297CC1"/>
    <w:rsid w:val="00297F4E"/>
    <w:rsid w:val="00297FBE"/>
    <w:rsid w:val="002A0291"/>
    <w:rsid w:val="002A02D7"/>
    <w:rsid w:val="002A0389"/>
    <w:rsid w:val="002A0545"/>
    <w:rsid w:val="002A0681"/>
    <w:rsid w:val="002A0683"/>
    <w:rsid w:val="002A0790"/>
    <w:rsid w:val="002A07DD"/>
    <w:rsid w:val="002A09F8"/>
    <w:rsid w:val="002A0BCB"/>
    <w:rsid w:val="002A0BF2"/>
    <w:rsid w:val="002A0CCF"/>
    <w:rsid w:val="002A1133"/>
    <w:rsid w:val="002A1436"/>
    <w:rsid w:val="002A14A6"/>
    <w:rsid w:val="002A18DC"/>
    <w:rsid w:val="002A1D02"/>
    <w:rsid w:val="002A1D70"/>
    <w:rsid w:val="002A2144"/>
    <w:rsid w:val="002A232B"/>
    <w:rsid w:val="002A2982"/>
    <w:rsid w:val="002A29B2"/>
    <w:rsid w:val="002A2AB0"/>
    <w:rsid w:val="002A2C35"/>
    <w:rsid w:val="002A2CE6"/>
    <w:rsid w:val="002A3181"/>
    <w:rsid w:val="002A352C"/>
    <w:rsid w:val="002A373C"/>
    <w:rsid w:val="002A3747"/>
    <w:rsid w:val="002A38E9"/>
    <w:rsid w:val="002A3985"/>
    <w:rsid w:val="002A3A36"/>
    <w:rsid w:val="002A3BFF"/>
    <w:rsid w:val="002A4031"/>
    <w:rsid w:val="002A40E6"/>
    <w:rsid w:val="002A443B"/>
    <w:rsid w:val="002A4494"/>
    <w:rsid w:val="002A452E"/>
    <w:rsid w:val="002A4716"/>
    <w:rsid w:val="002A474A"/>
    <w:rsid w:val="002A4988"/>
    <w:rsid w:val="002A4A09"/>
    <w:rsid w:val="002A4A2B"/>
    <w:rsid w:val="002A4B74"/>
    <w:rsid w:val="002A4BC1"/>
    <w:rsid w:val="002A4D16"/>
    <w:rsid w:val="002A4E50"/>
    <w:rsid w:val="002A50F5"/>
    <w:rsid w:val="002A5668"/>
    <w:rsid w:val="002A5713"/>
    <w:rsid w:val="002A5727"/>
    <w:rsid w:val="002A576B"/>
    <w:rsid w:val="002A5867"/>
    <w:rsid w:val="002A5A1A"/>
    <w:rsid w:val="002A5BE8"/>
    <w:rsid w:val="002A5DD7"/>
    <w:rsid w:val="002A5E40"/>
    <w:rsid w:val="002A5FE2"/>
    <w:rsid w:val="002A61DC"/>
    <w:rsid w:val="002A633D"/>
    <w:rsid w:val="002A6439"/>
    <w:rsid w:val="002A668A"/>
    <w:rsid w:val="002A669B"/>
    <w:rsid w:val="002A6754"/>
    <w:rsid w:val="002A6928"/>
    <w:rsid w:val="002A6B5F"/>
    <w:rsid w:val="002A6C56"/>
    <w:rsid w:val="002A6CBB"/>
    <w:rsid w:val="002A6D4C"/>
    <w:rsid w:val="002A6D54"/>
    <w:rsid w:val="002A6DCF"/>
    <w:rsid w:val="002A6FA9"/>
    <w:rsid w:val="002A7127"/>
    <w:rsid w:val="002A7240"/>
    <w:rsid w:val="002A7520"/>
    <w:rsid w:val="002A7541"/>
    <w:rsid w:val="002A765A"/>
    <w:rsid w:val="002A7817"/>
    <w:rsid w:val="002A7A4F"/>
    <w:rsid w:val="002A7CB1"/>
    <w:rsid w:val="002A7D1E"/>
    <w:rsid w:val="002A7E30"/>
    <w:rsid w:val="002A7E40"/>
    <w:rsid w:val="002A7F43"/>
    <w:rsid w:val="002B0129"/>
    <w:rsid w:val="002B0377"/>
    <w:rsid w:val="002B06D7"/>
    <w:rsid w:val="002B0907"/>
    <w:rsid w:val="002B0CE2"/>
    <w:rsid w:val="002B0DF6"/>
    <w:rsid w:val="002B0F06"/>
    <w:rsid w:val="002B111F"/>
    <w:rsid w:val="002B1202"/>
    <w:rsid w:val="002B141D"/>
    <w:rsid w:val="002B149E"/>
    <w:rsid w:val="002B14A0"/>
    <w:rsid w:val="002B17FB"/>
    <w:rsid w:val="002B1942"/>
    <w:rsid w:val="002B1A75"/>
    <w:rsid w:val="002B1B6F"/>
    <w:rsid w:val="002B203B"/>
    <w:rsid w:val="002B2193"/>
    <w:rsid w:val="002B23A9"/>
    <w:rsid w:val="002B24B2"/>
    <w:rsid w:val="002B265A"/>
    <w:rsid w:val="002B26DA"/>
    <w:rsid w:val="002B2736"/>
    <w:rsid w:val="002B2983"/>
    <w:rsid w:val="002B29A5"/>
    <w:rsid w:val="002B29D6"/>
    <w:rsid w:val="002B2A57"/>
    <w:rsid w:val="002B2B49"/>
    <w:rsid w:val="002B2BD6"/>
    <w:rsid w:val="002B2CBB"/>
    <w:rsid w:val="002B3024"/>
    <w:rsid w:val="002B3194"/>
    <w:rsid w:val="002B33A0"/>
    <w:rsid w:val="002B342A"/>
    <w:rsid w:val="002B34ED"/>
    <w:rsid w:val="002B35B4"/>
    <w:rsid w:val="002B35F1"/>
    <w:rsid w:val="002B3724"/>
    <w:rsid w:val="002B391A"/>
    <w:rsid w:val="002B3CF9"/>
    <w:rsid w:val="002B4486"/>
    <w:rsid w:val="002B4596"/>
    <w:rsid w:val="002B4599"/>
    <w:rsid w:val="002B4928"/>
    <w:rsid w:val="002B4961"/>
    <w:rsid w:val="002B4A2D"/>
    <w:rsid w:val="002B50E2"/>
    <w:rsid w:val="002B510C"/>
    <w:rsid w:val="002B512F"/>
    <w:rsid w:val="002B53D7"/>
    <w:rsid w:val="002B5717"/>
    <w:rsid w:val="002B5958"/>
    <w:rsid w:val="002B5A9F"/>
    <w:rsid w:val="002B5AFD"/>
    <w:rsid w:val="002B5B37"/>
    <w:rsid w:val="002B5F57"/>
    <w:rsid w:val="002B5FF7"/>
    <w:rsid w:val="002B6075"/>
    <w:rsid w:val="002B6310"/>
    <w:rsid w:val="002B648C"/>
    <w:rsid w:val="002B657E"/>
    <w:rsid w:val="002B6863"/>
    <w:rsid w:val="002B68DF"/>
    <w:rsid w:val="002B6B06"/>
    <w:rsid w:val="002B6B83"/>
    <w:rsid w:val="002B6D22"/>
    <w:rsid w:val="002B6FB5"/>
    <w:rsid w:val="002B6FD7"/>
    <w:rsid w:val="002B700C"/>
    <w:rsid w:val="002B723A"/>
    <w:rsid w:val="002B73AB"/>
    <w:rsid w:val="002B7404"/>
    <w:rsid w:val="002B7683"/>
    <w:rsid w:val="002B78AF"/>
    <w:rsid w:val="002B7C07"/>
    <w:rsid w:val="002B7F30"/>
    <w:rsid w:val="002C0120"/>
    <w:rsid w:val="002C017F"/>
    <w:rsid w:val="002C034C"/>
    <w:rsid w:val="002C0395"/>
    <w:rsid w:val="002C040D"/>
    <w:rsid w:val="002C0435"/>
    <w:rsid w:val="002C0480"/>
    <w:rsid w:val="002C072D"/>
    <w:rsid w:val="002C0978"/>
    <w:rsid w:val="002C0C16"/>
    <w:rsid w:val="002C0D92"/>
    <w:rsid w:val="002C0DC1"/>
    <w:rsid w:val="002C0E5E"/>
    <w:rsid w:val="002C1004"/>
    <w:rsid w:val="002C1086"/>
    <w:rsid w:val="002C1120"/>
    <w:rsid w:val="002C1236"/>
    <w:rsid w:val="002C12FB"/>
    <w:rsid w:val="002C135E"/>
    <w:rsid w:val="002C14C3"/>
    <w:rsid w:val="002C15B3"/>
    <w:rsid w:val="002C1608"/>
    <w:rsid w:val="002C17D1"/>
    <w:rsid w:val="002C1B4B"/>
    <w:rsid w:val="002C1D8B"/>
    <w:rsid w:val="002C1F67"/>
    <w:rsid w:val="002C2011"/>
    <w:rsid w:val="002C2085"/>
    <w:rsid w:val="002C232E"/>
    <w:rsid w:val="002C254F"/>
    <w:rsid w:val="002C25BE"/>
    <w:rsid w:val="002C2843"/>
    <w:rsid w:val="002C2853"/>
    <w:rsid w:val="002C2860"/>
    <w:rsid w:val="002C2A0B"/>
    <w:rsid w:val="002C2A92"/>
    <w:rsid w:val="002C2BFF"/>
    <w:rsid w:val="002C2CDB"/>
    <w:rsid w:val="002C2D07"/>
    <w:rsid w:val="002C31D9"/>
    <w:rsid w:val="002C32C6"/>
    <w:rsid w:val="002C3335"/>
    <w:rsid w:val="002C34D6"/>
    <w:rsid w:val="002C34D8"/>
    <w:rsid w:val="002C37BB"/>
    <w:rsid w:val="002C3B55"/>
    <w:rsid w:val="002C3C39"/>
    <w:rsid w:val="002C3C8E"/>
    <w:rsid w:val="002C3CE9"/>
    <w:rsid w:val="002C3ED8"/>
    <w:rsid w:val="002C42BD"/>
    <w:rsid w:val="002C4461"/>
    <w:rsid w:val="002C4519"/>
    <w:rsid w:val="002C4745"/>
    <w:rsid w:val="002C49A1"/>
    <w:rsid w:val="002C4A73"/>
    <w:rsid w:val="002C4C9F"/>
    <w:rsid w:val="002C4D68"/>
    <w:rsid w:val="002C4DB0"/>
    <w:rsid w:val="002C4EE9"/>
    <w:rsid w:val="002C50AF"/>
    <w:rsid w:val="002C543F"/>
    <w:rsid w:val="002C55D0"/>
    <w:rsid w:val="002C56A7"/>
    <w:rsid w:val="002C5783"/>
    <w:rsid w:val="002C5990"/>
    <w:rsid w:val="002C5A8E"/>
    <w:rsid w:val="002C5B21"/>
    <w:rsid w:val="002C5B45"/>
    <w:rsid w:val="002C5D01"/>
    <w:rsid w:val="002C5ED9"/>
    <w:rsid w:val="002C6052"/>
    <w:rsid w:val="002C6055"/>
    <w:rsid w:val="002C60FF"/>
    <w:rsid w:val="002C62B9"/>
    <w:rsid w:val="002C6B52"/>
    <w:rsid w:val="002C6D2B"/>
    <w:rsid w:val="002C6DD1"/>
    <w:rsid w:val="002C6E66"/>
    <w:rsid w:val="002C6E91"/>
    <w:rsid w:val="002C6EB8"/>
    <w:rsid w:val="002C6EF0"/>
    <w:rsid w:val="002C6F67"/>
    <w:rsid w:val="002C7531"/>
    <w:rsid w:val="002C75D7"/>
    <w:rsid w:val="002C7889"/>
    <w:rsid w:val="002C78EF"/>
    <w:rsid w:val="002C790C"/>
    <w:rsid w:val="002C79E1"/>
    <w:rsid w:val="002C7AC8"/>
    <w:rsid w:val="002C7B28"/>
    <w:rsid w:val="002C7BE7"/>
    <w:rsid w:val="002C7C8E"/>
    <w:rsid w:val="002C7F7E"/>
    <w:rsid w:val="002C7FA9"/>
    <w:rsid w:val="002C7FCE"/>
    <w:rsid w:val="002D049F"/>
    <w:rsid w:val="002D0535"/>
    <w:rsid w:val="002D0720"/>
    <w:rsid w:val="002D0A43"/>
    <w:rsid w:val="002D0A79"/>
    <w:rsid w:val="002D0A93"/>
    <w:rsid w:val="002D0E34"/>
    <w:rsid w:val="002D11E2"/>
    <w:rsid w:val="002D13A4"/>
    <w:rsid w:val="002D1560"/>
    <w:rsid w:val="002D18EA"/>
    <w:rsid w:val="002D1D9C"/>
    <w:rsid w:val="002D1DE5"/>
    <w:rsid w:val="002D207E"/>
    <w:rsid w:val="002D2155"/>
    <w:rsid w:val="002D23DC"/>
    <w:rsid w:val="002D2651"/>
    <w:rsid w:val="002D2728"/>
    <w:rsid w:val="002D29BB"/>
    <w:rsid w:val="002D2A15"/>
    <w:rsid w:val="002D2BD7"/>
    <w:rsid w:val="002D2BF1"/>
    <w:rsid w:val="002D2EAE"/>
    <w:rsid w:val="002D2F64"/>
    <w:rsid w:val="002D3016"/>
    <w:rsid w:val="002D3388"/>
    <w:rsid w:val="002D36B8"/>
    <w:rsid w:val="002D373C"/>
    <w:rsid w:val="002D389B"/>
    <w:rsid w:val="002D38F9"/>
    <w:rsid w:val="002D3BC6"/>
    <w:rsid w:val="002D3E0B"/>
    <w:rsid w:val="002D3E34"/>
    <w:rsid w:val="002D3F18"/>
    <w:rsid w:val="002D3F64"/>
    <w:rsid w:val="002D40A3"/>
    <w:rsid w:val="002D40E2"/>
    <w:rsid w:val="002D4196"/>
    <w:rsid w:val="002D434E"/>
    <w:rsid w:val="002D43C0"/>
    <w:rsid w:val="002D4615"/>
    <w:rsid w:val="002D4877"/>
    <w:rsid w:val="002D4B18"/>
    <w:rsid w:val="002D4B38"/>
    <w:rsid w:val="002D4B6D"/>
    <w:rsid w:val="002D4F06"/>
    <w:rsid w:val="002D5239"/>
    <w:rsid w:val="002D5312"/>
    <w:rsid w:val="002D548B"/>
    <w:rsid w:val="002D578C"/>
    <w:rsid w:val="002D58F3"/>
    <w:rsid w:val="002D58F9"/>
    <w:rsid w:val="002D5B0A"/>
    <w:rsid w:val="002D5B19"/>
    <w:rsid w:val="002D5EE8"/>
    <w:rsid w:val="002D6057"/>
    <w:rsid w:val="002D618D"/>
    <w:rsid w:val="002D62B4"/>
    <w:rsid w:val="002D63CB"/>
    <w:rsid w:val="002D68EA"/>
    <w:rsid w:val="002D6D4A"/>
    <w:rsid w:val="002D6EC6"/>
    <w:rsid w:val="002D6F3C"/>
    <w:rsid w:val="002D6F83"/>
    <w:rsid w:val="002D7400"/>
    <w:rsid w:val="002D74F7"/>
    <w:rsid w:val="002D75BD"/>
    <w:rsid w:val="002D7616"/>
    <w:rsid w:val="002D77D4"/>
    <w:rsid w:val="002D78C3"/>
    <w:rsid w:val="002D793B"/>
    <w:rsid w:val="002D7B22"/>
    <w:rsid w:val="002D7B35"/>
    <w:rsid w:val="002D7B41"/>
    <w:rsid w:val="002D7B99"/>
    <w:rsid w:val="002D7D29"/>
    <w:rsid w:val="002D7E50"/>
    <w:rsid w:val="002D7F20"/>
    <w:rsid w:val="002E0103"/>
    <w:rsid w:val="002E042C"/>
    <w:rsid w:val="002E0477"/>
    <w:rsid w:val="002E0C15"/>
    <w:rsid w:val="002E0E24"/>
    <w:rsid w:val="002E0E89"/>
    <w:rsid w:val="002E0E91"/>
    <w:rsid w:val="002E14AD"/>
    <w:rsid w:val="002E14CE"/>
    <w:rsid w:val="002E1C0B"/>
    <w:rsid w:val="002E1DBF"/>
    <w:rsid w:val="002E218D"/>
    <w:rsid w:val="002E220A"/>
    <w:rsid w:val="002E24C1"/>
    <w:rsid w:val="002E2DBF"/>
    <w:rsid w:val="002E2F9B"/>
    <w:rsid w:val="002E300B"/>
    <w:rsid w:val="002E308E"/>
    <w:rsid w:val="002E319B"/>
    <w:rsid w:val="002E31B8"/>
    <w:rsid w:val="002E35A8"/>
    <w:rsid w:val="002E35EF"/>
    <w:rsid w:val="002E3650"/>
    <w:rsid w:val="002E3704"/>
    <w:rsid w:val="002E373A"/>
    <w:rsid w:val="002E37B3"/>
    <w:rsid w:val="002E37B8"/>
    <w:rsid w:val="002E37C5"/>
    <w:rsid w:val="002E3850"/>
    <w:rsid w:val="002E3C32"/>
    <w:rsid w:val="002E3EF2"/>
    <w:rsid w:val="002E41C7"/>
    <w:rsid w:val="002E4410"/>
    <w:rsid w:val="002E4496"/>
    <w:rsid w:val="002E4670"/>
    <w:rsid w:val="002E4693"/>
    <w:rsid w:val="002E4798"/>
    <w:rsid w:val="002E4941"/>
    <w:rsid w:val="002E496D"/>
    <w:rsid w:val="002E49BD"/>
    <w:rsid w:val="002E4D60"/>
    <w:rsid w:val="002E5031"/>
    <w:rsid w:val="002E5329"/>
    <w:rsid w:val="002E55CD"/>
    <w:rsid w:val="002E566A"/>
    <w:rsid w:val="002E57E5"/>
    <w:rsid w:val="002E5963"/>
    <w:rsid w:val="002E5A10"/>
    <w:rsid w:val="002E5B43"/>
    <w:rsid w:val="002E5B63"/>
    <w:rsid w:val="002E5E21"/>
    <w:rsid w:val="002E5FC0"/>
    <w:rsid w:val="002E6470"/>
    <w:rsid w:val="002E653B"/>
    <w:rsid w:val="002E6944"/>
    <w:rsid w:val="002E6AFC"/>
    <w:rsid w:val="002E6C04"/>
    <w:rsid w:val="002E6CF9"/>
    <w:rsid w:val="002E6DAE"/>
    <w:rsid w:val="002E71A7"/>
    <w:rsid w:val="002E71CD"/>
    <w:rsid w:val="002E735F"/>
    <w:rsid w:val="002E75FB"/>
    <w:rsid w:val="002E764E"/>
    <w:rsid w:val="002E7659"/>
    <w:rsid w:val="002E76A4"/>
    <w:rsid w:val="002E79AB"/>
    <w:rsid w:val="002E7F7D"/>
    <w:rsid w:val="002F01DF"/>
    <w:rsid w:val="002F05C6"/>
    <w:rsid w:val="002F080F"/>
    <w:rsid w:val="002F0BD9"/>
    <w:rsid w:val="002F0EBD"/>
    <w:rsid w:val="002F0F71"/>
    <w:rsid w:val="002F1011"/>
    <w:rsid w:val="002F1354"/>
    <w:rsid w:val="002F1383"/>
    <w:rsid w:val="002F1643"/>
    <w:rsid w:val="002F166F"/>
    <w:rsid w:val="002F1713"/>
    <w:rsid w:val="002F17AB"/>
    <w:rsid w:val="002F18D1"/>
    <w:rsid w:val="002F2067"/>
    <w:rsid w:val="002F2089"/>
    <w:rsid w:val="002F20CA"/>
    <w:rsid w:val="002F21F0"/>
    <w:rsid w:val="002F2351"/>
    <w:rsid w:val="002F2782"/>
    <w:rsid w:val="002F2B71"/>
    <w:rsid w:val="002F2B76"/>
    <w:rsid w:val="002F2BE0"/>
    <w:rsid w:val="002F2C81"/>
    <w:rsid w:val="002F2D52"/>
    <w:rsid w:val="002F2E17"/>
    <w:rsid w:val="002F2E86"/>
    <w:rsid w:val="002F2E94"/>
    <w:rsid w:val="002F318F"/>
    <w:rsid w:val="002F33E1"/>
    <w:rsid w:val="002F3532"/>
    <w:rsid w:val="002F38A9"/>
    <w:rsid w:val="002F3936"/>
    <w:rsid w:val="002F3A1D"/>
    <w:rsid w:val="002F3AAA"/>
    <w:rsid w:val="002F3C19"/>
    <w:rsid w:val="002F3D7C"/>
    <w:rsid w:val="002F4007"/>
    <w:rsid w:val="002F42C9"/>
    <w:rsid w:val="002F42D5"/>
    <w:rsid w:val="002F42EC"/>
    <w:rsid w:val="002F46EB"/>
    <w:rsid w:val="002F486F"/>
    <w:rsid w:val="002F4A42"/>
    <w:rsid w:val="002F4E5F"/>
    <w:rsid w:val="002F4F16"/>
    <w:rsid w:val="002F526F"/>
    <w:rsid w:val="002F531B"/>
    <w:rsid w:val="002F57DD"/>
    <w:rsid w:val="002F5926"/>
    <w:rsid w:val="002F5B90"/>
    <w:rsid w:val="002F5C02"/>
    <w:rsid w:val="002F5D3A"/>
    <w:rsid w:val="002F61E4"/>
    <w:rsid w:val="002F6392"/>
    <w:rsid w:val="002F6447"/>
    <w:rsid w:val="002F6525"/>
    <w:rsid w:val="002F6576"/>
    <w:rsid w:val="002F6663"/>
    <w:rsid w:val="002F6758"/>
    <w:rsid w:val="002F682F"/>
    <w:rsid w:val="002F6ADE"/>
    <w:rsid w:val="002F6B24"/>
    <w:rsid w:val="002F6BBC"/>
    <w:rsid w:val="002F6DDC"/>
    <w:rsid w:val="002F6E2E"/>
    <w:rsid w:val="002F6F97"/>
    <w:rsid w:val="002F702C"/>
    <w:rsid w:val="002F7542"/>
    <w:rsid w:val="002F7849"/>
    <w:rsid w:val="002F78F1"/>
    <w:rsid w:val="002F79AC"/>
    <w:rsid w:val="002F7A28"/>
    <w:rsid w:val="002F7C39"/>
    <w:rsid w:val="002F7C3D"/>
    <w:rsid w:val="002F7FA9"/>
    <w:rsid w:val="002F7FD4"/>
    <w:rsid w:val="002F7FF3"/>
    <w:rsid w:val="0030011A"/>
    <w:rsid w:val="00300172"/>
    <w:rsid w:val="00300326"/>
    <w:rsid w:val="003004CE"/>
    <w:rsid w:val="00300676"/>
    <w:rsid w:val="00300785"/>
    <w:rsid w:val="00300D2D"/>
    <w:rsid w:val="00300D33"/>
    <w:rsid w:val="00300D6E"/>
    <w:rsid w:val="00300D9B"/>
    <w:rsid w:val="00300E6B"/>
    <w:rsid w:val="00300E73"/>
    <w:rsid w:val="00300FEC"/>
    <w:rsid w:val="003013D9"/>
    <w:rsid w:val="003016BD"/>
    <w:rsid w:val="003019CC"/>
    <w:rsid w:val="00301C94"/>
    <w:rsid w:val="00301CDA"/>
    <w:rsid w:val="00301D6B"/>
    <w:rsid w:val="00301D7B"/>
    <w:rsid w:val="00301ECC"/>
    <w:rsid w:val="00302084"/>
    <w:rsid w:val="003022AB"/>
    <w:rsid w:val="003023F5"/>
    <w:rsid w:val="00302490"/>
    <w:rsid w:val="003024BD"/>
    <w:rsid w:val="003026C7"/>
    <w:rsid w:val="0030274E"/>
    <w:rsid w:val="00302878"/>
    <w:rsid w:val="003029AD"/>
    <w:rsid w:val="00302A01"/>
    <w:rsid w:val="00302C72"/>
    <w:rsid w:val="00302DFA"/>
    <w:rsid w:val="00302E7A"/>
    <w:rsid w:val="00302EC8"/>
    <w:rsid w:val="00302F0B"/>
    <w:rsid w:val="00303138"/>
    <w:rsid w:val="0030318A"/>
    <w:rsid w:val="003031DD"/>
    <w:rsid w:val="00303288"/>
    <w:rsid w:val="00303398"/>
    <w:rsid w:val="00303478"/>
    <w:rsid w:val="00303495"/>
    <w:rsid w:val="00303506"/>
    <w:rsid w:val="00303851"/>
    <w:rsid w:val="003038B3"/>
    <w:rsid w:val="00303B1B"/>
    <w:rsid w:val="00303C97"/>
    <w:rsid w:val="00303D0E"/>
    <w:rsid w:val="00303DB2"/>
    <w:rsid w:val="00304418"/>
    <w:rsid w:val="003045BA"/>
    <w:rsid w:val="00304668"/>
    <w:rsid w:val="003046FA"/>
    <w:rsid w:val="00304852"/>
    <w:rsid w:val="00304CDE"/>
    <w:rsid w:val="00304D79"/>
    <w:rsid w:val="00304DAD"/>
    <w:rsid w:val="00304DC1"/>
    <w:rsid w:val="00304DCB"/>
    <w:rsid w:val="00304EE0"/>
    <w:rsid w:val="00304FA7"/>
    <w:rsid w:val="00305054"/>
    <w:rsid w:val="003050F3"/>
    <w:rsid w:val="0030526E"/>
    <w:rsid w:val="00305463"/>
    <w:rsid w:val="00305487"/>
    <w:rsid w:val="00305687"/>
    <w:rsid w:val="00305698"/>
    <w:rsid w:val="003058CE"/>
    <w:rsid w:val="0030596A"/>
    <w:rsid w:val="003059A5"/>
    <w:rsid w:val="0030659A"/>
    <w:rsid w:val="0030666D"/>
    <w:rsid w:val="00306846"/>
    <w:rsid w:val="0030691C"/>
    <w:rsid w:val="00306A20"/>
    <w:rsid w:val="00306AF5"/>
    <w:rsid w:val="00306BF6"/>
    <w:rsid w:val="00306D0A"/>
    <w:rsid w:val="00306D40"/>
    <w:rsid w:val="00306DF3"/>
    <w:rsid w:val="00306EA5"/>
    <w:rsid w:val="00307120"/>
    <w:rsid w:val="003071C1"/>
    <w:rsid w:val="00307283"/>
    <w:rsid w:val="00307641"/>
    <w:rsid w:val="00307651"/>
    <w:rsid w:val="003076B5"/>
    <w:rsid w:val="00307705"/>
    <w:rsid w:val="00307707"/>
    <w:rsid w:val="003077A2"/>
    <w:rsid w:val="003079A4"/>
    <w:rsid w:val="00307F83"/>
    <w:rsid w:val="003100B9"/>
    <w:rsid w:val="00310309"/>
    <w:rsid w:val="003103F0"/>
    <w:rsid w:val="00310D35"/>
    <w:rsid w:val="00310F4B"/>
    <w:rsid w:val="00310F95"/>
    <w:rsid w:val="00310FCB"/>
    <w:rsid w:val="00310FE9"/>
    <w:rsid w:val="0031112F"/>
    <w:rsid w:val="00311144"/>
    <w:rsid w:val="0031153C"/>
    <w:rsid w:val="00311651"/>
    <w:rsid w:val="00311A0B"/>
    <w:rsid w:val="00311BDD"/>
    <w:rsid w:val="00311FD3"/>
    <w:rsid w:val="00311FFF"/>
    <w:rsid w:val="00312066"/>
    <w:rsid w:val="00312077"/>
    <w:rsid w:val="0031211A"/>
    <w:rsid w:val="0031227A"/>
    <w:rsid w:val="00312291"/>
    <w:rsid w:val="003123E8"/>
    <w:rsid w:val="00312615"/>
    <w:rsid w:val="003126D2"/>
    <w:rsid w:val="003128E2"/>
    <w:rsid w:val="00312B5D"/>
    <w:rsid w:val="00312DEC"/>
    <w:rsid w:val="00312E40"/>
    <w:rsid w:val="003132BF"/>
    <w:rsid w:val="0031340D"/>
    <w:rsid w:val="003137A6"/>
    <w:rsid w:val="00313DC4"/>
    <w:rsid w:val="00313FA6"/>
    <w:rsid w:val="00313FD7"/>
    <w:rsid w:val="00314021"/>
    <w:rsid w:val="003140E9"/>
    <w:rsid w:val="00314298"/>
    <w:rsid w:val="003142C6"/>
    <w:rsid w:val="00314515"/>
    <w:rsid w:val="003145AF"/>
    <w:rsid w:val="0031462F"/>
    <w:rsid w:val="003146D2"/>
    <w:rsid w:val="003149B7"/>
    <w:rsid w:val="00314A8E"/>
    <w:rsid w:val="00314AE7"/>
    <w:rsid w:val="00314BC7"/>
    <w:rsid w:val="00314CBA"/>
    <w:rsid w:val="003152C3"/>
    <w:rsid w:val="003152D8"/>
    <w:rsid w:val="0031534C"/>
    <w:rsid w:val="00315591"/>
    <w:rsid w:val="003155E9"/>
    <w:rsid w:val="00315F0E"/>
    <w:rsid w:val="00315FA3"/>
    <w:rsid w:val="00315FBA"/>
    <w:rsid w:val="00316437"/>
    <w:rsid w:val="003164B3"/>
    <w:rsid w:val="0031660E"/>
    <w:rsid w:val="00316720"/>
    <w:rsid w:val="00316843"/>
    <w:rsid w:val="00316A26"/>
    <w:rsid w:val="00316BD5"/>
    <w:rsid w:val="00316DE1"/>
    <w:rsid w:val="00316EBB"/>
    <w:rsid w:val="00316F0B"/>
    <w:rsid w:val="00317196"/>
    <w:rsid w:val="00317219"/>
    <w:rsid w:val="003172E8"/>
    <w:rsid w:val="0031745B"/>
    <w:rsid w:val="003174A4"/>
    <w:rsid w:val="003176E9"/>
    <w:rsid w:val="003179C3"/>
    <w:rsid w:val="00317BC2"/>
    <w:rsid w:val="00317C93"/>
    <w:rsid w:val="00317CD4"/>
    <w:rsid w:val="00317D50"/>
    <w:rsid w:val="00317D9D"/>
    <w:rsid w:val="00317E6E"/>
    <w:rsid w:val="00317FA8"/>
    <w:rsid w:val="003204F3"/>
    <w:rsid w:val="00320679"/>
    <w:rsid w:val="00320699"/>
    <w:rsid w:val="00320728"/>
    <w:rsid w:val="00320B71"/>
    <w:rsid w:val="00320ED5"/>
    <w:rsid w:val="00320FE6"/>
    <w:rsid w:val="003211A6"/>
    <w:rsid w:val="00321344"/>
    <w:rsid w:val="003214B3"/>
    <w:rsid w:val="003214CC"/>
    <w:rsid w:val="003214E5"/>
    <w:rsid w:val="00321525"/>
    <w:rsid w:val="0032155A"/>
    <w:rsid w:val="0032196C"/>
    <w:rsid w:val="00321982"/>
    <w:rsid w:val="00321C8B"/>
    <w:rsid w:val="00321DDE"/>
    <w:rsid w:val="00321E02"/>
    <w:rsid w:val="00321E0B"/>
    <w:rsid w:val="00322413"/>
    <w:rsid w:val="00322872"/>
    <w:rsid w:val="003229FE"/>
    <w:rsid w:val="00322CA4"/>
    <w:rsid w:val="00323243"/>
    <w:rsid w:val="0032333C"/>
    <w:rsid w:val="003234A1"/>
    <w:rsid w:val="003234D1"/>
    <w:rsid w:val="0032389F"/>
    <w:rsid w:val="003238B3"/>
    <w:rsid w:val="0032393F"/>
    <w:rsid w:val="00323C6B"/>
    <w:rsid w:val="00323CA0"/>
    <w:rsid w:val="00323E3E"/>
    <w:rsid w:val="00323EA5"/>
    <w:rsid w:val="00324085"/>
    <w:rsid w:val="00324330"/>
    <w:rsid w:val="003244FB"/>
    <w:rsid w:val="0032488F"/>
    <w:rsid w:val="003248EB"/>
    <w:rsid w:val="0032493C"/>
    <w:rsid w:val="003249A4"/>
    <w:rsid w:val="00324BD0"/>
    <w:rsid w:val="00325055"/>
    <w:rsid w:val="00325094"/>
    <w:rsid w:val="00325A23"/>
    <w:rsid w:val="00325B20"/>
    <w:rsid w:val="003261CD"/>
    <w:rsid w:val="00326288"/>
    <w:rsid w:val="0032642A"/>
    <w:rsid w:val="00326579"/>
    <w:rsid w:val="00326629"/>
    <w:rsid w:val="003267E6"/>
    <w:rsid w:val="00326B69"/>
    <w:rsid w:val="00326C20"/>
    <w:rsid w:val="00326F32"/>
    <w:rsid w:val="00326FD0"/>
    <w:rsid w:val="0032701C"/>
    <w:rsid w:val="00327226"/>
    <w:rsid w:val="00327A30"/>
    <w:rsid w:val="00327C86"/>
    <w:rsid w:val="00327F48"/>
    <w:rsid w:val="00330000"/>
    <w:rsid w:val="0033002C"/>
    <w:rsid w:val="0033017D"/>
    <w:rsid w:val="0033065C"/>
    <w:rsid w:val="00330720"/>
    <w:rsid w:val="003307D6"/>
    <w:rsid w:val="00330805"/>
    <w:rsid w:val="0033088C"/>
    <w:rsid w:val="003308F0"/>
    <w:rsid w:val="00330914"/>
    <w:rsid w:val="0033091A"/>
    <w:rsid w:val="00330971"/>
    <w:rsid w:val="00330981"/>
    <w:rsid w:val="00330A02"/>
    <w:rsid w:val="00330A42"/>
    <w:rsid w:val="00330AF1"/>
    <w:rsid w:val="00330E30"/>
    <w:rsid w:val="00330FA9"/>
    <w:rsid w:val="003310B5"/>
    <w:rsid w:val="003312EE"/>
    <w:rsid w:val="0033142A"/>
    <w:rsid w:val="003314E5"/>
    <w:rsid w:val="00331930"/>
    <w:rsid w:val="00331BB0"/>
    <w:rsid w:val="00331CAE"/>
    <w:rsid w:val="00331CDA"/>
    <w:rsid w:val="00331E3F"/>
    <w:rsid w:val="00331FF9"/>
    <w:rsid w:val="003320B1"/>
    <w:rsid w:val="00332242"/>
    <w:rsid w:val="003322B8"/>
    <w:rsid w:val="003322DC"/>
    <w:rsid w:val="00332354"/>
    <w:rsid w:val="0033256F"/>
    <w:rsid w:val="00332741"/>
    <w:rsid w:val="003327F6"/>
    <w:rsid w:val="00332B31"/>
    <w:rsid w:val="00332BA1"/>
    <w:rsid w:val="00332DB1"/>
    <w:rsid w:val="00332E4A"/>
    <w:rsid w:val="00333144"/>
    <w:rsid w:val="003332D2"/>
    <w:rsid w:val="003333DD"/>
    <w:rsid w:val="0033351B"/>
    <w:rsid w:val="00333625"/>
    <w:rsid w:val="00333658"/>
    <w:rsid w:val="00333691"/>
    <w:rsid w:val="00333849"/>
    <w:rsid w:val="00333A10"/>
    <w:rsid w:val="00333BE0"/>
    <w:rsid w:val="00333E79"/>
    <w:rsid w:val="00334004"/>
    <w:rsid w:val="003340CC"/>
    <w:rsid w:val="0033411D"/>
    <w:rsid w:val="003345C4"/>
    <w:rsid w:val="003345DF"/>
    <w:rsid w:val="00334C89"/>
    <w:rsid w:val="00334D63"/>
    <w:rsid w:val="003350CD"/>
    <w:rsid w:val="00335184"/>
    <w:rsid w:val="0033522D"/>
    <w:rsid w:val="0033565F"/>
    <w:rsid w:val="00335844"/>
    <w:rsid w:val="00335920"/>
    <w:rsid w:val="00335D5E"/>
    <w:rsid w:val="003367F0"/>
    <w:rsid w:val="00336842"/>
    <w:rsid w:val="00336890"/>
    <w:rsid w:val="00336A80"/>
    <w:rsid w:val="00336AA6"/>
    <w:rsid w:val="00336AC0"/>
    <w:rsid w:val="00336B77"/>
    <w:rsid w:val="00336BB2"/>
    <w:rsid w:val="00336BE4"/>
    <w:rsid w:val="00336BF2"/>
    <w:rsid w:val="00336CCD"/>
    <w:rsid w:val="00337238"/>
    <w:rsid w:val="00337460"/>
    <w:rsid w:val="0033749F"/>
    <w:rsid w:val="003374FA"/>
    <w:rsid w:val="00337778"/>
    <w:rsid w:val="003377FF"/>
    <w:rsid w:val="00337863"/>
    <w:rsid w:val="00337BAA"/>
    <w:rsid w:val="00337BFD"/>
    <w:rsid w:val="00337FAE"/>
    <w:rsid w:val="00340067"/>
    <w:rsid w:val="00340268"/>
    <w:rsid w:val="003403E6"/>
    <w:rsid w:val="0034040C"/>
    <w:rsid w:val="0034063B"/>
    <w:rsid w:val="003409B1"/>
    <w:rsid w:val="00340A4F"/>
    <w:rsid w:val="00340E75"/>
    <w:rsid w:val="00341111"/>
    <w:rsid w:val="00341251"/>
    <w:rsid w:val="0034128C"/>
    <w:rsid w:val="0034160A"/>
    <w:rsid w:val="003416AB"/>
    <w:rsid w:val="00341A12"/>
    <w:rsid w:val="00341B73"/>
    <w:rsid w:val="00341BCB"/>
    <w:rsid w:val="00341C52"/>
    <w:rsid w:val="00341C71"/>
    <w:rsid w:val="00341D4B"/>
    <w:rsid w:val="00341EDD"/>
    <w:rsid w:val="00341F9C"/>
    <w:rsid w:val="00342090"/>
    <w:rsid w:val="003420C8"/>
    <w:rsid w:val="003420F4"/>
    <w:rsid w:val="003423D4"/>
    <w:rsid w:val="003423EF"/>
    <w:rsid w:val="003424B8"/>
    <w:rsid w:val="0034252C"/>
    <w:rsid w:val="003425FE"/>
    <w:rsid w:val="00342807"/>
    <w:rsid w:val="0034283E"/>
    <w:rsid w:val="00342A5B"/>
    <w:rsid w:val="00342C2B"/>
    <w:rsid w:val="00342DA9"/>
    <w:rsid w:val="00342F11"/>
    <w:rsid w:val="003430F0"/>
    <w:rsid w:val="0034341D"/>
    <w:rsid w:val="003435F5"/>
    <w:rsid w:val="0034364E"/>
    <w:rsid w:val="003438D6"/>
    <w:rsid w:val="00343A34"/>
    <w:rsid w:val="00343BD3"/>
    <w:rsid w:val="00343E58"/>
    <w:rsid w:val="00343E5A"/>
    <w:rsid w:val="00344062"/>
    <w:rsid w:val="003441FB"/>
    <w:rsid w:val="0034424C"/>
    <w:rsid w:val="00344255"/>
    <w:rsid w:val="003446E9"/>
    <w:rsid w:val="00344A98"/>
    <w:rsid w:val="00344B50"/>
    <w:rsid w:val="00344B5D"/>
    <w:rsid w:val="00344CAF"/>
    <w:rsid w:val="00344CEF"/>
    <w:rsid w:val="00344E0D"/>
    <w:rsid w:val="003454DB"/>
    <w:rsid w:val="003454DC"/>
    <w:rsid w:val="0034550C"/>
    <w:rsid w:val="0034553B"/>
    <w:rsid w:val="00345645"/>
    <w:rsid w:val="00345684"/>
    <w:rsid w:val="00345749"/>
    <w:rsid w:val="0034580A"/>
    <w:rsid w:val="00345B87"/>
    <w:rsid w:val="00345E10"/>
    <w:rsid w:val="00345E80"/>
    <w:rsid w:val="00345F70"/>
    <w:rsid w:val="00346105"/>
    <w:rsid w:val="00346465"/>
    <w:rsid w:val="00346788"/>
    <w:rsid w:val="00346A17"/>
    <w:rsid w:val="00346C0D"/>
    <w:rsid w:val="00346CC7"/>
    <w:rsid w:val="00346FC7"/>
    <w:rsid w:val="003472E3"/>
    <w:rsid w:val="003473D8"/>
    <w:rsid w:val="0034774B"/>
    <w:rsid w:val="00347895"/>
    <w:rsid w:val="0035012A"/>
    <w:rsid w:val="00350174"/>
    <w:rsid w:val="00350287"/>
    <w:rsid w:val="003502BA"/>
    <w:rsid w:val="0035046A"/>
    <w:rsid w:val="003505D9"/>
    <w:rsid w:val="00350603"/>
    <w:rsid w:val="0035081B"/>
    <w:rsid w:val="00350855"/>
    <w:rsid w:val="003508AE"/>
    <w:rsid w:val="00350999"/>
    <w:rsid w:val="003513E2"/>
    <w:rsid w:val="003514D7"/>
    <w:rsid w:val="00351878"/>
    <w:rsid w:val="00351EB3"/>
    <w:rsid w:val="00351ECA"/>
    <w:rsid w:val="00351F65"/>
    <w:rsid w:val="00352039"/>
    <w:rsid w:val="00352401"/>
    <w:rsid w:val="0035240E"/>
    <w:rsid w:val="00352644"/>
    <w:rsid w:val="003526CF"/>
    <w:rsid w:val="00352732"/>
    <w:rsid w:val="0035279A"/>
    <w:rsid w:val="00352B81"/>
    <w:rsid w:val="00352D63"/>
    <w:rsid w:val="00352E5E"/>
    <w:rsid w:val="003530F0"/>
    <w:rsid w:val="00353610"/>
    <w:rsid w:val="0035363B"/>
    <w:rsid w:val="003537AD"/>
    <w:rsid w:val="003537EF"/>
    <w:rsid w:val="00353831"/>
    <w:rsid w:val="0035385E"/>
    <w:rsid w:val="003538C9"/>
    <w:rsid w:val="00353965"/>
    <w:rsid w:val="00353A13"/>
    <w:rsid w:val="00353A89"/>
    <w:rsid w:val="00353B20"/>
    <w:rsid w:val="00353B78"/>
    <w:rsid w:val="00353F8C"/>
    <w:rsid w:val="0035433F"/>
    <w:rsid w:val="0035438D"/>
    <w:rsid w:val="003545C9"/>
    <w:rsid w:val="0035465D"/>
    <w:rsid w:val="0035466F"/>
    <w:rsid w:val="0035471E"/>
    <w:rsid w:val="00354C60"/>
    <w:rsid w:val="00354DF3"/>
    <w:rsid w:val="00354F68"/>
    <w:rsid w:val="003551BA"/>
    <w:rsid w:val="00355319"/>
    <w:rsid w:val="003554C8"/>
    <w:rsid w:val="0035575D"/>
    <w:rsid w:val="00355998"/>
    <w:rsid w:val="00355AB4"/>
    <w:rsid w:val="00355B3F"/>
    <w:rsid w:val="00355BD4"/>
    <w:rsid w:val="00355F18"/>
    <w:rsid w:val="00355FAB"/>
    <w:rsid w:val="00355FB9"/>
    <w:rsid w:val="00355FE2"/>
    <w:rsid w:val="003564CC"/>
    <w:rsid w:val="00356759"/>
    <w:rsid w:val="00356A59"/>
    <w:rsid w:val="00356AF3"/>
    <w:rsid w:val="00356D49"/>
    <w:rsid w:val="003571C4"/>
    <w:rsid w:val="0035723E"/>
    <w:rsid w:val="0035770F"/>
    <w:rsid w:val="003577DA"/>
    <w:rsid w:val="00357B02"/>
    <w:rsid w:val="00357DCB"/>
    <w:rsid w:val="00357F97"/>
    <w:rsid w:val="0036038C"/>
    <w:rsid w:val="003603B0"/>
    <w:rsid w:val="003603B6"/>
    <w:rsid w:val="0036059A"/>
    <w:rsid w:val="0036070E"/>
    <w:rsid w:val="003607D2"/>
    <w:rsid w:val="00360BBE"/>
    <w:rsid w:val="00360E41"/>
    <w:rsid w:val="00360E6A"/>
    <w:rsid w:val="003610F1"/>
    <w:rsid w:val="00361265"/>
    <w:rsid w:val="00361666"/>
    <w:rsid w:val="00361783"/>
    <w:rsid w:val="00361B7B"/>
    <w:rsid w:val="00361BA9"/>
    <w:rsid w:val="00361D13"/>
    <w:rsid w:val="00362331"/>
    <w:rsid w:val="0036249C"/>
    <w:rsid w:val="003625CF"/>
    <w:rsid w:val="00362638"/>
    <w:rsid w:val="0036265D"/>
    <w:rsid w:val="00362706"/>
    <w:rsid w:val="00362742"/>
    <w:rsid w:val="00362808"/>
    <w:rsid w:val="003628DC"/>
    <w:rsid w:val="00362C12"/>
    <w:rsid w:val="00362E61"/>
    <w:rsid w:val="00362F09"/>
    <w:rsid w:val="00362F46"/>
    <w:rsid w:val="00362F82"/>
    <w:rsid w:val="0036317C"/>
    <w:rsid w:val="00363307"/>
    <w:rsid w:val="0036343E"/>
    <w:rsid w:val="003634E5"/>
    <w:rsid w:val="0036372D"/>
    <w:rsid w:val="00363978"/>
    <w:rsid w:val="00363C01"/>
    <w:rsid w:val="00363E7E"/>
    <w:rsid w:val="00364335"/>
    <w:rsid w:val="003644C6"/>
    <w:rsid w:val="00364623"/>
    <w:rsid w:val="0036481A"/>
    <w:rsid w:val="00364A4A"/>
    <w:rsid w:val="00364D8B"/>
    <w:rsid w:val="00364DE9"/>
    <w:rsid w:val="00365104"/>
    <w:rsid w:val="0036543B"/>
    <w:rsid w:val="00365689"/>
    <w:rsid w:val="0036568B"/>
    <w:rsid w:val="00365738"/>
    <w:rsid w:val="00365835"/>
    <w:rsid w:val="00365CA6"/>
    <w:rsid w:val="00365E1B"/>
    <w:rsid w:val="00365E9F"/>
    <w:rsid w:val="00365F48"/>
    <w:rsid w:val="0036609B"/>
    <w:rsid w:val="003661A0"/>
    <w:rsid w:val="0036657E"/>
    <w:rsid w:val="003665C7"/>
    <w:rsid w:val="00366725"/>
    <w:rsid w:val="00366785"/>
    <w:rsid w:val="0036693B"/>
    <w:rsid w:val="00366E4D"/>
    <w:rsid w:val="00366F1A"/>
    <w:rsid w:val="00367124"/>
    <w:rsid w:val="003671F4"/>
    <w:rsid w:val="003672DF"/>
    <w:rsid w:val="00367562"/>
    <w:rsid w:val="0036757D"/>
    <w:rsid w:val="00367DA2"/>
    <w:rsid w:val="00367F63"/>
    <w:rsid w:val="00367F8C"/>
    <w:rsid w:val="00370027"/>
    <w:rsid w:val="00370063"/>
    <w:rsid w:val="00370300"/>
    <w:rsid w:val="0037038A"/>
    <w:rsid w:val="0037053B"/>
    <w:rsid w:val="00370556"/>
    <w:rsid w:val="003705A3"/>
    <w:rsid w:val="0037060F"/>
    <w:rsid w:val="003707A9"/>
    <w:rsid w:val="003709BD"/>
    <w:rsid w:val="00370A76"/>
    <w:rsid w:val="00370B2A"/>
    <w:rsid w:val="00370E02"/>
    <w:rsid w:val="00370F94"/>
    <w:rsid w:val="00371293"/>
    <w:rsid w:val="00371394"/>
    <w:rsid w:val="003716C3"/>
    <w:rsid w:val="0037172B"/>
    <w:rsid w:val="003717D5"/>
    <w:rsid w:val="00371B5B"/>
    <w:rsid w:val="00371C90"/>
    <w:rsid w:val="00371D47"/>
    <w:rsid w:val="00372405"/>
    <w:rsid w:val="003724B6"/>
    <w:rsid w:val="003724EF"/>
    <w:rsid w:val="00372713"/>
    <w:rsid w:val="003729E2"/>
    <w:rsid w:val="00372A15"/>
    <w:rsid w:val="00372F26"/>
    <w:rsid w:val="00373582"/>
    <w:rsid w:val="003736F1"/>
    <w:rsid w:val="003737FF"/>
    <w:rsid w:val="00373880"/>
    <w:rsid w:val="00374014"/>
    <w:rsid w:val="003741BA"/>
    <w:rsid w:val="0037420D"/>
    <w:rsid w:val="00374353"/>
    <w:rsid w:val="0037445A"/>
    <w:rsid w:val="0037470A"/>
    <w:rsid w:val="00374792"/>
    <w:rsid w:val="0037489A"/>
    <w:rsid w:val="00374ACE"/>
    <w:rsid w:val="00374CD5"/>
    <w:rsid w:val="00374D91"/>
    <w:rsid w:val="0037501F"/>
    <w:rsid w:val="00375073"/>
    <w:rsid w:val="00375377"/>
    <w:rsid w:val="0037552A"/>
    <w:rsid w:val="00375818"/>
    <w:rsid w:val="00375895"/>
    <w:rsid w:val="003759F3"/>
    <w:rsid w:val="00375AC1"/>
    <w:rsid w:val="00375DE7"/>
    <w:rsid w:val="00375E9E"/>
    <w:rsid w:val="003760BE"/>
    <w:rsid w:val="00376282"/>
    <w:rsid w:val="0037639D"/>
    <w:rsid w:val="00376439"/>
    <w:rsid w:val="00376952"/>
    <w:rsid w:val="00376976"/>
    <w:rsid w:val="00376DA9"/>
    <w:rsid w:val="00377025"/>
    <w:rsid w:val="00377166"/>
    <w:rsid w:val="0037740F"/>
    <w:rsid w:val="003777D6"/>
    <w:rsid w:val="0037782F"/>
    <w:rsid w:val="00377C5E"/>
    <w:rsid w:val="00377D2B"/>
    <w:rsid w:val="00377DD0"/>
    <w:rsid w:val="00377EBC"/>
    <w:rsid w:val="00377F50"/>
    <w:rsid w:val="003802F5"/>
    <w:rsid w:val="003804F5"/>
    <w:rsid w:val="00380575"/>
    <w:rsid w:val="0038070D"/>
    <w:rsid w:val="00380D44"/>
    <w:rsid w:val="00380DB0"/>
    <w:rsid w:val="00380FE2"/>
    <w:rsid w:val="00381110"/>
    <w:rsid w:val="00381140"/>
    <w:rsid w:val="00381285"/>
    <w:rsid w:val="003813A9"/>
    <w:rsid w:val="00381517"/>
    <w:rsid w:val="0038196B"/>
    <w:rsid w:val="00381AE8"/>
    <w:rsid w:val="00381BA6"/>
    <w:rsid w:val="00381C89"/>
    <w:rsid w:val="00381DAC"/>
    <w:rsid w:val="00381DE3"/>
    <w:rsid w:val="003820F8"/>
    <w:rsid w:val="003820FC"/>
    <w:rsid w:val="003822B7"/>
    <w:rsid w:val="003822E5"/>
    <w:rsid w:val="0038261D"/>
    <w:rsid w:val="00382738"/>
    <w:rsid w:val="00382748"/>
    <w:rsid w:val="003827AA"/>
    <w:rsid w:val="00382BA0"/>
    <w:rsid w:val="00382BB2"/>
    <w:rsid w:val="00382DD4"/>
    <w:rsid w:val="00382EE2"/>
    <w:rsid w:val="00382F73"/>
    <w:rsid w:val="0038320E"/>
    <w:rsid w:val="0038367D"/>
    <w:rsid w:val="0038371A"/>
    <w:rsid w:val="003837A8"/>
    <w:rsid w:val="00383980"/>
    <w:rsid w:val="00383997"/>
    <w:rsid w:val="00383BA9"/>
    <w:rsid w:val="00383E6E"/>
    <w:rsid w:val="00383EF4"/>
    <w:rsid w:val="00383F47"/>
    <w:rsid w:val="00383F71"/>
    <w:rsid w:val="00383FCE"/>
    <w:rsid w:val="00384105"/>
    <w:rsid w:val="003846FE"/>
    <w:rsid w:val="0038481D"/>
    <w:rsid w:val="00384912"/>
    <w:rsid w:val="00384A61"/>
    <w:rsid w:val="00384B36"/>
    <w:rsid w:val="00384CF7"/>
    <w:rsid w:val="00385088"/>
    <w:rsid w:val="003852AD"/>
    <w:rsid w:val="003856FE"/>
    <w:rsid w:val="00385847"/>
    <w:rsid w:val="003858A0"/>
    <w:rsid w:val="003858AC"/>
    <w:rsid w:val="003858B1"/>
    <w:rsid w:val="00385920"/>
    <w:rsid w:val="003859FA"/>
    <w:rsid w:val="00385B7F"/>
    <w:rsid w:val="00385CA8"/>
    <w:rsid w:val="00386052"/>
    <w:rsid w:val="0038647E"/>
    <w:rsid w:val="003864BA"/>
    <w:rsid w:val="003864FB"/>
    <w:rsid w:val="0038661D"/>
    <w:rsid w:val="0038664C"/>
    <w:rsid w:val="003866DB"/>
    <w:rsid w:val="0038671E"/>
    <w:rsid w:val="00386809"/>
    <w:rsid w:val="00386BFA"/>
    <w:rsid w:val="00386E1E"/>
    <w:rsid w:val="00387144"/>
    <w:rsid w:val="003872A2"/>
    <w:rsid w:val="003872AD"/>
    <w:rsid w:val="003872C8"/>
    <w:rsid w:val="0038737B"/>
    <w:rsid w:val="003873E0"/>
    <w:rsid w:val="00387438"/>
    <w:rsid w:val="003875CC"/>
    <w:rsid w:val="00387695"/>
    <w:rsid w:val="0038782D"/>
    <w:rsid w:val="00387C85"/>
    <w:rsid w:val="00387D0C"/>
    <w:rsid w:val="00390407"/>
    <w:rsid w:val="003905FF"/>
    <w:rsid w:val="00390A74"/>
    <w:rsid w:val="00390D7A"/>
    <w:rsid w:val="00390ED7"/>
    <w:rsid w:val="00390F07"/>
    <w:rsid w:val="00390F76"/>
    <w:rsid w:val="003910AA"/>
    <w:rsid w:val="003911C8"/>
    <w:rsid w:val="0039122E"/>
    <w:rsid w:val="0039127E"/>
    <w:rsid w:val="00391292"/>
    <w:rsid w:val="003913A2"/>
    <w:rsid w:val="00391790"/>
    <w:rsid w:val="003917B5"/>
    <w:rsid w:val="00391855"/>
    <w:rsid w:val="003918EC"/>
    <w:rsid w:val="00391B03"/>
    <w:rsid w:val="00391F35"/>
    <w:rsid w:val="00392149"/>
    <w:rsid w:val="003921B6"/>
    <w:rsid w:val="00392426"/>
    <w:rsid w:val="00392485"/>
    <w:rsid w:val="00392487"/>
    <w:rsid w:val="003926CF"/>
    <w:rsid w:val="0039276D"/>
    <w:rsid w:val="003927F2"/>
    <w:rsid w:val="0039283E"/>
    <w:rsid w:val="00392CB9"/>
    <w:rsid w:val="00392E23"/>
    <w:rsid w:val="00392E65"/>
    <w:rsid w:val="00392ED9"/>
    <w:rsid w:val="00392FDF"/>
    <w:rsid w:val="003931FF"/>
    <w:rsid w:val="0039331A"/>
    <w:rsid w:val="00393321"/>
    <w:rsid w:val="0039353B"/>
    <w:rsid w:val="003936C4"/>
    <w:rsid w:val="00393784"/>
    <w:rsid w:val="003938AA"/>
    <w:rsid w:val="003938FD"/>
    <w:rsid w:val="0039396B"/>
    <w:rsid w:val="003939F7"/>
    <w:rsid w:val="00393E79"/>
    <w:rsid w:val="003940BD"/>
    <w:rsid w:val="0039419A"/>
    <w:rsid w:val="003941F9"/>
    <w:rsid w:val="0039425B"/>
    <w:rsid w:val="00394280"/>
    <w:rsid w:val="00394366"/>
    <w:rsid w:val="00394411"/>
    <w:rsid w:val="0039453A"/>
    <w:rsid w:val="00394B9E"/>
    <w:rsid w:val="00394C16"/>
    <w:rsid w:val="00394C7E"/>
    <w:rsid w:val="00394DB1"/>
    <w:rsid w:val="00394F2A"/>
    <w:rsid w:val="00395179"/>
    <w:rsid w:val="00395232"/>
    <w:rsid w:val="003957FD"/>
    <w:rsid w:val="00395842"/>
    <w:rsid w:val="00395A9F"/>
    <w:rsid w:val="00395B8D"/>
    <w:rsid w:val="00395C87"/>
    <w:rsid w:val="00395CE3"/>
    <w:rsid w:val="00395DFE"/>
    <w:rsid w:val="00395FBC"/>
    <w:rsid w:val="0039658D"/>
    <w:rsid w:val="00396916"/>
    <w:rsid w:val="00396935"/>
    <w:rsid w:val="00396AB8"/>
    <w:rsid w:val="00396B18"/>
    <w:rsid w:val="00396B30"/>
    <w:rsid w:val="00396B9C"/>
    <w:rsid w:val="00396D9F"/>
    <w:rsid w:val="00396DC5"/>
    <w:rsid w:val="00396FC1"/>
    <w:rsid w:val="00397042"/>
    <w:rsid w:val="003970AB"/>
    <w:rsid w:val="003970CF"/>
    <w:rsid w:val="00397280"/>
    <w:rsid w:val="003973F3"/>
    <w:rsid w:val="003976CF"/>
    <w:rsid w:val="003976E4"/>
    <w:rsid w:val="00397765"/>
    <w:rsid w:val="003977C8"/>
    <w:rsid w:val="00397B6C"/>
    <w:rsid w:val="00397BE9"/>
    <w:rsid w:val="00397DB7"/>
    <w:rsid w:val="00397ED7"/>
    <w:rsid w:val="00397F6B"/>
    <w:rsid w:val="003A0062"/>
    <w:rsid w:val="003A006A"/>
    <w:rsid w:val="003A0424"/>
    <w:rsid w:val="003A0498"/>
    <w:rsid w:val="003A0586"/>
    <w:rsid w:val="003A072E"/>
    <w:rsid w:val="003A076E"/>
    <w:rsid w:val="003A07D3"/>
    <w:rsid w:val="003A08A6"/>
    <w:rsid w:val="003A08EC"/>
    <w:rsid w:val="003A094A"/>
    <w:rsid w:val="003A0A95"/>
    <w:rsid w:val="003A0AA2"/>
    <w:rsid w:val="003A0E71"/>
    <w:rsid w:val="003A0E88"/>
    <w:rsid w:val="003A0F69"/>
    <w:rsid w:val="003A0F82"/>
    <w:rsid w:val="003A0FCC"/>
    <w:rsid w:val="003A10CD"/>
    <w:rsid w:val="003A1390"/>
    <w:rsid w:val="003A1404"/>
    <w:rsid w:val="003A15FA"/>
    <w:rsid w:val="003A1702"/>
    <w:rsid w:val="003A181C"/>
    <w:rsid w:val="003A18D7"/>
    <w:rsid w:val="003A190B"/>
    <w:rsid w:val="003A1910"/>
    <w:rsid w:val="003A193C"/>
    <w:rsid w:val="003A1AB6"/>
    <w:rsid w:val="003A1DFB"/>
    <w:rsid w:val="003A1E99"/>
    <w:rsid w:val="003A1FAB"/>
    <w:rsid w:val="003A2064"/>
    <w:rsid w:val="003A20B7"/>
    <w:rsid w:val="003A21E5"/>
    <w:rsid w:val="003A24DC"/>
    <w:rsid w:val="003A25BB"/>
    <w:rsid w:val="003A26BF"/>
    <w:rsid w:val="003A27DB"/>
    <w:rsid w:val="003A2D2D"/>
    <w:rsid w:val="003A2E3A"/>
    <w:rsid w:val="003A2E7A"/>
    <w:rsid w:val="003A2FF4"/>
    <w:rsid w:val="003A33CB"/>
    <w:rsid w:val="003A3402"/>
    <w:rsid w:val="003A3506"/>
    <w:rsid w:val="003A38DA"/>
    <w:rsid w:val="003A3998"/>
    <w:rsid w:val="003A3AA0"/>
    <w:rsid w:val="003A3AF8"/>
    <w:rsid w:val="003A3B86"/>
    <w:rsid w:val="003A3C23"/>
    <w:rsid w:val="003A3C73"/>
    <w:rsid w:val="003A3C93"/>
    <w:rsid w:val="003A3CB2"/>
    <w:rsid w:val="003A3D2E"/>
    <w:rsid w:val="003A3D50"/>
    <w:rsid w:val="003A3DA4"/>
    <w:rsid w:val="003A3E15"/>
    <w:rsid w:val="003A4023"/>
    <w:rsid w:val="003A40C9"/>
    <w:rsid w:val="003A4239"/>
    <w:rsid w:val="003A42C0"/>
    <w:rsid w:val="003A456A"/>
    <w:rsid w:val="003A45A6"/>
    <w:rsid w:val="003A4867"/>
    <w:rsid w:val="003A49C6"/>
    <w:rsid w:val="003A5080"/>
    <w:rsid w:val="003A525D"/>
    <w:rsid w:val="003A5604"/>
    <w:rsid w:val="003A58F1"/>
    <w:rsid w:val="003A5A2D"/>
    <w:rsid w:val="003A5A4A"/>
    <w:rsid w:val="003A5B0F"/>
    <w:rsid w:val="003A5EB3"/>
    <w:rsid w:val="003A5F0F"/>
    <w:rsid w:val="003A6227"/>
    <w:rsid w:val="003A6535"/>
    <w:rsid w:val="003A658F"/>
    <w:rsid w:val="003A6A30"/>
    <w:rsid w:val="003A6A57"/>
    <w:rsid w:val="003A6B27"/>
    <w:rsid w:val="003A6B4C"/>
    <w:rsid w:val="003A6B55"/>
    <w:rsid w:val="003A6DE0"/>
    <w:rsid w:val="003A70D3"/>
    <w:rsid w:val="003A72AA"/>
    <w:rsid w:val="003A73F7"/>
    <w:rsid w:val="003A7424"/>
    <w:rsid w:val="003A74DF"/>
    <w:rsid w:val="003A7667"/>
    <w:rsid w:val="003A76BB"/>
    <w:rsid w:val="003A77AC"/>
    <w:rsid w:val="003A781F"/>
    <w:rsid w:val="003A7874"/>
    <w:rsid w:val="003A7879"/>
    <w:rsid w:val="003A7B5E"/>
    <w:rsid w:val="003A7C41"/>
    <w:rsid w:val="003A7EE8"/>
    <w:rsid w:val="003B0069"/>
    <w:rsid w:val="003B00EB"/>
    <w:rsid w:val="003B01B2"/>
    <w:rsid w:val="003B028D"/>
    <w:rsid w:val="003B038B"/>
    <w:rsid w:val="003B03E7"/>
    <w:rsid w:val="003B0712"/>
    <w:rsid w:val="003B0803"/>
    <w:rsid w:val="003B0860"/>
    <w:rsid w:val="003B091C"/>
    <w:rsid w:val="003B0BB2"/>
    <w:rsid w:val="003B0C65"/>
    <w:rsid w:val="003B0F3B"/>
    <w:rsid w:val="003B1154"/>
    <w:rsid w:val="003B140F"/>
    <w:rsid w:val="003B1445"/>
    <w:rsid w:val="003B1479"/>
    <w:rsid w:val="003B14A4"/>
    <w:rsid w:val="003B1586"/>
    <w:rsid w:val="003B1642"/>
    <w:rsid w:val="003B16A9"/>
    <w:rsid w:val="003B19D4"/>
    <w:rsid w:val="003B1A2F"/>
    <w:rsid w:val="003B1C1C"/>
    <w:rsid w:val="003B21FB"/>
    <w:rsid w:val="003B230C"/>
    <w:rsid w:val="003B24F9"/>
    <w:rsid w:val="003B2711"/>
    <w:rsid w:val="003B2935"/>
    <w:rsid w:val="003B2963"/>
    <w:rsid w:val="003B299E"/>
    <w:rsid w:val="003B30D0"/>
    <w:rsid w:val="003B316B"/>
    <w:rsid w:val="003B3286"/>
    <w:rsid w:val="003B3361"/>
    <w:rsid w:val="003B338B"/>
    <w:rsid w:val="003B33C0"/>
    <w:rsid w:val="003B38BA"/>
    <w:rsid w:val="003B38EE"/>
    <w:rsid w:val="003B39C2"/>
    <w:rsid w:val="003B39F0"/>
    <w:rsid w:val="003B3C01"/>
    <w:rsid w:val="003B3E81"/>
    <w:rsid w:val="003B4044"/>
    <w:rsid w:val="003B41BB"/>
    <w:rsid w:val="003B41E7"/>
    <w:rsid w:val="003B4392"/>
    <w:rsid w:val="003B43C1"/>
    <w:rsid w:val="003B43C8"/>
    <w:rsid w:val="003B4593"/>
    <w:rsid w:val="003B465C"/>
    <w:rsid w:val="003B479D"/>
    <w:rsid w:val="003B4C3E"/>
    <w:rsid w:val="003B4F9C"/>
    <w:rsid w:val="003B502B"/>
    <w:rsid w:val="003B5285"/>
    <w:rsid w:val="003B52BD"/>
    <w:rsid w:val="003B5506"/>
    <w:rsid w:val="003B5A7D"/>
    <w:rsid w:val="003B601D"/>
    <w:rsid w:val="003B6081"/>
    <w:rsid w:val="003B60E1"/>
    <w:rsid w:val="003B67D5"/>
    <w:rsid w:val="003B695A"/>
    <w:rsid w:val="003B6A68"/>
    <w:rsid w:val="003B6C72"/>
    <w:rsid w:val="003B6ECC"/>
    <w:rsid w:val="003B7161"/>
    <w:rsid w:val="003B73C5"/>
    <w:rsid w:val="003B73E9"/>
    <w:rsid w:val="003B7410"/>
    <w:rsid w:val="003B74A1"/>
    <w:rsid w:val="003B74B4"/>
    <w:rsid w:val="003B7614"/>
    <w:rsid w:val="003B785F"/>
    <w:rsid w:val="003B7873"/>
    <w:rsid w:val="003B7E75"/>
    <w:rsid w:val="003B7EE3"/>
    <w:rsid w:val="003C0378"/>
    <w:rsid w:val="003C0604"/>
    <w:rsid w:val="003C0655"/>
    <w:rsid w:val="003C0796"/>
    <w:rsid w:val="003C07BF"/>
    <w:rsid w:val="003C0E2B"/>
    <w:rsid w:val="003C101A"/>
    <w:rsid w:val="003C10DB"/>
    <w:rsid w:val="003C13E1"/>
    <w:rsid w:val="003C14FE"/>
    <w:rsid w:val="003C1689"/>
    <w:rsid w:val="003C16F7"/>
    <w:rsid w:val="003C187D"/>
    <w:rsid w:val="003C1AA0"/>
    <w:rsid w:val="003C1BBC"/>
    <w:rsid w:val="003C1CD3"/>
    <w:rsid w:val="003C1E10"/>
    <w:rsid w:val="003C1F0C"/>
    <w:rsid w:val="003C233D"/>
    <w:rsid w:val="003C2536"/>
    <w:rsid w:val="003C26DB"/>
    <w:rsid w:val="003C27D7"/>
    <w:rsid w:val="003C27EE"/>
    <w:rsid w:val="003C2809"/>
    <w:rsid w:val="003C281F"/>
    <w:rsid w:val="003C28B6"/>
    <w:rsid w:val="003C2AEA"/>
    <w:rsid w:val="003C3237"/>
    <w:rsid w:val="003C32CE"/>
    <w:rsid w:val="003C3345"/>
    <w:rsid w:val="003C334B"/>
    <w:rsid w:val="003C3436"/>
    <w:rsid w:val="003C3478"/>
    <w:rsid w:val="003C35AB"/>
    <w:rsid w:val="003C3834"/>
    <w:rsid w:val="003C3B40"/>
    <w:rsid w:val="003C3C91"/>
    <w:rsid w:val="003C3E3F"/>
    <w:rsid w:val="003C3F1D"/>
    <w:rsid w:val="003C3F70"/>
    <w:rsid w:val="003C4100"/>
    <w:rsid w:val="003C414B"/>
    <w:rsid w:val="003C41A7"/>
    <w:rsid w:val="003C428D"/>
    <w:rsid w:val="003C4511"/>
    <w:rsid w:val="003C47C3"/>
    <w:rsid w:val="003C4B09"/>
    <w:rsid w:val="003C4B46"/>
    <w:rsid w:val="003C4C34"/>
    <w:rsid w:val="003C4E66"/>
    <w:rsid w:val="003C519D"/>
    <w:rsid w:val="003C5384"/>
    <w:rsid w:val="003C54D3"/>
    <w:rsid w:val="003C562D"/>
    <w:rsid w:val="003C5777"/>
    <w:rsid w:val="003C59D4"/>
    <w:rsid w:val="003C5B74"/>
    <w:rsid w:val="003C5E7A"/>
    <w:rsid w:val="003C618C"/>
    <w:rsid w:val="003C6466"/>
    <w:rsid w:val="003C65A1"/>
    <w:rsid w:val="003C65A4"/>
    <w:rsid w:val="003C6603"/>
    <w:rsid w:val="003C6705"/>
    <w:rsid w:val="003C67AE"/>
    <w:rsid w:val="003C693C"/>
    <w:rsid w:val="003C6961"/>
    <w:rsid w:val="003C6971"/>
    <w:rsid w:val="003C699A"/>
    <w:rsid w:val="003C6A11"/>
    <w:rsid w:val="003C6BCB"/>
    <w:rsid w:val="003C6CEC"/>
    <w:rsid w:val="003C6DDA"/>
    <w:rsid w:val="003C6F23"/>
    <w:rsid w:val="003C7076"/>
    <w:rsid w:val="003C71B6"/>
    <w:rsid w:val="003C7200"/>
    <w:rsid w:val="003C7532"/>
    <w:rsid w:val="003C7619"/>
    <w:rsid w:val="003C767A"/>
    <w:rsid w:val="003C78CE"/>
    <w:rsid w:val="003C7A22"/>
    <w:rsid w:val="003C7C23"/>
    <w:rsid w:val="003C7D60"/>
    <w:rsid w:val="003C7E4C"/>
    <w:rsid w:val="003D009A"/>
    <w:rsid w:val="003D0487"/>
    <w:rsid w:val="003D056F"/>
    <w:rsid w:val="003D068F"/>
    <w:rsid w:val="003D0959"/>
    <w:rsid w:val="003D097C"/>
    <w:rsid w:val="003D0C79"/>
    <w:rsid w:val="003D0CDF"/>
    <w:rsid w:val="003D0DA4"/>
    <w:rsid w:val="003D0DFD"/>
    <w:rsid w:val="003D13FF"/>
    <w:rsid w:val="003D1490"/>
    <w:rsid w:val="003D1D71"/>
    <w:rsid w:val="003D1E9F"/>
    <w:rsid w:val="003D1FD9"/>
    <w:rsid w:val="003D2126"/>
    <w:rsid w:val="003D23C9"/>
    <w:rsid w:val="003D2631"/>
    <w:rsid w:val="003D281E"/>
    <w:rsid w:val="003D29E6"/>
    <w:rsid w:val="003D2DA1"/>
    <w:rsid w:val="003D2F60"/>
    <w:rsid w:val="003D30DB"/>
    <w:rsid w:val="003D33DB"/>
    <w:rsid w:val="003D34F5"/>
    <w:rsid w:val="003D35DF"/>
    <w:rsid w:val="003D392C"/>
    <w:rsid w:val="003D39AF"/>
    <w:rsid w:val="003D3A03"/>
    <w:rsid w:val="003D3A23"/>
    <w:rsid w:val="003D3F79"/>
    <w:rsid w:val="003D40DE"/>
    <w:rsid w:val="003D4261"/>
    <w:rsid w:val="003D4281"/>
    <w:rsid w:val="003D42AA"/>
    <w:rsid w:val="003D43D6"/>
    <w:rsid w:val="003D455E"/>
    <w:rsid w:val="003D4693"/>
    <w:rsid w:val="003D4C2F"/>
    <w:rsid w:val="003D4F38"/>
    <w:rsid w:val="003D4F3D"/>
    <w:rsid w:val="003D50AA"/>
    <w:rsid w:val="003D510C"/>
    <w:rsid w:val="003D52AA"/>
    <w:rsid w:val="003D52CF"/>
    <w:rsid w:val="003D554F"/>
    <w:rsid w:val="003D5627"/>
    <w:rsid w:val="003D57C5"/>
    <w:rsid w:val="003D59E7"/>
    <w:rsid w:val="003D5A5F"/>
    <w:rsid w:val="003D5C68"/>
    <w:rsid w:val="003D5CC1"/>
    <w:rsid w:val="003D5CCF"/>
    <w:rsid w:val="003D5D3B"/>
    <w:rsid w:val="003D60A9"/>
    <w:rsid w:val="003D62E6"/>
    <w:rsid w:val="003D646D"/>
    <w:rsid w:val="003D6826"/>
    <w:rsid w:val="003D6B2C"/>
    <w:rsid w:val="003D6B85"/>
    <w:rsid w:val="003D6C84"/>
    <w:rsid w:val="003D6E9C"/>
    <w:rsid w:val="003D71AF"/>
    <w:rsid w:val="003D747E"/>
    <w:rsid w:val="003D7488"/>
    <w:rsid w:val="003D7531"/>
    <w:rsid w:val="003D7938"/>
    <w:rsid w:val="003D7B4F"/>
    <w:rsid w:val="003D7D40"/>
    <w:rsid w:val="003D7E8F"/>
    <w:rsid w:val="003E00EC"/>
    <w:rsid w:val="003E02DF"/>
    <w:rsid w:val="003E0384"/>
    <w:rsid w:val="003E04D3"/>
    <w:rsid w:val="003E06F3"/>
    <w:rsid w:val="003E0844"/>
    <w:rsid w:val="003E0872"/>
    <w:rsid w:val="003E0D8D"/>
    <w:rsid w:val="003E0EC0"/>
    <w:rsid w:val="003E1032"/>
    <w:rsid w:val="003E12C3"/>
    <w:rsid w:val="003E14EB"/>
    <w:rsid w:val="003E1716"/>
    <w:rsid w:val="003E1753"/>
    <w:rsid w:val="003E17D5"/>
    <w:rsid w:val="003E18D3"/>
    <w:rsid w:val="003E1A76"/>
    <w:rsid w:val="003E1E88"/>
    <w:rsid w:val="003E1F28"/>
    <w:rsid w:val="003E22A4"/>
    <w:rsid w:val="003E27BB"/>
    <w:rsid w:val="003E296F"/>
    <w:rsid w:val="003E2E01"/>
    <w:rsid w:val="003E2F00"/>
    <w:rsid w:val="003E2F86"/>
    <w:rsid w:val="003E30FB"/>
    <w:rsid w:val="003E31A1"/>
    <w:rsid w:val="003E3472"/>
    <w:rsid w:val="003E37EA"/>
    <w:rsid w:val="003E38E8"/>
    <w:rsid w:val="003E3AC2"/>
    <w:rsid w:val="003E3C4D"/>
    <w:rsid w:val="003E3FF6"/>
    <w:rsid w:val="003E423F"/>
    <w:rsid w:val="003E4257"/>
    <w:rsid w:val="003E43B3"/>
    <w:rsid w:val="003E43DC"/>
    <w:rsid w:val="003E486C"/>
    <w:rsid w:val="003E4909"/>
    <w:rsid w:val="003E490B"/>
    <w:rsid w:val="003E4B6A"/>
    <w:rsid w:val="003E4E2C"/>
    <w:rsid w:val="003E4E83"/>
    <w:rsid w:val="003E4EF1"/>
    <w:rsid w:val="003E4F12"/>
    <w:rsid w:val="003E5415"/>
    <w:rsid w:val="003E5422"/>
    <w:rsid w:val="003E5519"/>
    <w:rsid w:val="003E57D9"/>
    <w:rsid w:val="003E5B04"/>
    <w:rsid w:val="003E5B4D"/>
    <w:rsid w:val="003E604E"/>
    <w:rsid w:val="003E6081"/>
    <w:rsid w:val="003E6157"/>
    <w:rsid w:val="003E6399"/>
    <w:rsid w:val="003E6729"/>
    <w:rsid w:val="003E67D9"/>
    <w:rsid w:val="003E6B36"/>
    <w:rsid w:val="003E6CD1"/>
    <w:rsid w:val="003E706B"/>
    <w:rsid w:val="003E7411"/>
    <w:rsid w:val="003E7BF0"/>
    <w:rsid w:val="003E7E19"/>
    <w:rsid w:val="003E7F05"/>
    <w:rsid w:val="003E7F3E"/>
    <w:rsid w:val="003F0044"/>
    <w:rsid w:val="003F00F5"/>
    <w:rsid w:val="003F023F"/>
    <w:rsid w:val="003F042E"/>
    <w:rsid w:val="003F0547"/>
    <w:rsid w:val="003F073E"/>
    <w:rsid w:val="003F078A"/>
    <w:rsid w:val="003F0853"/>
    <w:rsid w:val="003F0984"/>
    <w:rsid w:val="003F0BB0"/>
    <w:rsid w:val="003F0D51"/>
    <w:rsid w:val="003F0FBE"/>
    <w:rsid w:val="003F1286"/>
    <w:rsid w:val="003F13E1"/>
    <w:rsid w:val="003F142F"/>
    <w:rsid w:val="003F1588"/>
    <w:rsid w:val="003F1603"/>
    <w:rsid w:val="003F166A"/>
    <w:rsid w:val="003F18A0"/>
    <w:rsid w:val="003F19CA"/>
    <w:rsid w:val="003F1A9E"/>
    <w:rsid w:val="003F1DDF"/>
    <w:rsid w:val="003F2260"/>
    <w:rsid w:val="003F234E"/>
    <w:rsid w:val="003F235E"/>
    <w:rsid w:val="003F256D"/>
    <w:rsid w:val="003F2772"/>
    <w:rsid w:val="003F2D37"/>
    <w:rsid w:val="003F2DEC"/>
    <w:rsid w:val="003F2DFE"/>
    <w:rsid w:val="003F2F3E"/>
    <w:rsid w:val="003F30CB"/>
    <w:rsid w:val="003F322D"/>
    <w:rsid w:val="003F3318"/>
    <w:rsid w:val="003F341F"/>
    <w:rsid w:val="003F3590"/>
    <w:rsid w:val="003F3715"/>
    <w:rsid w:val="003F3D8B"/>
    <w:rsid w:val="003F3FE2"/>
    <w:rsid w:val="003F4430"/>
    <w:rsid w:val="003F4549"/>
    <w:rsid w:val="003F45AD"/>
    <w:rsid w:val="003F493B"/>
    <w:rsid w:val="003F4EC7"/>
    <w:rsid w:val="003F51F7"/>
    <w:rsid w:val="003F54A6"/>
    <w:rsid w:val="003F54C8"/>
    <w:rsid w:val="003F5581"/>
    <w:rsid w:val="003F5709"/>
    <w:rsid w:val="003F5803"/>
    <w:rsid w:val="003F59BA"/>
    <w:rsid w:val="003F5D43"/>
    <w:rsid w:val="003F610D"/>
    <w:rsid w:val="003F61A3"/>
    <w:rsid w:val="003F61B0"/>
    <w:rsid w:val="003F645D"/>
    <w:rsid w:val="003F6787"/>
    <w:rsid w:val="003F69DA"/>
    <w:rsid w:val="003F6A8C"/>
    <w:rsid w:val="003F6C6B"/>
    <w:rsid w:val="003F6D6F"/>
    <w:rsid w:val="003F6E22"/>
    <w:rsid w:val="003F6EDB"/>
    <w:rsid w:val="003F71BB"/>
    <w:rsid w:val="003F73EC"/>
    <w:rsid w:val="003F7480"/>
    <w:rsid w:val="003F75DA"/>
    <w:rsid w:val="003F7668"/>
    <w:rsid w:val="003F76FE"/>
    <w:rsid w:val="003F7915"/>
    <w:rsid w:val="003F7A64"/>
    <w:rsid w:val="003F7B0A"/>
    <w:rsid w:val="003F7C38"/>
    <w:rsid w:val="003F7C48"/>
    <w:rsid w:val="003F7C87"/>
    <w:rsid w:val="003F7CB3"/>
    <w:rsid w:val="00400032"/>
    <w:rsid w:val="004001C3"/>
    <w:rsid w:val="00400414"/>
    <w:rsid w:val="00400449"/>
    <w:rsid w:val="004004AE"/>
    <w:rsid w:val="00400562"/>
    <w:rsid w:val="004005AC"/>
    <w:rsid w:val="00400720"/>
    <w:rsid w:val="00400A23"/>
    <w:rsid w:val="00400A5E"/>
    <w:rsid w:val="00400AF1"/>
    <w:rsid w:val="00400CFA"/>
    <w:rsid w:val="00400F34"/>
    <w:rsid w:val="00400FFC"/>
    <w:rsid w:val="004010A0"/>
    <w:rsid w:val="00401123"/>
    <w:rsid w:val="00401301"/>
    <w:rsid w:val="00401328"/>
    <w:rsid w:val="00401394"/>
    <w:rsid w:val="00401478"/>
    <w:rsid w:val="0040163F"/>
    <w:rsid w:val="00401909"/>
    <w:rsid w:val="00401A22"/>
    <w:rsid w:val="00401ABA"/>
    <w:rsid w:val="00401CA0"/>
    <w:rsid w:val="00401CF8"/>
    <w:rsid w:val="00401D80"/>
    <w:rsid w:val="00401EE4"/>
    <w:rsid w:val="004021B3"/>
    <w:rsid w:val="0040260A"/>
    <w:rsid w:val="004026C1"/>
    <w:rsid w:val="00402A6F"/>
    <w:rsid w:val="00402A76"/>
    <w:rsid w:val="00402CBB"/>
    <w:rsid w:val="0040338F"/>
    <w:rsid w:val="00403591"/>
    <w:rsid w:val="004037E8"/>
    <w:rsid w:val="0040396B"/>
    <w:rsid w:val="0040397B"/>
    <w:rsid w:val="00403A15"/>
    <w:rsid w:val="00403A5E"/>
    <w:rsid w:val="00403AA0"/>
    <w:rsid w:val="00403F73"/>
    <w:rsid w:val="004040D2"/>
    <w:rsid w:val="004042E0"/>
    <w:rsid w:val="00404358"/>
    <w:rsid w:val="00404561"/>
    <w:rsid w:val="00404A9E"/>
    <w:rsid w:val="00404AA1"/>
    <w:rsid w:val="00404C6D"/>
    <w:rsid w:val="00405076"/>
    <w:rsid w:val="00405241"/>
    <w:rsid w:val="004052C0"/>
    <w:rsid w:val="004052D0"/>
    <w:rsid w:val="00405620"/>
    <w:rsid w:val="00405728"/>
    <w:rsid w:val="004057DE"/>
    <w:rsid w:val="0040588A"/>
    <w:rsid w:val="00405A04"/>
    <w:rsid w:val="00405B14"/>
    <w:rsid w:val="00405B38"/>
    <w:rsid w:val="00405CEB"/>
    <w:rsid w:val="0040604D"/>
    <w:rsid w:val="00406082"/>
    <w:rsid w:val="004061D7"/>
    <w:rsid w:val="004063E1"/>
    <w:rsid w:val="0040640F"/>
    <w:rsid w:val="00406462"/>
    <w:rsid w:val="00406993"/>
    <w:rsid w:val="00406D6F"/>
    <w:rsid w:val="00406DD8"/>
    <w:rsid w:val="00406E24"/>
    <w:rsid w:val="00406F9F"/>
    <w:rsid w:val="0040703F"/>
    <w:rsid w:val="004070A8"/>
    <w:rsid w:val="0040722E"/>
    <w:rsid w:val="004072C4"/>
    <w:rsid w:val="00407478"/>
    <w:rsid w:val="00407506"/>
    <w:rsid w:val="00407579"/>
    <w:rsid w:val="00407725"/>
    <w:rsid w:val="00407815"/>
    <w:rsid w:val="004078D9"/>
    <w:rsid w:val="00407ADA"/>
    <w:rsid w:val="00407FD8"/>
    <w:rsid w:val="00407FF5"/>
    <w:rsid w:val="004100CE"/>
    <w:rsid w:val="00410153"/>
    <w:rsid w:val="004102C0"/>
    <w:rsid w:val="004103FD"/>
    <w:rsid w:val="00410A66"/>
    <w:rsid w:val="00410B27"/>
    <w:rsid w:val="00410CA0"/>
    <w:rsid w:val="00410DF7"/>
    <w:rsid w:val="00410E98"/>
    <w:rsid w:val="00410F0A"/>
    <w:rsid w:val="004111D6"/>
    <w:rsid w:val="00411336"/>
    <w:rsid w:val="0041139B"/>
    <w:rsid w:val="0041170F"/>
    <w:rsid w:val="00411799"/>
    <w:rsid w:val="004119A5"/>
    <w:rsid w:val="00411A32"/>
    <w:rsid w:val="00411DE5"/>
    <w:rsid w:val="00411F15"/>
    <w:rsid w:val="00411F9E"/>
    <w:rsid w:val="00412098"/>
    <w:rsid w:val="004121A6"/>
    <w:rsid w:val="00412359"/>
    <w:rsid w:val="0041255A"/>
    <w:rsid w:val="0041266C"/>
    <w:rsid w:val="00412670"/>
    <w:rsid w:val="004126C7"/>
    <w:rsid w:val="004127A6"/>
    <w:rsid w:val="00412BE9"/>
    <w:rsid w:val="00412D3C"/>
    <w:rsid w:val="00413077"/>
    <w:rsid w:val="0041319A"/>
    <w:rsid w:val="004131BA"/>
    <w:rsid w:val="0041329D"/>
    <w:rsid w:val="004133C1"/>
    <w:rsid w:val="004135D2"/>
    <w:rsid w:val="004138C0"/>
    <w:rsid w:val="00413A2B"/>
    <w:rsid w:val="00413BBA"/>
    <w:rsid w:val="00413DA3"/>
    <w:rsid w:val="00413DAE"/>
    <w:rsid w:val="00413F15"/>
    <w:rsid w:val="00413FC2"/>
    <w:rsid w:val="00413FFC"/>
    <w:rsid w:val="004140FB"/>
    <w:rsid w:val="00414343"/>
    <w:rsid w:val="00414531"/>
    <w:rsid w:val="00414549"/>
    <w:rsid w:val="004147B0"/>
    <w:rsid w:val="0041481D"/>
    <w:rsid w:val="00414A6E"/>
    <w:rsid w:val="00414AAB"/>
    <w:rsid w:val="00414B8A"/>
    <w:rsid w:val="00414DC7"/>
    <w:rsid w:val="00414F64"/>
    <w:rsid w:val="00414F9A"/>
    <w:rsid w:val="00415138"/>
    <w:rsid w:val="004153BE"/>
    <w:rsid w:val="004155D5"/>
    <w:rsid w:val="0041570E"/>
    <w:rsid w:val="00415759"/>
    <w:rsid w:val="004159AE"/>
    <w:rsid w:val="00415A84"/>
    <w:rsid w:val="00415F65"/>
    <w:rsid w:val="00416001"/>
    <w:rsid w:val="004160D9"/>
    <w:rsid w:val="00416180"/>
    <w:rsid w:val="004161AE"/>
    <w:rsid w:val="00416204"/>
    <w:rsid w:val="004162AC"/>
    <w:rsid w:val="004162E1"/>
    <w:rsid w:val="0041630E"/>
    <w:rsid w:val="0041685A"/>
    <w:rsid w:val="00416991"/>
    <w:rsid w:val="00416A37"/>
    <w:rsid w:val="00416CE1"/>
    <w:rsid w:val="00416E23"/>
    <w:rsid w:val="004171E9"/>
    <w:rsid w:val="00417219"/>
    <w:rsid w:val="00417397"/>
    <w:rsid w:val="0041778E"/>
    <w:rsid w:val="0041793A"/>
    <w:rsid w:val="00417ACD"/>
    <w:rsid w:val="00417C24"/>
    <w:rsid w:val="00417FE1"/>
    <w:rsid w:val="004204E7"/>
    <w:rsid w:val="004205E7"/>
    <w:rsid w:val="00420901"/>
    <w:rsid w:val="00420954"/>
    <w:rsid w:val="004209F5"/>
    <w:rsid w:val="00420A11"/>
    <w:rsid w:val="00420D8F"/>
    <w:rsid w:val="00420D93"/>
    <w:rsid w:val="00420EF2"/>
    <w:rsid w:val="00420F06"/>
    <w:rsid w:val="00420F93"/>
    <w:rsid w:val="00420FED"/>
    <w:rsid w:val="00421215"/>
    <w:rsid w:val="0042134A"/>
    <w:rsid w:val="00421592"/>
    <w:rsid w:val="004216CE"/>
    <w:rsid w:val="004217C0"/>
    <w:rsid w:val="00421A3B"/>
    <w:rsid w:val="00421A99"/>
    <w:rsid w:val="00421C5A"/>
    <w:rsid w:val="00421D15"/>
    <w:rsid w:val="00421D49"/>
    <w:rsid w:val="00421FCD"/>
    <w:rsid w:val="00422714"/>
    <w:rsid w:val="00422766"/>
    <w:rsid w:val="0042295C"/>
    <w:rsid w:val="004229E5"/>
    <w:rsid w:val="00422A1D"/>
    <w:rsid w:val="00422BD8"/>
    <w:rsid w:val="004230DF"/>
    <w:rsid w:val="0042339E"/>
    <w:rsid w:val="00423440"/>
    <w:rsid w:val="00423487"/>
    <w:rsid w:val="004235CD"/>
    <w:rsid w:val="00423644"/>
    <w:rsid w:val="00423B2A"/>
    <w:rsid w:val="00423B2D"/>
    <w:rsid w:val="00423D23"/>
    <w:rsid w:val="00423D52"/>
    <w:rsid w:val="00423D66"/>
    <w:rsid w:val="00423EDD"/>
    <w:rsid w:val="00423F63"/>
    <w:rsid w:val="004241A5"/>
    <w:rsid w:val="0042434F"/>
    <w:rsid w:val="004243B7"/>
    <w:rsid w:val="0042460D"/>
    <w:rsid w:val="00424655"/>
    <w:rsid w:val="00424683"/>
    <w:rsid w:val="004246C3"/>
    <w:rsid w:val="00424847"/>
    <w:rsid w:val="00424A7C"/>
    <w:rsid w:val="00424D44"/>
    <w:rsid w:val="00424E62"/>
    <w:rsid w:val="00424F8E"/>
    <w:rsid w:val="0042507A"/>
    <w:rsid w:val="004251F1"/>
    <w:rsid w:val="00425201"/>
    <w:rsid w:val="0042539C"/>
    <w:rsid w:val="004257E1"/>
    <w:rsid w:val="00425BA1"/>
    <w:rsid w:val="00425E36"/>
    <w:rsid w:val="00426215"/>
    <w:rsid w:val="00426223"/>
    <w:rsid w:val="004264C7"/>
    <w:rsid w:val="00426638"/>
    <w:rsid w:val="00426962"/>
    <w:rsid w:val="00426CA6"/>
    <w:rsid w:val="00426CD7"/>
    <w:rsid w:val="00426CF2"/>
    <w:rsid w:val="00426E05"/>
    <w:rsid w:val="00426E6E"/>
    <w:rsid w:val="004270B0"/>
    <w:rsid w:val="0042728F"/>
    <w:rsid w:val="00427485"/>
    <w:rsid w:val="00427594"/>
    <w:rsid w:val="004276CD"/>
    <w:rsid w:val="004279F7"/>
    <w:rsid w:val="00427A3F"/>
    <w:rsid w:val="00427CF8"/>
    <w:rsid w:val="00427DCC"/>
    <w:rsid w:val="00427E99"/>
    <w:rsid w:val="00430110"/>
    <w:rsid w:val="0043016E"/>
    <w:rsid w:val="00430245"/>
    <w:rsid w:val="0043025D"/>
    <w:rsid w:val="004303DC"/>
    <w:rsid w:val="00430430"/>
    <w:rsid w:val="004304DA"/>
    <w:rsid w:val="00430715"/>
    <w:rsid w:val="00430A42"/>
    <w:rsid w:val="0043125E"/>
    <w:rsid w:val="00431282"/>
    <w:rsid w:val="004312AC"/>
    <w:rsid w:val="0043138C"/>
    <w:rsid w:val="004316C9"/>
    <w:rsid w:val="004319C0"/>
    <w:rsid w:val="00431C79"/>
    <w:rsid w:val="00431C9C"/>
    <w:rsid w:val="0043218A"/>
    <w:rsid w:val="00432381"/>
    <w:rsid w:val="004325DF"/>
    <w:rsid w:val="004326A4"/>
    <w:rsid w:val="00432796"/>
    <w:rsid w:val="004328ED"/>
    <w:rsid w:val="0043295F"/>
    <w:rsid w:val="00432A44"/>
    <w:rsid w:val="00432AEF"/>
    <w:rsid w:val="00432D1F"/>
    <w:rsid w:val="00432EE5"/>
    <w:rsid w:val="00432F8F"/>
    <w:rsid w:val="00432FE9"/>
    <w:rsid w:val="0043393D"/>
    <w:rsid w:val="00433D17"/>
    <w:rsid w:val="00433DEE"/>
    <w:rsid w:val="00433E79"/>
    <w:rsid w:val="0043401F"/>
    <w:rsid w:val="004340EA"/>
    <w:rsid w:val="0043429F"/>
    <w:rsid w:val="00434397"/>
    <w:rsid w:val="004344C8"/>
    <w:rsid w:val="00434A92"/>
    <w:rsid w:val="00434BBF"/>
    <w:rsid w:val="00434BED"/>
    <w:rsid w:val="00434C9E"/>
    <w:rsid w:val="0043508F"/>
    <w:rsid w:val="0043517A"/>
    <w:rsid w:val="004351D3"/>
    <w:rsid w:val="00435628"/>
    <w:rsid w:val="00435788"/>
    <w:rsid w:val="004357AC"/>
    <w:rsid w:val="004357EA"/>
    <w:rsid w:val="004360BB"/>
    <w:rsid w:val="004361A4"/>
    <w:rsid w:val="0043648E"/>
    <w:rsid w:val="00436559"/>
    <w:rsid w:val="00436567"/>
    <w:rsid w:val="0043671C"/>
    <w:rsid w:val="00436B3B"/>
    <w:rsid w:val="00436D46"/>
    <w:rsid w:val="00436D59"/>
    <w:rsid w:val="004373E3"/>
    <w:rsid w:val="00437785"/>
    <w:rsid w:val="00437BD3"/>
    <w:rsid w:val="004400F6"/>
    <w:rsid w:val="00440103"/>
    <w:rsid w:val="004403B2"/>
    <w:rsid w:val="0044046F"/>
    <w:rsid w:val="00440776"/>
    <w:rsid w:val="0044088D"/>
    <w:rsid w:val="004408D1"/>
    <w:rsid w:val="004408DC"/>
    <w:rsid w:val="00440CC7"/>
    <w:rsid w:val="00441291"/>
    <w:rsid w:val="00441306"/>
    <w:rsid w:val="004413AB"/>
    <w:rsid w:val="00441578"/>
    <w:rsid w:val="0044177B"/>
    <w:rsid w:val="00441AB3"/>
    <w:rsid w:val="00441B70"/>
    <w:rsid w:val="00441DEC"/>
    <w:rsid w:val="00441FF8"/>
    <w:rsid w:val="0044210D"/>
    <w:rsid w:val="004421B6"/>
    <w:rsid w:val="004422D3"/>
    <w:rsid w:val="00442B5D"/>
    <w:rsid w:val="00442BC9"/>
    <w:rsid w:val="00442C19"/>
    <w:rsid w:val="00442D9B"/>
    <w:rsid w:val="00442E24"/>
    <w:rsid w:val="00442E3D"/>
    <w:rsid w:val="004439AA"/>
    <w:rsid w:val="00443A64"/>
    <w:rsid w:val="00443AE1"/>
    <w:rsid w:val="00443B14"/>
    <w:rsid w:val="00443D87"/>
    <w:rsid w:val="00443E9B"/>
    <w:rsid w:val="00443F69"/>
    <w:rsid w:val="00444306"/>
    <w:rsid w:val="0044437E"/>
    <w:rsid w:val="004443EA"/>
    <w:rsid w:val="004445BF"/>
    <w:rsid w:val="00444766"/>
    <w:rsid w:val="004448C3"/>
    <w:rsid w:val="0044495A"/>
    <w:rsid w:val="00444C70"/>
    <w:rsid w:val="00444D2B"/>
    <w:rsid w:val="00444D6F"/>
    <w:rsid w:val="00445252"/>
    <w:rsid w:val="004452DD"/>
    <w:rsid w:val="0044550D"/>
    <w:rsid w:val="00445627"/>
    <w:rsid w:val="00445915"/>
    <w:rsid w:val="00446075"/>
    <w:rsid w:val="004462D9"/>
    <w:rsid w:val="004463A6"/>
    <w:rsid w:val="0044654B"/>
    <w:rsid w:val="00446571"/>
    <w:rsid w:val="0044667D"/>
    <w:rsid w:val="00446920"/>
    <w:rsid w:val="004469C5"/>
    <w:rsid w:val="00446A46"/>
    <w:rsid w:val="00446A60"/>
    <w:rsid w:val="00446B35"/>
    <w:rsid w:val="00446CF3"/>
    <w:rsid w:val="004470F0"/>
    <w:rsid w:val="00447101"/>
    <w:rsid w:val="004472A4"/>
    <w:rsid w:val="00447424"/>
    <w:rsid w:val="00447521"/>
    <w:rsid w:val="00447545"/>
    <w:rsid w:val="0044761A"/>
    <w:rsid w:val="00447653"/>
    <w:rsid w:val="00447787"/>
    <w:rsid w:val="0044784B"/>
    <w:rsid w:val="004478EB"/>
    <w:rsid w:val="00447A0C"/>
    <w:rsid w:val="00447D41"/>
    <w:rsid w:val="00447F85"/>
    <w:rsid w:val="0044A041"/>
    <w:rsid w:val="00450425"/>
    <w:rsid w:val="004504B7"/>
    <w:rsid w:val="00450766"/>
    <w:rsid w:val="00450A63"/>
    <w:rsid w:val="00450AA0"/>
    <w:rsid w:val="00450B1D"/>
    <w:rsid w:val="00450B2F"/>
    <w:rsid w:val="00450E11"/>
    <w:rsid w:val="00450F4A"/>
    <w:rsid w:val="00450FD7"/>
    <w:rsid w:val="0045106E"/>
    <w:rsid w:val="00451105"/>
    <w:rsid w:val="0045154A"/>
    <w:rsid w:val="004515E1"/>
    <w:rsid w:val="00451A0D"/>
    <w:rsid w:val="00451C8E"/>
    <w:rsid w:val="00451E83"/>
    <w:rsid w:val="00452221"/>
    <w:rsid w:val="004523B1"/>
    <w:rsid w:val="004523EE"/>
    <w:rsid w:val="00452638"/>
    <w:rsid w:val="004526B7"/>
    <w:rsid w:val="00452C53"/>
    <w:rsid w:val="00452D57"/>
    <w:rsid w:val="00453002"/>
    <w:rsid w:val="00453308"/>
    <w:rsid w:val="00453384"/>
    <w:rsid w:val="004533C8"/>
    <w:rsid w:val="004535E5"/>
    <w:rsid w:val="0045367B"/>
    <w:rsid w:val="00453882"/>
    <w:rsid w:val="004539B2"/>
    <w:rsid w:val="00453A5A"/>
    <w:rsid w:val="00453C06"/>
    <w:rsid w:val="00453C24"/>
    <w:rsid w:val="00453C4F"/>
    <w:rsid w:val="00453E74"/>
    <w:rsid w:val="00454707"/>
    <w:rsid w:val="00454714"/>
    <w:rsid w:val="004547C9"/>
    <w:rsid w:val="0045487E"/>
    <w:rsid w:val="00454AE5"/>
    <w:rsid w:val="00454D81"/>
    <w:rsid w:val="00454F88"/>
    <w:rsid w:val="00455093"/>
    <w:rsid w:val="00455582"/>
    <w:rsid w:val="00455778"/>
    <w:rsid w:val="004559B8"/>
    <w:rsid w:val="00455B55"/>
    <w:rsid w:val="00455CF6"/>
    <w:rsid w:val="00456406"/>
    <w:rsid w:val="004564C8"/>
    <w:rsid w:val="004565E9"/>
    <w:rsid w:val="00456AE3"/>
    <w:rsid w:val="00456B40"/>
    <w:rsid w:val="00456B55"/>
    <w:rsid w:val="00456B91"/>
    <w:rsid w:val="00456DAE"/>
    <w:rsid w:val="00456E09"/>
    <w:rsid w:val="00456E6F"/>
    <w:rsid w:val="0045703F"/>
    <w:rsid w:val="00457170"/>
    <w:rsid w:val="0045717A"/>
    <w:rsid w:val="0045728F"/>
    <w:rsid w:val="004577EC"/>
    <w:rsid w:val="004577FA"/>
    <w:rsid w:val="00457F1E"/>
    <w:rsid w:val="0046000A"/>
    <w:rsid w:val="004600E9"/>
    <w:rsid w:val="004601E7"/>
    <w:rsid w:val="0046027D"/>
    <w:rsid w:val="0046030F"/>
    <w:rsid w:val="004604BB"/>
    <w:rsid w:val="0046069B"/>
    <w:rsid w:val="004608C1"/>
    <w:rsid w:val="004609CE"/>
    <w:rsid w:val="00460B02"/>
    <w:rsid w:val="00460B04"/>
    <w:rsid w:val="00460D2A"/>
    <w:rsid w:val="00460E97"/>
    <w:rsid w:val="00461253"/>
    <w:rsid w:val="004612B9"/>
    <w:rsid w:val="00461488"/>
    <w:rsid w:val="00461934"/>
    <w:rsid w:val="00461957"/>
    <w:rsid w:val="004619B7"/>
    <w:rsid w:val="00461A2A"/>
    <w:rsid w:val="00461B04"/>
    <w:rsid w:val="00461BB9"/>
    <w:rsid w:val="00461C43"/>
    <w:rsid w:val="00461C50"/>
    <w:rsid w:val="00461D1A"/>
    <w:rsid w:val="00461E88"/>
    <w:rsid w:val="004620A9"/>
    <w:rsid w:val="00462274"/>
    <w:rsid w:val="0046227F"/>
    <w:rsid w:val="0046229C"/>
    <w:rsid w:val="00462677"/>
    <w:rsid w:val="00462722"/>
    <w:rsid w:val="00462ABC"/>
    <w:rsid w:val="00462CF3"/>
    <w:rsid w:val="00462F31"/>
    <w:rsid w:val="00462FCF"/>
    <w:rsid w:val="0046300E"/>
    <w:rsid w:val="004630C9"/>
    <w:rsid w:val="004632C8"/>
    <w:rsid w:val="004635E2"/>
    <w:rsid w:val="0046369C"/>
    <w:rsid w:val="004636A4"/>
    <w:rsid w:val="004636B0"/>
    <w:rsid w:val="004636DD"/>
    <w:rsid w:val="0046370B"/>
    <w:rsid w:val="0046379E"/>
    <w:rsid w:val="00463BC2"/>
    <w:rsid w:val="00463CB8"/>
    <w:rsid w:val="00463D36"/>
    <w:rsid w:val="00463D89"/>
    <w:rsid w:val="00463DBB"/>
    <w:rsid w:val="00463F17"/>
    <w:rsid w:val="00464404"/>
    <w:rsid w:val="004645DB"/>
    <w:rsid w:val="00464661"/>
    <w:rsid w:val="004646EC"/>
    <w:rsid w:val="004648F8"/>
    <w:rsid w:val="00464961"/>
    <w:rsid w:val="00464BAE"/>
    <w:rsid w:val="00464C1C"/>
    <w:rsid w:val="00464CDF"/>
    <w:rsid w:val="00464E96"/>
    <w:rsid w:val="004651B9"/>
    <w:rsid w:val="00465256"/>
    <w:rsid w:val="00465374"/>
    <w:rsid w:val="004655A4"/>
    <w:rsid w:val="004655DB"/>
    <w:rsid w:val="00465BB4"/>
    <w:rsid w:val="004661B9"/>
    <w:rsid w:val="0046623C"/>
    <w:rsid w:val="0046677D"/>
    <w:rsid w:val="0046677E"/>
    <w:rsid w:val="00466788"/>
    <w:rsid w:val="00466950"/>
    <w:rsid w:val="004669D4"/>
    <w:rsid w:val="00466A70"/>
    <w:rsid w:val="00466B57"/>
    <w:rsid w:val="00466BA1"/>
    <w:rsid w:val="00466C2D"/>
    <w:rsid w:val="00466D91"/>
    <w:rsid w:val="00466FA2"/>
    <w:rsid w:val="00467278"/>
    <w:rsid w:val="004675EC"/>
    <w:rsid w:val="00467766"/>
    <w:rsid w:val="00467852"/>
    <w:rsid w:val="004679E0"/>
    <w:rsid w:val="00467A34"/>
    <w:rsid w:val="00467BA3"/>
    <w:rsid w:val="00467DB4"/>
    <w:rsid w:val="00467F0F"/>
    <w:rsid w:val="0047008B"/>
    <w:rsid w:val="004701A5"/>
    <w:rsid w:val="004702DB"/>
    <w:rsid w:val="00470454"/>
    <w:rsid w:val="004709F3"/>
    <w:rsid w:val="00470A9B"/>
    <w:rsid w:val="00470CDB"/>
    <w:rsid w:val="00470DD5"/>
    <w:rsid w:val="00470EE6"/>
    <w:rsid w:val="004710AC"/>
    <w:rsid w:val="00471114"/>
    <w:rsid w:val="0047126C"/>
    <w:rsid w:val="004714BB"/>
    <w:rsid w:val="00471584"/>
    <w:rsid w:val="00471659"/>
    <w:rsid w:val="00471754"/>
    <w:rsid w:val="00471852"/>
    <w:rsid w:val="004718A1"/>
    <w:rsid w:val="00471956"/>
    <w:rsid w:val="00471B2C"/>
    <w:rsid w:val="00471CE7"/>
    <w:rsid w:val="00471EA6"/>
    <w:rsid w:val="00471EC4"/>
    <w:rsid w:val="00471F16"/>
    <w:rsid w:val="0047200B"/>
    <w:rsid w:val="0047200F"/>
    <w:rsid w:val="004721B8"/>
    <w:rsid w:val="00472205"/>
    <w:rsid w:val="00472712"/>
    <w:rsid w:val="004727E9"/>
    <w:rsid w:val="0047295A"/>
    <w:rsid w:val="00472C80"/>
    <w:rsid w:val="00472E49"/>
    <w:rsid w:val="00472F44"/>
    <w:rsid w:val="00473167"/>
    <w:rsid w:val="004731D0"/>
    <w:rsid w:val="004733CC"/>
    <w:rsid w:val="00473452"/>
    <w:rsid w:val="0047378E"/>
    <w:rsid w:val="0047393B"/>
    <w:rsid w:val="00473C73"/>
    <w:rsid w:val="00473DBC"/>
    <w:rsid w:val="00473E26"/>
    <w:rsid w:val="004744E1"/>
    <w:rsid w:val="004748A7"/>
    <w:rsid w:val="00474B35"/>
    <w:rsid w:val="00474CC4"/>
    <w:rsid w:val="00474DB2"/>
    <w:rsid w:val="00474E28"/>
    <w:rsid w:val="004753EA"/>
    <w:rsid w:val="00475B7C"/>
    <w:rsid w:val="00475C84"/>
    <w:rsid w:val="00475E8E"/>
    <w:rsid w:val="00475EB2"/>
    <w:rsid w:val="00475ED9"/>
    <w:rsid w:val="004763A0"/>
    <w:rsid w:val="00476479"/>
    <w:rsid w:val="004764A4"/>
    <w:rsid w:val="0047659D"/>
    <w:rsid w:val="004765DD"/>
    <w:rsid w:val="00476AC2"/>
    <w:rsid w:val="00476B6C"/>
    <w:rsid w:val="00476C4F"/>
    <w:rsid w:val="00476C79"/>
    <w:rsid w:val="00476DE2"/>
    <w:rsid w:val="00476F40"/>
    <w:rsid w:val="00477102"/>
    <w:rsid w:val="0047714B"/>
    <w:rsid w:val="004771A1"/>
    <w:rsid w:val="004772C7"/>
    <w:rsid w:val="004773FF"/>
    <w:rsid w:val="00477506"/>
    <w:rsid w:val="00477905"/>
    <w:rsid w:val="00477B0A"/>
    <w:rsid w:val="00477D08"/>
    <w:rsid w:val="00477D33"/>
    <w:rsid w:val="00477DCD"/>
    <w:rsid w:val="00477E95"/>
    <w:rsid w:val="004803E4"/>
    <w:rsid w:val="004807E6"/>
    <w:rsid w:val="00480814"/>
    <w:rsid w:val="004809CB"/>
    <w:rsid w:val="00480B3A"/>
    <w:rsid w:val="00480B51"/>
    <w:rsid w:val="00480C33"/>
    <w:rsid w:val="00480C96"/>
    <w:rsid w:val="00480DB9"/>
    <w:rsid w:val="00480F5A"/>
    <w:rsid w:val="00481045"/>
    <w:rsid w:val="0048157C"/>
    <w:rsid w:val="004815AB"/>
    <w:rsid w:val="0048170E"/>
    <w:rsid w:val="00481A43"/>
    <w:rsid w:val="00481DC8"/>
    <w:rsid w:val="00481EF9"/>
    <w:rsid w:val="0048207D"/>
    <w:rsid w:val="0048208C"/>
    <w:rsid w:val="004820A6"/>
    <w:rsid w:val="00482429"/>
    <w:rsid w:val="004824A9"/>
    <w:rsid w:val="004828B7"/>
    <w:rsid w:val="004828CC"/>
    <w:rsid w:val="00482BCE"/>
    <w:rsid w:val="00482D41"/>
    <w:rsid w:val="00482FD5"/>
    <w:rsid w:val="00482FDC"/>
    <w:rsid w:val="004830E5"/>
    <w:rsid w:val="00483125"/>
    <w:rsid w:val="004835AD"/>
    <w:rsid w:val="00483605"/>
    <w:rsid w:val="0048389A"/>
    <w:rsid w:val="004839E0"/>
    <w:rsid w:val="00483B18"/>
    <w:rsid w:val="00483FBA"/>
    <w:rsid w:val="00483FFD"/>
    <w:rsid w:val="0048404D"/>
    <w:rsid w:val="00484500"/>
    <w:rsid w:val="00484669"/>
    <w:rsid w:val="00484B05"/>
    <w:rsid w:val="00484C56"/>
    <w:rsid w:val="00484E48"/>
    <w:rsid w:val="00484EC3"/>
    <w:rsid w:val="004851C5"/>
    <w:rsid w:val="00485262"/>
    <w:rsid w:val="00485555"/>
    <w:rsid w:val="0048569F"/>
    <w:rsid w:val="0048578A"/>
    <w:rsid w:val="00485886"/>
    <w:rsid w:val="00485889"/>
    <w:rsid w:val="00485C07"/>
    <w:rsid w:val="00485F03"/>
    <w:rsid w:val="0048628B"/>
    <w:rsid w:val="004862ED"/>
    <w:rsid w:val="00486547"/>
    <w:rsid w:val="004866BB"/>
    <w:rsid w:val="004866D1"/>
    <w:rsid w:val="0048672C"/>
    <w:rsid w:val="0048674E"/>
    <w:rsid w:val="00486848"/>
    <w:rsid w:val="00486B13"/>
    <w:rsid w:val="00486BC0"/>
    <w:rsid w:val="00486C90"/>
    <w:rsid w:val="00486D53"/>
    <w:rsid w:val="00486D68"/>
    <w:rsid w:val="00486D86"/>
    <w:rsid w:val="00487A7B"/>
    <w:rsid w:val="00487F0E"/>
    <w:rsid w:val="00487F40"/>
    <w:rsid w:val="00487F43"/>
    <w:rsid w:val="00490395"/>
    <w:rsid w:val="00490439"/>
    <w:rsid w:val="00490448"/>
    <w:rsid w:val="0049069B"/>
    <w:rsid w:val="0049097D"/>
    <w:rsid w:val="00490A00"/>
    <w:rsid w:val="00490B47"/>
    <w:rsid w:val="00490FB1"/>
    <w:rsid w:val="00490FEA"/>
    <w:rsid w:val="004911E6"/>
    <w:rsid w:val="0049137A"/>
    <w:rsid w:val="0049142D"/>
    <w:rsid w:val="004914EF"/>
    <w:rsid w:val="00491572"/>
    <w:rsid w:val="00491771"/>
    <w:rsid w:val="004917E1"/>
    <w:rsid w:val="0049181D"/>
    <w:rsid w:val="00491964"/>
    <w:rsid w:val="00491AED"/>
    <w:rsid w:val="00491E5F"/>
    <w:rsid w:val="00491ED0"/>
    <w:rsid w:val="00491F28"/>
    <w:rsid w:val="0049202C"/>
    <w:rsid w:val="004921C9"/>
    <w:rsid w:val="00492248"/>
    <w:rsid w:val="00492274"/>
    <w:rsid w:val="004923D7"/>
    <w:rsid w:val="004924CF"/>
    <w:rsid w:val="0049283E"/>
    <w:rsid w:val="0049284B"/>
    <w:rsid w:val="0049289E"/>
    <w:rsid w:val="004928B6"/>
    <w:rsid w:val="00492B3B"/>
    <w:rsid w:val="00492BFD"/>
    <w:rsid w:val="00492C91"/>
    <w:rsid w:val="00492CD8"/>
    <w:rsid w:val="00492D15"/>
    <w:rsid w:val="00492E43"/>
    <w:rsid w:val="0049317B"/>
    <w:rsid w:val="00493295"/>
    <w:rsid w:val="004932FB"/>
    <w:rsid w:val="00493421"/>
    <w:rsid w:val="004935C5"/>
    <w:rsid w:val="004936AA"/>
    <w:rsid w:val="00493706"/>
    <w:rsid w:val="004937CF"/>
    <w:rsid w:val="004938FA"/>
    <w:rsid w:val="00493A76"/>
    <w:rsid w:val="00493B37"/>
    <w:rsid w:val="00493D09"/>
    <w:rsid w:val="00494089"/>
    <w:rsid w:val="0049425B"/>
    <w:rsid w:val="00494420"/>
    <w:rsid w:val="0049460E"/>
    <w:rsid w:val="00494756"/>
    <w:rsid w:val="00494D0A"/>
    <w:rsid w:val="004950BF"/>
    <w:rsid w:val="0049519D"/>
    <w:rsid w:val="004952E3"/>
    <w:rsid w:val="00495406"/>
    <w:rsid w:val="004954C7"/>
    <w:rsid w:val="00495639"/>
    <w:rsid w:val="00495937"/>
    <w:rsid w:val="00495AA6"/>
    <w:rsid w:val="00495AFA"/>
    <w:rsid w:val="00495F01"/>
    <w:rsid w:val="0049635B"/>
    <w:rsid w:val="004968C3"/>
    <w:rsid w:val="00496C21"/>
    <w:rsid w:val="00496C3D"/>
    <w:rsid w:val="00496CBC"/>
    <w:rsid w:val="00496D2D"/>
    <w:rsid w:val="00496F2F"/>
    <w:rsid w:val="00496F70"/>
    <w:rsid w:val="004971F7"/>
    <w:rsid w:val="004974D8"/>
    <w:rsid w:val="0049781E"/>
    <w:rsid w:val="00497966"/>
    <w:rsid w:val="00497B5D"/>
    <w:rsid w:val="00497E4A"/>
    <w:rsid w:val="00497E94"/>
    <w:rsid w:val="004A0063"/>
    <w:rsid w:val="004A0222"/>
    <w:rsid w:val="004A0439"/>
    <w:rsid w:val="004A0472"/>
    <w:rsid w:val="004A05BC"/>
    <w:rsid w:val="004A0739"/>
    <w:rsid w:val="004A0AEF"/>
    <w:rsid w:val="004A0B42"/>
    <w:rsid w:val="004A0BC4"/>
    <w:rsid w:val="004A0C38"/>
    <w:rsid w:val="004A0E88"/>
    <w:rsid w:val="004A1160"/>
    <w:rsid w:val="004A13A3"/>
    <w:rsid w:val="004A13F2"/>
    <w:rsid w:val="004A14EA"/>
    <w:rsid w:val="004A1596"/>
    <w:rsid w:val="004A1638"/>
    <w:rsid w:val="004A16A3"/>
    <w:rsid w:val="004A1963"/>
    <w:rsid w:val="004A1994"/>
    <w:rsid w:val="004A1B23"/>
    <w:rsid w:val="004A1BC6"/>
    <w:rsid w:val="004A1CA2"/>
    <w:rsid w:val="004A26B2"/>
    <w:rsid w:val="004A2B38"/>
    <w:rsid w:val="004A2D9B"/>
    <w:rsid w:val="004A2F29"/>
    <w:rsid w:val="004A3382"/>
    <w:rsid w:val="004A3441"/>
    <w:rsid w:val="004A35E8"/>
    <w:rsid w:val="004A363C"/>
    <w:rsid w:val="004A380F"/>
    <w:rsid w:val="004A3864"/>
    <w:rsid w:val="004A38DC"/>
    <w:rsid w:val="004A3D35"/>
    <w:rsid w:val="004A4182"/>
    <w:rsid w:val="004A4249"/>
    <w:rsid w:val="004A450B"/>
    <w:rsid w:val="004A4834"/>
    <w:rsid w:val="004A4886"/>
    <w:rsid w:val="004A48E3"/>
    <w:rsid w:val="004A4957"/>
    <w:rsid w:val="004A4A0F"/>
    <w:rsid w:val="004A4A13"/>
    <w:rsid w:val="004A4D10"/>
    <w:rsid w:val="004A4D8A"/>
    <w:rsid w:val="004A4EE9"/>
    <w:rsid w:val="004A4F32"/>
    <w:rsid w:val="004A4FED"/>
    <w:rsid w:val="004A5157"/>
    <w:rsid w:val="004A516F"/>
    <w:rsid w:val="004A525B"/>
    <w:rsid w:val="004A529E"/>
    <w:rsid w:val="004A5592"/>
    <w:rsid w:val="004A5755"/>
    <w:rsid w:val="004A576D"/>
    <w:rsid w:val="004A5971"/>
    <w:rsid w:val="004A59B1"/>
    <w:rsid w:val="004A5D7A"/>
    <w:rsid w:val="004A5DB1"/>
    <w:rsid w:val="004A5DC7"/>
    <w:rsid w:val="004A5DD2"/>
    <w:rsid w:val="004A5DE2"/>
    <w:rsid w:val="004A61FD"/>
    <w:rsid w:val="004A65A7"/>
    <w:rsid w:val="004A684E"/>
    <w:rsid w:val="004A6A35"/>
    <w:rsid w:val="004A6A72"/>
    <w:rsid w:val="004A6AC8"/>
    <w:rsid w:val="004A6BCB"/>
    <w:rsid w:val="004A71F8"/>
    <w:rsid w:val="004A7203"/>
    <w:rsid w:val="004A7331"/>
    <w:rsid w:val="004A7427"/>
    <w:rsid w:val="004A7496"/>
    <w:rsid w:val="004A75F9"/>
    <w:rsid w:val="004A7645"/>
    <w:rsid w:val="004A76F1"/>
    <w:rsid w:val="004A779E"/>
    <w:rsid w:val="004A7A8D"/>
    <w:rsid w:val="004A7CA7"/>
    <w:rsid w:val="004A7DAE"/>
    <w:rsid w:val="004A7F52"/>
    <w:rsid w:val="004B01AE"/>
    <w:rsid w:val="004B02C1"/>
    <w:rsid w:val="004B0655"/>
    <w:rsid w:val="004B0740"/>
    <w:rsid w:val="004B08F3"/>
    <w:rsid w:val="004B0976"/>
    <w:rsid w:val="004B0AB4"/>
    <w:rsid w:val="004B0C57"/>
    <w:rsid w:val="004B0D6F"/>
    <w:rsid w:val="004B0E6F"/>
    <w:rsid w:val="004B1123"/>
    <w:rsid w:val="004B11A6"/>
    <w:rsid w:val="004B122D"/>
    <w:rsid w:val="004B1258"/>
    <w:rsid w:val="004B1482"/>
    <w:rsid w:val="004B1D15"/>
    <w:rsid w:val="004B1D54"/>
    <w:rsid w:val="004B1E86"/>
    <w:rsid w:val="004B1F31"/>
    <w:rsid w:val="004B2060"/>
    <w:rsid w:val="004B246F"/>
    <w:rsid w:val="004B2555"/>
    <w:rsid w:val="004B2594"/>
    <w:rsid w:val="004B26B6"/>
    <w:rsid w:val="004B26CB"/>
    <w:rsid w:val="004B2AED"/>
    <w:rsid w:val="004B2D29"/>
    <w:rsid w:val="004B2E5E"/>
    <w:rsid w:val="004B2E78"/>
    <w:rsid w:val="004B2FF6"/>
    <w:rsid w:val="004B341D"/>
    <w:rsid w:val="004B34EA"/>
    <w:rsid w:val="004B352B"/>
    <w:rsid w:val="004B3725"/>
    <w:rsid w:val="004B3A67"/>
    <w:rsid w:val="004B3A83"/>
    <w:rsid w:val="004B3AA9"/>
    <w:rsid w:val="004B3BF1"/>
    <w:rsid w:val="004B3C04"/>
    <w:rsid w:val="004B3C67"/>
    <w:rsid w:val="004B3D7E"/>
    <w:rsid w:val="004B3DC3"/>
    <w:rsid w:val="004B3EF6"/>
    <w:rsid w:val="004B3FDA"/>
    <w:rsid w:val="004B402C"/>
    <w:rsid w:val="004B408A"/>
    <w:rsid w:val="004B41DD"/>
    <w:rsid w:val="004B4759"/>
    <w:rsid w:val="004B48BB"/>
    <w:rsid w:val="004B4ABD"/>
    <w:rsid w:val="004B4C22"/>
    <w:rsid w:val="004B4C38"/>
    <w:rsid w:val="004B4CBE"/>
    <w:rsid w:val="004B4CEF"/>
    <w:rsid w:val="004B4D1D"/>
    <w:rsid w:val="004B4F91"/>
    <w:rsid w:val="004B51D3"/>
    <w:rsid w:val="004B51EC"/>
    <w:rsid w:val="004B5402"/>
    <w:rsid w:val="004B546D"/>
    <w:rsid w:val="004B54F3"/>
    <w:rsid w:val="004B5533"/>
    <w:rsid w:val="004B554F"/>
    <w:rsid w:val="004B57D4"/>
    <w:rsid w:val="004B5858"/>
    <w:rsid w:val="004B595D"/>
    <w:rsid w:val="004B5AB1"/>
    <w:rsid w:val="004B5B66"/>
    <w:rsid w:val="004B5E04"/>
    <w:rsid w:val="004B5F7A"/>
    <w:rsid w:val="004B657E"/>
    <w:rsid w:val="004B69A5"/>
    <w:rsid w:val="004B6EC9"/>
    <w:rsid w:val="004B70B4"/>
    <w:rsid w:val="004B732C"/>
    <w:rsid w:val="004B732D"/>
    <w:rsid w:val="004B73C7"/>
    <w:rsid w:val="004B73EF"/>
    <w:rsid w:val="004B7993"/>
    <w:rsid w:val="004B7E25"/>
    <w:rsid w:val="004B7E6E"/>
    <w:rsid w:val="004C01B3"/>
    <w:rsid w:val="004C0210"/>
    <w:rsid w:val="004C02EB"/>
    <w:rsid w:val="004C044A"/>
    <w:rsid w:val="004C080E"/>
    <w:rsid w:val="004C085C"/>
    <w:rsid w:val="004C09D3"/>
    <w:rsid w:val="004C0D69"/>
    <w:rsid w:val="004C0E36"/>
    <w:rsid w:val="004C0F80"/>
    <w:rsid w:val="004C101E"/>
    <w:rsid w:val="004C1309"/>
    <w:rsid w:val="004C137C"/>
    <w:rsid w:val="004C13F4"/>
    <w:rsid w:val="004C1437"/>
    <w:rsid w:val="004C1594"/>
    <w:rsid w:val="004C168B"/>
    <w:rsid w:val="004C17E2"/>
    <w:rsid w:val="004C1920"/>
    <w:rsid w:val="004C1A8A"/>
    <w:rsid w:val="004C1BF8"/>
    <w:rsid w:val="004C1C19"/>
    <w:rsid w:val="004C1CDD"/>
    <w:rsid w:val="004C1CE4"/>
    <w:rsid w:val="004C1D60"/>
    <w:rsid w:val="004C1FBA"/>
    <w:rsid w:val="004C20BB"/>
    <w:rsid w:val="004C212A"/>
    <w:rsid w:val="004C21C5"/>
    <w:rsid w:val="004C2224"/>
    <w:rsid w:val="004C2613"/>
    <w:rsid w:val="004C2640"/>
    <w:rsid w:val="004C2935"/>
    <w:rsid w:val="004C2A39"/>
    <w:rsid w:val="004C2AA8"/>
    <w:rsid w:val="004C2BD0"/>
    <w:rsid w:val="004C2E73"/>
    <w:rsid w:val="004C2FDD"/>
    <w:rsid w:val="004C2FE0"/>
    <w:rsid w:val="004C3021"/>
    <w:rsid w:val="004C33DC"/>
    <w:rsid w:val="004C3598"/>
    <w:rsid w:val="004C38DC"/>
    <w:rsid w:val="004C39EA"/>
    <w:rsid w:val="004C3AE8"/>
    <w:rsid w:val="004C3B79"/>
    <w:rsid w:val="004C3CB0"/>
    <w:rsid w:val="004C3D46"/>
    <w:rsid w:val="004C3E30"/>
    <w:rsid w:val="004C3F69"/>
    <w:rsid w:val="004C3FB6"/>
    <w:rsid w:val="004C4166"/>
    <w:rsid w:val="004C444C"/>
    <w:rsid w:val="004C455C"/>
    <w:rsid w:val="004C4717"/>
    <w:rsid w:val="004C47D5"/>
    <w:rsid w:val="004C4A98"/>
    <w:rsid w:val="004C5238"/>
    <w:rsid w:val="004C54F2"/>
    <w:rsid w:val="004C551F"/>
    <w:rsid w:val="004C5C2D"/>
    <w:rsid w:val="004C5CC4"/>
    <w:rsid w:val="004C63C1"/>
    <w:rsid w:val="004C64A3"/>
    <w:rsid w:val="004C64AB"/>
    <w:rsid w:val="004C6703"/>
    <w:rsid w:val="004C691A"/>
    <w:rsid w:val="004C6BAC"/>
    <w:rsid w:val="004C6E5B"/>
    <w:rsid w:val="004C724B"/>
    <w:rsid w:val="004C72EA"/>
    <w:rsid w:val="004C74F5"/>
    <w:rsid w:val="004C75E7"/>
    <w:rsid w:val="004C767C"/>
    <w:rsid w:val="004C76DA"/>
    <w:rsid w:val="004C7C33"/>
    <w:rsid w:val="004C7F74"/>
    <w:rsid w:val="004C7FF4"/>
    <w:rsid w:val="004D00C4"/>
    <w:rsid w:val="004D00C9"/>
    <w:rsid w:val="004D0176"/>
    <w:rsid w:val="004D06CB"/>
    <w:rsid w:val="004D0972"/>
    <w:rsid w:val="004D0C47"/>
    <w:rsid w:val="004D0D71"/>
    <w:rsid w:val="004D0DCB"/>
    <w:rsid w:val="004D0F5D"/>
    <w:rsid w:val="004D1014"/>
    <w:rsid w:val="004D11ED"/>
    <w:rsid w:val="004D1266"/>
    <w:rsid w:val="004D1328"/>
    <w:rsid w:val="004D1466"/>
    <w:rsid w:val="004D1497"/>
    <w:rsid w:val="004D1588"/>
    <w:rsid w:val="004D178A"/>
    <w:rsid w:val="004D1870"/>
    <w:rsid w:val="004D1A44"/>
    <w:rsid w:val="004D1B0A"/>
    <w:rsid w:val="004D1BAC"/>
    <w:rsid w:val="004D1DB7"/>
    <w:rsid w:val="004D1DCB"/>
    <w:rsid w:val="004D1F6D"/>
    <w:rsid w:val="004D1F96"/>
    <w:rsid w:val="004D1FF7"/>
    <w:rsid w:val="004D2036"/>
    <w:rsid w:val="004D2281"/>
    <w:rsid w:val="004D2743"/>
    <w:rsid w:val="004D2B8F"/>
    <w:rsid w:val="004D2E8F"/>
    <w:rsid w:val="004D2F32"/>
    <w:rsid w:val="004D2FC2"/>
    <w:rsid w:val="004D2FDF"/>
    <w:rsid w:val="004D316E"/>
    <w:rsid w:val="004D3226"/>
    <w:rsid w:val="004D344E"/>
    <w:rsid w:val="004D3631"/>
    <w:rsid w:val="004D37A4"/>
    <w:rsid w:val="004D3820"/>
    <w:rsid w:val="004D392C"/>
    <w:rsid w:val="004D3B01"/>
    <w:rsid w:val="004D3C39"/>
    <w:rsid w:val="004D3E07"/>
    <w:rsid w:val="004D3E8E"/>
    <w:rsid w:val="004D3F0F"/>
    <w:rsid w:val="004D3F5B"/>
    <w:rsid w:val="004D3FF3"/>
    <w:rsid w:val="004D4147"/>
    <w:rsid w:val="004D4168"/>
    <w:rsid w:val="004D42AA"/>
    <w:rsid w:val="004D4392"/>
    <w:rsid w:val="004D440E"/>
    <w:rsid w:val="004D4523"/>
    <w:rsid w:val="004D468E"/>
    <w:rsid w:val="004D4717"/>
    <w:rsid w:val="004D4794"/>
    <w:rsid w:val="004D4A10"/>
    <w:rsid w:val="004D4C8E"/>
    <w:rsid w:val="004D4CA6"/>
    <w:rsid w:val="004D5280"/>
    <w:rsid w:val="004D52AD"/>
    <w:rsid w:val="004D5471"/>
    <w:rsid w:val="004D578D"/>
    <w:rsid w:val="004D5973"/>
    <w:rsid w:val="004D5C5F"/>
    <w:rsid w:val="004D5D9E"/>
    <w:rsid w:val="004D5FC0"/>
    <w:rsid w:val="004D6134"/>
    <w:rsid w:val="004D6156"/>
    <w:rsid w:val="004D63BC"/>
    <w:rsid w:val="004D6475"/>
    <w:rsid w:val="004D648D"/>
    <w:rsid w:val="004D64C4"/>
    <w:rsid w:val="004D6533"/>
    <w:rsid w:val="004D663C"/>
    <w:rsid w:val="004D6650"/>
    <w:rsid w:val="004D679B"/>
    <w:rsid w:val="004D6823"/>
    <w:rsid w:val="004D6925"/>
    <w:rsid w:val="004D6AC4"/>
    <w:rsid w:val="004D6CA6"/>
    <w:rsid w:val="004D6CB9"/>
    <w:rsid w:val="004D6D36"/>
    <w:rsid w:val="004D6D49"/>
    <w:rsid w:val="004D6D9B"/>
    <w:rsid w:val="004D6DE6"/>
    <w:rsid w:val="004D6F75"/>
    <w:rsid w:val="004D72C5"/>
    <w:rsid w:val="004D7496"/>
    <w:rsid w:val="004D762F"/>
    <w:rsid w:val="004D7689"/>
    <w:rsid w:val="004D770B"/>
    <w:rsid w:val="004D7851"/>
    <w:rsid w:val="004D78FC"/>
    <w:rsid w:val="004D7AA8"/>
    <w:rsid w:val="004D7D85"/>
    <w:rsid w:val="004D7DC0"/>
    <w:rsid w:val="004D7DD1"/>
    <w:rsid w:val="004D7F9C"/>
    <w:rsid w:val="004E0041"/>
    <w:rsid w:val="004E0821"/>
    <w:rsid w:val="004E0895"/>
    <w:rsid w:val="004E0951"/>
    <w:rsid w:val="004E09AE"/>
    <w:rsid w:val="004E0B6E"/>
    <w:rsid w:val="004E0B81"/>
    <w:rsid w:val="004E0C32"/>
    <w:rsid w:val="004E0D93"/>
    <w:rsid w:val="004E0F17"/>
    <w:rsid w:val="004E0FE4"/>
    <w:rsid w:val="004E12CB"/>
    <w:rsid w:val="004E12DC"/>
    <w:rsid w:val="004E14DF"/>
    <w:rsid w:val="004E16A0"/>
    <w:rsid w:val="004E1738"/>
    <w:rsid w:val="004E1825"/>
    <w:rsid w:val="004E188C"/>
    <w:rsid w:val="004E1AD9"/>
    <w:rsid w:val="004E1E60"/>
    <w:rsid w:val="004E214C"/>
    <w:rsid w:val="004E235F"/>
    <w:rsid w:val="004E24A4"/>
    <w:rsid w:val="004E25C3"/>
    <w:rsid w:val="004E29DF"/>
    <w:rsid w:val="004E2B05"/>
    <w:rsid w:val="004E2B7D"/>
    <w:rsid w:val="004E2C39"/>
    <w:rsid w:val="004E2C88"/>
    <w:rsid w:val="004E2DEC"/>
    <w:rsid w:val="004E2F37"/>
    <w:rsid w:val="004E33EE"/>
    <w:rsid w:val="004E340C"/>
    <w:rsid w:val="004E3558"/>
    <w:rsid w:val="004E357F"/>
    <w:rsid w:val="004E3829"/>
    <w:rsid w:val="004E3ADE"/>
    <w:rsid w:val="004E3B3A"/>
    <w:rsid w:val="004E3DF8"/>
    <w:rsid w:val="004E4099"/>
    <w:rsid w:val="004E42FF"/>
    <w:rsid w:val="004E4530"/>
    <w:rsid w:val="004E467A"/>
    <w:rsid w:val="004E4731"/>
    <w:rsid w:val="004E4902"/>
    <w:rsid w:val="004E494D"/>
    <w:rsid w:val="004E4A17"/>
    <w:rsid w:val="004E4B25"/>
    <w:rsid w:val="004E4B5D"/>
    <w:rsid w:val="004E4D67"/>
    <w:rsid w:val="004E4F82"/>
    <w:rsid w:val="004E4FA3"/>
    <w:rsid w:val="004E56DA"/>
    <w:rsid w:val="004E58F5"/>
    <w:rsid w:val="004E5A3A"/>
    <w:rsid w:val="004E5D84"/>
    <w:rsid w:val="004E5E3B"/>
    <w:rsid w:val="004E6127"/>
    <w:rsid w:val="004E6268"/>
    <w:rsid w:val="004E6271"/>
    <w:rsid w:val="004E63A7"/>
    <w:rsid w:val="004E63FA"/>
    <w:rsid w:val="004E6905"/>
    <w:rsid w:val="004E6CDC"/>
    <w:rsid w:val="004E6EFA"/>
    <w:rsid w:val="004E70D2"/>
    <w:rsid w:val="004E7258"/>
    <w:rsid w:val="004E7308"/>
    <w:rsid w:val="004E74C7"/>
    <w:rsid w:val="004E766D"/>
    <w:rsid w:val="004E772F"/>
    <w:rsid w:val="004E788F"/>
    <w:rsid w:val="004E7A4B"/>
    <w:rsid w:val="004E7A7F"/>
    <w:rsid w:val="004E7C2B"/>
    <w:rsid w:val="004E7E47"/>
    <w:rsid w:val="004E7F13"/>
    <w:rsid w:val="004E7FE0"/>
    <w:rsid w:val="004F0341"/>
    <w:rsid w:val="004F0713"/>
    <w:rsid w:val="004F0C81"/>
    <w:rsid w:val="004F0E0D"/>
    <w:rsid w:val="004F1056"/>
    <w:rsid w:val="004F1337"/>
    <w:rsid w:val="004F17E0"/>
    <w:rsid w:val="004F1AD4"/>
    <w:rsid w:val="004F1B41"/>
    <w:rsid w:val="004F1B6C"/>
    <w:rsid w:val="004F1C0D"/>
    <w:rsid w:val="004F1DCE"/>
    <w:rsid w:val="004F1EFC"/>
    <w:rsid w:val="004F1FCC"/>
    <w:rsid w:val="004F1FEC"/>
    <w:rsid w:val="004F2013"/>
    <w:rsid w:val="004F22E1"/>
    <w:rsid w:val="004F23EE"/>
    <w:rsid w:val="004F2475"/>
    <w:rsid w:val="004F2492"/>
    <w:rsid w:val="004F250F"/>
    <w:rsid w:val="004F256B"/>
    <w:rsid w:val="004F2673"/>
    <w:rsid w:val="004F27D8"/>
    <w:rsid w:val="004F2958"/>
    <w:rsid w:val="004F29F8"/>
    <w:rsid w:val="004F3152"/>
    <w:rsid w:val="004F3318"/>
    <w:rsid w:val="004F33F6"/>
    <w:rsid w:val="004F34D8"/>
    <w:rsid w:val="004F357D"/>
    <w:rsid w:val="004F39B2"/>
    <w:rsid w:val="004F3AE7"/>
    <w:rsid w:val="004F3B0F"/>
    <w:rsid w:val="004F3B18"/>
    <w:rsid w:val="004F41E1"/>
    <w:rsid w:val="004F4272"/>
    <w:rsid w:val="004F4314"/>
    <w:rsid w:val="004F4350"/>
    <w:rsid w:val="004F474C"/>
    <w:rsid w:val="004F4974"/>
    <w:rsid w:val="004F49CF"/>
    <w:rsid w:val="004F50D0"/>
    <w:rsid w:val="004F52A7"/>
    <w:rsid w:val="004F55E0"/>
    <w:rsid w:val="004F5610"/>
    <w:rsid w:val="004F564B"/>
    <w:rsid w:val="004F56DD"/>
    <w:rsid w:val="004F5D46"/>
    <w:rsid w:val="004F5D99"/>
    <w:rsid w:val="004F5DBC"/>
    <w:rsid w:val="004F5F24"/>
    <w:rsid w:val="004F5FF5"/>
    <w:rsid w:val="004F60F7"/>
    <w:rsid w:val="004F6150"/>
    <w:rsid w:val="004F6395"/>
    <w:rsid w:val="004F639C"/>
    <w:rsid w:val="004F6421"/>
    <w:rsid w:val="004F6574"/>
    <w:rsid w:val="004F6A57"/>
    <w:rsid w:val="004F6D32"/>
    <w:rsid w:val="004F6D86"/>
    <w:rsid w:val="004F6DA2"/>
    <w:rsid w:val="004F6EAE"/>
    <w:rsid w:val="004F6F1A"/>
    <w:rsid w:val="004F6FF0"/>
    <w:rsid w:val="004F717E"/>
    <w:rsid w:val="004F743F"/>
    <w:rsid w:val="004F744D"/>
    <w:rsid w:val="004F74D7"/>
    <w:rsid w:val="004F77AD"/>
    <w:rsid w:val="004F7951"/>
    <w:rsid w:val="004F7C8D"/>
    <w:rsid w:val="00500089"/>
    <w:rsid w:val="005000C7"/>
    <w:rsid w:val="005000FF"/>
    <w:rsid w:val="005006E3"/>
    <w:rsid w:val="00500BA5"/>
    <w:rsid w:val="00500C95"/>
    <w:rsid w:val="00500CCB"/>
    <w:rsid w:val="00500CE4"/>
    <w:rsid w:val="00500D9E"/>
    <w:rsid w:val="0050110B"/>
    <w:rsid w:val="005011CA"/>
    <w:rsid w:val="00501464"/>
    <w:rsid w:val="00501936"/>
    <w:rsid w:val="00501B24"/>
    <w:rsid w:val="00501B8F"/>
    <w:rsid w:val="00501DE9"/>
    <w:rsid w:val="00501E21"/>
    <w:rsid w:val="00501F86"/>
    <w:rsid w:val="0050246F"/>
    <w:rsid w:val="0050268A"/>
    <w:rsid w:val="005028E5"/>
    <w:rsid w:val="005029B9"/>
    <w:rsid w:val="00502A22"/>
    <w:rsid w:val="00502A5F"/>
    <w:rsid w:val="00502A9B"/>
    <w:rsid w:val="00502CE7"/>
    <w:rsid w:val="00502DA4"/>
    <w:rsid w:val="00502EEB"/>
    <w:rsid w:val="00502F30"/>
    <w:rsid w:val="00502F92"/>
    <w:rsid w:val="00503084"/>
    <w:rsid w:val="00503760"/>
    <w:rsid w:val="005037A6"/>
    <w:rsid w:val="005039C8"/>
    <w:rsid w:val="00503AA6"/>
    <w:rsid w:val="00503AE4"/>
    <w:rsid w:val="00503B74"/>
    <w:rsid w:val="00503E8C"/>
    <w:rsid w:val="00504259"/>
    <w:rsid w:val="005043EB"/>
    <w:rsid w:val="0050486C"/>
    <w:rsid w:val="00504913"/>
    <w:rsid w:val="0050499E"/>
    <w:rsid w:val="005049F2"/>
    <w:rsid w:val="00504ACE"/>
    <w:rsid w:val="00504D67"/>
    <w:rsid w:val="00504FB6"/>
    <w:rsid w:val="0050507C"/>
    <w:rsid w:val="0050510F"/>
    <w:rsid w:val="0050527E"/>
    <w:rsid w:val="00505286"/>
    <w:rsid w:val="005052E3"/>
    <w:rsid w:val="00505498"/>
    <w:rsid w:val="00505696"/>
    <w:rsid w:val="0050576E"/>
    <w:rsid w:val="00505820"/>
    <w:rsid w:val="005058B2"/>
    <w:rsid w:val="0050591B"/>
    <w:rsid w:val="00505956"/>
    <w:rsid w:val="00505C01"/>
    <w:rsid w:val="00505CDE"/>
    <w:rsid w:val="00505DB5"/>
    <w:rsid w:val="00505E08"/>
    <w:rsid w:val="00505EF2"/>
    <w:rsid w:val="00505FDB"/>
    <w:rsid w:val="0050609C"/>
    <w:rsid w:val="005060C4"/>
    <w:rsid w:val="0050627F"/>
    <w:rsid w:val="005063FA"/>
    <w:rsid w:val="00506531"/>
    <w:rsid w:val="0050665B"/>
    <w:rsid w:val="00506B78"/>
    <w:rsid w:val="00506DCE"/>
    <w:rsid w:val="00507208"/>
    <w:rsid w:val="005072BA"/>
    <w:rsid w:val="005075B5"/>
    <w:rsid w:val="00507921"/>
    <w:rsid w:val="00507A11"/>
    <w:rsid w:val="00507A71"/>
    <w:rsid w:val="00507B7C"/>
    <w:rsid w:val="00507B99"/>
    <w:rsid w:val="00507D21"/>
    <w:rsid w:val="00507D8F"/>
    <w:rsid w:val="00507DF3"/>
    <w:rsid w:val="00507E83"/>
    <w:rsid w:val="00507F3A"/>
    <w:rsid w:val="0051011D"/>
    <w:rsid w:val="005101CB"/>
    <w:rsid w:val="005101E4"/>
    <w:rsid w:val="00510205"/>
    <w:rsid w:val="00510269"/>
    <w:rsid w:val="0051037A"/>
    <w:rsid w:val="005104B2"/>
    <w:rsid w:val="0051056A"/>
    <w:rsid w:val="00510645"/>
    <w:rsid w:val="00510652"/>
    <w:rsid w:val="005106FC"/>
    <w:rsid w:val="005108E2"/>
    <w:rsid w:val="00510C4E"/>
    <w:rsid w:val="00510D1B"/>
    <w:rsid w:val="00510D8C"/>
    <w:rsid w:val="005111AD"/>
    <w:rsid w:val="00511217"/>
    <w:rsid w:val="0051131A"/>
    <w:rsid w:val="0051180D"/>
    <w:rsid w:val="00511B74"/>
    <w:rsid w:val="00512050"/>
    <w:rsid w:val="00512319"/>
    <w:rsid w:val="0051269A"/>
    <w:rsid w:val="00512830"/>
    <w:rsid w:val="00512A71"/>
    <w:rsid w:val="00512B78"/>
    <w:rsid w:val="00512CD2"/>
    <w:rsid w:val="00512EEE"/>
    <w:rsid w:val="00512F96"/>
    <w:rsid w:val="00513184"/>
    <w:rsid w:val="0051326C"/>
    <w:rsid w:val="00513276"/>
    <w:rsid w:val="00513656"/>
    <w:rsid w:val="0051371F"/>
    <w:rsid w:val="0051388F"/>
    <w:rsid w:val="00513E1B"/>
    <w:rsid w:val="00514242"/>
    <w:rsid w:val="00514275"/>
    <w:rsid w:val="005143F8"/>
    <w:rsid w:val="00514848"/>
    <w:rsid w:val="00514999"/>
    <w:rsid w:val="00514A7D"/>
    <w:rsid w:val="00514BC5"/>
    <w:rsid w:val="00514CC2"/>
    <w:rsid w:val="00514D74"/>
    <w:rsid w:val="00514DB6"/>
    <w:rsid w:val="00514E58"/>
    <w:rsid w:val="00514F0C"/>
    <w:rsid w:val="00514F1B"/>
    <w:rsid w:val="00514F48"/>
    <w:rsid w:val="005151DB"/>
    <w:rsid w:val="00515260"/>
    <w:rsid w:val="0051534D"/>
    <w:rsid w:val="0051536C"/>
    <w:rsid w:val="0051552C"/>
    <w:rsid w:val="00515683"/>
    <w:rsid w:val="005156D8"/>
    <w:rsid w:val="0051580F"/>
    <w:rsid w:val="00515818"/>
    <w:rsid w:val="005159B7"/>
    <w:rsid w:val="00515A28"/>
    <w:rsid w:val="00515BBD"/>
    <w:rsid w:val="00516010"/>
    <w:rsid w:val="0051605A"/>
    <w:rsid w:val="0051638F"/>
    <w:rsid w:val="00516482"/>
    <w:rsid w:val="005164D0"/>
    <w:rsid w:val="00516620"/>
    <w:rsid w:val="005169E4"/>
    <w:rsid w:val="00516B7D"/>
    <w:rsid w:val="00516BFD"/>
    <w:rsid w:val="00516D53"/>
    <w:rsid w:val="00516E8B"/>
    <w:rsid w:val="00516F8E"/>
    <w:rsid w:val="00517169"/>
    <w:rsid w:val="00517400"/>
    <w:rsid w:val="005175BB"/>
    <w:rsid w:val="005175F9"/>
    <w:rsid w:val="005177C7"/>
    <w:rsid w:val="005177EB"/>
    <w:rsid w:val="00517831"/>
    <w:rsid w:val="00517A59"/>
    <w:rsid w:val="00517A68"/>
    <w:rsid w:val="00517C0B"/>
    <w:rsid w:val="00517D69"/>
    <w:rsid w:val="00520146"/>
    <w:rsid w:val="00520272"/>
    <w:rsid w:val="0052048E"/>
    <w:rsid w:val="00520516"/>
    <w:rsid w:val="0052058F"/>
    <w:rsid w:val="005205F8"/>
    <w:rsid w:val="0052075F"/>
    <w:rsid w:val="00520971"/>
    <w:rsid w:val="005209D1"/>
    <w:rsid w:val="00520B61"/>
    <w:rsid w:val="00520D93"/>
    <w:rsid w:val="005211D8"/>
    <w:rsid w:val="00521361"/>
    <w:rsid w:val="005213BC"/>
    <w:rsid w:val="00521909"/>
    <w:rsid w:val="00521944"/>
    <w:rsid w:val="005219D9"/>
    <w:rsid w:val="00521A5E"/>
    <w:rsid w:val="00521B5D"/>
    <w:rsid w:val="00521BDC"/>
    <w:rsid w:val="00521D3A"/>
    <w:rsid w:val="00521DD2"/>
    <w:rsid w:val="00521E87"/>
    <w:rsid w:val="00521ED8"/>
    <w:rsid w:val="00521FCB"/>
    <w:rsid w:val="00522103"/>
    <w:rsid w:val="005221FE"/>
    <w:rsid w:val="0052221B"/>
    <w:rsid w:val="005222CE"/>
    <w:rsid w:val="005222D3"/>
    <w:rsid w:val="005223D9"/>
    <w:rsid w:val="005224A1"/>
    <w:rsid w:val="00522921"/>
    <w:rsid w:val="00522A1A"/>
    <w:rsid w:val="00522CD2"/>
    <w:rsid w:val="00522CED"/>
    <w:rsid w:val="00522DEB"/>
    <w:rsid w:val="00522E58"/>
    <w:rsid w:val="00522F47"/>
    <w:rsid w:val="00522FB1"/>
    <w:rsid w:val="00523011"/>
    <w:rsid w:val="00523245"/>
    <w:rsid w:val="00523668"/>
    <w:rsid w:val="0052381C"/>
    <w:rsid w:val="00523919"/>
    <w:rsid w:val="005239FC"/>
    <w:rsid w:val="00523C21"/>
    <w:rsid w:val="00523D05"/>
    <w:rsid w:val="00523E3F"/>
    <w:rsid w:val="00523E8F"/>
    <w:rsid w:val="0052407D"/>
    <w:rsid w:val="005242B9"/>
    <w:rsid w:val="005242C1"/>
    <w:rsid w:val="00524340"/>
    <w:rsid w:val="00524548"/>
    <w:rsid w:val="0052468D"/>
    <w:rsid w:val="00524796"/>
    <w:rsid w:val="00524979"/>
    <w:rsid w:val="00525064"/>
    <w:rsid w:val="00525097"/>
    <w:rsid w:val="00525158"/>
    <w:rsid w:val="005251B9"/>
    <w:rsid w:val="005252A7"/>
    <w:rsid w:val="00525627"/>
    <w:rsid w:val="0052562A"/>
    <w:rsid w:val="00525674"/>
    <w:rsid w:val="005259B6"/>
    <w:rsid w:val="00525A52"/>
    <w:rsid w:val="00525A58"/>
    <w:rsid w:val="00525AD2"/>
    <w:rsid w:val="00525E2C"/>
    <w:rsid w:val="005261BB"/>
    <w:rsid w:val="00526239"/>
    <w:rsid w:val="00526301"/>
    <w:rsid w:val="005263D5"/>
    <w:rsid w:val="0052646E"/>
    <w:rsid w:val="00526625"/>
    <w:rsid w:val="00526854"/>
    <w:rsid w:val="00526DE3"/>
    <w:rsid w:val="0052718B"/>
    <w:rsid w:val="005271B8"/>
    <w:rsid w:val="00527261"/>
    <w:rsid w:val="00527282"/>
    <w:rsid w:val="005274D2"/>
    <w:rsid w:val="00527537"/>
    <w:rsid w:val="005276E1"/>
    <w:rsid w:val="005276F2"/>
    <w:rsid w:val="0052775F"/>
    <w:rsid w:val="005277FA"/>
    <w:rsid w:val="005278D2"/>
    <w:rsid w:val="00527A5D"/>
    <w:rsid w:val="00527A67"/>
    <w:rsid w:val="00527BB2"/>
    <w:rsid w:val="00527BEB"/>
    <w:rsid w:val="00527CA0"/>
    <w:rsid w:val="00527D2B"/>
    <w:rsid w:val="00527D8B"/>
    <w:rsid w:val="00530092"/>
    <w:rsid w:val="005300A8"/>
    <w:rsid w:val="00530110"/>
    <w:rsid w:val="00530137"/>
    <w:rsid w:val="005304A6"/>
    <w:rsid w:val="0053055A"/>
    <w:rsid w:val="00530929"/>
    <w:rsid w:val="00530B95"/>
    <w:rsid w:val="00530C03"/>
    <w:rsid w:val="00530D5B"/>
    <w:rsid w:val="00530FEF"/>
    <w:rsid w:val="0053108C"/>
    <w:rsid w:val="005312C5"/>
    <w:rsid w:val="005312E7"/>
    <w:rsid w:val="005313D9"/>
    <w:rsid w:val="00531807"/>
    <w:rsid w:val="00531C93"/>
    <w:rsid w:val="00531E06"/>
    <w:rsid w:val="00531F71"/>
    <w:rsid w:val="0053207C"/>
    <w:rsid w:val="005321EC"/>
    <w:rsid w:val="0053222C"/>
    <w:rsid w:val="00532250"/>
    <w:rsid w:val="0053246C"/>
    <w:rsid w:val="005326D8"/>
    <w:rsid w:val="00532B7C"/>
    <w:rsid w:val="00532BAA"/>
    <w:rsid w:val="00532E69"/>
    <w:rsid w:val="00532EC4"/>
    <w:rsid w:val="0053308D"/>
    <w:rsid w:val="005331CC"/>
    <w:rsid w:val="00533212"/>
    <w:rsid w:val="005333E7"/>
    <w:rsid w:val="005333FC"/>
    <w:rsid w:val="00533697"/>
    <w:rsid w:val="00533AA0"/>
    <w:rsid w:val="00533D9B"/>
    <w:rsid w:val="00533E74"/>
    <w:rsid w:val="00533FB4"/>
    <w:rsid w:val="005341C4"/>
    <w:rsid w:val="00534266"/>
    <w:rsid w:val="0053431E"/>
    <w:rsid w:val="00534393"/>
    <w:rsid w:val="005344F8"/>
    <w:rsid w:val="00534984"/>
    <w:rsid w:val="005349DC"/>
    <w:rsid w:val="00534C63"/>
    <w:rsid w:val="005352BD"/>
    <w:rsid w:val="005353AA"/>
    <w:rsid w:val="0053580F"/>
    <w:rsid w:val="00535901"/>
    <w:rsid w:val="0053597E"/>
    <w:rsid w:val="00535A57"/>
    <w:rsid w:val="00535D95"/>
    <w:rsid w:val="00535EE7"/>
    <w:rsid w:val="00535F90"/>
    <w:rsid w:val="0053649E"/>
    <w:rsid w:val="005364D7"/>
    <w:rsid w:val="00536597"/>
    <w:rsid w:val="00536DD8"/>
    <w:rsid w:val="00536E06"/>
    <w:rsid w:val="00536F5B"/>
    <w:rsid w:val="00536F89"/>
    <w:rsid w:val="00537183"/>
    <w:rsid w:val="00537184"/>
    <w:rsid w:val="00537237"/>
    <w:rsid w:val="0053729E"/>
    <w:rsid w:val="005373D0"/>
    <w:rsid w:val="005375B9"/>
    <w:rsid w:val="005376FB"/>
    <w:rsid w:val="0053774A"/>
    <w:rsid w:val="005377BF"/>
    <w:rsid w:val="005379EE"/>
    <w:rsid w:val="00537D7F"/>
    <w:rsid w:val="00537EF2"/>
    <w:rsid w:val="005401F9"/>
    <w:rsid w:val="005402D9"/>
    <w:rsid w:val="0054035D"/>
    <w:rsid w:val="0054036A"/>
    <w:rsid w:val="0054039E"/>
    <w:rsid w:val="00540457"/>
    <w:rsid w:val="0054069A"/>
    <w:rsid w:val="005406C4"/>
    <w:rsid w:val="0054074E"/>
    <w:rsid w:val="00540E1E"/>
    <w:rsid w:val="0054124A"/>
    <w:rsid w:val="00541316"/>
    <w:rsid w:val="0054132E"/>
    <w:rsid w:val="0054147C"/>
    <w:rsid w:val="005414C8"/>
    <w:rsid w:val="005415F4"/>
    <w:rsid w:val="00541675"/>
    <w:rsid w:val="00541AC6"/>
    <w:rsid w:val="00541F16"/>
    <w:rsid w:val="00541F3A"/>
    <w:rsid w:val="00542058"/>
    <w:rsid w:val="005420F1"/>
    <w:rsid w:val="00542166"/>
    <w:rsid w:val="0054229E"/>
    <w:rsid w:val="00542448"/>
    <w:rsid w:val="00542498"/>
    <w:rsid w:val="005425FD"/>
    <w:rsid w:val="00542818"/>
    <w:rsid w:val="00542900"/>
    <w:rsid w:val="00542A6E"/>
    <w:rsid w:val="00542CBE"/>
    <w:rsid w:val="005431A1"/>
    <w:rsid w:val="0054323C"/>
    <w:rsid w:val="005435D0"/>
    <w:rsid w:val="00543771"/>
    <w:rsid w:val="00543BA4"/>
    <w:rsid w:val="00543C03"/>
    <w:rsid w:val="00543C07"/>
    <w:rsid w:val="00543C5B"/>
    <w:rsid w:val="00543C98"/>
    <w:rsid w:val="00543CB5"/>
    <w:rsid w:val="00543DAA"/>
    <w:rsid w:val="00543DF3"/>
    <w:rsid w:val="00543FDA"/>
    <w:rsid w:val="0054422A"/>
    <w:rsid w:val="0054424A"/>
    <w:rsid w:val="0054448C"/>
    <w:rsid w:val="005446BB"/>
    <w:rsid w:val="00544764"/>
    <w:rsid w:val="00544791"/>
    <w:rsid w:val="0054481D"/>
    <w:rsid w:val="005448B3"/>
    <w:rsid w:val="00544B86"/>
    <w:rsid w:val="00544ED4"/>
    <w:rsid w:val="00544FD0"/>
    <w:rsid w:val="00545214"/>
    <w:rsid w:val="005453BA"/>
    <w:rsid w:val="0054556F"/>
    <w:rsid w:val="00545654"/>
    <w:rsid w:val="0054587D"/>
    <w:rsid w:val="00545886"/>
    <w:rsid w:val="005459F3"/>
    <w:rsid w:val="00545D87"/>
    <w:rsid w:val="00545DE9"/>
    <w:rsid w:val="00546017"/>
    <w:rsid w:val="005460D4"/>
    <w:rsid w:val="005462CC"/>
    <w:rsid w:val="0054631B"/>
    <w:rsid w:val="0054669F"/>
    <w:rsid w:val="00546735"/>
    <w:rsid w:val="005468E4"/>
    <w:rsid w:val="005469F7"/>
    <w:rsid w:val="00546A2B"/>
    <w:rsid w:val="00546D5E"/>
    <w:rsid w:val="00546EAA"/>
    <w:rsid w:val="00546FB7"/>
    <w:rsid w:val="005471C4"/>
    <w:rsid w:val="00547314"/>
    <w:rsid w:val="0054732B"/>
    <w:rsid w:val="00547655"/>
    <w:rsid w:val="005477A6"/>
    <w:rsid w:val="005477C7"/>
    <w:rsid w:val="00547805"/>
    <w:rsid w:val="00547945"/>
    <w:rsid w:val="005479A0"/>
    <w:rsid w:val="00547ABA"/>
    <w:rsid w:val="00547B9B"/>
    <w:rsid w:val="00547BF4"/>
    <w:rsid w:val="00547C17"/>
    <w:rsid w:val="00547C2D"/>
    <w:rsid w:val="00550012"/>
    <w:rsid w:val="00550098"/>
    <w:rsid w:val="005503FC"/>
    <w:rsid w:val="005507D9"/>
    <w:rsid w:val="00550A56"/>
    <w:rsid w:val="00550CDA"/>
    <w:rsid w:val="00550D04"/>
    <w:rsid w:val="00550D80"/>
    <w:rsid w:val="00550FD8"/>
    <w:rsid w:val="00551088"/>
    <w:rsid w:val="005510B9"/>
    <w:rsid w:val="005511B7"/>
    <w:rsid w:val="0055165C"/>
    <w:rsid w:val="005518A2"/>
    <w:rsid w:val="00551A44"/>
    <w:rsid w:val="00551A5E"/>
    <w:rsid w:val="00551D15"/>
    <w:rsid w:val="00551D3D"/>
    <w:rsid w:val="00551DDF"/>
    <w:rsid w:val="00551EE6"/>
    <w:rsid w:val="00551FE8"/>
    <w:rsid w:val="0055202E"/>
    <w:rsid w:val="0055235C"/>
    <w:rsid w:val="0055262B"/>
    <w:rsid w:val="0055272A"/>
    <w:rsid w:val="005528B4"/>
    <w:rsid w:val="0055294C"/>
    <w:rsid w:val="00552B56"/>
    <w:rsid w:val="00552C7A"/>
    <w:rsid w:val="00552F5C"/>
    <w:rsid w:val="005535E5"/>
    <w:rsid w:val="00553A46"/>
    <w:rsid w:val="00553A54"/>
    <w:rsid w:val="00553DAB"/>
    <w:rsid w:val="00553EED"/>
    <w:rsid w:val="00553FDD"/>
    <w:rsid w:val="0055400C"/>
    <w:rsid w:val="005540A8"/>
    <w:rsid w:val="00554135"/>
    <w:rsid w:val="005541CE"/>
    <w:rsid w:val="00554269"/>
    <w:rsid w:val="005543D5"/>
    <w:rsid w:val="00554531"/>
    <w:rsid w:val="00554A82"/>
    <w:rsid w:val="00554B6B"/>
    <w:rsid w:val="00554BB4"/>
    <w:rsid w:val="00554C04"/>
    <w:rsid w:val="00554C98"/>
    <w:rsid w:val="00554EA0"/>
    <w:rsid w:val="005552DC"/>
    <w:rsid w:val="005552E1"/>
    <w:rsid w:val="00555367"/>
    <w:rsid w:val="005553DE"/>
    <w:rsid w:val="00555AD5"/>
    <w:rsid w:val="00555BC9"/>
    <w:rsid w:val="00555C0C"/>
    <w:rsid w:val="0055617F"/>
    <w:rsid w:val="005562D3"/>
    <w:rsid w:val="00556305"/>
    <w:rsid w:val="0055659B"/>
    <w:rsid w:val="00556676"/>
    <w:rsid w:val="00556679"/>
    <w:rsid w:val="00556C4F"/>
    <w:rsid w:val="00556DD7"/>
    <w:rsid w:val="00556EEA"/>
    <w:rsid w:val="00556EEF"/>
    <w:rsid w:val="005571DD"/>
    <w:rsid w:val="00557279"/>
    <w:rsid w:val="00557488"/>
    <w:rsid w:val="005577B1"/>
    <w:rsid w:val="005577D6"/>
    <w:rsid w:val="005578BD"/>
    <w:rsid w:val="0055790A"/>
    <w:rsid w:val="005579C9"/>
    <w:rsid w:val="00557A9C"/>
    <w:rsid w:val="00557AF0"/>
    <w:rsid w:val="00557EF3"/>
    <w:rsid w:val="00560099"/>
    <w:rsid w:val="005604F2"/>
    <w:rsid w:val="00560606"/>
    <w:rsid w:val="0056067C"/>
    <w:rsid w:val="00560789"/>
    <w:rsid w:val="005607DB"/>
    <w:rsid w:val="005608F1"/>
    <w:rsid w:val="00560AD1"/>
    <w:rsid w:val="00560BF2"/>
    <w:rsid w:val="00560FAE"/>
    <w:rsid w:val="0056119D"/>
    <w:rsid w:val="005614A7"/>
    <w:rsid w:val="00561539"/>
    <w:rsid w:val="00561693"/>
    <w:rsid w:val="0056170E"/>
    <w:rsid w:val="005617FE"/>
    <w:rsid w:val="00561B15"/>
    <w:rsid w:val="00562047"/>
    <w:rsid w:val="0056205C"/>
    <w:rsid w:val="00562130"/>
    <w:rsid w:val="00562410"/>
    <w:rsid w:val="00562566"/>
    <w:rsid w:val="0056263B"/>
    <w:rsid w:val="0056282C"/>
    <w:rsid w:val="005629F8"/>
    <w:rsid w:val="00562D30"/>
    <w:rsid w:val="00562E7D"/>
    <w:rsid w:val="00562EAC"/>
    <w:rsid w:val="00562EBE"/>
    <w:rsid w:val="00562F47"/>
    <w:rsid w:val="0056318B"/>
    <w:rsid w:val="0056318F"/>
    <w:rsid w:val="0056339C"/>
    <w:rsid w:val="005634E6"/>
    <w:rsid w:val="00563873"/>
    <w:rsid w:val="00563912"/>
    <w:rsid w:val="00563974"/>
    <w:rsid w:val="00563983"/>
    <w:rsid w:val="00563A9F"/>
    <w:rsid w:val="00563C98"/>
    <w:rsid w:val="00563D2F"/>
    <w:rsid w:val="0056405E"/>
    <w:rsid w:val="00564475"/>
    <w:rsid w:val="005648BB"/>
    <w:rsid w:val="00564C42"/>
    <w:rsid w:val="00564D1C"/>
    <w:rsid w:val="005651B3"/>
    <w:rsid w:val="00565245"/>
    <w:rsid w:val="00565610"/>
    <w:rsid w:val="00565746"/>
    <w:rsid w:val="005657A8"/>
    <w:rsid w:val="00565984"/>
    <w:rsid w:val="00565985"/>
    <w:rsid w:val="00565B06"/>
    <w:rsid w:val="00565C24"/>
    <w:rsid w:val="00565EDC"/>
    <w:rsid w:val="00566076"/>
    <w:rsid w:val="005660A8"/>
    <w:rsid w:val="005660C2"/>
    <w:rsid w:val="00566128"/>
    <w:rsid w:val="00566208"/>
    <w:rsid w:val="005662E8"/>
    <w:rsid w:val="0056638A"/>
    <w:rsid w:val="005664A7"/>
    <w:rsid w:val="005664E1"/>
    <w:rsid w:val="00566819"/>
    <w:rsid w:val="00566943"/>
    <w:rsid w:val="00566A90"/>
    <w:rsid w:val="00566D05"/>
    <w:rsid w:val="00566D3C"/>
    <w:rsid w:val="00566E8E"/>
    <w:rsid w:val="005671AF"/>
    <w:rsid w:val="005672AE"/>
    <w:rsid w:val="0056735A"/>
    <w:rsid w:val="00567378"/>
    <w:rsid w:val="00567444"/>
    <w:rsid w:val="00567616"/>
    <w:rsid w:val="005676D9"/>
    <w:rsid w:val="005678E7"/>
    <w:rsid w:val="00567A71"/>
    <w:rsid w:val="00567A75"/>
    <w:rsid w:val="00567C48"/>
    <w:rsid w:val="00567D8A"/>
    <w:rsid w:val="00567DEB"/>
    <w:rsid w:val="00567E72"/>
    <w:rsid w:val="00567F50"/>
    <w:rsid w:val="0057019F"/>
    <w:rsid w:val="005702F6"/>
    <w:rsid w:val="005704F3"/>
    <w:rsid w:val="005705D0"/>
    <w:rsid w:val="0057069B"/>
    <w:rsid w:val="005706F5"/>
    <w:rsid w:val="0057081C"/>
    <w:rsid w:val="005708D5"/>
    <w:rsid w:val="00570CAE"/>
    <w:rsid w:val="00570D08"/>
    <w:rsid w:val="00570F09"/>
    <w:rsid w:val="00570F94"/>
    <w:rsid w:val="00571064"/>
    <w:rsid w:val="005711B9"/>
    <w:rsid w:val="00571221"/>
    <w:rsid w:val="0057126C"/>
    <w:rsid w:val="005715CA"/>
    <w:rsid w:val="00571609"/>
    <w:rsid w:val="00571654"/>
    <w:rsid w:val="0057170F"/>
    <w:rsid w:val="00571A02"/>
    <w:rsid w:val="00571CE3"/>
    <w:rsid w:val="00572129"/>
    <w:rsid w:val="00572608"/>
    <w:rsid w:val="005728BE"/>
    <w:rsid w:val="005729EF"/>
    <w:rsid w:val="00572AC7"/>
    <w:rsid w:val="00572B8B"/>
    <w:rsid w:val="00572D14"/>
    <w:rsid w:val="00572E63"/>
    <w:rsid w:val="0057303C"/>
    <w:rsid w:val="00573056"/>
    <w:rsid w:val="005731B3"/>
    <w:rsid w:val="00573375"/>
    <w:rsid w:val="00573541"/>
    <w:rsid w:val="005736DC"/>
    <w:rsid w:val="005737C1"/>
    <w:rsid w:val="005737C9"/>
    <w:rsid w:val="00573802"/>
    <w:rsid w:val="00573A73"/>
    <w:rsid w:val="00573B8E"/>
    <w:rsid w:val="00573D3D"/>
    <w:rsid w:val="00573F2E"/>
    <w:rsid w:val="00573F4E"/>
    <w:rsid w:val="00574284"/>
    <w:rsid w:val="005745A2"/>
    <w:rsid w:val="005746F6"/>
    <w:rsid w:val="0057476A"/>
    <w:rsid w:val="00574773"/>
    <w:rsid w:val="0057487F"/>
    <w:rsid w:val="0057492D"/>
    <w:rsid w:val="00574BEA"/>
    <w:rsid w:val="00574BFA"/>
    <w:rsid w:val="005750F1"/>
    <w:rsid w:val="005751CE"/>
    <w:rsid w:val="00575360"/>
    <w:rsid w:val="00575499"/>
    <w:rsid w:val="005758E0"/>
    <w:rsid w:val="00575C44"/>
    <w:rsid w:val="00575CE7"/>
    <w:rsid w:val="00575E4F"/>
    <w:rsid w:val="00575F55"/>
    <w:rsid w:val="00576032"/>
    <w:rsid w:val="005760DA"/>
    <w:rsid w:val="00576222"/>
    <w:rsid w:val="00576328"/>
    <w:rsid w:val="005764B3"/>
    <w:rsid w:val="0057662C"/>
    <w:rsid w:val="00576679"/>
    <w:rsid w:val="00576874"/>
    <w:rsid w:val="0057693E"/>
    <w:rsid w:val="00576963"/>
    <w:rsid w:val="00577489"/>
    <w:rsid w:val="0057763B"/>
    <w:rsid w:val="0057779E"/>
    <w:rsid w:val="005777B3"/>
    <w:rsid w:val="0057780A"/>
    <w:rsid w:val="00577948"/>
    <w:rsid w:val="00577D32"/>
    <w:rsid w:val="00577D81"/>
    <w:rsid w:val="0058017E"/>
    <w:rsid w:val="005803BD"/>
    <w:rsid w:val="0058042D"/>
    <w:rsid w:val="005804B6"/>
    <w:rsid w:val="0058056D"/>
    <w:rsid w:val="005805BF"/>
    <w:rsid w:val="0058067C"/>
    <w:rsid w:val="00580758"/>
    <w:rsid w:val="00580836"/>
    <w:rsid w:val="00580894"/>
    <w:rsid w:val="0058091B"/>
    <w:rsid w:val="00580AD8"/>
    <w:rsid w:val="00580EA3"/>
    <w:rsid w:val="00581088"/>
    <w:rsid w:val="00581250"/>
    <w:rsid w:val="00581612"/>
    <w:rsid w:val="005816EB"/>
    <w:rsid w:val="00581883"/>
    <w:rsid w:val="00581B28"/>
    <w:rsid w:val="00581CE8"/>
    <w:rsid w:val="00581D15"/>
    <w:rsid w:val="00581DEF"/>
    <w:rsid w:val="00582342"/>
    <w:rsid w:val="00582C0F"/>
    <w:rsid w:val="00582DF0"/>
    <w:rsid w:val="00583343"/>
    <w:rsid w:val="005833B4"/>
    <w:rsid w:val="0058358E"/>
    <w:rsid w:val="00583999"/>
    <w:rsid w:val="00583A62"/>
    <w:rsid w:val="00583B05"/>
    <w:rsid w:val="00583B81"/>
    <w:rsid w:val="00583B97"/>
    <w:rsid w:val="00583C7B"/>
    <w:rsid w:val="00583CB0"/>
    <w:rsid w:val="00583CE9"/>
    <w:rsid w:val="00583CEA"/>
    <w:rsid w:val="00583D5B"/>
    <w:rsid w:val="00583DB4"/>
    <w:rsid w:val="0058433D"/>
    <w:rsid w:val="005843A3"/>
    <w:rsid w:val="005845E1"/>
    <w:rsid w:val="005847C3"/>
    <w:rsid w:val="005848FC"/>
    <w:rsid w:val="00584A38"/>
    <w:rsid w:val="00584AF5"/>
    <w:rsid w:val="00584B50"/>
    <w:rsid w:val="00584BFD"/>
    <w:rsid w:val="00584C1E"/>
    <w:rsid w:val="00584F31"/>
    <w:rsid w:val="00585210"/>
    <w:rsid w:val="005852C6"/>
    <w:rsid w:val="005853EB"/>
    <w:rsid w:val="00585584"/>
    <w:rsid w:val="005855CF"/>
    <w:rsid w:val="00585799"/>
    <w:rsid w:val="00585816"/>
    <w:rsid w:val="0058589F"/>
    <w:rsid w:val="00585A5D"/>
    <w:rsid w:val="00585C77"/>
    <w:rsid w:val="00585C80"/>
    <w:rsid w:val="00585F5F"/>
    <w:rsid w:val="00586154"/>
    <w:rsid w:val="005861DC"/>
    <w:rsid w:val="00586317"/>
    <w:rsid w:val="005863A2"/>
    <w:rsid w:val="0058663F"/>
    <w:rsid w:val="005867B4"/>
    <w:rsid w:val="0058695F"/>
    <w:rsid w:val="00586DED"/>
    <w:rsid w:val="0058707A"/>
    <w:rsid w:val="00587153"/>
    <w:rsid w:val="005871A7"/>
    <w:rsid w:val="00587310"/>
    <w:rsid w:val="0058736F"/>
    <w:rsid w:val="00587409"/>
    <w:rsid w:val="005875DE"/>
    <w:rsid w:val="005877F8"/>
    <w:rsid w:val="005879F7"/>
    <w:rsid w:val="00587A53"/>
    <w:rsid w:val="00587A97"/>
    <w:rsid w:val="00587CFC"/>
    <w:rsid w:val="00587F40"/>
    <w:rsid w:val="00587FC6"/>
    <w:rsid w:val="0059003C"/>
    <w:rsid w:val="00590173"/>
    <w:rsid w:val="005902B1"/>
    <w:rsid w:val="00590388"/>
    <w:rsid w:val="0059061C"/>
    <w:rsid w:val="00590621"/>
    <w:rsid w:val="005907AA"/>
    <w:rsid w:val="00590860"/>
    <w:rsid w:val="0059092F"/>
    <w:rsid w:val="00590A67"/>
    <w:rsid w:val="00590AC9"/>
    <w:rsid w:val="00590B3E"/>
    <w:rsid w:val="00590BF5"/>
    <w:rsid w:val="00590D65"/>
    <w:rsid w:val="00590DAA"/>
    <w:rsid w:val="00590DCE"/>
    <w:rsid w:val="0059136A"/>
    <w:rsid w:val="005914D7"/>
    <w:rsid w:val="005915EC"/>
    <w:rsid w:val="00591666"/>
    <w:rsid w:val="005916A4"/>
    <w:rsid w:val="005916EF"/>
    <w:rsid w:val="00591725"/>
    <w:rsid w:val="005917D6"/>
    <w:rsid w:val="00591994"/>
    <w:rsid w:val="00591ADA"/>
    <w:rsid w:val="00591B8C"/>
    <w:rsid w:val="00591B9E"/>
    <w:rsid w:val="00591E93"/>
    <w:rsid w:val="00592652"/>
    <w:rsid w:val="00592714"/>
    <w:rsid w:val="005927F3"/>
    <w:rsid w:val="00592969"/>
    <w:rsid w:val="00592C2E"/>
    <w:rsid w:val="00592DFA"/>
    <w:rsid w:val="00592F25"/>
    <w:rsid w:val="005931C1"/>
    <w:rsid w:val="005934A0"/>
    <w:rsid w:val="005934FB"/>
    <w:rsid w:val="00593530"/>
    <w:rsid w:val="005935B0"/>
    <w:rsid w:val="0059376C"/>
    <w:rsid w:val="005939BE"/>
    <w:rsid w:val="005939F3"/>
    <w:rsid w:val="00593ACF"/>
    <w:rsid w:val="00593D0A"/>
    <w:rsid w:val="00594196"/>
    <w:rsid w:val="005941ED"/>
    <w:rsid w:val="00594600"/>
    <w:rsid w:val="00594667"/>
    <w:rsid w:val="005948D5"/>
    <w:rsid w:val="00594952"/>
    <w:rsid w:val="0059499E"/>
    <w:rsid w:val="005949E4"/>
    <w:rsid w:val="00594C82"/>
    <w:rsid w:val="00594D52"/>
    <w:rsid w:val="00594F16"/>
    <w:rsid w:val="00594FD8"/>
    <w:rsid w:val="005952B4"/>
    <w:rsid w:val="005953A7"/>
    <w:rsid w:val="00595475"/>
    <w:rsid w:val="00595781"/>
    <w:rsid w:val="005959BD"/>
    <w:rsid w:val="00595A04"/>
    <w:rsid w:val="00595C8D"/>
    <w:rsid w:val="00595E48"/>
    <w:rsid w:val="00595FD8"/>
    <w:rsid w:val="00596032"/>
    <w:rsid w:val="00596050"/>
    <w:rsid w:val="0059626A"/>
    <w:rsid w:val="0059626C"/>
    <w:rsid w:val="0059638B"/>
    <w:rsid w:val="00596400"/>
    <w:rsid w:val="0059649F"/>
    <w:rsid w:val="005964AD"/>
    <w:rsid w:val="005965EC"/>
    <w:rsid w:val="005966B1"/>
    <w:rsid w:val="0059673B"/>
    <w:rsid w:val="00596A18"/>
    <w:rsid w:val="00596BFF"/>
    <w:rsid w:val="00596D1A"/>
    <w:rsid w:val="00596DF2"/>
    <w:rsid w:val="00596E78"/>
    <w:rsid w:val="0059703A"/>
    <w:rsid w:val="00597252"/>
    <w:rsid w:val="00597300"/>
    <w:rsid w:val="0059760A"/>
    <w:rsid w:val="00597700"/>
    <w:rsid w:val="00597BB2"/>
    <w:rsid w:val="00597C3A"/>
    <w:rsid w:val="00597DDE"/>
    <w:rsid w:val="005A0134"/>
    <w:rsid w:val="005A0533"/>
    <w:rsid w:val="005A067F"/>
    <w:rsid w:val="005A0813"/>
    <w:rsid w:val="005A09AA"/>
    <w:rsid w:val="005A0A11"/>
    <w:rsid w:val="005A0A34"/>
    <w:rsid w:val="005A0D1F"/>
    <w:rsid w:val="005A0E0C"/>
    <w:rsid w:val="005A0EC5"/>
    <w:rsid w:val="005A0F92"/>
    <w:rsid w:val="005A0F98"/>
    <w:rsid w:val="005A1170"/>
    <w:rsid w:val="005A121C"/>
    <w:rsid w:val="005A14EF"/>
    <w:rsid w:val="005A191F"/>
    <w:rsid w:val="005A1C33"/>
    <w:rsid w:val="005A1E98"/>
    <w:rsid w:val="005A20B5"/>
    <w:rsid w:val="005A29CE"/>
    <w:rsid w:val="005A2A52"/>
    <w:rsid w:val="005A2CC3"/>
    <w:rsid w:val="005A2F18"/>
    <w:rsid w:val="005A2F6E"/>
    <w:rsid w:val="005A3261"/>
    <w:rsid w:val="005A33CC"/>
    <w:rsid w:val="005A34D2"/>
    <w:rsid w:val="005A356D"/>
    <w:rsid w:val="005A3A31"/>
    <w:rsid w:val="005A3D70"/>
    <w:rsid w:val="005A4373"/>
    <w:rsid w:val="005A4715"/>
    <w:rsid w:val="005A477A"/>
    <w:rsid w:val="005A4F03"/>
    <w:rsid w:val="005A5169"/>
    <w:rsid w:val="005A51C4"/>
    <w:rsid w:val="005A5269"/>
    <w:rsid w:val="005A52E0"/>
    <w:rsid w:val="005A5357"/>
    <w:rsid w:val="005A541F"/>
    <w:rsid w:val="005A54A9"/>
    <w:rsid w:val="005A5817"/>
    <w:rsid w:val="005A5A75"/>
    <w:rsid w:val="005A5AC6"/>
    <w:rsid w:val="005A5C33"/>
    <w:rsid w:val="005A6039"/>
    <w:rsid w:val="005A6364"/>
    <w:rsid w:val="005A6430"/>
    <w:rsid w:val="005A653D"/>
    <w:rsid w:val="005A65C7"/>
    <w:rsid w:val="005A6794"/>
    <w:rsid w:val="005A6EC1"/>
    <w:rsid w:val="005A704E"/>
    <w:rsid w:val="005A70E1"/>
    <w:rsid w:val="005A7193"/>
    <w:rsid w:val="005A71FD"/>
    <w:rsid w:val="005A7315"/>
    <w:rsid w:val="005A744B"/>
    <w:rsid w:val="005A76A7"/>
    <w:rsid w:val="005A7934"/>
    <w:rsid w:val="005A7A23"/>
    <w:rsid w:val="005A7BE9"/>
    <w:rsid w:val="005A7CEA"/>
    <w:rsid w:val="005A7E23"/>
    <w:rsid w:val="005A7E2F"/>
    <w:rsid w:val="005B0261"/>
    <w:rsid w:val="005B03E1"/>
    <w:rsid w:val="005B0414"/>
    <w:rsid w:val="005B045E"/>
    <w:rsid w:val="005B04C5"/>
    <w:rsid w:val="005B0504"/>
    <w:rsid w:val="005B059B"/>
    <w:rsid w:val="005B09BE"/>
    <w:rsid w:val="005B0A4F"/>
    <w:rsid w:val="005B0EF3"/>
    <w:rsid w:val="005B0F42"/>
    <w:rsid w:val="005B13DB"/>
    <w:rsid w:val="005B14DA"/>
    <w:rsid w:val="005B18AC"/>
    <w:rsid w:val="005B1C21"/>
    <w:rsid w:val="005B1C53"/>
    <w:rsid w:val="005B255B"/>
    <w:rsid w:val="005B25ED"/>
    <w:rsid w:val="005B2971"/>
    <w:rsid w:val="005B2B57"/>
    <w:rsid w:val="005B2C04"/>
    <w:rsid w:val="005B2E5C"/>
    <w:rsid w:val="005B33C4"/>
    <w:rsid w:val="005B3574"/>
    <w:rsid w:val="005B3663"/>
    <w:rsid w:val="005B3AED"/>
    <w:rsid w:val="005B3B88"/>
    <w:rsid w:val="005B3E1E"/>
    <w:rsid w:val="005B3ECA"/>
    <w:rsid w:val="005B3EF7"/>
    <w:rsid w:val="005B4004"/>
    <w:rsid w:val="005B42A2"/>
    <w:rsid w:val="005B451A"/>
    <w:rsid w:val="005B4589"/>
    <w:rsid w:val="005B4605"/>
    <w:rsid w:val="005B4647"/>
    <w:rsid w:val="005B4921"/>
    <w:rsid w:val="005B4BDE"/>
    <w:rsid w:val="005B4DDC"/>
    <w:rsid w:val="005B4EE0"/>
    <w:rsid w:val="005B51F8"/>
    <w:rsid w:val="005B5214"/>
    <w:rsid w:val="005B5248"/>
    <w:rsid w:val="005B54E2"/>
    <w:rsid w:val="005B55A3"/>
    <w:rsid w:val="005B5819"/>
    <w:rsid w:val="005B5864"/>
    <w:rsid w:val="005B5950"/>
    <w:rsid w:val="005B5A35"/>
    <w:rsid w:val="005B5C78"/>
    <w:rsid w:val="005B5E78"/>
    <w:rsid w:val="005B5FCA"/>
    <w:rsid w:val="005B605C"/>
    <w:rsid w:val="005B6072"/>
    <w:rsid w:val="005B62DA"/>
    <w:rsid w:val="005B62E4"/>
    <w:rsid w:val="005B6312"/>
    <w:rsid w:val="005B666B"/>
    <w:rsid w:val="005B6748"/>
    <w:rsid w:val="005B68F2"/>
    <w:rsid w:val="005B6AA1"/>
    <w:rsid w:val="005B6C03"/>
    <w:rsid w:val="005B6FE5"/>
    <w:rsid w:val="005B726D"/>
    <w:rsid w:val="005B75F4"/>
    <w:rsid w:val="005B7784"/>
    <w:rsid w:val="005B779D"/>
    <w:rsid w:val="005B78E3"/>
    <w:rsid w:val="005B7926"/>
    <w:rsid w:val="005B79C7"/>
    <w:rsid w:val="005B7A4D"/>
    <w:rsid w:val="005B7BA4"/>
    <w:rsid w:val="005B7D19"/>
    <w:rsid w:val="005B7D2C"/>
    <w:rsid w:val="005B7F50"/>
    <w:rsid w:val="005C015B"/>
    <w:rsid w:val="005C0191"/>
    <w:rsid w:val="005C01C3"/>
    <w:rsid w:val="005C07AB"/>
    <w:rsid w:val="005C0A21"/>
    <w:rsid w:val="005C0AAD"/>
    <w:rsid w:val="005C0ACC"/>
    <w:rsid w:val="005C0D24"/>
    <w:rsid w:val="005C0D98"/>
    <w:rsid w:val="005C0FCF"/>
    <w:rsid w:val="005C11D1"/>
    <w:rsid w:val="005C12E7"/>
    <w:rsid w:val="005C134F"/>
    <w:rsid w:val="005C14F0"/>
    <w:rsid w:val="005C158E"/>
    <w:rsid w:val="005C15ED"/>
    <w:rsid w:val="005C1BF8"/>
    <w:rsid w:val="005C1C41"/>
    <w:rsid w:val="005C1CEC"/>
    <w:rsid w:val="005C1CFA"/>
    <w:rsid w:val="005C1E18"/>
    <w:rsid w:val="005C1F9C"/>
    <w:rsid w:val="005C25F6"/>
    <w:rsid w:val="005C26AA"/>
    <w:rsid w:val="005C2936"/>
    <w:rsid w:val="005C29CF"/>
    <w:rsid w:val="005C2AC4"/>
    <w:rsid w:val="005C2B9E"/>
    <w:rsid w:val="005C2E26"/>
    <w:rsid w:val="005C2FB7"/>
    <w:rsid w:val="005C2FC9"/>
    <w:rsid w:val="005C314B"/>
    <w:rsid w:val="005C325C"/>
    <w:rsid w:val="005C3302"/>
    <w:rsid w:val="005C3381"/>
    <w:rsid w:val="005C341C"/>
    <w:rsid w:val="005C3677"/>
    <w:rsid w:val="005C3768"/>
    <w:rsid w:val="005C376A"/>
    <w:rsid w:val="005C37F1"/>
    <w:rsid w:val="005C3AC8"/>
    <w:rsid w:val="005C3C32"/>
    <w:rsid w:val="005C4330"/>
    <w:rsid w:val="005C4385"/>
    <w:rsid w:val="005C43A6"/>
    <w:rsid w:val="005C43D4"/>
    <w:rsid w:val="005C4706"/>
    <w:rsid w:val="005C4914"/>
    <w:rsid w:val="005C49C8"/>
    <w:rsid w:val="005C4B84"/>
    <w:rsid w:val="005C4FC7"/>
    <w:rsid w:val="005C503E"/>
    <w:rsid w:val="005C5097"/>
    <w:rsid w:val="005C599B"/>
    <w:rsid w:val="005C59F0"/>
    <w:rsid w:val="005C5B68"/>
    <w:rsid w:val="005C6117"/>
    <w:rsid w:val="005C61C1"/>
    <w:rsid w:val="005C622A"/>
    <w:rsid w:val="005C62E4"/>
    <w:rsid w:val="005C641D"/>
    <w:rsid w:val="005C669E"/>
    <w:rsid w:val="005C6707"/>
    <w:rsid w:val="005C6907"/>
    <w:rsid w:val="005C69EA"/>
    <w:rsid w:val="005C6BFE"/>
    <w:rsid w:val="005C6C84"/>
    <w:rsid w:val="005C6CD9"/>
    <w:rsid w:val="005C6E64"/>
    <w:rsid w:val="005C6E91"/>
    <w:rsid w:val="005C70C8"/>
    <w:rsid w:val="005C72FD"/>
    <w:rsid w:val="005C7327"/>
    <w:rsid w:val="005C736A"/>
    <w:rsid w:val="005C751D"/>
    <w:rsid w:val="005C75BF"/>
    <w:rsid w:val="005C788C"/>
    <w:rsid w:val="005C78A6"/>
    <w:rsid w:val="005C79E2"/>
    <w:rsid w:val="005C7AC9"/>
    <w:rsid w:val="005C7BD4"/>
    <w:rsid w:val="005C7BF7"/>
    <w:rsid w:val="005C7CBA"/>
    <w:rsid w:val="005C7E12"/>
    <w:rsid w:val="005C7E4E"/>
    <w:rsid w:val="005C7F37"/>
    <w:rsid w:val="005D0182"/>
    <w:rsid w:val="005D01F7"/>
    <w:rsid w:val="005D025C"/>
    <w:rsid w:val="005D067E"/>
    <w:rsid w:val="005D0CA2"/>
    <w:rsid w:val="005D0E92"/>
    <w:rsid w:val="005D0F62"/>
    <w:rsid w:val="005D174E"/>
    <w:rsid w:val="005D1B6B"/>
    <w:rsid w:val="005D1BAF"/>
    <w:rsid w:val="005D1BD0"/>
    <w:rsid w:val="005D2090"/>
    <w:rsid w:val="005D2127"/>
    <w:rsid w:val="005D2343"/>
    <w:rsid w:val="005D25EA"/>
    <w:rsid w:val="005D2643"/>
    <w:rsid w:val="005D267E"/>
    <w:rsid w:val="005D2A19"/>
    <w:rsid w:val="005D2C9B"/>
    <w:rsid w:val="005D3116"/>
    <w:rsid w:val="005D312C"/>
    <w:rsid w:val="005D324C"/>
    <w:rsid w:val="005D3298"/>
    <w:rsid w:val="005D3389"/>
    <w:rsid w:val="005D3439"/>
    <w:rsid w:val="005D34EE"/>
    <w:rsid w:val="005D35C4"/>
    <w:rsid w:val="005D3603"/>
    <w:rsid w:val="005D3790"/>
    <w:rsid w:val="005D3B4B"/>
    <w:rsid w:val="005D3DA4"/>
    <w:rsid w:val="005D3E7C"/>
    <w:rsid w:val="005D3F09"/>
    <w:rsid w:val="005D40F7"/>
    <w:rsid w:val="005D446B"/>
    <w:rsid w:val="005D4855"/>
    <w:rsid w:val="005D48D5"/>
    <w:rsid w:val="005D4BF2"/>
    <w:rsid w:val="005D4D41"/>
    <w:rsid w:val="005D4DC8"/>
    <w:rsid w:val="005D4E4D"/>
    <w:rsid w:val="005D4F45"/>
    <w:rsid w:val="005D5121"/>
    <w:rsid w:val="005D522B"/>
    <w:rsid w:val="005D5290"/>
    <w:rsid w:val="005D5867"/>
    <w:rsid w:val="005D58C4"/>
    <w:rsid w:val="005D590F"/>
    <w:rsid w:val="005D5A60"/>
    <w:rsid w:val="005D5ACA"/>
    <w:rsid w:val="005D5B5A"/>
    <w:rsid w:val="005D5B6C"/>
    <w:rsid w:val="005D5D88"/>
    <w:rsid w:val="005D5DE0"/>
    <w:rsid w:val="005D5F4C"/>
    <w:rsid w:val="005D6088"/>
    <w:rsid w:val="005D621A"/>
    <w:rsid w:val="005D625C"/>
    <w:rsid w:val="005D62FD"/>
    <w:rsid w:val="005D643A"/>
    <w:rsid w:val="005D6773"/>
    <w:rsid w:val="005D6BCE"/>
    <w:rsid w:val="005D6C2D"/>
    <w:rsid w:val="005D6C64"/>
    <w:rsid w:val="005D6FCD"/>
    <w:rsid w:val="005D6FE5"/>
    <w:rsid w:val="005D7177"/>
    <w:rsid w:val="005D7367"/>
    <w:rsid w:val="005D73B5"/>
    <w:rsid w:val="005D7541"/>
    <w:rsid w:val="005D788B"/>
    <w:rsid w:val="005D79FB"/>
    <w:rsid w:val="005D7BD3"/>
    <w:rsid w:val="005D7C99"/>
    <w:rsid w:val="005D7D4D"/>
    <w:rsid w:val="005D7DD5"/>
    <w:rsid w:val="005D7EFE"/>
    <w:rsid w:val="005D7FBF"/>
    <w:rsid w:val="005E00DA"/>
    <w:rsid w:val="005E010C"/>
    <w:rsid w:val="005E017C"/>
    <w:rsid w:val="005E0276"/>
    <w:rsid w:val="005E0411"/>
    <w:rsid w:val="005E051A"/>
    <w:rsid w:val="005E0677"/>
    <w:rsid w:val="005E06CA"/>
    <w:rsid w:val="005E0A52"/>
    <w:rsid w:val="005E0BE8"/>
    <w:rsid w:val="005E0C92"/>
    <w:rsid w:val="005E0CB2"/>
    <w:rsid w:val="005E101F"/>
    <w:rsid w:val="005E103A"/>
    <w:rsid w:val="005E10D9"/>
    <w:rsid w:val="005E144D"/>
    <w:rsid w:val="005E1483"/>
    <w:rsid w:val="005E1759"/>
    <w:rsid w:val="005E17EE"/>
    <w:rsid w:val="005E21ED"/>
    <w:rsid w:val="005E2258"/>
    <w:rsid w:val="005E234F"/>
    <w:rsid w:val="005E25BD"/>
    <w:rsid w:val="005E262D"/>
    <w:rsid w:val="005E26CF"/>
    <w:rsid w:val="005E26DC"/>
    <w:rsid w:val="005E29D5"/>
    <w:rsid w:val="005E2C92"/>
    <w:rsid w:val="005E2F9C"/>
    <w:rsid w:val="005E3026"/>
    <w:rsid w:val="005E3047"/>
    <w:rsid w:val="005E3227"/>
    <w:rsid w:val="005E32C7"/>
    <w:rsid w:val="005E32E8"/>
    <w:rsid w:val="005E3303"/>
    <w:rsid w:val="005E33BC"/>
    <w:rsid w:val="005E3405"/>
    <w:rsid w:val="005E369C"/>
    <w:rsid w:val="005E36FB"/>
    <w:rsid w:val="005E3722"/>
    <w:rsid w:val="005E38F4"/>
    <w:rsid w:val="005E3ABB"/>
    <w:rsid w:val="005E3E16"/>
    <w:rsid w:val="005E402F"/>
    <w:rsid w:val="005E418D"/>
    <w:rsid w:val="005E427B"/>
    <w:rsid w:val="005E43CA"/>
    <w:rsid w:val="005E4412"/>
    <w:rsid w:val="005E473E"/>
    <w:rsid w:val="005E47B3"/>
    <w:rsid w:val="005E49B7"/>
    <w:rsid w:val="005E4B62"/>
    <w:rsid w:val="005E4BF7"/>
    <w:rsid w:val="005E4D86"/>
    <w:rsid w:val="005E4DEF"/>
    <w:rsid w:val="005E51D9"/>
    <w:rsid w:val="005E54A3"/>
    <w:rsid w:val="005E558A"/>
    <w:rsid w:val="005E56CC"/>
    <w:rsid w:val="005E571C"/>
    <w:rsid w:val="005E5813"/>
    <w:rsid w:val="005E5B58"/>
    <w:rsid w:val="005E5D51"/>
    <w:rsid w:val="005E5E8A"/>
    <w:rsid w:val="005E5EF0"/>
    <w:rsid w:val="005E6245"/>
    <w:rsid w:val="005E65F2"/>
    <w:rsid w:val="005E6682"/>
    <w:rsid w:val="005E67A7"/>
    <w:rsid w:val="005E692E"/>
    <w:rsid w:val="005E6A55"/>
    <w:rsid w:val="005E6ABE"/>
    <w:rsid w:val="005E6B32"/>
    <w:rsid w:val="005E6D38"/>
    <w:rsid w:val="005E6D43"/>
    <w:rsid w:val="005E7047"/>
    <w:rsid w:val="005E70EC"/>
    <w:rsid w:val="005E7233"/>
    <w:rsid w:val="005E7B5B"/>
    <w:rsid w:val="005E7B61"/>
    <w:rsid w:val="005E7BEC"/>
    <w:rsid w:val="005F0140"/>
    <w:rsid w:val="005F0407"/>
    <w:rsid w:val="005F07C6"/>
    <w:rsid w:val="005F07EE"/>
    <w:rsid w:val="005F0CE8"/>
    <w:rsid w:val="005F0E33"/>
    <w:rsid w:val="005F0F70"/>
    <w:rsid w:val="005F1042"/>
    <w:rsid w:val="005F10CA"/>
    <w:rsid w:val="005F1136"/>
    <w:rsid w:val="005F12DB"/>
    <w:rsid w:val="005F13F9"/>
    <w:rsid w:val="005F1601"/>
    <w:rsid w:val="005F197C"/>
    <w:rsid w:val="005F1988"/>
    <w:rsid w:val="005F2057"/>
    <w:rsid w:val="005F20AB"/>
    <w:rsid w:val="005F2335"/>
    <w:rsid w:val="005F234E"/>
    <w:rsid w:val="005F234F"/>
    <w:rsid w:val="005F24CF"/>
    <w:rsid w:val="005F2ACF"/>
    <w:rsid w:val="005F2C91"/>
    <w:rsid w:val="005F2CB5"/>
    <w:rsid w:val="005F2D24"/>
    <w:rsid w:val="005F2ECA"/>
    <w:rsid w:val="005F3110"/>
    <w:rsid w:val="005F31DC"/>
    <w:rsid w:val="005F361B"/>
    <w:rsid w:val="005F3682"/>
    <w:rsid w:val="005F36DE"/>
    <w:rsid w:val="005F3735"/>
    <w:rsid w:val="005F37E5"/>
    <w:rsid w:val="005F3875"/>
    <w:rsid w:val="005F3A3A"/>
    <w:rsid w:val="005F3C67"/>
    <w:rsid w:val="005F3DBF"/>
    <w:rsid w:val="005F3EFF"/>
    <w:rsid w:val="005F437A"/>
    <w:rsid w:val="005F4476"/>
    <w:rsid w:val="005F4481"/>
    <w:rsid w:val="005F454D"/>
    <w:rsid w:val="005F47BD"/>
    <w:rsid w:val="005F4943"/>
    <w:rsid w:val="005F4A92"/>
    <w:rsid w:val="005F4B85"/>
    <w:rsid w:val="005F4E4C"/>
    <w:rsid w:val="005F51F1"/>
    <w:rsid w:val="005F5288"/>
    <w:rsid w:val="005F5830"/>
    <w:rsid w:val="005F58D4"/>
    <w:rsid w:val="005F6139"/>
    <w:rsid w:val="005F61E4"/>
    <w:rsid w:val="005F6545"/>
    <w:rsid w:val="005F657D"/>
    <w:rsid w:val="005F6A24"/>
    <w:rsid w:val="005F6A4A"/>
    <w:rsid w:val="005F6AAC"/>
    <w:rsid w:val="005F6D8B"/>
    <w:rsid w:val="005F7057"/>
    <w:rsid w:val="005F73E3"/>
    <w:rsid w:val="005F76D6"/>
    <w:rsid w:val="005F7735"/>
    <w:rsid w:val="005F7DC5"/>
    <w:rsid w:val="005F7DDE"/>
    <w:rsid w:val="005F7E37"/>
    <w:rsid w:val="00600494"/>
    <w:rsid w:val="006004DF"/>
    <w:rsid w:val="006004EE"/>
    <w:rsid w:val="00600756"/>
    <w:rsid w:val="00600AFE"/>
    <w:rsid w:val="00600B06"/>
    <w:rsid w:val="00600C80"/>
    <w:rsid w:val="00600EA3"/>
    <w:rsid w:val="00600F5D"/>
    <w:rsid w:val="006011E8"/>
    <w:rsid w:val="00601247"/>
    <w:rsid w:val="00601391"/>
    <w:rsid w:val="006014E3"/>
    <w:rsid w:val="006018C7"/>
    <w:rsid w:val="0060192F"/>
    <w:rsid w:val="00601958"/>
    <w:rsid w:val="00601979"/>
    <w:rsid w:val="00601A95"/>
    <w:rsid w:val="00601D7E"/>
    <w:rsid w:val="00601EC5"/>
    <w:rsid w:val="00602227"/>
    <w:rsid w:val="006022C2"/>
    <w:rsid w:val="00602456"/>
    <w:rsid w:val="006027D0"/>
    <w:rsid w:val="0060282F"/>
    <w:rsid w:val="00602CF3"/>
    <w:rsid w:val="00602D76"/>
    <w:rsid w:val="00602DCD"/>
    <w:rsid w:val="0060301D"/>
    <w:rsid w:val="006032CF"/>
    <w:rsid w:val="006033DE"/>
    <w:rsid w:val="00603640"/>
    <w:rsid w:val="0060380E"/>
    <w:rsid w:val="00603853"/>
    <w:rsid w:val="00603B49"/>
    <w:rsid w:val="00603B5A"/>
    <w:rsid w:val="00603B6C"/>
    <w:rsid w:val="00603BDE"/>
    <w:rsid w:val="00603BE6"/>
    <w:rsid w:val="00603CAF"/>
    <w:rsid w:val="00603F34"/>
    <w:rsid w:val="0060416A"/>
    <w:rsid w:val="006044AD"/>
    <w:rsid w:val="006044C8"/>
    <w:rsid w:val="006047FB"/>
    <w:rsid w:val="00604892"/>
    <w:rsid w:val="0060498F"/>
    <w:rsid w:val="00604C37"/>
    <w:rsid w:val="00604FD9"/>
    <w:rsid w:val="006050CE"/>
    <w:rsid w:val="006051A4"/>
    <w:rsid w:val="00605312"/>
    <w:rsid w:val="0060561D"/>
    <w:rsid w:val="00605911"/>
    <w:rsid w:val="00605E43"/>
    <w:rsid w:val="0060612A"/>
    <w:rsid w:val="006062A8"/>
    <w:rsid w:val="006062F8"/>
    <w:rsid w:val="006066CD"/>
    <w:rsid w:val="0060675A"/>
    <w:rsid w:val="00606781"/>
    <w:rsid w:val="00606D91"/>
    <w:rsid w:val="00606DF4"/>
    <w:rsid w:val="00606F13"/>
    <w:rsid w:val="00607482"/>
    <w:rsid w:val="00607756"/>
    <w:rsid w:val="00607833"/>
    <w:rsid w:val="00607B90"/>
    <w:rsid w:val="00607D30"/>
    <w:rsid w:val="00607D7A"/>
    <w:rsid w:val="00607E09"/>
    <w:rsid w:val="00607FE0"/>
    <w:rsid w:val="006100CC"/>
    <w:rsid w:val="00610340"/>
    <w:rsid w:val="006103D2"/>
    <w:rsid w:val="0061041B"/>
    <w:rsid w:val="006104CF"/>
    <w:rsid w:val="0061095A"/>
    <w:rsid w:val="00610FFA"/>
    <w:rsid w:val="006114AE"/>
    <w:rsid w:val="00611B4D"/>
    <w:rsid w:val="00611E8B"/>
    <w:rsid w:val="00612614"/>
    <w:rsid w:val="00612617"/>
    <w:rsid w:val="0061261D"/>
    <w:rsid w:val="0061264F"/>
    <w:rsid w:val="0061267B"/>
    <w:rsid w:val="00612B28"/>
    <w:rsid w:val="00612BDA"/>
    <w:rsid w:val="00612BEA"/>
    <w:rsid w:val="00612D39"/>
    <w:rsid w:val="00612D6B"/>
    <w:rsid w:val="00612E9B"/>
    <w:rsid w:val="00613061"/>
    <w:rsid w:val="00613064"/>
    <w:rsid w:val="006131A3"/>
    <w:rsid w:val="006132DE"/>
    <w:rsid w:val="0061332B"/>
    <w:rsid w:val="006133B6"/>
    <w:rsid w:val="006133DA"/>
    <w:rsid w:val="00613523"/>
    <w:rsid w:val="006136D3"/>
    <w:rsid w:val="006137EE"/>
    <w:rsid w:val="006138D1"/>
    <w:rsid w:val="00613A8F"/>
    <w:rsid w:val="00614098"/>
    <w:rsid w:val="006140BF"/>
    <w:rsid w:val="006140F3"/>
    <w:rsid w:val="00614225"/>
    <w:rsid w:val="006148B5"/>
    <w:rsid w:val="006148FF"/>
    <w:rsid w:val="00614993"/>
    <w:rsid w:val="006149BB"/>
    <w:rsid w:val="00614BF0"/>
    <w:rsid w:val="00614DC3"/>
    <w:rsid w:val="00614E07"/>
    <w:rsid w:val="00615258"/>
    <w:rsid w:val="00615299"/>
    <w:rsid w:val="006152F7"/>
    <w:rsid w:val="006155C4"/>
    <w:rsid w:val="006157D7"/>
    <w:rsid w:val="00615AAD"/>
    <w:rsid w:val="00615BC1"/>
    <w:rsid w:val="006163EB"/>
    <w:rsid w:val="006163FE"/>
    <w:rsid w:val="006164AF"/>
    <w:rsid w:val="006164C2"/>
    <w:rsid w:val="006164D7"/>
    <w:rsid w:val="0061693F"/>
    <w:rsid w:val="00616C94"/>
    <w:rsid w:val="00616D7B"/>
    <w:rsid w:val="00616F2A"/>
    <w:rsid w:val="00616FC5"/>
    <w:rsid w:val="006170A8"/>
    <w:rsid w:val="00617124"/>
    <w:rsid w:val="006171CD"/>
    <w:rsid w:val="0061736E"/>
    <w:rsid w:val="006173B3"/>
    <w:rsid w:val="0061754E"/>
    <w:rsid w:val="0062003E"/>
    <w:rsid w:val="00620041"/>
    <w:rsid w:val="00620371"/>
    <w:rsid w:val="0062052E"/>
    <w:rsid w:val="006211C6"/>
    <w:rsid w:val="006214DF"/>
    <w:rsid w:val="006217FC"/>
    <w:rsid w:val="00621D07"/>
    <w:rsid w:val="00621D16"/>
    <w:rsid w:val="00621F85"/>
    <w:rsid w:val="00622013"/>
    <w:rsid w:val="0062203E"/>
    <w:rsid w:val="00622359"/>
    <w:rsid w:val="0062241B"/>
    <w:rsid w:val="00622425"/>
    <w:rsid w:val="006226F2"/>
    <w:rsid w:val="00622CA9"/>
    <w:rsid w:val="00622F22"/>
    <w:rsid w:val="00623300"/>
    <w:rsid w:val="00623786"/>
    <w:rsid w:val="006239E1"/>
    <w:rsid w:val="00623B83"/>
    <w:rsid w:val="00623F41"/>
    <w:rsid w:val="00624016"/>
    <w:rsid w:val="00624036"/>
    <w:rsid w:val="00624192"/>
    <w:rsid w:val="006243C2"/>
    <w:rsid w:val="00624470"/>
    <w:rsid w:val="006244A2"/>
    <w:rsid w:val="006245CE"/>
    <w:rsid w:val="00624773"/>
    <w:rsid w:val="0062478B"/>
    <w:rsid w:val="00624816"/>
    <w:rsid w:val="0062484A"/>
    <w:rsid w:val="00624BF6"/>
    <w:rsid w:val="00624C9D"/>
    <w:rsid w:val="0062503D"/>
    <w:rsid w:val="00625049"/>
    <w:rsid w:val="0062509F"/>
    <w:rsid w:val="006250B3"/>
    <w:rsid w:val="00625163"/>
    <w:rsid w:val="006252B8"/>
    <w:rsid w:val="00625691"/>
    <w:rsid w:val="00625975"/>
    <w:rsid w:val="00626084"/>
    <w:rsid w:val="006261CF"/>
    <w:rsid w:val="0062624A"/>
    <w:rsid w:val="00626318"/>
    <w:rsid w:val="0062649D"/>
    <w:rsid w:val="00626AB5"/>
    <w:rsid w:val="00626B8B"/>
    <w:rsid w:val="00626BF7"/>
    <w:rsid w:val="00626C4C"/>
    <w:rsid w:val="00626D7D"/>
    <w:rsid w:val="00626EDE"/>
    <w:rsid w:val="00627059"/>
    <w:rsid w:val="00627282"/>
    <w:rsid w:val="0062747A"/>
    <w:rsid w:val="006274AA"/>
    <w:rsid w:val="0062751D"/>
    <w:rsid w:val="00627592"/>
    <w:rsid w:val="0062769E"/>
    <w:rsid w:val="00627905"/>
    <w:rsid w:val="00627BA8"/>
    <w:rsid w:val="00627C19"/>
    <w:rsid w:val="00627EBB"/>
    <w:rsid w:val="00630090"/>
    <w:rsid w:val="006300C6"/>
    <w:rsid w:val="006301F1"/>
    <w:rsid w:val="00630267"/>
    <w:rsid w:val="006302F4"/>
    <w:rsid w:val="00630552"/>
    <w:rsid w:val="0063078E"/>
    <w:rsid w:val="006309F8"/>
    <w:rsid w:val="00630C52"/>
    <w:rsid w:val="00630DB7"/>
    <w:rsid w:val="00630E4E"/>
    <w:rsid w:val="00631123"/>
    <w:rsid w:val="006311E4"/>
    <w:rsid w:val="006313A0"/>
    <w:rsid w:val="00631669"/>
    <w:rsid w:val="006316C5"/>
    <w:rsid w:val="0063178A"/>
    <w:rsid w:val="0063179E"/>
    <w:rsid w:val="0063183D"/>
    <w:rsid w:val="00631891"/>
    <w:rsid w:val="006319B0"/>
    <w:rsid w:val="006319CA"/>
    <w:rsid w:val="006319CC"/>
    <w:rsid w:val="00631AC9"/>
    <w:rsid w:val="00631E47"/>
    <w:rsid w:val="0063200A"/>
    <w:rsid w:val="00632304"/>
    <w:rsid w:val="0063269E"/>
    <w:rsid w:val="006326C5"/>
    <w:rsid w:val="00632F10"/>
    <w:rsid w:val="00633044"/>
    <w:rsid w:val="0063315E"/>
    <w:rsid w:val="00633203"/>
    <w:rsid w:val="006332EA"/>
    <w:rsid w:val="00633398"/>
    <w:rsid w:val="0063385C"/>
    <w:rsid w:val="006338B8"/>
    <w:rsid w:val="00633D89"/>
    <w:rsid w:val="00633FBA"/>
    <w:rsid w:val="00634058"/>
    <w:rsid w:val="0063408F"/>
    <w:rsid w:val="00634139"/>
    <w:rsid w:val="00634280"/>
    <w:rsid w:val="0063438A"/>
    <w:rsid w:val="006343E3"/>
    <w:rsid w:val="0063461A"/>
    <w:rsid w:val="00634788"/>
    <w:rsid w:val="00634812"/>
    <w:rsid w:val="006349C1"/>
    <w:rsid w:val="00634B92"/>
    <w:rsid w:val="00634C48"/>
    <w:rsid w:val="00634D1C"/>
    <w:rsid w:val="00634F7A"/>
    <w:rsid w:val="006351D8"/>
    <w:rsid w:val="0063538D"/>
    <w:rsid w:val="006354DA"/>
    <w:rsid w:val="0063576F"/>
    <w:rsid w:val="006359B6"/>
    <w:rsid w:val="00635A08"/>
    <w:rsid w:val="00635A5A"/>
    <w:rsid w:val="00635A6F"/>
    <w:rsid w:val="00635B39"/>
    <w:rsid w:val="00635FD1"/>
    <w:rsid w:val="00636201"/>
    <w:rsid w:val="0063627A"/>
    <w:rsid w:val="006368E6"/>
    <w:rsid w:val="00636A1E"/>
    <w:rsid w:val="00636A62"/>
    <w:rsid w:val="00636AB9"/>
    <w:rsid w:val="00636AEE"/>
    <w:rsid w:val="00636DF6"/>
    <w:rsid w:val="00636F15"/>
    <w:rsid w:val="00636FAF"/>
    <w:rsid w:val="00636FBD"/>
    <w:rsid w:val="006370BF"/>
    <w:rsid w:val="006370D9"/>
    <w:rsid w:val="0063742C"/>
    <w:rsid w:val="0063758B"/>
    <w:rsid w:val="006375CB"/>
    <w:rsid w:val="006376D3"/>
    <w:rsid w:val="006378EC"/>
    <w:rsid w:val="00637D5B"/>
    <w:rsid w:val="00637D73"/>
    <w:rsid w:val="006402F4"/>
    <w:rsid w:val="00640591"/>
    <w:rsid w:val="0064062E"/>
    <w:rsid w:val="006406B8"/>
    <w:rsid w:val="00640711"/>
    <w:rsid w:val="00640847"/>
    <w:rsid w:val="00640875"/>
    <w:rsid w:val="006409A3"/>
    <w:rsid w:val="00640B44"/>
    <w:rsid w:val="00640CFE"/>
    <w:rsid w:val="00640DE9"/>
    <w:rsid w:val="00641697"/>
    <w:rsid w:val="006416BD"/>
    <w:rsid w:val="0064194E"/>
    <w:rsid w:val="00641A85"/>
    <w:rsid w:val="0064202E"/>
    <w:rsid w:val="00642343"/>
    <w:rsid w:val="00642505"/>
    <w:rsid w:val="0064251E"/>
    <w:rsid w:val="00642891"/>
    <w:rsid w:val="00642AF4"/>
    <w:rsid w:val="0064300F"/>
    <w:rsid w:val="00643094"/>
    <w:rsid w:val="00643165"/>
    <w:rsid w:val="00643245"/>
    <w:rsid w:val="006432A3"/>
    <w:rsid w:val="00643515"/>
    <w:rsid w:val="0064365E"/>
    <w:rsid w:val="00643668"/>
    <w:rsid w:val="0064381A"/>
    <w:rsid w:val="006438ED"/>
    <w:rsid w:val="00643950"/>
    <w:rsid w:val="00643BEE"/>
    <w:rsid w:val="00643C78"/>
    <w:rsid w:val="00643CED"/>
    <w:rsid w:val="00643E64"/>
    <w:rsid w:val="006440A9"/>
    <w:rsid w:val="006440B6"/>
    <w:rsid w:val="006440CC"/>
    <w:rsid w:val="00644319"/>
    <w:rsid w:val="0064481D"/>
    <w:rsid w:val="0064481E"/>
    <w:rsid w:val="00644BB7"/>
    <w:rsid w:val="00644C04"/>
    <w:rsid w:val="0064513C"/>
    <w:rsid w:val="00645597"/>
    <w:rsid w:val="00645671"/>
    <w:rsid w:val="00645800"/>
    <w:rsid w:val="00645DF3"/>
    <w:rsid w:val="00646066"/>
    <w:rsid w:val="006460ED"/>
    <w:rsid w:val="0064651F"/>
    <w:rsid w:val="00646691"/>
    <w:rsid w:val="006466C8"/>
    <w:rsid w:val="00646811"/>
    <w:rsid w:val="0064694D"/>
    <w:rsid w:val="0064698C"/>
    <w:rsid w:val="00646A05"/>
    <w:rsid w:val="00646AD6"/>
    <w:rsid w:val="00646B7A"/>
    <w:rsid w:val="00646FEE"/>
    <w:rsid w:val="006470AE"/>
    <w:rsid w:val="006471EE"/>
    <w:rsid w:val="00647267"/>
    <w:rsid w:val="006473B0"/>
    <w:rsid w:val="00647854"/>
    <w:rsid w:val="00647BB0"/>
    <w:rsid w:val="00647D6F"/>
    <w:rsid w:val="00647E70"/>
    <w:rsid w:val="00647FC6"/>
    <w:rsid w:val="00650066"/>
    <w:rsid w:val="00650345"/>
    <w:rsid w:val="00650380"/>
    <w:rsid w:val="006503E6"/>
    <w:rsid w:val="0065041B"/>
    <w:rsid w:val="006504B6"/>
    <w:rsid w:val="0065057B"/>
    <w:rsid w:val="00650750"/>
    <w:rsid w:val="006507A3"/>
    <w:rsid w:val="00650A74"/>
    <w:rsid w:val="00650B5A"/>
    <w:rsid w:val="00650CD8"/>
    <w:rsid w:val="00650E32"/>
    <w:rsid w:val="006512DE"/>
    <w:rsid w:val="006513A0"/>
    <w:rsid w:val="0065154D"/>
    <w:rsid w:val="0065155A"/>
    <w:rsid w:val="00651579"/>
    <w:rsid w:val="00651808"/>
    <w:rsid w:val="00651951"/>
    <w:rsid w:val="006519E1"/>
    <w:rsid w:val="00651AF6"/>
    <w:rsid w:val="00651EA4"/>
    <w:rsid w:val="00651FA9"/>
    <w:rsid w:val="00651FF0"/>
    <w:rsid w:val="00652051"/>
    <w:rsid w:val="0065215B"/>
    <w:rsid w:val="00652228"/>
    <w:rsid w:val="006526E6"/>
    <w:rsid w:val="0065273D"/>
    <w:rsid w:val="006528AE"/>
    <w:rsid w:val="00652D70"/>
    <w:rsid w:val="006531B5"/>
    <w:rsid w:val="00653426"/>
    <w:rsid w:val="0065364B"/>
    <w:rsid w:val="0065368D"/>
    <w:rsid w:val="006536D9"/>
    <w:rsid w:val="006537EE"/>
    <w:rsid w:val="0065389B"/>
    <w:rsid w:val="006539BB"/>
    <w:rsid w:val="00653A5E"/>
    <w:rsid w:val="00653C20"/>
    <w:rsid w:val="00653D84"/>
    <w:rsid w:val="00653E8E"/>
    <w:rsid w:val="006541DB"/>
    <w:rsid w:val="00654527"/>
    <w:rsid w:val="00654565"/>
    <w:rsid w:val="006546AA"/>
    <w:rsid w:val="006546BD"/>
    <w:rsid w:val="006547C9"/>
    <w:rsid w:val="006548C3"/>
    <w:rsid w:val="006548D2"/>
    <w:rsid w:val="00654912"/>
    <w:rsid w:val="00654956"/>
    <w:rsid w:val="00654A27"/>
    <w:rsid w:val="00654AA7"/>
    <w:rsid w:val="00654DEF"/>
    <w:rsid w:val="00654E1E"/>
    <w:rsid w:val="00654FF4"/>
    <w:rsid w:val="00655078"/>
    <w:rsid w:val="00655154"/>
    <w:rsid w:val="0065517C"/>
    <w:rsid w:val="0065521C"/>
    <w:rsid w:val="006557D7"/>
    <w:rsid w:val="00655865"/>
    <w:rsid w:val="00655A07"/>
    <w:rsid w:val="00655A68"/>
    <w:rsid w:val="00655BAD"/>
    <w:rsid w:val="00655E20"/>
    <w:rsid w:val="00655F74"/>
    <w:rsid w:val="00656170"/>
    <w:rsid w:val="006564FC"/>
    <w:rsid w:val="006566C6"/>
    <w:rsid w:val="006567D9"/>
    <w:rsid w:val="0065683A"/>
    <w:rsid w:val="0065698A"/>
    <w:rsid w:val="00656B0C"/>
    <w:rsid w:val="0065702B"/>
    <w:rsid w:val="006571DE"/>
    <w:rsid w:val="00657358"/>
    <w:rsid w:val="006573AE"/>
    <w:rsid w:val="006574D1"/>
    <w:rsid w:val="00657B07"/>
    <w:rsid w:val="00657C3B"/>
    <w:rsid w:val="00657ED0"/>
    <w:rsid w:val="00657F99"/>
    <w:rsid w:val="006607C6"/>
    <w:rsid w:val="00660803"/>
    <w:rsid w:val="006608C4"/>
    <w:rsid w:val="00660976"/>
    <w:rsid w:val="00660B61"/>
    <w:rsid w:val="00660D60"/>
    <w:rsid w:val="00660F4C"/>
    <w:rsid w:val="00660FD1"/>
    <w:rsid w:val="006610D8"/>
    <w:rsid w:val="00661294"/>
    <w:rsid w:val="006612C6"/>
    <w:rsid w:val="00661373"/>
    <w:rsid w:val="00661435"/>
    <w:rsid w:val="0066146B"/>
    <w:rsid w:val="006615CF"/>
    <w:rsid w:val="00661695"/>
    <w:rsid w:val="00661A5D"/>
    <w:rsid w:val="00661BB2"/>
    <w:rsid w:val="00661D77"/>
    <w:rsid w:val="00661D78"/>
    <w:rsid w:val="00662457"/>
    <w:rsid w:val="006624FF"/>
    <w:rsid w:val="00662607"/>
    <w:rsid w:val="006627D2"/>
    <w:rsid w:val="006628DC"/>
    <w:rsid w:val="006628ED"/>
    <w:rsid w:val="0066298E"/>
    <w:rsid w:val="00662A40"/>
    <w:rsid w:val="00662A4E"/>
    <w:rsid w:val="00662AA8"/>
    <w:rsid w:val="00662E59"/>
    <w:rsid w:val="00662F51"/>
    <w:rsid w:val="0066323F"/>
    <w:rsid w:val="006634D0"/>
    <w:rsid w:val="00663633"/>
    <w:rsid w:val="0066373D"/>
    <w:rsid w:val="006638FF"/>
    <w:rsid w:val="006639A0"/>
    <w:rsid w:val="00663A47"/>
    <w:rsid w:val="00663A80"/>
    <w:rsid w:val="00663BAD"/>
    <w:rsid w:val="00663C6B"/>
    <w:rsid w:val="00663FD4"/>
    <w:rsid w:val="00664007"/>
    <w:rsid w:val="00664273"/>
    <w:rsid w:val="00664573"/>
    <w:rsid w:val="00664590"/>
    <w:rsid w:val="00664911"/>
    <w:rsid w:val="00664914"/>
    <w:rsid w:val="0066491D"/>
    <w:rsid w:val="00664A6D"/>
    <w:rsid w:val="00664BCE"/>
    <w:rsid w:val="00664ECB"/>
    <w:rsid w:val="00664F38"/>
    <w:rsid w:val="00665064"/>
    <w:rsid w:val="0066529C"/>
    <w:rsid w:val="006653C7"/>
    <w:rsid w:val="00665565"/>
    <w:rsid w:val="006658F0"/>
    <w:rsid w:val="00665984"/>
    <w:rsid w:val="0066598E"/>
    <w:rsid w:val="00665A39"/>
    <w:rsid w:val="00665C2B"/>
    <w:rsid w:val="00665F38"/>
    <w:rsid w:val="00665F3D"/>
    <w:rsid w:val="00666230"/>
    <w:rsid w:val="00666784"/>
    <w:rsid w:val="006667B6"/>
    <w:rsid w:val="00666AD1"/>
    <w:rsid w:val="00666AED"/>
    <w:rsid w:val="00666E87"/>
    <w:rsid w:val="00666F06"/>
    <w:rsid w:val="006670A6"/>
    <w:rsid w:val="006672E2"/>
    <w:rsid w:val="0066735E"/>
    <w:rsid w:val="00667401"/>
    <w:rsid w:val="006677FB"/>
    <w:rsid w:val="00667863"/>
    <w:rsid w:val="00667D3B"/>
    <w:rsid w:val="00667E3E"/>
    <w:rsid w:val="00670032"/>
    <w:rsid w:val="006701A3"/>
    <w:rsid w:val="006705CA"/>
    <w:rsid w:val="00670848"/>
    <w:rsid w:val="00670BB1"/>
    <w:rsid w:val="00670D84"/>
    <w:rsid w:val="00671075"/>
    <w:rsid w:val="00671315"/>
    <w:rsid w:val="006714C2"/>
    <w:rsid w:val="0067165F"/>
    <w:rsid w:val="00671821"/>
    <w:rsid w:val="00671849"/>
    <w:rsid w:val="00671880"/>
    <w:rsid w:val="00671970"/>
    <w:rsid w:val="00671A49"/>
    <w:rsid w:val="00671A57"/>
    <w:rsid w:val="00671B2A"/>
    <w:rsid w:val="00671B78"/>
    <w:rsid w:val="00671C33"/>
    <w:rsid w:val="00671C44"/>
    <w:rsid w:val="006720C9"/>
    <w:rsid w:val="0067223D"/>
    <w:rsid w:val="006722AD"/>
    <w:rsid w:val="006723D6"/>
    <w:rsid w:val="00673069"/>
    <w:rsid w:val="0067314C"/>
    <w:rsid w:val="0067317E"/>
    <w:rsid w:val="0067331C"/>
    <w:rsid w:val="00674316"/>
    <w:rsid w:val="00674389"/>
    <w:rsid w:val="00674596"/>
    <w:rsid w:val="00674664"/>
    <w:rsid w:val="0067477F"/>
    <w:rsid w:val="006749A9"/>
    <w:rsid w:val="00674AC6"/>
    <w:rsid w:val="00674C77"/>
    <w:rsid w:val="00674DB0"/>
    <w:rsid w:val="00674E2F"/>
    <w:rsid w:val="00674F2E"/>
    <w:rsid w:val="006753EC"/>
    <w:rsid w:val="00675470"/>
    <w:rsid w:val="00675472"/>
    <w:rsid w:val="00675692"/>
    <w:rsid w:val="00675933"/>
    <w:rsid w:val="00675B1E"/>
    <w:rsid w:val="00675FD8"/>
    <w:rsid w:val="00676078"/>
    <w:rsid w:val="006761DD"/>
    <w:rsid w:val="00676272"/>
    <w:rsid w:val="00676362"/>
    <w:rsid w:val="006763A6"/>
    <w:rsid w:val="006763F9"/>
    <w:rsid w:val="00676488"/>
    <w:rsid w:val="006764D5"/>
    <w:rsid w:val="00676537"/>
    <w:rsid w:val="00676550"/>
    <w:rsid w:val="00676712"/>
    <w:rsid w:val="0067672A"/>
    <w:rsid w:val="0067678A"/>
    <w:rsid w:val="00676839"/>
    <w:rsid w:val="006768BA"/>
    <w:rsid w:val="0067693D"/>
    <w:rsid w:val="00676A52"/>
    <w:rsid w:val="00676BF5"/>
    <w:rsid w:val="00676E18"/>
    <w:rsid w:val="006770D5"/>
    <w:rsid w:val="0067718E"/>
    <w:rsid w:val="00677207"/>
    <w:rsid w:val="00677503"/>
    <w:rsid w:val="006775FE"/>
    <w:rsid w:val="006777C6"/>
    <w:rsid w:val="00677AA4"/>
    <w:rsid w:val="00677BA3"/>
    <w:rsid w:val="00677CE3"/>
    <w:rsid w:val="00677D3A"/>
    <w:rsid w:val="00677E10"/>
    <w:rsid w:val="00680532"/>
    <w:rsid w:val="00680602"/>
    <w:rsid w:val="00680970"/>
    <w:rsid w:val="00680992"/>
    <w:rsid w:val="00680C3A"/>
    <w:rsid w:val="00680E73"/>
    <w:rsid w:val="00680F5F"/>
    <w:rsid w:val="00680FA0"/>
    <w:rsid w:val="006811C6"/>
    <w:rsid w:val="0068124D"/>
    <w:rsid w:val="0068174C"/>
    <w:rsid w:val="00681AA8"/>
    <w:rsid w:val="00681CB7"/>
    <w:rsid w:val="006822F1"/>
    <w:rsid w:val="006823A7"/>
    <w:rsid w:val="00682464"/>
    <w:rsid w:val="006824B5"/>
    <w:rsid w:val="006824DD"/>
    <w:rsid w:val="0068275A"/>
    <w:rsid w:val="00682A66"/>
    <w:rsid w:val="00682D4A"/>
    <w:rsid w:val="00682D9E"/>
    <w:rsid w:val="00682E93"/>
    <w:rsid w:val="00682F84"/>
    <w:rsid w:val="00683169"/>
    <w:rsid w:val="00683287"/>
    <w:rsid w:val="00683AF7"/>
    <w:rsid w:val="00683C23"/>
    <w:rsid w:val="00683D98"/>
    <w:rsid w:val="00684029"/>
    <w:rsid w:val="006842AB"/>
    <w:rsid w:val="006843A4"/>
    <w:rsid w:val="006844F5"/>
    <w:rsid w:val="00684547"/>
    <w:rsid w:val="00684734"/>
    <w:rsid w:val="00684947"/>
    <w:rsid w:val="006849D0"/>
    <w:rsid w:val="006849F4"/>
    <w:rsid w:val="00684FE7"/>
    <w:rsid w:val="00685096"/>
    <w:rsid w:val="006853E6"/>
    <w:rsid w:val="0068553C"/>
    <w:rsid w:val="0068571B"/>
    <w:rsid w:val="0068579C"/>
    <w:rsid w:val="006859BF"/>
    <w:rsid w:val="00685A01"/>
    <w:rsid w:val="00685C41"/>
    <w:rsid w:val="00685D00"/>
    <w:rsid w:val="00685D7E"/>
    <w:rsid w:val="00685ED0"/>
    <w:rsid w:val="00685EF9"/>
    <w:rsid w:val="00685F4A"/>
    <w:rsid w:val="006860C0"/>
    <w:rsid w:val="0068620F"/>
    <w:rsid w:val="006862DD"/>
    <w:rsid w:val="006862FA"/>
    <w:rsid w:val="00686313"/>
    <w:rsid w:val="006863B2"/>
    <w:rsid w:val="0068648B"/>
    <w:rsid w:val="006866F7"/>
    <w:rsid w:val="0068673F"/>
    <w:rsid w:val="00686864"/>
    <w:rsid w:val="006868D1"/>
    <w:rsid w:val="00686C16"/>
    <w:rsid w:val="00686D13"/>
    <w:rsid w:val="00686D69"/>
    <w:rsid w:val="00686F0F"/>
    <w:rsid w:val="00686FAD"/>
    <w:rsid w:val="006870FA"/>
    <w:rsid w:val="006872E6"/>
    <w:rsid w:val="0068738E"/>
    <w:rsid w:val="006873F2"/>
    <w:rsid w:val="00687572"/>
    <w:rsid w:val="006875E5"/>
    <w:rsid w:val="006878B1"/>
    <w:rsid w:val="00687BDA"/>
    <w:rsid w:val="00687C53"/>
    <w:rsid w:val="00687E0B"/>
    <w:rsid w:val="00687FA1"/>
    <w:rsid w:val="00687FF5"/>
    <w:rsid w:val="0069009A"/>
    <w:rsid w:val="0069012F"/>
    <w:rsid w:val="006903D0"/>
    <w:rsid w:val="00690903"/>
    <w:rsid w:val="00690A9D"/>
    <w:rsid w:val="00690AAA"/>
    <w:rsid w:val="00690AE4"/>
    <w:rsid w:val="00690E6A"/>
    <w:rsid w:val="00691328"/>
    <w:rsid w:val="006917FC"/>
    <w:rsid w:val="0069180E"/>
    <w:rsid w:val="00691EDA"/>
    <w:rsid w:val="00692010"/>
    <w:rsid w:val="0069238E"/>
    <w:rsid w:val="006924AB"/>
    <w:rsid w:val="00692830"/>
    <w:rsid w:val="006928ED"/>
    <w:rsid w:val="006929FC"/>
    <w:rsid w:val="00692AAD"/>
    <w:rsid w:val="00692B3C"/>
    <w:rsid w:val="00692DE8"/>
    <w:rsid w:val="00692F59"/>
    <w:rsid w:val="00693083"/>
    <w:rsid w:val="006934F3"/>
    <w:rsid w:val="0069374A"/>
    <w:rsid w:val="00693800"/>
    <w:rsid w:val="00693B84"/>
    <w:rsid w:val="00693C9A"/>
    <w:rsid w:val="00693DDF"/>
    <w:rsid w:val="00693E1E"/>
    <w:rsid w:val="00694260"/>
    <w:rsid w:val="0069427B"/>
    <w:rsid w:val="006943C2"/>
    <w:rsid w:val="00694725"/>
    <w:rsid w:val="006948A3"/>
    <w:rsid w:val="00694EB0"/>
    <w:rsid w:val="00695166"/>
    <w:rsid w:val="006952B1"/>
    <w:rsid w:val="006952B5"/>
    <w:rsid w:val="006954D1"/>
    <w:rsid w:val="0069578E"/>
    <w:rsid w:val="00695A62"/>
    <w:rsid w:val="00695B84"/>
    <w:rsid w:val="00695B98"/>
    <w:rsid w:val="00695BD3"/>
    <w:rsid w:val="00695CC7"/>
    <w:rsid w:val="00696196"/>
    <w:rsid w:val="006961F5"/>
    <w:rsid w:val="0069634E"/>
    <w:rsid w:val="0069658D"/>
    <w:rsid w:val="0069674D"/>
    <w:rsid w:val="00696830"/>
    <w:rsid w:val="00696847"/>
    <w:rsid w:val="00696890"/>
    <w:rsid w:val="00696A69"/>
    <w:rsid w:val="00696B3D"/>
    <w:rsid w:val="00696B86"/>
    <w:rsid w:val="00696FB1"/>
    <w:rsid w:val="0069704C"/>
    <w:rsid w:val="00697092"/>
    <w:rsid w:val="006970F7"/>
    <w:rsid w:val="0069727D"/>
    <w:rsid w:val="00697415"/>
    <w:rsid w:val="0069745F"/>
    <w:rsid w:val="00697528"/>
    <w:rsid w:val="0069773C"/>
    <w:rsid w:val="00697B0C"/>
    <w:rsid w:val="00697B94"/>
    <w:rsid w:val="00697F7E"/>
    <w:rsid w:val="006A0314"/>
    <w:rsid w:val="006A04BD"/>
    <w:rsid w:val="006A06DF"/>
    <w:rsid w:val="006A096E"/>
    <w:rsid w:val="006A0DB9"/>
    <w:rsid w:val="006A0E83"/>
    <w:rsid w:val="006A0ECA"/>
    <w:rsid w:val="006A0F06"/>
    <w:rsid w:val="006A114F"/>
    <w:rsid w:val="006A1159"/>
    <w:rsid w:val="006A142C"/>
    <w:rsid w:val="006A14B7"/>
    <w:rsid w:val="006A14F8"/>
    <w:rsid w:val="006A1535"/>
    <w:rsid w:val="006A1685"/>
    <w:rsid w:val="006A1B78"/>
    <w:rsid w:val="006A1C07"/>
    <w:rsid w:val="006A1D13"/>
    <w:rsid w:val="006A1D44"/>
    <w:rsid w:val="006A1DBF"/>
    <w:rsid w:val="006A1F46"/>
    <w:rsid w:val="006A2173"/>
    <w:rsid w:val="006A2204"/>
    <w:rsid w:val="006A267A"/>
    <w:rsid w:val="006A2BF9"/>
    <w:rsid w:val="006A2D7C"/>
    <w:rsid w:val="006A2F35"/>
    <w:rsid w:val="006A3182"/>
    <w:rsid w:val="006A333E"/>
    <w:rsid w:val="006A33C9"/>
    <w:rsid w:val="006A370B"/>
    <w:rsid w:val="006A3780"/>
    <w:rsid w:val="006A3B2B"/>
    <w:rsid w:val="006A3B35"/>
    <w:rsid w:val="006A3E33"/>
    <w:rsid w:val="006A3E61"/>
    <w:rsid w:val="006A41D3"/>
    <w:rsid w:val="006A42F5"/>
    <w:rsid w:val="006A438F"/>
    <w:rsid w:val="006A4463"/>
    <w:rsid w:val="006A4492"/>
    <w:rsid w:val="006A452E"/>
    <w:rsid w:val="006A478C"/>
    <w:rsid w:val="006A4BF9"/>
    <w:rsid w:val="006A4D21"/>
    <w:rsid w:val="006A4E9B"/>
    <w:rsid w:val="006A4EF0"/>
    <w:rsid w:val="006A51C4"/>
    <w:rsid w:val="006A51FC"/>
    <w:rsid w:val="006A5312"/>
    <w:rsid w:val="006A5360"/>
    <w:rsid w:val="006A537F"/>
    <w:rsid w:val="006A5432"/>
    <w:rsid w:val="006A56CF"/>
    <w:rsid w:val="006A56FD"/>
    <w:rsid w:val="006A5796"/>
    <w:rsid w:val="006A5970"/>
    <w:rsid w:val="006A5AD8"/>
    <w:rsid w:val="006A5FF1"/>
    <w:rsid w:val="006A635B"/>
    <w:rsid w:val="006A6453"/>
    <w:rsid w:val="006A665A"/>
    <w:rsid w:val="006A6914"/>
    <w:rsid w:val="006A6918"/>
    <w:rsid w:val="006A6B96"/>
    <w:rsid w:val="006A6C19"/>
    <w:rsid w:val="006A6C73"/>
    <w:rsid w:val="006A6D2B"/>
    <w:rsid w:val="006A6F3C"/>
    <w:rsid w:val="006A70E5"/>
    <w:rsid w:val="006A7329"/>
    <w:rsid w:val="006A74AD"/>
    <w:rsid w:val="006A7848"/>
    <w:rsid w:val="006A784D"/>
    <w:rsid w:val="006A794A"/>
    <w:rsid w:val="006A7A2C"/>
    <w:rsid w:val="006B0379"/>
    <w:rsid w:val="006B046C"/>
    <w:rsid w:val="006B0561"/>
    <w:rsid w:val="006B0A3C"/>
    <w:rsid w:val="006B0CEB"/>
    <w:rsid w:val="006B0D7F"/>
    <w:rsid w:val="006B0E40"/>
    <w:rsid w:val="006B0FF3"/>
    <w:rsid w:val="006B14F7"/>
    <w:rsid w:val="006B155A"/>
    <w:rsid w:val="006B16C8"/>
    <w:rsid w:val="006B1949"/>
    <w:rsid w:val="006B1D4A"/>
    <w:rsid w:val="006B20FB"/>
    <w:rsid w:val="006B214C"/>
    <w:rsid w:val="006B222A"/>
    <w:rsid w:val="006B2235"/>
    <w:rsid w:val="006B276A"/>
    <w:rsid w:val="006B27AC"/>
    <w:rsid w:val="006B2B0F"/>
    <w:rsid w:val="006B2E6B"/>
    <w:rsid w:val="006B2EFA"/>
    <w:rsid w:val="006B2FF9"/>
    <w:rsid w:val="006B3179"/>
    <w:rsid w:val="006B3276"/>
    <w:rsid w:val="006B3471"/>
    <w:rsid w:val="006B34F6"/>
    <w:rsid w:val="006B36C0"/>
    <w:rsid w:val="006B3746"/>
    <w:rsid w:val="006B3999"/>
    <w:rsid w:val="006B39F7"/>
    <w:rsid w:val="006B3DDC"/>
    <w:rsid w:val="006B3EC6"/>
    <w:rsid w:val="006B3F99"/>
    <w:rsid w:val="006B3FBC"/>
    <w:rsid w:val="006B3FFC"/>
    <w:rsid w:val="006B4294"/>
    <w:rsid w:val="006B4332"/>
    <w:rsid w:val="006B449F"/>
    <w:rsid w:val="006B4512"/>
    <w:rsid w:val="006B48C0"/>
    <w:rsid w:val="006B4B25"/>
    <w:rsid w:val="006B4FE6"/>
    <w:rsid w:val="006B512E"/>
    <w:rsid w:val="006B53B9"/>
    <w:rsid w:val="006B53F4"/>
    <w:rsid w:val="006B54C0"/>
    <w:rsid w:val="006B5A28"/>
    <w:rsid w:val="006B5C62"/>
    <w:rsid w:val="006B5D6C"/>
    <w:rsid w:val="006B5DF3"/>
    <w:rsid w:val="006B5EA9"/>
    <w:rsid w:val="006B5F05"/>
    <w:rsid w:val="006B6080"/>
    <w:rsid w:val="006B60F7"/>
    <w:rsid w:val="006B63AE"/>
    <w:rsid w:val="006B65BB"/>
    <w:rsid w:val="006B6691"/>
    <w:rsid w:val="006B676B"/>
    <w:rsid w:val="006B6A37"/>
    <w:rsid w:val="006B6A8D"/>
    <w:rsid w:val="006B6BE5"/>
    <w:rsid w:val="006B6C92"/>
    <w:rsid w:val="006B6D1E"/>
    <w:rsid w:val="006B6D2B"/>
    <w:rsid w:val="006B710A"/>
    <w:rsid w:val="006B7454"/>
    <w:rsid w:val="006B7518"/>
    <w:rsid w:val="006B7565"/>
    <w:rsid w:val="006B772F"/>
    <w:rsid w:val="006B7744"/>
    <w:rsid w:val="006B776D"/>
    <w:rsid w:val="006B7B74"/>
    <w:rsid w:val="006B7C8A"/>
    <w:rsid w:val="006B7C99"/>
    <w:rsid w:val="006C0429"/>
    <w:rsid w:val="006C04D4"/>
    <w:rsid w:val="006C0606"/>
    <w:rsid w:val="006C06FD"/>
    <w:rsid w:val="006C0709"/>
    <w:rsid w:val="006C0A4E"/>
    <w:rsid w:val="006C0AD9"/>
    <w:rsid w:val="006C0C9A"/>
    <w:rsid w:val="006C0D00"/>
    <w:rsid w:val="006C0DBE"/>
    <w:rsid w:val="006C1137"/>
    <w:rsid w:val="006C1293"/>
    <w:rsid w:val="006C1305"/>
    <w:rsid w:val="006C16F4"/>
    <w:rsid w:val="006C16FF"/>
    <w:rsid w:val="006C1828"/>
    <w:rsid w:val="006C1905"/>
    <w:rsid w:val="006C1C57"/>
    <w:rsid w:val="006C1DBB"/>
    <w:rsid w:val="006C1E3B"/>
    <w:rsid w:val="006C1E98"/>
    <w:rsid w:val="006C2060"/>
    <w:rsid w:val="006C206A"/>
    <w:rsid w:val="006C211D"/>
    <w:rsid w:val="006C2271"/>
    <w:rsid w:val="006C22AA"/>
    <w:rsid w:val="006C2323"/>
    <w:rsid w:val="006C2597"/>
    <w:rsid w:val="006C261F"/>
    <w:rsid w:val="006C28AF"/>
    <w:rsid w:val="006C2966"/>
    <w:rsid w:val="006C29A5"/>
    <w:rsid w:val="006C2E93"/>
    <w:rsid w:val="006C303C"/>
    <w:rsid w:val="006C3040"/>
    <w:rsid w:val="006C33EB"/>
    <w:rsid w:val="006C3591"/>
    <w:rsid w:val="006C35A0"/>
    <w:rsid w:val="006C35ED"/>
    <w:rsid w:val="006C3B0B"/>
    <w:rsid w:val="006C3BDC"/>
    <w:rsid w:val="006C3D81"/>
    <w:rsid w:val="006C41E6"/>
    <w:rsid w:val="006C41F6"/>
    <w:rsid w:val="006C4330"/>
    <w:rsid w:val="006C4677"/>
    <w:rsid w:val="006C493E"/>
    <w:rsid w:val="006C4D23"/>
    <w:rsid w:val="006C4F21"/>
    <w:rsid w:val="006C5145"/>
    <w:rsid w:val="006C516E"/>
    <w:rsid w:val="006C5322"/>
    <w:rsid w:val="006C5573"/>
    <w:rsid w:val="006C59E0"/>
    <w:rsid w:val="006C5A14"/>
    <w:rsid w:val="006C5A83"/>
    <w:rsid w:val="006C5A93"/>
    <w:rsid w:val="006C5B4E"/>
    <w:rsid w:val="006C5CED"/>
    <w:rsid w:val="006C5D98"/>
    <w:rsid w:val="006C60CB"/>
    <w:rsid w:val="006C64A6"/>
    <w:rsid w:val="006C6602"/>
    <w:rsid w:val="006C66AC"/>
    <w:rsid w:val="006C687B"/>
    <w:rsid w:val="006C69E0"/>
    <w:rsid w:val="006C6B90"/>
    <w:rsid w:val="006C7252"/>
    <w:rsid w:val="006C743E"/>
    <w:rsid w:val="006C78F8"/>
    <w:rsid w:val="006C7C4E"/>
    <w:rsid w:val="006C7C69"/>
    <w:rsid w:val="006C7C7A"/>
    <w:rsid w:val="006C7D06"/>
    <w:rsid w:val="006C7F1F"/>
    <w:rsid w:val="006D0694"/>
    <w:rsid w:val="006D0A63"/>
    <w:rsid w:val="006D0E06"/>
    <w:rsid w:val="006D17CA"/>
    <w:rsid w:val="006D1A03"/>
    <w:rsid w:val="006D1B8E"/>
    <w:rsid w:val="006D1DE4"/>
    <w:rsid w:val="006D2042"/>
    <w:rsid w:val="006D2106"/>
    <w:rsid w:val="006D21F2"/>
    <w:rsid w:val="006D2227"/>
    <w:rsid w:val="006D228E"/>
    <w:rsid w:val="006D2324"/>
    <w:rsid w:val="006D2469"/>
    <w:rsid w:val="006D2781"/>
    <w:rsid w:val="006D27D3"/>
    <w:rsid w:val="006D2A7B"/>
    <w:rsid w:val="006D2B13"/>
    <w:rsid w:val="006D2CEA"/>
    <w:rsid w:val="006D2D56"/>
    <w:rsid w:val="006D2FD2"/>
    <w:rsid w:val="006D30D2"/>
    <w:rsid w:val="006D31D3"/>
    <w:rsid w:val="006D331F"/>
    <w:rsid w:val="006D39AF"/>
    <w:rsid w:val="006D39E1"/>
    <w:rsid w:val="006D3A6B"/>
    <w:rsid w:val="006D3BB9"/>
    <w:rsid w:val="006D3BF9"/>
    <w:rsid w:val="006D3D03"/>
    <w:rsid w:val="006D3FFB"/>
    <w:rsid w:val="006D40AA"/>
    <w:rsid w:val="006D4538"/>
    <w:rsid w:val="006D48D6"/>
    <w:rsid w:val="006D4C24"/>
    <w:rsid w:val="006D4E1A"/>
    <w:rsid w:val="006D4E95"/>
    <w:rsid w:val="006D514D"/>
    <w:rsid w:val="006D533B"/>
    <w:rsid w:val="006D5618"/>
    <w:rsid w:val="006D566C"/>
    <w:rsid w:val="006D59C3"/>
    <w:rsid w:val="006D5B48"/>
    <w:rsid w:val="006D6567"/>
    <w:rsid w:val="006D65BF"/>
    <w:rsid w:val="006D6789"/>
    <w:rsid w:val="006D67C5"/>
    <w:rsid w:val="006D67F5"/>
    <w:rsid w:val="006D6A03"/>
    <w:rsid w:val="006D6AE9"/>
    <w:rsid w:val="006D6BAF"/>
    <w:rsid w:val="006D6BC1"/>
    <w:rsid w:val="006D6C0B"/>
    <w:rsid w:val="006D6DCE"/>
    <w:rsid w:val="006D6EB5"/>
    <w:rsid w:val="006D6F49"/>
    <w:rsid w:val="006D6F5F"/>
    <w:rsid w:val="006D7036"/>
    <w:rsid w:val="006D70C5"/>
    <w:rsid w:val="006D745B"/>
    <w:rsid w:val="006D75D9"/>
    <w:rsid w:val="006D76A4"/>
    <w:rsid w:val="006D7A70"/>
    <w:rsid w:val="006D7DC2"/>
    <w:rsid w:val="006D7E3E"/>
    <w:rsid w:val="006E0065"/>
    <w:rsid w:val="006E0088"/>
    <w:rsid w:val="006E0351"/>
    <w:rsid w:val="006E0619"/>
    <w:rsid w:val="006E0850"/>
    <w:rsid w:val="006E0CD2"/>
    <w:rsid w:val="006E1137"/>
    <w:rsid w:val="006E1462"/>
    <w:rsid w:val="006E160C"/>
    <w:rsid w:val="006E1694"/>
    <w:rsid w:val="006E18B8"/>
    <w:rsid w:val="006E1A3C"/>
    <w:rsid w:val="006E1CFB"/>
    <w:rsid w:val="006E2011"/>
    <w:rsid w:val="006E2130"/>
    <w:rsid w:val="006E214F"/>
    <w:rsid w:val="006E22EE"/>
    <w:rsid w:val="006E23B9"/>
    <w:rsid w:val="006E2478"/>
    <w:rsid w:val="006E2480"/>
    <w:rsid w:val="006E2525"/>
    <w:rsid w:val="006E26A8"/>
    <w:rsid w:val="006E28F5"/>
    <w:rsid w:val="006E2D3C"/>
    <w:rsid w:val="006E2F8C"/>
    <w:rsid w:val="006E30C4"/>
    <w:rsid w:val="006E30D3"/>
    <w:rsid w:val="006E33D2"/>
    <w:rsid w:val="006E353A"/>
    <w:rsid w:val="006E3C44"/>
    <w:rsid w:val="006E3C9F"/>
    <w:rsid w:val="006E3F5C"/>
    <w:rsid w:val="006E3F8C"/>
    <w:rsid w:val="006E4442"/>
    <w:rsid w:val="006E4590"/>
    <w:rsid w:val="006E4591"/>
    <w:rsid w:val="006E46E9"/>
    <w:rsid w:val="006E4827"/>
    <w:rsid w:val="006E4A33"/>
    <w:rsid w:val="006E4DCE"/>
    <w:rsid w:val="006E5017"/>
    <w:rsid w:val="006E5043"/>
    <w:rsid w:val="006E548C"/>
    <w:rsid w:val="006E565A"/>
    <w:rsid w:val="006E5A38"/>
    <w:rsid w:val="006E5D45"/>
    <w:rsid w:val="006E5FB3"/>
    <w:rsid w:val="006E5FFE"/>
    <w:rsid w:val="006E6228"/>
    <w:rsid w:val="006E6557"/>
    <w:rsid w:val="006E6587"/>
    <w:rsid w:val="006E66E9"/>
    <w:rsid w:val="006E6870"/>
    <w:rsid w:val="006E690B"/>
    <w:rsid w:val="006E699D"/>
    <w:rsid w:val="006E6A1F"/>
    <w:rsid w:val="006E6D0E"/>
    <w:rsid w:val="006E6FCD"/>
    <w:rsid w:val="006E702A"/>
    <w:rsid w:val="006E71F2"/>
    <w:rsid w:val="006E738E"/>
    <w:rsid w:val="006E740B"/>
    <w:rsid w:val="006E786D"/>
    <w:rsid w:val="006E789A"/>
    <w:rsid w:val="006E7B92"/>
    <w:rsid w:val="006E7BA5"/>
    <w:rsid w:val="006E7D25"/>
    <w:rsid w:val="006E7D7B"/>
    <w:rsid w:val="006E7F75"/>
    <w:rsid w:val="006E7FA9"/>
    <w:rsid w:val="006F014D"/>
    <w:rsid w:val="006F065B"/>
    <w:rsid w:val="006F07A7"/>
    <w:rsid w:val="006F0811"/>
    <w:rsid w:val="006F0AFF"/>
    <w:rsid w:val="006F0B38"/>
    <w:rsid w:val="006F1016"/>
    <w:rsid w:val="006F11D8"/>
    <w:rsid w:val="006F1226"/>
    <w:rsid w:val="006F1251"/>
    <w:rsid w:val="006F12E5"/>
    <w:rsid w:val="006F13ED"/>
    <w:rsid w:val="006F1864"/>
    <w:rsid w:val="006F1B95"/>
    <w:rsid w:val="006F1F09"/>
    <w:rsid w:val="006F1F43"/>
    <w:rsid w:val="006F1F4D"/>
    <w:rsid w:val="006F2229"/>
    <w:rsid w:val="006F2305"/>
    <w:rsid w:val="006F249B"/>
    <w:rsid w:val="006F24DF"/>
    <w:rsid w:val="006F24FB"/>
    <w:rsid w:val="006F2576"/>
    <w:rsid w:val="006F265D"/>
    <w:rsid w:val="006F289C"/>
    <w:rsid w:val="006F2E45"/>
    <w:rsid w:val="006F2FEA"/>
    <w:rsid w:val="006F30E3"/>
    <w:rsid w:val="006F348C"/>
    <w:rsid w:val="006F3639"/>
    <w:rsid w:val="006F37EE"/>
    <w:rsid w:val="006F38E9"/>
    <w:rsid w:val="006F3C1C"/>
    <w:rsid w:val="006F3C72"/>
    <w:rsid w:val="006F4150"/>
    <w:rsid w:val="006F443B"/>
    <w:rsid w:val="006F444B"/>
    <w:rsid w:val="006F468A"/>
    <w:rsid w:val="006F47DE"/>
    <w:rsid w:val="006F4840"/>
    <w:rsid w:val="006F49F1"/>
    <w:rsid w:val="006F4A50"/>
    <w:rsid w:val="006F4BAE"/>
    <w:rsid w:val="006F5175"/>
    <w:rsid w:val="006F52CE"/>
    <w:rsid w:val="006F53A3"/>
    <w:rsid w:val="006F53C2"/>
    <w:rsid w:val="006F5457"/>
    <w:rsid w:val="006F556A"/>
    <w:rsid w:val="006F5712"/>
    <w:rsid w:val="006F573E"/>
    <w:rsid w:val="006F5795"/>
    <w:rsid w:val="006F5B08"/>
    <w:rsid w:val="006F5BBC"/>
    <w:rsid w:val="006F5CBD"/>
    <w:rsid w:val="006F5E36"/>
    <w:rsid w:val="006F6049"/>
    <w:rsid w:val="006F6096"/>
    <w:rsid w:val="006F6132"/>
    <w:rsid w:val="006F613A"/>
    <w:rsid w:val="006F616D"/>
    <w:rsid w:val="006F61FD"/>
    <w:rsid w:val="006F62D1"/>
    <w:rsid w:val="006F6469"/>
    <w:rsid w:val="006F66C5"/>
    <w:rsid w:val="006F67B2"/>
    <w:rsid w:val="006F68AA"/>
    <w:rsid w:val="006F6B0C"/>
    <w:rsid w:val="006F6C43"/>
    <w:rsid w:val="006F6FD1"/>
    <w:rsid w:val="006F70E0"/>
    <w:rsid w:val="006F710A"/>
    <w:rsid w:val="006F712C"/>
    <w:rsid w:val="006F738F"/>
    <w:rsid w:val="006F73AC"/>
    <w:rsid w:val="006F7670"/>
    <w:rsid w:val="006F7D33"/>
    <w:rsid w:val="006F7DFF"/>
    <w:rsid w:val="00700040"/>
    <w:rsid w:val="0070006D"/>
    <w:rsid w:val="007002F7"/>
    <w:rsid w:val="007005C4"/>
    <w:rsid w:val="007006FD"/>
    <w:rsid w:val="007008D9"/>
    <w:rsid w:val="00700AA2"/>
    <w:rsid w:val="00700B32"/>
    <w:rsid w:val="00700EE6"/>
    <w:rsid w:val="00700EFA"/>
    <w:rsid w:val="00700F4E"/>
    <w:rsid w:val="0070128C"/>
    <w:rsid w:val="007013C8"/>
    <w:rsid w:val="007013E2"/>
    <w:rsid w:val="007014AF"/>
    <w:rsid w:val="00701582"/>
    <w:rsid w:val="00701618"/>
    <w:rsid w:val="007018D1"/>
    <w:rsid w:val="007018F9"/>
    <w:rsid w:val="007019F6"/>
    <w:rsid w:val="00701D64"/>
    <w:rsid w:val="00702290"/>
    <w:rsid w:val="00702354"/>
    <w:rsid w:val="00702822"/>
    <w:rsid w:val="00702B89"/>
    <w:rsid w:val="00702EF3"/>
    <w:rsid w:val="00703593"/>
    <w:rsid w:val="007037AE"/>
    <w:rsid w:val="007037E9"/>
    <w:rsid w:val="0070386A"/>
    <w:rsid w:val="00703936"/>
    <w:rsid w:val="00703CC7"/>
    <w:rsid w:val="00703E67"/>
    <w:rsid w:val="00704167"/>
    <w:rsid w:val="00704240"/>
    <w:rsid w:val="00704544"/>
    <w:rsid w:val="00704559"/>
    <w:rsid w:val="00704643"/>
    <w:rsid w:val="007046BA"/>
    <w:rsid w:val="0070472D"/>
    <w:rsid w:val="0070477E"/>
    <w:rsid w:val="0070482B"/>
    <w:rsid w:val="00704879"/>
    <w:rsid w:val="007049DC"/>
    <w:rsid w:val="00704D1D"/>
    <w:rsid w:val="00704F50"/>
    <w:rsid w:val="00705129"/>
    <w:rsid w:val="00705297"/>
    <w:rsid w:val="0070558A"/>
    <w:rsid w:val="00705809"/>
    <w:rsid w:val="0070624D"/>
    <w:rsid w:val="00706430"/>
    <w:rsid w:val="0070658C"/>
    <w:rsid w:val="00706676"/>
    <w:rsid w:val="007066C0"/>
    <w:rsid w:val="00706881"/>
    <w:rsid w:val="00706959"/>
    <w:rsid w:val="007069E8"/>
    <w:rsid w:val="00706F23"/>
    <w:rsid w:val="00706F47"/>
    <w:rsid w:val="00706F8B"/>
    <w:rsid w:val="00706FA8"/>
    <w:rsid w:val="007071F8"/>
    <w:rsid w:val="0070737F"/>
    <w:rsid w:val="007077CA"/>
    <w:rsid w:val="00707915"/>
    <w:rsid w:val="007079D9"/>
    <w:rsid w:val="00707A10"/>
    <w:rsid w:val="00707A8F"/>
    <w:rsid w:val="00707B26"/>
    <w:rsid w:val="00707B8E"/>
    <w:rsid w:val="00707C40"/>
    <w:rsid w:val="00707C82"/>
    <w:rsid w:val="00707D07"/>
    <w:rsid w:val="00707DED"/>
    <w:rsid w:val="00710138"/>
    <w:rsid w:val="0071032A"/>
    <w:rsid w:val="00710515"/>
    <w:rsid w:val="007108A4"/>
    <w:rsid w:val="00710A54"/>
    <w:rsid w:val="00710C94"/>
    <w:rsid w:val="00710DAF"/>
    <w:rsid w:val="00710F72"/>
    <w:rsid w:val="0071102D"/>
    <w:rsid w:val="00711111"/>
    <w:rsid w:val="007111AF"/>
    <w:rsid w:val="0071140C"/>
    <w:rsid w:val="00711471"/>
    <w:rsid w:val="00711698"/>
    <w:rsid w:val="007117CE"/>
    <w:rsid w:val="007117D4"/>
    <w:rsid w:val="007117FE"/>
    <w:rsid w:val="00711BF7"/>
    <w:rsid w:val="00711C1F"/>
    <w:rsid w:val="00711CE9"/>
    <w:rsid w:val="00711E93"/>
    <w:rsid w:val="00711F79"/>
    <w:rsid w:val="00712086"/>
    <w:rsid w:val="0071238C"/>
    <w:rsid w:val="00712818"/>
    <w:rsid w:val="0071283F"/>
    <w:rsid w:val="00712A1E"/>
    <w:rsid w:val="00712ADA"/>
    <w:rsid w:val="00712B55"/>
    <w:rsid w:val="00712B77"/>
    <w:rsid w:val="00712B97"/>
    <w:rsid w:val="00712D5A"/>
    <w:rsid w:val="007132A2"/>
    <w:rsid w:val="007132EA"/>
    <w:rsid w:val="00713332"/>
    <w:rsid w:val="0071335D"/>
    <w:rsid w:val="007133EF"/>
    <w:rsid w:val="0071342B"/>
    <w:rsid w:val="007135A8"/>
    <w:rsid w:val="007139CF"/>
    <w:rsid w:val="00713A13"/>
    <w:rsid w:val="007140C0"/>
    <w:rsid w:val="0071449D"/>
    <w:rsid w:val="00714567"/>
    <w:rsid w:val="0071456F"/>
    <w:rsid w:val="00714644"/>
    <w:rsid w:val="007147AD"/>
    <w:rsid w:val="007148B6"/>
    <w:rsid w:val="007149D2"/>
    <w:rsid w:val="00714A0F"/>
    <w:rsid w:val="00714A84"/>
    <w:rsid w:val="00714BDE"/>
    <w:rsid w:val="00714D45"/>
    <w:rsid w:val="00714E59"/>
    <w:rsid w:val="00714F4F"/>
    <w:rsid w:val="007151DD"/>
    <w:rsid w:val="0071567F"/>
    <w:rsid w:val="00715FD0"/>
    <w:rsid w:val="00715FDA"/>
    <w:rsid w:val="0071690B"/>
    <w:rsid w:val="007169E4"/>
    <w:rsid w:val="00716A67"/>
    <w:rsid w:val="00716ABA"/>
    <w:rsid w:val="00716B1A"/>
    <w:rsid w:val="00716B9E"/>
    <w:rsid w:val="00716D5D"/>
    <w:rsid w:val="00716F0F"/>
    <w:rsid w:val="0071706E"/>
    <w:rsid w:val="007174D4"/>
    <w:rsid w:val="00717834"/>
    <w:rsid w:val="007178E7"/>
    <w:rsid w:val="00717D81"/>
    <w:rsid w:val="00717E88"/>
    <w:rsid w:val="007204C1"/>
    <w:rsid w:val="007204E6"/>
    <w:rsid w:val="00720572"/>
    <w:rsid w:val="00720637"/>
    <w:rsid w:val="00720773"/>
    <w:rsid w:val="0072089F"/>
    <w:rsid w:val="00720AFF"/>
    <w:rsid w:val="00720B54"/>
    <w:rsid w:val="00720C3E"/>
    <w:rsid w:val="007210E4"/>
    <w:rsid w:val="0072135F"/>
    <w:rsid w:val="007213D9"/>
    <w:rsid w:val="00721447"/>
    <w:rsid w:val="0072179A"/>
    <w:rsid w:val="00721808"/>
    <w:rsid w:val="0072187C"/>
    <w:rsid w:val="00721984"/>
    <w:rsid w:val="00721A34"/>
    <w:rsid w:val="00721B06"/>
    <w:rsid w:val="00721B2C"/>
    <w:rsid w:val="00721C91"/>
    <w:rsid w:val="00721EFA"/>
    <w:rsid w:val="0072214E"/>
    <w:rsid w:val="007222AD"/>
    <w:rsid w:val="00722344"/>
    <w:rsid w:val="007223DE"/>
    <w:rsid w:val="0072242D"/>
    <w:rsid w:val="007224A6"/>
    <w:rsid w:val="00722711"/>
    <w:rsid w:val="00722A4E"/>
    <w:rsid w:val="00722DCE"/>
    <w:rsid w:val="00722E23"/>
    <w:rsid w:val="00722EEC"/>
    <w:rsid w:val="00722EF5"/>
    <w:rsid w:val="0072305F"/>
    <w:rsid w:val="0072357E"/>
    <w:rsid w:val="00723585"/>
    <w:rsid w:val="00723630"/>
    <w:rsid w:val="007239B0"/>
    <w:rsid w:val="00723A97"/>
    <w:rsid w:val="0072407B"/>
    <w:rsid w:val="007240EE"/>
    <w:rsid w:val="007245E9"/>
    <w:rsid w:val="00724628"/>
    <w:rsid w:val="00724796"/>
    <w:rsid w:val="0072499E"/>
    <w:rsid w:val="00724A00"/>
    <w:rsid w:val="00724A64"/>
    <w:rsid w:val="00724C61"/>
    <w:rsid w:val="00724E00"/>
    <w:rsid w:val="00724E08"/>
    <w:rsid w:val="00724E7E"/>
    <w:rsid w:val="00724F71"/>
    <w:rsid w:val="007250EA"/>
    <w:rsid w:val="00725122"/>
    <w:rsid w:val="00725445"/>
    <w:rsid w:val="007254E4"/>
    <w:rsid w:val="007254FD"/>
    <w:rsid w:val="0072598D"/>
    <w:rsid w:val="007259C4"/>
    <w:rsid w:val="00725A7D"/>
    <w:rsid w:val="00725B8E"/>
    <w:rsid w:val="00725DB1"/>
    <w:rsid w:val="00725FDB"/>
    <w:rsid w:val="0072632E"/>
    <w:rsid w:val="007264E6"/>
    <w:rsid w:val="007265E0"/>
    <w:rsid w:val="007266EB"/>
    <w:rsid w:val="00726709"/>
    <w:rsid w:val="00726A6A"/>
    <w:rsid w:val="00726C53"/>
    <w:rsid w:val="00726CB4"/>
    <w:rsid w:val="00726FAF"/>
    <w:rsid w:val="00727169"/>
    <w:rsid w:val="007271AF"/>
    <w:rsid w:val="00727530"/>
    <w:rsid w:val="00727610"/>
    <w:rsid w:val="007276B1"/>
    <w:rsid w:val="0072795A"/>
    <w:rsid w:val="007279A7"/>
    <w:rsid w:val="007279AE"/>
    <w:rsid w:val="00727C9A"/>
    <w:rsid w:val="00727DC8"/>
    <w:rsid w:val="00727E00"/>
    <w:rsid w:val="0072BA78"/>
    <w:rsid w:val="007300B0"/>
    <w:rsid w:val="00730177"/>
    <w:rsid w:val="00730183"/>
    <w:rsid w:val="0073021B"/>
    <w:rsid w:val="0073021E"/>
    <w:rsid w:val="0073027A"/>
    <w:rsid w:val="00730367"/>
    <w:rsid w:val="00730795"/>
    <w:rsid w:val="0073094A"/>
    <w:rsid w:val="00730CDD"/>
    <w:rsid w:val="00731074"/>
    <w:rsid w:val="0073116E"/>
    <w:rsid w:val="00731441"/>
    <w:rsid w:val="00731463"/>
    <w:rsid w:val="007314AD"/>
    <w:rsid w:val="007314AE"/>
    <w:rsid w:val="00731702"/>
    <w:rsid w:val="0073180C"/>
    <w:rsid w:val="00731B67"/>
    <w:rsid w:val="00731D36"/>
    <w:rsid w:val="00731D6D"/>
    <w:rsid w:val="00731F0B"/>
    <w:rsid w:val="00731F16"/>
    <w:rsid w:val="00732126"/>
    <w:rsid w:val="00732170"/>
    <w:rsid w:val="00732285"/>
    <w:rsid w:val="0073279F"/>
    <w:rsid w:val="007328C7"/>
    <w:rsid w:val="007328F7"/>
    <w:rsid w:val="00732C40"/>
    <w:rsid w:val="007330AE"/>
    <w:rsid w:val="007330C8"/>
    <w:rsid w:val="007331B0"/>
    <w:rsid w:val="00733313"/>
    <w:rsid w:val="0073338E"/>
    <w:rsid w:val="007333A5"/>
    <w:rsid w:val="00733447"/>
    <w:rsid w:val="00733562"/>
    <w:rsid w:val="0073396B"/>
    <w:rsid w:val="00733A98"/>
    <w:rsid w:val="00733BD7"/>
    <w:rsid w:val="00733D9B"/>
    <w:rsid w:val="00733F9D"/>
    <w:rsid w:val="00734223"/>
    <w:rsid w:val="007342F5"/>
    <w:rsid w:val="00734725"/>
    <w:rsid w:val="00734A42"/>
    <w:rsid w:val="00734A7A"/>
    <w:rsid w:val="00734D2E"/>
    <w:rsid w:val="00734E2B"/>
    <w:rsid w:val="00734F97"/>
    <w:rsid w:val="007355F8"/>
    <w:rsid w:val="0073595D"/>
    <w:rsid w:val="00735C42"/>
    <w:rsid w:val="00735CAC"/>
    <w:rsid w:val="00735CEE"/>
    <w:rsid w:val="00735E2E"/>
    <w:rsid w:val="00735E5F"/>
    <w:rsid w:val="007361D6"/>
    <w:rsid w:val="00736263"/>
    <w:rsid w:val="007363F3"/>
    <w:rsid w:val="007364F4"/>
    <w:rsid w:val="007365EF"/>
    <w:rsid w:val="007368A2"/>
    <w:rsid w:val="00736C1D"/>
    <w:rsid w:val="00736ED7"/>
    <w:rsid w:val="00736F59"/>
    <w:rsid w:val="007370BE"/>
    <w:rsid w:val="0073722D"/>
    <w:rsid w:val="00737389"/>
    <w:rsid w:val="0073757E"/>
    <w:rsid w:val="0073765F"/>
    <w:rsid w:val="0073780B"/>
    <w:rsid w:val="00737C39"/>
    <w:rsid w:val="007402EB"/>
    <w:rsid w:val="00740351"/>
    <w:rsid w:val="00740362"/>
    <w:rsid w:val="00740461"/>
    <w:rsid w:val="00740541"/>
    <w:rsid w:val="00740766"/>
    <w:rsid w:val="00740900"/>
    <w:rsid w:val="00740920"/>
    <w:rsid w:val="00740C58"/>
    <w:rsid w:val="00740DBF"/>
    <w:rsid w:val="0074112B"/>
    <w:rsid w:val="007411A3"/>
    <w:rsid w:val="007414FC"/>
    <w:rsid w:val="0074193C"/>
    <w:rsid w:val="00741986"/>
    <w:rsid w:val="007419B5"/>
    <w:rsid w:val="00741B78"/>
    <w:rsid w:val="00741BA3"/>
    <w:rsid w:val="00741D80"/>
    <w:rsid w:val="00741F35"/>
    <w:rsid w:val="00741F67"/>
    <w:rsid w:val="00742029"/>
    <w:rsid w:val="00742098"/>
    <w:rsid w:val="007425DC"/>
    <w:rsid w:val="0074271A"/>
    <w:rsid w:val="007428B4"/>
    <w:rsid w:val="0074296C"/>
    <w:rsid w:val="00742C40"/>
    <w:rsid w:val="00742D3E"/>
    <w:rsid w:val="00742DCC"/>
    <w:rsid w:val="00742F8F"/>
    <w:rsid w:val="00743024"/>
    <w:rsid w:val="0074346A"/>
    <w:rsid w:val="00743742"/>
    <w:rsid w:val="00743756"/>
    <w:rsid w:val="007437C0"/>
    <w:rsid w:val="007437F8"/>
    <w:rsid w:val="00743966"/>
    <w:rsid w:val="007439B3"/>
    <w:rsid w:val="00743D2C"/>
    <w:rsid w:val="00743DE2"/>
    <w:rsid w:val="00743ED4"/>
    <w:rsid w:val="00743FCD"/>
    <w:rsid w:val="00744135"/>
    <w:rsid w:val="007442C6"/>
    <w:rsid w:val="0074432A"/>
    <w:rsid w:val="00744338"/>
    <w:rsid w:val="00744347"/>
    <w:rsid w:val="0074436B"/>
    <w:rsid w:val="00744379"/>
    <w:rsid w:val="007446BC"/>
    <w:rsid w:val="0074474D"/>
    <w:rsid w:val="007449CB"/>
    <w:rsid w:val="00744C67"/>
    <w:rsid w:val="007450CF"/>
    <w:rsid w:val="007452F6"/>
    <w:rsid w:val="00745397"/>
    <w:rsid w:val="007454B9"/>
    <w:rsid w:val="0074556B"/>
    <w:rsid w:val="00745652"/>
    <w:rsid w:val="00745836"/>
    <w:rsid w:val="00745AA2"/>
    <w:rsid w:val="00745C94"/>
    <w:rsid w:val="00745CC3"/>
    <w:rsid w:val="00745D58"/>
    <w:rsid w:val="00745E00"/>
    <w:rsid w:val="00745ECE"/>
    <w:rsid w:val="0074616D"/>
    <w:rsid w:val="0074617F"/>
    <w:rsid w:val="007461E0"/>
    <w:rsid w:val="00746297"/>
    <w:rsid w:val="007464BA"/>
    <w:rsid w:val="007468B0"/>
    <w:rsid w:val="007468C9"/>
    <w:rsid w:val="00746984"/>
    <w:rsid w:val="00746988"/>
    <w:rsid w:val="00746A69"/>
    <w:rsid w:val="00746B93"/>
    <w:rsid w:val="00746C34"/>
    <w:rsid w:val="00746C63"/>
    <w:rsid w:val="00746CBB"/>
    <w:rsid w:val="00746CEF"/>
    <w:rsid w:val="00746D52"/>
    <w:rsid w:val="00747033"/>
    <w:rsid w:val="00747080"/>
    <w:rsid w:val="007470FF"/>
    <w:rsid w:val="007471B4"/>
    <w:rsid w:val="007471B6"/>
    <w:rsid w:val="007475FB"/>
    <w:rsid w:val="00747B0C"/>
    <w:rsid w:val="00747BF9"/>
    <w:rsid w:val="00747D86"/>
    <w:rsid w:val="00750091"/>
    <w:rsid w:val="0075010A"/>
    <w:rsid w:val="007501BB"/>
    <w:rsid w:val="007502AA"/>
    <w:rsid w:val="007505F3"/>
    <w:rsid w:val="00750754"/>
    <w:rsid w:val="00750C26"/>
    <w:rsid w:val="00750D96"/>
    <w:rsid w:val="00750E66"/>
    <w:rsid w:val="00751166"/>
    <w:rsid w:val="007511F0"/>
    <w:rsid w:val="007512FD"/>
    <w:rsid w:val="0075159C"/>
    <w:rsid w:val="00751620"/>
    <w:rsid w:val="0075168D"/>
    <w:rsid w:val="007516B1"/>
    <w:rsid w:val="007517BF"/>
    <w:rsid w:val="00751808"/>
    <w:rsid w:val="00751A77"/>
    <w:rsid w:val="00751CA4"/>
    <w:rsid w:val="00751E1D"/>
    <w:rsid w:val="0075219D"/>
    <w:rsid w:val="00752394"/>
    <w:rsid w:val="00752514"/>
    <w:rsid w:val="007525A2"/>
    <w:rsid w:val="00752696"/>
    <w:rsid w:val="00752761"/>
    <w:rsid w:val="00752A6E"/>
    <w:rsid w:val="00752E62"/>
    <w:rsid w:val="007532A0"/>
    <w:rsid w:val="0075348D"/>
    <w:rsid w:val="0075369E"/>
    <w:rsid w:val="007538F3"/>
    <w:rsid w:val="00753B89"/>
    <w:rsid w:val="00753BC0"/>
    <w:rsid w:val="00753CD6"/>
    <w:rsid w:val="00753F4C"/>
    <w:rsid w:val="0075429F"/>
    <w:rsid w:val="00754384"/>
    <w:rsid w:val="00754465"/>
    <w:rsid w:val="007544AF"/>
    <w:rsid w:val="007548A7"/>
    <w:rsid w:val="00754970"/>
    <w:rsid w:val="007549C8"/>
    <w:rsid w:val="00754AE2"/>
    <w:rsid w:val="00754B71"/>
    <w:rsid w:val="00754C53"/>
    <w:rsid w:val="007553FE"/>
    <w:rsid w:val="00755951"/>
    <w:rsid w:val="007559A6"/>
    <w:rsid w:val="00755D8D"/>
    <w:rsid w:val="00755E42"/>
    <w:rsid w:val="00755EE2"/>
    <w:rsid w:val="007562D4"/>
    <w:rsid w:val="007562FC"/>
    <w:rsid w:val="00756474"/>
    <w:rsid w:val="00756629"/>
    <w:rsid w:val="00756644"/>
    <w:rsid w:val="00756660"/>
    <w:rsid w:val="0075697F"/>
    <w:rsid w:val="00756999"/>
    <w:rsid w:val="00756B3A"/>
    <w:rsid w:val="00756F44"/>
    <w:rsid w:val="00756FA8"/>
    <w:rsid w:val="0075716F"/>
    <w:rsid w:val="007573B5"/>
    <w:rsid w:val="00757614"/>
    <w:rsid w:val="007576E2"/>
    <w:rsid w:val="007577E9"/>
    <w:rsid w:val="00757883"/>
    <w:rsid w:val="00757957"/>
    <w:rsid w:val="00757CF8"/>
    <w:rsid w:val="00757E60"/>
    <w:rsid w:val="00760237"/>
    <w:rsid w:val="00760247"/>
    <w:rsid w:val="00760248"/>
    <w:rsid w:val="00760458"/>
    <w:rsid w:val="00760535"/>
    <w:rsid w:val="00760638"/>
    <w:rsid w:val="007606AE"/>
    <w:rsid w:val="00760877"/>
    <w:rsid w:val="00760890"/>
    <w:rsid w:val="007608FB"/>
    <w:rsid w:val="007609CD"/>
    <w:rsid w:val="00760B84"/>
    <w:rsid w:val="00760C73"/>
    <w:rsid w:val="00760C9E"/>
    <w:rsid w:val="00760E12"/>
    <w:rsid w:val="00760FB0"/>
    <w:rsid w:val="00761038"/>
    <w:rsid w:val="0076129E"/>
    <w:rsid w:val="007614AA"/>
    <w:rsid w:val="0076162D"/>
    <w:rsid w:val="00761733"/>
    <w:rsid w:val="00761AF1"/>
    <w:rsid w:val="00761C73"/>
    <w:rsid w:val="00761C7E"/>
    <w:rsid w:val="00761DDE"/>
    <w:rsid w:val="00761FCF"/>
    <w:rsid w:val="0076217C"/>
    <w:rsid w:val="00762296"/>
    <w:rsid w:val="007626EB"/>
    <w:rsid w:val="007628B0"/>
    <w:rsid w:val="007629BE"/>
    <w:rsid w:val="00762A29"/>
    <w:rsid w:val="00762B37"/>
    <w:rsid w:val="00762B40"/>
    <w:rsid w:val="00762B82"/>
    <w:rsid w:val="00762B90"/>
    <w:rsid w:val="00762C69"/>
    <w:rsid w:val="00762CDB"/>
    <w:rsid w:val="00762D3A"/>
    <w:rsid w:val="00762F3A"/>
    <w:rsid w:val="00763491"/>
    <w:rsid w:val="00763715"/>
    <w:rsid w:val="00763757"/>
    <w:rsid w:val="0076377C"/>
    <w:rsid w:val="00763888"/>
    <w:rsid w:val="0076392A"/>
    <w:rsid w:val="00763F10"/>
    <w:rsid w:val="007640CD"/>
    <w:rsid w:val="0076415E"/>
    <w:rsid w:val="007647C1"/>
    <w:rsid w:val="0076495E"/>
    <w:rsid w:val="007649C5"/>
    <w:rsid w:val="00764A01"/>
    <w:rsid w:val="00764B35"/>
    <w:rsid w:val="00764BA4"/>
    <w:rsid w:val="00764C11"/>
    <w:rsid w:val="00764D1F"/>
    <w:rsid w:val="00764D53"/>
    <w:rsid w:val="00764D62"/>
    <w:rsid w:val="00764D6A"/>
    <w:rsid w:val="00764ED8"/>
    <w:rsid w:val="00765005"/>
    <w:rsid w:val="00765018"/>
    <w:rsid w:val="00765140"/>
    <w:rsid w:val="0076549D"/>
    <w:rsid w:val="00765573"/>
    <w:rsid w:val="00765848"/>
    <w:rsid w:val="00765948"/>
    <w:rsid w:val="00765D2A"/>
    <w:rsid w:val="00765F5E"/>
    <w:rsid w:val="00765FED"/>
    <w:rsid w:val="0076608B"/>
    <w:rsid w:val="007660FE"/>
    <w:rsid w:val="00766310"/>
    <w:rsid w:val="00766490"/>
    <w:rsid w:val="007664A5"/>
    <w:rsid w:val="007664A9"/>
    <w:rsid w:val="007664FA"/>
    <w:rsid w:val="0076659A"/>
    <w:rsid w:val="00766611"/>
    <w:rsid w:val="007667A1"/>
    <w:rsid w:val="0076683E"/>
    <w:rsid w:val="0076685E"/>
    <w:rsid w:val="00766876"/>
    <w:rsid w:val="00766883"/>
    <w:rsid w:val="00766C37"/>
    <w:rsid w:val="00766EED"/>
    <w:rsid w:val="00766FCC"/>
    <w:rsid w:val="007670A9"/>
    <w:rsid w:val="0076734D"/>
    <w:rsid w:val="00767409"/>
    <w:rsid w:val="007676F1"/>
    <w:rsid w:val="007676FB"/>
    <w:rsid w:val="00767740"/>
    <w:rsid w:val="00767C7C"/>
    <w:rsid w:val="00767D54"/>
    <w:rsid w:val="007700CD"/>
    <w:rsid w:val="007704DE"/>
    <w:rsid w:val="00770BDF"/>
    <w:rsid w:val="00770C10"/>
    <w:rsid w:val="00770C15"/>
    <w:rsid w:val="00770FF5"/>
    <w:rsid w:val="007710DD"/>
    <w:rsid w:val="007711AC"/>
    <w:rsid w:val="007711B6"/>
    <w:rsid w:val="00771203"/>
    <w:rsid w:val="0077138D"/>
    <w:rsid w:val="0077157D"/>
    <w:rsid w:val="00771678"/>
    <w:rsid w:val="00771746"/>
    <w:rsid w:val="0077198E"/>
    <w:rsid w:val="00771CE4"/>
    <w:rsid w:val="00771EFE"/>
    <w:rsid w:val="007723E9"/>
    <w:rsid w:val="00772636"/>
    <w:rsid w:val="007729B8"/>
    <w:rsid w:val="00772A9C"/>
    <w:rsid w:val="00772B4B"/>
    <w:rsid w:val="00772B73"/>
    <w:rsid w:val="00772F87"/>
    <w:rsid w:val="00773056"/>
    <w:rsid w:val="00773328"/>
    <w:rsid w:val="00773749"/>
    <w:rsid w:val="00773AE7"/>
    <w:rsid w:val="00773C23"/>
    <w:rsid w:val="00773D99"/>
    <w:rsid w:val="00773FFE"/>
    <w:rsid w:val="0077408F"/>
    <w:rsid w:val="007740F7"/>
    <w:rsid w:val="00774128"/>
    <w:rsid w:val="0077412C"/>
    <w:rsid w:val="0077422F"/>
    <w:rsid w:val="007743AF"/>
    <w:rsid w:val="007743EF"/>
    <w:rsid w:val="00774463"/>
    <w:rsid w:val="007744EC"/>
    <w:rsid w:val="00774520"/>
    <w:rsid w:val="0077463D"/>
    <w:rsid w:val="007746C2"/>
    <w:rsid w:val="0077486B"/>
    <w:rsid w:val="0077487D"/>
    <w:rsid w:val="0077488A"/>
    <w:rsid w:val="00774B1A"/>
    <w:rsid w:val="00774D15"/>
    <w:rsid w:val="00775095"/>
    <w:rsid w:val="00775219"/>
    <w:rsid w:val="00775271"/>
    <w:rsid w:val="00775339"/>
    <w:rsid w:val="00775905"/>
    <w:rsid w:val="00775AA4"/>
    <w:rsid w:val="00775CEE"/>
    <w:rsid w:val="00775CF5"/>
    <w:rsid w:val="0077606E"/>
    <w:rsid w:val="007761D6"/>
    <w:rsid w:val="0077649E"/>
    <w:rsid w:val="0077652D"/>
    <w:rsid w:val="007765EF"/>
    <w:rsid w:val="0077673B"/>
    <w:rsid w:val="00776777"/>
    <w:rsid w:val="0077692F"/>
    <w:rsid w:val="00776CA4"/>
    <w:rsid w:val="00776D0F"/>
    <w:rsid w:val="007770EB"/>
    <w:rsid w:val="0077737E"/>
    <w:rsid w:val="0077738D"/>
    <w:rsid w:val="007779A8"/>
    <w:rsid w:val="007779BA"/>
    <w:rsid w:val="00777A7A"/>
    <w:rsid w:val="00777AC3"/>
    <w:rsid w:val="00777ADE"/>
    <w:rsid w:val="00777DCA"/>
    <w:rsid w:val="00780033"/>
    <w:rsid w:val="0078016D"/>
    <w:rsid w:val="007801DB"/>
    <w:rsid w:val="00780422"/>
    <w:rsid w:val="00780778"/>
    <w:rsid w:val="007807FA"/>
    <w:rsid w:val="0078084E"/>
    <w:rsid w:val="00780886"/>
    <w:rsid w:val="007809DC"/>
    <w:rsid w:val="00780A14"/>
    <w:rsid w:val="00780D35"/>
    <w:rsid w:val="00780DAF"/>
    <w:rsid w:val="00780EDD"/>
    <w:rsid w:val="00780FA5"/>
    <w:rsid w:val="00781257"/>
    <w:rsid w:val="007817EF"/>
    <w:rsid w:val="00781835"/>
    <w:rsid w:val="00781937"/>
    <w:rsid w:val="00781D52"/>
    <w:rsid w:val="00781F89"/>
    <w:rsid w:val="007821C3"/>
    <w:rsid w:val="007821CC"/>
    <w:rsid w:val="00782436"/>
    <w:rsid w:val="0078244A"/>
    <w:rsid w:val="00782458"/>
    <w:rsid w:val="00782484"/>
    <w:rsid w:val="007825A8"/>
    <w:rsid w:val="00782887"/>
    <w:rsid w:val="007828D3"/>
    <w:rsid w:val="00782AC8"/>
    <w:rsid w:val="00782BAE"/>
    <w:rsid w:val="00782D63"/>
    <w:rsid w:val="00782E9D"/>
    <w:rsid w:val="00782F86"/>
    <w:rsid w:val="007830D0"/>
    <w:rsid w:val="00783707"/>
    <w:rsid w:val="00783731"/>
    <w:rsid w:val="00783867"/>
    <w:rsid w:val="007838C4"/>
    <w:rsid w:val="007839D8"/>
    <w:rsid w:val="00783D63"/>
    <w:rsid w:val="00783F3C"/>
    <w:rsid w:val="007848FA"/>
    <w:rsid w:val="0078496A"/>
    <w:rsid w:val="00784A64"/>
    <w:rsid w:val="00784C74"/>
    <w:rsid w:val="00784E94"/>
    <w:rsid w:val="00784EAE"/>
    <w:rsid w:val="00784F7C"/>
    <w:rsid w:val="00785026"/>
    <w:rsid w:val="007850A1"/>
    <w:rsid w:val="00785122"/>
    <w:rsid w:val="007851A2"/>
    <w:rsid w:val="00785229"/>
    <w:rsid w:val="0078526A"/>
    <w:rsid w:val="00785349"/>
    <w:rsid w:val="00785480"/>
    <w:rsid w:val="007854E9"/>
    <w:rsid w:val="00785509"/>
    <w:rsid w:val="00785582"/>
    <w:rsid w:val="00785950"/>
    <w:rsid w:val="00785AAA"/>
    <w:rsid w:val="00785B3C"/>
    <w:rsid w:val="00785CD1"/>
    <w:rsid w:val="00785E9A"/>
    <w:rsid w:val="00785F23"/>
    <w:rsid w:val="0078618F"/>
    <w:rsid w:val="00786296"/>
    <w:rsid w:val="0078639B"/>
    <w:rsid w:val="00786404"/>
    <w:rsid w:val="0078661E"/>
    <w:rsid w:val="007866DA"/>
    <w:rsid w:val="00786B1E"/>
    <w:rsid w:val="00786CF1"/>
    <w:rsid w:val="00786D16"/>
    <w:rsid w:val="00787178"/>
    <w:rsid w:val="007873E2"/>
    <w:rsid w:val="007876C5"/>
    <w:rsid w:val="00787C3F"/>
    <w:rsid w:val="00787D1C"/>
    <w:rsid w:val="00787E6F"/>
    <w:rsid w:val="00790213"/>
    <w:rsid w:val="0079036D"/>
    <w:rsid w:val="007903A9"/>
    <w:rsid w:val="007904DB"/>
    <w:rsid w:val="007904E0"/>
    <w:rsid w:val="007906E9"/>
    <w:rsid w:val="007906F6"/>
    <w:rsid w:val="00790752"/>
    <w:rsid w:val="00790BBA"/>
    <w:rsid w:val="00791437"/>
    <w:rsid w:val="00791843"/>
    <w:rsid w:val="007918AF"/>
    <w:rsid w:val="00791AE2"/>
    <w:rsid w:val="00791AFD"/>
    <w:rsid w:val="00791B62"/>
    <w:rsid w:val="0079219F"/>
    <w:rsid w:val="007921EE"/>
    <w:rsid w:val="007924D6"/>
    <w:rsid w:val="007924F8"/>
    <w:rsid w:val="007925F2"/>
    <w:rsid w:val="00792655"/>
    <w:rsid w:val="00792B93"/>
    <w:rsid w:val="00792CC8"/>
    <w:rsid w:val="00792D9C"/>
    <w:rsid w:val="00792ED5"/>
    <w:rsid w:val="007932E3"/>
    <w:rsid w:val="007937E6"/>
    <w:rsid w:val="0079390A"/>
    <w:rsid w:val="00793B46"/>
    <w:rsid w:val="00793D23"/>
    <w:rsid w:val="00793DE7"/>
    <w:rsid w:val="00793F5B"/>
    <w:rsid w:val="0079434B"/>
    <w:rsid w:val="0079436A"/>
    <w:rsid w:val="007946FE"/>
    <w:rsid w:val="007947C4"/>
    <w:rsid w:val="007949A2"/>
    <w:rsid w:val="00794ABF"/>
    <w:rsid w:val="00794EAA"/>
    <w:rsid w:val="00795117"/>
    <w:rsid w:val="007951CC"/>
    <w:rsid w:val="00795385"/>
    <w:rsid w:val="007956CD"/>
    <w:rsid w:val="00795862"/>
    <w:rsid w:val="007958FC"/>
    <w:rsid w:val="00795A57"/>
    <w:rsid w:val="00795A88"/>
    <w:rsid w:val="00795C92"/>
    <w:rsid w:val="007963E5"/>
    <w:rsid w:val="007964AC"/>
    <w:rsid w:val="00796585"/>
    <w:rsid w:val="0079694F"/>
    <w:rsid w:val="00796A08"/>
    <w:rsid w:val="00796A69"/>
    <w:rsid w:val="00796B44"/>
    <w:rsid w:val="00796CEB"/>
    <w:rsid w:val="007972E9"/>
    <w:rsid w:val="0079734F"/>
    <w:rsid w:val="0079739D"/>
    <w:rsid w:val="0079754A"/>
    <w:rsid w:val="00797566"/>
    <w:rsid w:val="007979CC"/>
    <w:rsid w:val="00797A10"/>
    <w:rsid w:val="00797ACA"/>
    <w:rsid w:val="00797C82"/>
    <w:rsid w:val="00797F08"/>
    <w:rsid w:val="00797FAF"/>
    <w:rsid w:val="007A011C"/>
    <w:rsid w:val="007A0278"/>
    <w:rsid w:val="007A03FE"/>
    <w:rsid w:val="007A045D"/>
    <w:rsid w:val="007A047B"/>
    <w:rsid w:val="007A047F"/>
    <w:rsid w:val="007A05A5"/>
    <w:rsid w:val="007A06A9"/>
    <w:rsid w:val="007A07D8"/>
    <w:rsid w:val="007A07F9"/>
    <w:rsid w:val="007A0822"/>
    <w:rsid w:val="007A08A5"/>
    <w:rsid w:val="007A0CE9"/>
    <w:rsid w:val="007A0E0A"/>
    <w:rsid w:val="007A0FC5"/>
    <w:rsid w:val="007A0FD8"/>
    <w:rsid w:val="007A114A"/>
    <w:rsid w:val="007A1367"/>
    <w:rsid w:val="007A13A3"/>
    <w:rsid w:val="007A19F4"/>
    <w:rsid w:val="007A1A1C"/>
    <w:rsid w:val="007A1B60"/>
    <w:rsid w:val="007A1DB0"/>
    <w:rsid w:val="007A1F31"/>
    <w:rsid w:val="007A233A"/>
    <w:rsid w:val="007A2387"/>
    <w:rsid w:val="007A2647"/>
    <w:rsid w:val="007A2736"/>
    <w:rsid w:val="007A2792"/>
    <w:rsid w:val="007A289E"/>
    <w:rsid w:val="007A2936"/>
    <w:rsid w:val="007A2AD4"/>
    <w:rsid w:val="007A2BA2"/>
    <w:rsid w:val="007A2EC5"/>
    <w:rsid w:val="007A303F"/>
    <w:rsid w:val="007A3282"/>
    <w:rsid w:val="007A3335"/>
    <w:rsid w:val="007A3421"/>
    <w:rsid w:val="007A3486"/>
    <w:rsid w:val="007A3494"/>
    <w:rsid w:val="007A34FF"/>
    <w:rsid w:val="007A3617"/>
    <w:rsid w:val="007A387E"/>
    <w:rsid w:val="007A3893"/>
    <w:rsid w:val="007A3AB8"/>
    <w:rsid w:val="007A3BC2"/>
    <w:rsid w:val="007A3D04"/>
    <w:rsid w:val="007A3F44"/>
    <w:rsid w:val="007A3F94"/>
    <w:rsid w:val="007A4082"/>
    <w:rsid w:val="007A4161"/>
    <w:rsid w:val="007A429E"/>
    <w:rsid w:val="007A43D9"/>
    <w:rsid w:val="007A44CF"/>
    <w:rsid w:val="007A483B"/>
    <w:rsid w:val="007A4903"/>
    <w:rsid w:val="007A4904"/>
    <w:rsid w:val="007A495B"/>
    <w:rsid w:val="007A4AA5"/>
    <w:rsid w:val="007A4B60"/>
    <w:rsid w:val="007A4B94"/>
    <w:rsid w:val="007A4BAD"/>
    <w:rsid w:val="007A4D46"/>
    <w:rsid w:val="007A4DB3"/>
    <w:rsid w:val="007A4E3E"/>
    <w:rsid w:val="007A4EFD"/>
    <w:rsid w:val="007A50CC"/>
    <w:rsid w:val="007A559D"/>
    <w:rsid w:val="007A5665"/>
    <w:rsid w:val="007A5744"/>
    <w:rsid w:val="007A5914"/>
    <w:rsid w:val="007A593F"/>
    <w:rsid w:val="007A5971"/>
    <w:rsid w:val="007A5AE4"/>
    <w:rsid w:val="007A5D10"/>
    <w:rsid w:val="007A5E37"/>
    <w:rsid w:val="007A5FC3"/>
    <w:rsid w:val="007A610C"/>
    <w:rsid w:val="007A61D5"/>
    <w:rsid w:val="007A627D"/>
    <w:rsid w:val="007A6515"/>
    <w:rsid w:val="007A6623"/>
    <w:rsid w:val="007A6834"/>
    <w:rsid w:val="007A6A3E"/>
    <w:rsid w:val="007A6EDE"/>
    <w:rsid w:val="007A713B"/>
    <w:rsid w:val="007A733C"/>
    <w:rsid w:val="007A7376"/>
    <w:rsid w:val="007A7534"/>
    <w:rsid w:val="007A762E"/>
    <w:rsid w:val="007A7790"/>
    <w:rsid w:val="007A77EA"/>
    <w:rsid w:val="007A7E87"/>
    <w:rsid w:val="007A7EA1"/>
    <w:rsid w:val="007A7EFB"/>
    <w:rsid w:val="007A7F8F"/>
    <w:rsid w:val="007B0550"/>
    <w:rsid w:val="007B081C"/>
    <w:rsid w:val="007B0B1D"/>
    <w:rsid w:val="007B0BCC"/>
    <w:rsid w:val="007B0C86"/>
    <w:rsid w:val="007B11B5"/>
    <w:rsid w:val="007B13A1"/>
    <w:rsid w:val="007B1647"/>
    <w:rsid w:val="007B1870"/>
    <w:rsid w:val="007B1989"/>
    <w:rsid w:val="007B19EA"/>
    <w:rsid w:val="007B1B5B"/>
    <w:rsid w:val="007B1C02"/>
    <w:rsid w:val="007B1EB1"/>
    <w:rsid w:val="007B1EB5"/>
    <w:rsid w:val="007B1F2E"/>
    <w:rsid w:val="007B2062"/>
    <w:rsid w:val="007B23AC"/>
    <w:rsid w:val="007B24E0"/>
    <w:rsid w:val="007B2664"/>
    <w:rsid w:val="007B2923"/>
    <w:rsid w:val="007B29A6"/>
    <w:rsid w:val="007B2ABD"/>
    <w:rsid w:val="007B2B71"/>
    <w:rsid w:val="007B2B76"/>
    <w:rsid w:val="007B2CB0"/>
    <w:rsid w:val="007B2F44"/>
    <w:rsid w:val="007B309E"/>
    <w:rsid w:val="007B3264"/>
    <w:rsid w:val="007B3424"/>
    <w:rsid w:val="007B345C"/>
    <w:rsid w:val="007B365A"/>
    <w:rsid w:val="007B379B"/>
    <w:rsid w:val="007B3D94"/>
    <w:rsid w:val="007B3F1D"/>
    <w:rsid w:val="007B445B"/>
    <w:rsid w:val="007B449F"/>
    <w:rsid w:val="007B462C"/>
    <w:rsid w:val="007B473B"/>
    <w:rsid w:val="007B4998"/>
    <w:rsid w:val="007B49FA"/>
    <w:rsid w:val="007B4A4B"/>
    <w:rsid w:val="007B4A58"/>
    <w:rsid w:val="007B4AB3"/>
    <w:rsid w:val="007B4B89"/>
    <w:rsid w:val="007B4D90"/>
    <w:rsid w:val="007B5301"/>
    <w:rsid w:val="007B55DD"/>
    <w:rsid w:val="007B56C9"/>
    <w:rsid w:val="007B5924"/>
    <w:rsid w:val="007B5CC9"/>
    <w:rsid w:val="007B5ED1"/>
    <w:rsid w:val="007B5F78"/>
    <w:rsid w:val="007B60D6"/>
    <w:rsid w:val="007B62D1"/>
    <w:rsid w:val="007B6432"/>
    <w:rsid w:val="007B6457"/>
    <w:rsid w:val="007B695F"/>
    <w:rsid w:val="007B6D21"/>
    <w:rsid w:val="007B6E1E"/>
    <w:rsid w:val="007B6EEA"/>
    <w:rsid w:val="007B6F2C"/>
    <w:rsid w:val="007B7020"/>
    <w:rsid w:val="007B7237"/>
    <w:rsid w:val="007B7312"/>
    <w:rsid w:val="007B731E"/>
    <w:rsid w:val="007B745B"/>
    <w:rsid w:val="007B7676"/>
    <w:rsid w:val="007B76E5"/>
    <w:rsid w:val="007B76EF"/>
    <w:rsid w:val="007B7824"/>
    <w:rsid w:val="007B7847"/>
    <w:rsid w:val="007B79E6"/>
    <w:rsid w:val="007B7AEA"/>
    <w:rsid w:val="007B7FC8"/>
    <w:rsid w:val="007C006B"/>
    <w:rsid w:val="007C01DB"/>
    <w:rsid w:val="007C05DF"/>
    <w:rsid w:val="007C0781"/>
    <w:rsid w:val="007C0EFA"/>
    <w:rsid w:val="007C1299"/>
    <w:rsid w:val="007C1437"/>
    <w:rsid w:val="007C185E"/>
    <w:rsid w:val="007C1898"/>
    <w:rsid w:val="007C1A2D"/>
    <w:rsid w:val="007C1AB2"/>
    <w:rsid w:val="007C1BD8"/>
    <w:rsid w:val="007C1D5D"/>
    <w:rsid w:val="007C2031"/>
    <w:rsid w:val="007C24CC"/>
    <w:rsid w:val="007C25AF"/>
    <w:rsid w:val="007C25E8"/>
    <w:rsid w:val="007C2700"/>
    <w:rsid w:val="007C271D"/>
    <w:rsid w:val="007C2987"/>
    <w:rsid w:val="007C2CA6"/>
    <w:rsid w:val="007C2CDA"/>
    <w:rsid w:val="007C2DBF"/>
    <w:rsid w:val="007C3069"/>
    <w:rsid w:val="007C31B1"/>
    <w:rsid w:val="007C327F"/>
    <w:rsid w:val="007C33D9"/>
    <w:rsid w:val="007C344C"/>
    <w:rsid w:val="007C358A"/>
    <w:rsid w:val="007C3670"/>
    <w:rsid w:val="007C368E"/>
    <w:rsid w:val="007C3816"/>
    <w:rsid w:val="007C38C3"/>
    <w:rsid w:val="007C39FD"/>
    <w:rsid w:val="007C3A50"/>
    <w:rsid w:val="007C3BA9"/>
    <w:rsid w:val="007C3CDC"/>
    <w:rsid w:val="007C45E5"/>
    <w:rsid w:val="007C460F"/>
    <w:rsid w:val="007C463D"/>
    <w:rsid w:val="007C4A71"/>
    <w:rsid w:val="007C4AFC"/>
    <w:rsid w:val="007C4B6C"/>
    <w:rsid w:val="007C4ED1"/>
    <w:rsid w:val="007C4F81"/>
    <w:rsid w:val="007C5162"/>
    <w:rsid w:val="007C5327"/>
    <w:rsid w:val="007C556B"/>
    <w:rsid w:val="007C5687"/>
    <w:rsid w:val="007C5AD2"/>
    <w:rsid w:val="007C5B3B"/>
    <w:rsid w:val="007C612E"/>
    <w:rsid w:val="007C6186"/>
    <w:rsid w:val="007C622F"/>
    <w:rsid w:val="007C62A5"/>
    <w:rsid w:val="007C642C"/>
    <w:rsid w:val="007C65AD"/>
    <w:rsid w:val="007C65DF"/>
    <w:rsid w:val="007C675C"/>
    <w:rsid w:val="007C6811"/>
    <w:rsid w:val="007C6874"/>
    <w:rsid w:val="007C68D0"/>
    <w:rsid w:val="007C6AB3"/>
    <w:rsid w:val="007C6AFC"/>
    <w:rsid w:val="007C6B9D"/>
    <w:rsid w:val="007C6CC4"/>
    <w:rsid w:val="007C71A5"/>
    <w:rsid w:val="007C7327"/>
    <w:rsid w:val="007C7552"/>
    <w:rsid w:val="007C75CD"/>
    <w:rsid w:val="007C7745"/>
    <w:rsid w:val="007C7778"/>
    <w:rsid w:val="007C77A2"/>
    <w:rsid w:val="007C7A00"/>
    <w:rsid w:val="007C7C59"/>
    <w:rsid w:val="007C7D00"/>
    <w:rsid w:val="007C7D38"/>
    <w:rsid w:val="007C7F72"/>
    <w:rsid w:val="007D028E"/>
    <w:rsid w:val="007D0341"/>
    <w:rsid w:val="007D04CC"/>
    <w:rsid w:val="007D05ED"/>
    <w:rsid w:val="007D0884"/>
    <w:rsid w:val="007D0DDE"/>
    <w:rsid w:val="007D0E32"/>
    <w:rsid w:val="007D0ED3"/>
    <w:rsid w:val="007D0FF8"/>
    <w:rsid w:val="007D12AC"/>
    <w:rsid w:val="007D1451"/>
    <w:rsid w:val="007D1471"/>
    <w:rsid w:val="007D14F2"/>
    <w:rsid w:val="007D15D8"/>
    <w:rsid w:val="007D1932"/>
    <w:rsid w:val="007D1CFC"/>
    <w:rsid w:val="007D1E52"/>
    <w:rsid w:val="007D1EA8"/>
    <w:rsid w:val="007D21FE"/>
    <w:rsid w:val="007D2456"/>
    <w:rsid w:val="007D2475"/>
    <w:rsid w:val="007D2540"/>
    <w:rsid w:val="007D285D"/>
    <w:rsid w:val="007D2895"/>
    <w:rsid w:val="007D2C82"/>
    <w:rsid w:val="007D2EAD"/>
    <w:rsid w:val="007D2EC2"/>
    <w:rsid w:val="007D346C"/>
    <w:rsid w:val="007D393F"/>
    <w:rsid w:val="007D3A94"/>
    <w:rsid w:val="007D4197"/>
    <w:rsid w:val="007D41F1"/>
    <w:rsid w:val="007D41FF"/>
    <w:rsid w:val="007D428C"/>
    <w:rsid w:val="007D4352"/>
    <w:rsid w:val="007D4548"/>
    <w:rsid w:val="007D45E5"/>
    <w:rsid w:val="007D45FC"/>
    <w:rsid w:val="007D469A"/>
    <w:rsid w:val="007D47B6"/>
    <w:rsid w:val="007D4923"/>
    <w:rsid w:val="007D497A"/>
    <w:rsid w:val="007D4AB8"/>
    <w:rsid w:val="007D4AF6"/>
    <w:rsid w:val="007D4D0B"/>
    <w:rsid w:val="007D5036"/>
    <w:rsid w:val="007D503E"/>
    <w:rsid w:val="007D51DF"/>
    <w:rsid w:val="007D5462"/>
    <w:rsid w:val="007D55AB"/>
    <w:rsid w:val="007D55DF"/>
    <w:rsid w:val="007D594B"/>
    <w:rsid w:val="007D5DF7"/>
    <w:rsid w:val="007D60C4"/>
    <w:rsid w:val="007D60D6"/>
    <w:rsid w:val="007D60ED"/>
    <w:rsid w:val="007D6162"/>
    <w:rsid w:val="007D62F1"/>
    <w:rsid w:val="007D66DD"/>
    <w:rsid w:val="007D6849"/>
    <w:rsid w:val="007D6A04"/>
    <w:rsid w:val="007D6A25"/>
    <w:rsid w:val="007D6DE4"/>
    <w:rsid w:val="007D6FC6"/>
    <w:rsid w:val="007D702A"/>
    <w:rsid w:val="007D71D2"/>
    <w:rsid w:val="007D72C2"/>
    <w:rsid w:val="007D734D"/>
    <w:rsid w:val="007D7370"/>
    <w:rsid w:val="007D7513"/>
    <w:rsid w:val="007D7891"/>
    <w:rsid w:val="007D79B0"/>
    <w:rsid w:val="007D7FB6"/>
    <w:rsid w:val="007E000D"/>
    <w:rsid w:val="007E0128"/>
    <w:rsid w:val="007E0194"/>
    <w:rsid w:val="007E022A"/>
    <w:rsid w:val="007E02EC"/>
    <w:rsid w:val="007E035D"/>
    <w:rsid w:val="007E04B8"/>
    <w:rsid w:val="007E04FF"/>
    <w:rsid w:val="007E0A2D"/>
    <w:rsid w:val="007E0A40"/>
    <w:rsid w:val="007E0C1E"/>
    <w:rsid w:val="007E0CCD"/>
    <w:rsid w:val="007E0F6D"/>
    <w:rsid w:val="007E1204"/>
    <w:rsid w:val="007E1283"/>
    <w:rsid w:val="007E173C"/>
    <w:rsid w:val="007E17DF"/>
    <w:rsid w:val="007E19D7"/>
    <w:rsid w:val="007E1AAE"/>
    <w:rsid w:val="007E1C7E"/>
    <w:rsid w:val="007E1D74"/>
    <w:rsid w:val="007E2044"/>
    <w:rsid w:val="007E22AA"/>
    <w:rsid w:val="007E25A9"/>
    <w:rsid w:val="007E2734"/>
    <w:rsid w:val="007E285D"/>
    <w:rsid w:val="007E2C89"/>
    <w:rsid w:val="007E2E6B"/>
    <w:rsid w:val="007E2EB7"/>
    <w:rsid w:val="007E2F64"/>
    <w:rsid w:val="007E311A"/>
    <w:rsid w:val="007E3220"/>
    <w:rsid w:val="007E3287"/>
    <w:rsid w:val="007E3417"/>
    <w:rsid w:val="007E342B"/>
    <w:rsid w:val="007E3481"/>
    <w:rsid w:val="007E394F"/>
    <w:rsid w:val="007E3A55"/>
    <w:rsid w:val="007E3AA6"/>
    <w:rsid w:val="007E3AFD"/>
    <w:rsid w:val="007E3BEE"/>
    <w:rsid w:val="007E3C4B"/>
    <w:rsid w:val="007E3CB5"/>
    <w:rsid w:val="007E3D04"/>
    <w:rsid w:val="007E4915"/>
    <w:rsid w:val="007E498F"/>
    <w:rsid w:val="007E4AAF"/>
    <w:rsid w:val="007E4ABE"/>
    <w:rsid w:val="007E4B3C"/>
    <w:rsid w:val="007E4B4E"/>
    <w:rsid w:val="007E4B5E"/>
    <w:rsid w:val="007E4B64"/>
    <w:rsid w:val="007E4F91"/>
    <w:rsid w:val="007E5324"/>
    <w:rsid w:val="007E5613"/>
    <w:rsid w:val="007E563F"/>
    <w:rsid w:val="007E58F4"/>
    <w:rsid w:val="007E5BFB"/>
    <w:rsid w:val="007E5DAA"/>
    <w:rsid w:val="007E5E33"/>
    <w:rsid w:val="007E661F"/>
    <w:rsid w:val="007E66F0"/>
    <w:rsid w:val="007E6793"/>
    <w:rsid w:val="007E67DA"/>
    <w:rsid w:val="007E6858"/>
    <w:rsid w:val="007E6DC9"/>
    <w:rsid w:val="007E708A"/>
    <w:rsid w:val="007E71A5"/>
    <w:rsid w:val="007E726E"/>
    <w:rsid w:val="007E72E3"/>
    <w:rsid w:val="007E744D"/>
    <w:rsid w:val="007E7563"/>
    <w:rsid w:val="007E761A"/>
    <w:rsid w:val="007E774C"/>
    <w:rsid w:val="007E778D"/>
    <w:rsid w:val="007E7B41"/>
    <w:rsid w:val="007E7B4B"/>
    <w:rsid w:val="007E7F2E"/>
    <w:rsid w:val="007F0006"/>
    <w:rsid w:val="007F0450"/>
    <w:rsid w:val="007F04DB"/>
    <w:rsid w:val="007F0584"/>
    <w:rsid w:val="007F0634"/>
    <w:rsid w:val="007F08C1"/>
    <w:rsid w:val="007F0938"/>
    <w:rsid w:val="007F0971"/>
    <w:rsid w:val="007F0A3D"/>
    <w:rsid w:val="007F0BD4"/>
    <w:rsid w:val="007F0D08"/>
    <w:rsid w:val="007F0D20"/>
    <w:rsid w:val="007F0D4F"/>
    <w:rsid w:val="007F0D63"/>
    <w:rsid w:val="007F0DB7"/>
    <w:rsid w:val="007F0DF8"/>
    <w:rsid w:val="007F0E3B"/>
    <w:rsid w:val="007F0FD6"/>
    <w:rsid w:val="007F1155"/>
    <w:rsid w:val="007F1167"/>
    <w:rsid w:val="007F1423"/>
    <w:rsid w:val="007F153F"/>
    <w:rsid w:val="007F1547"/>
    <w:rsid w:val="007F16ED"/>
    <w:rsid w:val="007F1712"/>
    <w:rsid w:val="007F182B"/>
    <w:rsid w:val="007F1951"/>
    <w:rsid w:val="007F19B4"/>
    <w:rsid w:val="007F19E7"/>
    <w:rsid w:val="007F1CCB"/>
    <w:rsid w:val="007F1EBA"/>
    <w:rsid w:val="007F1EFF"/>
    <w:rsid w:val="007F1FD7"/>
    <w:rsid w:val="007F2074"/>
    <w:rsid w:val="007F21BE"/>
    <w:rsid w:val="007F228C"/>
    <w:rsid w:val="007F22B5"/>
    <w:rsid w:val="007F2465"/>
    <w:rsid w:val="007F25E2"/>
    <w:rsid w:val="007F27E0"/>
    <w:rsid w:val="007F2839"/>
    <w:rsid w:val="007F2883"/>
    <w:rsid w:val="007F2934"/>
    <w:rsid w:val="007F2A78"/>
    <w:rsid w:val="007F2B5C"/>
    <w:rsid w:val="007F2D6B"/>
    <w:rsid w:val="007F2DC2"/>
    <w:rsid w:val="007F2F6C"/>
    <w:rsid w:val="007F3062"/>
    <w:rsid w:val="007F33A4"/>
    <w:rsid w:val="007F34E1"/>
    <w:rsid w:val="007F354C"/>
    <w:rsid w:val="007F35F2"/>
    <w:rsid w:val="007F3611"/>
    <w:rsid w:val="007F3838"/>
    <w:rsid w:val="007F3A79"/>
    <w:rsid w:val="007F3B25"/>
    <w:rsid w:val="007F3BD9"/>
    <w:rsid w:val="007F3E0B"/>
    <w:rsid w:val="007F3F02"/>
    <w:rsid w:val="007F401C"/>
    <w:rsid w:val="007F4079"/>
    <w:rsid w:val="007F42FD"/>
    <w:rsid w:val="007F433E"/>
    <w:rsid w:val="007F45AE"/>
    <w:rsid w:val="007F477A"/>
    <w:rsid w:val="007F4883"/>
    <w:rsid w:val="007F4960"/>
    <w:rsid w:val="007F4B75"/>
    <w:rsid w:val="007F5144"/>
    <w:rsid w:val="007F5371"/>
    <w:rsid w:val="007F549A"/>
    <w:rsid w:val="007F565D"/>
    <w:rsid w:val="007F5735"/>
    <w:rsid w:val="007F5D30"/>
    <w:rsid w:val="007F5FB5"/>
    <w:rsid w:val="007F608B"/>
    <w:rsid w:val="007F610F"/>
    <w:rsid w:val="007F612C"/>
    <w:rsid w:val="007F61F7"/>
    <w:rsid w:val="007F625D"/>
    <w:rsid w:val="007F6433"/>
    <w:rsid w:val="007F6984"/>
    <w:rsid w:val="007F6987"/>
    <w:rsid w:val="007F6DB9"/>
    <w:rsid w:val="007F6ED3"/>
    <w:rsid w:val="007F7068"/>
    <w:rsid w:val="007F71FE"/>
    <w:rsid w:val="007F738E"/>
    <w:rsid w:val="007F742B"/>
    <w:rsid w:val="007F754E"/>
    <w:rsid w:val="007F763A"/>
    <w:rsid w:val="007F7A95"/>
    <w:rsid w:val="007F7CAC"/>
    <w:rsid w:val="007F7CCA"/>
    <w:rsid w:val="007F7DBA"/>
    <w:rsid w:val="007F7F92"/>
    <w:rsid w:val="007F7FE5"/>
    <w:rsid w:val="008000F9"/>
    <w:rsid w:val="008001C8"/>
    <w:rsid w:val="00800338"/>
    <w:rsid w:val="008008FB"/>
    <w:rsid w:val="00800E17"/>
    <w:rsid w:val="008010BB"/>
    <w:rsid w:val="008011F8"/>
    <w:rsid w:val="008012C3"/>
    <w:rsid w:val="00801348"/>
    <w:rsid w:val="008015AB"/>
    <w:rsid w:val="008017E0"/>
    <w:rsid w:val="00801AAE"/>
    <w:rsid w:val="00801D7D"/>
    <w:rsid w:val="00801F07"/>
    <w:rsid w:val="00801F23"/>
    <w:rsid w:val="00801FF4"/>
    <w:rsid w:val="008022B6"/>
    <w:rsid w:val="0080280A"/>
    <w:rsid w:val="00802D52"/>
    <w:rsid w:val="00802F91"/>
    <w:rsid w:val="00803305"/>
    <w:rsid w:val="00803563"/>
    <w:rsid w:val="00803671"/>
    <w:rsid w:val="00803769"/>
    <w:rsid w:val="008039AE"/>
    <w:rsid w:val="00803AA1"/>
    <w:rsid w:val="00803B10"/>
    <w:rsid w:val="00803F00"/>
    <w:rsid w:val="00803F1D"/>
    <w:rsid w:val="00803FA3"/>
    <w:rsid w:val="0080406A"/>
    <w:rsid w:val="008040CF"/>
    <w:rsid w:val="0080435C"/>
    <w:rsid w:val="00804537"/>
    <w:rsid w:val="0080462B"/>
    <w:rsid w:val="008046E4"/>
    <w:rsid w:val="008049E3"/>
    <w:rsid w:val="008049E4"/>
    <w:rsid w:val="00804A08"/>
    <w:rsid w:val="00804AC2"/>
    <w:rsid w:val="00804B81"/>
    <w:rsid w:val="00804C25"/>
    <w:rsid w:val="00804C45"/>
    <w:rsid w:val="0080519B"/>
    <w:rsid w:val="00805755"/>
    <w:rsid w:val="00805813"/>
    <w:rsid w:val="0080582C"/>
    <w:rsid w:val="008058E4"/>
    <w:rsid w:val="00805B69"/>
    <w:rsid w:val="00805CCD"/>
    <w:rsid w:val="00805EC2"/>
    <w:rsid w:val="00806582"/>
    <w:rsid w:val="00806605"/>
    <w:rsid w:val="00806748"/>
    <w:rsid w:val="00806749"/>
    <w:rsid w:val="008068A8"/>
    <w:rsid w:val="008069E8"/>
    <w:rsid w:val="00806B1C"/>
    <w:rsid w:val="00806F75"/>
    <w:rsid w:val="008070C6"/>
    <w:rsid w:val="008070DD"/>
    <w:rsid w:val="00807394"/>
    <w:rsid w:val="008074C6"/>
    <w:rsid w:val="00807684"/>
    <w:rsid w:val="008076BF"/>
    <w:rsid w:val="00807773"/>
    <w:rsid w:val="00807943"/>
    <w:rsid w:val="00807A0D"/>
    <w:rsid w:val="00807C6A"/>
    <w:rsid w:val="00807CF7"/>
    <w:rsid w:val="00807EB9"/>
    <w:rsid w:val="00807F94"/>
    <w:rsid w:val="00807FE3"/>
    <w:rsid w:val="00807FFE"/>
    <w:rsid w:val="0080DB58"/>
    <w:rsid w:val="00810092"/>
    <w:rsid w:val="008100D8"/>
    <w:rsid w:val="00810162"/>
    <w:rsid w:val="0081021C"/>
    <w:rsid w:val="00810407"/>
    <w:rsid w:val="00810463"/>
    <w:rsid w:val="00810500"/>
    <w:rsid w:val="008106ED"/>
    <w:rsid w:val="00810814"/>
    <w:rsid w:val="00810819"/>
    <w:rsid w:val="00810936"/>
    <w:rsid w:val="00810BBE"/>
    <w:rsid w:val="00810CDF"/>
    <w:rsid w:val="00811212"/>
    <w:rsid w:val="0081123F"/>
    <w:rsid w:val="008112CD"/>
    <w:rsid w:val="008112FF"/>
    <w:rsid w:val="00811418"/>
    <w:rsid w:val="008117FF"/>
    <w:rsid w:val="008118F2"/>
    <w:rsid w:val="008119CF"/>
    <w:rsid w:val="00811AB1"/>
    <w:rsid w:val="00811AEB"/>
    <w:rsid w:val="00811E47"/>
    <w:rsid w:val="00811F4E"/>
    <w:rsid w:val="008121A9"/>
    <w:rsid w:val="0081229C"/>
    <w:rsid w:val="008124B3"/>
    <w:rsid w:val="008129B2"/>
    <w:rsid w:val="00812B0C"/>
    <w:rsid w:val="00812F21"/>
    <w:rsid w:val="00812F90"/>
    <w:rsid w:val="008132BA"/>
    <w:rsid w:val="008135B4"/>
    <w:rsid w:val="00813789"/>
    <w:rsid w:val="008139BA"/>
    <w:rsid w:val="00813B4C"/>
    <w:rsid w:val="00813B9D"/>
    <w:rsid w:val="00813BF1"/>
    <w:rsid w:val="00813EA7"/>
    <w:rsid w:val="0081405F"/>
    <w:rsid w:val="008141E4"/>
    <w:rsid w:val="00814392"/>
    <w:rsid w:val="008143A1"/>
    <w:rsid w:val="008147E5"/>
    <w:rsid w:val="00814A4F"/>
    <w:rsid w:val="00814C24"/>
    <w:rsid w:val="00814DF0"/>
    <w:rsid w:val="00814FD0"/>
    <w:rsid w:val="008154FE"/>
    <w:rsid w:val="0081572F"/>
    <w:rsid w:val="0081584D"/>
    <w:rsid w:val="00815BAA"/>
    <w:rsid w:val="00815E63"/>
    <w:rsid w:val="00815E89"/>
    <w:rsid w:val="00816026"/>
    <w:rsid w:val="00816514"/>
    <w:rsid w:val="0081659D"/>
    <w:rsid w:val="008165C6"/>
    <w:rsid w:val="0081678E"/>
    <w:rsid w:val="00816825"/>
    <w:rsid w:val="00816967"/>
    <w:rsid w:val="0081698A"/>
    <w:rsid w:val="00816ECE"/>
    <w:rsid w:val="00817119"/>
    <w:rsid w:val="00817147"/>
    <w:rsid w:val="008176AF"/>
    <w:rsid w:val="00817A11"/>
    <w:rsid w:val="00817C90"/>
    <w:rsid w:val="00817E63"/>
    <w:rsid w:val="00817EB7"/>
    <w:rsid w:val="00817EBB"/>
    <w:rsid w:val="0081A5CD"/>
    <w:rsid w:val="00820089"/>
    <w:rsid w:val="0082058F"/>
    <w:rsid w:val="0082070F"/>
    <w:rsid w:val="008207F2"/>
    <w:rsid w:val="00820A04"/>
    <w:rsid w:val="00820B3D"/>
    <w:rsid w:val="00820DBB"/>
    <w:rsid w:val="00820F04"/>
    <w:rsid w:val="00820F73"/>
    <w:rsid w:val="0082109D"/>
    <w:rsid w:val="00821223"/>
    <w:rsid w:val="008213CE"/>
    <w:rsid w:val="008213E9"/>
    <w:rsid w:val="00821B93"/>
    <w:rsid w:val="00821CBF"/>
    <w:rsid w:val="00821E01"/>
    <w:rsid w:val="0082200B"/>
    <w:rsid w:val="008220B5"/>
    <w:rsid w:val="008220DD"/>
    <w:rsid w:val="0082217F"/>
    <w:rsid w:val="008221CF"/>
    <w:rsid w:val="00822260"/>
    <w:rsid w:val="008222CE"/>
    <w:rsid w:val="00822822"/>
    <w:rsid w:val="00822B4D"/>
    <w:rsid w:val="00822BD2"/>
    <w:rsid w:val="00822D20"/>
    <w:rsid w:val="00822EDA"/>
    <w:rsid w:val="0082351A"/>
    <w:rsid w:val="00823674"/>
    <w:rsid w:val="00823940"/>
    <w:rsid w:val="00823DCA"/>
    <w:rsid w:val="00823EA9"/>
    <w:rsid w:val="0082427E"/>
    <w:rsid w:val="008245D1"/>
    <w:rsid w:val="008245F4"/>
    <w:rsid w:val="00824898"/>
    <w:rsid w:val="0082489F"/>
    <w:rsid w:val="00824A0E"/>
    <w:rsid w:val="00824C15"/>
    <w:rsid w:val="00824C93"/>
    <w:rsid w:val="00824C96"/>
    <w:rsid w:val="00824E47"/>
    <w:rsid w:val="00824E63"/>
    <w:rsid w:val="008251AB"/>
    <w:rsid w:val="00825520"/>
    <w:rsid w:val="008255C9"/>
    <w:rsid w:val="008255D3"/>
    <w:rsid w:val="00825782"/>
    <w:rsid w:val="00825960"/>
    <w:rsid w:val="00825B0B"/>
    <w:rsid w:val="00825D89"/>
    <w:rsid w:val="00825DA1"/>
    <w:rsid w:val="00825FA5"/>
    <w:rsid w:val="00825FEE"/>
    <w:rsid w:val="00826074"/>
    <w:rsid w:val="008260BE"/>
    <w:rsid w:val="0082637A"/>
    <w:rsid w:val="0082642C"/>
    <w:rsid w:val="00826585"/>
    <w:rsid w:val="0082683E"/>
    <w:rsid w:val="00826CF9"/>
    <w:rsid w:val="00826D23"/>
    <w:rsid w:val="00826DA9"/>
    <w:rsid w:val="00826DBB"/>
    <w:rsid w:val="00826DCC"/>
    <w:rsid w:val="00826E17"/>
    <w:rsid w:val="00826E60"/>
    <w:rsid w:val="00826E76"/>
    <w:rsid w:val="00826EBE"/>
    <w:rsid w:val="00826F0D"/>
    <w:rsid w:val="0082755E"/>
    <w:rsid w:val="00827753"/>
    <w:rsid w:val="008277AF"/>
    <w:rsid w:val="0082780C"/>
    <w:rsid w:val="008278BB"/>
    <w:rsid w:val="00827F24"/>
    <w:rsid w:val="008303D2"/>
    <w:rsid w:val="008303DB"/>
    <w:rsid w:val="00830583"/>
    <w:rsid w:val="008305B0"/>
    <w:rsid w:val="008305C9"/>
    <w:rsid w:val="0083063C"/>
    <w:rsid w:val="00830B0F"/>
    <w:rsid w:val="00830BB6"/>
    <w:rsid w:val="00830BBB"/>
    <w:rsid w:val="0083128D"/>
    <w:rsid w:val="0083138B"/>
    <w:rsid w:val="008314DE"/>
    <w:rsid w:val="00831589"/>
    <w:rsid w:val="00831594"/>
    <w:rsid w:val="00831688"/>
    <w:rsid w:val="008316F4"/>
    <w:rsid w:val="00831744"/>
    <w:rsid w:val="008318A5"/>
    <w:rsid w:val="00831B03"/>
    <w:rsid w:val="00831B88"/>
    <w:rsid w:val="00831FF4"/>
    <w:rsid w:val="008322A5"/>
    <w:rsid w:val="00832313"/>
    <w:rsid w:val="00832338"/>
    <w:rsid w:val="0083238C"/>
    <w:rsid w:val="00832454"/>
    <w:rsid w:val="008325DC"/>
    <w:rsid w:val="008326B7"/>
    <w:rsid w:val="0083290E"/>
    <w:rsid w:val="00832C33"/>
    <w:rsid w:val="00832D95"/>
    <w:rsid w:val="00832DDB"/>
    <w:rsid w:val="00832E24"/>
    <w:rsid w:val="00832FFE"/>
    <w:rsid w:val="008332D6"/>
    <w:rsid w:val="00833325"/>
    <w:rsid w:val="00833568"/>
    <w:rsid w:val="0083366E"/>
    <w:rsid w:val="0083397D"/>
    <w:rsid w:val="00833A7E"/>
    <w:rsid w:val="00833B67"/>
    <w:rsid w:val="00833C63"/>
    <w:rsid w:val="00833DCE"/>
    <w:rsid w:val="00833F9C"/>
    <w:rsid w:val="00834000"/>
    <w:rsid w:val="00834094"/>
    <w:rsid w:val="00834183"/>
    <w:rsid w:val="00834576"/>
    <w:rsid w:val="00834869"/>
    <w:rsid w:val="00834A46"/>
    <w:rsid w:val="00834AE4"/>
    <w:rsid w:val="00834D23"/>
    <w:rsid w:val="00834D2E"/>
    <w:rsid w:val="00834D95"/>
    <w:rsid w:val="00835161"/>
    <w:rsid w:val="00835259"/>
    <w:rsid w:val="008352BF"/>
    <w:rsid w:val="008358CF"/>
    <w:rsid w:val="00835AB1"/>
    <w:rsid w:val="00835B37"/>
    <w:rsid w:val="00835DD0"/>
    <w:rsid w:val="008360DD"/>
    <w:rsid w:val="00836260"/>
    <w:rsid w:val="00836404"/>
    <w:rsid w:val="00836471"/>
    <w:rsid w:val="00836526"/>
    <w:rsid w:val="00836726"/>
    <w:rsid w:val="00836754"/>
    <w:rsid w:val="0083680D"/>
    <w:rsid w:val="00836DAD"/>
    <w:rsid w:val="00836F9D"/>
    <w:rsid w:val="0083709F"/>
    <w:rsid w:val="00837150"/>
    <w:rsid w:val="00837486"/>
    <w:rsid w:val="00837515"/>
    <w:rsid w:val="008376D1"/>
    <w:rsid w:val="0083770B"/>
    <w:rsid w:val="008378AD"/>
    <w:rsid w:val="00837970"/>
    <w:rsid w:val="00837A67"/>
    <w:rsid w:val="00837AC3"/>
    <w:rsid w:val="00837CEA"/>
    <w:rsid w:val="00837DD2"/>
    <w:rsid w:val="0084008E"/>
    <w:rsid w:val="008403A7"/>
    <w:rsid w:val="00840A57"/>
    <w:rsid w:val="00840B98"/>
    <w:rsid w:val="00840C1F"/>
    <w:rsid w:val="00840C66"/>
    <w:rsid w:val="00840DD2"/>
    <w:rsid w:val="00841122"/>
    <w:rsid w:val="00841150"/>
    <w:rsid w:val="0084131D"/>
    <w:rsid w:val="0084136E"/>
    <w:rsid w:val="0084141A"/>
    <w:rsid w:val="0084144F"/>
    <w:rsid w:val="008417D4"/>
    <w:rsid w:val="00841805"/>
    <w:rsid w:val="00841A4B"/>
    <w:rsid w:val="00841AD6"/>
    <w:rsid w:val="00841B52"/>
    <w:rsid w:val="00841DA8"/>
    <w:rsid w:val="00841EAC"/>
    <w:rsid w:val="00842228"/>
    <w:rsid w:val="008424FD"/>
    <w:rsid w:val="008425EB"/>
    <w:rsid w:val="0084264E"/>
    <w:rsid w:val="00842801"/>
    <w:rsid w:val="0084280C"/>
    <w:rsid w:val="00842A7B"/>
    <w:rsid w:val="00842C6B"/>
    <w:rsid w:val="00842D92"/>
    <w:rsid w:val="00842E12"/>
    <w:rsid w:val="00842F32"/>
    <w:rsid w:val="00843055"/>
    <w:rsid w:val="0084317D"/>
    <w:rsid w:val="008433B5"/>
    <w:rsid w:val="0084347D"/>
    <w:rsid w:val="00843721"/>
    <w:rsid w:val="008438C1"/>
    <w:rsid w:val="00843A60"/>
    <w:rsid w:val="00843AC3"/>
    <w:rsid w:val="00843BA6"/>
    <w:rsid w:val="00843D8E"/>
    <w:rsid w:val="00843EA6"/>
    <w:rsid w:val="00843EA9"/>
    <w:rsid w:val="00843F1C"/>
    <w:rsid w:val="00843F45"/>
    <w:rsid w:val="0084419B"/>
    <w:rsid w:val="00844266"/>
    <w:rsid w:val="00844497"/>
    <w:rsid w:val="008449C9"/>
    <w:rsid w:val="00844BC9"/>
    <w:rsid w:val="00844C03"/>
    <w:rsid w:val="00844E3C"/>
    <w:rsid w:val="00844FAA"/>
    <w:rsid w:val="00845363"/>
    <w:rsid w:val="0084540E"/>
    <w:rsid w:val="0084549E"/>
    <w:rsid w:val="008454C0"/>
    <w:rsid w:val="00845514"/>
    <w:rsid w:val="00845726"/>
    <w:rsid w:val="00845804"/>
    <w:rsid w:val="00845855"/>
    <w:rsid w:val="00845B71"/>
    <w:rsid w:val="00845BEF"/>
    <w:rsid w:val="00845DA9"/>
    <w:rsid w:val="00845DE8"/>
    <w:rsid w:val="00845E58"/>
    <w:rsid w:val="00845F35"/>
    <w:rsid w:val="00845FBF"/>
    <w:rsid w:val="008461A9"/>
    <w:rsid w:val="008463FE"/>
    <w:rsid w:val="00846455"/>
    <w:rsid w:val="00846483"/>
    <w:rsid w:val="008466B1"/>
    <w:rsid w:val="00846A57"/>
    <w:rsid w:val="00846BBE"/>
    <w:rsid w:val="00846C6C"/>
    <w:rsid w:val="00846D0C"/>
    <w:rsid w:val="00846E61"/>
    <w:rsid w:val="00847029"/>
    <w:rsid w:val="008471BE"/>
    <w:rsid w:val="008473D0"/>
    <w:rsid w:val="0084760C"/>
    <w:rsid w:val="00847AF2"/>
    <w:rsid w:val="00847B52"/>
    <w:rsid w:val="00847BFA"/>
    <w:rsid w:val="00847E60"/>
    <w:rsid w:val="0085037E"/>
    <w:rsid w:val="008506E0"/>
    <w:rsid w:val="008509C8"/>
    <w:rsid w:val="00850CB5"/>
    <w:rsid w:val="00850DFB"/>
    <w:rsid w:val="00850F4A"/>
    <w:rsid w:val="00850F88"/>
    <w:rsid w:val="00851006"/>
    <w:rsid w:val="00851227"/>
    <w:rsid w:val="00851277"/>
    <w:rsid w:val="008512BC"/>
    <w:rsid w:val="00851381"/>
    <w:rsid w:val="00851394"/>
    <w:rsid w:val="008516C1"/>
    <w:rsid w:val="008517B0"/>
    <w:rsid w:val="008518C6"/>
    <w:rsid w:val="0085190B"/>
    <w:rsid w:val="008519B9"/>
    <w:rsid w:val="00851A27"/>
    <w:rsid w:val="00851BED"/>
    <w:rsid w:val="00851F5E"/>
    <w:rsid w:val="00851F60"/>
    <w:rsid w:val="0085202D"/>
    <w:rsid w:val="008521AF"/>
    <w:rsid w:val="00852225"/>
    <w:rsid w:val="0085224C"/>
    <w:rsid w:val="008522AC"/>
    <w:rsid w:val="008523FC"/>
    <w:rsid w:val="00852428"/>
    <w:rsid w:val="00852545"/>
    <w:rsid w:val="008525A1"/>
    <w:rsid w:val="008526AF"/>
    <w:rsid w:val="00852B9D"/>
    <w:rsid w:val="00852D73"/>
    <w:rsid w:val="00852E3B"/>
    <w:rsid w:val="008530F7"/>
    <w:rsid w:val="00853250"/>
    <w:rsid w:val="008533EF"/>
    <w:rsid w:val="0085349D"/>
    <w:rsid w:val="0085353A"/>
    <w:rsid w:val="0085368F"/>
    <w:rsid w:val="008537DB"/>
    <w:rsid w:val="008541AD"/>
    <w:rsid w:val="008542A6"/>
    <w:rsid w:val="008545E5"/>
    <w:rsid w:val="00854686"/>
    <w:rsid w:val="00854AF0"/>
    <w:rsid w:val="00854BA3"/>
    <w:rsid w:val="00854BF8"/>
    <w:rsid w:val="00854D97"/>
    <w:rsid w:val="00854E4B"/>
    <w:rsid w:val="00854F50"/>
    <w:rsid w:val="00855237"/>
    <w:rsid w:val="008553F8"/>
    <w:rsid w:val="0085543F"/>
    <w:rsid w:val="008555B6"/>
    <w:rsid w:val="008556B9"/>
    <w:rsid w:val="008556C9"/>
    <w:rsid w:val="0085597A"/>
    <w:rsid w:val="00855A5A"/>
    <w:rsid w:val="00855B78"/>
    <w:rsid w:val="00855BF2"/>
    <w:rsid w:val="00855D13"/>
    <w:rsid w:val="008560E6"/>
    <w:rsid w:val="00856219"/>
    <w:rsid w:val="00856220"/>
    <w:rsid w:val="00856556"/>
    <w:rsid w:val="008566FD"/>
    <w:rsid w:val="008568AB"/>
    <w:rsid w:val="008569EF"/>
    <w:rsid w:val="00856F18"/>
    <w:rsid w:val="00857184"/>
    <w:rsid w:val="00857401"/>
    <w:rsid w:val="008578B6"/>
    <w:rsid w:val="008578BA"/>
    <w:rsid w:val="00857BB3"/>
    <w:rsid w:val="00857C3D"/>
    <w:rsid w:val="00860024"/>
    <w:rsid w:val="008600A0"/>
    <w:rsid w:val="008601C7"/>
    <w:rsid w:val="00860404"/>
    <w:rsid w:val="008605CE"/>
    <w:rsid w:val="0086063E"/>
    <w:rsid w:val="008606F8"/>
    <w:rsid w:val="00860805"/>
    <w:rsid w:val="008608E6"/>
    <w:rsid w:val="00860BD4"/>
    <w:rsid w:val="00860D63"/>
    <w:rsid w:val="00860F1F"/>
    <w:rsid w:val="00860F2F"/>
    <w:rsid w:val="00861070"/>
    <w:rsid w:val="008610F2"/>
    <w:rsid w:val="00861188"/>
    <w:rsid w:val="00861312"/>
    <w:rsid w:val="008619E9"/>
    <w:rsid w:val="00861B76"/>
    <w:rsid w:val="00862192"/>
    <w:rsid w:val="008625E2"/>
    <w:rsid w:val="00862621"/>
    <w:rsid w:val="00862686"/>
    <w:rsid w:val="00862717"/>
    <w:rsid w:val="00862E56"/>
    <w:rsid w:val="00862F66"/>
    <w:rsid w:val="00863179"/>
    <w:rsid w:val="00863203"/>
    <w:rsid w:val="00863220"/>
    <w:rsid w:val="00863488"/>
    <w:rsid w:val="00863615"/>
    <w:rsid w:val="008638BF"/>
    <w:rsid w:val="008638FE"/>
    <w:rsid w:val="00863C1C"/>
    <w:rsid w:val="00863D57"/>
    <w:rsid w:val="00864095"/>
    <w:rsid w:val="008642CB"/>
    <w:rsid w:val="008645F0"/>
    <w:rsid w:val="0086468A"/>
    <w:rsid w:val="00864767"/>
    <w:rsid w:val="00864835"/>
    <w:rsid w:val="00864E2F"/>
    <w:rsid w:val="00864F4B"/>
    <w:rsid w:val="008650B3"/>
    <w:rsid w:val="008655B3"/>
    <w:rsid w:val="00865895"/>
    <w:rsid w:val="008660E7"/>
    <w:rsid w:val="0086614E"/>
    <w:rsid w:val="008668BB"/>
    <w:rsid w:val="00866B71"/>
    <w:rsid w:val="00866C44"/>
    <w:rsid w:val="00866E08"/>
    <w:rsid w:val="00866FDB"/>
    <w:rsid w:val="00867097"/>
    <w:rsid w:val="0086723D"/>
    <w:rsid w:val="008672EC"/>
    <w:rsid w:val="00867333"/>
    <w:rsid w:val="0086739A"/>
    <w:rsid w:val="008673AE"/>
    <w:rsid w:val="00867429"/>
    <w:rsid w:val="008675A6"/>
    <w:rsid w:val="0086769C"/>
    <w:rsid w:val="00867C9A"/>
    <w:rsid w:val="00867F4B"/>
    <w:rsid w:val="0087012E"/>
    <w:rsid w:val="00870263"/>
    <w:rsid w:val="008703BA"/>
    <w:rsid w:val="008703C9"/>
    <w:rsid w:val="0087051F"/>
    <w:rsid w:val="00870563"/>
    <w:rsid w:val="00870583"/>
    <w:rsid w:val="008708DE"/>
    <w:rsid w:val="00870942"/>
    <w:rsid w:val="00870AE9"/>
    <w:rsid w:val="00870BE7"/>
    <w:rsid w:val="00870C4D"/>
    <w:rsid w:val="00870FBD"/>
    <w:rsid w:val="008715A7"/>
    <w:rsid w:val="008715D1"/>
    <w:rsid w:val="0087165C"/>
    <w:rsid w:val="008716D9"/>
    <w:rsid w:val="00871791"/>
    <w:rsid w:val="00871928"/>
    <w:rsid w:val="00871CF7"/>
    <w:rsid w:val="00871D39"/>
    <w:rsid w:val="00871FCC"/>
    <w:rsid w:val="00872268"/>
    <w:rsid w:val="0087233F"/>
    <w:rsid w:val="0087235A"/>
    <w:rsid w:val="0087246C"/>
    <w:rsid w:val="00872480"/>
    <w:rsid w:val="008724B1"/>
    <w:rsid w:val="008725BE"/>
    <w:rsid w:val="00872639"/>
    <w:rsid w:val="00872741"/>
    <w:rsid w:val="00872A1E"/>
    <w:rsid w:val="00872B6E"/>
    <w:rsid w:val="00872F85"/>
    <w:rsid w:val="008733D3"/>
    <w:rsid w:val="00873531"/>
    <w:rsid w:val="00873532"/>
    <w:rsid w:val="008738E0"/>
    <w:rsid w:val="00873922"/>
    <w:rsid w:val="00873BE5"/>
    <w:rsid w:val="00873C10"/>
    <w:rsid w:val="00873DBC"/>
    <w:rsid w:val="00873DEA"/>
    <w:rsid w:val="00874327"/>
    <w:rsid w:val="008743C0"/>
    <w:rsid w:val="008743F2"/>
    <w:rsid w:val="0087452D"/>
    <w:rsid w:val="00874703"/>
    <w:rsid w:val="0087493B"/>
    <w:rsid w:val="00874AB7"/>
    <w:rsid w:val="00874ABA"/>
    <w:rsid w:val="00874BC2"/>
    <w:rsid w:val="00874CAA"/>
    <w:rsid w:val="00874E85"/>
    <w:rsid w:val="00875024"/>
    <w:rsid w:val="00875756"/>
    <w:rsid w:val="00875C49"/>
    <w:rsid w:val="00875E46"/>
    <w:rsid w:val="00875E54"/>
    <w:rsid w:val="00875F6C"/>
    <w:rsid w:val="008760DB"/>
    <w:rsid w:val="0087640C"/>
    <w:rsid w:val="008764C0"/>
    <w:rsid w:val="00876528"/>
    <w:rsid w:val="008766BE"/>
    <w:rsid w:val="00876D4A"/>
    <w:rsid w:val="00877019"/>
    <w:rsid w:val="0087702C"/>
    <w:rsid w:val="008772FD"/>
    <w:rsid w:val="008774D1"/>
    <w:rsid w:val="008774F9"/>
    <w:rsid w:val="008775E9"/>
    <w:rsid w:val="0087760E"/>
    <w:rsid w:val="00877704"/>
    <w:rsid w:val="00877925"/>
    <w:rsid w:val="00877B44"/>
    <w:rsid w:val="00877BE6"/>
    <w:rsid w:val="00877C4C"/>
    <w:rsid w:val="00877C92"/>
    <w:rsid w:val="00877EAA"/>
    <w:rsid w:val="00877ED3"/>
    <w:rsid w:val="00877FD4"/>
    <w:rsid w:val="00880044"/>
    <w:rsid w:val="0088017F"/>
    <w:rsid w:val="00880199"/>
    <w:rsid w:val="008802FE"/>
    <w:rsid w:val="0088038F"/>
    <w:rsid w:val="008804E6"/>
    <w:rsid w:val="008805CE"/>
    <w:rsid w:val="00880726"/>
    <w:rsid w:val="00880905"/>
    <w:rsid w:val="00880923"/>
    <w:rsid w:val="00880A1B"/>
    <w:rsid w:val="00880D0C"/>
    <w:rsid w:val="00880DC1"/>
    <w:rsid w:val="00880E9C"/>
    <w:rsid w:val="00880EBC"/>
    <w:rsid w:val="00880F8D"/>
    <w:rsid w:val="008810D8"/>
    <w:rsid w:val="008811AE"/>
    <w:rsid w:val="00881269"/>
    <w:rsid w:val="00881510"/>
    <w:rsid w:val="00881775"/>
    <w:rsid w:val="00881813"/>
    <w:rsid w:val="008818C8"/>
    <w:rsid w:val="00881C80"/>
    <w:rsid w:val="00881CA1"/>
    <w:rsid w:val="00881F51"/>
    <w:rsid w:val="00881F91"/>
    <w:rsid w:val="00881FDE"/>
    <w:rsid w:val="008820CF"/>
    <w:rsid w:val="008821E9"/>
    <w:rsid w:val="008822CF"/>
    <w:rsid w:val="0088257A"/>
    <w:rsid w:val="00882672"/>
    <w:rsid w:val="008826EF"/>
    <w:rsid w:val="00882961"/>
    <w:rsid w:val="008829B1"/>
    <w:rsid w:val="00882C09"/>
    <w:rsid w:val="00882F22"/>
    <w:rsid w:val="00883232"/>
    <w:rsid w:val="0088327C"/>
    <w:rsid w:val="00883519"/>
    <w:rsid w:val="0088354B"/>
    <w:rsid w:val="0088363E"/>
    <w:rsid w:val="008837B6"/>
    <w:rsid w:val="008837DA"/>
    <w:rsid w:val="00883B2C"/>
    <w:rsid w:val="00883CAA"/>
    <w:rsid w:val="00883E28"/>
    <w:rsid w:val="00883F37"/>
    <w:rsid w:val="00884126"/>
    <w:rsid w:val="00884185"/>
    <w:rsid w:val="00884851"/>
    <w:rsid w:val="00884AEA"/>
    <w:rsid w:val="00884BFE"/>
    <w:rsid w:val="00884E3A"/>
    <w:rsid w:val="00885022"/>
    <w:rsid w:val="008850C0"/>
    <w:rsid w:val="008850E7"/>
    <w:rsid w:val="0088531E"/>
    <w:rsid w:val="0088533A"/>
    <w:rsid w:val="008855E2"/>
    <w:rsid w:val="00885B1C"/>
    <w:rsid w:val="00885B6B"/>
    <w:rsid w:val="00885C54"/>
    <w:rsid w:val="00885CED"/>
    <w:rsid w:val="008866D8"/>
    <w:rsid w:val="0088679F"/>
    <w:rsid w:val="00886940"/>
    <w:rsid w:val="00886C6A"/>
    <w:rsid w:val="00886E05"/>
    <w:rsid w:val="00886FB8"/>
    <w:rsid w:val="00887188"/>
    <w:rsid w:val="008872E6"/>
    <w:rsid w:val="00887311"/>
    <w:rsid w:val="00887428"/>
    <w:rsid w:val="00887615"/>
    <w:rsid w:val="008878D6"/>
    <w:rsid w:val="0088799F"/>
    <w:rsid w:val="008879C1"/>
    <w:rsid w:val="00887A05"/>
    <w:rsid w:val="00887BB5"/>
    <w:rsid w:val="008900B2"/>
    <w:rsid w:val="008901A8"/>
    <w:rsid w:val="008901C2"/>
    <w:rsid w:val="008901EA"/>
    <w:rsid w:val="00890231"/>
    <w:rsid w:val="008903B8"/>
    <w:rsid w:val="00890419"/>
    <w:rsid w:val="008906AF"/>
    <w:rsid w:val="00890929"/>
    <w:rsid w:val="00890A12"/>
    <w:rsid w:val="00890BEC"/>
    <w:rsid w:val="00890CAD"/>
    <w:rsid w:val="00890CCA"/>
    <w:rsid w:val="00890D4F"/>
    <w:rsid w:val="00890D6A"/>
    <w:rsid w:val="00890E90"/>
    <w:rsid w:val="0089103C"/>
    <w:rsid w:val="0089110E"/>
    <w:rsid w:val="00891241"/>
    <w:rsid w:val="008912BF"/>
    <w:rsid w:val="0089139A"/>
    <w:rsid w:val="0089142C"/>
    <w:rsid w:val="008917D9"/>
    <w:rsid w:val="008918E2"/>
    <w:rsid w:val="00891900"/>
    <w:rsid w:val="0089191A"/>
    <w:rsid w:val="00891992"/>
    <w:rsid w:val="008919A7"/>
    <w:rsid w:val="008919F6"/>
    <w:rsid w:val="00891A6C"/>
    <w:rsid w:val="00891C66"/>
    <w:rsid w:val="00891C9F"/>
    <w:rsid w:val="00891D71"/>
    <w:rsid w:val="0089228F"/>
    <w:rsid w:val="00892327"/>
    <w:rsid w:val="008925E5"/>
    <w:rsid w:val="008926F5"/>
    <w:rsid w:val="00892832"/>
    <w:rsid w:val="0089295F"/>
    <w:rsid w:val="00892B70"/>
    <w:rsid w:val="00892CC1"/>
    <w:rsid w:val="00892D93"/>
    <w:rsid w:val="0089307E"/>
    <w:rsid w:val="00893480"/>
    <w:rsid w:val="008934A0"/>
    <w:rsid w:val="0089360D"/>
    <w:rsid w:val="00893759"/>
    <w:rsid w:val="008937CE"/>
    <w:rsid w:val="00893959"/>
    <w:rsid w:val="00894347"/>
    <w:rsid w:val="00894447"/>
    <w:rsid w:val="00894A45"/>
    <w:rsid w:val="00894C5F"/>
    <w:rsid w:val="00894C91"/>
    <w:rsid w:val="00894E24"/>
    <w:rsid w:val="008953D9"/>
    <w:rsid w:val="00895406"/>
    <w:rsid w:val="00895427"/>
    <w:rsid w:val="008955EC"/>
    <w:rsid w:val="00895747"/>
    <w:rsid w:val="008958D9"/>
    <w:rsid w:val="00895B17"/>
    <w:rsid w:val="00895CC5"/>
    <w:rsid w:val="00895D28"/>
    <w:rsid w:val="00895E20"/>
    <w:rsid w:val="00895FF2"/>
    <w:rsid w:val="008967D1"/>
    <w:rsid w:val="008968F0"/>
    <w:rsid w:val="00896A71"/>
    <w:rsid w:val="00896B4F"/>
    <w:rsid w:val="00896CB3"/>
    <w:rsid w:val="00896CDF"/>
    <w:rsid w:val="00896D42"/>
    <w:rsid w:val="00896DCD"/>
    <w:rsid w:val="00897167"/>
    <w:rsid w:val="0089718D"/>
    <w:rsid w:val="008972CB"/>
    <w:rsid w:val="0089733C"/>
    <w:rsid w:val="008973C8"/>
    <w:rsid w:val="00897440"/>
    <w:rsid w:val="00897542"/>
    <w:rsid w:val="0089754C"/>
    <w:rsid w:val="00897858"/>
    <w:rsid w:val="00897B49"/>
    <w:rsid w:val="00897DCF"/>
    <w:rsid w:val="008A011E"/>
    <w:rsid w:val="008A024B"/>
    <w:rsid w:val="008A02D1"/>
    <w:rsid w:val="008A0485"/>
    <w:rsid w:val="008A0725"/>
    <w:rsid w:val="008A09C4"/>
    <w:rsid w:val="008A0AA9"/>
    <w:rsid w:val="008A0B95"/>
    <w:rsid w:val="008A0BDD"/>
    <w:rsid w:val="008A0DE0"/>
    <w:rsid w:val="008A0EE3"/>
    <w:rsid w:val="008A0FAC"/>
    <w:rsid w:val="008A1011"/>
    <w:rsid w:val="008A1044"/>
    <w:rsid w:val="008A1206"/>
    <w:rsid w:val="008A1349"/>
    <w:rsid w:val="008A14C0"/>
    <w:rsid w:val="008A1654"/>
    <w:rsid w:val="008A17A4"/>
    <w:rsid w:val="008A1B9B"/>
    <w:rsid w:val="008A1CAE"/>
    <w:rsid w:val="008A1E54"/>
    <w:rsid w:val="008A2177"/>
    <w:rsid w:val="008A21CC"/>
    <w:rsid w:val="008A2204"/>
    <w:rsid w:val="008A229D"/>
    <w:rsid w:val="008A2450"/>
    <w:rsid w:val="008A2771"/>
    <w:rsid w:val="008A2862"/>
    <w:rsid w:val="008A2948"/>
    <w:rsid w:val="008A2971"/>
    <w:rsid w:val="008A2D0E"/>
    <w:rsid w:val="008A2F8B"/>
    <w:rsid w:val="008A3169"/>
    <w:rsid w:val="008A33E2"/>
    <w:rsid w:val="008A35F1"/>
    <w:rsid w:val="008A37EA"/>
    <w:rsid w:val="008A383B"/>
    <w:rsid w:val="008A3A77"/>
    <w:rsid w:val="008A3DC4"/>
    <w:rsid w:val="008A3EA3"/>
    <w:rsid w:val="008A3FE7"/>
    <w:rsid w:val="008A447D"/>
    <w:rsid w:val="008A4497"/>
    <w:rsid w:val="008A4643"/>
    <w:rsid w:val="008A4921"/>
    <w:rsid w:val="008A4995"/>
    <w:rsid w:val="008A4BF3"/>
    <w:rsid w:val="008A4CF3"/>
    <w:rsid w:val="008A4E6D"/>
    <w:rsid w:val="008A5812"/>
    <w:rsid w:val="008A5E50"/>
    <w:rsid w:val="008A5EFB"/>
    <w:rsid w:val="008A5F35"/>
    <w:rsid w:val="008A5FB0"/>
    <w:rsid w:val="008A5FF7"/>
    <w:rsid w:val="008A625F"/>
    <w:rsid w:val="008A62E0"/>
    <w:rsid w:val="008A6571"/>
    <w:rsid w:val="008A65B5"/>
    <w:rsid w:val="008A6615"/>
    <w:rsid w:val="008A6850"/>
    <w:rsid w:val="008A68D3"/>
    <w:rsid w:val="008A6B76"/>
    <w:rsid w:val="008A6CCE"/>
    <w:rsid w:val="008A6D9D"/>
    <w:rsid w:val="008A6DD2"/>
    <w:rsid w:val="008A719E"/>
    <w:rsid w:val="008A71D9"/>
    <w:rsid w:val="008A7285"/>
    <w:rsid w:val="008A72A7"/>
    <w:rsid w:val="008A7375"/>
    <w:rsid w:val="008A7522"/>
    <w:rsid w:val="008A754A"/>
    <w:rsid w:val="008A77A1"/>
    <w:rsid w:val="008A78FA"/>
    <w:rsid w:val="008A797C"/>
    <w:rsid w:val="008A7A69"/>
    <w:rsid w:val="008A7BF1"/>
    <w:rsid w:val="008A7D1E"/>
    <w:rsid w:val="008A7F62"/>
    <w:rsid w:val="008AE338"/>
    <w:rsid w:val="008B002C"/>
    <w:rsid w:val="008B0061"/>
    <w:rsid w:val="008B013E"/>
    <w:rsid w:val="008B0451"/>
    <w:rsid w:val="008B04E7"/>
    <w:rsid w:val="008B057B"/>
    <w:rsid w:val="008B066F"/>
    <w:rsid w:val="008B0689"/>
    <w:rsid w:val="008B0840"/>
    <w:rsid w:val="008B09F4"/>
    <w:rsid w:val="008B0FD0"/>
    <w:rsid w:val="008B1389"/>
    <w:rsid w:val="008B1467"/>
    <w:rsid w:val="008B1501"/>
    <w:rsid w:val="008B166B"/>
    <w:rsid w:val="008B173E"/>
    <w:rsid w:val="008B1898"/>
    <w:rsid w:val="008B19C5"/>
    <w:rsid w:val="008B1ABE"/>
    <w:rsid w:val="008B1C97"/>
    <w:rsid w:val="008B1DA4"/>
    <w:rsid w:val="008B1EB7"/>
    <w:rsid w:val="008B2281"/>
    <w:rsid w:val="008B230A"/>
    <w:rsid w:val="008B23E2"/>
    <w:rsid w:val="008B24FD"/>
    <w:rsid w:val="008B2A45"/>
    <w:rsid w:val="008B2A64"/>
    <w:rsid w:val="008B2A9B"/>
    <w:rsid w:val="008B2AE3"/>
    <w:rsid w:val="008B2B45"/>
    <w:rsid w:val="008B2B87"/>
    <w:rsid w:val="008B2EF3"/>
    <w:rsid w:val="008B33E3"/>
    <w:rsid w:val="008B34A2"/>
    <w:rsid w:val="008B352F"/>
    <w:rsid w:val="008B37AC"/>
    <w:rsid w:val="008B3A03"/>
    <w:rsid w:val="008B3B07"/>
    <w:rsid w:val="008B3B68"/>
    <w:rsid w:val="008B3BBD"/>
    <w:rsid w:val="008B3BC1"/>
    <w:rsid w:val="008B3CF9"/>
    <w:rsid w:val="008B3D11"/>
    <w:rsid w:val="008B3EC2"/>
    <w:rsid w:val="008B3F64"/>
    <w:rsid w:val="008B440C"/>
    <w:rsid w:val="008B4690"/>
    <w:rsid w:val="008B4CCA"/>
    <w:rsid w:val="008B4CEC"/>
    <w:rsid w:val="008B4DB0"/>
    <w:rsid w:val="008B524F"/>
    <w:rsid w:val="008B5543"/>
    <w:rsid w:val="008B5669"/>
    <w:rsid w:val="008B5A6A"/>
    <w:rsid w:val="008B6220"/>
    <w:rsid w:val="008B62BD"/>
    <w:rsid w:val="008B632B"/>
    <w:rsid w:val="008B6682"/>
    <w:rsid w:val="008B68BC"/>
    <w:rsid w:val="008B6A3E"/>
    <w:rsid w:val="008B70B7"/>
    <w:rsid w:val="008B7210"/>
    <w:rsid w:val="008B72FF"/>
    <w:rsid w:val="008B7361"/>
    <w:rsid w:val="008B7478"/>
    <w:rsid w:val="008B7639"/>
    <w:rsid w:val="008B78B9"/>
    <w:rsid w:val="008B790D"/>
    <w:rsid w:val="008B7A8E"/>
    <w:rsid w:val="008B7CC3"/>
    <w:rsid w:val="008C026A"/>
    <w:rsid w:val="008C0525"/>
    <w:rsid w:val="008C067C"/>
    <w:rsid w:val="008C07DC"/>
    <w:rsid w:val="008C0A87"/>
    <w:rsid w:val="008C0D61"/>
    <w:rsid w:val="008C0FBE"/>
    <w:rsid w:val="008C0FFA"/>
    <w:rsid w:val="008C161B"/>
    <w:rsid w:val="008C17CE"/>
    <w:rsid w:val="008C18F8"/>
    <w:rsid w:val="008C1BFC"/>
    <w:rsid w:val="008C1D59"/>
    <w:rsid w:val="008C1EC2"/>
    <w:rsid w:val="008C1F5A"/>
    <w:rsid w:val="008C22A7"/>
    <w:rsid w:val="008C2309"/>
    <w:rsid w:val="008C24F4"/>
    <w:rsid w:val="008C273E"/>
    <w:rsid w:val="008C2758"/>
    <w:rsid w:val="008C27CA"/>
    <w:rsid w:val="008C28E8"/>
    <w:rsid w:val="008C2B41"/>
    <w:rsid w:val="008C2E73"/>
    <w:rsid w:val="008C2E86"/>
    <w:rsid w:val="008C2FBB"/>
    <w:rsid w:val="008C30C9"/>
    <w:rsid w:val="008C3117"/>
    <w:rsid w:val="008C32A2"/>
    <w:rsid w:val="008C335E"/>
    <w:rsid w:val="008C3399"/>
    <w:rsid w:val="008C33E9"/>
    <w:rsid w:val="008C3668"/>
    <w:rsid w:val="008C37D9"/>
    <w:rsid w:val="008C386A"/>
    <w:rsid w:val="008C3877"/>
    <w:rsid w:val="008C38D6"/>
    <w:rsid w:val="008C391F"/>
    <w:rsid w:val="008C3CAC"/>
    <w:rsid w:val="008C418B"/>
    <w:rsid w:val="008C4213"/>
    <w:rsid w:val="008C4239"/>
    <w:rsid w:val="008C4507"/>
    <w:rsid w:val="008C459B"/>
    <w:rsid w:val="008C45CE"/>
    <w:rsid w:val="008C4923"/>
    <w:rsid w:val="008C4A7A"/>
    <w:rsid w:val="008C4B64"/>
    <w:rsid w:val="008C50D9"/>
    <w:rsid w:val="008C51E6"/>
    <w:rsid w:val="008C52AC"/>
    <w:rsid w:val="008C5326"/>
    <w:rsid w:val="008C5377"/>
    <w:rsid w:val="008C54D2"/>
    <w:rsid w:val="008C55D4"/>
    <w:rsid w:val="008C578D"/>
    <w:rsid w:val="008C57F7"/>
    <w:rsid w:val="008C582C"/>
    <w:rsid w:val="008C58A2"/>
    <w:rsid w:val="008C5945"/>
    <w:rsid w:val="008C5971"/>
    <w:rsid w:val="008C59EC"/>
    <w:rsid w:val="008C5C19"/>
    <w:rsid w:val="008C603B"/>
    <w:rsid w:val="008C675D"/>
    <w:rsid w:val="008C68F1"/>
    <w:rsid w:val="008C69B4"/>
    <w:rsid w:val="008C6C24"/>
    <w:rsid w:val="008C6FFC"/>
    <w:rsid w:val="008C7074"/>
    <w:rsid w:val="008C707D"/>
    <w:rsid w:val="008C7678"/>
    <w:rsid w:val="008C76E7"/>
    <w:rsid w:val="008C7930"/>
    <w:rsid w:val="008C79B0"/>
    <w:rsid w:val="008C7A97"/>
    <w:rsid w:val="008C7B03"/>
    <w:rsid w:val="008C7BB7"/>
    <w:rsid w:val="008C7D9D"/>
    <w:rsid w:val="008D090B"/>
    <w:rsid w:val="008D0A78"/>
    <w:rsid w:val="008D0A8F"/>
    <w:rsid w:val="008D0B45"/>
    <w:rsid w:val="008D0C2A"/>
    <w:rsid w:val="008D0C76"/>
    <w:rsid w:val="008D0CDE"/>
    <w:rsid w:val="008D111B"/>
    <w:rsid w:val="008D1337"/>
    <w:rsid w:val="008D15EC"/>
    <w:rsid w:val="008D162E"/>
    <w:rsid w:val="008D175E"/>
    <w:rsid w:val="008D1782"/>
    <w:rsid w:val="008D1856"/>
    <w:rsid w:val="008D18B8"/>
    <w:rsid w:val="008D1923"/>
    <w:rsid w:val="008D1941"/>
    <w:rsid w:val="008D1A2E"/>
    <w:rsid w:val="008D1A9A"/>
    <w:rsid w:val="008D1AB7"/>
    <w:rsid w:val="008D1AE0"/>
    <w:rsid w:val="008D1BCB"/>
    <w:rsid w:val="008D2088"/>
    <w:rsid w:val="008D2262"/>
    <w:rsid w:val="008D232E"/>
    <w:rsid w:val="008D24EB"/>
    <w:rsid w:val="008D26F4"/>
    <w:rsid w:val="008D2B9E"/>
    <w:rsid w:val="008D2C96"/>
    <w:rsid w:val="008D2D7C"/>
    <w:rsid w:val="008D2FB8"/>
    <w:rsid w:val="008D3120"/>
    <w:rsid w:val="008D3174"/>
    <w:rsid w:val="008D3283"/>
    <w:rsid w:val="008D3288"/>
    <w:rsid w:val="008D339C"/>
    <w:rsid w:val="008D365D"/>
    <w:rsid w:val="008D3752"/>
    <w:rsid w:val="008D3A42"/>
    <w:rsid w:val="008D3BE0"/>
    <w:rsid w:val="008D3C70"/>
    <w:rsid w:val="008D3CA6"/>
    <w:rsid w:val="008D3DFD"/>
    <w:rsid w:val="008D42BB"/>
    <w:rsid w:val="008D484A"/>
    <w:rsid w:val="008D49E2"/>
    <w:rsid w:val="008D4BF7"/>
    <w:rsid w:val="008D4C6D"/>
    <w:rsid w:val="008D4DC5"/>
    <w:rsid w:val="008D4ED7"/>
    <w:rsid w:val="008D501E"/>
    <w:rsid w:val="008D50ED"/>
    <w:rsid w:val="008D5204"/>
    <w:rsid w:val="008D52EE"/>
    <w:rsid w:val="008D52F4"/>
    <w:rsid w:val="008D5353"/>
    <w:rsid w:val="008D53E7"/>
    <w:rsid w:val="008D5721"/>
    <w:rsid w:val="008D5967"/>
    <w:rsid w:val="008D59B4"/>
    <w:rsid w:val="008D5A03"/>
    <w:rsid w:val="008D5A1F"/>
    <w:rsid w:val="008D5C80"/>
    <w:rsid w:val="008D5E7D"/>
    <w:rsid w:val="008D5F5F"/>
    <w:rsid w:val="008D619B"/>
    <w:rsid w:val="008D640E"/>
    <w:rsid w:val="008D64D6"/>
    <w:rsid w:val="008D656A"/>
    <w:rsid w:val="008D667C"/>
    <w:rsid w:val="008D66FA"/>
    <w:rsid w:val="008D6703"/>
    <w:rsid w:val="008D67A8"/>
    <w:rsid w:val="008D6DB1"/>
    <w:rsid w:val="008D6E2B"/>
    <w:rsid w:val="008D6F27"/>
    <w:rsid w:val="008D7137"/>
    <w:rsid w:val="008D71F5"/>
    <w:rsid w:val="008D77A7"/>
    <w:rsid w:val="008D78EB"/>
    <w:rsid w:val="008D7C6F"/>
    <w:rsid w:val="008E0219"/>
    <w:rsid w:val="008E0412"/>
    <w:rsid w:val="008E0518"/>
    <w:rsid w:val="008E053A"/>
    <w:rsid w:val="008E06E1"/>
    <w:rsid w:val="008E0713"/>
    <w:rsid w:val="008E08AE"/>
    <w:rsid w:val="008E0925"/>
    <w:rsid w:val="008E0C0A"/>
    <w:rsid w:val="008E0D4D"/>
    <w:rsid w:val="008E136D"/>
    <w:rsid w:val="008E14CC"/>
    <w:rsid w:val="008E154C"/>
    <w:rsid w:val="008E155C"/>
    <w:rsid w:val="008E15FB"/>
    <w:rsid w:val="008E16F3"/>
    <w:rsid w:val="008E18E1"/>
    <w:rsid w:val="008E1D5D"/>
    <w:rsid w:val="008E224A"/>
    <w:rsid w:val="008E2272"/>
    <w:rsid w:val="008E22EE"/>
    <w:rsid w:val="008E2377"/>
    <w:rsid w:val="008E23C5"/>
    <w:rsid w:val="008E2434"/>
    <w:rsid w:val="008E251A"/>
    <w:rsid w:val="008E2645"/>
    <w:rsid w:val="008E285D"/>
    <w:rsid w:val="008E2E96"/>
    <w:rsid w:val="008E2EA1"/>
    <w:rsid w:val="008E300B"/>
    <w:rsid w:val="008E3088"/>
    <w:rsid w:val="008E30F8"/>
    <w:rsid w:val="008E360B"/>
    <w:rsid w:val="008E36D7"/>
    <w:rsid w:val="008E381E"/>
    <w:rsid w:val="008E3ACA"/>
    <w:rsid w:val="008E3B3E"/>
    <w:rsid w:val="008E3B61"/>
    <w:rsid w:val="008E3E76"/>
    <w:rsid w:val="008E40F8"/>
    <w:rsid w:val="008E4371"/>
    <w:rsid w:val="008E4416"/>
    <w:rsid w:val="008E4561"/>
    <w:rsid w:val="008E4928"/>
    <w:rsid w:val="008E493D"/>
    <w:rsid w:val="008E4D76"/>
    <w:rsid w:val="008E4D78"/>
    <w:rsid w:val="008E5015"/>
    <w:rsid w:val="008E50B2"/>
    <w:rsid w:val="008E52BD"/>
    <w:rsid w:val="008E58F4"/>
    <w:rsid w:val="008E5927"/>
    <w:rsid w:val="008E59EB"/>
    <w:rsid w:val="008E5B20"/>
    <w:rsid w:val="008E5D8D"/>
    <w:rsid w:val="008E5DB0"/>
    <w:rsid w:val="008E6006"/>
    <w:rsid w:val="008E60D6"/>
    <w:rsid w:val="008E6667"/>
    <w:rsid w:val="008E6819"/>
    <w:rsid w:val="008E6874"/>
    <w:rsid w:val="008E69C9"/>
    <w:rsid w:val="008E6A26"/>
    <w:rsid w:val="008E6A69"/>
    <w:rsid w:val="008E6A76"/>
    <w:rsid w:val="008E6E89"/>
    <w:rsid w:val="008E6F4C"/>
    <w:rsid w:val="008E6FA3"/>
    <w:rsid w:val="008E7457"/>
    <w:rsid w:val="008E7458"/>
    <w:rsid w:val="008E7494"/>
    <w:rsid w:val="008E7566"/>
    <w:rsid w:val="008E75A5"/>
    <w:rsid w:val="008E75B4"/>
    <w:rsid w:val="008E766F"/>
    <w:rsid w:val="008E7A79"/>
    <w:rsid w:val="008E7BF3"/>
    <w:rsid w:val="008E7D52"/>
    <w:rsid w:val="008E7E02"/>
    <w:rsid w:val="008E7E44"/>
    <w:rsid w:val="008F0059"/>
    <w:rsid w:val="008F0078"/>
    <w:rsid w:val="008F032C"/>
    <w:rsid w:val="008F048D"/>
    <w:rsid w:val="008F04F3"/>
    <w:rsid w:val="008F0656"/>
    <w:rsid w:val="008F0756"/>
    <w:rsid w:val="008F0BD0"/>
    <w:rsid w:val="008F0FC6"/>
    <w:rsid w:val="008F10B0"/>
    <w:rsid w:val="008F11B5"/>
    <w:rsid w:val="008F1200"/>
    <w:rsid w:val="008F1277"/>
    <w:rsid w:val="008F12A1"/>
    <w:rsid w:val="008F14E0"/>
    <w:rsid w:val="008F19CE"/>
    <w:rsid w:val="008F1A40"/>
    <w:rsid w:val="008F1FBC"/>
    <w:rsid w:val="008F2740"/>
    <w:rsid w:val="008F2AEB"/>
    <w:rsid w:val="008F2E27"/>
    <w:rsid w:val="008F2E44"/>
    <w:rsid w:val="008F2E68"/>
    <w:rsid w:val="008F30F5"/>
    <w:rsid w:val="008F31EC"/>
    <w:rsid w:val="008F322A"/>
    <w:rsid w:val="008F3305"/>
    <w:rsid w:val="008F3480"/>
    <w:rsid w:val="008F36EC"/>
    <w:rsid w:val="008F3785"/>
    <w:rsid w:val="008F37F9"/>
    <w:rsid w:val="008F3890"/>
    <w:rsid w:val="008F39C6"/>
    <w:rsid w:val="008F3B77"/>
    <w:rsid w:val="008F4139"/>
    <w:rsid w:val="008F453C"/>
    <w:rsid w:val="008F4795"/>
    <w:rsid w:val="008F48A1"/>
    <w:rsid w:val="008F4ADE"/>
    <w:rsid w:val="008F4D60"/>
    <w:rsid w:val="008F5042"/>
    <w:rsid w:val="008F5061"/>
    <w:rsid w:val="008F5228"/>
    <w:rsid w:val="008F527A"/>
    <w:rsid w:val="008F52CF"/>
    <w:rsid w:val="008F53E4"/>
    <w:rsid w:val="008F5471"/>
    <w:rsid w:val="008F5487"/>
    <w:rsid w:val="008F5B62"/>
    <w:rsid w:val="008F601D"/>
    <w:rsid w:val="008F60B0"/>
    <w:rsid w:val="008F6203"/>
    <w:rsid w:val="008F6676"/>
    <w:rsid w:val="008F68E9"/>
    <w:rsid w:val="008F695A"/>
    <w:rsid w:val="008F6D92"/>
    <w:rsid w:val="008F6E79"/>
    <w:rsid w:val="008F6FD1"/>
    <w:rsid w:val="008F706B"/>
    <w:rsid w:val="008F710F"/>
    <w:rsid w:val="008F7334"/>
    <w:rsid w:val="008F7539"/>
    <w:rsid w:val="008F7659"/>
    <w:rsid w:val="008F7662"/>
    <w:rsid w:val="008F76DF"/>
    <w:rsid w:val="008F796A"/>
    <w:rsid w:val="008F7999"/>
    <w:rsid w:val="008F79AF"/>
    <w:rsid w:val="008F79FE"/>
    <w:rsid w:val="008F7B2F"/>
    <w:rsid w:val="008F7E05"/>
    <w:rsid w:val="008F7E26"/>
    <w:rsid w:val="008F7EC5"/>
    <w:rsid w:val="008F7F13"/>
    <w:rsid w:val="00900070"/>
    <w:rsid w:val="00900236"/>
    <w:rsid w:val="00900393"/>
    <w:rsid w:val="0090056F"/>
    <w:rsid w:val="00900658"/>
    <w:rsid w:val="0090076F"/>
    <w:rsid w:val="00900C5E"/>
    <w:rsid w:val="00900F20"/>
    <w:rsid w:val="00900FA0"/>
    <w:rsid w:val="00901018"/>
    <w:rsid w:val="0090133A"/>
    <w:rsid w:val="0090143A"/>
    <w:rsid w:val="00901B3E"/>
    <w:rsid w:val="0090244D"/>
    <w:rsid w:val="009025E7"/>
    <w:rsid w:val="00902A3D"/>
    <w:rsid w:val="00902AA4"/>
    <w:rsid w:val="00902BEF"/>
    <w:rsid w:val="00902C41"/>
    <w:rsid w:val="00902D1A"/>
    <w:rsid w:val="00903166"/>
    <w:rsid w:val="00903290"/>
    <w:rsid w:val="00903518"/>
    <w:rsid w:val="00903591"/>
    <w:rsid w:val="0090410A"/>
    <w:rsid w:val="00904139"/>
    <w:rsid w:val="00904282"/>
    <w:rsid w:val="00904302"/>
    <w:rsid w:val="00904321"/>
    <w:rsid w:val="009044A9"/>
    <w:rsid w:val="009046A7"/>
    <w:rsid w:val="00904844"/>
    <w:rsid w:val="00904934"/>
    <w:rsid w:val="00904988"/>
    <w:rsid w:val="009049F5"/>
    <w:rsid w:val="00904DF6"/>
    <w:rsid w:val="0090502B"/>
    <w:rsid w:val="00905055"/>
    <w:rsid w:val="00905244"/>
    <w:rsid w:val="00905407"/>
    <w:rsid w:val="00905409"/>
    <w:rsid w:val="0090544B"/>
    <w:rsid w:val="0090548F"/>
    <w:rsid w:val="0090563C"/>
    <w:rsid w:val="009056DE"/>
    <w:rsid w:val="00905847"/>
    <w:rsid w:val="009058D7"/>
    <w:rsid w:val="00905979"/>
    <w:rsid w:val="00905A0F"/>
    <w:rsid w:val="00905C64"/>
    <w:rsid w:val="00905ED5"/>
    <w:rsid w:val="00905F02"/>
    <w:rsid w:val="00905F17"/>
    <w:rsid w:val="00905F26"/>
    <w:rsid w:val="00905FA2"/>
    <w:rsid w:val="0090623B"/>
    <w:rsid w:val="009062D6"/>
    <w:rsid w:val="0090635B"/>
    <w:rsid w:val="0090671C"/>
    <w:rsid w:val="009069A5"/>
    <w:rsid w:val="00906D9C"/>
    <w:rsid w:val="0090719E"/>
    <w:rsid w:val="009071B9"/>
    <w:rsid w:val="009073E6"/>
    <w:rsid w:val="00907561"/>
    <w:rsid w:val="009078A9"/>
    <w:rsid w:val="00907AD1"/>
    <w:rsid w:val="00907B02"/>
    <w:rsid w:val="00907BFF"/>
    <w:rsid w:val="0091000B"/>
    <w:rsid w:val="00910120"/>
    <w:rsid w:val="00910142"/>
    <w:rsid w:val="00910237"/>
    <w:rsid w:val="0091059B"/>
    <w:rsid w:val="00910775"/>
    <w:rsid w:val="00910DAB"/>
    <w:rsid w:val="00910E25"/>
    <w:rsid w:val="00910E9E"/>
    <w:rsid w:val="009111A1"/>
    <w:rsid w:val="00911309"/>
    <w:rsid w:val="009114EE"/>
    <w:rsid w:val="009118C0"/>
    <w:rsid w:val="00911A40"/>
    <w:rsid w:val="00911B85"/>
    <w:rsid w:val="00911C11"/>
    <w:rsid w:val="00911E3A"/>
    <w:rsid w:val="009120D1"/>
    <w:rsid w:val="00912594"/>
    <w:rsid w:val="00912807"/>
    <w:rsid w:val="00912829"/>
    <w:rsid w:val="00912880"/>
    <w:rsid w:val="009129D2"/>
    <w:rsid w:val="009129D3"/>
    <w:rsid w:val="00912A8D"/>
    <w:rsid w:val="00912B1C"/>
    <w:rsid w:val="00912B2A"/>
    <w:rsid w:val="00912D62"/>
    <w:rsid w:val="00912FDA"/>
    <w:rsid w:val="00913044"/>
    <w:rsid w:val="0091309F"/>
    <w:rsid w:val="009131A3"/>
    <w:rsid w:val="009135D2"/>
    <w:rsid w:val="00913683"/>
    <w:rsid w:val="0091372C"/>
    <w:rsid w:val="009139C7"/>
    <w:rsid w:val="00913B5C"/>
    <w:rsid w:val="00913B80"/>
    <w:rsid w:val="00913DF0"/>
    <w:rsid w:val="00913E3F"/>
    <w:rsid w:val="00913EC5"/>
    <w:rsid w:val="00913EEF"/>
    <w:rsid w:val="00913F02"/>
    <w:rsid w:val="009140BC"/>
    <w:rsid w:val="00914119"/>
    <w:rsid w:val="00914151"/>
    <w:rsid w:val="009147CB"/>
    <w:rsid w:val="009148EE"/>
    <w:rsid w:val="00914AAE"/>
    <w:rsid w:val="00914C1A"/>
    <w:rsid w:val="00915173"/>
    <w:rsid w:val="00915362"/>
    <w:rsid w:val="00915364"/>
    <w:rsid w:val="00915536"/>
    <w:rsid w:val="0091573A"/>
    <w:rsid w:val="00915BB4"/>
    <w:rsid w:val="00915CE8"/>
    <w:rsid w:val="00915D00"/>
    <w:rsid w:val="00915F94"/>
    <w:rsid w:val="00915FCA"/>
    <w:rsid w:val="009161F4"/>
    <w:rsid w:val="0091621A"/>
    <w:rsid w:val="0091624D"/>
    <w:rsid w:val="0091632D"/>
    <w:rsid w:val="00916416"/>
    <w:rsid w:val="0091656E"/>
    <w:rsid w:val="009168B3"/>
    <w:rsid w:val="00916BF9"/>
    <w:rsid w:val="00916C09"/>
    <w:rsid w:val="00916CB3"/>
    <w:rsid w:val="00916E47"/>
    <w:rsid w:val="00916F60"/>
    <w:rsid w:val="00917020"/>
    <w:rsid w:val="0091720B"/>
    <w:rsid w:val="00917311"/>
    <w:rsid w:val="00917361"/>
    <w:rsid w:val="00917418"/>
    <w:rsid w:val="00917427"/>
    <w:rsid w:val="009176D5"/>
    <w:rsid w:val="009176EE"/>
    <w:rsid w:val="00917767"/>
    <w:rsid w:val="009179AE"/>
    <w:rsid w:val="00917DA3"/>
    <w:rsid w:val="00920401"/>
    <w:rsid w:val="009207F0"/>
    <w:rsid w:val="00920D32"/>
    <w:rsid w:val="00920EFE"/>
    <w:rsid w:val="009210DC"/>
    <w:rsid w:val="00921478"/>
    <w:rsid w:val="00921586"/>
    <w:rsid w:val="009215AC"/>
    <w:rsid w:val="00921696"/>
    <w:rsid w:val="009217A2"/>
    <w:rsid w:val="009219F8"/>
    <w:rsid w:val="00921E17"/>
    <w:rsid w:val="009221AE"/>
    <w:rsid w:val="00922212"/>
    <w:rsid w:val="00922389"/>
    <w:rsid w:val="0092253B"/>
    <w:rsid w:val="00922696"/>
    <w:rsid w:val="0092294A"/>
    <w:rsid w:val="00922B78"/>
    <w:rsid w:val="00922B7F"/>
    <w:rsid w:val="00922CA6"/>
    <w:rsid w:val="00922E57"/>
    <w:rsid w:val="00923021"/>
    <w:rsid w:val="009230A4"/>
    <w:rsid w:val="0092310D"/>
    <w:rsid w:val="009233B9"/>
    <w:rsid w:val="0092350B"/>
    <w:rsid w:val="00923541"/>
    <w:rsid w:val="009236B3"/>
    <w:rsid w:val="0092381D"/>
    <w:rsid w:val="00923988"/>
    <w:rsid w:val="0092398C"/>
    <w:rsid w:val="00923AC4"/>
    <w:rsid w:val="00923C8D"/>
    <w:rsid w:val="00923CC9"/>
    <w:rsid w:val="00924779"/>
    <w:rsid w:val="009247EC"/>
    <w:rsid w:val="009248D4"/>
    <w:rsid w:val="009248D8"/>
    <w:rsid w:val="00924AD7"/>
    <w:rsid w:val="00924B0D"/>
    <w:rsid w:val="00924CA9"/>
    <w:rsid w:val="00924D8B"/>
    <w:rsid w:val="00924EC0"/>
    <w:rsid w:val="00925054"/>
    <w:rsid w:val="0092506C"/>
    <w:rsid w:val="0092526B"/>
    <w:rsid w:val="0092527C"/>
    <w:rsid w:val="009254D5"/>
    <w:rsid w:val="00925657"/>
    <w:rsid w:val="00925804"/>
    <w:rsid w:val="0092590B"/>
    <w:rsid w:val="00925B16"/>
    <w:rsid w:val="00925C55"/>
    <w:rsid w:val="00925FEB"/>
    <w:rsid w:val="00926037"/>
    <w:rsid w:val="0092614D"/>
    <w:rsid w:val="00926244"/>
    <w:rsid w:val="009264F8"/>
    <w:rsid w:val="00926544"/>
    <w:rsid w:val="0092656B"/>
    <w:rsid w:val="009267B5"/>
    <w:rsid w:val="00926867"/>
    <w:rsid w:val="00926BE2"/>
    <w:rsid w:val="00926E33"/>
    <w:rsid w:val="009274B6"/>
    <w:rsid w:val="009275E6"/>
    <w:rsid w:val="009276E3"/>
    <w:rsid w:val="0092771B"/>
    <w:rsid w:val="009277D3"/>
    <w:rsid w:val="0092785C"/>
    <w:rsid w:val="00927A21"/>
    <w:rsid w:val="00927D7D"/>
    <w:rsid w:val="00927EA8"/>
    <w:rsid w:val="0093030C"/>
    <w:rsid w:val="00930583"/>
    <w:rsid w:val="009305E8"/>
    <w:rsid w:val="009307B3"/>
    <w:rsid w:val="0093094E"/>
    <w:rsid w:val="00930A13"/>
    <w:rsid w:val="00930D85"/>
    <w:rsid w:val="00931267"/>
    <w:rsid w:val="009314AB"/>
    <w:rsid w:val="009314CC"/>
    <w:rsid w:val="00931670"/>
    <w:rsid w:val="009318BE"/>
    <w:rsid w:val="00931A25"/>
    <w:rsid w:val="00931CD2"/>
    <w:rsid w:val="00931DEB"/>
    <w:rsid w:val="00931EC6"/>
    <w:rsid w:val="00931EEC"/>
    <w:rsid w:val="009320FC"/>
    <w:rsid w:val="0093236E"/>
    <w:rsid w:val="0093275A"/>
    <w:rsid w:val="00932AC3"/>
    <w:rsid w:val="00932BF2"/>
    <w:rsid w:val="00932D23"/>
    <w:rsid w:val="0093300D"/>
    <w:rsid w:val="0093328A"/>
    <w:rsid w:val="0093367E"/>
    <w:rsid w:val="0093386A"/>
    <w:rsid w:val="0093399E"/>
    <w:rsid w:val="009339E4"/>
    <w:rsid w:val="00933AF4"/>
    <w:rsid w:val="00933C57"/>
    <w:rsid w:val="00933EAB"/>
    <w:rsid w:val="00934155"/>
    <w:rsid w:val="0093432A"/>
    <w:rsid w:val="0093452E"/>
    <w:rsid w:val="009345C2"/>
    <w:rsid w:val="009346B9"/>
    <w:rsid w:val="00934C2C"/>
    <w:rsid w:val="00934D7F"/>
    <w:rsid w:val="00935103"/>
    <w:rsid w:val="0093536A"/>
    <w:rsid w:val="00935421"/>
    <w:rsid w:val="00935868"/>
    <w:rsid w:val="00935888"/>
    <w:rsid w:val="009358C5"/>
    <w:rsid w:val="009358F3"/>
    <w:rsid w:val="0093596A"/>
    <w:rsid w:val="00935984"/>
    <w:rsid w:val="00935A5D"/>
    <w:rsid w:val="00935AE9"/>
    <w:rsid w:val="00935C43"/>
    <w:rsid w:val="00935D4D"/>
    <w:rsid w:val="00935E21"/>
    <w:rsid w:val="00935F0C"/>
    <w:rsid w:val="00936012"/>
    <w:rsid w:val="00936674"/>
    <w:rsid w:val="0093673C"/>
    <w:rsid w:val="009369E0"/>
    <w:rsid w:val="00936A34"/>
    <w:rsid w:val="00936A39"/>
    <w:rsid w:val="00936E32"/>
    <w:rsid w:val="00936E64"/>
    <w:rsid w:val="00937182"/>
    <w:rsid w:val="009374FC"/>
    <w:rsid w:val="0093773B"/>
    <w:rsid w:val="00937808"/>
    <w:rsid w:val="0093797F"/>
    <w:rsid w:val="009379C5"/>
    <w:rsid w:val="00937B29"/>
    <w:rsid w:val="00937C13"/>
    <w:rsid w:val="00937C2D"/>
    <w:rsid w:val="00937FD9"/>
    <w:rsid w:val="009404A0"/>
    <w:rsid w:val="00940634"/>
    <w:rsid w:val="0094064F"/>
    <w:rsid w:val="0094097C"/>
    <w:rsid w:val="009409DC"/>
    <w:rsid w:val="00940A13"/>
    <w:rsid w:val="00940ACA"/>
    <w:rsid w:val="00940D13"/>
    <w:rsid w:val="00940E50"/>
    <w:rsid w:val="009412A1"/>
    <w:rsid w:val="00941328"/>
    <w:rsid w:val="0094132A"/>
    <w:rsid w:val="00941347"/>
    <w:rsid w:val="0094150A"/>
    <w:rsid w:val="0094156D"/>
    <w:rsid w:val="00941601"/>
    <w:rsid w:val="00941863"/>
    <w:rsid w:val="00941873"/>
    <w:rsid w:val="00941908"/>
    <w:rsid w:val="00941914"/>
    <w:rsid w:val="00941919"/>
    <w:rsid w:val="00941953"/>
    <w:rsid w:val="00941B52"/>
    <w:rsid w:val="00941C1F"/>
    <w:rsid w:val="00941EA4"/>
    <w:rsid w:val="00942168"/>
    <w:rsid w:val="009421D3"/>
    <w:rsid w:val="00942305"/>
    <w:rsid w:val="0094234D"/>
    <w:rsid w:val="0094235B"/>
    <w:rsid w:val="0094248B"/>
    <w:rsid w:val="009426A2"/>
    <w:rsid w:val="00942B80"/>
    <w:rsid w:val="00942C2F"/>
    <w:rsid w:val="00942D11"/>
    <w:rsid w:val="00942E47"/>
    <w:rsid w:val="00942FDA"/>
    <w:rsid w:val="00943204"/>
    <w:rsid w:val="00943273"/>
    <w:rsid w:val="009439D3"/>
    <w:rsid w:val="00943A4F"/>
    <w:rsid w:val="00943CA0"/>
    <w:rsid w:val="00943CA4"/>
    <w:rsid w:val="00943F85"/>
    <w:rsid w:val="00944045"/>
    <w:rsid w:val="009441C5"/>
    <w:rsid w:val="009443AB"/>
    <w:rsid w:val="009443D0"/>
    <w:rsid w:val="00944452"/>
    <w:rsid w:val="0094471F"/>
    <w:rsid w:val="00944950"/>
    <w:rsid w:val="00944D33"/>
    <w:rsid w:val="00944E9D"/>
    <w:rsid w:val="00944EE8"/>
    <w:rsid w:val="00944F60"/>
    <w:rsid w:val="009451B0"/>
    <w:rsid w:val="00945520"/>
    <w:rsid w:val="0094591E"/>
    <w:rsid w:val="00945B1F"/>
    <w:rsid w:val="00945D8F"/>
    <w:rsid w:val="00945F5E"/>
    <w:rsid w:val="0094625D"/>
    <w:rsid w:val="00946A37"/>
    <w:rsid w:val="00946AF6"/>
    <w:rsid w:val="00946C47"/>
    <w:rsid w:val="00946CC8"/>
    <w:rsid w:val="00946E81"/>
    <w:rsid w:val="00946F27"/>
    <w:rsid w:val="00947506"/>
    <w:rsid w:val="009476B8"/>
    <w:rsid w:val="009476EF"/>
    <w:rsid w:val="0094797F"/>
    <w:rsid w:val="00947FCA"/>
    <w:rsid w:val="00950167"/>
    <w:rsid w:val="009502D5"/>
    <w:rsid w:val="0095030A"/>
    <w:rsid w:val="0095047E"/>
    <w:rsid w:val="0095064C"/>
    <w:rsid w:val="00950655"/>
    <w:rsid w:val="009506D9"/>
    <w:rsid w:val="00950999"/>
    <w:rsid w:val="00950DB3"/>
    <w:rsid w:val="0095107A"/>
    <w:rsid w:val="00951453"/>
    <w:rsid w:val="00951763"/>
    <w:rsid w:val="009519CE"/>
    <w:rsid w:val="00951A5D"/>
    <w:rsid w:val="00951BC6"/>
    <w:rsid w:val="00951D1D"/>
    <w:rsid w:val="00952264"/>
    <w:rsid w:val="00952272"/>
    <w:rsid w:val="009523AF"/>
    <w:rsid w:val="009525DB"/>
    <w:rsid w:val="00952877"/>
    <w:rsid w:val="00952956"/>
    <w:rsid w:val="0095296E"/>
    <w:rsid w:val="00952BD6"/>
    <w:rsid w:val="00952ED3"/>
    <w:rsid w:val="00953092"/>
    <w:rsid w:val="009532DD"/>
    <w:rsid w:val="009532E4"/>
    <w:rsid w:val="00953410"/>
    <w:rsid w:val="00953484"/>
    <w:rsid w:val="0095373F"/>
    <w:rsid w:val="009537AC"/>
    <w:rsid w:val="00953BF2"/>
    <w:rsid w:val="00953C10"/>
    <w:rsid w:val="00953DB0"/>
    <w:rsid w:val="00953ED9"/>
    <w:rsid w:val="0095406E"/>
    <w:rsid w:val="0095415C"/>
    <w:rsid w:val="00954187"/>
    <w:rsid w:val="00954252"/>
    <w:rsid w:val="0095440D"/>
    <w:rsid w:val="0095466F"/>
    <w:rsid w:val="00954760"/>
    <w:rsid w:val="00954B81"/>
    <w:rsid w:val="00954FA1"/>
    <w:rsid w:val="0095503C"/>
    <w:rsid w:val="00955269"/>
    <w:rsid w:val="00955425"/>
    <w:rsid w:val="00955872"/>
    <w:rsid w:val="00955983"/>
    <w:rsid w:val="00955A52"/>
    <w:rsid w:val="00955A96"/>
    <w:rsid w:val="00955AFA"/>
    <w:rsid w:val="00955B56"/>
    <w:rsid w:val="00955D63"/>
    <w:rsid w:val="00955F6A"/>
    <w:rsid w:val="0095629E"/>
    <w:rsid w:val="00956BC1"/>
    <w:rsid w:val="0095716D"/>
    <w:rsid w:val="0095739B"/>
    <w:rsid w:val="00957538"/>
    <w:rsid w:val="00957666"/>
    <w:rsid w:val="00957670"/>
    <w:rsid w:val="009577D4"/>
    <w:rsid w:val="00957D16"/>
    <w:rsid w:val="00957D97"/>
    <w:rsid w:val="00957EF7"/>
    <w:rsid w:val="00957F10"/>
    <w:rsid w:val="00960297"/>
    <w:rsid w:val="009603D0"/>
    <w:rsid w:val="00960610"/>
    <w:rsid w:val="00960676"/>
    <w:rsid w:val="00960CD9"/>
    <w:rsid w:val="00960E55"/>
    <w:rsid w:val="0096145B"/>
    <w:rsid w:val="00961681"/>
    <w:rsid w:val="009618EE"/>
    <w:rsid w:val="00961D72"/>
    <w:rsid w:val="00961E51"/>
    <w:rsid w:val="00961FFC"/>
    <w:rsid w:val="00962371"/>
    <w:rsid w:val="009623F4"/>
    <w:rsid w:val="00962720"/>
    <w:rsid w:val="00962811"/>
    <w:rsid w:val="00962B4C"/>
    <w:rsid w:val="00962BF3"/>
    <w:rsid w:val="00962DDD"/>
    <w:rsid w:val="00962DEE"/>
    <w:rsid w:val="00962F1C"/>
    <w:rsid w:val="00962FCF"/>
    <w:rsid w:val="009634A3"/>
    <w:rsid w:val="009634DE"/>
    <w:rsid w:val="00963A5B"/>
    <w:rsid w:val="00963B7C"/>
    <w:rsid w:val="00963B81"/>
    <w:rsid w:val="00963F0D"/>
    <w:rsid w:val="00963FCE"/>
    <w:rsid w:val="009641A4"/>
    <w:rsid w:val="009641DE"/>
    <w:rsid w:val="0096448B"/>
    <w:rsid w:val="00964879"/>
    <w:rsid w:val="009648E2"/>
    <w:rsid w:val="0096490B"/>
    <w:rsid w:val="00964B49"/>
    <w:rsid w:val="00964DD2"/>
    <w:rsid w:val="00964EF3"/>
    <w:rsid w:val="00964F2A"/>
    <w:rsid w:val="009658C3"/>
    <w:rsid w:val="00965D3C"/>
    <w:rsid w:val="00966016"/>
    <w:rsid w:val="0096611C"/>
    <w:rsid w:val="00966122"/>
    <w:rsid w:val="009664A8"/>
    <w:rsid w:val="0096669D"/>
    <w:rsid w:val="009666E3"/>
    <w:rsid w:val="0096690F"/>
    <w:rsid w:val="0096696C"/>
    <w:rsid w:val="00966B07"/>
    <w:rsid w:val="00966E05"/>
    <w:rsid w:val="00966E42"/>
    <w:rsid w:val="00966E7A"/>
    <w:rsid w:val="00966EE6"/>
    <w:rsid w:val="00966FA0"/>
    <w:rsid w:val="0096705F"/>
    <w:rsid w:val="009672A7"/>
    <w:rsid w:val="009673A6"/>
    <w:rsid w:val="00967543"/>
    <w:rsid w:val="00967954"/>
    <w:rsid w:val="00967D7F"/>
    <w:rsid w:val="00967FD2"/>
    <w:rsid w:val="009702DF"/>
    <w:rsid w:val="00970333"/>
    <w:rsid w:val="009704A9"/>
    <w:rsid w:val="00970539"/>
    <w:rsid w:val="0097062E"/>
    <w:rsid w:val="0097067A"/>
    <w:rsid w:val="00970B85"/>
    <w:rsid w:val="00970C1F"/>
    <w:rsid w:val="00970C87"/>
    <w:rsid w:val="00970DF6"/>
    <w:rsid w:val="00970E94"/>
    <w:rsid w:val="00970EE1"/>
    <w:rsid w:val="0097105F"/>
    <w:rsid w:val="009711A6"/>
    <w:rsid w:val="0097133A"/>
    <w:rsid w:val="0097167F"/>
    <w:rsid w:val="009717CC"/>
    <w:rsid w:val="009718D2"/>
    <w:rsid w:val="0097193A"/>
    <w:rsid w:val="009720FF"/>
    <w:rsid w:val="00972160"/>
    <w:rsid w:val="00972374"/>
    <w:rsid w:val="00972452"/>
    <w:rsid w:val="00972658"/>
    <w:rsid w:val="009729DB"/>
    <w:rsid w:val="00972CB4"/>
    <w:rsid w:val="00972E6A"/>
    <w:rsid w:val="00972EF1"/>
    <w:rsid w:val="00972FE8"/>
    <w:rsid w:val="009731F3"/>
    <w:rsid w:val="009731F4"/>
    <w:rsid w:val="00973259"/>
    <w:rsid w:val="009733D1"/>
    <w:rsid w:val="00973633"/>
    <w:rsid w:val="009737E0"/>
    <w:rsid w:val="009738C2"/>
    <w:rsid w:val="009739F7"/>
    <w:rsid w:val="00973C17"/>
    <w:rsid w:val="00973D67"/>
    <w:rsid w:val="00974020"/>
    <w:rsid w:val="00974050"/>
    <w:rsid w:val="009740C1"/>
    <w:rsid w:val="009743B4"/>
    <w:rsid w:val="009743CD"/>
    <w:rsid w:val="009747B5"/>
    <w:rsid w:val="0097495D"/>
    <w:rsid w:val="00974B3D"/>
    <w:rsid w:val="00974B55"/>
    <w:rsid w:val="00974E1B"/>
    <w:rsid w:val="00974F98"/>
    <w:rsid w:val="009751CB"/>
    <w:rsid w:val="00975232"/>
    <w:rsid w:val="00975379"/>
    <w:rsid w:val="00975496"/>
    <w:rsid w:val="009754B3"/>
    <w:rsid w:val="0097550E"/>
    <w:rsid w:val="00975726"/>
    <w:rsid w:val="00975747"/>
    <w:rsid w:val="009759A8"/>
    <w:rsid w:val="009759CA"/>
    <w:rsid w:val="009759F0"/>
    <w:rsid w:val="00975C93"/>
    <w:rsid w:val="00975DEC"/>
    <w:rsid w:val="00975F2A"/>
    <w:rsid w:val="0097601F"/>
    <w:rsid w:val="00976258"/>
    <w:rsid w:val="0097626A"/>
    <w:rsid w:val="00976275"/>
    <w:rsid w:val="00976330"/>
    <w:rsid w:val="00976353"/>
    <w:rsid w:val="009764DB"/>
    <w:rsid w:val="00976570"/>
    <w:rsid w:val="0097669F"/>
    <w:rsid w:val="0097673E"/>
    <w:rsid w:val="009768B8"/>
    <w:rsid w:val="00976A16"/>
    <w:rsid w:val="00976B17"/>
    <w:rsid w:val="00976BC5"/>
    <w:rsid w:val="00976C2F"/>
    <w:rsid w:val="00976C66"/>
    <w:rsid w:val="00976D12"/>
    <w:rsid w:val="009771D5"/>
    <w:rsid w:val="009772C9"/>
    <w:rsid w:val="0097730E"/>
    <w:rsid w:val="00977727"/>
    <w:rsid w:val="00977891"/>
    <w:rsid w:val="00977B4A"/>
    <w:rsid w:val="00977DC1"/>
    <w:rsid w:val="00980348"/>
    <w:rsid w:val="009803B8"/>
    <w:rsid w:val="009804CB"/>
    <w:rsid w:val="00980694"/>
    <w:rsid w:val="00980764"/>
    <w:rsid w:val="009807AD"/>
    <w:rsid w:val="00980B3C"/>
    <w:rsid w:val="00980DA7"/>
    <w:rsid w:val="00980E41"/>
    <w:rsid w:val="00980EF4"/>
    <w:rsid w:val="00980FCE"/>
    <w:rsid w:val="00981040"/>
    <w:rsid w:val="009811D5"/>
    <w:rsid w:val="00981349"/>
    <w:rsid w:val="0098141B"/>
    <w:rsid w:val="00981774"/>
    <w:rsid w:val="009817E2"/>
    <w:rsid w:val="0098193A"/>
    <w:rsid w:val="00981B8E"/>
    <w:rsid w:val="00981C21"/>
    <w:rsid w:val="00981C6E"/>
    <w:rsid w:val="00981CD8"/>
    <w:rsid w:val="00981D34"/>
    <w:rsid w:val="0098205C"/>
    <w:rsid w:val="009820E9"/>
    <w:rsid w:val="009825E9"/>
    <w:rsid w:val="00982650"/>
    <w:rsid w:val="00982D94"/>
    <w:rsid w:val="00982E07"/>
    <w:rsid w:val="00982F9F"/>
    <w:rsid w:val="00983102"/>
    <w:rsid w:val="009835BC"/>
    <w:rsid w:val="00983781"/>
    <w:rsid w:val="00983965"/>
    <w:rsid w:val="009839EA"/>
    <w:rsid w:val="00983A81"/>
    <w:rsid w:val="00983AF0"/>
    <w:rsid w:val="00983B99"/>
    <w:rsid w:val="00983C62"/>
    <w:rsid w:val="00983E0B"/>
    <w:rsid w:val="00983E55"/>
    <w:rsid w:val="00984022"/>
    <w:rsid w:val="00984056"/>
    <w:rsid w:val="009841F7"/>
    <w:rsid w:val="009842A1"/>
    <w:rsid w:val="0098433D"/>
    <w:rsid w:val="009844F4"/>
    <w:rsid w:val="009845E2"/>
    <w:rsid w:val="0098460E"/>
    <w:rsid w:val="00984776"/>
    <w:rsid w:val="00984CF3"/>
    <w:rsid w:val="00984D9D"/>
    <w:rsid w:val="00984F07"/>
    <w:rsid w:val="00984FFA"/>
    <w:rsid w:val="009850BC"/>
    <w:rsid w:val="00985190"/>
    <w:rsid w:val="00985464"/>
    <w:rsid w:val="00985567"/>
    <w:rsid w:val="009856E6"/>
    <w:rsid w:val="009858C6"/>
    <w:rsid w:val="00985B58"/>
    <w:rsid w:val="00985C2B"/>
    <w:rsid w:val="00985CE7"/>
    <w:rsid w:val="00985CEC"/>
    <w:rsid w:val="009861B2"/>
    <w:rsid w:val="009863AE"/>
    <w:rsid w:val="0098650D"/>
    <w:rsid w:val="00986904"/>
    <w:rsid w:val="00986984"/>
    <w:rsid w:val="00986AB8"/>
    <w:rsid w:val="00986B7C"/>
    <w:rsid w:val="00987190"/>
    <w:rsid w:val="009872B2"/>
    <w:rsid w:val="00987649"/>
    <w:rsid w:val="009877A7"/>
    <w:rsid w:val="00987827"/>
    <w:rsid w:val="00987944"/>
    <w:rsid w:val="00987CD3"/>
    <w:rsid w:val="00987E08"/>
    <w:rsid w:val="009900AB"/>
    <w:rsid w:val="00990153"/>
    <w:rsid w:val="00990178"/>
    <w:rsid w:val="00990461"/>
    <w:rsid w:val="00990520"/>
    <w:rsid w:val="0099066F"/>
    <w:rsid w:val="009906BE"/>
    <w:rsid w:val="009906E7"/>
    <w:rsid w:val="00990842"/>
    <w:rsid w:val="009908BC"/>
    <w:rsid w:val="009909D9"/>
    <w:rsid w:val="00990B68"/>
    <w:rsid w:val="00990F51"/>
    <w:rsid w:val="0099122F"/>
    <w:rsid w:val="00991486"/>
    <w:rsid w:val="0099186F"/>
    <w:rsid w:val="0099198B"/>
    <w:rsid w:val="00991B1C"/>
    <w:rsid w:val="00991B58"/>
    <w:rsid w:val="00991D3F"/>
    <w:rsid w:val="00991EBF"/>
    <w:rsid w:val="0099206D"/>
    <w:rsid w:val="009920D1"/>
    <w:rsid w:val="00992122"/>
    <w:rsid w:val="009922AD"/>
    <w:rsid w:val="009923FB"/>
    <w:rsid w:val="00992571"/>
    <w:rsid w:val="00992780"/>
    <w:rsid w:val="00992856"/>
    <w:rsid w:val="009928D1"/>
    <w:rsid w:val="00992B77"/>
    <w:rsid w:val="00992D01"/>
    <w:rsid w:val="00992E61"/>
    <w:rsid w:val="00992F32"/>
    <w:rsid w:val="00992F7C"/>
    <w:rsid w:val="0099324A"/>
    <w:rsid w:val="0099329C"/>
    <w:rsid w:val="00993455"/>
    <w:rsid w:val="00993658"/>
    <w:rsid w:val="0099367F"/>
    <w:rsid w:val="00993BA0"/>
    <w:rsid w:val="00993BDA"/>
    <w:rsid w:val="00993C3D"/>
    <w:rsid w:val="00994013"/>
    <w:rsid w:val="009942E5"/>
    <w:rsid w:val="009943E5"/>
    <w:rsid w:val="00994404"/>
    <w:rsid w:val="0099444C"/>
    <w:rsid w:val="009949B9"/>
    <w:rsid w:val="00994AC0"/>
    <w:rsid w:val="00994D3B"/>
    <w:rsid w:val="00994D64"/>
    <w:rsid w:val="00994ED7"/>
    <w:rsid w:val="00994F3E"/>
    <w:rsid w:val="009951F7"/>
    <w:rsid w:val="00995487"/>
    <w:rsid w:val="009956A4"/>
    <w:rsid w:val="00995771"/>
    <w:rsid w:val="0099577B"/>
    <w:rsid w:val="00995C45"/>
    <w:rsid w:val="00995FEE"/>
    <w:rsid w:val="009962A9"/>
    <w:rsid w:val="00996396"/>
    <w:rsid w:val="009966AC"/>
    <w:rsid w:val="009967E4"/>
    <w:rsid w:val="009968FB"/>
    <w:rsid w:val="00996BB2"/>
    <w:rsid w:val="00996DF4"/>
    <w:rsid w:val="00997272"/>
    <w:rsid w:val="00997423"/>
    <w:rsid w:val="00997495"/>
    <w:rsid w:val="009974C1"/>
    <w:rsid w:val="0099759C"/>
    <w:rsid w:val="009977B0"/>
    <w:rsid w:val="0099785A"/>
    <w:rsid w:val="00997CD0"/>
    <w:rsid w:val="00997FA7"/>
    <w:rsid w:val="009A03A7"/>
    <w:rsid w:val="009A0A33"/>
    <w:rsid w:val="009A0B3C"/>
    <w:rsid w:val="009A0BEC"/>
    <w:rsid w:val="009A0C98"/>
    <w:rsid w:val="009A0F77"/>
    <w:rsid w:val="009A0FEB"/>
    <w:rsid w:val="009A1009"/>
    <w:rsid w:val="009A10B2"/>
    <w:rsid w:val="009A12A5"/>
    <w:rsid w:val="009A1383"/>
    <w:rsid w:val="009A13DA"/>
    <w:rsid w:val="009A1537"/>
    <w:rsid w:val="009A16F1"/>
    <w:rsid w:val="009A17FB"/>
    <w:rsid w:val="009A1826"/>
    <w:rsid w:val="009A193A"/>
    <w:rsid w:val="009A19A5"/>
    <w:rsid w:val="009A19F2"/>
    <w:rsid w:val="009A1A69"/>
    <w:rsid w:val="009A1B1E"/>
    <w:rsid w:val="009A1E23"/>
    <w:rsid w:val="009A1FA4"/>
    <w:rsid w:val="009A2120"/>
    <w:rsid w:val="009A29EF"/>
    <w:rsid w:val="009A2CEE"/>
    <w:rsid w:val="009A2EEE"/>
    <w:rsid w:val="009A2F7C"/>
    <w:rsid w:val="009A3092"/>
    <w:rsid w:val="009A32CE"/>
    <w:rsid w:val="009A32FC"/>
    <w:rsid w:val="009A33E7"/>
    <w:rsid w:val="009A356F"/>
    <w:rsid w:val="009A371B"/>
    <w:rsid w:val="009A3880"/>
    <w:rsid w:val="009A3AC8"/>
    <w:rsid w:val="009A3EBE"/>
    <w:rsid w:val="009A44A4"/>
    <w:rsid w:val="009A44BA"/>
    <w:rsid w:val="009A461E"/>
    <w:rsid w:val="009A4991"/>
    <w:rsid w:val="009A4A0F"/>
    <w:rsid w:val="009A4D30"/>
    <w:rsid w:val="009A4E88"/>
    <w:rsid w:val="009A5347"/>
    <w:rsid w:val="009A5764"/>
    <w:rsid w:val="009A5BF4"/>
    <w:rsid w:val="009A5D89"/>
    <w:rsid w:val="009A5DC8"/>
    <w:rsid w:val="009A5DF9"/>
    <w:rsid w:val="009A5FE3"/>
    <w:rsid w:val="009A6019"/>
    <w:rsid w:val="009A6258"/>
    <w:rsid w:val="009A634B"/>
    <w:rsid w:val="009A66B2"/>
    <w:rsid w:val="009A66C2"/>
    <w:rsid w:val="009A6788"/>
    <w:rsid w:val="009A67AB"/>
    <w:rsid w:val="009A6891"/>
    <w:rsid w:val="009A6BD0"/>
    <w:rsid w:val="009A6C78"/>
    <w:rsid w:val="009A6FE0"/>
    <w:rsid w:val="009A72FF"/>
    <w:rsid w:val="009A745D"/>
    <w:rsid w:val="009A7581"/>
    <w:rsid w:val="009A7693"/>
    <w:rsid w:val="009A773C"/>
    <w:rsid w:val="009A77E0"/>
    <w:rsid w:val="009A7C48"/>
    <w:rsid w:val="009A7D73"/>
    <w:rsid w:val="009A7D84"/>
    <w:rsid w:val="009A7F16"/>
    <w:rsid w:val="009A7F4A"/>
    <w:rsid w:val="009B0116"/>
    <w:rsid w:val="009B03E3"/>
    <w:rsid w:val="009B0545"/>
    <w:rsid w:val="009B055B"/>
    <w:rsid w:val="009B065B"/>
    <w:rsid w:val="009B0AFA"/>
    <w:rsid w:val="009B0B2F"/>
    <w:rsid w:val="009B0B40"/>
    <w:rsid w:val="009B1041"/>
    <w:rsid w:val="009B137B"/>
    <w:rsid w:val="009B1768"/>
    <w:rsid w:val="009B17AD"/>
    <w:rsid w:val="009B183E"/>
    <w:rsid w:val="009B1AAD"/>
    <w:rsid w:val="009B1AF6"/>
    <w:rsid w:val="009B1B02"/>
    <w:rsid w:val="009B1C91"/>
    <w:rsid w:val="009B1CA2"/>
    <w:rsid w:val="009B1F4D"/>
    <w:rsid w:val="009B1FCD"/>
    <w:rsid w:val="009B243B"/>
    <w:rsid w:val="009B2751"/>
    <w:rsid w:val="009B2994"/>
    <w:rsid w:val="009B29EE"/>
    <w:rsid w:val="009B2A25"/>
    <w:rsid w:val="009B2A62"/>
    <w:rsid w:val="009B2CF7"/>
    <w:rsid w:val="009B2D1C"/>
    <w:rsid w:val="009B2DAE"/>
    <w:rsid w:val="009B2DC2"/>
    <w:rsid w:val="009B2E96"/>
    <w:rsid w:val="009B2FE5"/>
    <w:rsid w:val="009B31D3"/>
    <w:rsid w:val="009B329B"/>
    <w:rsid w:val="009B345F"/>
    <w:rsid w:val="009B3608"/>
    <w:rsid w:val="009B37AE"/>
    <w:rsid w:val="009B3820"/>
    <w:rsid w:val="009B38F6"/>
    <w:rsid w:val="009B3A7F"/>
    <w:rsid w:val="009B3BED"/>
    <w:rsid w:val="009B3C3A"/>
    <w:rsid w:val="009B3D15"/>
    <w:rsid w:val="009B4028"/>
    <w:rsid w:val="009B4075"/>
    <w:rsid w:val="009B432B"/>
    <w:rsid w:val="009B437B"/>
    <w:rsid w:val="009B43DC"/>
    <w:rsid w:val="009B44BB"/>
    <w:rsid w:val="009B4526"/>
    <w:rsid w:val="009B461C"/>
    <w:rsid w:val="009B4671"/>
    <w:rsid w:val="009B4818"/>
    <w:rsid w:val="009B483A"/>
    <w:rsid w:val="009B4F91"/>
    <w:rsid w:val="009B4FD3"/>
    <w:rsid w:val="009B4FEC"/>
    <w:rsid w:val="009B5059"/>
    <w:rsid w:val="009B5114"/>
    <w:rsid w:val="009B5149"/>
    <w:rsid w:val="009B5198"/>
    <w:rsid w:val="009B536E"/>
    <w:rsid w:val="009B5394"/>
    <w:rsid w:val="009B567E"/>
    <w:rsid w:val="009B5773"/>
    <w:rsid w:val="009B5873"/>
    <w:rsid w:val="009B58BD"/>
    <w:rsid w:val="009B5B59"/>
    <w:rsid w:val="009B5BA1"/>
    <w:rsid w:val="009B5E7B"/>
    <w:rsid w:val="009B6236"/>
    <w:rsid w:val="009B62D3"/>
    <w:rsid w:val="009B6550"/>
    <w:rsid w:val="009B65BC"/>
    <w:rsid w:val="009B65E8"/>
    <w:rsid w:val="009B66B3"/>
    <w:rsid w:val="009B68CF"/>
    <w:rsid w:val="009B6969"/>
    <w:rsid w:val="009B6A60"/>
    <w:rsid w:val="009B6B23"/>
    <w:rsid w:val="009B6FF5"/>
    <w:rsid w:val="009B72B3"/>
    <w:rsid w:val="009B73F2"/>
    <w:rsid w:val="009B7604"/>
    <w:rsid w:val="009B76F6"/>
    <w:rsid w:val="009B77E4"/>
    <w:rsid w:val="009B7A16"/>
    <w:rsid w:val="009B7AC3"/>
    <w:rsid w:val="009B7B75"/>
    <w:rsid w:val="009B7D32"/>
    <w:rsid w:val="009B7F85"/>
    <w:rsid w:val="009C0017"/>
    <w:rsid w:val="009C00B1"/>
    <w:rsid w:val="009C02E3"/>
    <w:rsid w:val="009C0348"/>
    <w:rsid w:val="009C0504"/>
    <w:rsid w:val="009C0636"/>
    <w:rsid w:val="009C0674"/>
    <w:rsid w:val="009C08ED"/>
    <w:rsid w:val="009C0993"/>
    <w:rsid w:val="009C09DB"/>
    <w:rsid w:val="009C0DDC"/>
    <w:rsid w:val="009C0E6D"/>
    <w:rsid w:val="009C0EF0"/>
    <w:rsid w:val="009C0F12"/>
    <w:rsid w:val="009C12CE"/>
    <w:rsid w:val="009C14F8"/>
    <w:rsid w:val="009C1680"/>
    <w:rsid w:val="009C1B23"/>
    <w:rsid w:val="009C1C86"/>
    <w:rsid w:val="009C1DC2"/>
    <w:rsid w:val="009C1E86"/>
    <w:rsid w:val="009C1F96"/>
    <w:rsid w:val="009C21E9"/>
    <w:rsid w:val="009C22A4"/>
    <w:rsid w:val="009C22C1"/>
    <w:rsid w:val="009C2308"/>
    <w:rsid w:val="009C2385"/>
    <w:rsid w:val="009C247E"/>
    <w:rsid w:val="009C2936"/>
    <w:rsid w:val="009C2B22"/>
    <w:rsid w:val="009C2B23"/>
    <w:rsid w:val="009C2C6E"/>
    <w:rsid w:val="009C2F03"/>
    <w:rsid w:val="009C3049"/>
    <w:rsid w:val="009C318A"/>
    <w:rsid w:val="009C33A4"/>
    <w:rsid w:val="009C3851"/>
    <w:rsid w:val="009C3A37"/>
    <w:rsid w:val="009C3A46"/>
    <w:rsid w:val="009C3C0E"/>
    <w:rsid w:val="009C3C3A"/>
    <w:rsid w:val="009C3E16"/>
    <w:rsid w:val="009C3E52"/>
    <w:rsid w:val="009C3FCC"/>
    <w:rsid w:val="009C424A"/>
    <w:rsid w:val="009C4363"/>
    <w:rsid w:val="009C438C"/>
    <w:rsid w:val="009C44C9"/>
    <w:rsid w:val="009C4614"/>
    <w:rsid w:val="009C482B"/>
    <w:rsid w:val="009C4B68"/>
    <w:rsid w:val="009C4B87"/>
    <w:rsid w:val="009C4E99"/>
    <w:rsid w:val="009C51AA"/>
    <w:rsid w:val="009C5496"/>
    <w:rsid w:val="009C5572"/>
    <w:rsid w:val="009C557A"/>
    <w:rsid w:val="009C5636"/>
    <w:rsid w:val="009C5640"/>
    <w:rsid w:val="009C564E"/>
    <w:rsid w:val="009C5839"/>
    <w:rsid w:val="009C5E0A"/>
    <w:rsid w:val="009C5FA7"/>
    <w:rsid w:val="009C625B"/>
    <w:rsid w:val="009C62FD"/>
    <w:rsid w:val="009C64CB"/>
    <w:rsid w:val="009C680F"/>
    <w:rsid w:val="009C6921"/>
    <w:rsid w:val="009C69AC"/>
    <w:rsid w:val="009C6C2B"/>
    <w:rsid w:val="009C6D76"/>
    <w:rsid w:val="009C6F0C"/>
    <w:rsid w:val="009C6FED"/>
    <w:rsid w:val="009C70AA"/>
    <w:rsid w:val="009C70D3"/>
    <w:rsid w:val="009C713F"/>
    <w:rsid w:val="009C74CF"/>
    <w:rsid w:val="009C7568"/>
    <w:rsid w:val="009C75D1"/>
    <w:rsid w:val="009C75FD"/>
    <w:rsid w:val="009C762C"/>
    <w:rsid w:val="009C76BD"/>
    <w:rsid w:val="009C7739"/>
    <w:rsid w:val="009C78DA"/>
    <w:rsid w:val="009C7BA5"/>
    <w:rsid w:val="009C7F6E"/>
    <w:rsid w:val="009D01DB"/>
    <w:rsid w:val="009D03DF"/>
    <w:rsid w:val="009D0473"/>
    <w:rsid w:val="009D0C12"/>
    <w:rsid w:val="009D1121"/>
    <w:rsid w:val="009D1160"/>
    <w:rsid w:val="009D12A6"/>
    <w:rsid w:val="009D12CA"/>
    <w:rsid w:val="009D1371"/>
    <w:rsid w:val="009D182E"/>
    <w:rsid w:val="009D1C12"/>
    <w:rsid w:val="009D1D66"/>
    <w:rsid w:val="009D1E6F"/>
    <w:rsid w:val="009D215D"/>
    <w:rsid w:val="009D2219"/>
    <w:rsid w:val="009D224F"/>
    <w:rsid w:val="009D235E"/>
    <w:rsid w:val="009D2421"/>
    <w:rsid w:val="009D2475"/>
    <w:rsid w:val="009D24D0"/>
    <w:rsid w:val="009D25BD"/>
    <w:rsid w:val="009D25C4"/>
    <w:rsid w:val="009D2883"/>
    <w:rsid w:val="009D31DE"/>
    <w:rsid w:val="009D327B"/>
    <w:rsid w:val="009D3338"/>
    <w:rsid w:val="009D3677"/>
    <w:rsid w:val="009D3BF7"/>
    <w:rsid w:val="009D3CD3"/>
    <w:rsid w:val="009D3E40"/>
    <w:rsid w:val="009D3F2D"/>
    <w:rsid w:val="009D3F52"/>
    <w:rsid w:val="009D422C"/>
    <w:rsid w:val="009D42A6"/>
    <w:rsid w:val="009D4318"/>
    <w:rsid w:val="009D43A5"/>
    <w:rsid w:val="009D45E2"/>
    <w:rsid w:val="009D461E"/>
    <w:rsid w:val="009D4704"/>
    <w:rsid w:val="009D48A2"/>
    <w:rsid w:val="009D4B9C"/>
    <w:rsid w:val="009D4D8C"/>
    <w:rsid w:val="009D4E5B"/>
    <w:rsid w:val="009D4FF6"/>
    <w:rsid w:val="009D5007"/>
    <w:rsid w:val="009D50AB"/>
    <w:rsid w:val="009D50BB"/>
    <w:rsid w:val="009D51EB"/>
    <w:rsid w:val="009D520A"/>
    <w:rsid w:val="009D525A"/>
    <w:rsid w:val="009D52F9"/>
    <w:rsid w:val="009D53E2"/>
    <w:rsid w:val="009D54CB"/>
    <w:rsid w:val="009D593F"/>
    <w:rsid w:val="009D5F65"/>
    <w:rsid w:val="009D6066"/>
    <w:rsid w:val="009D6293"/>
    <w:rsid w:val="009D6663"/>
    <w:rsid w:val="009D6904"/>
    <w:rsid w:val="009D6A57"/>
    <w:rsid w:val="009D6AC5"/>
    <w:rsid w:val="009D6B3D"/>
    <w:rsid w:val="009D73C6"/>
    <w:rsid w:val="009D73F8"/>
    <w:rsid w:val="009D751F"/>
    <w:rsid w:val="009D75E8"/>
    <w:rsid w:val="009D76BF"/>
    <w:rsid w:val="009D772A"/>
    <w:rsid w:val="009D7822"/>
    <w:rsid w:val="009D7A49"/>
    <w:rsid w:val="009D7B36"/>
    <w:rsid w:val="009D7CCF"/>
    <w:rsid w:val="009E00EE"/>
    <w:rsid w:val="009E01C5"/>
    <w:rsid w:val="009E01E7"/>
    <w:rsid w:val="009E02EC"/>
    <w:rsid w:val="009E07D1"/>
    <w:rsid w:val="009E0897"/>
    <w:rsid w:val="009E0B94"/>
    <w:rsid w:val="009E0B9D"/>
    <w:rsid w:val="009E0D03"/>
    <w:rsid w:val="009E0D52"/>
    <w:rsid w:val="009E10C4"/>
    <w:rsid w:val="009E1260"/>
    <w:rsid w:val="009E12DC"/>
    <w:rsid w:val="009E130B"/>
    <w:rsid w:val="009E149C"/>
    <w:rsid w:val="009E14ED"/>
    <w:rsid w:val="009E15CC"/>
    <w:rsid w:val="009E1A56"/>
    <w:rsid w:val="009E1DD7"/>
    <w:rsid w:val="009E1F9D"/>
    <w:rsid w:val="009E1FB4"/>
    <w:rsid w:val="009E20EC"/>
    <w:rsid w:val="009E24DF"/>
    <w:rsid w:val="009E25F1"/>
    <w:rsid w:val="009E25F7"/>
    <w:rsid w:val="009E263E"/>
    <w:rsid w:val="009E264A"/>
    <w:rsid w:val="009E26B4"/>
    <w:rsid w:val="009E26E1"/>
    <w:rsid w:val="009E2823"/>
    <w:rsid w:val="009E2852"/>
    <w:rsid w:val="009E291D"/>
    <w:rsid w:val="009E291E"/>
    <w:rsid w:val="009E2A36"/>
    <w:rsid w:val="009E2A4B"/>
    <w:rsid w:val="009E2B25"/>
    <w:rsid w:val="009E2CD9"/>
    <w:rsid w:val="009E2FAF"/>
    <w:rsid w:val="009E300F"/>
    <w:rsid w:val="009E30DB"/>
    <w:rsid w:val="009E3268"/>
    <w:rsid w:val="009E331A"/>
    <w:rsid w:val="009E34B3"/>
    <w:rsid w:val="009E3687"/>
    <w:rsid w:val="009E36A8"/>
    <w:rsid w:val="009E36AD"/>
    <w:rsid w:val="009E3785"/>
    <w:rsid w:val="009E392F"/>
    <w:rsid w:val="009E3A46"/>
    <w:rsid w:val="009E4059"/>
    <w:rsid w:val="009E40DB"/>
    <w:rsid w:val="009E46D7"/>
    <w:rsid w:val="009E46DF"/>
    <w:rsid w:val="009E4A9A"/>
    <w:rsid w:val="009E4AC8"/>
    <w:rsid w:val="009E4CB9"/>
    <w:rsid w:val="009E4EB5"/>
    <w:rsid w:val="009E515C"/>
    <w:rsid w:val="009E51B6"/>
    <w:rsid w:val="009E52AA"/>
    <w:rsid w:val="009E5A68"/>
    <w:rsid w:val="009E5A73"/>
    <w:rsid w:val="009E5BF2"/>
    <w:rsid w:val="009E5D85"/>
    <w:rsid w:val="009E5DB6"/>
    <w:rsid w:val="009E5DCE"/>
    <w:rsid w:val="009E5ED9"/>
    <w:rsid w:val="009E61B4"/>
    <w:rsid w:val="009E6249"/>
    <w:rsid w:val="009E6416"/>
    <w:rsid w:val="009E6436"/>
    <w:rsid w:val="009E674F"/>
    <w:rsid w:val="009E678F"/>
    <w:rsid w:val="009E67C8"/>
    <w:rsid w:val="009E686D"/>
    <w:rsid w:val="009E699A"/>
    <w:rsid w:val="009E6A1C"/>
    <w:rsid w:val="009E6A39"/>
    <w:rsid w:val="009E6AA2"/>
    <w:rsid w:val="009E6C2B"/>
    <w:rsid w:val="009E74C0"/>
    <w:rsid w:val="009E78D8"/>
    <w:rsid w:val="009E7CD6"/>
    <w:rsid w:val="009E7E84"/>
    <w:rsid w:val="009E7FBA"/>
    <w:rsid w:val="009F003B"/>
    <w:rsid w:val="009F03D9"/>
    <w:rsid w:val="009F071C"/>
    <w:rsid w:val="009F08B9"/>
    <w:rsid w:val="009F0BAB"/>
    <w:rsid w:val="009F10FC"/>
    <w:rsid w:val="009F11FB"/>
    <w:rsid w:val="009F1633"/>
    <w:rsid w:val="009F1A8E"/>
    <w:rsid w:val="009F1C6B"/>
    <w:rsid w:val="009F1EC3"/>
    <w:rsid w:val="009F206C"/>
    <w:rsid w:val="009F2082"/>
    <w:rsid w:val="009F22D2"/>
    <w:rsid w:val="009F240B"/>
    <w:rsid w:val="009F2644"/>
    <w:rsid w:val="009F27BB"/>
    <w:rsid w:val="009F28FC"/>
    <w:rsid w:val="009F2AA8"/>
    <w:rsid w:val="009F2BA0"/>
    <w:rsid w:val="009F2C9A"/>
    <w:rsid w:val="009F2CAF"/>
    <w:rsid w:val="009F2CD3"/>
    <w:rsid w:val="009F2D76"/>
    <w:rsid w:val="009F3208"/>
    <w:rsid w:val="009F33D4"/>
    <w:rsid w:val="009F34BA"/>
    <w:rsid w:val="009F355D"/>
    <w:rsid w:val="009F3745"/>
    <w:rsid w:val="009F3E41"/>
    <w:rsid w:val="009F4354"/>
    <w:rsid w:val="009F487B"/>
    <w:rsid w:val="009F4A3B"/>
    <w:rsid w:val="009F4AD1"/>
    <w:rsid w:val="009F4BAD"/>
    <w:rsid w:val="009F4C16"/>
    <w:rsid w:val="009F4C6E"/>
    <w:rsid w:val="009F4E2D"/>
    <w:rsid w:val="009F5130"/>
    <w:rsid w:val="009F52BD"/>
    <w:rsid w:val="009F5379"/>
    <w:rsid w:val="009F5663"/>
    <w:rsid w:val="009F5759"/>
    <w:rsid w:val="009F5A74"/>
    <w:rsid w:val="009F5C28"/>
    <w:rsid w:val="009F5FC4"/>
    <w:rsid w:val="009F6219"/>
    <w:rsid w:val="009F657C"/>
    <w:rsid w:val="009F65EC"/>
    <w:rsid w:val="009F6B70"/>
    <w:rsid w:val="009F6BA5"/>
    <w:rsid w:val="009F6BF6"/>
    <w:rsid w:val="009F6D76"/>
    <w:rsid w:val="009F71F1"/>
    <w:rsid w:val="009F71F9"/>
    <w:rsid w:val="009F7454"/>
    <w:rsid w:val="009F7471"/>
    <w:rsid w:val="009F74A0"/>
    <w:rsid w:val="009F74F1"/>
    <w:rsid w:val="009F7510"/>
    <w:rsid w:val="009F779C"/>
    <w:rsid w:val="009F79F6"/>
    <w:rsid w:val="009F7A3A"/>
    <w:rsid w:val="009F7A52"/>
    <w:rsid w:val="009F7AD9"/>
    <w:rsid w:val="009F7CB6"/>
    <w:rsid w:val="009F7D06"/>
    <w:rsid w:val="009F7DA1"/>
    <w:rsid w:val="009F7EF6"/>
    <w:rsid w:val="00A000BF"/>
    <w:rsid w:val="00A000CB"/>
    <w:rsid w:val="00A0034C"/>
    <w:rsid w:val="00A00494"/>
    <w:rsid w:val="00A0052F"/>
    <w:rsid w:val="00A0068E"/>
    <w:rsid w:val="00A007CC"/>
    <w:rsid w:val="00A008C3"/>
    <w:rsid w:val="00A0090A"/>
    <w:rsid w:val="00A00A2F"/>
    <w:rsid w:val="00A00B19"/>
    <w:rsid w:val="00A00D13"/>
    <w:rsid w:val="00A00DB8"/>
    <w:rsid w:val="00A00E2E"/>
    <w:rsid w:val="00A00E61"/>
    <w:rsid w:val="00A00E65"/>
    <w:rsid w:val="00A00F7D"/>
    <w:rsid w:val="00A0106B"/>
    <w:rsid w:val="00A010E2"/>
    <w:rsid w:val="00A010F6"/>
    <w:rsid w:val="00A01131"/>
    <w:rsid w:val="00A0129F"/>
    <w:rsid w:val="00A01376"/>
    <w:rsid w:val="00A0138C"/>
    <w:rsid w:val="00A01578"/>
    <w:rsid w:val="00A01A64"/>
    <w:rsid w:val="00A01D33"/>
    <w:rsid w:val="00A0228D"/>
    <w:rsid w:val="00A027AE"/>
    <w:rsid w:val="00A02808"/>
    <w:rsid w:val="00A02A8B"/>
    <w:rsid w:val="00A02B9D"/>
    <w:rsid w:val="00A02C40"/>
    <w:rsid w:val="00A03007"/>
    <w:rsid w:val="00A03013"/>
    <w:rsid w:val="00A03398"/>
    <w:rsid w:val="00A0350A"/>
    <w:rsid w:val="00A03775"/>
    <w:rsid w:val="00A03A40"/>
    <w:rsid w:val="00A03AC4"/>
    <w:rsid w:val="00A03BF6"/>
    <w:rsid w:val="00A03DBA"/>
    <w:rsid w:val="00A03E8F"/>
    <w:rsid w:val="00A043E3"/>
    <w:rsid w:val="00A044B2"/>
    <w:rsid w:val="00A0450A"/>
    <w:rsid w:val="00A049C9"/>
    <w:rsid w:val="00A04C68"/>
    <w:rsid w:val="00A04E4D"/>
    <w:rsid w:val="00A04FD2"/>
    <w:rsid w:val="00A0514B"/>
    <w:rsid w:val="00A051F3"/>
    <w:rsid w:val="00A051F8"/>
    <w:rsid w:val="00A05693"/>
    <w:rsid w:val="00A056C1"/>
    <w:rsid w:val="00A0570F"/>
    <w:rsid w:val="00A057D1"/>
    <w:rsid w:val="00A05918"/>
    <w:rsid w:val="00A05BC8"/>
    <w:rsid w:val="00A06038"/>
    <w:rsid w:val="00A06161"/>
    <w:rsid w:val="00A061F6"/>
    <w:rsid w:val="00A062E5"/>
    <w:rsid w:val="00A0630B"/>
    <w:rsid w:val="00A063FF"/>
    <w:rsid w:val="00A06494"/>
    <w:rsid w:val="00A065F8"/>
    <w:rsid w:val="00A068EE"/>
    <w:rsid w:val="00A069B4"/>
    <w:rsid w:val="00A06B06"/>
    <w:rsid w:val="00A06B88"/>
    <w:rsid w:val="00A06B8F"/>
    <w:rsid w:val="00A06FDD"/>
    <w:rsid w:val="00A071AE"/>
    <w:rsid w:val="00A0722D"/>
    <w:rsid w:val="00A07237"/>
    <w:rsid w:val="00A072C7"/>
    <w:rsid w:val="00A073C2"/>
    <w:rsid w:val="00A0760A"/>
    <w:rsid w:val="00A0769C"/>
    <w:rsid w:val="00A0778D"/>
    <w:rsid w:val="00A078B1"/>
    <w:rsid w:val="00A07C23"/>
    <w:rsid w:val="00A07DF4"/>
    <w:rsid w:val="00A07E75"/>
    <w:rsid w:val="00A07FBB"/>
    <w:rsid w:val="00A10002"/>
    <w:rsid w:val="00A1002B"/>
    <w:rsid w:val="00A10034"/>
    <w:rsid w:val="00A10261"/>
    <w:rsid w:val="00A1063F"/>
    <w:rsid w:val="00A10D97"/>
    <w:rsid w:val="00A10F3B"/>
    <w:rsid w:val="00A11089"/>
    <w:rsid w:val="00A11352"/>
    <w:rsid w:val="00A11374"/>
    <w:rsid w:val="00A11503"/>
    <w:rsid w:val="00A116EB"/>
    <w:rsid w:val="00A1185D"/>
    <w:rsid w:val="00A11BF6"/>
    <w:rsid w:val="00A11D19"/>
    <w:rsid w:val="00A12047"/>
    <w:rsid w:val="00A12156"/>
    <w:rsid w:val="00A12177"/>
    <w:rsid w:val="00A12239"/>
    <w:rsid w:val="00A12672"/>
    <w:rsid w:val="00A12683"/>
    <w:rsid w:val="00A12754"/>
    <w:rsid w:val="00A12B58"/>
    <w:rsid w:val="00A12DB6"/>
    <w:rsid w:val="00A13242"/>
    <w:rsid w:val="00A13484"/>
    <w:rsid w:val="00A135E6"/>
    <w:rsid w:val="00A1367C"/>
    <w:rsid w:val="00A13798"/>
    <w:rsid w:val="00A137A9"/>
    <w:rsid w:val="00A137F4"/>
    <w:rsid w:val="00A13B2E"/>
    <w:rsid w:val="00A13BBB"/>
    <w:rsid w:val="00A14157"/>
    <w:rsid w:val="00A1437A"/>
    <w:rsid w:val="00A14506"/>
    <w:rsid w:val="00A14525"/>
    <w:rsid w:val="00A14947"/>
    <w:rsid w:val="00A14C11"/>
    <w:rsid w:val="00A14D4D"/>
    <w:rsid w:val="00A14DAA"/>
    <w:rsid w:val="00A14E0C"/>
    <w:rsid w:val="00A14EC4"/>
    <w:rsid w:val="00A14ECC"/>
    <w:rsid w:val="00A14F5C"/>
    <w:rsid w:val="00A14FEE"/>
    <w:rsid w:val="00A1534B"/>
    <w:rsid w:val="00A15408"/>
    <w:rsid w:val="00A15444"/>
    <w:rsid w:val="00A1553D"/>
    <w:rsid w:val="00A15559"/>
    <w:rsid w:val="00A15560"/>
    <w:rsid w:val="00A155A4"/>
    <w:rsid w:val="00A155B4"/>
    <w:rsid w:val="00A15B05"/>
    <w:rsid w:val="00A15B89"/>
    <w:rsid w:val="00A15C2B"/>
    <w:rsid w:val="00A15F5A"/>
    <w:rsid w:val="00A160AE"/>
    <w:rsid w:val="00A16210"/>
    <w:rsid w:val="00A16310"/>
    <w:rsid w:val="00A16476"/>
    <w:rsid w:val="00A16495"/>
    <w:rsid w:val="00A164FA"/>
    <w:rsid w:val="00A1657B"/>
    <w:rsid w:val="00A16688"/>
    <w:rsid w:val="00A167BC"/>
    <w:rsid w:val="00A16991"/>
    <w:rsid w:val="00A169C1"/>
    <w:rsid w:val="00A16AF3"/>
    <w:rsid w:val="00A16DBE"/>
    <w:rsid w:val="00A16EBA"/>
    <w:rsid w:val="00A1746F"/>
    <w:rsid w:val="00A176C9"/>
    <w:rsid w:val="00A1776C"/>
    <w:rsid w:val="00A1781E"/>
    <w:rsid w:val="00A17AD7"/>
    <w:rsid w:val="00A200E1"/>
    <w:rsid w:val="00A2043B"/>
    <w:rsid w:val="00A204F5"/>
    <w:rsid w:val="00A20563"/>
    <w:rsid w:val="00A205B7"/>
    <w:rsid w:val="00A20630"/>
    <w:rsid w:val="00A2097A"/>
    <w:rsid w:val="00A20982"/>
    <w:rsid w:val="00A209F2"/>
    <w:rsid w:val="00A20AAF"/>
    <w:rsid w:val="00A20C66"/>
    <w:rsid w:val="00A20DF4"/>
    <w:rsid w:val="00A20F59"/>
    <w:rsid w:val="00A2117E"/>
    <w:rsid w:val="00A21474"/>
    <w:rsid w:val="00A214EF"/>
    <w:rsid w:val="00A21626"/>
    <w:rsid w:val="00A216C8"/>
    <w:rsid w:val="00A21937"/>
    <w:rsid w:val="00A2198A"/>
    <w:rsid w:val="00A21BE1"/>
    <w:rsid w:val="00A21C49"/>
    <w:rsid w:val="00A21E68"/>
    <w:rsid w:val="00A21EE3"/>
    <w:rsid w:val="00A220CD"/>
    <w:rsid w:val="00A22244"/>
    <w:rsid w:val="00A2242B"/>
    <w:rsid w:val="00A224A8"/>
    <w:rsid w:val="00A224B3"/>
    <w:rsid w:val="00A226BD"/>
    <w:rsid w:val="00A22760"/>
    <w:rsid w:val="00A22A44"/>
    <w:rsid w:val="00A22AA0"/>
    <w:rsid w:val="00A22B13"/>
    <w:rsid w:val="00A22B20"/>
    <w:rsid w:val="00A22F54"/>
    <w:rsid w:val="00A23053"/>
    <w:rsid w:val="00A23081"/>
    <w:rsid w:val="00A230E5"/>
    <w:rsid w:val="00A23278"/>
    <w:rsid w:val="00A23726"/>
    <w:rsid w:val="00A23B13"/>
    <w:rsid w:val="00A23E65"/>
    <w:rsid w:val="00A23F06"/>
    <w:rsid w:val="00A240C3"/>
    <w:rsid w:val="00A24275"/>
    <w:rsid w:val="00A24561"/>
    <w:rsid w:val="00A24639"/>
    <w:rsid w:val="00A246D2"/>
    <w:rsid w:val="00A247B4"/>
    <w:rsid w:val="00A24A07"/>
    <w:rsid w:val="00A24A4E"/>
    <w:rsid w:val="00A24B13"/>
    <w:rsid w:val="00A24C42"/>
    <w:rsid w:val="00A24EDB"/>
    <w:rsid w:val="00A24F49"/>
    <w:rsid w:val="00A2500E"/>
    <w:rsid w:val="00A25053"/>
    <w:rsid w:val="00A252A4"/>
    <w:rsid w:val="00A25EE8"/>
    <w:rsid w:val="00A25F19"/>
    <w:rsid w:val="00A2601A"/>
    <w:rsid w:val="00A26067"/>
    <w:rsid w:val="00A260F3"/>
    <w:rsid w:val="00A26224"/>
    <w:rsid w:val="00A2633B"/>
    <w:rsid w:val="00A26576"/>
    <w:rsid w:val="00A267EE"/>
    <w:rsid w:val="00A26CAF"/>
    <w:rsid w:val="00A2720A"/>
    <w:rsid w:val="00A2759C"/>
    <w:rsid w:val="00A27779"/>
    <w:rsid w:val="00A27A86"/>
    <w:rsid w:val="00A27A9B"/>
    <w:rsid w:val="00A27BB2"/>
    <w:rsid w:val="00A27DE2"/>
    <w:rsid w:val="00A27FBD"/>
    <w:rsid w:val="00A30075"/>
    <w:rsid w:val="00A300E2"/>
    <w:rsid w:val="00A30860"/>
    <w:rsid w:val="00A30A0D"/>
    <w:rsid w:val="00A30B61"/>
    <w:rsid w:val="00A30BA5"/>
    <w:rsid w:val="00A30BF0"/>
    <w:rsid w:val="00A30E49"/>
    <w:rsid w:val="00A30F11"/>
    <w:rsid w:val="00A30FA1"/>
    <w:rsid w:val="00A315F6"/>
    <w:rsid w:val="00A31760"/>
    <w:rsid w:val="00A3181E"/>
    <w:rsid w:val="00A31830"/>
    <w:rsid w:val="00A31A0E"/>
    <w:rsid w:val="00A31B07"/>
    <w:rsid w:val="00A31BE7"/>
    <w:rsid w:val="00A31DA3"/>
    <w:rsid w:val="00A32046"/>
    <w:rsid w:val="00A32152"/>
    <w:rsid w:val="00A322A6"/>
    <w:rsid w:val="00A32301"/>
    <w:rsid w:val="00A32344"/>
    <w:rsid w:val="00A325D2"/>
    <w:rsid w:val="00A32605"/>
    <w:rsid w:val="00A326D6"/>
    <w:rsid w:val="00A326DD"/>
    <w:rsid w:val="00A3270F"/>
    <w:rsid w:val="00A3276C"/>
    <w:rsid w:val="00A327C9"/>
    <w:rsid w:val="00A3285B"/>
    <w:rsid w:val="00A32A0C"/>
    <w:rsid w:val="00A32AC6"/>
    <w:rsid w:val="00A32CE8"/>
    <w:rsid w:val="00A32DA2"/>
    <w:rsid w:val="00A32EC1"/>
    <w:rsid w:val="00A32FAC"/>
    <w:rsid w:val="00A330F5"/>
    <w:rsid w:val="00A3332F"/>
    <w:rsid w:val="00A333C8"/>
    <w:rsid w:val="00A33422"/>
    <w:rsid w:val="00A3380E"/>
    <w:rsid w:val="00A33AF5"/>
    <w:rsid w:val="00A33C95"/>
    <w:rsid w:val="00A33F4A"/>
    <w:rsid w:val="00A33F6A"/>
    <w:rsid w:val="00A3408F"/>
    <w:rsid w:val="00A34218"/>
    <w:rsid w:val="00A343A3"/>
    <w:rsid w:val="00A34476"/>
    <w:rsid w:val="00A34696"/>
    <w:rsid w:val="00A34738"/>
    <w:rsid w:val="00A349C7"/>
    <w:rsid w:val="00A349D5"/>
    <w:rsid w:val="00A34A39"/>
    <w:rsid w:val="00A34AC8"/>
    <w:rsid w:val="00A34D67"/>
    <w:rsid w:val="00A34FC6"/>
    <w:rsid w:val="00A35227"/>
    <w:rsid w:val="00A35228"/>
    <w:rsid w:val="00A35266"/>
    <w:rsid w:val="00A352A7"/>
    <w:rsid w:val="00A3537D"/>
    <w:rsid w:val="00A35E93"/>
    <w:rsid w:val="00A35F96"/>
    <w:rsid w:val="00A35FC5"/>
    <w:rsid w:val="00A36017"/>
    <w:rsid w:val="00A3609A"/>
    <w:rsid w:val="00A360BD"/>
    <w:rsid w:val="00A362C3"/>
    <w:rsid w:val="00A3648F"/>
    <w:rsid w:val="00A3676F"/>
    <w:rsid w:val="00A367A0"/>
    <w:rsid w:val="00A36920"/>
    <w:rsid w:val="00A36B35"/>
    <w:rsid w:val="00A36BF6"/>
    <w:rsid w:val="00A36C21"/>
    <w:rsid w:val="00A36E1B"/>
    <w:rsid w:val="00A3707F"/>
    <w:rsid w:val="00A37286"/>
    <w:rsid w:val="00A37291"/>
    <w:rsid w:val="00A37488"/>
    <w:rsid w:val="00A376D8"/>
    <w:rsid w:val="00A37799"/>
    <w:rsid w:val="00A37820"/>
    <w:rsid w:val="00A37C39"/>
    <w:rsid w:val="00A37DA8"/>
    <w:rsid w:val="00A37E50"/>
    <w:rsid w:val="00A40024"/>
    <w:rsid w:val="00A400E5"/>
    <w:rsid w:val="00A4014F"/>
    <w:rsid w:val="00A401D8"/>
    <w:rsid w:val="00A4037E"/>
    <w:rsid w:val="00A40396"/>
    <w:rsid w:val="00A403C5"/>
    <w:rsid w:val="00A40652"/>
    <w:rsid w:val="00A40998"/>
    <w:rsid w:val="00A40D41"/>
    <w:rsid w:val="00A40D86"/>
    <w:rsid w:val="00A40D8A"/>
    <w:rsid w:val="00A40F6F"/>
    <w:rsid w:val="00A41114"/>
    <w:rsid w:val="00A4146B"/>
    <w:rsid w:val="00A414A8"/>
    <w:rsid w:val="00A41557"/>
    <w:rsid w:val="00A41695"/>
    <w:rsid w:val="00A41732"/>
    <w:rsid w:val="00A41778"/>
    <w:rsid w:val="00A41883"/>
    <w:rsid w:val="00A41B8C"/>
    <w:rsid w:val="00A41C3D"/>
    <w:rsid w:val="00A41D0F"/>
    <w:rsid w:val="00A41E0B"/>
    <w:rsid w:val="00A41E31"/>
    <w:rsid w:val="00A41E47"/>
    <w:rsid w:val="00A41E6F"/>
    <w:rsid w:val="00A42032"/>
    <w:rsid w:val="00A42769"/>
    <w:rsid w:val="00A4280F"/>
    <w:rsid w:val="00A4292E"/>
    <w:rsid w:val="00A42D68"/>
    <w:rsid w:val="00A42D7E"/>
    <w:rsid w:val="00A432F7"/>
    <w:rsid w:val="00A4349F"/>
    <w:rsid w:val="00A4350B"/>
    <w:rsid w:val="00A43578"/>
    <w:rsid w:val="00A436AA"/>
    <w:rsid w:val="00A436C1"/>
    <w:rsid w:val="00A43798"/>
    <w:rsid w:val="00A438A5"/>
    <w:rsid w:val="00A43B5E"/>
    <w:rsid w:val="00A43CE5"/>
    <w:rsid w:val="00A43E9C"/>
    <w:rsid w:val="00A4464E"/>
    <w:rsid w:val="00A44766"/>
    <w:rsid w:val="00A44931"/>
    <w:rsid w:val="00A44C0E"/>
    <w:rsid w:val="00A44C30"/>
    <w:rsid w:val="00A44F59"/>
    <w:rsid w:val="00A44F79"/>
    <w:rsid w:val="00A453AC"/>
    <w:rsid w:val="00A45440"/>
    <w:rsid w:val="00A454CE"/>
    <w:rsid w:val="00A4589B"/>
    <w:rsid w:val="00A45965"/>
    <w:rsid w:val="00A45B01"/>
    <w:rsid w:val="00A45B43"/>
    <w:rsid w:val="00A45B7D"/>
    <w:rsid w:val="00A45E9A"/>
    <w:rsid w:val="00A45EC1"/>
    <w:rsid w:val="00A45FEE"/>
    <w:rsid w:val="00A4643F"/>
    <w:rsid w:val="00A464E7"/>
    <w:rsid w:val="00A46540"/>
    <w:rsid w:val="00A4657D"/>
    <w:rsid w:val="00A4695F"/>
    <w:rsid w:val="00A469ED"/>
    <w:rsid w:val="00A46A5B"/>
    <w:rsid w:val="00A46C55"/>
    <w:rsid w:val="00A46F5E"/>
    <w:rsid w:val="00A46FDC"/>
    <w:rsid w:val="00A4727E"/>
    <w:rsid w:val="00A4745F"/>
    <w:rsid w:val="00A474E5"/>
    <w:rsid w:val="00A4762D"/>
    <w:rsid w:val="00A47C15"/>
    <w:rsid w:val="00A47C7B"/>
    <w:rsid w:val="00A47C8B"/>
    <w:rsid w:val="00A500AC"/>
    <w:rsid w:val="00A50184"/>
    <w:rsid w:val="00A5028C"/>
    <w:rsid w:val="00A5041E"/>
    <w:rsid w:val="00A504F1"/>
    <w:rsid w:val="00A50647"/>
    <w:rsid w:val="00A507B9"/>
    <w:rsid w:val="00A50A65"/>
    <w:rsid w:val="00A50ACC"/>
    <w:rsid w:val="00A50AD4"/>
    <w:rsid w:val="00A50CCE"/>
    <w:rsid w:val="00A50D0D"/>
    <w:rsid w:val="00A50DBD"/>
    <w:rsid w:val="00A50DCA"/>
    <w:rsid w:val="00A50E20"/>
    <w:rsid w:val="00A50FD1"/>
    <w:rsid w:val="00A50FEA"/>
    <w:rsid w:val="00A51032"/>
    <w:rsid w:val="00A51099"/>
    <w:rsid w:val="00A510A4"/>
    <w:rsid w:val="00A510B5"/>
    <w:rsid w:val="00A510C4"/>
    <w:rsid w:val="00A510FF"/>
    <w:rsid w:val="00A514AA"/>
    <w:rsid w:val="00A5154D"/>
    <w:rsid w:val="00A5160A"/>
    <w:rsid w:val="00A51968"/>
    <w:rsid w:val="00A51AD4"/>
    <w:rsid w:val="00A520C3"/>
    <w:rsid w:val="00A52577"/>
    <w:rsid w:val="00A52629"/>
    <w:rsid w:val="00A52869"/>
    <w:rsid w:val="00A529C7"/>
    <w:rsid w:val="00A52CE2"/>
    <w:rsid w:val="00A532D3"/>
    <w:rsid w:val="00A532E4"/>
    <w:rsid w:val="00A532E9"/>
    <w:rsid w:val="00A532F6"/>
    <w:rsid w:val="00A53547"/>
    <w:rsid w:val="00A53644"/>
    <w:rsid w:val="00A5371E"/>
    <w:rsid w:val="00A537E5"/>
    <w:rsid w:val="00A53938"/>
    <w:rsid w:val="00A53C60"/>
    <w:rsid w:val="00A53DEF"/>
    <w:rsid w:val="00A53F09"/>
    <w:rsid w:val="00A5404A"/>
    <w:rsid w:val="00A540EC"/>
    <w:rsid w:val="00A540F6"/>
    <w:rsid w:val="00A546CF"/>
    <w:rsid w:val="00A54859"/>
    <w:rsid w:val="00A54AB1"/>
    <w:rsid w:val="00A54E44"/>
    <w:rsid w:val="00A54EBA"/>
    <w:rsid w:val="00A54F5F"/>
    <w:rsid w:val="00A552F8"/>
    <w:rsid w:val="00A5531C"/>
    <w:rsid w:val="00A55432"/>
    <w:rsid w:val="00A55501"/>
    <w:rsid w:val="00A555DB"/>
    <w:rsid w:val="00A55983"/>
    <w:rsid w:val="00A55A1B"/>
    <w:rsid w:val="00A55B61"/>
    <w:rsid w:val="00A55BDE"/>
    <w:rsid w:val="00A55CA8"/>
    <w:rsid w:val="00A55CC0"/>
    <w:rsid w:val="00A55DE9"/>
    <w:rsid w:val="00A55EAB"/>
    <w:rsid w:val="00A55EEB"/>
    <w:rsid w:val="00A55F22"/>
    <w:rsid w:val="00A55FBD"/>
    <w:rsid w:val="00A56022"/>
    <w:rsid w:val="00A56135"/>
    <w:rsid w:val="00A565BD"/>
    <w:rsid w:val="00A56712"/>
    <w:rsid w:val="00A56885"/>
    <w:rsid w:val="00A56A16"/>
    <w:rsid w:val="00A56B1F"/>
    <w:rsid w:val="00A56C59"/>
    <w:rsid w:val="00A56D04"/>
    <w:rsid w:val="00A56FDE"/>
    <w:rsid w:val="00A57019"/>
    <w:rsid w:val="00A571ED"/>
    <w:rsid w:val="00A574C2"/>
    <w:rsid w:val="00A57558"/>
    <w:rsid w:val="00A57798"/>
    <w:rsid w:val="00A579BC"/>
    <w:rsid w:val="00A57D40"/>
    <w:rsid w:val="00A57D90"/>
    <w:rsid w:val="00A57FA0"/>
    <w:rsid w:val="00A6007F"/>
    <w:rsid w:val="00A60136"/>
    <w:rsid w:val="00A604CE"/>
    <w:rsid w:val="00A60620"/>
    <w:rsid w:val="00A606C0"/>
    <w:rsid w:val="00A606F3"/>
    <w:rsid w:val="00A60703"/>
    <w:rsid w:val="00A60766"/>
    <w:rsid w:val="00A60898"/>
    <w:rsid w:val="00A60B31"/>
    <w:rsid w:val="00A60E18"/>
    <w:rsid w:val="00A61281"/>
    <w:rsid w:val="00A614AF"/>
    <w:rsid w:val="00A617BF"/>
    <w:rsid w:val="00A61855"/>
    <w:rsid w:val="00A6185A"/>
    <w:rsid w:val="00A6192B"/>
    <w:rsid w:val="00A619B6"/>
    <w:rsid w:val="00A61A4E"/>
    <w:rsid w:val="00A61B7D"/>
    <w:rsid w:val="00A61E4C"/>
    <w:rsid w:val="00A61EAE"/>
    <w:rsid w:val="00A621D4"/>
    <w:rsid w:val="00A622CE"/>
    <w:rsid w:val="00A6242F"/>
    <w:rsid w:val="00A62926"/>
    <w:rsid w:val="00A629EF"/>
    <w:rsid w:val="00A62A36"/>
    <w:rsid w:val="00A62A52"/>
    <w:rsid w:val="00A62C3F"/>
    <w:rsid w:val="00A62CB7"/>
    <w:rsid w:val="00A62F21"/>
    <w:rsid w:val="00A6305F"/>
    <w:rsid w:val="00A63214"/>
    <w:rsid w:val="00A6345D"/>
    <w:rsid w:val="00A636B3"/>
    <w:rsid w:val="00A63832"/>
    <w:rsid w:val="00A639EB"/>
    <w:rsid w:val="00A63B17"/>
    <w:rsid w:val="00A63CB9"/>
    <w:rsid w:val="00A63DD3"/>
    <w:rsid w:val="00A63EBA"/>
    <w:rsid w:val="00A6401E"/>
    <w:rsid w:val="00A64068"/>
    <w:rsid w:val="00A64093"/>
    <w:rsid w:val="00A6411B"/>
    <w:rsid w:val="00A641A1"/>
    <w:rsid w:val="00A642AB"/>
    <w:rsid w:val="00A6470E"/>
    <w:rsid w:val="00A64722"/>
    <w:rsid w:val="00A64745"/>
    <w:rsid w:val="00A6484C"/>
    <w:rsid w:val="00A648D2"/>
    <w:rsid w:val="00A64935"/>
    <w:rsid w:val="00A64987"/>
    <w:rsid w:val="00A64AB3"/>
    <w:rsid w:val="00A64BAE"/>
    <w:rsid w:val="00A64E09"/>
    <w:rsid w:val="00A651DD"/>
    <w:rsid w:val="00A65240"/>
    <w:rsid w:val="00A657E2"/>
    <w:rsid w:val="00A6580D"/>
    <w:rsid w:val="00A6596F"/>
    <w:rsid w:val="00A65AE6"/>
    <w:rsid w:val="00A65C7F"/>
    <w:rsid w:val="00A65E15"/>
    <w:rsid w:val="00A65EA2"/>
    <w:rsid w:val="00A66299"/>
    <w:rsid w:val="00A66475"/>
    <w:rsid w:val="00A665B3"/>
    <w:rsid w:val="00A668C3"/>
    <w:rsid w:val="00A6690E"/>
    <w:rsid w:val="00A66DEA"/>
    <w:rsid w:val="00A66F0A"/>
    <w:rsid w:val="00A66F73"/>
    <w:rsid w:val="00A675E2"/>
    <w:rsid w:val="00A67670"/>
    <w:rsid w:val="00A678CA"/>
    <w:rsid w:val="00A67974"/>
    <w:rsid w:val="00A67CB2"/>
    <w:rsid w:val="00A67D08"/>
    <w:rsid w:val="00A67E39"/>
    <w:rsid w:val="00A70044"/>
    <w:rsid w:val="00A700F6"/>
    <w:rsid w:val="00A70150"/>
    <w:rsid w:val="00A70335"/>
    <w:rsid w:val="00A70382"/>
    <w:rsid w:val="00A704A0"/>
    <w:rsid w:val="00A7073E"/>
    <w:rsid w:val="00A7086D"/>
    <w:rsid w:val="00A709EA"/>
    <w:rsid w:val="00A70C84"/>
    <w:rsid w:val="00A70D25"/>
    <w:rsid w:val="00A70E95"/>
    <w:rsid w:val="00A710BD"/>
    <w:rsid w:val="00A71175"/>
    <w:rsid w:val="00A713F8"/>
    <w:rsid w:val="00A71975"/>
    <w:rsid w:val="00A71A5F"/>
    <w:rsid w:val="00A71BB9"/>
    <w:rsid w:val="00A71C97"/>
    <w:rsid w:val="00A71F88"/>
    <w:rsid w:val="00A722BF"/>
    <w:rsid w:val="00A72CE7"/>
    <w:rsid w:val="00A72D88"/>
    <w:rsid w:val="00A72DD2"/>
    <w:rsid w:val="00A730FA"/>
    <w:rsid w:val="00A734E8"/>
    <w:rsid w:val="00A73705"/>
    <w:rsid w:val="00A7378B"/>
    <w:rsid w:val="00A737C6"/>
    <w:rsid w:val="00A7394B"/>
    <w:rsid w:val="00A7394D"/>
    <w:rsid w:val="00A73C4B"/>
    <w:rsid w:val="00A73D7D"/>
    <w:rsid w:val="00A73E7B"/>
    <w:rsid w:val="00A73EAD"/>
    <w:rsid w:val="00A7403A"/>
    <w:rsid w:val="00A747A7"/>
    <w:rsid w:val="00A74820"/>
    <w:rsid w:val="00A74968"/>
    <w:rsid w:val="00A74D97"/>
    <w:rsid w:val="00A74DAA"/>
    <w:rsid w:val="00A74E75"/>
    <w:rsid w:val="00A74EC2"/>
    <w:rsid w:val="00A75067"/>
    <w:rsid w:val="00A75082"/>
    <w:rsid w:val="00A7518E"/>
    <w:rsid w:val="00A751D9"/>
    <w:rsid w:val="00A75311"/>
    <w:rsid w:val="00A753C0"/>
    <w:rsid w:val="00A755E6"/>
    <w:rsid w:val="00A75609"/>
    <w:rsid w:val="00A75667"/>
    <w:rsid w:val="00A75685"/>
    <w:rsid w:val="00A75AA4"/>
    <w:rsid w:val="00A75B97"/>
    <w:rsid w:val="00A75F43"/>
    <w:rsid w:val="00A75FBB"/>
    <w:rsid w:val="00A7657D"/>
    <w:rsid w:val="00A76663"/>
    <w:rsid w:val="00A767D5"/>
    <w:rsid w:val="00A76AA0"/>
    <w:rsid w:val="00A76CAF"/>
    <w:rsid w:val="00A76D3B"/>
    <w:rsid w:val="00A76E3E"/>
    <w:rsid w:val="00A76EDB"/>
    <w:rsid w:val="00A76F3E"/>
    <w:rsid w:val="00A77093"/>
    <w:rsid w:val="00A770C4"/>
    <w:rsid w:val="00A77586"/>
    <w:rsid w:val="00A77695"/>
    <w:rsid w:val="00A776E9"/>
    <w:rsid w:val="00A7779B"/>
    <w:rsid w:val="00A777A8"/>
    <w:rsid w:val="00A77821"/>
    <w:rsid w:val="00A77A65"/>
    <w:rsid w:val="00A77BE6"/>
    <w:rsid w:val="00A77C2E"/>
    <w:rsid w:val="00A77CE5"/>
    <w:rsid w:val="00A77D23"/>
    <w:rsid w:val="00A77D74"/>
    <w:rsid w:val="00A77E3D"/>
    <w:rsid w:val="00A77F5C"/>
    <w:rsid w:val="00A80017"/>
    <w:rsid w:val="00A802CE"/>
    <w:rsid w:val="00A802F9"/>
    <w:rsid w:val="00A804B6"/>
    <w:rsid w:val="00A80642"/>
    <w:rsid w:val="00A806C4"/>
    <w:rsid w:val="00A80710"/>
    <w:rsid w:val="00A80D7F"/>
    <w:rsid w:val="00A80F14"/>
    <w:rsid w:val="00A80F38"/>
    <w:rsid w:val="00A8142A"/>
    <w:rsid w:val="00A817A9"/>
    <w:rsid w:val="00A81845"/>
    <w:rsid w:val="00A818A6"/>
    <w:rsid w:val="00A81E85"/>
    <w:rsid w:val="00A81EDF"/>
    <w:rsid w:val="00A81F9C"/>
    <w:rsid w:val="00A820C2"/>
    <w:rsid w:val="00A82272"/>
    <w:rsid w:val="00A82389"/>
    <w:rsid w:val="00A823AB"/>
    <w:rsid w:val="00A82409"/>
    <w:rsid w:val="00A824A4"/>
    <w:rsid w:val="00A824A9"/>
    <w:rsid w:val="00A824D1"/>
    <w:rsid w:val="00A825A7"/>
    <w:rsid w:val="00A82750"/>
    <w:rsid w:val="00A827CA"/>
    <w:rsid w:val="00A82A65"/>
    <w:rsid w:val="00A82DD4"/>
    <w:rsid w:val="00A83026"/>
    <w:rsid w:val="00A831FF"/>
    <w:rsid w:val="00A83248"/>
    <w:rsid w:val="00A832B3"/>
    <w:rsid w:val="00A832F7"/>
    <w:rsid w:val="00A83403"/>
    <w:rsid w:val="00A834BF"/>
    <w:rsid w:val="00A8359A"/>
    <w:rsid w:val="00A836A7"/>
    <w:rsid w:val="00A838D3"/>
    <w:rsid w:val="00A83964"/>
    <w:rsid w:val="00A83BA6"/>
    <w:rsid w:val="00A83DFD"/>
    <w:rsid w:val="00A83EE0"/>
    <w:rsid w:val="00A84187"/>
    <w:rsid w:val="00A84493"/>
    <w:rsid w:val="00A84555"/>
    <w:rsid w:val="00A846A4"/>
    <w:rsid w:val="00A84730"/>
    <w:rsid w:val="00A847A3"/>
    <w:rsid w:val="00A84984"/>
    <w:rsid w:val="00A84D55"/>
    <w:rsid w:val="00A84E33"/>
    <w:rsid w:val="00A84F1D"/>
    <w:rsid w:val="00A85016"/>
    <w:rsid w:val="00A85082"/>
    <w:rsid w:val="00A8544F"/>
    <w:rsid w:val="00A854C2"/>
    <w:rsid w:val="00A855C9"/>
    <w:rsid w:val="00A8565D"/>
    <w:rsid w:val="00A8573A"/>
    <w:rsid w:val="00A8599D"/>
    <w:rsid w:val="00A859B0"/>
    <w:rsid w:val="00A85A59"/>
    <w:rsid w:val="00A85AAA"/>
    <w:rsid w:val="00A85AD3"/>
    <w:rsid w:val="00A85AEC"/>
    <w:rsid w:val="00A85EF5"/>
    <w:rsid w:val="00A86256"/>
    <w:rsid w:val="00A86298"/>
    <w:rsid w:val="00A8629D"/>
    <w:rsid w:val="00A862F5"/>
    <w:rsid w:val="00A866EB"/>
    <w:rsid w:val="00A8673F"/>
    <w:rsid w:val="00A86880"/>
    <w:rsid w:val="00A86C61"/>
    <w:rsid w:val="00A86E98"/>
    <w:rsid w:val="00A87154"/>
    <w:rsid w:val="00A871D3"/>
    <w:rsid w:val="00A872DC"/>
    <w:rsid w:val="00A87450"/>
    <w:rsid w:val="00A875E3"/>
    <w:rsid w:val="00A876F6"/>
    <w:rsid w:val="00A87852"/>
    <w:rsid w:val="00A87AA2"/>
    <w:rsid w:val="00A87AF2"/>
    <w:rsid w:val="00A87DB6"/>
    <w:rsid w:val="00A87F8D"/>
    <w:rsid w:val="00A87FF0"/>
    <w:rsid w:val="00A900D2"/>
    <w:rsid w:val="00A900DF"/>
    <w:rsid w:val="00A901E8"/>
    <w:rsid w:val="00A90299"/>
    <w:rsid w:val="00A90429"/>
    <w:rsid w:val="00A90505"/>
    <w:rsid w:val="00A9056E"/>
    <w:rsid w:val="00A90653"/>
    <w:rsid w:val="00A906AA"/>
    <w:rsid w:val="00A909BC"/>
    <w:rsid w:val="00A90AE0"/>
    <w:rsid w:val="00A90B8A"/>
    <w:rsid w:val="00A9104B"/>
    <w:rsid w:val="00A91209"/>
    <w:rsid w:val="00A912D0"/>
    <w:rsid w:val="00A91307"/>
    <w:rsid w:val="00A91485"/>
    <w:rsid w:val="00A915CC"/>
    <w:rsid w:val="00A916BE"/>
    <w:rsid w:val="00A916DB"/>
    <w:rsid w:val="00A917D9"/>
    <w:rsid w:val="00A91809"/>
    <w:rsid w:val="00A91B59"/>
    <w:rsid w:val="00A91BCD"/>
    <w:rsid w:val="00A91E19"/>
    <w:rsid w:val="00A91E60"/>
    <w:rsid w:val="00A91ED0"/>
    <w:rsid w:val="00A92092"/>
    <w:rsid w:val="00A920B6"/>
    <w:rsid w:val="00A9241F"/>
    <w:rsid w:val="00A924AD"/>
    <w:rsid w:val="00A9266F"/>
    <w:rsid w:val="00A92730"/>
    <w:rsid w:val="00A92BEF"/>
    <w:rsid w:val="00A92C7D"/>
    <w:rsid w:val="00A92CC2"/>
    <w:rsid w:val="00A92D8D"/>
    <w:rsid w:val="00A92E50"/>
    <w:rsid w:val="00A92E91"/>
    <w:rsid w:val="00A92F20"/>
    <w:rsid w:val="00A93344"/>
    <w:rsid w:val="00A9355C"/>
    <w:rsid w:val="00A936DD"/>
    <w:rsid w:val="00A93A8B"/>
    <w:rsid w:val="00A93CAA"/>
    <w:rsid w:val="00A93F86"/>
    <w:rsid w:val="00A94286"/>
    <w:rsid w:val="00A942AC"/>
    <w:rsid w:val="00A943F1"/>
    <w:rsid w:val="00A948E2"/>
    <w:rsid w:val="00A949D5"/>
    <w:rsid w:val="00A949F0"/>
    <w:rsid w:val="00A94C96"/>
    <w:rsid w:val="00A94CB1"/>
    <w:rsid w:val="00A94E0E"/>
    <w:rsid w:val="00A94EAB"/>
    <w:rsid w:val="00A94F24"/>
    <w:rsid w:val="00A94FAF"/>
    <w:rsid w:val="00A94FC7"/>
    <w:rsid w:val="00A95121"/>
    <w:rsid w:val="00A9513F"/>
    <w:rsid w:val="00A9541F"/>
    <w:rsid w:val="00A95460"/>
    <w:rsid w:val="00A954F6"/>
    <w:rsid w:val="00A95546"/>
    <w:rsid w:val="00A95716"/>
    <w:rsid w:val="00A95ABF"/>
    <w:rsid w:val="00A95CA6"/>
    <w:rsid w:val="00A95E0B"/>
    <w:rsid w:val="00A95EE8"/>
    <w:rsid w:val="00A963F3"/>
    <w:rsid w:val="00A96408"/>
    <w:rsid w:val="00A96495"/>
    <w:rsid w:val="00A9666A"/>
    <w:rsid w:val="00A966E0"/>
    <w:rsid w:val="00A96ADC"/>
    <w:rsid w:val="00A96BC5"/>
    <w:rsid w:val="00A96BC6"/>
    <w:rsid w:val="00A96C66"/>
    <w:rsid w:val="00A97073"/>
    <w:rsid w:val="00A970A0"/>
    <w:rsid w:val="00A97231"/>
    <w:rsid w:val="00A97534"/>
    <w:rsid w:val="00A975B2"/>
    <w:rsid w:val="00A97636"/>
    <w:rsid w:val="00A976F2"/>
    <w:rsid w:val="00A9775A"/>
    <w:rsid w:val="00A977B0"/>
    <w:rsid w:val="00A977D9"/>
    <w:rsid w:val="00A97913"/>
    <w:rsid w:val="00A97A63"/>
    <w:rsid w:val="00A97B9F"/>
    <w:rsid w:val="00A97F76"/>
    <w:rsid w:val="00AA0125"/>
    <w:rsid w:val="00AA01FB"/>
    <w:rsid w:val="00AA0321"/>
    <w:rsid w:val="00AA037A"/>
    <w:rsid w:val="00AA0423"/>
    <w:rsid w:val="00AA0B08"/>
    <w:rsid w:val="00AA0BCC"/>
    <w:rsid w:val="00AA0CFA"/>
    <w:rsid w:val="00AA0DDC"/>
    <w:rsid w:val="00AA0EA1"/>
    <w:rsid w:val="00AA0F3F"/>
    <w:rsid w:val="00AA0F6A"/>
    <w:rsid w:val="00AA10A7"/>
    <w:rsid w:val="00AA1602"/>
    <w:rsid w:val="00AA17D8"/>
    <w:rsid w:val="00AA1945"/>
    <w:rsid w:val="00AA19A0"/>
    <w:rsid w:val="00AA1BA6"/>
    <w:rsid w:val="00AA1D88"/>
    <w:rsid w:val="00AA1DC3"/>
    <w:rsid w:val="00AA1FBD"/>
    <w:rsid w:val="00AA22B3"/>
    <w:rsid w:val="00AA2374"/>
    <w:rsid w:val="00AA25A4"/>
    <w:rsid w:val="00AA2736"/>
    <w:rsid w:val="00AA2A89"/>
    <w:rsid w:val="00AA2C26"/>
    <w:rsid w:val="00AA2F51"/>
    <w:rsid w:val="00AA30E5"/>
    <w:rsid w:val="00AA323A"/>
    <w:rsid w:val="00AA3729"/>
    <w:rsid w:val="00AA3808"/>
    <w:rsid w:val="00AA394E"/>
    <w:rsid w:val="00AA3E9D"/>
    <w:rsid w:val="00AA4016"/>
    <w:rsid w:val="00AA41F4"/>
    <w:rsid w:val="00AA449F"/>
    <w:rsid w:val="00AA4535"/>
    <w:rsid w:val="00AA461D"/>
    <w:rsid w:val="00AA468E"/>
    <w:rsid w:val="00AA4D55"/>
    <w:rsid w:val="00AA4EB9"/>
    <w:rsid w:val="00AA4F6D"/>
    <w:rsid w:val="00AA5A4B"/>
    <w:rsid w:val="00AA5CB4"/>
    <w:rsid w:val="00AA5F34"/>
    <w:rsid w:val="00AA6106"/>
    <w:rsid w:val="00AA6169"/>
    <w:rsid w:val="00AA6212"/>
    <w:rsid w:val="00AA6959"/>
    <w:rsid w:val="00AA6C3F"/>
    <w:rsid w:val="00AA6D19"/>
    <w:rsid w:val="00AA6DAE"/>
    <w:rsid w:val="00AA6DAF"/>
    <w:rsid w:val="00AA6E14"/>
    <w:rsid w:val="00AA6FB3"/>
    <w:rsid w:val="00AA7054"/>
    <w:rsid w:val="00AA7679"/>
    <w:rsid w:val="00AA7731"/>
    <w:rsid w:val="00AA7CDB"/>
    <w:rsid w:val="00AA7D3D"/>
    <w:rsid w:val="00AA7E2E"/>
    <w:rsid w:val="00AA7FA0"/>
    <w:rsid w:val="00AA7FF7"/>
    <w:rsid w:val="00AB0061"/>
    <w:rsid w:val="00AB0126"/>
    <w:rsid w:val="00AB0181"/>
    <w:rsid w:val="00AB0278"/>
    <w:rsid w:val="00AB0342"/>
    <w:rsid w:val="00AB0479"/>
    <w:rsid w:val="00AB058F"/>
    <w:rsid w:val="00AB0764"/>
    <w:rsid w:val="00AB0B2B"/>
    <w:rsid w:val="00AB0D81"/>
    <w:rsid w:val="00AB0E9D"/>
    <w:rsid w:val="00AB1454"/>
    <w:rsid w:val="00AB158C"/>
    <w:rsid w:val="00AB1E1B"/>
    <w:rsid w:val="00AB203E"/>
    <w:rsid w:val="00AB2281"/>
    <w:rsid w:val="00AB24EF"/>
    <w:rsid w:val="00AB25C7"/>
    <w:rsid w:val="00AB271C"/>
    <w:rsid w:val="00AB2A47"/>
    <w:rsid w:val="00AB2B08"/>
    <w:rsid w:val="00AB2B5F"/>
    <w:rsid w:val="00AB2D53"/>
    <w:rsid w:val="00AB2D99"/>
    <w:rsid w:val="00AB2DED"/>
    <w:rsid w:val="00AB2E4A"/>
    <w:rsid w:val="00AB339D"/>
    <w:rsid w:val="00AB33F7"/>
    <w:rsid w:val="00AB35FB"/>
    <w:rsid w:val="00AB371E"/>
    <w:rsid w:val="00AB3732"/>
    <w:rsid w:val="00AB3795"/>
    <w:rsid w:val="00AB3885"/>
    <w:rsid w:val="00AB3AB2"/>
    <w:rsid w:val="00AB3B21"/>
    <w:rsid w:val="00AB3BFB"/>
    <w:rsid w:val="00AB40B6"/>
    <w:rsid w:val="00AB4113"/>
    <w:rsid w:val="00AB4289"/>
    <w:rsid w:val="00AB4351"/>
    <w:rsid w:val="00AB4839"/>
    <w:rsid w:val="00AB4A89"/>
    <w:rsid w:val="00AB4C51"/>
    <w:rsid w:val="00AB4DDA"/>
    <w:rsid w:val="00AB52DF"/>
    <w:rsid w:val="00AB53E9"/>
    <w:rsid w:val="00AB5497"/>
    <w:rsid w:val="00AB58C5"/>
    <w:rsid w:val="00AB5909"/>
    <w:rsid w:val="00AB5B48"/>
    <w:rsid w:val="00AB5BD1"/>
    <w:rsid w:val="00AB5FF8"/>
    <w:rsid w:val="00AB6046"/>
    <w:rsid w:val="00AB651A"/>
    <w:rsid w:val="00AB6643"/>
    <w:rsid w:val="00AB6661"/>
    <w:rsid w:val="00AB6682"/>
    <w:rsid w:val="00AB6972"/>
    <w:rsid w:val="00AB6E64"/>
    <w:rsid w:val="00AB7172"/>
    <w:rsid w:val="00AB7228"/>
    <w:rsid w:val="00AB73D7"/>
    <w:rsid w:val="00AB7411"/>
    <w:rsid w:val="00AB75AA"/>
    <w:rsid w:val="00AB772D"/>
    <w:rsid w:val="00AB7911"/>
    <w:rsid w:val="00AB7A01"/>
    <w:rsid w:val="00AB7A88"/>
    <w:rsid w:val="00AB7C94"/>
    <w:rsid w:val="00AB7D3D"/>
    <w:rsid w:val="00AB7EAF"/>
    <w:rsid w:val="00AB7EF0"/>
    <w:rsid w:val="00AC00E6"/>
    <w:rsid w:val="00AC03F7"/>
    <w:rsid w:val="00AC042E"/>
    <w:rsid w:val="00AC0643"/>
    <w:rsid w:val="00AC082E"/>
    <w:rsid w:val="00AC091D"/>
    <w:rsid w:val="00AC09D9"/>
    <w:rsid w:val="00AC0D12"/>
    <w:rsid w:val="00AC0E94"/>
    <w:rsid w:val="00AC16EE"/>
    <w:rsid w:val="00AC1853"/>
    <w:rsid w:val="00AC1978"/>
    <w:rsid w:val="00AC19C5"/>
    <w:rsid w:val="00AC218D"/>
    <w:rsid w:val="00AC2300"/>
    <w:rsid w:val="00AC231C"/>
    <w:rsid w:val="00AC2342"/>
    <w:rsid w:val="00AC2380"/>
    <w:rsid w:val="00AC25CE"/>
    <w:rsid w:val="00AC2A4D"/>
    <w:rsid w:val="00AC2B82"/>
    <w:rsid w:val="00AC2BA5"/>
    <w:rsid w:val="00AC2C48"/>
    <w:rsid w:val="00AC2D49"/>
    <w:rsid w:val="00AC2DF6"/>
    <w:rsid w:val="00AC3122"/>
    <w:rsid w:val="00AC313A"/>
    <w:rsid w:val="00AC32D1"/>
    <w:rsid w:val="00AC32F6"/>
    <w:rsid w:val="00AC347A"/>
    <w:rsid w:val="00AC35F5"/>
    <w:rsid w:val="00AC3674"/>
    <w:rsid w:val="00AC3728"/>
    <w:rsid w:val="00AC3DB3"/>
    <w:rsid w:val="00AC3FB6"/>
    <w:rsid w:val="00AC4237"/>
    <w:rsid w:val="00AC4317"/>
    <w:rsid w:val="00AC436F"/>
    <w:rsid w:val="00AC452E"/>
    <w:rsid w:val="00AC45D3"/>
    <w:rsid w:val="00AC4BA6"/>
    <w:rsid w:val="00AC4E77"/>
    <w:rsid w:val="00AC4EC0"/>
    <w:rsid w:val="00AC4FBA"/>
    <w:rsid w:val="00AC4FFD"/>
    <w:rsid w:val="00AC5163"/>
    <w:rsid w:val="00AC5213"/>
    <w:rsid w:val="00AC523A"/>
    <w:rsid w:val="00AC57DD"/>
    <w:rsid w:val="00AC58C5"/>
    <w:rsid w:val="00AC5960"/>
    <w:rsid w:val="00AC5D0E"/>
    <w:rsid w:val="00AC5DFB"/>
    <w:rsid w:val="00AC5F8E"/>
    <w:rsid w:val="00AC616C"/>
    <w:rsid w:val="00AC63C4"/>
    <w:rsid w:val="00AC63E3"/>
    <w:rsid w:val="00AC63F3"/>
    <w:rsid w:val="00AC640D"/>
    <w:rsid w:val="00AC65EE"/>
    <w:rsid w:val="00AC6905"/>
    <w:rsid w:val="00AC6990"/>
    <w:rsid w:val="00AC6F92"/>
    <w:rsid w:val="00AC6FE1"/>
    <w:rsid w:val="00AC7050"/>
    <w:rsid w:val="00AC714B"/>
    <w:rsid w:val="00AC722F"/>
    <w:rsid w:val="00AC7321"/>
    <w:rsid w:val="00AC74B7"/>
    <w:rsid w:val="00AC7539"/>
    <w:rsid w:val="00AC768F"/>
    <w:rsid w:val="00AC7722"/>
    <w:rsid w:val="00AC775D"/>
    <w:rsid w:val="00AC7A49"/>
    <w:rsid w:val="00AC7AF4"/>
    <w:rsid w:val="00AC7C56"/>
    <w:rsid w:val="00AC7F32"/>
    <w:rsid w:val="00AD009A"/>
    <w:rsid w:val="00AD02CF"/>
    <w:rsid w:val="00AD070F"/>
    <w:rsid w:val="00AD0800"/>
    <w:rsid w:val="00AD0DCD"/>
    <w:rsid w:val="00AD0EE8"/>
    <w:rsid w:val="00AD0F6E"/>
    <w:rsid w:val="00AD101E"/>
    <w:rsid w:val="00AD10D3"/>
    <w:rsid w:val="00AD131C"/>
    <w:rsid w:val="00AD1512"/>
    <w:rsid w:val="00AD1603"/>
    <w:rsid w:val="00AD1729"/>
    <w:rsid w:val="00AD1E71"/>
    <w:rsid w:val="00AD1FB7"/>
    <w:rsid w:val="00AD209F"/>
    <w:rsid w:val="00AD233C"/>
    <w:rsid w:val="00AD27D4"/>
    <w:rsid w:val="00AD28DC"/>
    <w:rsid w:val="00AD2C74"/>
    <w:rsid w:val="00AD2DDB"/>
    <w:rsid w:val="00AD3362"/>
    <w:rsid w:val="00AD34A1"/>
    <w:rsid w:val="00AD3679"/>
    <w:rsid w:val="00AD36F9"/>
    <w:rsid w:val="00AD3AA0"/>
    <w:rsid w:val="00AD3AAE"/>
    <w:rsid w:val="00AD3DCE"/>
    <w:rsid w:val="00AD3F07"/>
    <w:rsid w:val="00AD3F93"/>
    <w:rsid w:val="00AD406C"/>
    <w:rsid w:val="00AD40DD"/>
    <w:rsid w:val="00AD4363"/>
    <w:rsid w:val="00AD439B"/>
    <w:rsid w:val="00AD4418"/>
    <w:rsid w:val="00AD4468"/>
    <w:rsid w:val="00AD45AC"/>
    <w:rsid w:val="00AD4BC7"/>
    <w:rsid w:val="00AD4BCC"/>
    <w:rsid w:val="00AD4F04"/>
    <w:rsid w:val="00AD5012"/>
    <w:rsid w:val="00AD5066"/>
    <w:rsid w:val="00AD52F0"/>
    <w:rsid w:val="00AD537D"/>
    <w:rsid w:val="00AD5605"/>
    <w:rsid w:val="00AD5A96"/>
    <w:rsid w:val="00AD5B0E"/>
    <w:rsid w:val="00AD5B2E"/>
    <w:rsid w:val="00AD5BAC"/>
    <w:rsid w:val="00AD5C0C"/>
    <w:rsid w:val="00AD5CA9"/>
    <w:rsid w:val="00AD601B"/>
    <w:rsid w:val="00AD603E"/>
    <w:rsid w:val="00AD6550"/>
    <w:rsid w:val="00AD6608"/>
    <w:rsid w:val="00AD66F9"/>
    <w:rsid w:val="00AD69C8"/>
    <w:rsid w:val="00AD6DA3"/>
    <w:rsid w:val="00AD6E52"/>
    <w:rsid w:val="00AD6EC8"/>
    <w:rsid w:val="00AD6FB3"/>
    <w:rsid w:val="00AD712D"/>
    <w:rsid w:val="00AD732E"/>
    <w:rsid w:val="00AD73D6"/>
    <w:rsid w:val="00AD7976"/>
    <w:rsid w:val="00AD797C"/>
    <w:rsid w:val="00AD7B92"/>
    <w:rsid w:val="00AD7C98"/>
    <w:rsid w:val="00AD7CCF"/>
    <w:rsid w:val="00AD7CFA"/>
    <w:rsid w:val="00AD7FB0"/>
    <w:rsid w:val="00AD7FF9"/>
    <w:rsid w:val="00AE00BE"/>
    <w:rsid w:val="00AE0345"/>
    <w:rsid w:val="00AE03A3"/>
    <w:rsid w:val="00AE046A"/>
    <w:rsid w:val="00AE07B1"/>
    <w:rsid w:val="00AE07E9"/>
    <w:rsid w:val="00AE0A63"/>
    <w:rsid w:val="00AE0AC0"/>
    <w:rsid w:val="00AE0B02"/>
    <w:rsid w:val="00AE0B84"/>
    <w:rsid w:val="00AE0D07"/>
    <w:rsid w:val="00AE0DDA"/>
    <w:rsid w:val="00AE0E8A"/>
    <w:rsid w:val="00AE112B"/>
    <w:rsid w:val="00AE112F"/>
    <w:rsid w:val="00AE11CA"/>
    <w:rsid w:val="00AE11EE"/>
    <w:rsid w:val="00AE1846"/>
    <w:rsid w:val="00AE188D"/>
    <w:rsid w:val="00AE196C"/>
    <w:rsid w:val="00AE1A46"/>
    <w:rsid w:val="00AE1A9F"/>
    <w:rsid w:val="00AE1B90"/>
    <w:rsid w:val="00AE1D46"/>
    <w:rsid w:val="00AE222E"/>
    <w:rsid w:val="00AE233A"/>
    <w:rsid w:val="00AE2410"/>
    <w:rsid w:val="00AE2454"/>
    <w:rsid w:val="00AE273C"/>
    <w:rsid w:val="00AE2AE2"/>
    <w:rsid w:val="00AE2C0E"/>
    <w:rsid w:val="00AE2F1D"/>
    <w:rsid w:val="00AE3030"/>
    <w:rsid w:val="00AE3147"/>
    <w:rsid w:val="00AE3214"/>
    <w:rsid w:val="00AE3326"/>
    <w:rsid w:val="00AE33CD"/>
    <w:rsid w:val="00AE34DB"/>
    <w:rsid w:val="00AE35C6"/>
    <w:rsid w:val="00AE3636"/>
    <w:rsid w:val="00AE363E"/>
    <w:rsid w:val="00AE3920"/>
    <w:rsid w:val="00AE3A78"/>
    <w:rsid w:val="00AE3E32"/>
    <w:rsid w:val="00AE41E2"/>
    <w:rsid w:val="00AE4209"/>
    <w:rsid w:val="00AE4237"/>
    <w:rsid w:val="00AE4351"/>
    <w:rsid w:val="00AE45BE"/>
    <w:rsid w:val="00AE4608"/>
    <w:rsid w:val="00AE47BE"/>
    <w:rsid w:val="00AE47EB"/>
    <w:rsid w:val="00AE4E28"/>
    <w:rsid w:val="00AE4E4E"/>
    <w:rsid w:val="00AE4EF8"/>
    <w:rsid w:val="00AE50CD"/>
    <w:rsid w:val="00AE5368"/>
    <w:rsid w:val="00AE5B9F"/>
    <w:rsid w:val="00AE5BB0"/>
    <w:rsid w:val="00AE5CB7"/>
    <w:rsid w:val="00AE5E0E"/>
    <w:rsid w:val="00AE5E5C"/>
    <w:rsid w:val="00AE5F6B"/>
    <w:rsid w:val="00AE5FC9"/>
    <w:rsid w:val="00AE614A"/>
    <w:rsid w:val="00AE61AE"/>
    <w:rsid w:val="00AE61C9"/>
    <w:rsid w:val="00AE6202"/>
    <w:rsid w:val="00AE65C2"/>
    <w:rsid w:val="00AE6708"/>
    <w:rsid w:val="00AE6712"/>
    <w:rsid w:val="00AE6BE3"/>
    <w:rsid w:val="00AE703A"/>
    <w:rsid w:val="00AE70CF"/>
    <w:rsid w:val="00AE731F"/>
    <w:rsid w:val="00AE741B"/>
    <w:rsid w:val="00AE7481"/>
    <w:rsid w:val="00AE763E"/>
    <w:rsid w:val="00AE76FC"/>
    <w:rsid w:val="00AE77D9"/>
    <w:rsid w:val="00AE7A31"/>
    <w:rsid w:val="00AE7ADB"/>
    <w:rsid w:val="00AE7C0A"/>
    <w:rsid w:val="00AE7C68"/>
    <w:rsid w:val="00AE7F19"/>
    <w:rsid w:val="00AE7F4F"/>
    <w:rsid w:val="00AF0062"/>
    <w:rsid w:val="00AF0084"/>
    <w:rsid w:val="00AF0097"/>
    <w:rsid w:val="00AF084D"/>
    <w:rsid w:val="00AF08DA"/>
    <w:rsid w:val="00AF09FA"/>
    <w:rsid w:val="00AF0A77"/>
    <w:rsid w:val="00AF0D12"/>
    <w:rsid w:val="00AF0D69"/>
    <w:rsid w:val="00AF0DE2"/>
    <w:rsid w:val="00AF0F24"/>
    <w:rsid w:val="00AF1172"/>
    <w:rsid w:val="00AF11E8"/>
    <w:rsid w:val="00AF12FC"/>
    <w:rsid w:val="00AF1399"/>
    <w:rsid w:val="00AF1965"/>
    <w:rsid w:val="00AF1BDD"/>
    <w:rsid w:val="00AF1E5D"/>
    <w:rsid w:val="00AF1F50"/>
    <w:rsid w:val="00AF206E"/>
    <w:rsid w:val="00AF20E8"/>
    <w:rsid w:val="00AF21BA"/>
    <w:rsid w:val="00AF237F"/>
    <w:rsid w:val="00AF29FF"/>
    <w:rsid w:val="00AF2B0D"/>
    <w:rsid w:val="00AF2E48"/>
    <w:rsid w:val="00AF2E53"/>
    <w:rsid w:val="00AF2EB6"/>
    <w:rsid w:val="00AF2F55"/>
    <w:rsid w:val="00AF2FAB"/>
    <w:rsid w:val="00AF3082"/>
    <w:rsid w:val="00AF3B71"/>
    <w:rsid w:val="00AF3DE1"/>
    <w:rsid w:val="00AF3ECD"/>
    <w:rsid w:val="00AF3F9F"/>
    <w:rsid w:val="00AF4054"/>
    <w:rsid w:val="00AF4134"/>
    <w:rsid w:val="00AF41F4"/>
    <w:rsid w:val="00AF43AE"/>
    <w:rsid w:val="00AF445C"/>
    <w:rsid w:val="00AF450B"/>
    <w:rsid w:val="00AF46AB"/>
    <w:rsid w:val="00AF46AD"/>
    <w:rsid w:val="00AF473A"/>
    <w:rsid w:val="00AF477A"/>
    <w:rsid w:val="00AF48B4"/>
    <w:rsid w:val="00AF4BB4"/>
    <w:rsid w:val="00AF4CAD"/>
    <w:rsid w:val="00AF4DB2"/>
    <w:rsid w:val="00AF4E09"/>
    <w:rsid w:val="00AF4FA3"/>
    <w:rsid w:val="00AF525E"/>
    <w:rsid w:val="00AF53EB"/>
    <w:rsid w:val="00AF542C"/>
    <w:rsid w:val="00AF55C1"/>
    <w:rsid w:val="00AF56DD"/>
    <w:rsid w:val="00AF5747"/>
    <w:rsid w:val="00AF57DF"/>
    <w:rsid w:val="00AF5989"/>
    <w:rsid w:val="00AF5A80"/>
    <w:rsid w:val="00AF5B65"/>
    <w:rsid w:val="00AF5CA3"/>
    <w:rsid w:val="00AF5EE9"/>
    <w:rsid w:val="00AF6143"/>
    <w:rsid w:val="00AF6387"/>
    <w:rsid w:val="00AF64D7"/>
    <w:rsid w:val="00AF66C0"/>
    <w:rsid w:val="00AF6789"/>
    <w:rsid w:val="00AF6831"/>
    <w:rsid w:val="00AF6845"/>
    <w:rsid w:val="00AF69F8"/>
    <w:rsid w:val="00AF6A8D"/>
    <w:rsid w:val="00AF6AF2"/>
    <w:rsid w:val="00AF6B87"/>
    <w:rsid w:val="00AF6E43"/>
    <w:rsid w:val="00AF6F9B"/>
    <w:rsid w:val="00AF6FB9"/>
    <w:rsid w:val="00AF7016"/>
    <w:rsid w:val="00AF72C0"/>
    <w:rsid w:val="00AF772C"/>
    <w:rsid w:val="00AF7953"/>
    <w:rsid w:val="00AF7B99"/>
    <w:rsid w:val="00AF7BD0"/>
    <w:rsid w:val="00AF7D4F"/>
    <w:rsid w:val="00AF7D5B"/>
    <w:rsid w:val="00AF7E0D"/>
    <w:rsid w:val="00B0006E"/>
    <w:rsid w:val="00B002AF"/>
    <w:rsid w:val="00B002D7"/>
    <w:rsid w:val="00B0089E"/>
    <w:rsid w:val="00B00921"/>
    <w:rsid w:val="00B00983"/>
    <w:rsid w:val="00B00C19"/>
    <w:rsid w:val="00B00C34"/>
    <w:rsid w:val="00B00C42"/>
    <w:rsid w:val="00B00CFB"/>
    <w:rsid w:val="00B00E07"/>
    <w:rsid w:val="00B00FC9"/>
    <w:rsid w:val="00B01132"/>
    <w:rsid w:val="00B01498"/>
    <w:rsid w:val="00B01555"/>
    <w:rsid w:val="00B015C7"/>
    <w:rsid w:val="00B01817"/>
    <w:rsid w:val="00B018E9"/>
    <w:rsid w:val="00B01A79"/>
    <w:rsid w:val="00B01D71"/>
    <w:rsid w:val="00B01D9F"/>
    <w:rsid w:val="00B01F0B"/>
    <w:rsid w:val="00B01F50"/>
    <w:rsid w:val="00B01FDE"/>
    <w:rsid w:val="00B0210F"/>
    <w:rsid w:val="00B0217A"/>
    <w:rsid w:val="00B022F3"/>
    <w:rsid w:val="00B02336"/>
    <w:rsid w:val="00B02381"/>
    <w:rsid w:val="00B026BD"/>
    <w:rsid w:val="00B0275A"/>
    <w:rsid w:val="00B0280F"/>
    <w:rsid w:val="00B02973"/>
    <w:rsid w:val="00B02976"/>
    <w:rsid w:val="00B02B9B"/>
    <w:rsid w:val="00B02C1B"/>
    <w:rsid w:val="00B02D26"/>
    <w:rsid w:val="00B02DCD"/>
    <w:rsid w:val="00B02EFA"/>
    <w:rsid w:val="00B030A8"/>
    <w:rsid w:val="00B03266"/>
    <w:rsid w:val="00B03276"/>
    <w:rsid w:val="00B0335C"/>
    <w:rsid w:val="00B037E1"/>
    <w:rsid w:val="00B0397D"/>
    <w:rsid w:val="00B039BE"/>
    <w:rsid w:val="00B03A83"/>
    <w:rsid w:val="00B03CC3"/>
    <w:rsid w:val="00B042CE"/>
    <w:rsid w:val="00B04990"/>
    <w:rsid w:val="00B04C31"/>
    <w:rsid w:val="00B04C7C"/>
    <w:rsid w:val="00B04D89"/>
    <w:rsid w:val="00B04DBB"/>
    <w:rsid w:val="00B050A4"/>
    <w:rsid w:val="00B055CF"/>
    <w:rsid w:val="00B055D6"/>
    <w:rsid w:val="00B056EB"/>
    <w:rsid w:val="00B0585E"/>
    <w:rsid w:val="00B05903"/>
    <w:rsid w:val="00B05A6B"/>
    <w:rsid w:val="00B05D29"/>
    <w:rsid w:val="00B05D64"/>
    <w:rsid w:val="00B06021"/>
    <w:rsid w:val="00B06417"/>
    <w:rsid w:val="00B06471"/>
    <w:rsid w:val="00B06505"/>
    <w:rsid w:val="00B06773"/>
    <w:rsid w:val="00B0694D"/>
    <w:rsid w:val="00B06A07"/>
    <w:rsid w:val="00B06A20"/>
    <w:rsid w:val="00B06A7F"/>
    <w:rsid w:val="00B06BB3"/>
    <w:rsid w:val="00B06CA3"/>
    <w:rsid w:val="00B06F92"/>
    <w:rsid w:val="00B06FB7"/>
    <w:rsid w:val="00B07205"/>
    <w:rsid w:val="00B074F0"/>
    <w:rsid w:val="00B074FC"/>
    <w:rsid w:val="00B078C4"/>
    <w:rsid w:val="00B079B6"/>
    <w:rsid w:val="00B07B48"/>
    <w:rsid w:val="00B07DBE"/>
    <w:rsid w:val="00B07F39"/>
    <w:rsid w:val="00B100CA"/>
    <w:rsid w:val="00B100E0"/>
    <w:rsid w:val="00B106A7"/>
    <w:rsid w:val="00B106DA"/>
    <w:rsid w:val="00B10799"/>
    <w:rsid w:val="00B10C3A"/>
    <w:rsid w:val="00B10D42"/>
    <w:rsid w:val="00B10DF8"/>
    <w:rsid w:val="00B10E11"/>
    <w:rsid w:val="00B10F46"/>
    <w:rsid w:val="00B1139E"/>
    <w:rsid w:val="00B114C6"/>
    <w:rsid w:val="00B1173D"/>
    <w:rsid w:val="00B117B9"/>
    <w:rsid w:val="00B117E7"/>
    <w:rsid w:val="00B1187F"/>
    <w:rsid w:val="00B11C2D"/>
    <w:rsid w:val="00B11DBF"/>
    <w:rsid w:val="00B11FC2"/>
    <w:rsid w:val="00B12199"/>
    <w:rsid w:val="00B12359"/>
    <w:rsid w:val="00B123A6"/>
    <w:rsid w:val="00B12488"/>
    <w:rsid w:val="00B1260A"/>
    <w:rsid w:val="00B1260C"/>
    <w:rsid w:val="00B12789"/>
    <w:rsid w:val="00B12833"/>
    <w:rsid w:val="00B12BE7"/>
    <w:rsid w:val="00B12E20"/>
    <w:rsid w:val="00B133D5"/>
    <w:rsid w:val="00B134BD"/>
    <w:rsid w:val="00B13746"/>
    <w:rsid w:val="00B137ED"/>
    <w:rsid w:val="00B139B0"/>
    <w:rsid w:val="00B13BC4"/>
    <w:rsid w:val="00B13BE1"/>
    <w:rsid w:val="00B13F05"/>
    <w:rsid w:val="00B14130"/>
    <w:rsid w:val="00B14145"/>
    <w:rsid w:val="00B142FB"/>
    <w:rsid w:val="00B1449A"/>
    <w:rsid w:val="00B144B9"/>
    <w:rsid w:val="00B144FF"/>
    <w:rsid w:val="00B1455E"/>
    <w:rsid w:val="00B148B1"/>
    <w:rsid w:val="00B14ABF"/>
    <w:rsid w:val="00B14B4C"/>
    <w:rsid w:val="00B15129"/>
    <w:rsid w:val="00B152A5"/>
    <w:rsid w:val="00B1547C"/>
    <w:rsid w:val="00B15730"/>
    <w:rsid w:val="00B157F8"/>
    <w:rsid w:val="00B1592A"/>
    <w:rsid w:val="00B159E2"/>
    <w:rsid w:val="00B15ECD"/>
    <w:rsid w:val="00B15F05"/>
    <w:rsid w:val="00B16209"/>
    <w:rsid w:val="00B1623D"/>
    <w:rsid w:val="00B1627A"/>
    <w:rsid w:val="00B162E8"/>
    <w:rsid w:val="00B165F0"/>
    <w:rsid w:val="00B1670C"/>
    <w:rsid w:val="00B16741"/>
    <w:rsid w:val="00B1677A"/>
    <w:rsid w:val="00B16BE9"/>
    <w:rsid w:val="00B16FF5"/>
    <w:rsid w:val="00B1704C"/>
    <w:rsid w:val="00B1713B"/>
    <w:rsid w:val="00B17148"/>
    <w:rsid w:val="00B1724C"/>
    <w:rsid w:val="00B176BF"/>
    <w:rsid w:val="00B200C4"/>
    <w:rsid w:val="00B20189"/>
    <w:rsid w:val="00B20477"/>
    <w:rsid w:val="00B207B4"/>
    <w:rsid w:val="00B207B9"/>
    <w:rsid w:val="00B2083D"/>
    <w:rsid w:val="00B20986"/>
    <w:rsid w:val="00B20A13"/>
    <w:rsid w:val="00B20BAB"/>
    <w:rsid w:val="00B20C07"/>
    <w:rsid w:val="00B20D84"/>
    <w:rsid w:val="00B20E10"/>
    <w:rsid w:val="00B21427"/>
    <w:rsid w:val="00B214E0"/>
    <w:rsid w:val="00B214E4"/>
    <w:rsid w:val="00B21645"/>
    <w:rsid w:val="00B217AF"/>
    <w:rsid w:val="00B21930"/>
    <w:rsid w:val="00B219CA"/>
    <w:rsid w:val="00B21A84"/>
    <w:rsid w:val="00B21A95"/>
    <w:rsid w:val="00B21E07"/>
    <w:rsid w:val="00B21EF6"/>
    <w:rsid w:val="00B21F70"/>
    <w:rsid w:val="00B223A5"/>
    <w:rsid w:val="00B223AB"/>
    <w:rsid w:val="00B22A01"/>
    <w:rsid w:val="00B22AFC"/>
    <w:rsid w:val="00B22B09"/>
    <w:rsid w:val="00B22C83"/>
    <w:rsid w:val="00B22D28"/>
    <w:rsid w:val="00B22E45"/>
    <w:rsid w:val="00B22F52"/>
    <w:rsid w:val="00B22FBB"/>
    <w:rsid w:val="00B23229"/>
    <w:rsid w:val="00B234FF"/>
    <w:rsid w:val="00B23883"/>
    <w:rsid w:val="00B238F4"/>
    <w:rsid w:val="00B2396D"/>
    <w:rsid w:val="00B239F5"/>
    <w:rsid w:val="00B23A29"/>
    <w:rsid w:val="00B23AE7"/>
    <w:rsid w:val="00B23E98"/>
    <w:rsid w:val="00B24196"/>
    <w:rsid w:val="00B2420F"/>
    <w:rsid w:val="00B24287"/>
    <w:rsid w:val="00B2442A"/>
    <w:rsid w:val="00B24B01"/>
    <w:rsid w:val="00B24BBD"/>
    <w:rsid w:val="00B24C36"/>
    <w:rsid w:val="00B24DF1"/>
    <w:rsid w:val="00B253C9"/>
    <w:rsid w:val="00B25439"/>
    <w:rsid w:val="00B25610"/>
    <w:rsid w:val="00B256B7"/>
    <w:rsid w:val="00B258FE"/>
    <w:rsid w:val="00B259B7"/>
    <w:rsid w:val="00B25E2D"/>
    <w:rsid w:val="00B25E56"/>
    <w:rsid w:val="00B25EE6"/>
    <w:rsid w:val="00B25F49"/>
    <w:rsid w:val="00B25FEB"/>
    <w:rsid w:val="00B2607C"/>
    <w:rsid w:val="00B2611E"/>
    <w:rsid w:val="00B261BD"/>
    <w:rsid w:val="00B26231"/>
    <w:rsid w:val="00B2666E"/>
    <w:rsid w:val="00B26706"/>
    <w:rsid w:val="00B2675B"/>
    <w:rsid w:val="00B267D2"/>
    <w:rsid w:val="00B2686C"/>
    <w:rsid w:val="00B26893"/>
    <w:rsid w:val="00B268A7"/>
    <w:rsid w:val="00B269EA"/>
    <w:rsid w:val="00B26E11"/>
    <w:rsid w:val="00B26E87"/>
    <w:rsid w:val="00B2704F"/>
    <w:rsid w:val="00B270DE"/>
    <w:rsid w:val="00B27926"/>
    <w:rsid w:val="00B27A71"/>
    <w:rsid w:val="00B27AC1"/>
    <w:rsid w:val="00B27AEB"/>
    <w:rsid w:val="00B27C6F"/>
    <w:rsid w:val="00B27D34"/>
    <w:rsid w:val="00B27D7F"/>
    <w:rsid w:val="00B27E80"/>
    <w:rsid w:val="00B3000D"/>
    <w:rsid w:val="00B3018E"/>
    <w:rsid w:val="00B30190"/>
    <w:rsid w:val="00B30519"/>
    <w:rsid w:val="00B30759"/>
    <w:rsid w:val="00B307D7"/>
    <w:rsid w:val="00B30931"/>
    <w:rsid w:val="00B30941"/>
    <w:rsid w:val="00B30AE5"/>
    <w:rsid w:val="00B30BF3"/>
    <w:rsid w:val="00B30E6B"/>
    <w:rsid w:val="00B30EE5"/>
    <w:rsid w:val="00B31463"/>
    <w:rsid w:val="00B315CF"/>
    <w:rsid w:val="00B3166E"/>
    <w:rsid w:val="00B318AA"/>
    <w:rsid w:val="00B31D59"/>
    <w:rsid w:val="00B31DA3"/>
    <w:rsid w:val="00B31F36"/>
    <w:rsid w:val="00B32282"/>
    <w:rsid w:val="00B32380"/>
    <w:rsid w:val="00B323BF"/>
    <w:rsid w:val="00B323C8"/>
    <w:rsid w:val="00B3247A"/>
    <w:rsid w:val="00B32653"/>
    <w:rsid w:val="00B329D2"/>
    <w:rsid w:val="00B32A78"/>
    <w:rsid w:val="00B33749"/>
    <w:rsid w:val="00B33A45"/>
    <w:rsid w:val="00B33DAE"/>
    <w:rsid w:val="00B33E78"/>
    <w:rsid w:val="00B3439A"/>
    <w:rsid w:val="00B344C6"/>
    <w:rsid w:val="00B345B2"/>
    <w:rsid w:val="00B345EC"/>
    <w:rsid w:val="00B3460D"/>
    <w:rsid w:val="00B347DF"/>
    <w:rsid w:val="00B3486F"/>
    <w:rsid w:val="00B34A44"/>
    <w:rsid w:val="00B34CE2"/>
    <w:rsid w:val="00B34DF1"/>
    <w:rsid w:val="00B3528C"/>
    <w:rsid w:val="00B352AC"/>
    <w:rsid w:val="00B353E7"/>
    <w:rsid w:val="00B35647"/>
    <w:rsid w:val="00B357D1"/>
    <w:rsid w:val="00B35AEC"/>
    <w:rsid w:val="00B35CC9"/>
    <w:rsid w:val="00B35D00"/>
    <w:rsid w:val="00B35D01"/>
    <w:rsid w:val="00B35D6B"/>
    <w:rsid w:val="00B35D80"/>
    <w:rsid w:val="00B35FAF"/>
    <w:rsid w:val="00B36133"/>
    <w:rsid w:val="00B362BD"/>
    <w:rsid w:val="00B3646F"/>
    <w:rsid w:val="00B364AB"/>
    <w:rsid w:val="00B36757"/>
    <w:rsid w:val="00B3680F"/>
    <w:rsid w:val="00B3685C"/>
    <w:rsid w:val="00B36861"/>
    <w:rsid w:val="00B369BD"/>
    <w:rsid w:val="00B36DA1"/>
    <w:rsid w:val="00B3700B"/>
    <w:rsid w:val="00B37186"/>
    <w:rsid w:val="00B371B8"/>
    <w:rsid w:val="00B371E4"/>
    <w:rsid w:val="00B37521"/>
    <w:rsid w:val="00B375E6"/>
    <w:rsid w:val="00B3760C"/>
    <w:rsid w:val="00B37640"/>
    <w:rsid w:val="00B37745"/>
    <w:rsid w:val="00B37AE4"/>
    <w:rsid w:val="00B37BD3"/>
    <w:rsid w:val="00B37C46"/>
    <w:rsid w:val="00B37D5B"/>
    <w:rsid w:val="00B37E6C"/>
    <w:rsid w:val="00B402A5"/>
    <w:rsid w:val="00B404A3"/>
    <w:rsid w:val="00B40586"/>
    <w:rsid w:val="00B40B7D"/>
    <w:rsid w:val="00B40B82"/>
    <w:rsid w:val="00B40CFF"/>
    <w:rsid w:val="00B40DE3"/>
    <w:rsid w:val="00B40EF6"/>
    <w:rsid w:val="00B410A8"/>
    <w:rsid w:val="00B414A2"/>
    <w:rsid w:val="00B415FC"/>
    <w:rsid w:val="00B416A4"/>
    <w:rsid w:val="00B416B2"/>
    <w:rsid w:val="00B41715"/>
    <w:rsid w:val="00B41870"/>
    <w:rsid w:val="00B41A0B"/>
    <w:rsid w:val="00B41A37"/>
    <w:rsid w:val="00B41ACF"/>
    <w:rsid w:val="00B41C52"/>
    <w:rsid w:val="00B42138"/>
    <w:rsid w:val="00B422B3"/>
    <w:rsid w:val="00B423C0"/>
    <w:rsid w:val="00B42459"/>
    <w:rsid w:val="00B42B13"/>
    <w:rsid w:val="00B42B3A"/>
    <w:rsid w:val="00B42D6B"/>
    <w:rsid w:val="00B42E82"/>
    <w:rsid w:val="00B4308C"/>
    <w:rsid w:val="00B43191"/>
    <w:rsid w:val="00B431DA"/>
    <w:rsid w:val="00B4324A"/>
    <w:rsid w:val="00B433E1"/>
    <w:rsid w:val="00B43411"/>
    <w:rsid w:val="00B4373A"/>
    <w:rsid w:val="00B4375D"/>
    <w:rsid w:val="00B43DE1"/>
    <w:rsid w:val="00B43DF4"/>
    <w:rsid w:val="00B43F1F"/>
    <w:rsid w:val="00B440D9"/>
    <w:rsid w:val="00B442E5"/>
    <w:rsid w:val="00B44329"/>
    <w:rsid w:val="00B4435E"/>
    <w:rsid w:val="00B44616"/>
    <w:rsid w:val="00B4462F"/>
    <w:rsid w:val="00B44A90"/>
    <w:rsid w:val="00B44A9A"/>
    <w:rsid w:val="00B44ACD"/>
    <w:rsid w:val="00B44BF4"/>
    <w:rsid w:val="00B44C48"/>
    <w:rsid w:val="00B44C77"/>
    <w:rsid w:val="00B44E90"/>
    <w:rsid w:val="00B44F22"/>
    <w:rsid w:val="00B452F1"/>
    <w:rsid w:val="00B452F4"/>
    <w:rsid w:val="00B45437"/>
    <w:rsid w:val="00B455DF"/>
    <w:rsid w:val="00B45BAC"/>
    <w:rsid w:val="00B45CC7"/>
    <w:rsid w:val="00B45E82"/>
    <w:rsid w:val="00B45F9B"/>
    <w:rsid w:val="00B46118"/>
    <w:rsid w:val="00B461BF"/>
    <w:rsid w:val="00B4638D"/>
    <w:rsid w:val="00B466C8"/>
    <w:rsid w:val="00B46789"/>
    <w:rsid w:val="00B46930"/>
    <w:rsid w:val="00B4696F"/>
    <w:rsid w:val="00B46AD7"/>
    <w:rsid w:val="00B46B35"/>
    <w:rsid w:val="00B46B45"/>
    <w:rsid w:val="00B46B82"/>
    <w:rsid w:val="00B46C38"/>
    <w:rsid w:val="00B4714C"/>
    <w:rsid w:val="00B4757A"/>
    <w:rsid w:val="00B47757"/>
    <w:rsid w:val="00B4794D"/>
    <w:rsid w:val="00B47AC3"/>
    <w:rsid w:val="00B47E9A"/>
    <w:rsid w:val="00B47EE5"/>
    <w:rsid w:val="00B501E3"/>
    <w:rsid w:val="00B503E8"/>
    <w:rsid w:val="00B508FE"/>
    <w:rsid w:val="00B50C7F"/>
    <w:rsid w:val="00B50F16"/>
    <w:rsid w:val="00B50F46"/>
    <w:rsid w:val="00B50F70"/>
    <w:rsid w:val="00B51053"/>
    <w:rsid w:val="00B5160E"/>
    <w:rsid w:val="00B5165B"/>
    <w:rsid w:val="00B51712"/>
    <w:rsid w:val="00B5172A"/>
    <w:rsid w:val="00B519BB"/>
    <w:rsid w:val="00B51B0D"/>
    <w:rsid w:val="00B51BB9"/>
    <w:rsid w:val="00B51CA9"/>
    <w:rsid w:val="00B51D79"/>
    <w:rsid w:val="00B521B5"/>
    <w:rsid w:val="00B52212"/>
    <w:rsid w:val="00B52B2A"/>
    <w:rsid w:val="00B52B37"/>
    <w:rsid w:val="00B52B92"/>
    <w:rsid w:val="00B52D20"/>
    <w:rsid w:val="00B52E19"/>
    <w:rsid w:val="00B53285"/>
    <w:rsid w:val="00B533D7"/>
    <w:rsid w:val="00B53599"/>
    <w:rsid w:val="00B53897"/>
    <w:rsid w:val="00B53989"/>
    <w:rsid w:val="00B53B25"/>
    <w:rsid w:val="00B53C1D"/>
    <w:rsid w:val="00B53D85"/>
    <w:rsid w:val="00B53EA7"/>
    <w:rsid w:val="00B53FAF"/>
    <w:rsid w:val="00B53FCA"/>
    <w:rsid w:val="00B54072"/>
    <w:rsid w:val="00B5408E"/>
    <w:rsid w:val="00B5442F"/>
    <w:rsid w:val="00B54445"/>
    <w:rsid w:val="00B549DC"/>
    <w:rsid w:val="00B54AC2"/>
    <w:rsid w:val="00B54BB1"/>
    <w:rsid w:val="00B54C10"/>
    <w:rsid w:val="00B54C28"/>
    <w:rsid w:val="00B54EB2"/>
    <w:rsid w:val="00B54EE3"/>
    <w:rsid w:val="00B54F0C"/>
    <w:rsid w:val="00B54FB5"/>
    <w:rsid w:val="00B552AF"/>
    <w:rsid w:val="00B55418"/>
    <w:rsid w:val="00B554C1"/>
    <w:rsid w:val="00B555AE"/>
    <w:rsid w:val="00B55922"/>
    <w:rsid w:val="00B55B1C"/>
    <w:rsid w:val="00B560C7"/>
    <w:rsid w:val="00B5634B"/>
    <w:rsid w:val="00B5646E"/>
    <w:rsid w:val="00B565C5"/>
    <w:rsid w:val="00B5660B"/>
    <w:rsid w:val="00B566B5"/>
    <w:rsid w:val="00B566DE"/>
    <w:rsid w:val="00B567A4"/>
    <w:rsid w:val="00B56822"/>
    <w:rsid w:val="00B568F8"/>
    <w:rsid w:val="00B569A7"/>
    <w:rsid w:val="00B56C2A"/>
    <w:rsid w:val="00B56E11"/>
    <w:rsid w:val="00B57087"/>
    <w:rsid w:val="00B570B9"/>
    <w:rsid w:val="00B570D1"/>
    <w:rsid w:val="00B5740E"/>
    <w:rsid w:val="00B5750A"/>
    <w:rsid w:val="00B57727"/>
    <w:rsid w:val="00B57BB6"/>
    <w:rsid w:val="00B57BFA"/>
    <w:rsid w:val="00B57C01"/>
    <w:rsid w:val="00B57D22"/>
    <w:rsid w:val="00B57E68"/>
    <w:rsid w:val="00B57F03"/>
    <w:rsid w:val="00B6006E"/>
    <w:rsid w:val="00B6013D"/>
    <w:rsid w:val="00B601CA"/>
    <w:rsid w:val="00B6032B"/>
    <w:rsid w:val="00B607E1"/>
    <w:rsid w:val="00B60A18"/>
    <w:rsid w:val="00B60D1F"/>
    <w:rsid w:val="00B60D30"/>
    <w:rsid w:val="00B61107"/>
    <w:rsid w:val="00B6116A"/>
    <w:rsid w:val="00B61259"/>
    <w:rsid w:val="00B6129C"/>
    <w:rsid w:val="00B61411"/>
    <w:rsid w:val="00B61527"/>
    <w:rsid w:val="00B61638"/>
    <w:rsid w:val="00B6170D"/>
    <w:rsid w:val="00B6179E"/>
    <w:rsid w:val="00B619A6"/>
    <w:rsid w:val="00B61A95"/>
    <w:rsid w:val="00B61CB8"/>
    <w:rsid w:val="00B61CBF"/>
    <w:rsid w:val="00B61EEE"/>
    <w:rsid w:val="00B61F52"/>
    <w:rsid w:val="00B61F91"/>
    <w:rsid w:val="00B61FE0"/>
    <w:rsid w:val="00B61FFB"/>
    <w:rsid w:val="00B62067"/>
    <w:rsid w:val="00B622A7"/>
    <w:rsid w:val="00B622FE"/>
    <w:rsid w:val="00B62323"/>
    <w:rsid w:val="00B6282B"/>
    <w:rsid w:val="00B62B2D"/>
    <w:rsid w:val="00B62EC1"/>
    <w:rsid w:val="00B6305A"/>
    <w:rsid w:val="00B630C8"/>
    <w:rsid w:val="00B63259"/>
    <w:rsid w:val="00B63294"/>
    <w:rsid w:val="00B63317"/>
    <w:rsid w:val="00B63374"/>
    <w:rsid w:val="00B63449"/>
    <w:rsid w:val="00B63639"/>
    <w:rsid w:val="00B636BD"/>
    <w:rsid w:val="00B637C7"/>
    <w:rsid w:val="00B6386D"/>
    <w:rsid w:val="00B638DA"/>
    <w:rsid w:val="00B63A9F"/>
    <w:rsid w:val="00B63B8A"/>
    <w:rsid w:val="00B63BB5"/>
    <w:rsid w:val="00B63E73"/>
    <w:rsid w:val="00B63EC5"/>
    <w:rsid w:val="00B6410B"/>
    <w:rsid w:val="00B6413B"/>
    <w:rsid w:val="00B6415D"/>
    <w:rsid w:val="00B64552"/>
    <w:rsid w:val="00B64622"/>
    <w:rsid w:val="00B64B60"/>
    <w:rsid w:val="00B64D47"/>
    <w:rsid w:val="00B64DFE"/>
    <w:rsid w:val="00B64F10"/>
    <w:rsid w:val="00B65007"/>
    <w:rsid w:val="00B655AD"/>
    <w:rsid w:val="00B655F5"/>
    <w:rsid w:val="00B6572E"/>
    <w:rsid w:val="00B6577D"/>
    <w:rsid w:val="00B65987"/>
    <w:rsid w:val="00B65BDC"/>
    <w:rsid w:val="00B65BE7"/>
    <w:rsid w:val="00B65C4B"/>
    <w:rsid w:val="00B65D89"/>
    <w:rsid w:val="00B65F6A"/>
    <w:rsid w:val="00B66037"/>
    <w:rsid w:val="00B660D4"/>
    <w:rsid w:val="00B661EE"/>
    <w:rsid w:val="00B6661C"/>
    <w:rsid w:val="00B668E4"/>
    <w:rsid w:val="00B66A37"/>
    <w:rsid w:val="00B66C23"/>
    <w:rsid w:val="00B66D3E"/>
    <w:rsid w:val="00B66DEE"/>
    <w:rsid w:val="00B66E96"/>
    <w:rsid w:val="00B66EC1"/>
    <w:rsid w:val="00B66F52"/>
    <w:rsid w:val="00B672B3"/>
    <w:rsid w:val="00B67340"/>
    <w:rsid w:val="00B67599"/>
    <w:rsid w:val="00B675CF"/>
    <w:rsid w:val="00B6762A"/>
    <w:rsid w:val="00B6768B"/>
    <w:rsid w:val="00B67753"/>
    <w:rsid w:val="00B67879"/>
    <w:rsid w:val="00B67CB1"/>
    <w:rsid w:val="00B67CD6"/>
    <w:rsid w:val="00B67D61"/>
    <w:rsid w:val="00B67DA4"/>
    <w:rsid w:val="00B67ED1"/>
    <w:rsid w:val="00B67F17"/>
    <w:rsid w:val="00B67F19"/>
    <w:rsid w:val="00B70004"/>
    <w:rsid w:val="00B7028D"/>
    <w:rsid w:val="00B7034B"/>
    <w:rsid w:val="00B703BD"/>
    <w:rsid w:val="00B70529"/>
    <w:rsid w:val="00B705BA"/>
    <w:rsid w:val="00B705C3"/>
    <w:rsid w:val="00B707C6"/>
    <w:rsid w:val="00B708A5"/>
    <w:rsid w:val="00B708B8"/>
    <w:rsid w:val="00B70942"/>
    <w:rsid w:val="00B70C46"/>
    <w:rsid w:val="00B70CC8"/>
    <w:rsid w:val="00B70D97"/>
    <w:rsid w:val="00B70DD7"/>
    <w:rsid w:val="00B70DD8"/>
    <w:rsid w:val="00B71229"/>
    <w:rsid w:val="00B71295"/>
    <w:rsid w:val="00B71347"/>
    <w:rsid w:val="00B713B5"/>
    <w:rsid w:val="00B71567"/>
    <w:rsid w:val="00B7167F"/>
    <w:rsid w:val="00B7176C"/>
    <w:rsid w:val="00B71903"/>
    <w:rsid w:val="00B71C5D"/>
    <w:rsid w:val="00B71C7A"/>
    <w:rsid w:val="00B71D6B"/>
    <w:rsid w:val="00B71D83"/>
    <w:rsid w:val="00B72035"/>
    <w:rsid w:val="00B720CF"/>
    <w:rsid w:val="00B72123"/>
    <w:rsid w:val="00B7224B"/>
    <w:rsid w:val="00B72433"/>
    <w:rsid w:val="00B72542"/>
    <w:rsid w:val="00B7261A"/>
    <w:rsid w:val="00B72787"/>
    <w:rsid w:val="00B72D46"/>
    <w:rsid w:val="00B72E2F"/>
    <w:rsid w:val="00B73066"/>
    <w:rsid w:val="00B731A9"/>
    <w:rsid w:val="00B73299"/>
    <w:rsid w:val="00B7338A"/>
    <w:rsid w:val="00B7346F"/>
    <w:rsid w:val="00B7390D"/>
    <w:rsid w:val="00B7397F"/>
    <w:rsid w:val="00B73C86"/>
    <w:rsid w:val="00B73CEC"/>
    <w:rsid w:val="00B73F4E"/>
    <w:rsid w:val="00B73F7A"/>
    <w:rsid w:val="00B73F91"/>
    <w:rsid w:val="00B73FEF"/>
    <w:rsid w:val="00B7426A"/>
    <w:rsid w:val="00B74899"/>
    <w:rsid w:val="00B74AF4"/>
    <w:rsid w:val="00B74B48"/>
    <w:rsid w:val="00B74C41"/>
    <w:rsid w:val="00B74C5C"/>
    <w:rsid w:val="00B74D35"/>
    <w:rsid w:val="00B74D6A"/>
    <w:rsid w:val="00B74E0B"/>
    <w:rsid w:val="00B74F05"/>
    <w:rsid w:val="00B74F06"/>
    <w:rsid w:val="00B758DF"/>
    <w:rsid w:val="00B759DC"/>
    <w:rsid w:val="00B75A70"/>
    <w:rsid w:val="00B75BBA"/>
    <w:rsid w:val="00B75C9F"/>
    <w:rsid w:val="00B75F19"/>
    <w:rsid w:val="00B75F70"/>
    <w:rsid w:val="00B7608B"/>
    <w:rsid w:val="00B76105"/>
    <w:rsid w:val="00B76234"/>
    <w:rsid w:val="00B764AA"/>
    <w:rsid w:val="00B7669A"/>
    <w:rsid w:val="00B7688F"/>
    <w:rsid w:val="00B76A86"/>
    <w:rsid w:val="00B76B2C"/>
    <w:rsid w:val="00B76CDC"/>
    <w:rsid w:val="00B76CE5"/>
    <w:rsid w:val="00B76D1A"/>
    <w:rsid w:val="00B76D63"/>
    <w:rsid w:val="00B76F01"/>
    <w:rsid w:val="00B76FCC"/>
    <w:rsid w:val="00B77050"/>
    <w:rsid w:val="00B77170"/>
    <w:rsid w:val="00B7730A"/>
    <w:rsid w:val="00B7733C"/>
    <w:rsid w:val="00B77617"/>
    <w:rsid w:val="00B776ED"/>
    <w:rsid w:val="00B77752"/>
    <w:rsid w:val="00B7786D"/>
    <w:rsid w:val="00B77BE1"/>
    <w:rsid w:val="00B77FA4"/>
    <w:rsid w:val="00B80009"/>
    <w:rsid w:val="00B8018A"/>
    <w:rsid w:val="00B80292"/>
    <w:rsid w:val="00B8039A"/>
    <w:rsid w:val="00B805F2"/>
    <w:rsid w:val="00B80D9A"/>
    <w:rsid w:val="00B81019"/>
    <w:rsid w:val="00B810EE"/>
    <w:rsid w:val="00B813D0"/>
    <w:rsid w:val="00B8165A"/>
    <w:rsid w:val="00B81732"/>
    <w:rsid w:val="00B81925"/>
    <w:rsid w:val="00B81993"/>
    <w:rsid w:val="00B819BD"/>
    <w:rsid w:val="00B81A24"/>
    <w:rsid w:val="00B81A56"/>
    <w:rsid w:val="00B81CEA"/>
    <w:rsid w:val="00B81D55"/>
    <w:rsid w:val="00B81F58"/>
    <w:rsid w:val="00B81FF4"/>
    <w:rsid w:val="00B82149"/>
    <w:rsid w:val="00B821F5"/>
    <w:rsid w:val="00B823CF"/>
    <w:rsid w:val="00B8255A"/>
    <w:rsid w:val="00B8269B"/>
    <w:rsid w:val="00B82848"/>
    <w:rsid w:val="00B82AC1"/>
    <w:rsid w:val="00B82D5D"/>
    <w:rsid w:val="00B82FFF"/>
    <w:rsid w:val="00B832E6"/>
    <w:rsid w:val="00B83396"/>
    <w:rsid w:val="00B83621"/>
    <w:rsid w:val="00B836A9"/>
    <w:rsid w:val="00B8370F"/>
    <w:rsid w:val="00B838C6"/>
    <w:rsid w:val="00B838E4"/>
    <w:rsid w:val="00B83982"/>
    <w:rsid w:val="00B83A75"/>
    <w:rsid w:val="00B83C6F"/>
    <w:rsid w:val="00B83D14"/>
    <w:rsid w:val="00B83E08"/>
    <w:rsid w:val="00B840BA"/>
    <w:rsid w:val="00B840DF"/>
    <w:rsid w:val="00B84146"/>
    <w:rsid w:val="00B8426A"/>
    <w:rsid w:val="00B84325"/>
    <w:rsid w:val="00B84355"/>
    <w:rsid w:val="00B84421"/>
    <w:rsid w:val="00B84485"/>
    <w:rsid w:val="00B8480C"/>
    <w:rsid w:val="00B84CFB"/>
    <w:rsid w:val="00B84E62"/>
    <w:rsid w:val="00B854EE"/>
    <w:rsid w:val="00B85506"/>
    <w:rsid w:val="00B855D8"/>
    <w:rsid w:val="00B85648"/>
    <w:rsid w:val="00B8565C"/>
    <w:rsid w:val="00B85953"/>
    <w:rsid w:val="00B859BD"/>
    <w:rsid w:val="00B85A05"/>
    <w:rsid w:val="00B85A66"/>
    <w:rsid w:val="00B85ADA"/>
    <w:rsid w:val="00B85AEF"/>
    <w:rsid w:val="00B85DE7"/>
    <w:rsid w:val="00B85F27"/>
    <w:rsid w:val="00B86001"/>
    <w:rsid w:val="00B861B4"/>
    <w:rsid w:val="00B8621B"/>
    <w:rsid w:val="00B862D1"/>
    <w:rsid w:val="00B8642A"/>
    <w:rsid w:val="00B865B3"/>
    <w:rsid w:val="00B86611"/>
    <w:rsid w:val="00B868A2"/>
    <w:rsid w:val="00B86A47"/>
    <w:rsid w:val="00B86C50"/>
    <w:rsid w:val="00B86D04"/>
    <w:rsid w:val="00B87314"/>
    <w:rsid w:val="00B8745D"/>
    <w:rsid w:val="00B8750C"/>
    <w:rsid w:val="00B8773F"/>
    <w:rsid w:val="00B8780D"/>
    <w:rsid w:val="00B87829"/>
    <w:rsid w:val="00B878DB"/>
    <w:rsid w:val="00B87BF8"/>
    <w:rsid w:val="00B87D58"/>
    <w:rsid w:val="00B87DAA"/>
    <w:rsid w:val="00B902AF"/>
    <w:rsid w:val="00B903A5"/>
    <w:rsid w:val="00B903AF"/>
    <w:rsid w:val="00B9061B"/>
    <w:rsid w:val="00B9090C"/>
    <w:rsid w:val="00B90A76"/>
    <w:rsid w:val="00B90B17"/>
    <w:rsid w:val="00B90B86"/>
    <w:rsid w:val="00B90EA5"/>
    <w:rsid w:val="00B90FDF"/>
    <w:rsid w:val="00B9124D"/>
    <w:rsid w:val="00B9142F"/>
    <w:rsid w:val="00B914BC"/>
    <w:rsid w:val="00B916FC"/>
    <w:rsid w:val="00B9187A"/>
    <w:rsid w:val="00B91919"/>
    <w:rsid w:val="00B91B11"/>
    <w:rsid w:val="00B91BA5"/>
    <w:rsid w:val="00B91DF8"/>
    <w:rsid w:val="00B91FAA"/>
    <w:rsid w:val="00B92036"/>
    <w:rsid w:val="00B9206C"/>
    <w:rsid w:val="00B924EC"/>
    <w:rsid w:val="00B92687"/>
    <w:rsid w:val="00B92CEC"/>
    <w:rsid w:val="00B92D5A"/>
    <w:rsid w:val="00B9307A"/>
    <w:rsid w:val="00B93349"/>
    <w:rsid w:val="00B93F20"/>
    <w:rsid w:val="00B93F31"/>
    <w:rsid w:val="00B93F72"/>
    <w:rsid w:val="00B94022"/>
    <w:rsid w:val="00B94032"/>
    <w:rsid w:val="00B94131"/>
    <w:rsid w:val="00B94168"/>
    <w:rsid w:val="00B9430D"/>
    <w:rsid w:val="00B94981"/>
    <w:rsid w:val="00B94D13"/>
    <w:rsid w:val="00B94E11"/>
    <w:rsid w:val="00B94E8D"/>
    <w:rsid w:val="00B94FA0"/>
    <w:rsid w:val="00B953D7"/>
    <w:rsid w:val="00B9548D"/>
    <w:rsid w:val="00B95566"/>
    <w:rsid w:val="00B955C5"/>
    <w:rsid w:val="00B956B0"/>
    <w:rsid w:val="00B95792"/>
    <w:rsid w:val="00B95837"/>
    <w:rsid w:val="00B95920"/>
    <w:rsid w:val="00B95C3E"/>
    <w:rsid w:val="00B95E3B"/>
    <w:rsid w:val="00B960D5"/>
    <w:rsid w:val="00B96497"/>
    <w:rsid w:val="00B964DF"/>
    <w:rsid w:val="00B967FC"/>
    <w:rsid w:val="00B9685A"/>
    <w:rsid w:val="00B96E07"/>
    <w:rsid w:val="00B96EAA"/>
    <w:rsid w:val="00B96F78"/>
    <w:rsid w:val="00B9733A"/>
    <w:rsid w:val="00B97484"/>
    <w:rsid w:val="00B97728"/>
    <w:rsid w:val="00B97B4D"/>
    <w:rsid w:val="00B97CB3"/>
    <w:rsid w:val="00B97E61"/>
    <w:rsid w:val="00B97EBF"/>
    <w:rsid w:val="00BA0053"/>
    <w:rsid w:val="00BA0137"/>
    <w:rsid w:val="00BA0246"/>
    <w:rsid w:val="00BA034D"/>
    <w:rsid w:val="00BA03B5"/>
    <w:rsid w:val="00BA0674"/>
    <w:rsid w:val="00BA072D"/>
    <w:rsid w:val="00BA0739"/>
    <w:rsid w:val="00BA092C"/>
    <w:rsid w:val="00BA0F53"/>
    <w:rsid w:val="00BA10D0"/>
    <w:rsid w:val="00BA1193"/>
    <w:rsid w:val="00BA1254"/>
    <w:rsid w:val="00BA1278"/>
    <w:rsid w:val="00BA12B1"/>
    <w:rsid w:val="00BA12D5"/>
    <w:rsid w:val="00BA1513"/>
    <w:rsid w:val="00BA1715"/>
    <w:rsid w:val="00BA19E9"/>
    <w:rsid w:val="00BA1A7F"/>
    <w:rsid w:val="00BA1BE9"/>
    <w:rsid w:val="00BA1CDC"/>
    <w:rsid w:val="00BA1D3E"/>
    <w:rsid w:val="00BA1E15"/>
    <w:rsid w:val="00BA1E9A"/>
    <w:rsid w:val="00BA1EC8"/>
    <w:rsid w:val="00BA1F60"/>
    <w:rsid w:val="00BA200B"/>
    <w:rsid w:val="00BA2027"/>
    <w:rsid w:val="00BA2120"/>
    <w:rsid w:val="00BA251C"/>
    <w:rsid w:val="00BA27E0"/>
    <w:rsid w:val="00BA2D66"/>
    <w:rsid w:val="00BA34F3"/>
    <w:rsid w:val="00BA35B9"/>
    <w:rsid w:val="00BA35BD"/>
    <w:rsid w:val="00BA389B"/>
    <w:rsid w:val="00BA3913"/>
    <w:rsid w:val="00BA392C"/>
    <w:rsid w:val="00BA3AF7"/>
    <w:rsid w:val="00BA3EC8"/>
    <w:rsid w:val="00BA4040"/>
    <w:rsid w:val="00BA404E"/>
    <w:rsid w:val="00BA405F"/>
    <w:rsid w:val="00BA426F"/>
    <w:rsid w:val="00BA42C4"/>
    <w:rsid w:val="00BA46B7"/>
    <w:rsid w:val="00BA4732"/>
    <w:rsid w:val="00BA47F9"/>
    <w:rsid w:val="00BA491E"/>
    <w:rsid w:val="00BA4955"/>
    <w:rsid w:val="00BA50CF"/>
    <w:rsid w:val="00BA5179"/>
    <w:rsid w:val="00BA5248"/>
    <w:rsid w:val="00BA5272"/>
    <w:rsid w:val="00BA552E"/>
    <w:rsid w:val="00BA555B"/>
    <w:rsid w:val="00BA59F0"/>
    <w:rsid w:val="00BA5A1D"/>
    <w:rsid w:val="00BA5A74"/>
    <w:rsid w:val="00BA5C13"/>
    <w:rsid w:val="00BA5F78"/>
    <w:rsid w:val="00BA602A"/>
    <w:rsid w:val="00BA6346"/>
    <w:rsid w:val="00BA6C79"/>
    <w:rsid w:val="00BA6CD0"/>
    <w:rsid w:val="00BA70F0"/>
    <w:rsid w:val="00BA72EB"/>
    <w:rsid w:val="00BA73DF"/>
    <w:rsid w:val="00BA74D3"/>
    <w:rsid w:val="00BA7DA7"/>
    <w:rsid w:val="00BB0010"/>
    <w:rsid w:val="00BB0012"/>
    <w:rsid w:val="00BB0116"/>
    <w:rsid w:val="00BB0329"/>
    <w:rsid w:val="00BB04EF"/>
    <w:rsid w:val="00BB0683"/>
    <w:rsid w:val="00BB0A33"/>
    <w:rsid w:val="00BB0B87"/>
    <w:rsid w:val="00BB0C20"/>
    <w:rsid w:val="00BB0E2B"/>
    <w:rsid w:val="00BB122D"/>
    <w:rsid w:val="00BB14B3"/>
    <w:rsid w:val="00BB178A"/>
    <w:rsid w:val="00BB178E"/>
    <w:rsid w:val="00BB183A"/>
    <w:rsid w:val="00BB187F"/>
    <w:rsid w:val="00BB1C5D"/>
    <w:rsid w:val="00BB2233"/>
    <w:rsid w:val="00BB224F"/>
    <w:rsid w:val="00BB2283"/>
    <w:rsid w:val="00BB237C"/>
    <w:rsid w:val="00BB2691"/>
    <w:rsid w:val="00BB2C22"/>
    <w:rsid w:val="00BB2FE0"/>
    <w:rsid w:val="00BB35F4"/>
    <w:rsid w:val="00BB368A"/>
    <w:rsid w:val="00BB3756"/>
    <w:rsid w:val="00BB3AAC"/>
    <w:rsid w:val="00BB3CD8"/>
    <w:rsid w:val="00BB40BF"/>
    <w:rsid w:val="00BB43A0"/>
    <w:rsid w:val="00BB44F2"/>
    <w:rsid w:val="00BB44F7"/>
    <w:rsid w:val="00BB481B"/>
    <w:rsid w:val="00BB4856"/>
    <w:rsid w:val="00BB4888"/>
    <w:rsid w:val="00BB4B9F"/>
    <w:rsid w:val="00BB512E"/>
    <w:rsid w:val="00BB5268"/>
    <w:rsid w:val="00BB52C1"/>
    <w:rsid w:val="00BB56EC"/>
    <w:rsid w:val="00BB5BFD"/>
    <w:rsid w:val="00BB6024"/>
    <w:rsid w:val="00BB6030"/>
    <w:rsid w:val="00BB60F7"/>
    <w:rsid w:val="00BB6206"/>
    <w:rsid w:val="00BB6249"/>
    <w:rsid w:val="00BB6396"/>
    <w:rsid w:val="00BB63FA"/>
    <w:rsid w:val="00BB6592"/>
    <w:rsid w:val="00BB65C0"/>
    <w:rsid w:val="00BB6624"/>
    <w:rsid w:val="00BB67C8"/>
    <w:rsid w:val="00BB6964"/>
    <w:rsid w:val="00BB6B2C"/>
    <w:rsid w:val="00BB6BC2"/>
    <w:rsid w:val="00BB705D"/>
    <w:rsid w:val="00BB71A5"/>
    <w:rsid w:val="00BB721F"/>
    <w:rsid w:val="00BB7241"/>
    <w:rsid w:val="00BB7334"/>
    <w:rsid w:val="00BB76C5"/>
    <w:rsid w:val="00BB76F3"/>
    <w:rsid w:val="00BB7B9C"/>
    <w:rsid w:val="00BB7E95"/>
    <w:rsid w:val="00BB7EA4"/>
    <w:rsid w:val="00BC0002"/>
    <w:rsid w:val="00BC00FC"/>
    <w:rsid w:val="00BC0430"/>
    <w:rsid w:val="00BC067E"/>
    <w:rsid w:val="00BC07F2"/>
    <w:rsid w:val="00BC091C"/>
    <w:rsid w:val="00BC0943"/>
    <w:rsid w:val="00BC0C57"/>
    <w:rsid w:val="00BC0CFC"/>
    <w:rsid w:val="00BC0F21"/>
    <w:rsid w:val="00BC100B"/>
    <w:rsid w:val="00BC1057"/>
    <w:rsid w:val="00BC1458"/>
    <w:rsid w:val="00BC1616"/>
    <w:rsid w:val="00BC17A1"/>
    <w:rsid w:val="00BC17A5"/>
    <w:rsid w:val="00BC17D2"/>
    <w:rsid w:val="00BC1AF8"/>
    <w:rsid w:val="00BC1C30"/>
    <w:rsid w:val="00BC1E5C"/>
    <w:rsid w:val="00BC20E2"/>
    <w:rsid w:val="00BC233B"/>
    <w:rsid w:val="00BC23D1"/>
    <w:rsid w:val="00BC2544"/>
    <w:rsid w:val="00BC27E9"/>
    <w:rsid w:val="00BC28C2"/>
    <w:rsid w:val="00BC2990"/>
    <w:rsid w:val="00BC2AF0"/>
    <w:rsid w:val="00BC2C54"/>
    <w:rsid w:val="00BC2DFB"/>
    <w:rsid w:val="00BC2E0B"/>
    <w:rsid w:val="00BC2EB3"/>
    <w:rsid w:val="00BC3020"/>
    <w:rsid w:val="00BC3090"/>
    <w:rsid w:val="00BC30D3"/>
    <w:rsid w:val="00BC33FF"/>
    <w:rsid w:val="00BC345C"/>
    <w:rsid w:val="00BC36A8"/>
    <w:rsid w:val="00BC3796"/>
    <w:rsid w:val="00BC3B0C"/>
    <w:rsid w:val="00BC3C3C"/>
    <w:rsid w:val="00BC3E0E"/>
    <w:rsid w:val="00BC41E6"/>
    <w:rsid w:val="00BC4355"/>
    <w:rsid w:val="00BC44EE"/>
    <w:rsid w:val="00BC4634"/>
    <w:rsid w:val="00BC467E"/>
    <w:rsid w:val="00BC4803"/>
    <w:rsid w:val="00BC4844"/>
    <w:rsid w:val="00BC48DA"/>
    <w:rsid w:val="00BC48E8"/>
    <w:rsid w:val="00BC4926"/>
    <w:rsid w:val="00BC4E34"/>
    <w:rsid w:val="00BC4FBE"/>
    <w:rsid w:val="00BC5005"/>
    <w:rsid w:val="00BC528F"/>
    <w:rsid w:val="00BC5450"/>
    <w:rsid w:val="00BC5808"/>
    <w:rsid w:val="00BC58EA"/>
    <w:rsid w:val="00BC5970"/>
    <w:rsid w:val="00BC59A2"/>
    <w:rsid w:val="00BC5ABD"/>
    <w:rsid w:val="00BC5AEB"/>
    <w:rsid w:val="00BC618F"/>
    <w:rsid w:val="00BC635F"/>
    <w:rsid w:val="00BC63C9"/>
    <w:rsid w:val="00BC6476"/>
    <w:rsid w:val="00BC6B43"/>
    <w:rsid w:val="00BC6B6B"/>
    <w:rsid w:val="00BC6D02"/>
    <w:rsid w:val="00BC6D52"/>
    <w:rsid w:val="00BC6E38"/>
    <w:rsid w:val="00BC7092"/>
    <w:rsid w:val="00BC7097"/>
    <w:rsid w:val="00BC70D6"/>
    <w:rsid w:val="00BC73BF"/>
    <w:rsid w:val="00BC73C5"/>
    <w:rsid w:val="00BC741B"/>
    <w:rsid w:val="00BC754A"/>
    <w:rsid w:val="00BC7837"/>
    <w:rsid w:val="00BC7957"/>
    <w:rsid w:val="00BC7A01"/>
    <w:rsid w:val="00BC7A7A"/>
    <w:rsid w:val="00BC7C09"/>
    <w:rsid w:val="00BC7CAA"/>
    <w:rsid w:val="00BC7D0C"/>
    <w:rsid w:val="00BC7EAB"/>
    <w:rsid w:val="00BC7EBE"/>
    <w:rsid w:val="00BC7F9F"/>
    <w:rsid w:val="00BD02B6"/>
    <w:rsid w:val="00BD032C"/>
    <w:rsid w:val="00BD0699"/>
    <w:rsid w:val="00BD07F3"/>
    <w:rsid w:val="00BD0A36"/>
    <w:rsid w:val="00BD0DC0"/>
    <w:rsid w:val="00BD10EB"/>
    <w:rsid w:val="00BD1371"/>
    <w:rsid w:val="00BD1468"/>
    <w:rsid w:val="00BD17AB"/>
    <w:rsid w:val="00BD17AC"/>
    <w:rsid w:val="00BD185B"/>
    <w:rsid w:val="00BD190D"/>
    <w:rsid w:val="00BD199A"/>
    <w:rsid w:val="00BD21F5"/>
    <w:rsid w:val="00BD222C"/>
    <w:rsid w:val="00BD2560"/>
    <w:rsid w:val="00BD27B5"/>
    <w:rsid w:val="00BD2886"/>
    <w:rsid w:val="00BD29E1"/>
    <w:rsid w:val="00BD2A6E"/>
    <w:rsid w:val="00BD2F27"/>
    <w:rsid w:val="00BD2FBE"/>
    <w:rsid w:val="00BD31A1"/>
    <w:rsid w:val="00BD3399"/>
    <w:rsid w:val="00BD3799"/>
    <w:rsid w:val="00BD3818"/>
    <w:rsid w:val="00BD3A3A"/>
    <w:rsid w:val="00BD3DFB"/>
    <w:rsid w:val="00BD3F52"/>
    <w:rsid w:val="00BD3FA2"/>
    <w:rsid w:val="00BD42BC"/>
    <w:rsid w:val="00BD42D8"/>
    <w:rsid w:val="00BD4578"/>
    <w:rsid w:val="00BD47E2"/>
    <w:rsid w:val="00BD4C10"/>
    <w:rsid w:val="00BD4DFC"/>
    <w:rsid w:val="00BD4DFD"/>
    <w:rsid w:val="00BD51A2"/>
    <w:rsid w:val="00BD5318"/>
    <w:rsid w:val="00BD5373"/>
    <w:rsid w:val="00BD58EC"/>
    <w:rsid w:val="00BD5B71"/>
    <w:rsid w:val="00BD5C09"/>
    <w:rsid w:val="00BD5DBB"/>
    <w:rsid w:val="00BD5E22"/>
    <w:rsid w:val="00BD62C5"/>
    <w:rsid w:val="00BD6583"/>
    <w:rsid w:val="00BD6593"/>
    <w:rsid w:val="00BD666F"/>
    <w:rsid w:val="00BD6AFF"/>
    <w:rsid w:val="00BD6B4C"/>
    <w:rsid w:val="00BD6EC0"/>
    <w:rsid w:val="00BD6FBC"/>
    <w:rsid w:val="00BD729A"/>
    <w:rsid w:val="00BD7446"/>
    <w:rsid w:val="00BD7467"/>
    <w:rsid w:val="00BD7476"/>
    <w:rsid w:val="00BD74BE"/>
    <w:rsid w:val="00BD757C"/>
    <w:rsid w:val="00BD779B"/>
    <w:rsid w:val="00BD785F"/>
    <w:rsid w:val="00BD7AAB"/>
    <w:rsid w:val="00BD7C53"/>
    <w:rsid w:val="00BE002D"/>
    <w:rsid w:val="00BE00A5"/>
    <w:rsid w:val="00BE01C0"/>
    <w:rsid w:val="00BE041F"/>
    <w:rsid w:val="00BE047C"/>
    <w:rsid w:val="00BE05FF"/>
    <w:rsid w:val="00BE0641"/>
    <w:rsid w:val="00BE0649"/>
    <w:rsid w:val="00BE077E"/>
    <w:rsid w:val="00BE098C"/>
    <w:rsid w:val="00BE0A33"/>
    <w:rsid w:val="00BE0B83"/>
    <w:rsid w:val="00BE0D33"/>
    <w:rsid w:val="00BE0D41"/>
    <w:rsid w:val="00BE15CF"/>
    <w:rsid w:val="00BE1916"/>
    <w:rsid w:val="00BE1A10"/>
    <w:rsid w:val="00BE214D"/>
    <w:rsid w:val="00BE21C8"/>
    <w:rsid w:val="00BE21D5"/>
    <w:rsid w:val="00BE2248"/>
    <w:rsid w:val="00BE22E5"/>
    <w:rsid w:val="00BE25BF"/>
    <w:rsid w:val="00BE2626"/>
    <w:rsid w:val="00BE2A97"/>
    <w:rsid w:val="00BE2C4A"/>
    <w:rsid w:val="00BE2CFF"/>
    <w:rsid w:val="00BE3101"/>
    <w:rsid w:val="00BE3154"/>
    <w:rsid w:val="00BE33C2"/>
    <w:rsid w:val="00BE352D"/>
    <w:rsid w:val="00BE3627"/>
    <w:rsid w:val="00BE3A63"/>
    <w:rsid w:val="00BE3F65"/>
    <w:rsid w:val="00BE3FEB"/>
    <w:rsid w:val="00BE404A"/>
    <w:rsid w:val="00BE419A"/>
    <w:rsid w:val="00BE44C5"/>
    <w:rsid w:val="00BE4661"/>
    <w:rsid w:val="00BE468E"/>
    <w:rsid w:val="00BE480A"/>
    <w:rsid w:val="00BE4905"/>
    <w:rsid w:val="00BE4BF4"/>
    <w:rsid w:val="00BE4C3E"/>
    <w:rsid w:val="00BE4CF0"/>
    <w:rsid w:val="00BE52E6"/>
    <w:rsid w:val="00BE545E"/>
    <w:rsid w:val="00BE561A"/>
    <w:rsid w:val="00BE5D57"/>
    <w:rsid w:val="00BE6226"/>
    <w:rsid w:val="00BE6400"/>
    <w:rsid w:val="00BE650B"/>
    <w:rsid w:val="00BE67C1"/>
    <w:rsid w:val="00BE6D79"/>
    <w:rsid w:val="00BE6E1A"/>
    <w:rsid w:val="00BE6FB0"/>
    <w:rsid w:val="00BE7032"/>
    <w:rsid w:val="00BE70A0"/>
    <w:rsid w:val="00BE7465"/>
    <w:rsid w:val="00BE7676"/>
    <w:rsid w:val="00BE775B"/>
    <w:rsid w:val="00BE7935"/>
    <w:rsid w:val="00BE7978"/>
    <w:rsid w:val="00BE7AD0"/>
    <w:rsid w:val="00BE7C13"/>
    <w:rsid w:val="00BE7CA2"/>
    <w:rsid w:val="00BE7D1A"/>
    <w:rsid w:val="00BE7DE2"/>
    <w:rsid w:val="00BF013A"/>
    <w:rsid w:val="00BF028B"/>
    <w:rsid w:val="00BF057E"/>
    <w:rsid w:val="00BF0715"/>
    <w:rsid w:val="00BF07A8"/>
    <w:rsid w:val="00BF0867"/>
    <w:rsid w:val="00BF08F5"/>
    <w:rsid w:val="00BF0984"/>
    <w:rsid w:val="00BF0B56"/>
    <w:rsid w:val="00BF0BB6"/>
    <w:rsid w:val="00BF0E9C"/>
    <w:rsid w:val="00BF0F01"/>
    <w:rsid w:val="00BF11AC"/>
    <w:rsid w:val="00BF1303"/>
    <w:rsid w:val="00BF1316"/>
    <w:rsid w:val="00BF13A3"/>
    <w:rsid w:val="00BF1585"/>
    <w:rsid w:val="00BF1688"/>
    <w:rsid w:val="00BF18DB"/>
    <w:rsid w:val="00BF19C9"/>
    <w:rsid w:val="00BF1CC7"/>
    <w:rsid w:val="00BF1D9E"/>
    <w:rsid w:val="00BF2099"/>
    <w:rsid w:val="00BF2277"/>
    <w:rsid w:val="00BF227E"/>
    <w:rsid w:val="00BF22AC"/>
    <w:rsid w:val="00BF2368"/>
    <w:rsid w:val="00BF26D2"/>
    <w:rsid w:val="00BF26FD"/>
    <w:rsid w:val="00BF277F"/>
    <w:rsid w:val="00BF2805"/>
    <w:rsid w:val="00BF2859"/>
    <w:rsid w:val="00BF29D2"/>
    <w:rsid w:val="00BF2A4C"/>
    <w:rsid w:val="00BF2BB3"/>
    <w:rsid w:val="00BF2BB5"/>
    <w:rsid w:val="00BF2D2A"/>
    <w:rsid w:val="00BF2D46"/>
    <w:rsid w:val="00BF2EB1"/>
    <w:rsid w:val="00BF3714"/>
    <w:rsid w:val="00BF3872"/>
    <w:rsid w:val="00BF396F"/>
    <w:rsid w:val="00BF397D"/>
    <w:rsid w:val="00BF3B53"/>
    <w:rsid w:val="00BF3B55"/>
    <w:rsid w:val="00BF3C2F"/>
    <w:rsid w:val="00BF3C89"/>
    <w:rsid w:val="00BF3FCF"/>
    <w:rsid w:val="00BF3FDA"/>
    <w:rsid w:val="00BF4174"/>
    <w:rsid w:val="00BF4267"/>
    <w:rsid w:val="00BF4340"/>
    <w:rsid w:val="00BF455E"/>
    <w:rsid w:val="00BF47A6"/>
    <w:rsid w:val="00BF4897"/>
    <w:rsid w:val="00BF48FC"/>
    <w:rsid w:val="00BF49AC"/>
    <w:rsid w:val="00BF4AF7"/>
    <w:rsid w:val="00BF4BC0"/>
    <w:rsid w:val="00BF4BD7"/>
    <w:rsid w:val="00BF4BFF"/>
    <w:rsid w:val="00BF4E55"/>
    <w:rsid w:val="00BF4EFA"/>
    <w:rsid w:val="00BF4F4D"/>
    <w:rsid w:val="00BF50A9"/>
    <w:rsid w:val="00BF54C6"/>
    <w:rsid w:val="00BF58FD"/>
    <w:rsid w:val="00BF5A3D"/>
    <w:rsid w:val="00BF5A41"/>
    <w:rsid w:val="00BF6539"/>
    <w:rsid w:val="00BF65F7"/>
    <w:rsid w:val="00BF6F19"/>
    <w:rsid w:val="00BF7030"/>
    <w:rsid w:val="00BF704C"/>
    <w:rsid w:val="00BF73BF"/>
    <w:rsid w:val="00BF7494"/>
    <w:rsid w:val="00BF75E4"/>
    <w:rsid w:val="00BF7731"/>
    <w:rsid w:val="00BF786B"/>
    <w:rsid w:val="00BF789C"/>
    <w:rsid w:val="00BF79E4"/>
    <w:rsid w:val="00BF7B49"/>
    <w:rsid w:val="00BF7B5D"/>
    <w:rsid w:val="00BF7BBB"/>
    <w:rsid w:val="00BF7F36"/>
    <w:rsid w:val="00C001B0"/>
    <w:rsid w:val="00C00338"/>
    <w:rsid w:val="00C003C5"/>
    <w:rsid w:val="00C006A7"/>
    <w:rsid w:val="00C009A3"/>
    <w:rsid w:val="00C009CB"/>
    <w:rsid w:val="00C00A8F"/>
    <w:rsid w:val="00C00BB7"/>
    <w:rsid w:val="00C00BFA"/>
    <w:rsid w:val="00C00C49"/>
    <w:rsid w:val="00C00D6F"/>
    <w:rsid w:val="00C00E19"/>
    <w:rsid w:val="00C00FAA"/>
    <w:rsid w:val="00C0133C"/>
    <w:rsid w:val="00C01631"/>
    <w:rsid w:val="00C01694"/>
    <w:rsid w:val="00C017DA"/>
    <w:rsid w:val="00C0190A"/>
    <w:rsid w:val="00C01967"/>
    <w:rsid w:val="00C01E29"/>
    <w:rsid w:val="00C01EB5"/>
    <w:rsid w:val="00C01F6C"/>
    <w:rsid w:val="00C01FCD"/>
    <w:rsid w:val="00C0209B"/>
    <w:rsid w:val="00C0223A"/>
    <w:rsid w:val="00C02418"/>
    <w:rsid w:val="00C02519"/>
    <w:rsid w:val="00C02772"/>
    <w:rsid w:val="00C02B72"/>
    <w:rsid w:val="00C02F9C"/>
    <w:rsid w:val="00C03024"/>
    <w:rsid w:val="00C0304B"/>
    <w:rsid w:val="00C030DD"/>
    <w:rsid w:val="00C03192"/>
    <w:rsid w:val="00C0328F"/>
    <w:rsid w:val="00C032AD"/>
    <w:rsid w:val="00C033BE"/>
    <w:rsid w:val="00C03912"/>
    <w:rsid w:val="00C03A09"/>
    <w:rsid w:val="00C03C99"/>
    <w:rsid w:val="00C03CBA"/>
    <w:rsid w:val="00C03CFB"/>
    <w:rsid w:val="00C03F19"/>
    <w:rsid w:val="00C0425C"/>
    <w:rsid w:val="00C04387"/>
    <w:rsid w:val="00C04480"/>
    <w:rsid w:val="00C045F6"/>
    <w:rsid w:val="00C047EA"/>
    <w:rsid w:val="00C04894"/>
    <w:rsid w:val="00C04908"/>
    <w:rsid w:val="00C04F49"/>
    <w:rsid w:val="00C0518B"/>
    <w:rsid w:val="00C058E0"/>
    <w:rsid w:val="00C05992"/>
    <w:rsid w:val="00C05A54"/>
    <w:rsid w:val="00C05CDF"/>
    <w:rsid w:val="00C05E55"/>
    <w:rsid w:val="00C05EAC"/>
    <w:rsid w:val="00C05F06"/>
    <w:rsid w:val="00C05F65"/>
    <w:rsid w:val="00C061D1"/>
    <w:rsid w:val="00C0651D"/>
    <w:rsid w:val="00C06D47"/>
    <w:rsid w:val="00C06E6D"/>
    <w:rsid w:val="00C06E9A"/>
    <w:rsid w:val="00C06F8D"/>
    <w:rsid w:val="00C07013"/>
    <w:rsid w:val="00C07134"/>
    <w:rsid w:val="00C073D7"/>
    <w:rsid w:val="00C07523"/>
    <w:rsid w:val="00C07903"/>
    <w:rsid w:val="00C07A13"/>
    <w:rsid w:val="00C07D9B"/>
    <w:rsid w:val="00C07E24"/>
    <w:rsid w:val="00C07EA7"/>
    <w:rsid w:val="00C07EB9"/>
    <w:rsid w:val="00C07F9D"/>
    <w:rsid w:val="00C10402"/>
    <w:rsid w:val="00C105A3"/>
    <w:rsid w:val="00C106FC"/>
    <w:rsid w:val="00C1077B"/>
    <w:rsid w:val="00C1079C"/>
    <w:rsid w:val="00C109EA"/>
    <w:rsid w:val="00C10AA8"/>
    <w:rsid w:val="00C10AF2"/>
    <w:rsid w:val="00C10C2B"/>
    <w:rsid w:val="00C10CAE"/>
    <w:rsid w:val="00C10D27"/>
    <w:rsid w:val="00C10D77"/>
    <w:rsid w:val="00C11126"/>
    <w:rsid w:val="00C111CE"/>
    <w:rsid w:val="00C11208"/>
    <w:rsid w:val="00C1124D"/>
    <w:rsid w:val="00C11311"/>
    <w:rsid w:val="00C11356"/>
    <w:rsid w:val="00C114C1"/>
    <w:rsid w:val="00C114EF"/>
    <w:rsid w:val="00C1159A"/>
    <w:rsid w:val="00C117B7"/>
    <w:rsid w:val="00C118DA"/>
    <w:rsid w:val="00C11993"/>
    <w:rsid w:val="00C11BCF"/>
    <w:rsid w:val="00C11BFE"/>
    <w:rsid w:val="00C11FC9"/>
    <w:rsid w:val="00C1211F"/>
    <w:rsid w:val="00C122E0"/>
    <w:rsid w:val="00C12475"/>
    <w:rsid w:val="00C129B6"/>
    <w:rsid w:val="00C12A52"/>
    <w:rsid w:val="00C12ACE"/>
    <w:rsid w:val="00C12C73"/>
    <w:rsid w:val="00C12CC6"/>
    <w:rsid w:val="00C12FDB"/>
    <w:rsid w:val="00C1332B"/>
    <w:rsid w:val="00C13383"/>
    <w:rsid w:val="00C13560"/>
    <w:rsid w:val="00C136C2"/>
    <w:rsid w:val="00C138E9"/>
    <w:rsid w:val="00C1391B"/>
    <w:rsid w:val="00C13950"/>
    <w:rsid w:val="00C13A60"/>
    <w:rsid w:val="00C13C47"/>
    <w:rsid w:val="00C13C74"/>
    <w:rsid w:val="00C13EF2"/>
    <w:rsid w:val="00C13F59"/>
    <w:rsid w:val="00C13FB2"/>
    <w:rsid w:val="00C140A9"/>
    <w:rsid w:val="00C142E5"/>
    <w:rsid w:val="00C14361"/>
    <w:rsid w:val="00C143B4"/>
    <w:rsid w:val="00C1448A"/>
    <w:rsid w:val="00C14583"/>
    <w:rsid w:val="00C14638"/>
    <w:rsid w:val="00C14852"/>
    <w:rsid w:val="00C14F19"/>
    <w:rsid w:val="00C15154"/>
    <w:rsid w:val="00C1516C"/>
    <w:rsid w:val="00C152C9"/>
    <w:rsid w:val="00C15333"/>
    <w:rsid w:val="00C15334"/>
    <w:rsid w:val="00C155A7"/>
    <w:rsid w:val="00C1578D"/>
    <w:rsid w:val="00C15A94"/>
    <w:rsid w:val="00C15CA8"/>
    <w:rsid w:val="00C15CC8"/>
    <w:rsid w:val="00C15E63"/>
    <w:rsid w:val="00C15EA7"/>
    <w:rsid w:val="00C16097"/>
    <w:rsid w:val="00C160AD"/>
    <w:rsid w:val="00C16281"/>
    <w:rsid w:val="00C16352"/>
    <w:rsid w:val="00C163E9"/>
    <w:rsid w:val="00C164D6"/>
    <w:rsid w:val="00C16695"/>
    <w:rsid w:val="00C1677B"/>
    <w:rsid w:val="00C16802"/>
    <w:rsid w:val="00C16991"/>
    <w:rsid w:val="00C16A15"/>
    <w:rsid w:val="00C16AB4"/>
    <w:rsid w:val="00C16B91"/>
    <w:rsid w:val="00C16B99"/>
    <w:rsid w:val="00C16D3D"/>
    <w:rsid w:val="00C16DBB"/>
    <w:rsid w:val="00C16E3A"/>
    <w:rsid w:val="00C17086"/>
    <w:rsid w:val="00C173DC"/>
    <w:rsid w:val="00C17C63"/>
    <w:rsid w:val="00C17DEA"/>
    <w:rsid w:val="00C17F24"/>
    <w:rsid w:val="00C201A9"/>
    <w:rsid w:val="00C201B3"/>
    <w:rsid w:val="00C201C0"/>
    <w:rsid w:val="00C20240"/>
    <w:rsid w:val="00C20646"/>
    <w:rsid w:val="00C20821"/>
    <w:rsid w:val="00C209E0"/>
    <w:rsid w:val="00C20D35"/>
    <w:rsid w:val="00C20DCC"/>
    <w:rsid w:val="00C20E6F"/>
    <w:rsid w:val="00C21071"/>
    <w:rsid w:val="00C21195"/>
    <w:rsid w:val="00C211B5"/>
    <w:rsid w:val="00C212FE"/>
    <w:rsid w:val="00C2137D"/>
    <w:rsid w:val="00C2139A"/>
    <w:rsid w:val="00C21478"/>
    <w:rsid w:val="00C214B3"/>
    <w:rsid w:val="00C2151F"/>
    <w:rsid w:val="00C21591"/>
    <w:rsid w:val="00C21665"/>
    <w:rsid w:val="00C21676"/>
    <w:rsid w:val="00C21799"/>
    <w:rsid w:val="00C217EC"/>
    <w:rsid w:val="00C21821"/>
    <w:rsid w:val="00C21837"/>
    <w:rsid w:val="00C21841"/>
    <w:rsid w:val="00C218C0"/>
    <w:rsid w:val="00C2190F"/>
    <w:rsid w:val="00C2197E"/>
    <w:rsid w:val="00C21A87"/>
    <w:rsid w:val="00C21B02"/>
    <w:rsid w:val="00C21E2D"/>
    <w:rsid w:val="00C22192"/>
    <w:rsid w:val="00C221F1"/>
    <w:rsid w:val="00C22299"/>
    <w:rsid w:val="00C222E8"/>
    <w:rsid w:val="00C22353"/>
    <w:rsid w:val="00C2264A"/>
    <w:rsid w:val="00C22697"/>
    <w:rsid w:val="00C22735"/>
    <w:rsid w:val="00C22D15"/>
    <w:rsid w:val="00C22D29"/>
    <w:rsid w:val="00C230D7"/>
    <w:rsid w:val="00C2324B"/>
    <w:rsid w:val="00C23361"/>
    <w:rsid w:val="00C237AF"/>
    <w:rsid w:val="00C23BC8"/>
    <w:rsid w:val="00C23EEC"/>
    <w:rsid w:val="00C240CF"/>
    <w:rsid w:val="00C2416F"/>
    <w:rsid w:val="00C241DD"/>
    <w:rsid w:val="00C24215"/>
    <w:rsid w:val="00C242C0"/>
    <w:rsid w:val="00C242F2"/>
    <w:rsid w:val="00C247A4"/>
    <w:rsid w:val="00C24810"/>
    <w:rsid w:val="00C24848"/>
    <w:rsid w:val="00C248AC"/>
    <w:rsid w:val="00C24903"/>
    <w:rsid w:val="00C24985"/>
    <w:rsid w:val="00C24AA7"/>
    <w:rsid w:val="00C24CAD"/>
    <w:rsid w:val="00C24DA5"/>
    <w:rsid w:val="00C24E3E"/>
    <w:rsid w:val="00C24EDD"/>
    <w:rsid w:val="00C24F14"/>
    <w:rsid w:val="00C250E8"/>
    <w:rsid w:val="00C2515B"/>
    <w:rsid w:val="00C2529D"/>
    <w:rsid w:val="00C2554F"/>
    <w:rsid w:val="00C255C6"/>
    <w:rsid w:val="00C25706"/>
    <w:rsid w:val="00C257A0"/>
    <w:rsid w:val="00C25D6D"/>
    <w:rsid w:val="00C26027"/>
    <w:rsid w:val="00C260C9"/>
    <w:rsid w:val="00C2627C"/>
    <w:rsid w:val="00C263B7"/>
    <w:rsid w:val="00C2645D"/>
    <w:rsid w:val="00C265BB"/>
    <w:rsid w:val="00C266B6"/>
    <w:rsid w:val="00C2673B"/>
    <w:rsid w:val="00C269CB"/>
    <w:rsid w:val="00C26E6B"/>
    <w:rsid w:val="00C26FE1"/>
    <w:rsid w:val="00C27452"/>
    <w:rsid w:val="00C275C8"/>
    <w:rsid w:val="00C276FE"/>
    <w:rsid w:val="00C277F4"/>
    <w:rsid w:val="00C279A2"/>
    <w:rsid w:val="00C279BB"/>
    <w:rsid w:val="00C27A61"/>
    <w:rsid w:val="00C27FD8"/>
    <w:rsid w:val="00C300DB"/>
    <w:rsid w:val="00C30144"/>
    <w:rsid w:val="00C301AC"/>
    <w:rsid w:val="00C30208"/>
    <w:rsid w:val="00C30249"/>
    <w:rsid w:val="00C30517"/>
    <w:rsid w:val="00C306A0"/>
    <w:rsid w:val="00C30703"/>
    <w:rsid w:val="00C30844"/>
    <w:rsid w:val="00C30857"/>
    <w:rsid w:val="00C30C57"/>
    <w:rsid w:val="00C30E04"/>
    <w:rsid w:val="00C30F19"/>
    <w:rsid w:val="00C31028"/>
    <w:rsid w:val="00C310A3"/>
    <w:rsid w:val="00C31270"/>
    <w:rsid w:val="00C313F9"/>
    <w:rsid w:val="00C316DF"/>
    <w:rsid w:val="00C316F4"/>
    <w:rsid w:val="00C317A9"/>
    <w:rsid w:val="00C31A34"/>
    <w:rsid w:val="00C3218B"/>
    <w:rsid w:val="00C32232"/>
    <w:rsid w:val="00C3224B"/>
    <w:rsid w:val="00C32411"/>
    <w:rsid w:val="00C32507"/>
    <w:rsid w:val="00C326F5"/>
    <w:rsid w:val="00C327D7"/>
    <w:rsid w:val="00C32848"/>
    <w:rsid w:val="00C32ABD"/>
    <w:rsid w:val="00C32B15"/>
    <w:rsid w:val="00C32B97"/>
    <w:rsid w:val="00C32D92"/>
    <w:rsid w:val="00C32DF6"/>
    <w:rsid w:val="00C32E99"/>
    <w:rsid w:val="00C32EF7"/>
    <w:rsid w:val="00C32F3F"/>
    <w:rsid w:val="00C330BE"/>
    <w:rsid w:val="00C33315"/>
    <w:rsid w:val="00C33358"/>
    <w:rsid w:val="00C334D2"/>
    <w:rsid w:val="00C3352A"/>
    <w:rsid w:val="00C3377B"/>
    <w:rsid w:val="00C337AE"/>
    <w:rsid w:val="00C33C01"/>
    <w:rsid w:val="00C33DCC"/>
    <w:rsid w:val="00C33F57"/>
    <w:rsid w:val="00C34021"/>
    <w:rsid w:val="00C342CB"/>
    <w:rsid w:val="00C342EA"/>
    <w:rsid w:val="00C343CC"/>
    <w:rsid w:val="00C3443A"/>
    <w:rsid w:val="00C346E7"/>
    <w:rsid w:val="00C34BA0"/>
    <w:rsid w:val="00C34BD8"/>
    <w:rsid w:val="00C34CF6"/>
    <w:rsid w:val="00C34D88"/>
    <w:rsid w:val="00C34D8F"/>
    <w:rsid w:val="00C34FE3"/>
    <w:rsid w:val="00C35229"/>
    <w:rsid w:val="00C352A1"/>
    <w:rsid w:val="00C3537D"/>
    <w:rsid w:val="00C35443"/>
    <w:rsid w:val="00C35755"/>
    <w:rsid w:val="00C35892"/>
    <w:rsid w:val="00C35AC8"/>
    <w:rsid w:val="00C35B96"/>
    <w:rsid w:val="00C35C23"/>
    <w:rsid w:val="00C35E61"/>
    <w:rsid w:val="00C35F4F"/>
    <w:rsid w:val="00C361B5"/>
    <w:rsid w:val="00C362CE"/>
    <w:rsid w:val="00C3634C"/>
    <w:rsid w:val="00C3648F"/>
    <w:rsid w:val="00C3659A"/>
    <w:rsid w:val="00C36C7C"/>
    <w:rsid w:val="00C36CF4"/>
    <w:rsid w:val="00C36E8D"/>
    <w:rsid w:val="00C36F55"/>
    <w:rsid w:val="00C37007"/>
    <w:rsid w:val="00C370DE"/>
    <w:rsid w:val="00C370F3"/>
    <w:rsid w:val="00C372AF"/>
    <w:rsid w:val="00C373AC"/>
    <w:rsid w:val="00C37756"/>
    <w:rsid w:val="00C377DB"/>
    <w:rsid w:val="00C379DB"/>
    <w:rsid w:val="00C37A8D"/>
    <w:rsid w:val="00C37B07"/>
    <w:rsid w:val="00C37B67"/>
    <w:rsid w:val="00C37B6E"/>
    <w:rsid w:val="00C37D69"/>
    <w:rsid w:val="00C37ED2"/>
    <w:rsid w:val="00C40064"/>
    <w:rsid w:val="00C400C1"/>
    <w:rsid w:val="00C40198"/>
    <w:rsid w:val="00C402EC"/>
    <w:rsid w:val="00C4067C"/>
    <w:rsid w:val="00C407C9"/>
    <w:rsid w:val="00C40D8D"/>
    <w:rsid w:val="00C40E83"/>
    <w:rsid w:val="00C413F2"/>
    <w:rsid w:val="00C414AC"/>
    <w:rsid w:val="00C416EC"/>
    <w:rsid w:val="00C41963"/>
    <w:rsid w:val="00C41AA6"/>
    <w:rsid w:val="00C41B92"/>
    <w:rsid w:val="00C41DAE"/>
    <w:rsid w:val="00C420EB"/>
    <w:rsid w:val="00C42623"/>
    <w:rsid w:val="00C42728"/>
    <w:rsid w:val="00C42B31"/>
    <w:rsid w:val="00C42BFA"/>
    <w:rsid w:val="00C42C01"/>
    <w:rsid w:val="00C42D70"/>
    <w:rsid w:val="00C42EE2"/>
    <w:rsid w:val="00C42FA0"/>
    <w:rsid w:val="00C42FE7"/>
    <w:rsid w:val="00C430F0"/>
    <w:rsid w:val="00C43239"/>
    <w:rsid w:val="00C4329B"/>
    <w:rsid w:val="00C432B4"/>
    <w:rsid w:val="00C43387"/>
    <w:rsid w:val="00C43601"/>
    <w:rsid w:val="00C436D6"/>
    <w:rsid w:val="00C43892"/>
    <w:rsid w:val="00C43AE8"/>
    <w:rsid w:val="00C43C52"/>
    <w:rsid w:val="00C44211"/>
    <w:rsid w:val="00C4429B"/>
    <w:rsid w:val="00C443A7"/>
    <w:rsid w:val="00C4446F"/>
    <w:rsid w:val="00C447F6"/>
    <w:rsid w:val="00C44840"/>
    <w:rsid w:val="00C449C1"/>
    <w:rsid w:val="00C44A20"/>
    <w:rsid w:val="00C44A70"/>
    <w:rsid w:val="00C44D14"/>
    <w:rsid w:val="00C455D6"/>
    <w:rsid w:val="00C4577B"/>
    <w:rsid w:val="00C45A5D"/>
    <w:rsid w:val="00C45CAE"/>
    <w:rsid w:val="00C45D3D"/>
    <w:rsid w:val="00C45E41"/>
    <w:rsid w:val="00C45F9C"/>
    <w:rsid w:val="00C460BF"/>
    <w:rsid w:val="00C4616E"/>
    <w:rsid w:val="00C461E0"/>
    <w:rsid w:val="00C4630A"/>
    <w:rsid w:val="00C46463"/>
    <w:rsid w:val="00C46566"/>
    <w:rsid w:val="00C46665"/>
    <w:rsid w:val="00C46700"/>
    <w:rsid w:val="00C46916"/>
    <w:rsid w:val="00C46A50"/>
    <w:rsid w:val="00C46BAE"/>
    <w:rsid w:val="00C46BB5"/>
    <w:rsid w:val="00C46C02"/>
    <w:rsid w:val="00C46D56"/>
    <w:rsid w:val="00C46F80"/>
    <w:rsid w:val="00C470B3"/>
    <w:rsid w:val="00C471AE"/>
    <w:rsid w:val="00C47305"/>
    <w:rsid w:val="00C473D6"/>
    <w:rsid w:val="00C47465"/>
    <w:rsid w:val="00C47646"/>
    <w:rsid w:val="00C476E6"/>
    <w:rsid w:val="00C47733"/>
    <w:rsid w:val="00C478AB"/>
    <w:rsid w:val="00C47938"/>
    <w:rsid w:val="00C47B63"/>
    <w:rsid w:val="00C47D5F"/>
    <w:rsid w:val="00C500FD"/>
    <w:rsid w:val="00C501E9"/>
    <w:rsid w:val="00C5044F"/>
    <w:rsid w:val="00C50712"/>
    <w:rsid w:val="00C50A40"/>
    <w:rsid w:val="00C50A8B"/>
    <w:rsid w:val="00C50ACC"/>
    <w:rsid w:val="00C50D53"/>
    <w:rsid w:val="00C50D5B"/>
    <w:rsid w:val="00C50EAF"/>
    <w:rsid w:val="00C50F65"/>
    <w:rsid w:val="00C510CD"/>
    <w:rsid w:val="00C51233"/>
    <w:rsid w:val="00C512B3"/>
    <w:rsid w:val="00C5152B"/>
    <w:rsid w:val="00C51604"/>
    <w:rsid w:val="00C5161B"/>
    <w:rsid w:val="00C516BD"/>
    <w:rsid w:val="00C517CA"/>
    <w:rsid w:val="00C517E2"/>
    <w:rsid w:val="00C517E6"/>
    <w:rsid w:val="00C5184C"/>
    <w:rsid w:val="00C519A7"/>
    <w:rsid w:val="00C51B25"/>
    <w:rsid w:val="00C51B76"/>
    <w:rsid w:val="00C52094"/>
    <w:rsid w:val="00C524CC"/>
    <w:rsid w:val="00C525FB"/>
    <w:rsid w:val="00C52767"/>
    <w:rsid w:val="00C52ADF"/>
    <w:rsid w:val="00C52C6B"/>
    <w:rsid w:val="00C52D23"/>
    <w:rsid w:val="00C52EAA"/>
    <w:rsid w:val="00C52FC3"/>
    <w:rsid w:val="00C53184"/>
    <w:rsid w:val="00C531FD"/>
    <w:rsid w:val="00C53202"/>
    <w:rsid w:val="00C5326C"/>
    <w:rsid w:val="00C533B0"/>
    <w:rsid w:val="00C53493"/>
    <w:rsid w:val="00C53504"/>
    <w:rsid w:val="00C5356A"/>
    <w:rsid w:val="00C53683"/>
    <w:rsid w:val="00C53925"/>
    <w:rsid w:val="00C539A9"/>
    <w:rsid w:val="00C53A98"/>
    <w:rsid w:val="00C53B6F"/>
    <w:rsid w:val="00C53BED"/>
    <w:rsid w:val="00C54114"/>
    <w:rsid w:val="00C541D8"/>
    <w:rsid w:val="00C5433D"/>
    <w:rsid w:val="00C544F7"/>
    <w:rsid w:val="00C5468B"/>
    <w:rsid w:val="00C54BA2"/>
    <w:rsid w:val="00C54D06"/>
    <w:rsid w:val="00C55038"/>
    <w:rsid w:val="00C551AB"/>
    <w:rsid w:val="00C55230"/>
    <w:rsid w:val="00C5529D"/>
    <w:rsid w:val="00C55370"/>
    <w:rsid w:val="00C553D1"/>
    <w:rsid w:val="00C5557D"/>
    <w:rsid w:val="00C55708"/>
    <w:rsid w:val="00C557D3"/>
    <w:rsid w:val="00C55984"/>
    <w:rsid w:val="00C55D28"/>
    <w:rsid w:val="00C55D5D"/>
    <w:rsid w:val="00C55E9D"/>
    <w:rsid w:val="00C55EF3"/>
    <w:rsid w:val="00C562A3"/>
    <w:rsid w:val="00C5640A"/>
    <w:rsid w:val="00C56763"/>
    <w:rsid w:val="00C5683B"/>
    <w:rsid w:val="00C56853"/>
    <w:rsid w:val="00C5686A"/>
    <w:rsid w:val="00C56DA6"/>
    <w:rsid w:val="00C56E6C"/>
    <w:rsid w:val="00C57029"/>
    <w:rsid w:val="00C5726E"/>
    <w:rsid w:val="00C57299"/>
    <w:rsid w:val="00C5779A"/>
    <w:rsid w:val="00C5786B"/>
    <w:rsid w:val="00C57898"/>
    <w:rsid w:val="00C57899"/>
    <w:rsid w:val="00C57A06"/>
    <w:rsid w:val="00C57B84"/>
    <w:rsid w:val="00C57CCA"/>
    <w:rsid w:val="00C57EA9"/>
    <w:rsid w:val="00C57FE3"/>
    <w:rsid w:val="00C60206"/>
    <w:rsid w:val="00C60213"/>
    <w:rsid w:val="00C60380"/>
    <w:rsid w:val="00C603A3"/>
    <w:rsid w:val="00C604DA"/>
    <w:rsid w:val="00C60612"/>
    <w:rsid w:val="00C606B5"/>
    <w:rsid w:val="00C609A3"/>
    <w:rsid w:val="00C60BE2"/>
    <w:rsid w:val="00C60C0B"/>
    <w:rsid w:val="00C60FFD"/>
    <w:rsid w:val="00C6137E"/>
    <w:rsid w:val="00C61652"/>
    <w:rsid w:val="00C61733"/>
    <w:rsid w:val="00C617C6"/>
    <w:rsid w:val="00C61A52"/>
    <w:rsid w:val="00C61B1F"/>
    <w:rsid w:val="00C61D09"/>
    <w:rsid w:val="00C61E7D"/>
    <w:rsid w:val="00C621BA"/>
    <w:rsid w:val="00C621C1"/>
    <w:rsid w:val="00C62335"/>
    <w:rsid w:val="00C6292D"/>
    <w:rsid w:val="00C62987"/>
    <w:rsid w:val="00C62B2E"/>
    <w:rsid w:val="00C62B53"/>
    <w:rsid w:val="00C62BBD"/>
    <w:rsid w:val="00C62D73"/>
    <w:rsid w:val="00C62E05"/>
    <w:rsid w:val="00C62E76"/>
    <w:rsid w:val="00C63288"/>
    <w:rsid w:val="00C636B4"/>
    <w:rsid w:val="00C63818"/>
    <w:rsid w:val="00C63981"/>
    <w:rsid w:val="00C63990"/>
    <w:rsid w:val="00C63A1C"/>
    <w:rsid w:val="00C63AC3"/>
    <w:rsid w:val="00C63B54"/>
    <w:rsid w:val="00C63D37"/>
    <w:rsid w:val="00C63E40"/>
    <w:rsid w:val="00C63E54"/>
    <w:rsid w:val="00C63F33"/>
    <w:rsid w:val="00C640EF"/>
    <w:rsid w:val="00C641CE"/>
    <w:rsid w:val="00C6423D"/>
    <w:rsid w:val="00C642A1"/>
    <w:rsid w:val="00C642B2"/>
    <w:rsid w:val="00C64C38"/>
    <w:rsid w:val="00C64CBF"/>
    <w:rsid w:val="00C64EA0"/>
    <w:rsid w:val="00C65036"/>
    <w:rsid w:val="00C650EF"/>
    <w:rsid w:val="00C65487"/>
    <w:rsid w:val="00C656AD"/>
    <w:rsid w:val="00C6586D"/>
    <w:rsid w:val="00C658FC"/>
    <w:rsid w:val="00C6597F"/>
    <w:rsid w:val="00C659F7"/>
    <w:rsid w:val="00C65C4A"/>
    <w:rsid w:val="00C65F7C"/>
    <w:rsid w:val="00C66040"/>
    <w:rsid w:val="00C66344"/>
    <w:rsid w:val="00C66395"/>
    <w:rsid w:val="00C667BB"/>
    <w:rsid w:val="00C66968"/>
    <w:rsid w:val="00C66EED"/>
    <w:rsid w:val="00C66EF8"/>
    <w:rsid w:val="00C670F4"/>
    <w:rsid w:val="00C67115"/>
    <w:rsid w:val="00C67134"/>
    <w:rsid w:val="00C671B1"/>
    <w:rsid w:val="00C671EB"/>
    <w:rsid w:val="00C676B2"/>
    <w:rsid w:val="00C67778"/>
    <w:rsid w:val="00C67997"/>
    <w:rsid w:val="00C67A7F"/>
    <w:rsid w:val="00C67C7D"/>
    <w:rsid w:val="00C67CFE"/>
    <w:rsid w:val="00C70484"/>
    <w:rsid w:val="00C70C8F"/>
    <w:rsid w:val="00C70D9C"/>
    <w:rsid w:val="00C70E81"/>
    <w:rsid w:val="00C70F63"/>
    <w:rsid w:val="00C7110B"/>
    <w:rsid w:val="00C71208"/>
    <w:rsid w:val="00C71330"/>
    <w:rsid w:val="00C71436"/>
    <w:rsid w:val="00C71541"/>
    <w:rsid w:val="00C715F5"/>
    <w:rsid w:val="00C7194B"/>
    <w:rsid w:val="00C719CD"/>
    <w:rsid w:val="00C71B92"/>
    <w:rsid w:val="00C71C8A"/>
    <w:rsid w:val="00C71FC9"/>
    <w:rsid w:val="00C7217C"/>
    <w:rsid w:val="00C7252A"/>
    <w:rsid w:val="00C7271E"/>
    <w:rsid w:val="00C72799"/>
    <w:rsid w:val="00C72812"/>
    <w:rsid w:val="00C7282E"/>
    <w:rsid w:val="00C729FE"/>
    <w:rsid w:val="00C72A11"/>
    <w:rsid w:val="00C72D0B"/>
    <w:rsid w:val="00C72D4A"/>
    <w:rsid w:val="00C72D57"/>
    <w:rsid w:val="00C72D79"/>
    <w:rsid w:val="00C72EA3"/>
    <w:rsid w:val="00C7333C"/>
    <w:rsid w:val="00C73588"/>
    <w:rsid w:val="00C73613"/>
    <w:rsid w:val="00C73700"/>
    <w:rsid w:val="00C73C12"/>
    <w:rsid w:val="00C73F2B"/>
    <w:rsid w:val="00C74209"/>
    <w:rsid w:val="00C74423"/>
    <w:rsid w:val="00C748AC"/>
    <w:rsid w:val="00C74A31"/>
    <w:rsid w:val="00C74BF1"/>
    <w:rsid w:val="00C74BFC"/>
    <w:rsid w:val="00C74C5F"/>
    <w:rsid w:val="00C7512D"/>
    <w:rsid w:val="00C7518C"/>
    <w:rsid w:val="00C7533E"/>
    <w:rsid w:val="00C75895"/>
    <w:rsid w:val="00C75910"/>
    <w:rsid w:val="00C75A82"/>
    <w:rsid w:val="00C75AB4"/>
    <w:rsid w:val="00C75B0E"/>
    <w:rsid w:val="00C75E7D"/>
    <w:rsid w:val="00C76054"/>
    <w:rsid w:val="00C761FF"/>
    <w:rsid w:val="00C762FA"/>
    <w:rsid w:val="00C7639E"/>
    <w:rsid w:val="00C76B76"/>
    <w:rsid w:val="00C76CDC"/>
    <w:rsid w:val="00C76EA9"/>
    <w:rsid w:val="00C76EF2"/>
    <w:rsid w:val="00C7706B"/>
    <w:rsid w:val="00C77162"/>
    <w:rsid w:val="00C7716B"/>
    <w:rsid w:val="00C77497"/>
    <w:rsid w:val="00C7762F"/>
    <w:rsid w:val="00C77706"/>
    <w:rsid w:val="00C7785A"/>
    <w:rsid w:val="00C77898"/>
    <w:rsid w:val="00C77952"/>
    <w:rsid w:val="00C77BD4"/>
    <w:rsid w:val="00C77C76"/>
    <w:rsid w:val="00C77E1B"/>
    <w:rsid w:val="00C77E68"/>
    <w:rsid w:val="00C80074"/>
    <w:rsid w:val="00C8008E"/>
    <w:rsid w:val="00C8015B"/>
    <w:rsid w:val="00C8052B"/>
    <w:rsid w:val="00C8060A"/>
    <w:rsid w:val="00C8077E"/>
    <w:rsid w:val="00C80A99"/>
    <w:rsid w:val="00C80B0A"/>
    <w:rsid w:val="00C80DD7"/>
    <w:rsid w:val="00C814E0"/>
    <w:rsid w:val="00C81592"/>
    <w:rsid w:val="00C816FE"/>
    <w:rsid w:val="00C81846"/>
    <w:rsid w:val="00C81A00"/>
    <w:rsid w:val="00C81B87"/>
    <w:rsid w:val="00C81BAE"/>
    <w:rsid w:val="00C81E3A"/>
    <w:rsid w:val="00C82062"/>
    <w:rsid w:val="00C8229D"/>
    <w:rsid w:val="00C8238A"/>
    <w:rsid w:val="00C826A8"/>
    <w:rsid w:val="00C8282F"/>
    <w:rsid w:val="00C828DD"/>
    <w:rsid w:val="00C8293F"/>
    <w:rsid w:val="00C82958"/>
    <w:rsid w:val="00C829E3"/>
    <w:rsid w:val="00C82AC2"/>
    <w:rsid w:val="00C82C0F"/>
    <w:rsid w:val="00C82D5B"/>
    <w:rsid w:val="00C83451"/>
    <w:rsid w:val="00C834B4"/>
    <w:rsid w:val="00C83500"/>
    <w:rsid w:val="00C83787"/>
    <w:rsid w:val="00C8391E"/>
    <w:rsid w:val="00C83A2F"/>
    <w:rsid w:val="00C83CC1"/>
    <w:rsid w:val="00C83DFF"/>
    <w:rsid w:val="00C83E04"/>
    <w:rsid w:val="00C83EAE"/>
    <w:rsid w:val="00C84768"/>
    <w:rsid w:val="00C84A69"/>
    <w:rsid w:val="00C84DAE"/>
    <w:rsid w:val="00C84F8C"/>
    <w:rsid w:val="00C84FDD"/>
    <w:rsid w:val="00C850FA"/>
    <w:rsid w:val="00C85284"/>
    <w:rsid w:val="00C852BD"/>
    <w:rsid w:val="00C8552A"/>
    <w:rsid w:val="00C856B6"/>
    <w:rsid w:val="00C8576C"/>
    <w:rsid w:val="00C857E7"/>
    <w:rsid w:val="00C8593C"/>
    <w:rsid w:val="00C85C62"/>
    <w:rsid w:val="00C85DDE"/>
    <w:rsid w:val="00C85FCD"/>
    <w:rsid w:val="00C86092"/>
    <w:rsid w:val="00C86172"/>
    <w:rsid w:val="00C86223"/>
    <w:rsid w:val="00C862EB"/>
    <w:rsid w:val="00C864A3"/>
    <w:rsid w:val="00C864DD"/>
    <w:rsid w:val="00C8664F"/>
    <w:rsid w:val="00C86707"/>
    <w:rsid w:val="00C8683F"/>
    <w:rsid w:val="00C86A88"/>
    <w:rsid w:val="00C86B18"/>
    <w:rsid w:val="00C86DFA"/>
    <w:rsid w:val="00C86E0C"/>
    <w:rsid w:val="00C86ED5"/>
    <w:rsid w:val="00C871C0"/>
    <w:rsid w:val="00C871C7"/>
    <w:rsid w:val="00C87292"/>
    <w:rsid w:val="00C872AE"/>
    <w:rsid w:val="00C87511"/>
    <w:rsid w:val="00C87821"/>
    <w:rsid w:val="00C87829"/>
    <w:rsid w:val="00C878CF"/>
    <w:rsid w:val="00C87A4E"/>
    <w:rsid w:val="00C87DA0"/>
    <w:rsid w:val="00C87E13"/>
    <w:rsid w:val="00C90035"/>
    <w:rsid w:val="00C9005E"/>
    <w:rsid w:val="00C9009A"/>
    <w:rsid w:val="00C900ED"/>
    <w:rsid w:val="00C901AC"/>
    <w:rsid w:val="00C90584"/>
    <w:rsid w:val="00C906F7"/>
    <w:rsid w:val="00C90D7D"/>
    <w:rsid w:val="00C90E9D"/>
    <w:rsid w:val="00C90EC7"/>
    <w:rsid w:val="00C90F1D"/>
    <w:rsid w:val="00C91112"/>
    <w:rsid w:val="00C9114D"/>
    <w:rsid w:val="00C9124B"/>
    <w:rsid w:val="00C91383"/>
    <w:rsid w:val="00C91397"/>
    <w:rsid w:val="00C9141B"/>
    <w:rsid w:val="00C9166F"/>
    <w:rsid w:val="00C91778"/>
    <w:rsid w:val="00C918F4"/>
    <w:rsid w:val="00C91F83"/>
    <w:rsid w:val="00C920C8"/>
    <w:rsid w:val="00C92217"/>
    <w:rsid w:val="00C92476"/>
    <w:rsid w:val="00C92493"/>
    <w:rsid w:val="00C9280D"/>
    <w:rsid w:val="00C928ED"/>
    <w:rsid w:val="00C92A00"/>
    <w:rsid w:val="00C92BF8"/>
    <w:rsid w:val="00C92E29"/>
    <w:rsid w:val="00C92E53"/>
    <w:rsid w:val="00C930D6"/>
    <w:rsid w:val="00C93111"/>
    <w:rsid w:val="00C93182"/>
    <w:rsid w:val="00C931EC"/>
    <w:rsid w:val="00C93257"/>
    <w:rsid w:val="00C9337E"/>
    <w:rsid w:val="00C93583"/>
    <w:rsid w:val="00C936F9"/>
    <w:rsid w:val="00C93A11"/>
    <w:rsid w:val="00C93B0B"/>
    <w:rsid w:val="00C941ED"/>
    <w:rsid w:val="00C9451C"/>
    <w:rsid w:val="00C945E3"/>
    <w:rsid w:val="00C945EE"/>
    <w:rsid w:val="00C94661"/>
    <w:rsid w:val="00C94C37"/>
    <w:rsid w:val="00C94CDA"/>
    <w:rsid w:val="00C94D44"/>
    <w:rsid w:val="00C94DBB"/>
    <w:rsid w:val="00C94DC1"/>
    <w:rsid w:val="00C94F86"/>
    <w:rsid w:val="00C95893"/>
    <w:rsid w:val="00C958B5"/>
    <w:rsid w:val="00C95C23"/>
    <w:rsid w:val="00C95CA7"/>
    <w:rsid w:val="00C9600B"/>
    <w:rsid w:val="00C96024"/>
    <w:rsid w:val="00C96284"/>
    <w:rsid w:val="00C9642F"/>
    <w:rsid w:val="00C9643B"/>
    <w:rsid w:val="00C96535"/>
    <w:rsid w:val="00C96A00"/>
    <w:rsid w:val="00C96A90"/>
    <w:rsid w:val="00C96BBC"/>
    <w:rsid w:val="00C96BD0"/>
    <w:rsid w:val="00C96BE2"/>
    <w:rsid w:val="00C96EE9"/>
    <w:rsid w:val="00C96F3C"/>
    <w:rsid w:val="00C96F71"/>
    <w:rsid w:val="00C97200"/>
    <w:rsid w:val="00C9725C"/>
    <w:rsid w:val="00C97393"/>
    <w:rsid w:val="00C97C46"/>
    <w:rsid w:val="00C97D89"/>
    <w:rsid w:val="00C97E90"/>
    <w:rsid w:val="00C97F5A"/>
    <w:rsid w:val="00CA0009"/>
    <w:rsid w:val="00CA00FF"/>
    <w:rsid w:val="00CA01E3"/>
    <w:rsid w:val="00CA064E"/>
    <w:rsid w:val="00CA0948"/>
    <w:rsid w:val="00CA0A88"/>
    <w:rsid w:val="00CA0AF9"/>
    <w:rsid w:val="00CA0D80"/>
    <w:rsid w:val="00CA17E6"/>
    <w:rsid w:val="00CA1CBA"/>
    <w:rsid w:val="00CA1CDD"/>
    <w:rsid w:val="00CA1D70"/>
    <w:rsid w:val="00CA22A5"/>
    <w:rsid w:val="00CA237D"/>
    <w:rsid w:val="00CA2558"/>
    <w:rsid w:val="00CA258E"/>
    <w:rsid w:val="00CA2776"/>
    <w:rsid w:val="00CA2A91"/>
    <w:rsid w:val="00CA2DD7"/>
    <w:rsid w:val="00CA2EFA"/>
    <w:rsid w:val="00CA3059"/>
    <w:rsid w:val="00CA3067"/>
    <w:rsid w:val="00CA32A9"/>
    <w:rsid w:val="00CA3758"/>
    <w:rsid w:val="00CA3B5E"/>
    <w:rsid w:val="00CA3BDA"/>
    <w:rsid w:val="00CA4363"/>
    <w:rsid w:val="00CA45EC"/>
    <w:rsid w:val="00CA487E"/>
    <w:rsid w:val="00CA48EB"/>
    <w:rsid w:val="00CA4CCB"/>
    <w:rsid w:val="00CA4D51"/>
    <w:rsid w:val="00CA4DA3"/>
    <w:rsid w:val="00CA4DC7"/>
    <w:rsid w:val="00CA4DF1"/>
    <w:rsid w:val="00CA4DF3"/>
    <w:rsid w:val="00CA4E4F"/>
    <w:rsid w:val="00CA510F"/>
    <w:rsid w:val="00CA5356"/>
    <w:rsid w:val="00CA5372"/>
    <w:rsid w:val="00CA55FA"/>
    <w:rsid w:val="00CA5994"/>
    <w:rsid w:val="00CA5AC4"/>
    <w:rsid w:val="00CA5D51"/>
    <w:rsid w:val="00CA5DC3"/>
    <w:rsid w:val="00CA5E24"/>
    <w:rsid w:val="00CA5E56"/>
    <w:rsid w:val="00CA5FF6"/>
    <w:rsid w:val="00CA627B"/>
    <w:rsid w:val="00CA6307"/>
    <w:rsid w:val="00CA67B9"/>
    <w:rsid w:val="00CA6B22"/>
    <w:rsid w:val="00CA6EE3"/>
    <w:rsid w:val="00CA725C"/>
    <w:rsid w:val="00CA7602"/>
    <w:rsid w:val="00CA78CA"/>
    <w:rsid w:val="00CA7B94"/>
    <w:rsid w:val="00CA7DEB"/>
    <w:rsid w:val="00CA7E41"/>
    <w:rsid w:val="00CA7F4D"/>
    <w:rsid w:val="00CA7F70"/>
    <w:rsid w:val="00CB0158"/>
    <w:rsid w:val="00CB04A1"/>
    <w:rsid w:val="00CB04C0"/>
    <w:rsid w:val="00CB052C"/>
    <w:rsid w:val="00CB0860"/>
    <w:rsid w:val="00CB09EB"/>
    <w:rsid w:val="00CB0A29"/>
    <w:rsid w:val="00CB0B65"/>
    <w:rsid w:val="00CB0D00"/>
    <w:rsid w:val="00CB0E35"/>
    <w:rsid w:val="00CB0F46"/>
    <w:rsid w:val="00CB0FB2"/>
    <w:rsid w:val="00CB104E"/>
    <w:rsid w:val="00CB148D"/>
    <w:rsid w:val="00CB1546"/>
    <w:rsid w:val="00CB17A8"/>
    <w:rsid w:val="00CB19B8"/>
    <w:rsid w:val="00CB1A74"/>
    <w:rsid w:val="00CB1C34"/>
    <w:rsid w:val="00CB1D9B"/>
    <w:rsid w:val="00CB1DEC"/>
    <w:rsid w:val="00CB1F56"/>
    <w:rsid w:val="00CB200F"/>
    <w:rsid w:val="00CB216B"/>
    <w:rsid w:val="00CB219F"/>
    <w:rsid w:val="00CB2327"/>
    <w:rsid w:val="00CB2337"/>
    <w:rsid w:val="00CB2439"/>
    <w:rsid w:val="00CB2498"/>
    <w:rsid w:val="00CB26D1"/>
    <w:rsid w:val="00CB298E"/>
    <w:rsid w:val="00CB29C8"/>
    <w:rsid w:val="00CB2B8F"/>
    <w:rsid w:val="00CB3023"/>
    <w:rsid w:val="00CB3026"/>
    <w:rsid w:val="00CB3158"/>
    <w:rsid w:val="00CB39B5"/>
    <w:rsid w:val="00CB3D05"/>
    <w:rsid w:val="00CB3DBF"/>
    <w:rsid w:val="00CB3E7C"/>
    <w:rsid w:val="00CB400E"/>
    <w:rsid w:val="00CB424E"/>
    <w:rsid w:val="00CB43D5"/>
    <w:rsid w:val="00CB44FD"/>
    <w:rsid w:val="00CB4FD4"/>
    <w:rsid w:val="00CB50CC"/>
    <w:rsid w:val="00CB5160"/>
    <w:rsid w:val="00CB5330"/>
    <w:rsid w:val="00CB5394"/>
    <w:rsid w:val="00CB53A6"/>
    <w:rsid w:val="00CB53E9"/>
    <w:rsid w:val="00CB5603"/>
    <w:rsid w:val="00CB5963"/>
    <w:rsid w:val="00CB5A8C"/>
    <w:rsid w:val="00CB5C39"/>
    <w:rsid w:val="00CB625A"/>
    <w:rsid w:val="00CB67D0"/>
    <w:rsid w:val="00CB6ADF"/>
    <w:rsid w:val="00CB7132"/>
    <w:rsid w:val="00CB776A"/>
    <w:rsid w:val="00CB7BF7"/>
    <w:rsid w:val="00CB7DAC"/>
    <w:rsid w:val="00CB7EB0"/>
    <w:rsid w:val="00CC0074"/>
    <w:rsid w:val="00CC019E"/>
    <w:rsid w:val="00CC0277"/>
    <w:rsid w:val="00CC0595"/>
    <w:rsid w:val="00CC07A8"/>
    <w:rsid w:val="00CC07F6"/>
    <w:rsid w:val="00CC0924"/>
    <w:rsid w:val="00CC0935"/>
    <w:rsid w:val="00CC0A7A"/>
    <w:rsid w:val="00CC0C79"/>
    <w:rsid w:val="00CC0D99"/>
    <w:rsid w:val="00CC0DE0"/>
    <w:rsid w:val="00CC0E91"/>
    <w:rsid w:val="00CC0F7F"/>
    <w:rsid w:val="00CC11BA"/>
    <w:rsid w:val="00CC120F"/>
    <w:rsid w:val="00CC143B"/>
    <w:rsid w:val="00CC1461"/>
    <w:rsid w:val="00CC14BD"/>
    <w:rsid w:val="00CC158F"/>
    <w:rsid w:val="00CC15FF"/>
    <w:rsid w:val="00CC1693"/>
    <w:rsid w:val="00CC16EB"/>
    <w:rsid w:val="00CC19CC"/>
    <w:rsid w:val="00CC1B56"/>
    <w:rsid w:val="00CC1BCC"/>
    <w:rsid w:val="00CC1CC5"/>
    <w:rsid w:val="00CC1F18"/>
    <w:rsid w:val="00CC20FB"/>
    <w:rsid w:val="00CC2192"/>
    <w:rsid w:val="00CC22DF"/>
    <w:rsid w:val="00CC22FF"/>
    <w:rsid w:val="00CC23EA"/>
    <w:rsid w:val="00CC23FA"/>
    <w:rsid w:val="00CC261A"/>
    <w:rsid w:val="00CC2718"/>
    <w:rsid w:val="00CC2778"/>
    <w:rsid w:val="00CC2948"/>
    <w:rsid w:val="00CC29EC"/>
    <w:rsid w:val="00CC29F3"/>
    <w:rsid w:val="00CC2AD2"/>
    <w:rsid w:val="00CC2C84"/>
    <w:rsid w:val="00CC2E69"/>
    <w:rsid w:val="00CC2ED6"/>
    <w:rsid w:val="00CC2FAA"/>
    <w:rsid w:val="00CC2FC7"/>
    <w:rsid w:val="00CC350D"/>
    <w:rsid w:val="00CC3582"/>
    <w:rsid w:val="00CC3754"/>
    <w:rsid w:val="00CC3849"/>
    <w:rsid w:val="00CC386F"/>
    <w:rsid w:val="00CC38EB"/>
    <w:rsid w:val="00CC3DAE"/>
    <w:rsid w:val="00CC3F1B"/>
    <w:rsid w:val="00CC41CE"/>
    <w:rsid w:val="00CC42B7"/>
    <w:rsid w:val="00CC435B"/>
    <w:rsid w:val="00CC4443"/>
    <w:rsid w:val="00CC44F4"/>
    <w:rsid w:val="00CC4614"/>
    <w:rsid w:val="00CC4772"/>
    <w:rsid w:val="00CC48C5"/>
    <w:rsid w:val="00CC4A1A"/>
    <w:rsid w:val="00CC4AE3"/>
    <w:rsid w:val="00CC4B3A"/>
    <w:rsid w:val="00CC4E59"/>
    <w:rsid w:val="00CC4EB1"/>
    <w:rsid w:val="00CC51E5"/>
    <w:rsid w:val="00CC535A"/>
    <w:rsid w:val="00CC55F0"/>
    <w:rsid w:val="00CC573E"/>
    <w:rsid w:val="00CC5C5D"/>
    <w:rsid w:val="00CC5D21"/>
    <w:rsid w:val="00CC60DB"/>
    <w:rsid w:val="00CC6237"/>
    <w:rsid w:val="00CC6241"/>
    <w:rsid w:val="00CC62CC"/>
    <w:rsid w:val="00CC6406"/>
    <w:rsid w:val="00CC64D3"/>
    <w:rsid w:val="00CC6587"/>
    <w:rsid w:val="00CC6908"/>
    <w:rsid w:val="00CC6C1C"/>
    <w:rsid w:val="00CC6C50"/>
    <w:rsid w:val="00CC6D63"/>
    <w:rsid w:val="00CC6F8D"/>
    <w:rsid w:val="00CC7157"/>
    <w:rsid w:val="00CC71AA"/>
    <w:rsid w:val="00CC7243"/>
    <w:rsid w:val="00CC7457"/>
    <w:rsid w:val="00CC755E"/>
    <w:rsid w:val="00CC75F0"/>
    <w:rsid w:val="00CC76C0"/>
    <w:rsid w:val="00CC7AB9"/>
    <w:rsid w:val="00CC7D7E"/>
    <w:rsid w:val="00CD01EB"/>
    <w:rsid w:val="00CD073A"/>
    <w:rsid w:val="00CD0862"/>
    <w:rsid w:val="00CD0ADF"/>
    <w:rsid w:val="00CD0C6A"/>
    <w:rsid w:val="00CD0C7E"/>
    <w:rsid w:val="00CD0E96"/>
    <w:rsid w:val="00CD123A"/>
    <w:rsid w:val="00CD14A4"/>
    <w:rsid w:val="00CD1542"/>
    <w:rsid w:val="00CD1566"/>
    <w:rsid w:val="00CD16A7"/>
    <w:rsid w:val="00CD17B4"/>
    <w:rsid w:val="00CD1A68"/>
    <w:rsid w:val="00CD1B57"/>
    <w:rsid w:val="00CD1B84"/>
    <w:rsid w:val="00CD1BF3"/>
    <w:rsid w:val="00CD1DCD"/>
    <w:rsid w:val="00CD1F4B"/>
    <w:rsid w:val="00CD225F"/>
    <w:rsid w:val="00CD26DE"/>
    <w:rsid w:val="00CD291F"/>
    <w:rsid w:val="00CD2BF6"/>
    <w:rsid w:val="00CD2EB5"/>
    <w:rsid w:val="00CD2FA4"/>
    <w:rsid w:val="00CD31B1"/>
    <w:rsid w:val="00CD320E"/>
    <w:rsid w:val="00CD352E"/>
    <w:rsid w:val="00CD3551"/>
    <w:rsid w:val="00CD3723"/>
    <w:rsid w:val="00CD3B9B"/>
    <w:rsid w:val="00CD3BA9"/>
    <w:rsid w:val="00CD3C14"/>
    <w:rsid w:val="00CD3D60"/>
    <w:rsid w:val="00CD3E59"/>
    <w:rsid w:val="00CD3FCD"/>
    <w:rsid w:val="00CD3FFE"/>
    <w:rsid w:val="00CD4304"/>
    <w:rsid w:val="00CD4480"/>
    <w:rsid w:val="00CD4594"/>
    <w:rsid w:val="00CD48BF"/>
    <w:rsid w:val="00CD4BAE"/>
    <w:rsid w:val="00CD4C4C"/>
    <w:rsid w:val="00CD4C65"/>
    <w:rsid w:val="00CD4CA3"/>
    <w:rsid w:val="00CD4DA7"/>
    <w:rsid w:val="00CD4E2D"/>
    <w:rsid w:val="00CD5106"/>
    <w:rsid w:val="00CD5433"/>
    <w:rsid w:val="00CD5478"/>
    <w:rsid w:val="00CD5575"/>
    <w:rsid w:val="00CD5634"/>
    <w:rsid w:val="00CD56D2"/>
    <w:rsid w:val="00CD5845"/>
    <w:rsid w:val="00CD5969"/>
    <w:rsid w:val="00CD5B3A"/>
    <w:rsid w:val="00CD5B50"/>
    <w:rsid w:val="00CD5BE3"/>
    <w:rsid w:val="00CD5C6B"/>
    <w:rsid w:val="00CD6031"/>
    <w:rsid w:val="00CD6062"/>
    <w:rsid w:val="00CD612D"/>
    <w:rsid w:val="00CD6197"/>
    <w:rsid w:val="00CD61DF"/>
    <w:rsid w:val="00CD6317"/>
    <w:rsid w:val="00CD669B"/>
    <w:rsid w:val="00CD6758"/>
    <w:rsid w:val="00CD67B6"/>
    <w:rsid w:val="00CD6968"/>
    <w:rsid w:val="00CD6A3C"/>
    <w:rsid w:val="00CD6B89"/>
    <w:rsid w:val="00CD6C14"/>
    <w:rsid w:val="00CD6D47"/>
    <w:rsid w:val="00CD702D"/>
    <w:rsid w:val="00CD707D"/>
    <w:rsid w:val="00CD7372"/>
    <w:rsid w:val="00CD7622"/>
    <w:rsid w:val="00CD7923"/>
    <w:rsid w:val="00CD7B88"/>
    <w:rsid w:val="00CD7E28"/>
    <w:rsid w:val="00CD7F42"/>
    <w:rsid w:val="00CE0105"/>
    <w:rsid w:val="00CE048C"/>
    <w:rsid w:val="00CE0658"/>
    <w:rsid w:val="00CE0AB0"/>
    <w:rsid w:val="00CE0BF9"/>
    <w:rsid w:val="00CE0F3A"/>
    <w:rsid w:val="00CE11EA"/>
    <w:rsid w:val="00CE1270"/>
    <w:rsid w:val="00CE143F"/>
    <w:rsid w:val="00CE1554"/>
    <w:rsid w:val="00CE1780"/>
    <w:rsid w:val="00CE17A6"/>
    <w:rsid w:val="00CE189D"/>
    <w:rsid w:val="00CE1A39"/>
    <w:rsid w:val="00CE1E49"/>
    <w:rsid w:val="00CE2018"/>
    <w:rsid w:val="00CE2162"/>
    <w:rsid w:val="00CE219D"/>
    <w:rsid w:val="00CE22C1"/>
    <w:rsid w:val="00CE23AF"/>
    <w:rsid w:val="00CE24EA"/>
    <w:rsid w:val="00CE25C4"/>
    <w:rsid w:val="00CE2738"/>
    <w:rsid w:val="00CE2780"/>
    <w:rsid w:val="00CE29BC"/>
    <w:rsid w:val="00CE2AC0"/>
    <w:rsid w:val="00CE2D2F"/>
    <w:rsid w:val="00CE2FAD"/>
    <w:rsid w:val="00CE3048"/>
    <w:rsid w:val="00CE30BE"/>
    <w:rsid w:val="00CE30CE"/>
    <w:rsid w:val="00CE37CD"/>
    <w:rsid w:val="00CE3834"/>
    <w:rsid w:val="00CE3998"/>
    <w:rsid w:val="00CE3BE0"/>
    <w:rsid w:val="00CE3D9C"/>
    <w:rsid w:val="00CE415D"/>
    <w:rsid w:val="00CE4377"/>
    <w:rsid w:val="00CE46C3"/>
    <w:rsid w:val="00CE4763"/>
    <w:rsid w:val="00CE49E6"/>
    <w:rsid w:val="00CE4AB8"/>
    <w:rsid w:val="00CE4B5E"/>
    <w:rsid w:val="00CE4C5F"/>
    <w:rsid w:val="00CE4E5B"/>
    <w:rsid w:val="00CE510E"/>
    <w:rsid w:val="00CE5141"/>
    <w:rsid w:val="00CE5183"/>
    <w:rsid w:val="00CE53FF"/>
    <w:rsid w:val="00CE550B"/>
    <w:rsid w:val="00CE55D3"/>
    <w:rsid w:val="00CE565D"/>
    <w:rsid w:val="00CE5713"/>
    <w:rsid w:val="00CE5C45"/>
    <w:rsid w:val="00CE5E34"/>
    <w:rsid w:val="00CE5FB8"/>
    <w:rsid w:val="00CE6317"/>
    <w:rsid w:val="00CE6507"/>
    <w:rsid w:val="00CE66BF"/>
    <w:rsid w:val="00CE69AE"/>
    <w:rsid w:val="00CE6ABD"/>
    <w:rsid w:val="00CE6C80"/>
    <w:rsid w:val="00CE6D90"/>
    <w:rsid w:val="00CE6E06"/>
    <w:rsid w:val="00CE70B2"/>
    <w:rsid w:val="00CE72A7"/>
    <w:rsid w:val="00CE731D"/>
    <w:rsid w:val="00CE743F"/>
    <w:rsid w:val="00CE791D"/>
    <w:rsid w:val="00CE7947"/>
    <w:rsid w:val="00CE799C"/>
    <w:rsid w:val="00CE7AEA"/>
    <w:rsid w:val="00CE7C5E"/>
    <w:rsid w:val="00CE7C72"/>
    <w:rsid w:val="00CE7CAD"/>
    <w:rsid w:val="00CF01A8"/>
    <w:rsid w:val="00CF0387"/>
    <w:rsid w:val="00CF04FF"/>
    <w:rsid w:val="00CF070A"/>
    <w:rsid w:val="00CF0772"/>
    <w:rsid w:val="00CF07FF"/>
    <w:rsid w:val="00CF086A"/>
    <w:rsid w:val="00CF0964"/>
    <w:rsid w:val="00CF0A04"/>
    <w:rsid w:val="00CF0A40"/>
    <w:rsid w:val="00CF0C7F"/>
    <w:rsid w:val="00CF110A"/>
    <w:rsid w:val="00CF11E0"/>
    <w:rsid w:val="00CF12D3"/>
    <w:rsid w:val="00CF130A"/>
    <w:rsid w:val="00CF138A"/>
    <w:rsid w:val="00CF186E"/>
    <w:rsid w:val="00CF1BD7"/>
    <w:rsid w:val="00CF1BF4"/>
    <w:rsid w:val="00CF1D35"/>
    <w:rsid w:val="00CF1E4B"/>
    <w:rsid w:val="00CF2320"/>
    <w:rsid w:val="00CF266B"/>
    <w:rsid w:val="00CF267B"/>
    <w:rsid w:val="00CF2C7F"/>
    <w:rsid w:val="00CF2CEE"/>
    <w:rsid w:val="00CF2E8B"/>
    <w:rsid w:val="00CF3024"/>
    <w:rsid w:val="00CF35BF"/>
    <w:rsid w:val="00CF39D3"/>
    <w:rsid w:val="00CF3AF9"/>
    <w:rsid w:val="00CF3D11"/>
    <w:rsid w:val="00CF3E8A"/>
    <w:rsid w:val="00CF3E91"/>
    <w:rsid w:val="00CF407A"/>
    <w:rsid w:val="00CF4352"/>
    <w:rsid w:val="00CF4417"/>
    <w:rsid w:val="00CF441C"/>
    <w:rsid w:val="00CF459A"/>
    <w:rsid w:val="00CF466C"/>
    <w:rsid w:val="00CF489C"/>
    <w:rsid w:val="00CF490A"/>
    <w:rsid w:val="00CF49D9"/>
    <w:rsid w:val="00CF4B0D"/>
    <w:rsid w:val="00CF4B82"/>
    <w:rsid w:val="00CF4C86"/>
    <w:rsid w:val="00CF4F5E"/>
    <w:rsid w:val="00CF5107"/>
    <w:rsid w:val="00CF5307"/>
    <w:rsid w:val="00CF54E9"/>
    <w:rsid w:val="00CF5528"/>
    <w:rsid w:val="00CF56C2"/>
    <w:rsid w:val="00CF5905"/>
    <w:rsid w:val="00CF5A3F"/>
    <w:rsid w:val="00CF6164"/>
    <w:rsid w:val="00CF631A"/>
    <w:rsid w:val="00CF6411"/>
    <w:rsid w:val="00CF6572"/>
    <w:rsid w:val="00CF65AC"/>
    <w:rsid w:val="00CF661C"/>
    <w:rsid w:val="00CF6953"/>
    <w:rsid w:val="00CF6CDB"/>
    <w:rsid w:val="00CF6D1F"/>
    <w:rsid w:val="00CF7142"/>
    <w:rsid w:val="00CF74D5"/>
    <w:rsid w:val="00CF7565"/>
    <w:rsid w:val="00CF756C"/>
    <w:rsid w:val="00CF76C8"/>
    <w:rsid w:val="00CF78DC"/>
    <w:rsid w:val="00CF7A48"/>
    <w:rsid w:val="00CF7ABB"/>
    <w:rsid w:val="00CF7CCE"/>
    <w:rsid w:val="00CF7DC2"/>
    <w:rsid w:val="00CF7E9D"/>
    <w:rsid w:val="00CF7F4A"/>
    <w:rsid w:val="00D00168"/>
    <w:rsid w:val="00D00317"/>
    <w:rsid w:val="00D0050E"/>
    <w:rsid w:val="00D00525"/>
    <w:rsid w:val="00D007DF"/>
    <w:rsid w:val="00D0088B"/>
    <w:rsid w:val="00D00D0E"/>
    <w:rsid w:val="00D0110C"/>
    <w:rsid w:val="00D01120"/>
    <w:rsid w:val="00D01214"/>
    <w:rsid w:val="00D0129E"/>
    <w:rsid w:val="00D01392"/>
    <w:rsid w:val="00D0153F"/>
    <w:rsid w:val="00D01671"/>
    <w:rsid w:val="00D01706"/>
    <w:rsid w:val="00D01BE4"/>
    <w:rsid w:val="00D01C0A"/>
    <w:rsid w:val="00D01D3B"/>
    <w:rsid w:val="00D01EC7"/>
    <w:rsid w:val="00D02477"/>
    <w:rsid w:val="00D02575"/>
    <w:rsid w:val="00D02B72"/>
    <w:rsid w:val="00D02D1F"/>
    <w:rsid w:val="00D02EA9"/>
    <w:rsid w:val="00D030D7"/>
    <w:rsid w:val="00D031D5"/>
    <w:rsid w:val="00D03221"/>
    <w:rsid w:val="00D03445"/>
    <w:rsid w:val="00D037FD"/>
    <w:rsid w:val="00D038DD"/>
    <w:rsid w:val="00D0399D"/>
    <w:rsid w:val="00D03FF2"/>
    <w:rsid w:val="00D04231"/>
    <w:rsid w:val="00D0464B"/>
    <w:rsid w:val="00D04664"/>
    <w:rsid w:val="00D048E0"/>
    <w:rsid w:val="00D04A70"/>
    <w:rsid w:val="00D04C6C"/>
    <w:rsid w:val="00D04D55"/>
    <w:rsid w:val="00D04DE6"/>
    <w:rsid w:val="00D04E84"/>
    <w:rsid w:val="00D04FF8"/>
    <w:rsid w:val="00D0537B"/>
    <w:rsid w:val="00D05725"/>
    <w:rsid w:val="00D05925"/>
    <w:rsid w:val="00D05B05"/>
    <w:rsid w:val="00D05C59"/>
    <w:rsid w:val="00D05D06"/>
    <w:rsid w:val="00D05D48"/>
    <w:rsid w:val="00D05E90"/>
    <w:rsid w:val="00D0614E"/>
    <w:rsid w:val="00D06251"/>
    <w:rsid w:val="00D062C3"/>
    <w:rsid w:val="00D064AD"/>
    <w:rsid w:val="00D068AA"/>
    <w:rsid w:val="00D0691C"/>
    <w:rsid w:val="00D06A54"/>
    <w:rsid w:val="00D06B93"/>
    <w:rsid w:val="00D06BC9"/>
    <w:rsid w:val="00D06FAF"/>
    <w:rsid w:val="00D0758F"/>
    <w:rsid w:val="00D07623"/>
    <w:rsid w:val="00D0788F"/>
    <w:rsid w:val="00D079B4"/>
    <w:rsid w:val="00D07A26"/>
    <w:rsid w:val="00D07C3C"/>
    <w:rsid w:val="00D07CEA"/>
    <w:rsid w:val="00D07F7D"/>
    <w:rsid w:val="00D07F85"/>
    <w:rsid w:val="00D1006D"/>
    <w:rsid w:val="00D100F7"/>
    <w:rsid w:val="00D10120"/>
    <w:rsid w:val="00D1032B"/>
    <w:rsid w:val="00D10411"/>
    <w:rsid w:val="00D10543"/>
    <w:rsid w:val="00D10553"/>
    <w:rsid w:val="00D10715"/>
    <w:rsid w:val="00D108DD"/>
    <w:rsid w:val="00D10A8F"/>
    <w:rsid w:val="00D10BF0"/>
    <w:rsid w:val="00D10C78"/>
    <w:rsid w:val="00D10D7C"/>
    <w:rsid w:val="00D11608"/>
    <w:rsid w:val="00D1169C"/>
    <w:rsid w:val="00D1179D"/>
    <w:rsid w:val="00D1182C"/>
    <w:rsid w:val="00D119E5"/>
    <w:rsid w:val="00D11AEF"/>
    <w:rsid w:val="00D12007"/>
    <w:rsid w:val="00D1201F"/>
    <w:rsid w:val="00D121D2"/>
    <w:rsid w:val="00D12361"/>
    <w:rsid w:val="00D12CF4"/>
    <w:rsid w:val="00D12EC3"/>
    <w:rsid w:val="00D13106"/>
    <w:rsid w:val="00D13279"/>
    <w:rsid w:val="00D1327B"/>
    <w:rsid w:val="00D13309"/>
    <w:rsid w:val="00D13397"/>
    <w:rsid w:val="00D134A2"/>
    <w:rsid w:val="00D134D1"/>
    <w:rsid w:val="00D1358A"/>
    <w:rsid w:val="00D13594"/>
    <w:rsid w:val="00D13901"/>
    <w:rsid w:val="00D1393F"/>
    <w:rsid w:val="00D13961"/>
    <w:rsid w:val="00D13A37"/>
    <w:rsid w:val="00D13C5C"/>
    <w:rsid w:val="00D13D90"/>
    <w:rsid w:val="00D13DB0"/>
    <w:rsid w:val="00D13F97"/>
    <w:rsid w:val="00D13FB6"/>
    <w:rsid w:val="00D13FCD"/>
    <w:rsid w:val="00D140AE"/>
    <w:rsid w:val="00D143A1"/>
    <w:rsid w:val="00D143A3"/>
    <w:rsid w:val="00D143E6"/>
    <w:rsid w:val="00D1448E"/>
    <w:rsid w:val="00D1473B"/>
    <w:rsid w:val="00D147C6"/>
    <w:rsid w:val="00D1483C"/>
    <w:rsid w:val="00D148CA"/>
    <w:rsid w:val="00D14B96"/>
    <w:rsid w:val="00D14DD5"/>
    <w:rsid w:val="00D14F44"/>
    <w:rsid w:val="00D15346"/>
    <w:rsid w:val="00D15410"/>
    <w:rsid w:val="00D156C6"/>
    <w:rsid w:val="00D157BC"/>
    <w:rsid w:val="00D15840"/>
    <w:rsid w:val="00D158D7"/>
    <w:rsid w:val="00D15A8F"/>
    <w:rsid w:val="00D161CA"/>
    <w:rsid w:val="00D162B8"/>
    <w:rsid w:val="00D162D6"/>
    <w:rsid w:val="00D162EC"/>
    <w:rsid w:val="00D1662B"/>
    <w:rsid w:val="00D1693A"/>
    <w:rsid w:val="00D16AEC"/>
    <w:rsid w:val="00D16B5D"/>
    <w:rsid w:val="00D16CEC"/>
    <w:rsid w:val="00D16D3E"/>
    <w:rsid w:val="00D16F45"/>
    <w:rsid w:val="00D16F8B"/>
    <w:rsid w:val="00D1702E"/>
    <w:rsid w:val="00D173F0"/>
    <w:rsid w:val="00D17529"/>
    <w:rsid w:val="00D17593"/>
    <w:rsid w:val="00D17703"/>
    <w:rsid w:val="00D1773E"/>
    <w:rsid w:val="00D17A52"/>
    <w:rsid w:val="00D17A70"/>
    <w:rsid w:val="00D17B3C"/>
    <w:rsid w:val="00D17CB4"/>
    <w:rsid w:val="00D17D56"/>
    <w:rsid w:val="00D17DE3"/>
    <w:rsid w:val="00D17F47"/>
    <w:rsid w:val="00D2016B"/>
    <w:rsid w:val="00D208FF"/>
    <w:rsid w:val="00D20AA7"/>
    <w:rsid w:val="00D20B92"/>
    <w:rsid w:val="00D20C0C"/>
    <w:rsid w:val="00D20CA8"/>
    <w:rsid w:val="00D20DC4"/>
    <w:rsid w:val="00D20DDF"/>
    <w:rsid w:val="00D20ED0"/>
    <w:rsid w:val="00D21298"/>
    <w:rsid w:val="00D212A8"/>
    <w:rsid w:val="00D212D9"/>
    <w:rsid w:val="00D2141F"/>
    <w:rsid w:val="00D21790"/>
    <w:rsid w:val="00D217D4"/>
    <w:rsid w:val="00D21A9F"/>
    <w:rsid w:val="00D21C71"/>
    <w:rsid w:val="00D21E0B"/>
    <w:rsid w:val="00D21E1A"/>
    <w:rsid w:val="00D21E25"/>
    <w:rsid w:val="00D21E7F"/>
    <w:rsid w:val="00D2219A"/>
    <w:rsid w:val="00D22508"/>
    <w:rsid w:val="00D22779"/>
    <w:rsid w:val="00D22889"/>
    <w:rsid w:val="00D22A84"/>
    <w:rsid w:val="00D22B6F"/>
    <w:rsid w:val="00D22CC1"/>
    <w:rsid w:val="00D22CCC"/>
    <w:rsid w:val="00D22DC8"/>
    <w:rsid w:val="00D232DE"/>
    <w:rsid w:val="00D23451"/>
    <w:rsid w:val="00D23474"/>
    <w:rsid w:val="00D2351F"/>
    <w:rsid w:val="00D2372D"/>
    <w:rsid w:val="00D237CA"/>
    <w:rsid w:val="00D23C7A"/>
    <w:rsid w:val="00D23E4A"/>
    <w:rsid w:val="00D23E84"/>
    <w:rsid w:val="00D23F42"/>
    <w:rsid w:val="00D23F50"/>
    <w:rsid w:val="00D23F6F"/>
    <w:rsid w:val="00D2454D"/>
    <w:rsid w:val="00D246D2"/>
    <w:rsid w:val="00D246D9"/>
    <w:rsid w:val="00D2478C"/>
    <w:rsid w:val="00D247D1"/>
    <w:rsid w:val="00D24AB3"/>
    <w:rsid w:val="00D24AB8"/>
    <w:rsid w:val="00D24DE4"/>
    <w:rsid w:val="00D24E1A"/>
    <w:rsid w:val="00D25006"/>
    <w:rsid w:val="00D251C8"/>
    <w:rsid w:val="00D25C37"/>
    <w:rsid w:val="00D25D5F"/>
    <w:rsid w:val="00D25EB6"/>
    <w:rsid w:val="00D25FDA"/>
    <w:rsid w:val="00D26343"/>
    <w:rsid w:val="00D2640E"/>
    <w:rsid w:val="00D266DE"/>
    <w:rsid w:val="00D26839"/>
    <w:rsid w:val="00D268B0"/>
    <w:rsid w:val="00D26AD1"/>
    <w:rsid w:val="00D26F7A"/>
    <w:rsid w:val="00D27198"/>
    <w:rsid w:val="00D271B8"/>
    <w:rsid w:val="00D27223"/>
    <w:rsid w:val="00D2733D"/>
    <w:rsid w:val="00D27870"/>
    <w:rsid w:val="00D27B27"/>
    <w:rsid w:val="00D27D44"/>
    <w:rsid w:val="00D27FCB"/>
    <w:rsid w:val="00D300AC"/>
    <w:rsid w:val="00D301AA"/>
    <w:rsid w:val="00D3043B"/>
    <w:rsid w:val="00D3069C"/>
    <w:rsid w:val="00D30BE6"/>
    <w:rsid w:val="00D30C3F"/>
    <w:rsid w:val="00D30CBB"/>
    <w:rsid w:val="00D30E84"/>
    <w:rsid w:val="00D30FC7"/>
    <w:rsid w:val="00D3106C"/>
    <w:rsid w:val="00D31243"/>
    <w:rsid w:val="00D31401"/>
    <w:rsid w:val="00D3156B"/>
    <w:rsid w:val="00D315AF"/>
    <w:rsid w:val="00D3167D"/>
    <w:rsid w:val="00D317EE"/>
    <w:rsid w:val="00D31DA9"/>
    <w:rsid w:val="00D31E1C"/>
    <w:rsid w:val="00D31FA7"/>
    <w:rsid w:val="00D3223C"/>
    <w:rsid w:val="00D322C1"/>
    <w:rsid w:val="00D32404"/>
    <w:rsid w:val="00D3268C"/>
    <w:rsid w:val="00D32765"/>
    <w:rsid w:val="00D328AF"/>
    <w:rsid w:val="00D3293E"/>
    <w:rsid w:val="00D32EF2"/>
    <w:rsid w:val="00D330DD"/>
    <w:rsid w:val="00D331AA"/>
    <w:rsid w:val="00D3324E"/>
    <w:rsid w:val="00D33337"/>
    <w:rsid w:val="00D33436"/>
    <w:rsid w:val="00D33ABC"/>
    <w:rsid w:val="00D33D75"/>
    <w:rsid w:val="00D33E03"/>
    <w:rsid w:val="00D34238"/>
    <w:rsid w:val="00D34641"/>
    <w:rsid w:val="00D346A5"/>
    <w:rsid w:val="00D349A5"/>
    <w:rsid w:val="00D34D7F"/>
    <w:rsid w:val="00D34F14"/>
    <w:rsid w:val="00D35115"/>
    <w:rsid w:val="00D35256"/>
    <w:rsid w:val="00D352FC"/>
    <w:rsid w:val="00D353C3"/>
    <w:rsid w:val="00D35439"/>
    <w:rsid w:val="00D35442"/>
    <w:rsid w:val="00D35494"/>
    <w:rsid w:val="00D3572B"/>
    <w:rsid w:val="00D3593E"/>
    <w:rsid w:val="00D35BA1"/>
    <w:rsid w:val="00D35CEB"/>
    <w:rsid w:val="00D35D22"/>
    <w:rsid w:val="00D35E5A"/>
    <w:rsid w:val="00D35F12"/>
    <w:rsid w:val="00D3605F"/>
    <w:rsid w:val="00D3610B"/>
    <w:rsid w:val="00D36154"/>
    <w:rsid w:val="00D366CF"/>
    <w:rsid w:val="00D368DF"/>
    <w:rsid w:val="00D36C83"/>
    <w:rsid w:val="00D36CE9"/>
    <w:rsid w:val="00D36DD8"/>
    <w:rsid w:val="00D36F50"/>
    <w:rsid w:val="00D37410"/>
    <w:rsid w:val="00D3788A"/>
    <w:rsid w:val="00D37ADE"/>
    <w:rsid w:val="00D37C1A"/>
    <w:rsid w:val="00D37D5E"/>
    <w:rsid w:val="00D37D72"/>
    <w:rsid w:val="00D37E21"/>
    <w:rsid w:val="00D37E6A"/>
    <w:rsid w:val="00D37FD1"/>
    <w:rsid w:val="00D40007"/>
    <w:rsid w:val="00D40089"/>
    <w:rsid w:val="00D4015C"/>
    <w:rsid w:val="00D40214"/>
    <w:rsid w:val="00D40329"/>
    <w:rsid w:val="00D404CD"/>
    <w:rsid w:val="00D40A3A"/>
    <w:rsid w:val="00D40AD1"/>
    <w:rsid w:val="00D40B0E"/>
    <w:rsid w:val="00D40FA9"/>
    <w:rsid w:val="00D41048"/>
    <w:rsid w:val="00D414F4"/>
    <w:rsid w:val="00D415D2"/>
    <w:rsid w:val="00D416CF"/>
    <w:rsid w:val="00D417C0"/>
    <w:rsid w:val="00D41811"/>
    <w:rsid w:val="00D4184B"/>
    <w:rsid w:val="00D41855"/>
    <w:rsid w:val="00D419BC"/>
    <w:rsid w:val="00D41B24"/>
    <w:rsid w:val="00D41D7E"/>
    <w:rsid w:val="00D41E28"/>
    <w:rsid w:val="00D41F2B"/>
    <w:rsid w:val="00D42328"/>
    <w:rsid w:val="00D4273B"/>
    <w:rsid w:val="00D427A7"/>
    <w:rsid w:val="00D42949"/>
    <w:rsid w:val="00D42998"/>
    <w:rsid w:val="00D42A74"/>
    <w:rsid w:val="00D42BC5"/>
    <w:rsid w:val="00D42DB7"/>
    <w:rsid w:val="00D42FC2"/>
    <w:rsid w:val="00D42FCE"/>
    <w:rsid w:val="00D43213"/>
    <w:rsid w:val="00D43719"/>
    <w:rsid w:val="00D439E4"/>
    <w:rsid w:val="00D43CB4"/>
    <w:rsid w:val="00D43EBE"/>
    <w:rsid w:val="00D442FD"/>
    <w:rsid w:val="00D444CA"/>
    <w:rsid w:val="00D4489D"/>
    <w:rsid w:val="00D44910"/>
    <w:rsid w:val="00D44AD9"/>
    <w:rsid w:val="00D44BA7"/>
    <w:rsid w:val="00D44C9B"/>
    <w:rsid w:val="00D44F88"/>
    <w:rsid w:val="00D4519D"/>
    <w:rsid w:val="00D451CB"/>
    <w:rsid w:val="00D451F7"/>
    <w:rsid w:val="00D452D8"/>
    <w:rsid w:val="00D45468"/>
    <w:rsid w:val="00D455C0"/>
    <w:rsid w:val="00D45B45"/>
    <w:rsid w:val="00D45D7E"/>
    <w:rsid w:val="00D45DF6"/>
    <w:rsid w:val="00D45E4D"/>
    <w:rsid w:val="00D45E5B"/>
    <w:rsid w:val="00D45F0C"/>
    <w:rsid w:val="00D45FD3"/>
    <w:rsid w:val="00D4622E"/>
    <w:rsid w:val="00D46480"/>
    <w:rsid w:val="00D46496"/>
    <w:rsid w:val="00D464F4"/>
    <w:rsid w:val="00D46655"/>
    <w:rsid w:val="00D46761"/>
    <w:rsid w:val="00D46D57"/>
    <w:rsid w:val="00D46DF6"/>
    <w:rsid w:val="00D46ED3"/>
    <w:rsid w:val="00D46EF2"/>
    <w:rsid w:val="00D46F60"/>
    <w:rsid w:val="00D46FCF"/>
    <w:rsid w:val="00D47094"/>
    <w:rsid w:val="00D47121"/>
    <w:rsid w:val="00D4727E"/>
    <w:rsid w:val="00D4732A"/>
    <w:rsid w:val="00D475B7"/>
    <w:rsid w:val="00D4787C"/>
    <w:rsid w:val="00D47A37"/>
    <w:rsid w:val="00D47ADB"/>
    <w:rsid w:val="00D47CB2"/>
    <w:rsid w:val="00D47D2F"/>
    <w:rsid w:val="00D47E1D"/>
    <w:rsid w:val="00D47E6B"/>
    <w:rsid w:val="00D50099"/>
    <w:rsid w:val="00D500F9"/>
    <w:rsid w:val="00D50125"/>
    <w:rsid w:val="00D502B9"/>
    <w:rsid w:val="00D50524"/>
    <w:rsid w:val="00D507E2"/>
    <w:rsid w:val="00D5089C"/>
    <w:rsid w:val="00D50C9D"/>
    <w:rsid w:val="00D50D9B"/>
    <w:rsid w:val="00D50F8C"/>
    <w:rsid w:val="00D5117B"/>
    <w:rsid w:val="00D51460"/>
    <w:rsid w:val="00D51606"/>
    <w:rsid w:val="00D5172B"/>
    <w:rsid w:val="00D51752"/>
    <w:rsid w:val="00D519A4"/>
    <w:rsid w:val="00D51B29"/>
    <w:rsid w:val="00D51C50"/>
    <w:rsid w:val="00D51DB2"/>
    <w:rsid w:val="00D51DEE"/>
    <w:rsid w:val="00D51F47"/>
    <w:rsid w:val="00D520AF"/>
    <w:rsid w:val="00D522B3"/>
    <w:rsid w:val="00D523C5"/>
    <w:rsid w:val="00D5242C"/>
    <w:rsid w:val="00D52463"/>
    <w:rsid w:val="00D526D7"/>
    <w:rsid w:val="00D529E8"/>
    <w:rsid w:val="00D52AC4"/>
    <w:rsid w:val="00D52AEA"/>
    <w:rsid w:val="00D52B56"/>
    <w:rsid w:val="00D52BE5"/>
    <w:rsid w:val="00D52EE7"/>
    <w:rsid w:val="00D52F43"/>
    <w:rsid w:val="00D5326D"/>
    <w:rsid w:val="00D53311"/>
    <w:rsid w:val="00D533EE"/>
    <w:rsid w:val="00D5355B"/>
    <w:rsid w:val="00D53728"/>
    <w:rsid w:val="00D53967"/>
    <w:rsid w:val="00D53990"/>
    <w:rsid w:val="00D539AF"/>
    <w:rsid w:val="00D53D13"/>
    <w:rsid w:val="00D53EAE"/>
    <w:rsid w:val="00D53F3F"/>
    <w:rsid w:val="00D54330"/>
    <w:rsid w:val="00D543C1"/>
    <w:rsid w:val="00D545D8"/>
    <w:rsid w:val="00D54E00"/>
    <w:rsid w:val="00D55009"/>
    <w:rsid w:val="00D553F7"/>
    <w:rsid w:val="00D554B1"/>
    <w:rsid w:val="00D557E2"/>
    <w:rsid w:val="00D55899"/>
    <w:rsid w:val="00D558EB"/>
    <w:rsid w:val="00D5597C"/>
    <w:rsid w:val="00D55CB9"/>
    <w:rsid w:val="00D55D34"/>
    <w:rsid w:val="00D56004"/>
    <w:rsid w:val="00D56192"/>
    <w:rsid w:val="00D56283"/>
    <w:rsid w:val="00D562E6"/>
    <w:rsid w:val="00D567DA"/>
    <w:rsid w:val="00D56908"/>
    <w:rsid w:val="00D56973"/>
    <w:rsid w:val="00D56AE7"/>
    <w:rsid w:val="00D56B5B"/>
    <w:rsid w:val="00D56B7F"/>
    <w:rsid w:val="00D56BC6"/>
    <w:rsid w:val="00D56E81"/>
    <w:rsid w:val="00D56FC7"/>
    <w:rsid w:val="00D57051"/>
    <w:rsid w:val="00D5707D"/>
    <w:rsid w:val="00D57406"/>
    <w:rsid w:val="00D5743E"/>
    <w:rsid w:val="00D5744B"/>
    <w:rsid w:val="00D57B02"/>
    <w:rsid w:val="00D57C56"/>
    <w:rsid w:val="00D57CA1"/>
    <w:rsid w:val="00D57D76"/>
    <w:rsid w:val="00D57ED2"/>
    <w:rsid w:val="00D57F2A"/>
    <w:rsid w:val="00D60097"/>
    <w:rsid w:val="00D602FD"/>
    <w:rsid w:val="00D603DB"/>
    <w:rsid w:val="00D607F9"/>
    <w:rsid w:val="00D6088F"/>
    <w:rsid w:val="00D609D6"/>
    <w:rsid w:val="00D60A97"/>
    <w:rsid w:val="00D60B6F"/>
    <w:rsid w:val="00D613F6"/>
    <w:rsid w:val="00D614FF"/>
    <w:rsid w:val="00D61560"/>
    <w:rsid w:val="00D6158D"/>
    <w:rsid w:val="00D616D8"/>
    <w:rsid w:val="00D61736"/>
    <w:rsid w:val="00D6183A"/>
    <w:rsid w:val="00D61848"/>
    <w:rsid w:val="00D61914"/>
    <w:rsid w:val="00D6194E"/>
    <w:rsid w:val="00D61A53"/>
    <w:rsid w:val="00D61C4B"/>
    <w:rsid w:val="00D61D6F"/>
    <w:rsid w:val="00D61FBE"/>
    <w:rsid w:val="00D6216E"/>
    <w:rsid w:val="00D621F1"/>
    <w:rsid w:val="00D62590"/>
    <w:rsid w:val="00D62645"/>
    <w:rsid w:val="00D6268D"/>
    <w:rsid w:val="00D627CB"/>
    <w:rsid w:val="00D627ED"/>
    <w:rsid w:val="00D62A68"/>
    <w:rsid w:val="00D62B69"/>
    <w:rsid w:val="00D62D6E"/>
    <w:rsid w:val="00D62E68"/>
    <w:rsid w:val="00D632FF"/>
    <w:rsid w:val="00D634E0"/>
    <w:rsid w:val="00D6353A"/>
    <w:rsid w:val="00D635B6"/>
    <w:rsid w:val="00D635E1"/>
    <w:rsid w:val="00D63741"/>
    <w:rsid w:val="00D63B55"/>
    <w:rsid w:val="00D63B58"/>
    <w:rsid w:val="00D63C22"/>
    <w:rsid w:val="00D63D0A"/>
    <w:rsid w:val="00D63E87"/>
    <w:rsid w:val="00D64215"/>
    <w:rsid w:val="00D64251"/>
    <w:rsid w:val="00D64C0A"/>
    <w:rsid w:val="00D64DDC"/>
    <w:rsid w:val="00D64ED5"/>
    <w:rsid w:val="00D64F03"/>
    <w:rsid w:val="00D65231"/>
    <w:rsid w:val="00D6526B"/>
    <w:rsid w:val="00D65388"/>
    <w:rsid w:val="00D654F6"/>
    <w:rsid w:val="00D65633"/>
    <w:rsid w:val="00D657A9"/>
    <w:rsid w:val="00D65A02"/>
    <w:rsid w:val="00D65AFA"/>
    <w:rsid w:val="00D65BBE"/>
    <w:rsid w:val="00D65CD1"/>
    <w:rsid w:val="00D65D0F"/>
    <w:rsid w:val="00D65D6E"/>
    <w:rsid w:val="00D66062"/>
    <w:rsid w:val="00D6626A"/>
    <w:rsid w:val="00D66383"/>
    <w:rsid w:val="00D66426"/>
    <w:rsid w:val="00D66520"/>
    <w:rsid w:val="00D66AF1"/>
    <w:rsid w:val="00D66B48"/>
    <w:rsid w:val="00D66B63"/>
    <w:rsid w:val="00D66BAF"/>
    <w:rsid w:val="00D66C3E"/>
    <w:rsid w:val="00D66C97"/>
    <w:rsid w:val="00D66E34"/>
    <w:rsid w:val="00D66E63"/>
    <w:rsid w:val="00D66EDF"/>
    <w:rsid w:val="00D670C0"/>
    <w:rsid w:val="00D67160"/>
    <w:rsid w:val="00D67415"/>
    <w:rsid w:val="00D674C3"/>
    <w:rsid w:val="00D674F1"/>
    <w:rsid w:val="00D6776F"/>
    <w:rsid w:val="00D67782"/>
    <w:rsid w:val="00D67891"/>
    <w:rsid w:val="00D6789E"/>
    <w:rsid w:val="00D67EBE"/>
    <w:rsid w:val="00D67F94"/>
    <w:rsid w:val="00D7008B"/>
    <w:rsid w:val="00D7017D"/>
    <w:rsid w:val="00D70280"/>
    <w:rsid w:val="00D702B5"/>
    <w:rsid w:val="00D70399"/>
    <w:rsid w:val="00D7048E"/>
    <w:rsid w:val="00D7049A"/>
    <w:rsid w:val="00D70838"/>
    <w:rsid w:val="00D70A42"/>
    <w:rsid w:val="00D7105E"/>
    <w:rsid w:val="00D713BA"/>
    <w:rsid w:val="00D71651"/>
    <w:rsid w:val="00D716E3"/>
    <w:rsid w:val="00D71722"/>
    <w:rsid w:val="00D717CB"/>
    <w:rsid w:val="00D71922"/>
    <w:rsid w:val="00D71C87"/>
    <w:rsid w:val="00D71CE6"/>
    <w:rsid w:val="00D71CF6"/>
    <w:rsid w:val="00D71CFC"/>
    <w:rsid w:val="00D71DCE"/>
    <w:rsid w:val="00D71F63"/>
    <w:rsid w:val="00D7203E"/>
    <w:rsid w:val="00D721AE"/>
    <w:rsid w:val="00D72418"/>
    <w:rsid w:val="00D72454"/>
    <w:rsid w:val="00D7247B"/>
    <w:rsid w:val="00D724A6"/>
    <w:rsid w:val="00D725D4"/>
    <w:rsid w:val="00D72D9F"/>
    <w:rsid w:val="00D72DBA"/>
    <w:rsid w:val="00D72DDD"/>
    <w:rsid w:val="00D72DE2"/>
    <w:rsid w:val="00D733D7"/>
    <w:rsid w:val="00D73628"/>
    <w:rsid w:val="00D73E66"/>
    <w:rsid w:val="00D741B9"/>
    <w:rsid w:val="00D741E6"/>
    <w:rsid w:val="00D7426F"/>
    <w:rsid w:val="00D74679"/>
    <w:rsid w:val="00D74788"/>
    <w:rsid w:val="00D7511F"/>
    <w:rsid w:val="00D75431"/>
    <w:rsid w:val="00D754B8"/>
    <w:rsid w:val="00D757EA"/>
    <w:rsid w:val="00D757F8"/>
    <w:rsid w:val="00D75A36"/>
    <w:rsid w:val="00D75A95"/>
    <w:rsid w:val="00D75CA4"/>
    <w:rsid w:val="00D75E35"/>
    <w:rsid w:val="00D762A6"/>
    <w:rsid w:val="00D76343"/>
    <w:rsid w:val="00D76406"/>
    <w:rsid w:val="00D76501"/>
    <w:rsid w:val="00D766D4"/>
    <w:rsid w:val="00D76947"/>
    <w:rsid w:val="00D76C6C"/>
    <w:rsid w:val="00D76FF3"/>
    <w:rsid w:val="00D7722E"/>
    <w:rsid w:val="00D773A7"/>
    <w:rsid w:val="00D778AB"/>
    <w:rsid w:val="00D779F7"/>
    <w:rsid w:val="00D77C57"/>
    <w:rsid w:val="00D77E4A"/>
    <w:rsid w:val="00D77EF6"/>
    <w:rsid w:val="00D802A3"/>
    <w:rsid w:val="00D8034D"/>
    <w:rsid w:val="00D80351"/>
    <w:rsid w:val="00D80404"/>
    <w:rsid w:val="00D807A5"/>
    <w:rsid w:val="00D807D7"/>
    <w:rsid w:val="00D80CDB"/>
    <w:rsid w:val="00D810EE"/>
    <w:rsid w:val="00D810F6"/>
    <w:rsid w:val="00D811CF"/>
    <w:rsid w:val="00D81256"/>
    <w:rsid w:val="00D814F1"/>
    <w:rsid w:val="00D816D2"/>
    <w:rsid w:val="00D8179C"/>
    <w:rsid w:val="00D81813"/>
    <w:rsid w:val="00D819CC"/>
    <w:rsid w:val="00D81B75"/>
    <w:rsid w:val="00D81C3F"/>
    <w:rsid w:val="00D81C9D"/>
    <w:rsid w:val="00D81CAF"/>
    <w:rsid w:val="00D81D78"/>
    <w:rsid w:val="00D81E06"/>
    <w:rsid w:val="00D82130"/>
    <w:rsid w:val="00D821F1"/>
    <w:rsid w:val="00D8249A"/>
    <w:rsid w:val="00D82884"/>
    <w:rsid w:val="00D82AC4"/>
    <w:rsid w:val="00D82BD7"/>
    <w:rsid w:val="00D82C91"/>
    <w:rsid w:val="00D82DDB"/>
    <w:rsid w:val="00D82FC0"/>
    <w:rsid w:val="00D8307B"/>
    <w:rsid w:val="00D83099"/>
    <w:rsid w:val="00D834B3"/>
    <w:rsid w:val="00D8362B"/>
    <w:rsid w:val="00D838D2"/>
    <w:rsid w:val="00D83B1A"/>
    <w:rsid w:val="00D83BBC"/>
    <w:rsid w:val="00D83BC6"/>
    <w:rsid w:val="00D84072"/>
    <w:rsid w:val="00D8424C"/>
    <w:rsid w:val="00D8426C"/>
    <w:rsid w:val="00D8454B"/>
    <w:rsid w:val="00D84838"/>
    <w:rsid w:val="00D84A21"/>
    <w:rsid w:val="00D84B39"/>
    <w:rsid w:val="00D84C5F"/>
    <w:rsid w:val="00D851E6"/>
    <w:rsid w:val="00D852DA"/>
    <w:rsid w:val="00D8531E"/>
    <w:rsid w:val="00D85400"/>
    <w:rsid w:val="00D85497"/>
    <w:rsid w:val="00D85541"/>
    <w:rsid w:val="00D856C1"/>
    <w:rsid w:val="00D85905"/>
    <w:rsid w:val="00D85B09"/>
    <w:rsid w:val="00D85CBC"/>
    <w:rsid w:val="00D85E2B"/>
    <w:rsid w:val="00D86212"/>
    <w:rsid w:val="00D86246"/>
    <w:rsid w:val="00D865B4"/>
    <w:rsid w:val="00D86640"/>
    <w:rsid w:val="00D869B5"/>
    <w:rsid w:val="00D87013"/>
    <w:rsid w:val="00D870A5"/>
    <w:rsid w:val="00D871B9"/>
    <w:rsid w:val="00D872A1"/>
    <w:rsid w:val="00D874BE"/>
    <w:rsid w:val="00D874F1"/>
    <w:rsid w:val="00D87A2A"/>
    <w:rsid w:val="00D87A39"/>
    <w:rsid w:val="00D87E04"/>
    <w:rsid w:val="00D87EB7"/>
    <w:rsid w:val="00D901C7"/>
    <w:rsid w:val="00D901F5"/>
    <w:rsid w:val="00D90313"/>
    <w:rsid w:val="00D905DA"/>
    <w:rsid w:val="00D9062A"/>
    <w:rsid w:val="00D90728"/>
    <w:rsid w:val="00D90D44"/>
    <w:rsid w:val="00D91231"/>
    <w:rsid w:val="00D9125C"/>
    <w:rsid w:val="00D912BC"/>
    <w:rsid w:val="00D91339"/>
    <w:rsid w:val="00D9143A"/>
    <w:rsid w:val="00D915AF"/>
    <w:rsid w:val="00D917EE"/>
    <w:rsid w:val="00D917FA"/>
    <w:rsid w:val="00D91927"/>
    <w:rsid w:val="00D91EE3"/>
    <w:rsid w:val="00D92148"/>
    <w:rsid w:val="00D921F3"/>
    <w:rsid w:val="00D923BC"/>
    <w:rsid w:val="00D923C1"/>
    <w:rsid w:val="00D92463"/>
    <w:rsid w:val="00D9249B"/>
    <w:rsid w:val="00D9253C"/>
    <w:rsid w:val="00D9269B"/>
    <w:rsid w:val="00D928E7"/>
    <w:rsid w:val="00D92B26"/>
    <w:rsid w:val="00D92D37"/>
    <w:rsid w:val="00D92D44"/>
    <w:rsid w:val="00D92DCA"/>
    <w:rsid w:val="00D92F9F"/>
    <w:rsid w:val="00D93164"/>
    <w:rsid w:val="00D931C1"/>
    <w:rsid w:val="00D93208"/>
    <w:rsid w:val="00D932C9"/>
    <w:rsid w:val="00D93351"/>
    <w:rsid w:val="00D937A4"/>
    <w:rsid w:val="00D93BC2"/>
    <w:rsid w:val="00D93C21"/>
    <w:rsid w:val="00D93C64"/>
    <w:rsid w:val="00D93D6E"/>
    <w:rsid w:val="00D93DE3"/>
    <w:rsid w:val="00D93F6D"/>
    <w:rsid w:val="00D943F9"/>
    <w:rsid w:val="00D94494"/>
    <w:rsid w:val="00D945C1"/>
    <w:rsid w:val="00D94808"/>
    <w:rsid w:val="00D94901"/>
    <w:rsid w:val="00D94B4C"/>
    <w:rsid w:val="00D94CF4"/>
    <w:rsid w:val="00D94DB2"/>
    <w:rsid w:val="00D94F54"/>
    <w:rsid w:val="00D95063"/>
    <w:rsid w:val="00D950B3"/>
    <w:rsid w:val="00D95448"/>
    <w:rsid w:val="00D954C1"/>
    <w:rsid w:val="00D95662"/>
    <w:rsid w:val="00D956A6"/>
    <w:rsid w:val="00D95853"/>
    <w:rsid w:val="00D9590C"/>
    <w:rsid w:val="00D959B3"/>
    <w:rsid w:val="00D95CEA"/>
    <w:rsid w:val="00D95E46"/>
    <w:rsid w:val="00D95FE2"/>
    <w:rsid w:val="00D96074"/>
    <w:rsid w:val="00D960A2"/>
    <w:rsid w:val="00D962C6"/>
    <w:rsid w:val="00D963D9"/>
    <w:rsid w:val="00D964A9"/>
    <w:rsid w:val="00D9652A"/>
    <w:rsid w:val="00D965B2"/>
    <w:rsid w:val="00D968A5"/>
    <w:rsid w:val="00D96A48"/>
    <w:rsid w:val="00D96C72"/>
    <w:rsid w:val="00D96C73"/>
    <w:rsid w:val="00D96CE6"/>
    <w:rsid w:val="00D96E97"/>
    <w:rsid w:val="00D96EF8"/>
    <w:rsid w:val="00D970CD"/>
    <w:rsid w:val="00D970E2"/>
    <w:rsid w:val="00D97106"/>
    <w:rsid w:val="00D97569"/>
    <w:rsid w:val="00D97696"/>
    <w:rsid w:val="00D97758"/>
    <w:rsid w:val="00D97870"/>
    <w:rsid w:val="00D978A8"/>
    <w:rsid w:val="00D97958"/>
    <w:rsid w:val="00D97A73"/>
    <w:rsid w:val="00D97CDD"/>
    <w:rsid w:val="00DA0279"/>
    <w:rsid w:val="00DA03A9"/>
    <w:rsid w:val="00DA04B3"/>
    <w:rsid w:val="00DA0582"/>
    <w:rsid w:val="00DA08A5"/>
    <w:rsid w:val="00DA093F"/>
    <w:rsid w:val="00DA0B8D"/>
    <w:rsid w:val="00DA0BE2"/>
    <w:rsid w:val="00DA0BE5"/>
    <w:rsid w:val="00DA0BE8"/>
    <w:rsid w:val="00DA0C21"/>
    <w:rsid w:val="00DA0C48"/>
    <w:rsid w:val="00DA1164"/>
    <w:rsid w:val="00DA1214"/>
    <w:rsid w:val="00DA1279"/>
    <w:rsid w:val="00DA1497"/>
    <w:rsid w:val="00DA1680"/>
    <w:rsid w:val="00DA16AD"/>
    <w:rsid w:val="00DA1F29"/>
    <w:rsid w:val="00DA229F"/>
    <w:rsid w:val="00DA273F"/>
    <w:rsid w:val="00DA2764"/>
    <w:rsid w:val="00DA29E4"/>
    <w:rsid w:val="00DA29F9"/>
    <w:rsid w:val="00DA2B7E"/>
    <w:rsid w:val="00DA2C53"/>
    <w:rsid w:val="00DA2DA4"/>
    <w:rsid w:val="00DA2EBD"/>
    <w:rsid w:val="00DA2FA0"/>
    <w:rsid w:val="00DA2FC5"/>
    <w:rsid w:val="00DA3069"/>
    <w:rsid w:val="00DA3306"/>
    <w:rsid w:val="00DA3367"/>
    <w:rsid w:val="00DA33CD"/>
    <w:rsid w:val="00DA3474"/>
    <w:rsid w:val="00DA34C3"/>
    <w:rsid w:val="00DA3768"/>
    <w:rsid w:val="00DA38F2"/>
    <w:rsid w:val="00DA3993"/>
    <w:rsid w:val="00DA3ABD"/>
    <w:rsid w:val="00DA3EF5"/>
    <w:rsid w:val="00DA4357"/>
    <w:rsid w:val="00DA46D1"/>
    <w:rsid w:val="00DA47C1"/>
    <w:rsid w:val="00DA48CD"/>
    <w:rsid w:val="00DA49ED"/>
    <w:rsid w:val="00DA4BA2"/>
    <w:rsid w:val="00DA4CC4"/>
    <w:rsid w:val="00DA4D08"/>
    <w:rsid w:val="00DA4E1B"/>
    <w:rsid w:val="00DA4E6D"/>
    <w:rsid w:val="00DA4E78"/>
    <w:rsid w:val="00DA4F3B"/>
    <w:rsid w:val="00DA4FAB"/>
    <w:rsid w:val="00DA5021"/>
    <w:rsid w:val="00DA50CC"/>
    <w:rsid w:val="00DA516B"/>
    <w:rsid w:val="00DA5280"/>
    <w:rsid w:val="00DA53A7"/>
    <w:rsid w:val="00DA582C"/>
    <w:rsid w:val="00DA5A1C"/>
    <w:rsid w:val="00DA5AEC"/>
    <w:rsid w:val="00DA5B15"/>
    <w:rsid w:val="00DA5B74"/>
    <w:rsid w:val="00DA5E87"/>
    <w:rsid w:val="00DA60D6"/>
    <w:rsid w:val="00DA6195"/>
    <w:rsid w:val="00DA6248"/>
    <w:rsid w:val="00DA62E1"/>
    <w:rsid w:val="00DA63B0"/>
    <w:rsid w:val="00DA6490"/>
    <w:rsid w:val="00DA6656"/>
    <w:rsid w:val="00DA6673"/>
    <w:rsid w:val="00DA667C"/>
    <w:rsid w:val="00DA697A"/>
    <w:rsid w:val="00DA6AB7"/>
    <w:rsid w:val="00DA7101"/>
    <w:rsid w:val="00DA71B8"/>
    <w:rsid w:val="00DA7857"/>
    <w:rsid w:val="00DA7870"/>
    <w:rsid w:val="00DA78B1"/>
    <w:rsid w:val="00DA7968"/>
    <w:rsid w:val="00DA7AC8"/>
    <w:rsid w:val="00DA7BD2"/>
    <w:rsid w:val="00DA7C4E"/>
    <w:rsid w:val="00DA7CCA"/>
    <w:rsid w:val="00DA7F8C"/>
    <w:rsid w:val="00DA7FFB"/>
    <w:rsid w:val="00DB0046"/>
    <w:rsid w:val="00DB01FC"/>
    <w:rsid w:val="00DB0304"/>
    <w:rsid w:val="00DB0512"/>
    <w:rsid w:val="00DB0709"/>
    <w:rsid w:val="00DB0BAF"/>
    <w:rsid w:val="00DB0C81"/>
    <w:rsid w:val="00DB0EA9"/>
    <w:rsid w:val="00DB0F49"/>
    <w:rsid w:val="00DB14A4"/>
    <w:rsid w:val="00DB18B0"/>
    <w:rsid w:val="00DB1ED8"/>
    <w:rsid w:val="00DB1EEB"/>
    <w:rsid w:val="00DB1F22"/>
    <w:rsid w:val="00DB2098"/>
    <w:rsid w:val="00DB20DF"/>
    <w:rsid w:val="00DB20F7"/>
    <w:rsid w:val="00DB2157"/>
    <w:rsid w:val="00DB21A4"/>
    <w:rsid w:val="00DB24B7"/>
    <w:rsid w:val="00DB2530"/>
    <w:rsid w:val="00DB25B4"/>
    <w:rsid w:val="00DB26F8"/>
    <w:rsid w:val="00DB278B"/>
    <w:rsid w:val="00DB29B7"/>
    <w:rsid w:val="00DB2AD6"/>
    <w:rsid w:val="00DB2D23"/>
    <w:rsid w:val="00DB2E20"/>
    <w:rsid w:val="00DB2E40"/>
    <w:rsid w:val="00DB30CC"/>
    <w:rsid w:val="00DB3129"/>
    <w:rsid w:val="00DB31C6"/>
    <w:rsid w:val="00DB3839"/>
    <w:rsid w:val="00DB3ABE"/>
    <w:rsid w:val="00DB3BB2"/>
    <w:rsid w:val="00DB3DCA"/>
    <w:rsid w:val="00DB403B"/>
    <w:rsid w:val="00DB4191"/>
    <w:rsid w:val="00DB4227"/>
    <w:rsid w:val="00DB42BB"/>
    <w:rsid w:val="00DB446C"/>
    <w:rsid w:val="00DB470B"/>
    <w:rsid w:val="00DB4738"/>
    <w:rsid w:val="00DB4C81"/>
    <w:rsid w:val="00DB4CC5"/>
    <w:rsid w:val="00DB4DDD"/>
    <w:rsid w:val="00DB4E8C"/>
    <w:rsid w:val="00DB50B1"/>
    <w:rsid w:val="00DB53A8"/>
    <w:rsid w:val="00DB5412"/>
    <w:rsid w:val="00DB56E2"/>
    <w:rsid w:val="00DB5777"/>
    <w:rsid w:val="00DB58A2"/>
    <w:rsid w:val="00DB5931"/>
    <w:rsid w:val="00DB5974"/>
    <w:rsid w:val="00DB5B13"/>
    <w:rsid w:val="00DB5BAB"/>
    <w:rsid w:val="00DB5F9B"/>
    <w:rsid w:val="00DB5FC6"/>
    <w:rsid w:val="00DB6146"/>
    <w:rsid w:val="00DB619C"/>
    <w:rsid w:val="00DB6383"/>
    <w:rsid w:val="00DB642E"/>
    <w:rsid w:val="00DB644D"/>
    <w:rsid w:val="00DB6871"/>
    <w:rsid w:val="00DB6899"/>
    <w:rsid w:val="00DB68A3"/>
    <w:rsid w:val="00DB68C5"/>
    <w:rsid w:val="00DB6C68"/>
    <w:rsid w:val="00DB6D2E"/>
    <w:rsid w:val="00DB6E5F"/>
    <w:rsid w:val="00DB6FAA"/>
    <w:rsid w:val="00DB71F4"/>
    <w:rsid w:val="00DB749D"/>
    <w:rsid w:val="00DB7667"/>
    <w:rsid w:val="00DB78F7"/>
    <w:rsid w:val="00DB79E9"/>
    <w:rsid w:val="00DB7AE5"/>
    <w:rsid w:val="00DB7ED9"/>
    <w:rsid w:val="00DB7FD5"/>
    <w:rsid w:val="00DB93C9"/>
    <w:rsid w:val="00DC028F"/>
    <w:rsid w:val="00DC0437"/>
    <w:rsid w:val="00DC0508"/>
    <w:rsid w:val="00DC051F"/>
    <w:rsid w:val="00DC0830"/>
    <w:rsid w:val="00DC0867"/>
    <w:rsid w:val="00DC0D16"/>
    <w:rsid w:val="00DC0DF5"/>
    <w:rsid w:val="00DC100A"/>
    <w:rsid w:val="00DC122A"/>
    <w:rsid w:val="00DC142D"/>
    <w:rsid w:val="00DC1696"/>
    <w:rsid w:val="00DC172B"/>
    <w:rsid w:val="00DC1810"/>
    <w:rsid w:val="00DC186B"/>
    <w:rsid w:val="00DC19AE"/>
    <w:rsid w:val="00DC1A3F"/>
    <w:rsid w:val="00DC1AA8"/>
    <w:rsid w:val="00DC1AE3"/>
    <w:rsid w:val="00DC1F6E"/>
    <w:rsid w:val="00DC2053"/>
    <w:rsid w:val="00DC208C"/>
    <w:rsid w:val="00DC2724"/>
    <w:rsid w:val="00DC28E9"/>
    <w:rsid w:val="00DC29B3"/>
    <w:rsid w:val="00DC2AC9"/>
    <w:rsid w:val="00DC2F00"/>
    <w:rsid w:val="00DC2F66"/>
    <w:rsid w:val="00DC31AD"/>
    <w:rsid w:val="00DC3408"/>
    <w:rsid w:val="00DC350D"/>
    <w:rsid w:val="00DC355C"/>
    <w:rsid w:val="00DC372F"/>
    <w:rsid w:val="00DC379D"/>
    <w:rsid w:val="00DC3933"/>
    <w:rsid w:val="00DC39EA"/>
    <w:rsid w:val="00DC3B4E"/>
    <w:rsid w:val="00DC3C9E"/>
    <w:rsid w:val="00DC3E1D"/>
    <w:rsid w:val="00DC4084"/>
    <w:rsid w:val="00DC40E0"/>
    <w:rsid w:val="00DC4169"/>
    <w:rsid w:val="00DC419E"/>
    <w:rsid w:val="00DC446E"/>
    <w:rsid w:val="00DC44D2"/>
    <w:rsid w:val="00DC4608"/>
    <w:rsid w:val="00DC4850"/>
    <w:rsid w:val="00DC49E1"/>
    <w:rsid w:val="00DC4BA5"/>
    <w:rsid w:val="00DC4D9F"/>
    <w:rsid w:val="00DC4E40"/>
    <w:rsid w:val="00DC503D"/>
    <w:rsid w:val="00DC52B6"/>
    <w:rsid w:val="00DC534C"/>
    <w:rsid w:val="00DC546B"/>
    <w:rsid w:val="00DC552F"/>
    <w:rsid w:val="00DC569C"/>
    <w:rsid w:val="00DC5ABE"/>
    <w:rsid w:val="00DC5BA8"/>
    <w:rsid w:val="00DC5D0F"/>
    <w:rsid w:val="00DC6066"/>
    <w:rsid w:val="00DC635A"/>
    <w:rsid w:val="00DC666F"/>
    <w:rsid w:val="00DC6715"/>
    <w:rsid w:val="00DC68D3"/>
    <w:rsid w:val="00DC6C2A"/>
    <w:rsid w:val="00DC6F21"/>
    <w:rsid w:val="00DC6F24"/>
    <w:rsid w:val="00DC71AC"/>
    <w:rsid w:val="00DC73AD"/>
    <w:rsid w:val="00DC740E"/>
    <w:rsid w:val="00DC74D8"/>
    <w:rsid w:val="00DC7582"/>
    <w:rsid w:val="00DC774C"/>
    <w:rsid w:val="00DC7859"/>
    <w:rsid w:val="00DC7976"/>
    <w:rsid w:val="00DC79DC"/>
    <w:rsid w:val="00DC7EB3"/>
    <w:rsid w:val="00DC7EE5"/>
    <w:rsid w:val="00DC7EF0"/>
    <w:rsid w:val="00DC7F9E"/>
    <w:rsid w:val="00DD0107"/>
    <w:rsid w:val="00DD010C"/>
    <w:rsid w:val="00DD015F"/>
    <w:rsid w:val="00DD016F"/>
    <w:rsid w:val="00DD0303"/>
    <w:rsid w:val="00DD068A"/>
    <w:rsid w:val="00DD07E1"/>
    <w:rsid w:val="00DD08C0"/>
    <w:rsid w:val="00DD08F1"/>
    <w:rsid w:val="00DD0AB7"/>
    <w:rsid w:val="00DD0EED"/>
    <w:rsid w:val="00DD0F1F"/>
    <w:rsid w:val="00DD10F2"/>
    <w:rsid w:val="00DD1239"/>
    <w:rsid w:val="00DD1B98"/>
    <w:rsid w:val="00DD1D1D"/>
    <w:rsid w:val="00DD2252"/>
    <w:rsid w:val="00DD2273"/>
    <w:rsid w:val="00DD229A"/>
    <w:rsid w:val="00DD234F"/>
    <w:rsid w:val="00DD2472"/>
    <w:rsid w:val="00DD24DF"/>
    <w:rsid w:val="00DD24F7"/>
    <w:rsid w:val="00DD260F"/>
    <w:rsid w:val="00DD29D8"/>
    <w:rsid w:val="00DD2A5C"/>
    <w:rsid w:val="00DD2A84"/>
    <w:rsid w:val="00DD2AD9"/>
    <w:rsid w:val="00DD2CBB"/>
    <w:rsid w:val="00DD30A5"/>
    <w:rsid w:val="00DD32A8"/>
    <w:rsid w:val="00DD34AE"/>
    <w:rsid w:val="00DD350E"/>
    <w:rsid w:val="00DD3615"/>
    <w:rsid w:val="00DD3A68"/>
    <w:rsid w:val="00DD3E87"/>
    <w:rsid w:val="00DD4134"/>
    <w:rsid w:val="00DD4431"/>
    <w:rsid w:val="00DD4495"/>
    <w:rsid w:val="00DD453E"/>
    <w:rsid w:val="00DD4759"/>
    <w:rsid w:val="00DD47ED"/>
    <w:rsid w:val="00DD4B04"/>
    <w:rsid w:val="00DD509C"/>
    <w:rsid w:val="00DD50B3"/>
    <w:rsid w:val="00DD526D"/>
    <w:rsid w:val="00DD5297"/>
    <w:rsid w:val="00DD5308"/>
    <w:rsid w:val="00DD57BF"/>
    <w:rsid w:val="00DD5845"/>
    <w:rsid w:val="00DD5C02"/>
    <w:rsid w:val="00DD5E2C"/>
    <w:rsid w:val="00DD5E42"/>
    <w:rsid w:val="00DD60AA"/>
    <w:rsid w:val="00DD6115"/>
    <w:rsid w:val="00DD6193"/>
    <w:rsid w:val="00DD6457"/>
    <w:rsid w:val="00DD67D4"/>
    <w:rsid w:val="00DD69F6"/>
    <w:rsid w:val="00DD6C02"/>
    <w:rsid w:val="00DD6D19"/>
    <w:rsid w:val="00DD6DE2"/>
    <w:rsid w:val="00DD6E44"/>
    <w:rsid w:val="00DD6ECC"/>
    <w:rsid w:val="00DD71C4"/>
    <w:rsid w:val="00DD72A3"/>
    <w:rsid w:val="00DD730A"/>
    <w:rsid w:val="00DD78F3"/>
    <w:rsid w:val="00DD7B29"/>
    <w:rsid w:val="00DD7BE0"/>
    <w:rsid w:val="00DD7C2D"/>
    <w:rsid w:val="00DD7C5B"/>
    <w:rsid w:val="00DD7F94"/>
    <w:rsid w:val="00DE02E4"/>
    <w:rsid w:val="00DE040D"/>
    <w:rsid w:val="00DE04DE"/>
    <w:rsid w:val="00DE04EE"/>
    <w:rsid w:val="00DE04F7"/>
    <w:rsid w:val="00DE0611"/>
    <w:rsid w:val="00DE0911"/>
    <w:rsid w:val="00DE098C"/>
    <w:rsid w:val="00DE0AAE"/>
    <w:rsid w:val="00DE0D76"/>
    <w:rsid w:val="00DE0F13"/>
    <w:rsid w:val="00DE109D"/>
    <w:rsid w:val="00DE12EB"/>
    <w:rsid w:val="00DE13A3"/>
    <w:rsid w:val="00DE13D3"/>
    <w:rsid w:val="00DE16EB"/>
    <w:rsid w:val="00DE19C0"/>
    <w:rsid w:val="00DE19F3"/>
    <w:rsid w:val="00DE1AAE"/>
    <w:rsid w:val="00DE1D80"/>
    <w:rsid w:val="00DE1FD3"/>
    <w:rsid w:val="00DE22BB"/>
    <w:rsid w:val="00DE22FC"/>
    <w:rsid w:val="00DE249B"/>
    <w:rsid w:val="00DE2736"/>
    <w:rsid w:val="00DE2796"/>
    <w:rsid w:val="00DE28B1"/>
    <w:rsid w:val="00DE29F8"/>
    <w:rsid w:val="00DE2BAC"/>
    <w:rsid w:val="00DE2BFD"/>
    <w:rsid w:val="00DE2E66"/>
    <w:rsid w:val="00DE3541"/>
    <w:rsid w:val="00DE366E"/>
    <w:rsid w:val="00DE38EB"/>
    <w:rsid w:val="00DE3904"/>
    <w:rsid w:val="00DE3CDE"/>
    <w:rsid w:val="00DE4067"/>
    <w:rsid w:val="00DE44E3"/>
    <w:rsid w:val="00DE483E"/>
    <w:rsid w:val="00DE487D"/>
    <w:rsid w:val="00DE4886"/>
    <w:rsid w:val="00DE492B"/>
    <w:rsid w:val="00DE4B9C"/>
    <w:rsid w:val="00DE4C57"/>
    <w:rsid w:val="00DE4E25"/>
    <w:rsid w:val="00DE4E9B"/>
    <w:rsid w:val="00DE4F6B"/>
    <w:rsid w:val="00DE51AD"/>
    <w:rsid w:val="00DE542D"/>
    <w:rsid w:val="00DE5504"/>
    <w:rsid w:val="00DE5BB4"/>
    <w:rsid w:val="00DE5C9D"/>
    <w:rsid w:val="00DE6222"/>
    <w:rsid w:val="00DE631F"/>
    <w:rsid w:val="00DE641B"/>
    <w:rsid w:val="00DE677D"/>
    <w:rsid w:val="00DE6AD9"/>
    <w:rsid w:val="00DE6C5B"/>
    <w:rsid w:val="00DE6DD6"/>
    <w:rsid w:val="00DE70B4"/>
    <w:rsid w:val="00DE72FC"/>
    <w:rsid w:val="00DE736A"/>
    <w:rsid w:val="00DE7376"/>
    <w:rsid w:val="00DE737A"/>
    <w:rsid w:val="00DE73D0"/>
    <w:rsid w:val="00DE74DF"/>
    <w:rsid w:val="00DE7554"/>
    <w:rsid w:val="00DE7840"/>
    <w:rsid w:val="00DE7999"/>
    <w:rsid w:val="00DE79C8"/>
    <w:rsid w:val="00DE7A23"/>
    <w:rsid w:val="00DE7A2C"/>
    <w:rsid w:val="00DE7AF1"/>
    <w:rsid w:val="00DE7C54"/>
    <w:rsid w:val="00DE7E45"/>
    <w:rsid w:val="00DE7E75"/>
    <w:rsid w:val="00DF002B"/>
    <w:rsid w:val="00DF01A1"/>
    <w:rsid w:val="00DF091F"/>
    <w:rsid w:val="00DF0D66"/>
    <w:rsid w:val="00DF0E94"/>
    <w:rsid w:val="00DF11EC"/>
    <w:rsid w:val="00DF1529"/>
    <w:rsid w:val="00DF1E21"/>
    <w:rsid w:val="00DF1E49"/>
    <w:rsid w:val="00DF1EC5"/>
    <w:rsid w:val="00DF1ED8"/>
    <w:rsid w:val="00DF200D"/>
    <w:rsid w:val="00DF2148"/>
    <w:rsid w:val="00DF2263"/>
    <w:rsid w:val="00DF284B"/>
    <w:rsid w:val="00DF2924"/>
    <w:rsid w:val="00DF2A4F"/>
    <w:rsid w:val="00DF2D2B"/>
    <w:rsid w:val="00DF2ECD"/>
    <w:rsid w:val="00DF3671"/>
    <w:rsid w:val="00DF3D94"/>
    <w:rsid w:val="00DF3F81"/>
    <w:rsid w:val="00DF408F"/>
    <w:rsid w:val="00DF40B9"/>
    <w:rsid w:val="00DF4137"/>
    <w:rsid w:val="00DF444B"/>
    <w:rsid w:val="00DF45B0"/>
    <w:rsid w:val="00DF48A7"/>
    <w:rsid w:val="00DF4B7C"/>
    <w:rsid w:val="00DF4BD7"/>
    <w:rsid w:val="00DF4D1F"/>
    <w:rsid w:val="00DF4D69"/>
    <w:rsid w:val="00DF4EB6"/>
    <w:rsid w:val="00DF522F"/>
    <w:rsid w:val="00DF5279"/>
    <w:rsid w:val="00DF5416"/>
    <w:rsid w:val="00DF5579"/>
    <w:rsid w:val="00DF58C2"/>
    <w:rsid w:val="00DF6197"/>
    <w:rsid w:val="00DF61CB"/>
    <w:rsid w:val="00DF63A5"/>
    <w:rsid w:val="00DF647E"/>
    <w:rsid w:val="00DF64FE"/>
    <w:rsid w:val="00DF6545"/>
    <w:rsid w:val="00DF6A71"/>
    <w:rsid w:val="00DF6AC2"/>
    <w:rsid w:val="00DF6B78"/>
    <w:rsid w:val="00DF6BCA"/>
    <w:rsid w:val="00DF6EBF"/>
    <w:rsid w:val="00DF7086"/>
    <w:rsid w:val="00DF720A"/>
    <w:rsid w:val="00DF725B"/>
    <w:rsid w:val="00DF759B"/>
    <w:rsid w:val="00DF75E6"/>
    <w:rsid w:val="00DF78D4"/>
    <w:rsid w:val="00DF79FB"/>
    <w:rsid w:val="00DF7AE5"/>
    <w:rsid w:val="00DF7AE7"/>
    <w:rsid w:val="00DF7D5A"/>
    <w:rsid w:val="00DF7FD7"/>
    <w:rsid w:val="00E0007F"/>
    <w:rsid w:val="00E0077D"/>
    <w:rsid w:val="00E00923"/>
    <w:rsid w:val="00E00B3B"/>
    <w:rsid w:val="00E00CEA"/>
    <w:rsid w:val="00E011D0"/>
    <w:rsid w:val="00E01206"/>
    <w:rsid w:val="00E012D6"/>
    <w:rsid w:val="00E0132F"/>
    <w:rsid w:val="00E013B1"/>
    <w:rsid w:val="00E0142A"/>
    <w:rsid w:val="00E0148D"/>
    <w:rsid w:val="00E018AB"/>
    <w:rsid w:val="00E01913"/>
    <w:rsid w:val="00E01954"/>
    <w:rsid w:val="00E019FB"/>
    <w:rsid w:val="00E01A14"/>
    <w:rsid w:val="00E01B75"/>
    <w:rsid w:val="00E01DCC"/>
    <w:rsid w:val="00E01E2C"/>
    <w:rsid w:val="00E01E91"/>
    <w:rsid w:val="00E01EB4"/>
    <w:rsid w:val="00E01F22"/>
    <w:rsid w:val="00E01FE8"/>
    <w:rsid w:val="00E0236B"/>
    <w:rsid w:val="00E0245C"/>
    <w:rsid w:val="00E025D0"/>
    <w:rsid w:val="00E02780"/>
    <w:rsid w:val="00E02794"/>
    <w:rsid w:val="00E029A6"/>
    <w:rsid w:val="00E029D8"/>
    <w:rsid w:val="00E029E5"/>
    <w:rsid w:val="00E02C87"/>
    <w:rsid w:val="00E0303E"/>
    <w:rsid w:val="00E03698"/>
    <w:rsid w:val="00E037BB"/>
    <w:rsid w:val="00E037D9"/>
    <w:rsid w:val="00E03A13"/>
    <w:rsid w:val="00E03E45"/>
    <w:rsid w:val="00E0411F"/>
    <w:rsid w:val="00E044F8"/>
    <w:rsid w:val="00E04692"/>
    <w:rsid w:val="00E047E7"/>
    <w:rsid w:val="00E04AA3"/>
    <w:rsid w:val="00E04D5C"/>
    <w:rsid w:val="00E04E2A"/>
    <w:rsid w:val="00E04FA8"/>
    <w:rsid w:val="00E050CF"/>
    <w:rsid w:val="00E051B6"/>
    <w:rsid w:val="00E05726"/>
    <w:rsid w:val="00E05E60"/>
    <w:rsid w:val="00E0609B"/>
    <w:rsid w:val="00E061E9"/>
    <w:rsid w:val="00E0647C"/>
    <w:rsid w:val="00E06596"/>
    <w:rsid w:val="00E065B1"/>
    <w:rsid w:val="00E0662E"/>
    <w:rsid w:val="00E06778"/>
    <w:rsid w:val="00E06853"/>
    <w:rsid w:val="00E06A24"/>
    <w:rsid w:val="00E06B3B"/>
    <w:rsid w:val="00E06BB5"/>
    <w:rsid w:val="00E06EEA"/>
    <w:rsid w:val="00E06F81"/>
    <w:rsid w:val="00E071C5"/>
    <w:rsid w:val="00E0723C"/>
    <w:rsid w:val="00E072E8"/>
    <w:rsid w:val="00E073AC"/>
    <w:rsid w:val="00E0741B"/>
    <w:rsid w:val="00E07587"/>
    <w:rsid w:val="00E076F6"/>
    <w:rsid w:val="00E07751"/>
    <w:rsid w:val="00E07870"/>
    <w:rsid w:val="00E07BD4"/>
    <w:rsid w:val="00E07BD6"/>
    <w:rsid w:val="00E102A4"/>
    <w:rsid w:val="00E10343"/>
    <w:rsid w:val="00E1038C"/>
    <w:rsid w:val="00E103B8"/>
    <w:rsid w:val="00E10459"/>
    <w:rsid w:val="00E1062D"/>
    <w:rsid w:val="00E10632"/>
    <w:rsid w:val="00E10709"/>
    <w:rsid w:val="00E10AAF"/>
    <w:rsid w:val="00E10BAD"/>
    <w:rsid w:val="00E10BFF"/>
    <w:rsid w:val="00E10C11"/>
    <w:rsid w:val="00E10F7C"/>
    <w:rsid w:val="00E110F0"/>
    <w:rsid w:val="00E11168"/>
    <w:rsid w:val="00E1118C"/>
    <w:rsid w:val="00E111E9"/>
    <w:rsid w:val="00E11741"/>
    <w:rsid w:val="00E117DC"/>
    <w:rsid w:val="00E11892"/>
    <w:rsid w:val="00E11AFE"/>
    <w:rsid w:val="00E11B1D"/>
    <w:rsid w:val="00E11C8E"/>
    <w:rsid w:val="00E11D57"/>
    <w:rsid w:val="00E121CD"/>
    <w:rsid w:val="00E1268B"/>
    <w:rsid w:val="00E12720"/>
    <w:rsid w:val="00E1279B"/>
    <w:rsid w:val="00E128A1"/>
    <w:rsid w:val="00E12A62"/>
    <w:rsid w:val="00E12B10"/>
    <w:rsid w:val="00E12B48"/>
    <w:rsid w:val="00E12CEF"/>
    <w:rsid w:val="00E12DE1"/>
    <w:rsid w:val="00E12DF1"/>
    <w:rsid w:val="00E12E16"/>
    <w:rsid w:val="00E131B9"/>
    <w:rsid w:val="00E138A8"/>
    <w:rsid w:val="00E13AA9"/>
    <w:rsid w:val="00E13B8F"/>
    <w:rsid w:val="00E13BF5"/>
    <w:rsid w:val="00E13C36"/>
    <w:rsid w:val="00E13F26"/>
    <w:rsid w:val="00E140C7"/>
    <w:rsid w:val="00E141D8"/>
    <w:rsid w:val="00E14A7E"/>
    <w:rsid w:val="00E14BE1"/>
    <w:rsid w:val="00E14D82"/>
    <w:rsid w:val="00E14E4E"/>
    <w:rsid w:val="00E14E9F"/>
    <w:rsid w:val="00E152B9"/>
    <w:rsid w:val="00E15550"/>
    <w:rsid w:val="00E155BC"/>
    <w:rsid w:val="00E1566A"/>
    <w:rsid w:val="00E15713"/>
    <w:rsid w:val="00E15D14"/>
    <w:rsid w:val="00E15F6C"/>
    <w:rsid w:val="00E16020"/>
    <w:rsid w:val="00E16054"/>
    <w:rsid w:val="00E1642C"/>
    <w:rsid w:val="00E16474"/>
    <w:rsid w:val="00E1649B"/>
    <w:rsid w:val="00E16544"/>
    <w:rsid w:val="00E16598"/>
    <w:rsid w:val="00E16702"/>
    <w:rsid w:val="00E16761"/>
    <w:rsid w:val="00E168E1"/>
    <w:rsid w:val="00E16B5E"/>
    <w:rsid w:val="00E16C80"/>
    <w:rsid w:val="00E173C3"/>
    <w:rsid w:val="00E17ABD"/>
    <w:rsid w:val="00E17CF8"/>
    <w:rsid w:val="00E17FC3"/>
    <w:rsid w:val="00E17FD2"/>
    <w:rsid w:val="00E2005E"/>
    <w:rsid w:val="00E2007D"/>
    <w:rsid w:val="00E2034E"/>
    <w:rsid w:val="00E203B3"/>
    <w:rsid w:val="00E20810"/>
    <w:rsid w:val="00E20C26"/>
    <w:rsid w:val="00E20E6C"/>
    <w:rsid w:val="00E20EAB"/>
    <w:rsid w:val="00E20FC6"/>
    <w:rsid w:val="00E20FD1"/>
    <w:rsid w:val="00E21023"/>
    <w:rsid w:val="00E2108D"/>
    <w:rsid w:val="00E21165"/>
    <w:rsid w:val="00E211E3"/>
    <w:rsid w:val="00E2123F"/>
    <w:rsid w:val="00E2124C"/>
    <w:rsid w:val="00E2143E"/>
    <w:rsid w:val="00E215A3"/>
    <w:rsid w:val="00E216B7"/>
    <w:rsid w:val="00E21707"/>
    <w:rsid w:val="00E21853"/>
    <w:rsid w:val="00E218A6"/>
    <w:rsid w:val="00E21CED"/>
    <w:rsid w:val="00E21CFA"/>
    <w:rsid w:val="00E21D77"/>
    <w:rsid w:val="00E21E00"/>
    <w:rsid w:val="00E21F42"/>
    <w:rsid w:val="00E21F52"/>
    <w:rsid w:val="00E220C9"/>
    <w:rsid w:val="00E2211E"/>
    <w:rsid w:val="00E2226A"/>
    <w:rsid w:val="00E22280"/>
    <w:rsid w:val="00E22717"/>
    <w:rsid w:val="00E22735"/>
    <w:rsid w:val="00E22770"/>
    <w:rsid w:val="00E2279D"/>
    <w:rsid w:val="00E22899"/>
    <w:rsid w:val="00E228C5"/>
    <w:rsid w:val="00E229AF"/>
    <w:rsid w:val="00E22A65"/>
    <w:rsid w:val="00E22CE6"/>
    <w:rsid w:val="00E22D8E"/>
    <w:rsid w:val="00E22EA8"/>
    <w:rsid w:val="00E22EBA"/>
    <w:rsid w:val="00E22F5F"/>
    <w:rsid w:val="00E23044"/>
    <w:rsid w:val="00E2348C"/>
    <w:rsid w:val="00E234F8"/>
    <w:rsid w:val="00E23512"/>
    <w:rsid w:val="00E236E2"/>
    <w:rsid w:val="00E2389F"/>
    <w:rsid w:val="00E23B78"/>
    <w:rsid w:val="00E23BA9"/>
    <w:rsid w:val="00E2411C"/>
    <w:rsid w:val="00E2415D"/>
    <w:rsid w:val="00E2418A"/>
    <w:rsid w:val="00E243C9"/>
    <w:rsid w:val="00E24423"/>
    <w:rsid w:val="00E2443B"/>
    <w:rsid w:val="00E24516"/>
    <w:rsid w:val="00E245AA"/>
    <w:rsid w:val="00E2462F"/>
    <w:rsid w:val="00E24662"/>
    <w:rsid w:val="00E248CD"/>
    <w:rsid w:val="00E24C0E"/>
    <w:rsid w:val="00E24C39"/>
    <w:rsid w:val="00E25702"/>
    <w:rsid w:val="00E25BCA"/>
    <w:rsid w:val="00E25CCF"/>
    <w:rsid w:val="00E264C4"/>
    <w:rsid w:val="00E265BD"/>
    <w:rsid w:val="00E2663F"/>
    <w:rsid w:val="00E26734"/>
    <w:rsid w:val="00E26CB2"/>
    <w:rsid w:val="00E27262"/>
    <w:rsid w:val="00E27280"/>
    <w:rsid w:val="00E2736A"/>
    <w:rsid w:val="00E27572"/>
    <w:rsid w:val="00E2771B"/>
    <w:rsid w:val="00E2791A"/>
    <w:rsid w:val="00E2792D"/>
    <w:rsid w:val="00E2799B"/>
    <w:rsid w:val="00E279EB"/>
    <w:rsid w:val="00E279F3"/>
    <w:rsid w:val="00E27A32"/>
    <w:rsid w:val="00E27D84"/>
    <w:rsid w:val="00E27DF0"/>
    <w:rsid w:val="00E27E6D"/>
    <w:rsid w:val="00E3029F"/>
    <w:rsid w:val="00E3049E"/>
    <w:rsid w:val="00E304A4"/>
    <w:rsid w:val="00E304BD"/>
    <w:rsid w:val="00E305DD"/>
    <w:rsid w:val="00E306A3"/>
    <w:rsid w:val="00E307A2"/>
    <w:rsid w:val="00E308F3"/>
    <w:rsid w:val="00E308F8"/>
    <w:rsid w:val="00E30B0D"/>
    <w:rsid w:val="00E30B9E"/>
    <w:rsid w:val="00E30C23"/>
    <w:rsid w:val="00E30D3D"/>
    <w:rsid w:val="00E30FF1"/>
    <w:rsid w:val="00E3105E"/>
    <w:rsid w:val="00E3110C"/>
    <w:rsid w:val="00E311AC"/>
    <w:rsid w:val="00E3126F"/>
    <w:rsid w:val="00E3137C"/>
    <w:rsid w:val="00E313BE"/>
    <w:rsid w:val="00E314C1"/>
    <w:rsid w:val="00E3151E"/>
    <w:rsid w:val="00E315F4"/>
    <w:rsid w:val="00E3164F"/>
    <w:rsid w:val="00E3171B"/>
    <w:rsid w:val="00E3193F"/>
    <w:rsid w:val="00E31C54"/>
    <w:rsid w:val="00E31E36"/>
    <w:rsid w:val="00E3200D"/>
    <w:rsid w:val="00E320A5"/>
    <w:rsid w:val="00E320B1"/>
    <w:rsid w:val="00E322DE"/>
    <w:rsid w:val="00E323C5"/>
    <w:rsid w:val="00E324AE"/>
    <w:rsid w:val="00E32699"/>
    <w:rsid w:val="00E32770"/>
    <w:rsid w:val="00E3277F"/>
    <w:rsid w:val="00E32799"/>
    <w:rsid w:val="00E328EC"/>
    <w:rsid w:val="00E3296E"/>
    <w:rsid w:val="00E3299B"/>
    <w:rsid w:val="00E32A34"/>
    <w:rsid w:val="00E32B3F"/>
    <w:rsid w:val="00E3300A"/>
    <w:rsid w:val="00E330C0"/>
    <w:rsid w:val="00E3310E"/>
    <w:rsid w:val="00E3312D"/>
    <w:rsid w:val="00E33210"/>
    <w:rsid w:val="00E33225"/>
    <w:rsid w:val="00E33303"/>
    <w:rsid w:val="00E333B4"/>
    <w:rsid w:val="00E334DD"/>
    <w:rsid w:val="00E3371D"/>
    <w:rsid w:val="00E33790"/>
    <w:rsid w:val="00E33884"/>
    <w:rsid w:val="00E33AAF"/>
    <w:rsid w:val="00E33DE3"/>
    <w:rsid w:val="00E33DF2"/>
    <w:rsid w:val="00E3420F"/>
    <w:rsid w:val="00E3456D"/>
    <w:rsid w:val="00E34585"/>
    <w:rsid w:val="00E35074"/>
    <w:rsid w:val="00E3511E"/>
    <w:rsid w:val="00E3517F"/>
    <w:rsid w:val="00E3525D"/>
    <w:rsid w:val="00E35260"/>
    <w:rsid w:val="00E353F5"/>
    <w:rsid w:val="00E35631"/>
    <w:rsid w:val="00E356FF"/>
    <w:rsid w:val="00E358B2"/>
    <w:rsid w:val="00E35993"/>
    <w:rsid w:val="00E35A62"/>
    <w:rsid w:val="00E35AC6"/>
    <w:rsid w:val="00E35C10"/>
    <w:rsid w:val="00E35D04"/>
    <w:rsid w:val="00E35DD0"/>
    <w:rsid w:val="00E35ED0"/>
    <w:rsid w:val="00E35F08"/>
    <w:rsid w:val="00E3604E"/>
    <w:rsid w:val="00E36398"/>
    <w:rsid w:val="00E365BD"/>
    <w:rsid w:val="00E3663E"/>
    <w:rsid w:val="00E368C8"/>
    <w:rsid w:val="00E36A7F"/>
    <w:rsid w:val="00E36D37"/>
    <w:rsid w:val="00E36EEC"/>
    <w:rsid w:val="00E3732A"/>
    <w:rsid w:val="00E3769C"/>
    <w:rsid w:val="00E37935"/>
    <w:rsid w:val="00E37CA3"/>
    <w:rsid w:val="00E37CAB"/>
    <w:rsid w:val="00E37CCE"/>
    <w:rsid w:val="00E37F5B"/>
    <w:rsid w:val="00E400AD"/>
    <w:rsid w:val="00E402A4"/>
    <w:rsid w:val="00E402D2"/>
    <w:rsid w:val="00E402E6"/>
    <w:rsid w:val="00E402FC"/>
    <w:rsid w:val="00E40889"/>
    <w:rsid w:val="00E408BE"/>
    <w:rsid w:val="00E40A11"/>
    <w:rsid w:val="00E40A92"/>
    <w:rsid w:val="00E40BB9"/>
    <w:rsid w:val="00E40BC1"/>
    <w:rsid w:val="00E40EC3"/>
    <w:rsid w:val="00E4112A"/>
    <w:rsid w:val="00E412D2"/>
    <w:rsid w:val="00E41309"/>
    <w:rsid w:val="00E41395"/>
    <w:rsid w:val="00E41426"/>
    <w:rsid w:val="00E415D2"/>
    <w:rsid w:val="00E41AFB"/>
    <w:rsid w:val="00E41CDC"/>
    <w:rsid w:val="00E41DF5"/>
    <w:rsid w:val="00E42450"/>
    <w:rsid w:val="00E4248A"/>
    <w:rsid w:val="00E4257A"/>
    <w:rsid w:val="00E4271F"/>
    <w:rsid w:val="00E42955"/>
    <w:rsid w:val="00E42EC5"/>
    <w:rsid w:val="00E42F66"/>
    <w:rsid w:val="00E4323C"/>
    <w:rsid w:val="00E43302"/>
    <w:rsid w:val="00E4341F"/>
    <w:rsid w:val="00E4342A"/>
    <w:rsid w:val="00E4350B"/>
    <w:rsid w:val="00E435AF"/>
    <w:rsid w:val="00E437C9"/>
    <w:rsid w:val="00E43A9D"/>
    <w:rsid w:val="00E43BF8"/>
    <w:rsid w:val="00E43CD1"/>
    <w:rsid w:val="00E43D73"/>
    <w:rsid w:val="00E440C1"/>
    <w:rsid w:val="00E44161"/>
    <w:rsid w:val="00E44527"/>
    <w:rsid w:val="00E445E6"/>
    <w:rsid w:val="00E44660"/>
    <w:rsid w:val="00E44769"/>
    <w:rsid w:val="00E44858"/>
    <w:rsid w:val="00E448C2"/>
    <w:rsid w:val="00E44A62"/>
    <w:rsid w:val="00E44AC5"/>
    <w:rsid w:val="00E44DCB"/>
    <w:rsid w:val="00E44EDF"/>
    <w:rsid w:val="00E4502C"/>
    <w:rsid w:val="00E4520F"/>
    <w:rsid w:val="00E45673"/>
    <w:rsid w:val="00E458D8"/>
    <w:rsid w:val="00E45BDD"/>
    <w:rsid w:val="00E45CBB"/>
    <w:rsid w:val="00E45DCC"/>
    <w:rsid w:val="00E45F1F"/>
    <w:rsid w:val="00E46126"/>
    <w:rsid w:val="00E46159"/>
    <w:rsid w:val="00E461FA"/>
    <w:rsid w:val="00E462BB"/>
    <w:rsid w:val="00E46362"/>
    <w:rsid w:val="00E464DB"/>
    <w:rsid w:val="00E4655E"/>
    <w:rsid w:val="00E4688C"/>
    <w:rsid w:val="00E4689C"/>
    <w:rsid w:val="00E46AD2"/>
    <w:rsid w:val="00E46B69"/>
    <w:rsid w:val="00E46CAE"/>
    <w:rsid w:val="00E46CCD"/>
    <w:rsid w:val="00E46CE2"/>
    <w:rsid w:val="00E470CB"/>
    <w:rsid w:val="00E47109"/>
    <w:rsid w:val="00E4711F"/>
    <w:rsid w:val="00E47146"/>
    <w:rsid w:val="00E471B9"/>
    <w:rsid w:val="00E4741F"/>
    <w:rsid w:val="00E4770E"/>
    <w:rsid w:val="00E479B1"/>
    <w:rsid w:val="00E47A70"/>
    <w:rsid w:val="00E47AD7"/>
    <w:rsid w:val="00E47D1D"/>
    <w:rsid w:val="00E47E03"/>
    <w:rsid w:val="00E5000F"/>
    <w:rsid w:val="00E500DC"/>
    <w:rsid w:val="00E501DA"/>
    <w:rsid w:val="00E5030B"/>
    <w:rsid w:val="00E50431"/>
    <w:rsid w:val="00E504AB"/>
    <w:rsid w:val="00E50575"/>
    <w:rsid w:val="00E50655"/>
    <w:rsid w:val="00E506C8"/>
    <w:rsid w:val="00E50B1F"/>
    <w:rsid w:val="00E50C6B"/>
    <w:rsid w:val="00E50E95"/>
    <w:rsid w:val="00E50F07"/>
    <w:rsid w:val="00E512A1"/>
    <w:rsid w:val="00E512DB"/>
    <w:rsid w:val="00E513EB"/>
    <w:rsid w:val="00E51467"/>
    <w:rsid w:val="00E514F6"/>
    <w:rsid w:val="00E5159D"/>
    <w:rsid w:val="00E516A2"/>
    <w:rsid w:val="00E51978"/>
    <w:rsid w:val="00E51989"/>
    <w:rsid w:val="00E51D27"/>
    <w:rsid w:val="00E51D47"/>
    <w:rsid w:val="00E51D70"/>
    <w:rsid w:val="00E52432"/>
    <w:rsid w:val="00E52574"/>
    <w:rsid w:val="00E5261B"/>
    <w:rsid w:val="00E5272B"/>
    <w:rsid w:val="00E528D3"/>
    <w:rsid w:val="00E52B2A"/>
    <w:rsid w:val="00E52C44"/>
    <w:rsid w:val="00E52CDB"/>
    <w:rsid w:val="00E52D5A"/>
    <w:rsid w:val="00E52E01"/>
    <w:rsid w:val="00E52E99"/>
    <w:rsid w:val="00E52F69"/>
    <w:rsid w:val="00E5325D"/>
    <w:rsid w:val="00E53266"/>
    <w:rsid w:val="00E534C3"/>
    <w:rsid w:val="00E536ED"/>
    <w:rsid w:val="00E53A64"/>
    <w:rsid w:val="00E53BF5"/>
    <w:rsid w:val="00E53C39"/>
    <w:rsid w:val="00E53C5D"/>
    <w:rsid w:val="00E53CDF"/>
    <w:rsid w:val="00E53FC3"/>
    <w:rsid w:val="00E5404B"/>
    <w:rsid w:val="00E54159"/>
    <w:rsid w:val="00E54164"/>
    <w:rsid w:val="00E5425A"/>
    <w:rsid w:val="00E542C7"/>
    <w:rsid w:val="00E54425"/>
    <w:rsid w:val="00E544BD"/>
    <w:rsid w:val="00E5455E"/>
    <w:rsid w:val="00E545AB"/>
    <w:rsid w:val="00E54746"/>
    <w:rsid w:val="00E54AAE"/>
    <w:rsid w:val="00E54D6B"/>
    <w:rsid w:val="00E5534C"/>
    <w:rsid w:val="00E55475"/>
    <w:rsid w:val="00E554DA"/>
    <w:rsid w:val="00E556D0"/>
    <w:rsid w:val="00E559C4"/>
    <w:rsid w:val="00E55A80"/>
    <w:rsid w:val="00E55AC1"/>
    <w:rsid w:val="00E55AFA"/>
    <w:rsid w:val="00E55B75"/>
    <w:rsid w:val="00E55C02"/>
    <w:rsid w:val="00E5620C"/>
    <w:rsid w:val="00E56435"/>
    <w:rsid w:val="00E5644B"/>
    <w:rsid w:val="00E564F7"/>
    <w:rsid w:val="00E56535"/>
    <w:rsid w:val="00E566C3"/>
    <w:rsid w:val="00E5674B"/>
    <w:rsid w:val="00E56A05"/>
    <w:rsid w:val="00E56A29"/>
    <w:rsid w:val="00E56A65"/>
    <w:rsid w:val="00E56D49"/>
    <w:rsid w:val="00E56EC2"/>
    <w:rsid w:val="00E56F49"/>
    <w:rsid w:val="00E56F4F"/>
    <w:rsid w:val="00E5705D"/>
    <w:rsid w:val="00E57158"/>
    <w:rsid w:val="00E57207"/>
    <w:rsid w:val="00E572F1"/>
    <w:rsid w:val="00E57803"/>
    <w:rsid w:val="00E57A1E"/>
    <w:rsid w:val="00E57AC9"/>
    <w:rsid w:val="00E57AD9"/>
    <w:rsid w:val="00E57ADB"/>
    <w:rsid w:val="00E57CAD"/>
    <w:rsid w:val="00E57D09"/>
    <w:rsid w:val="00E57D1A"/>
    <w:rsid w:val="00E57ED1"/>
    <w:rsid w:val="00E601CB"/>
    <w:rsid w:val="00E601F0"/>
    <w:rsid w:val="00E6025C"/>
    <w:rsid w:val="00E60415"/>
    <w:rsid w:val="00E60445"/>
    <w:rsid w:val="00E6081E"/>
    <w:rsid w:val="00E60976"/>
    <w:rsid w:val="00E60E0D"/>
    <w:rsid w:val="00E60E34"/>
    <w:rsid w:val="00E61015"/>
    <w:rsid w:val="00E610C4"/>
    <w:rsid w:val="00E6152E"/>
    <w:rsid w:val="00E6157B"/>
    <w:rsid w:val="00E615C3"/>
    <w:rsid w:val="00E61A55"/>
    <w:rsid w:val="00E61B4D"/>
    <w:rsid w:val="00E6211C"/>
    <w:rsid w:val="00E621FE"/>
    <w:rsid w:val="00E62348"/>
    <w:rsid w:val="00E6241C"/>
    <w:rsid w:val="00E62498"/>
    <w:rsid w:val="00E627A0"/>
    <w:rsid w:val="00E62C3F"/>
    <w:rsid w:val="00E62CA1"/>
    <w:rsid w:val="00E62CA8"/>
    <w:rsid w:val="00E630DB"/>
    <w:rsid w:val="00E6337F"/>
    <w:rsid w:val="00E633C1"/>
    <w:rsid w:val="00E6366D"/>
    <w:rsid w:val="00E63777"/>
    <w:rsid w:val="00E638A7"/>
    <w:rsid w:val="00E63A31"/>
    <w:rsid w:val="00E63A95"/>
    <w:rsid w:val="00E63B57"/>
    <w:rsid w:val="00E64396"/>
    <w:rsid w:val="00E643AA"/>
    <w:rsid w:val="00E6471B"/>
    <w:rsid w:val="00E64757"/>
    <w:rsid w:val="00E64A6C"/>
    <w:rsid w:val="00E64B55"/>
    <w:rsid w:val="00E64B78"/>
    <w:rsid w:val="00E64BFD"/>
    <w:rsid w:val="00E64C22"/>
    <w:rsid w:val="00E64D81"/>
    <w:rsid w:val="00E64DA7"/>
    <w:rsid w:val="00E64FF0"/>
    <w:rsid w:val="00E652A8"/>
    <w:rsid w:val="00E652EE"/>
    <w:rsid w:val="00E6533B"/>
    <w:rsid w:val="00E65344"/>
    <w:rsid w:val="00E65430"/>
    <w:rsid w:val="00E65716"/>
    <w:rsid w:val="00E657D4"/>
    <w:rsid w:val="00E6588B"/>
    <w:rsid w:val="00E6593D"/>
    <w:rsid w:val="00E65C07"/>
    <w:rsid w:val="00E65C08"/>
    <w:rsid w:val="00E65DC4"/>
    <w:rsid w:val="00E6602D"/>
    <w:rsid w:val="00E66148"/>
    <w:rsid w:val="00E662F4"/>
    <w:rsid w:val="00E66361"/>
    <w:rsid w:val="00E664C2"/>
    <w:rsid w:val="00E6664D"/>
    <w:rsid w:val="00E66B11"/>
    <w:rsid w:val="00E66F97"/>
    <w:rsid w:val="00E67286"/>
    <w:rsid w:val="00E675BE"/>
    <w:rsid w:val="00E679F0"/>
    <w:rsid w:val="00E67A3E"/>
    <w:rsid w:val="00E67B13"/>
    <w:rsid w:val="00E67C14"/>
    <w:rsid w:val="00E67D6C"/>
    <w:rsid w:val="00E67D74"/>
    <w:rsid w:val="00E67E9D"/>
    <w:rsid w:val="00E67FC1"/>
    <w:rsid w:val="00E67FDF"/>
    <w:rsid w:val="00E70007"/>
    <w:rsid w:val="00E700A1"/>
    <w:rsid w:val="00E70181"/>
    <w:rsid w:val="00E703FA"/>
    <w:rsid w:val="00E70463"/>
    <w:rsid w:val="00E70685"/>
    <w:rsid w:val="00E706C7"/>
    <w:rsid w:val="00E706E4"/>
    <w:rsid w:val="00E707F2"/>
    <w:rsid w:val="00E70896"/>
    <w:rsid w:val="00E709BB"/>
    <w:rsid w:val="00E70D2F"/>
    <w:rsid w:val="00E71206"/>
    <w:rsid w:val="00E715FF"/>
    <w:rsid w:val="00E7161F"/>
    <w:rsid w:val="00E71798"/>
    <w:rsid w:val="00E7186D"/>
    <w:rsid w:val="00E71B03"/>
    <w:rsid w:val="00E71E25"/>
    <w:rsid w:val="00E72237"/>
    <w:rsid w:val="00E7253B"/>
    <w:rsid w:val="00E72570"/>
    <w:rsid w:val="00E725C3"/>
    <w:rsid w:val="00E72660"/>
    <w:rsid w:val="00E72752"/>
    <w:rsid w:val="00E72A6C"/>
    <w:rsid w:val="00E72BD6"/>
    <w:rsid w:val="00E72DDA"/>
    <w:rsid w:val="00E72F98"/>
    <w:rsid w:val="00E72FAF"/>
    <w:rsid w:val="00E730B2"/>
    <w:rsid w:val="00E73142"/>
    <w:rsid w:val="00E731D7"/>
    <w:rsid w:val="00E73573"/>
    <w:rsid w:val="00E735AD"/>
    <w:rsid w:val="00E73644"/>
    <w:rsid w:val="00E73953"/>
    <w:rsid w:val="00E73A7C"/>
    <w:rsid w:val="00E73D88"/>
    <w:rsid w:val="00E73DF3"/>
    <w:rsid w:val="00E73FAB"/>
    <w:rsid w:val="00E73FB8"/>
    <w:rsid w:val="00E74058"/>
    <w:rsid w:val="00E740C2"/>
    <w:rsid w:val="00E74270"/>
    <w:rsid w:val="00E742F5"/>
    <w:rsid w:val="00E74328"/>
    <w:rsid w:val="00E74757"/>
    <w:rsid w:val="00E74873"/>
    <w:rsid w:val="00E74A35"/>
    <w:rsid w:val="00E74C53"/>
    <w:rsid w:val="00E74F8A"/>
    <w:rsid w:val="00E74FA9"/>
    <w:rsid w:val="00E750BA"/>
    <w:rsid w:val="00E754E3"/>
    <w:rsid w:val="00E75909"/>
    <w:rsid w:val="00E75C42"/>
    <w:rsid w:val="00E75DA9"/>
    <w:rsid w:val="00E75E5B"/>
    <w:rsid w:val="00E75F57"/>
    <w:rsid w:val="00E7616A"/>
    <w:rsid w:val="00E761C6"/>
    <w:rsid w:val="00E761CC"/>
    <w:rsid w:val="00E761EB"/>
    <w:rsid w:val="00E766D9"/>
    <w:rsid w:val="00E768B9"/>
    <w:rsid w:val="00E76C1C"/>
    <w:rsid w:val="00E76C6B"/>
    <w:rsid w:val="00E76E11"/>
    <w:rsid w:val="00E770AE"/>
    <w:rsid w:val="00E7741E"/>
    <w:rsid w:val="00E776DC"/>
    <w:rsid w:val="00E77758"/>
    <w:rsid w:val="00E77B0B"/>
    <w:rsid w:val="00E77B44"/>
    <w:rsid w:val="00E803C7"/>
    <w:rsid w:val="00E80637"/>
    <w:rsid w:val="00E8063E"/>
    <w:rsid w:val="00E807FA"/>
    <w:rsid w:val="00E807FC"/>
    <w:rsid w:val="00E809FA"/>
    <w:rsid w:val="00E80A58"/>
    <w:rsid w:val="00E80BE5"/>
    <w:rsid w:val="00E80D8B"/>
    <w:rsid w:val="00E80E63"/>
    <w:rsid w:val="00E81139"/>
    <w:rsid w:val="00E8116D"/>
    <w:rsid w:val="00E81182"/>
    <w:rsid w:val="00E811A2"/>
    <w:rsid w:val="00E8121E"/>
    <w:rsid w:val="00E813C1"/>
    <w:rsid w:val="00E81538"/>
    <w:rsid w:val="00E815A5"/>
    <w:rsid w:val="00E817CD"/>
    <w:rsid w:val="00E81828"/>
    <w:rsid w:val="00E81925"/>
    <w:rsid w:val="00E81B00"/>
    <w:rsid w:val="00E81C34"/>
    <w:rsid w:val="00E81F0B"/>
    <w:rsid w:val="00E81F8D"/>
    <w:rsid w:val="00E81FA9"/>
    <w:rsid w:val="00E81FAB"/>
    <w:rsid w:val="00E8226C"/>
    <w:rsid w:val="00E82424"/>
    <w:rsid w:val="00E826FE"/>
    <w:rsid w:val="00E828A3"/>
    <w:rsid w:val="00E829E1"/>
    <w:rsid w:val="00E82A4F"/>
    <w:rsid w:val="00E82B39"/>
    <w:rsid w:val="00E82B48"/>
    <w:rsid w:val="00E82D5B"/>
    <w:rsid w:val="00E82E63"/>
    <w:rsid w:val="00E833AF"/>
    <w:rsid w:val="00E833DF"/>
    <w:rsid w:val="00E83436"/>
    <w:rsid w:val="00E834DB"/>
    <w:rsid w:val="00E835B1"/>
    <w:rsid w:val="00E8363E"/>
    <w:rsid w:val="00E838D7"/>
    <w:rsid w:val="00E83B6C"/>
    <w:rsid w:val="00E83D76"/>
    <w:rsid w:val="00E83D9D"/>
    <w:rsid w:val="00E83F4B"/>
    <w:rsid w:val="00E83FD8"/>
    <w:rsid w:val="00E841CD"/>
    <w:rsid w:val="00E841F1"/>
    <w:rsid w:val="00E842EB"/>
    <w:rsid w:val="00E84401"/>
    <w:rsid w:val="00E846E3"/>
    <w:rsid w:val="00E8478E"/>
    <w:rsid w:val="00E8496D"/>
    <w:rsid w:val="00E8498B"/>
    <w:rsid w:val="00E84BCC"/>
    <w:rsid w:val="00E84CB8"/>
    <w:rsid w:val="00E84EA4"/>
    <w:rsid w:val="00E84EE5"/>
    <w:rsid w:val="00E84FB4"/>
    <w:rsid w:val="00E85818"/>
    <w:rsid w:val="00E85947"/>
    <w:rsid w:val="00E859CD"/>
    <w:rsid w:val="00E85A6A"/>
    <w:rsid w:val="00E86114"/>
    <w:rsid w:val="00E864C0"/>
    <w:rsid w:val="00E86525"/>
    <w:rsid w:val="00E8653C"/>
    <w:rsid w:val="00E8654F"/>
    <w:rsid w:val="00E868B9"/>
    <w:rsid w:val="00E868D6"/>
    <w:rsid w:val="00E86A3E"/>
    <w:rsid w:val="00E86B99"/>
    <w:rsid w:val="00E86BE8"/>
    <w:rsid w:val="00E86CC3"/>
    <w:rsid w:val="00E86E0A"/>
    <w:rsid w:val="00E86FEB"/>
    <w:rsid w:val="00E86FEE"/>
    <w:rsid w:val="00E8729D"/>
    <w:rsid w:val="00E872CF"/>
    <w:rsid w:val="00E872D7"/>
    <w:rsid w:val="00E8736F"/>
    <w:rsid w:val="00E873B5"/>
    <w:rsid w:val="00E87952"/>
    <w:rsid w:val="00E879AD"/>
    <w:rsid w:val="00E87FDC"/>
    <w:rsid w:val="00E9012A"/>
    <w:rsid w:val="00E90232"/>
    <w:rsid w:val="00E90373"/>
    <w:rsid w:val="00E903D0"/>
    <w:rsid w:val="00E90579"/>
    <w:rsid w:val="00E9065F"/>
    <w:rsid w:val="00E907E8"/>
    <w:rsid w:val="00E9084D"/>
    <w:rsid w:val="00E90A82"/>
    <w:rsid w:val="00E90B0D"/>
    <w:rsid w:val="00E90B5C"/>
    <w:rsid w:val="00E910AD"/>
    <w:rsid w:val="00E9122E"/>
    <w:rsid w:val="00E91484"/>
    <w:rsid w:val="00E915B2"/>
    <w:rsid w:val="00E9168A"/>
    <w:rsid w:val="00E916FB"/>
    <w:rsid w:val="00E91742"/>
    <w:rsid w:val="00E91885"/>
    <w:rsid w:val="00E918FD"/>
    <w:rsid w:val="00E91A5A"/>
    <w:rsid w:val="00E91B79"/>
    <w:rsid w:val="00E91D72"/>
    <w:rsid w:val="00E91E29"/>
    <w:rsid w:val="00E91FC3"/>
    <w:rsid w:val="00E9280D"/>
    <w:rsid w:val="00E92BA6"/>
    <w:rsid w:val="00E92BF2"/>
    <w:rsid w:val="00E92F23"/>
    <w:rsid w:val="00E92F94"/>
    <w:rsid w:val="00E93004"/>
    <w:rsid w:val="00E930A1"/>
    <w:rsid w:val="00E93131"/>
    <w:rsid w:val="00E93486"/>
    <w:rsid w:val="00E935DE"/>
    <w:rsid w:val="00E9383E"/>
    <w:rsid w:val="00E939FC"/>
    <w:rsid w:val="00E93B6A"/>
    <w:rsid w:val="00E93BB2"/>
    <w:rsid w:val="00E93C82"/>
    <w:rsid w:val="00E93DB4"/>
    <w:rsid w:val="00E93E51"/>
    <w:rsid w:val="00E93EBE"/>
    <w:rsid w:val="00E93EDF"/>
    <w:rsid w:val="00E943AC"/>
    <w:rsid w:val="00E94566"/>
    <w:rsid w:val="00E94740"/>
    <w:rsid w:val="00E949D2"/>
    <w:rsid w:val="00E94CE0"/>
    <w:rsid w:val="00E950F6"/>
    <w:rsid w:val="00E95113"/>
    <w:rsid w:val="00E95454"/>
    <w:rsid w:val="00E95539"/>
    <w:rsid w:val="00E95619"/>
    <w:rsid w:val="00E95CEA"/>
    <w:rsid w:val="00E95F9C"/>
    <w:rsid w:val="00E95FC9"/>
    <w:rsid w:val="00E9613C"/>
    <w:rsid w:val="00E961D4"/>
    <w:rsid w:val="00E96254"/>
    <w:rsid w:val="00E9631A"/>
    <w:rsid w:val="00E963A9"/>
    <w:rsid w:val="00E96560"/>
    <w:rsid w:val="00E96595"/>
    <w:rsid w:val="00E96715"/>
    <w:rsid w:val="00E96C85"/>
    <w:rsid w:val="00E96CF0"/>
    <w:rsid w:val="00E96DA7"/>
    <w:rsid w:val="00E96E36"/>
    <w:rsid w:val="00E96F16"/>
    <w:rsid w:val="00E96FBF"/>
    <w:rsid w:val="00E97083"/>
    <w:rsid w:val="00E97412"/>
    <w:rsid w:val="00E97449"/>
    <w:rsid w:val="00E97495"/>
    <w:rsid w:val="00E9755F"/>
    <w:rsid w:val="00E97593"/>
    <w:rsid w:val="00E97BE5"/>
    <w:rsid w:val="00E97C04"/>
    <w:rsid w:val="00E97C34"/>
    <w:rsid w:val="00E97D71"/>
    <w:rsid w:val="00E97E6F"/>
    <w:rsid w:val="00E97F48"/>
    <w:rsid w:val="00E97F75"/>
    <w:rsid w:val="00EA0173"/>
    <w:rsid w:val="00EA01AC"/>
    <w:rsid w:val="00EA0531"/>
    <w:rsid w:val="00EA053F"/>
    <w:rsid w:val="00EA05C6"/>
    <w:rsid w:val="00EA061B"/>
    <w:rsid w:val="00EA06F8"/>
    <w:rsid w:val="00EA09A9"/>
    <w:rsid w:val="00EA0D4C"/>
    <w:rsid w:val="00EA0D65"/>
    <w:rsid w:val="00EA1036"/>
    <w:rsid w:val="00EA108A"/>
    <w:rsid w:val="00EA131E"/>
    <w:rsid w:val="00EA13B2"/>
    <w:rsid w:val="00EA181E"/>
    <w:rsid w:val="00EA1AC5"/>
    <w:rsid w:val="00EA1AF3"/>
    <w:rsid w:val="00EA1BD1"/>
    <w:rsid w:val="00EA1C19"/>
    <w:rsid w:val="00EA1E25"/>
    <w:rsid w:val="00EA231C"/>
    <w:rsid w:val="00EA2605"/>
    <w:rsid w:val="00EA27B2"/>
    <w:rsid w:val="00EA27B7"/>
    <w:rsid w:val="00EA2866"/>
    <w:rsid w:val="00EA2914"/>
    <w:rsid w:val="00EA2A62"/>
    <w:rsid w:val="00EA2B79"/>
    <w:rsid w:val="00EA2EBB"/>
    <w:rsid w:val="00EA2F7D"/>
    <w:rsid w:val="00EA308E"/>
    <w:rsid w:val="00EA32FE"/>
    <w:rsid w:val="00EA3428"/>
    <w:rsid w:val="00EA3447"/>
    <w:rsid w:val="00EA3695"/>
    <w:rsid w:val="00EA3F9D"/>
    <w:rsid w:val="00EA3FC4"/>
    <w:rsid w:val="00EA43F5"/>
    <w:rsid w:val="00EA48C4"/>
    <w:rsid w:val="00EA4932"/>
    <w:rsid w:val="00EA4B40"/>
    <w:rsid w:val="00EA4C4E"/>
    <w:rsid w:val="00EA4D07"/>
    <w:rsid w:val="00EA4DDE"/>
    <w:rsid w:val="00EA4E70"/>
    <w:rsid w:val="00EA4EBE"/>
    <w:rsid w:val="00EA5106"/>
    <w:rsid w:val="00EA51E7"/>
    <w:rsid w:val="00EA51F7"/>
    <w:rsid w:val="00EA523D"/>
    <w:rsid w:val="00EA52C4"/>
    <w:rsid w:val="00EA53BB"/>
    <w:rsid w:val="00EA55D2"/>
    <w:rsid w:val="00EA586D"/>
    <w:rsid w:val="00EA5B30"/>
    <w:rsid w:val="00EA5CE5"/>
    <w:rsid w:val="00EA60AE"/>
    <w:rsid w:val="00EA660B"/>
    <w:rsid w:val="00EA6669"/>
    <w:rsid w:val="00EA6B93"/>
    <w:rsid w:val="00EA6E54"/>
    <w:rsid w:val="00EA6E9E"/>
    <w:rsid w:val="00EA6ECC"/>
    <w:rsid w:val="00EA6FA4"/>
    <w:rsid w:val="00EA6FEE"/>
    <w:rsid w:val="00EA716F"/>
    <w:rsid w:val="00EA7280"/>
    <w:rsid w:val="00EA7481"/>
    <w:rsid w:val="00EA75E0"/>
    <w:rsid w:val="00EA7681"/>
    <w:rsid w:val="00EA7708"/>
    <w:rsid w:val="00EA772F"/>
    <w:rsid w:val="00EA7B36"/>
    <w:rsid w:val="00EA7D22"/>
    <w:rsid w:val="00EA7E20"/>
    <w:rsid w:val="00EB02EE"/>
    <w:rsid w:val="00EB04F5"/>
    <w:rsid w:val="00EB0556"/>
    <w:rsid w:val="00EB0679"/>
    <w:rsid w:val="00EB07FF"/>
    <w:rsid w:val="00EB09EB"/>
    <w:rsid w:val="00EB1113"/>
    <w:rsid w:val="00EB17D2"/>
    <w:rsid w:val="00EB19A0"/>
    <w:rsid w:val="00EB1AEC"/>
    <w:rsid w:val="00EB1B50"/>
    <w:rsid w:val="00EB201B"/>
    <w:rsid w:val="00EB2B38"/>
    <w:rsid w:val="00EB2BB9"/>
    <w:rsid w:val="00EB2BD2"/>
    <w:rsid w:val="00EB2DC3"/>
    <w:rsid w:val="00EB317F"/>
    <w:rsid w:val="00EB3360"/>
    <w:rsid w:val="00EB3554"/>
    <w:rsid w:val="00EB385C"/>
    <w:rsid w:val="00EB3C96"/>
    <w:rsid w:val="00EB3F69"/>
    <w:rsid w:val="00EB3F87"/>
    <w:rsid w:val="00EB44B3"/>
    <w:rsid w:val="00EB4548"/>
    <w:rsid w:val="00EB482E"/>
    <w:rsid w:val="00EB4916"/>
    <w:rsid w:val="00EB4AFF"/>
    <w:rsid w:val="00EB4D3A"/>
    <w:rsid w:val="00EB4E94"/>
    <w:rsid w:val="00EB4EF8"/>
    <w:rsid w:val="00EB4EFF"/>
    <w:rsid w:val="00EB506E"/>
    <w:rsid w:val="00EB5177"/>
    <w:rsid w:val="00EB560B"/>
    <w:rsid w:val="00EB58DD"/>
    <w:rsid w:val="00EB58E5"/>
    <w:rsid w:val="00EB596E"/>
    <w:rsid w:val="00EB5A3F"/>
    <w:rsid w:val="00EB5BD4"/>
    <w:rsid w:val="00EB5E16"/>
    <w:rsid w:val="00EB5F19"/>
    <w:rsid w:val="00EB5F79"/>
    <w:rsid w:val="00EB60EE"/>
    <w:rsid w:val="00EB610C"/>
    <w:rsid w:val="00EB61EB"/>
    <w:rsid w:val="00EB62EA"/>
    <w:rsid w:val="00EB64C6"/>
    <w:rsid w:val="00EB6693"/>
    <w:rsid w:val="00EB690B"/>
    <w:rsid w:val="00EB69BF"/>
    <w:rsid w:val="00EB6D66"/>
    <w:rsid w:val="00EB7236"/>
    <w:rsid w:val="00EB72D3"/>
    <w:rsid w:val="00EB73EF"/>
    <w:rsid w:val="00EB7475"/>
    <w:rsid w:val="00EB7582"/>
    <w:rsid w:val="00EB7690"/>
    <w:rsid w:val="00EB7B09"/>
    <w:rsid w:val="00EB7B69"/>
    <w:rsid w:val="00EB7E49"/>
    <w:rsid w:val="00EB7EB6"/>
    <w:rsid w:val="00EC0085"/>
    <w:rsid w:val="00EC01C8"/>
    <w:rsid w:val="00EC03DE"/>
    <w:rsid w:val="00EC0621"/>
    <w:rsid w:val="00EC073F"/>
    <w:rsid w:val="00EC0786"/>
    <w:rsid w:val="00EC07C0"/>
    <w:rsid w:val="00EC0B0D"/>
    <w:rsid w:val="00EC0EEA"/>
    <w:rsid w:val="00EC100E"/>
    <w:rsid w:val="00EC10F6"/>
    <w:rsid w:val="00EC1123"/>
    <w:rsid w:val="00EC11BB"/>
    <w:rsid w:val="00EC12D2"/>
    <w:rsid w:val="00EC15C0"/>
    <w:rsid w:val="00EC1744"/>
    <w:rsid w:val="00EC18A6"/>
    <w:rsid w:val="00EC1912"/>
    <w:rsid w:val="00EC1F23"/>
    <w:rsid w:val="00EC206D"/>
    <w:rsid w:val="00EC2295"/>
    <w:rsid w:val="00EC2315"/>
    <w:rsid w:val="00EC23BA"/>
    <w:rsid w:val="00EC2407"/>
    <w:rsid w:val="00EC297D"/>
    <w:rsid w:val="00EC29C5"/>
    <w:rsid w:val="00EC2B88"/>
    <w:rsid w:val="00EC2C92"/>
    <w:rsid w:val="00EC3210"/>
    <w:rsid w:val="00EC35F0"/>
    <w:rsid w:val="00EC36AD"/>
    <w:rsid w:val="00EC3748"/>
    <w:rsid w:val="00EC37C1"/>
    <w:rsid w:val="00EC3B3D"/>
    <w:rsid w:val="00EC3DD2"/>
    <w:rsid w:val="00EC40D3"/>
    <w:rsid w:val="00EC43CA"/>
    <w:rsid w:val="00EC43DE"/>
    <w:rsid w:val="00EC448A"/>
    <w:rsid w:val="00EC4A42"/>
    <w:rsid w:val="00EC4B4E"/>
    <w:rsid w:val="00EC4CFD"/>
    <w:rsid w:val="00EC4DF0"/>
    <w:rsid w:val="00EC4FAD"/>
    <w:rsid w:val="00EC5125"/>
    <w:rsid w:val="00EC5165"/>
    <w:rsid w:val="00EC537F"/>
    <w:rsid w:val="00EC5446"/>
    <w:rsid w:val="00EC568F"/>
    <w:rsid w:val="00EC573D"/>
    <w:rsid w:val="00EC5946"/>
    <w:rsid w:val="00EC594E"/>
    <w:rsid w:val="00EC59C3"/>
    <w:rsid w:val="00EC5A8C"/>
    <w:rsid w:val="00EC5B90"/>
    <w:rsid w:val="00EC5D51"/>
    <w:rsid w:val="00EC5E72"/>
    <w:rsid w:val="00EC5F14"/>
    <w:rsid w:val="00EC6093"/>
    <w:rsid w:val="00EC63AC"/>
    <w:rsid w:val="00EC6455"/>
    <w:rsid w:val="00EC64D6"/>
    <w:rsid w:val="00EC6741"/>
    <w:rsid w:val="00EC68D1"/>
    <w:rsid w:val="00EC6A38"/>
    <w:rsid w:val="00EC6A93"/>
    <w:rsid w:val="00EC6B25"/>
    <w:rsid w:val="00EC6CA8"/>
    <w:rsid w:val="00EC6CE1"/>
    <w:rsid w:val="00EC6D6A"/>
    <w:rsid w:val="00EC6DB0"/>
    <w:rsid w:val="00EC6DD5"/>
    <w:rsid w:val="00EC6F29"/>
    <w:rsid w:val="00EC6F77"/>
    <w:rsid w:val="00EC7092"/>
    <w:rsid w:val="00EC70C6"/>
    <w:rsid w:val="00EC74A6"/>
    <w:rsid w:val="00EC7503"/>
    <w:rsid w:val="00EC7A48"/>
    <w:rsid w:val="00EC7AFF"/>
    <w:rsid w:val="00ED0170"/>
    <w:rsid w:val="00ED026F"/>
    <w:rsid w:val="00ED02A0"/>
    <w:rsid w:val="00ED03DE"/>
    <w:rsid w:val="00ED0802"/>
    <w:rsid w:val="00ED0916"/>
    <w:rsid w:val="00ED0A16"/>
    <w:rsid w:val="00ED0A1B"/>
    <w:rsid w:val="00ED0D96"/>
    <w:rsid w:val="00ED1044"/>
    <w:rsid w:val="00ED11C8"/>
    <w:rsid w:val="00ED16F3"/>
    <w:rsid w:val="00ED1706"/>
    <w:rsid w:val="00ED1966"/>
    <w:rsid w:val="00ED1CFA"/>
    <w:rsid w:val="00ED1D15"/>
    <w:rsid w:val="00ED1EDA"/>
    <w:rsid w:val="00ED2103"/>
    <w:rsid w:val="00ED2126"/>
    <w:rsid w:val="00ED2505"/>
    <w:rsid w:val="00ED2752"/>
    <w:rsid w:val="00ED2779"/>
    <w:rsid w:val="00ED2839"/>
    <w:rsid w:val="00ED28CC"/>
    <w:rsid w:val="00ED294E"/>
    <w:rsid w:val="00ED29FC"/>
    <w:rsid w:val="00ED2EF9"/>
    <w:rsid w:val="00ED3073"/>
    <w:rsid w:val="00ED3087"/>
    <w:rsid w:val="00ED3120"/>
    <w:rsid w:val="00ED330A"/>
    <w:rsid w:val="00ED3560"/>
    <w:rsid w:val="00ED36FD"/>
    <w:rsid w:val="00ED380F"/>
    <w:rsid w:val="00ED3B10"/>
    <w:rsid w:val="00ED3CE4"/>
    <w:rsid w:val="00ED3DB7"/>
    <w:rsid w:val="00ED3DC2"/>
    <w:rsid w:val="00ED3DE1"/>
    <w:rsid w:val="00ED401E"/>
    <w:rsid w:val="00ED41FD"/>
    <w:rsid w:val="00ED4271"/>
    <w:rsid w:val="00ED43B1"/>
    <w:rsid w:val="00ED45C2"/>
    <w:rsid w:val="00ED480A"/>
    <w:rsid w:val="00ED4881"/>
    <w:rsid w:val="00ED4959"/>
    <w:rsid w:val="00ED4B84"/>
    <w:rsid w:val="00ED4D29"/>
    <w:rsid w:val="00ED53BB"/>
    <w:rsid w:val="00ED5588"/>
    <w:rsid w:val="00ED55A4"/>
    <w:rsid w:val="00ED574E"/>
    <w:rsid w:val="00ED57BF"/>
    <w:rsid w:val="00ED5B13"/>
    <w:rsid w:val="00ED5DE1"/>
    <w:rsid w:val="00ED5F20"/>
    <w:rsid w:val="00ED5F79"/>
    <w:rsid w:val="00ED6311"/>
    <w:rsid w:val="00ED641A"/>
    <w:rsid w:val="00ED6467"/>
    <w:rsid w:val="00ED66E2"/>
    <w:rsid w:val="00ED67BD"/>
    <w:rsid w:val="00ED68C7"/>
    <w:rsid w:val="00ED69AC"/>
    <w:rsid w:val="00ED6C44"/>
    <w:rsid w:val="00ED6FFB"/>
    <w:rsid w:val="00ED7083"/>
    <w:rsid w:val="00ED722A"/>
    <w:rsid w:val="00ED7282"/>
    <w:rsid w:val="00ED72B8"/>
    <w:rsid w:val="00ED75FC"/>
    <w:rsid w:val="00ED7844"/>
    <w:rsid w:val="00ED78F9"/>
    <w:rsid w:val="00ED795A"/>
    <w:rsid w:val="00ED7A6A"/>
    <w:rsid w:val="00ED7DBD"/>
    <w:rsid w:val="00ED7F5E"/>
    <w:rsid w:val="00EE0015"/>
    <w:rsid w:val="00EE006C"/>
    <w:rsid w:val="00EE0143"/>
    <w:rsid w:val="00EE0248"/>
    <w:rsid w:val="00EE0447"/>
    <w:rsid w:val="00EE07B7"/>
    <w:rsid w:val="00EE0BC3"/>
    <w:rsid w:val="00EE1257"/>
    <w:rsid w:val="00EE1268"/>
    <w:rsid w:val="00EE1597"/>
    <w:rsid w:val="00EE15A3"/>
    <w:rsid w:val="00EE171F"/>
    <w:rsid w:val="00EE18E1"/>
    <w:rsid w:val="00EE19A2"/>
    <w:rsid w:val="00EE1B01"/>
    <w:rsid w:val="00EE1B88"/>
    <w:rsid w:val="00EE1EAB"/>
    <w:rsid w:val="00EE2294"/>
    <w:rsid w:val="00EE229D"/>
    <w:rsid w:val="00EE248D"/>
    <w:rsid w:val="00EE2532"/>
    <w:rsid w:val="00EE29AE"/>
    <w:rsid w:val="00EE2B02"/>
    <w:rsid w:val="00EE2DA7"/>
    <w:rsid w:val="00EE2F9C"/>
    <w:rsid w:val="00EE3070"/>
    <w:rsid w:val="00EE31DB"/>
    <w:rsid w:val="00EE3330"/>
    <w:rsid w:val="00EE33E2"/>
    <w:rsid w:val="00EE33E6"/>
    <w:rsid w:val="00EE3496"/>
    <w:rsid w:val="00EE36AA"/>
    <w:rsid w:val="00EE37AF"/>
    <w:rsid w:val="00EE3C63"/>
    <w:rsid w:val="00EE40FF"/>
    <w:rsid w:val="00EE4202"/>
    <w:rsid w:val="00EE435D"/>
    <w:rsid w:val="00EE4833"/>
    <w:rsid w:val="00EE490D"/>
    <w:rsid w:val="00EE4A45"/>
    <w:rsid w:val="00EE4CF7"/>
    <w:rsid w:val="00EE4D3E"/>
    <w:rsid w:val="00EE4EB4"/>
    <w:rsid w:val="00EE4F9C"/>
    <w:rsid w:val="00EE56A4"/>
    <w:rsid w:val="00EE5942"/>
    <w:rsid w:val="00EE5B42"/>
    <w:rsid w:val="00EE5B75"/>
    <w:rsid w:val="00EE5DC6"/>
    <w:rsid w:val="00EE5ED9"/>
    <w:rsid w:val="00EE6064"/>
    <w:rsid w:val="00EE60B3"/>
    <w:rsid w:val="00EE6280"/>
    <w:rsid w:val="00EE62C6"/>
    <w:rsid w:val="00EE63B9"/>
    <w:rsid w:val="00EE64D6"/>
    <w:rsid w:val="00EE652F"/>
    <w:rsid w:val="00EE66FD"/>
    <w:rsid w:val="00EE686A"/>
    <w:rsid w:val="00EE68F2"/>
    <w:rsid w:val="00EE6939"/>
    <w:rsid w:val="00EE696A"/>
    <w:rsid w:val="00EE6B22"/>
    <w:rsid w:val="00EE6D12"/>
    <w:rsid w:val="00EE6DD2"/>
    <w:rsid w:val="00EE6FC6"/>
    <w:rsid w:val="00EE70A3"/>
    <w:rsid w:val="00EE71BE"/>
    <w:rsid w:val="00EE743C"/>
    <w:rsid w:val="00EE74A2"/>
    <w:rsid w:val="00EE7583"/>
    <w:rsid w:val="00EE7854"/>
    <w:rsid w:val="00EE7D11"/>
    <w:rsid w:val="00EE7F28"/>
    <w:rsid w:val="00EE7FE5"/>
    <w:rsid w:val="00EF007D"/>
    <w:rsid w:val="00EF0218"/>
    <w:rsid w:val="00EF0268"/>
    <w:rsid w:val="00EF03E1"/>
    <w:rsid w:val="00EF041E"/>
    <w:rsid w:val="00EF043D"/>
    <w:rsid w:val="00EF051B"/>
    <w:rsid w:val="00EF08AF"/>
    <w:rsid w:val="00EF0A0B"/>
    <w:rsid w:val="00EF0CCA"/>
    <w:rsid w:val="00EF0E41"/>
    <w:rsid w:val="00EF11E1"/>
    <w:rsid w:val="00EF148C"/>
    <w:rsid w:val="00EF1704"/>
    <w:rsid w:val="00EF17C3"/>
    <w:rsid w:val="00EF190E"/>
    <w:rsid w:val="00EF1B23"/>
    <w:rsid w:val="00EF1BB0"/>
    <w:rsid w:val="00EF1BFC"/>
    <w:rsid w:val="00EF1E71"/>
    <w:rsid w:val="00EF1F2F"/>
    <w:rsid w:val="00EF1F86"/>
    <w:rsid w:val="00EF22BA"/>
    <w:rsid w:val="00EF2506"/>
    <w:rsid w:val="00EF25B5"/>
    <w:rsid w:val="00EF27DF"/>
    <w:rsid w:val="00EF29B4"/>
    <w:rsid w:val="00EF2A9A"/>
    <w:rsid w:val="00EF2DE2"/>
    <w:rsid w:val="00EF3195"/>
    <w:rsid w:val="00EF32F5"/>
    <w:rsid w:val="00EF3378"/>
    <w:rsid w:val="00EF3422"/>
    <w:rsid w:val="00EF34AA"/>
    <w:rsid w:val="00EF36DF"/>
    <w:rsid w:val="00EF3828"/>
    <w:rsid w:val="00EF38F7"/>
    <w:rsid w:val="00EF3A45"/>
    <w:rsid w:val="00EF3AE8"/>
    <w:rsid w:val="00EF3CE9"/>
    <w:rsid w:val="00EF3D88"/>
    <w:rsid w:val="00EF3E39"/>
    <w:rsid w:val="00EF3F23"/>
    <w:rsid w:val="00EF401E"/>
    <w:rsid w:val="00EF40F0"/>
    <w:rsid w:val="00EF4271"/>
    <w:rsid w:val="00EF42D5"/>
    <w:rsid w:val="00EF431E"/>
    <w:rsid w:val="00EF43F6"/>
    <w:rsid w:val="00EF4868"/>
    <w:rsid w:val="00EF486F"/>
    <w:rsid w:val="00EF48BE"/>
    <w:rsid w:val="00EF4AA4"/>
    <w:rsid w:val="00EF4C1F"/>
    <w:rsid w:val="00EF4F07"/>
    <w:rsid w:val="00EF510B"/>
    <w:rsid w:val="00EF52A3"/>
    <w:rsid w:val="00EF5316"/>
    <w:rsid w:val="00EF55CC"/>
    <w:rsid w:val="00EF56D5"/>
    <w:rsid w:val="00EF5A1A"/>
    <w:rsid w:val="00EF5B25"/>
    <w:rsid w:val="00EF5BB5"/>
    <w:rsid w:val="00EF5CDB"/>
    <w:rsid w:val="00EF5DB9"/>
    <w:rsid w:val="00EF5E33"/>
    <w:rsid w:val="00EF5E3E"/>
    <w:rsid w:val="00EF5FBF"/>
    <w:rsid w:val="00EF6015"/>
    <w:rsid w:val="00EF627E"/>
    <w:rsid w:val="00EF632B"/>
    <w:rsid w:val="00EF6710"/>
    <w:rsid w:val="00EF6725"/>
    <w:rsid w:val="00EF68CA"/>
    <w:rsid w:val="00EF6931"/>
    <w:rsid w:val="00EF6C5A"/>
    <w:rsid w:val="00EF6C95"/>
    <w:rsid w:val="00EF6D37"/>
    <w:rsid w:val="00EF7050"/>
    <w:rsid w:val="00EF7137"/>
    <w:rsid w:val="00EF7412"/>
    <w:rsid w:val="00EF745E"/>
    <w:rsid w:val="00EF75BF"/>
    <w:rsid w:val="00EF76FF"/>
    <w:rsid w:val="00EF78CF"/>
    <w:rsid w:val="00EF7A75"/>
    <w:rsid w:val="00EF7C61"/>
    <w:rsid w:val="00EF7C95"/>
    <w:rsid w:val="00EF7E43"/>
    <w:rsid w:val="00EF7F63"/>
    <w:rsid w:val="00F002D0"/>
    <w:rsid w:val="00F0051A"/>
    <w:rsid w:val="00F00558"/>
    <w:rsid w:val="00F0064C"/>
    <w:rsid w:val="00F007E9"/>
    <w:rsid w:val="00F007FE"/>
    <w:rsid w:val="00F00A1F"/>
    <w:rsid w:val="00F00A8F"/>
    <w:rsid w:val="00F00B1B"/>
    <w:rsid w:val="00F00FB0"/>
    <w:rsid w:val="00F011AE"/>
    <w:rsid w:val="00F01340"/>
    <w:rsid w:val="00F014E9"/>
    <w:rsid w:val="00F01698"/>
    <w:rsid w:val="00F016B9"/>
    <w:rsid w:val="00F01A75"/>
    <w:rsid w:val="00F01C3B"/>
    <w:rsid w:val="00F01F42"/>
    <w:rsid w:val="00F01F85"/>
    <w:rsid w:val="00F02093"/>
    <w:rsid w:val="00F02712"/>
    <w:rsid w:val="00F027CF"/>
    <w:rsid w:val="00F028BE"/>
    <w:rsid w:val="00F029D5"/>
    <w:rsid w:val="00F02AB6"/>
    <w:rsid w:val="00F02ADB"/>
    <w:rsid w:val="00F02FCA"/>
    <w:rsid w:val="00F0301B"/>
    <w:rsid w:val="00F0313D"/>
    <w:rsid w:val="00F035C7"/>
    <w:rsid w:val="00F03798"/>
    <w:rsid w:val="00F03A3B"/>
    <w:rsid w:val="00F03CA8"/>
    <w:rsid w:val="00F03CEA"/>
    <w:rsid w:val="00F0415F"/>
    <w:rsid w:val="00F04162"/>
    <w:rsid w:val="00F04290"/>
    <w:rsid w:val="00F0444E"/>
    <w:rsid w:val="00F045FD"/>
    <w:rsid w:val="00F046AC"/>
    <w:rsid w:val="00F046EC"/>
    <w:rsid w:val="00F04702"/>
    <w:rsid w:val="00F04729"/>
    <w:rsid w:val="00F0483E"/>
    <w:rsid w:val="00F048EA"/>
    <w:rsid w:val="00F04954"/>
    <w:rsid w:val="00F04B40"/>
    <w:rsid w:val="00F04CA5"/>
    <w:rsid w:val="00F05017"/>
    <w:rsid w:val="00F05227"/>
    <w:rsid w:val="00F053ED"/>
    <w:rsid w:val="00F0540E"/>
    <w:rsid w:val="00F054F9"/>
    <w:rsid w:val="00F05672"/>
    <w:rsid w:val="00F0570A"/>
    <w:rsid w:val="00F05864"/>
    <w:rsid w:val="00F05941"/>
    <w:rsid w:val="00F05AA5"/>
    <w:rsid w:val="00F0655C"/>
    <w:rsid w:val="00F0655E"/>
    <w:rsid w:val="00F066C5"/>
    <w:rsid w:val="00F06784"/>
    <w:rsid w:val="00F06903"/>
    <w:rsid w:val="00F06A2E"/>
    <w:rsid w:val="00F06B61"/>
    <w:rsid w:val="00F06BEC"/>
    <w:rsid w:val="00F06D84"/>
    <w:rsid w:val="00F06DEB"/>
    <w:rsid w:val="00F070EE"/>
    <w:rsid w:val="00F07158"/>
    <w:rsid w:val="00F07341"/>
    <w:rsid w:val="00F07784"/>
    <w:rsid w:val="00F07948"/>
    <w:rsid w:val="00F0794F"/>
    <w:rsid w:val="00F07992"/>
    <w:rsid w:val="00F079BE"/>
    <w:rsid w:val="00F07B0C"/>
    <w:rsid w:val="00F07B6A"/>
    <w:rsid w:val="00F07B9D"/>
    <w:rsid w:val="00F10067"/>
    <w:rsid w:val="00F10076"/>
    <w:rsid w:val="00F101C0"/>
    <w:rsid w:val="00F10203"/>
    <w:rsid w:val="00F10498"/>
    <w:rsid w:val="00F108ED"/>
    <w:rsid w:val="00F108FD"/>
    <w:rsid w:val="00F10CDC"/>
    <w:rsid w:val="00F10F37"/>
    <w:rsid w:val="00F10FE1"/>
    <w:rsid w:val="00F114AA"/>
    <w:rsid w:val="00F1155E"/>
    <w:rsid w:val="00F11748"/>
    <w:rsid w:val="00F117D9"/>
    <w:rsid w:val="00F118A8"/>
    <w:rsid w:val="00F118D5"/>
    <w:rsid w:val="00F11A18"/>
    <w:rsid w:val="00F11A22"/>
    <w:rsid w:val="00F11CBB"/>
    <w:rsid w:val="00F11D8C"/>
    <w:rsid w:val="00F11DAA"/>
    <w:rsid w:val="00F11E83"/>
    <w:rsid w:val="00F11ECE"/>
    <w:rsid w:val="00F11EF7"/>
    <w:rsid w:val="00F123D2"/>
    <w:rsid w:val="00F12519"/>
    <w:rsid w:val="00F125A5"/>
    <w:rsid w:val="00F126F5"/>
    <w:rsid w:val="00F129E7"/>
    <w:rsid w:val="00F12BD9"/>
    <w:rsid w:val="00F12C90"/>
    <w:rsid w:val="00F12D9F"/>
    <w:rsid w:val="00F12E6E"/>
    <w:rsid w:val="00F132BC"/>
    <w:rsid w:val="00F137B9"/>
    <w:rsid w:val="00F13A09"/>
    <w:rsid w:val="00F13AA7"/>
    <w:rsid w:val="00F13B7B"/>
    <w:rsid w:val="00F13CE8"/>
    <w:rsid w:val="00F13D76"/>
    <w:rsid w:val="00F13DBA"/>
    <w:rsid w:val="00F13DD8"/>
    <w:rsid w:val="00F140E9"/>
    <w:rsid w:val="00F1419E"/>
    <w:rsid w:val="00F1444D"/>
    <w:rsid w:val="00F146A4"/>
    <w:rsid w:val="00F148DA"/>
    <w:rsid w:val="00F14C3D"/>
    <w:rsid w:val="00F14C5D"/>
    <w:rsid w:val="00F14C89"/>
    <w:rsid w:val="00F14C9C"/>
    <w:rsid w:val="00F14F10"/>
    <w:rsid w:val="00F14F79"/>
    <w:rsid w:val="00F15067"/>
    <w:rsid w:val="00F151B4"/>
    <w:rsid w:val="00F15223"/>
    <w:rsid w:val="00F15390"/>
    <w:rsid w:val="00F1545F"/>
    <w:rsid w:val="00F1578C"/>
    <w:rsid w:val="00F15A4D"/>
    <w:rsid w:val="00F15C1D"/>
    <w:rsid w:val="00F15DC1"/>
    <w:rsid w:val="00F15ED9"/>
    <w:rsid w:val="00F16182"/>
    <w:rsid w:val="00F16245"/>
    <w:rsid w:val="00F163DB"/>
    <w:rsid w:val="00F1642A"/>
    <w:rsid w:val="00F16607"/>
    <w:rsid w:val="00F1663A"/>
    <w:rsid w:val="00F166B1"/>
    <w:rsid w:val="00F166FD"/>
    <w:rsid w:val="00F16792"/>
    <w:rsid w:val="00F16912"/>
    <w:rsid w:val="00F16FFE"/>
    <w:rsid w:val="00F171CC"/>
    <w:rsid w:val="00F1725E"/>
    <w:rsid w:val="00F17482"/>
    <w:rsid w:val="00F17499"/>
    <w:rsid w:val="00F17DCF"/>
    <w:rsid w:val="00F200B3"/>
    <w:rsid w:val="00F200DB"/>
    <w:rsid w:val="00F2064C"/>
    <w:rsid w:val="00F208D4"/>
    <w:rsid w:val="00F20B1D"/>
    <w:rsid w:val="00F20C32"/>
    <w:rsid w:val="00F20F9A"/>
    <w:rsid w:val="00F21091"/>
    <w:rsid w:val="00F21447"/>
    <w:rsid w:val="00F21530"/>
    <w:rsid w:val="00F21698"/>
    <w:rsid w:val="00F2190E"/>
    <w:rsid w:val="00F21940"/>
    <w:rsid w:val="00F21B93"/>
    <w:rsid w:val="00F21BDB"/>
    <w:rsid w:val="00F21C8F"/>
    <w:rsid w:val="00F21F1B"/>
    <w:rsid w:val="00F220B4"/>
    <w:rsid w:val="00F22315"/>
    <w:rsid w:val="00F2242F"/>
    <w:rsid w:val="00F22738"/>
    <w:rsid w:val="00F22D89"/>
    <w:rsid w:val="00F22F96"/>
    <w:rsid w:val="00F23047"/>
    <w:rsid w:val="00F2308C"/>
    <w:rsid w:val="00F23203"/>
    <w:rsid w:val="00F232E7"/>
    <w:rsid w:val="00F232EF"/>
    <w:rsid w:val="00F238E0"/>
    <w:rsid w:val="00F2390D"/>
    <w:rsid w:val="00F23967"/>
    <w:rsid w:val="00F23C09"/>
    <w:rsid w:val="00F23E78"/>
    <w:rsid w:val="00F23EC3"/>
    <w:rsid w:val="00F23F3A"/>
    <w:rsid w:val="00F2404F"/>
    <w:rsid w:val="00F2432A"/>
    <w:rsid w:val="00F244D0"/>
    <w:rsid w:val="00F24536"/>
    <w:rsid w:val="00F2458F"/>
    <w:rsid w:val="00F245F4"/>
    <w:rsid w:val="00F24777"/>
    <w:rsid w:val="00F24AEF"/>
    <w:rsid w:val="00F24BE8"/>
    <w:rsid w:val="00F24C82"/>
    <w:rsid w:val="00F24D01"/>
    <w:rsid w:val="00F24E0B"/>
    <w:rsid w:val="00F24E12"/>
    <w:rsid w:val="00F24ED1"/>
    <w:rsid w:val="00F24F64"/>
    <w:rsid w:val="00F24F92"/>
    <w:rsid w:val="00F251E8"/>
    <w:rsid w:val="00F25260"/>
    <w:rsid w:val="00F252A3"/>
    <w:rsid w:val="00F2598C"/>
    <w:rsid w:val="00F25B0E"/>
    <w:rsid w:val="00F25DB5"/>
    <w:rsid w:val="00F25DDA"/>
    <w:rsid w:val="00F26032"/>
    <w:rsid w:val="00F2626F"/>
    <w:rsid w:val="00F2638B"/>
    <w:rsid w:val="00F26C42"/>
    <w:rsid w:val="00F26E3E"/>
    <w:rsid w:val="00F270D2"/>
    <w:rsid w:val="00F2722F"/>
    <w:rsid w:val="00F2767F"/>
    <w:rsid w:val="00F27709"/>
    <w:rsid w:val="00F2773E"/>
    <w:rsid w:val="00F277C3"/>
    <w:rsid w:val="00F27A2D"/>
    <w:rsid w:val="00F27B21"/>
    <w:rsid w:val="00F27C57"/>
    <w:rsid w:val="00F27CB2"/>
    <w:rsid w:val="00F27E7D"/>
    <w:rsid w:val="00F300CE"/>
    <w:rsid w:val="00F30104"/>
    <w:rsid w:val="00F3023C"/>
    <w:rsid w:val="00F302B2"/>
    <w:rsid w:val="00F303A9"/>
    <w:rsid w:val="00F30433"/>
    <w:rsid w:val="00F30531"/>
    <w:rsid w:val="00F30A1B"/>
    <w:rsid w:val="00F30A25"/>
    <w:rsid w:val="00F30AC5"/>
    <w:rsid w:val="00F30CDC"/>
    <w:rsid w:val="00F30E35"/>
    <w:rsid w:val="00F30F58"/>
    <w:rsid w:val="00F31063"/>
    <w:rsid w:val="00F3113F"/>
    <w:rsid w:val="00F3115C"/>
    <w:rsid w:val="00F31407"/>
    <w:rsid w:val="00F31520"/>
    <w:rsid w:val="00F31573"/>
    <w:rsid w:val="00F31732"/>
    <w:rsid w:val="00F319BE"/>
    <w:rsid w:val="00F31CB8"/>
    <w:rsid w:val="00F31D58"/>
    <w:rsid w:val="00F31F7D"/>
    <w:rsid w:val="00F3208C"/>
    <w:rsid w:val="00F3268A"/>
    <w:rsid w:val="00F3268D"/>
    <w:rsid w:val="00F327E1"/>
    <w:rsid w:val="00F329C8"/>
    <w:rsid w:val="00F32AFE"/>
    <w:rsid w:val="00F32B58"/>
    <w:rsid w:val="00F32CC8"/>
    <w:rsid w:val="00F32CFE"/>
    <w:rsid w:val="00F32EBB"/>
    <w:rsid w:val="00F331A6"/>
    <w:rsid w:val="00F33803"/>
    <w:rsid w:val="00F33868"/>
    <w:rsid w:val="00F33DFE"/>
    <w:rsid w:val="00F33FC4"/>
    <w:rsid w:val="00F341DA"/>
    <w:rsid w:val="00F342BA"/>
    <w:rsid w:val="00F34304"/>
    <w:rsid w:val="00F34344"/>
    <w:rsid w:val="00F344B7"/>
    <w:rsid w:val="00F34518"/>
    <w:rsid w:val="00F34615"/>
    <w:rsid w:val="00F34693"/>
    <w:rsid w:val="00F34927"/>
    <w:rsid w:val="00F34975"/>
    <w:rsid w:val="00F34AC1"/>
    <w:rsid w:val="00F34B07"/>
    <w:rsid w:val="00F34C39"/>
    <w:rsid w:val="00F34C4C"/>
    <w:rsid w:val="00F350F0"/>
    <w:rsid w:val="00F35322"/>
    <w:rsid w:val="00F35336"/>
    <w:rsid w:val="00F3539E"/>
    <w:rsid w:val="00F356D1"/>
    <w:rsid w:val="00F35AE6"/>
    <w:rsid w:val="00F35BCD"/>
    <w:rsid w:val="00F35C46"/>
    <w:rsid w:val="00F35C47"/>
    <w:rsid w:val="00F35EE2"/>
    <w:rsid w:val="00F36002"/>
    <w:rsid w:val="00F361B1"/>
    <w:rsid w:val="00F36367"/>
    <w:rsid w:val="00F365BC"/>
    <w:rsid w:val="00F36659"/>
    <w:rsid w:val="00F369C4"/>
    <w:rsid w:val="00F36A36"/>
    <w:rsid w:val="00F36B27"/>
    <w:rsid w:val="00F36F57"/>
    <w:rsid w:val="00F371E6"/>
    <w:rsid w:val="00F37267"/>
    <w:rsid w:val="00F3734F"/>
    <w:rsid w:val="00F374FB"/>
    <w:rsid w:val="00F37689"/>
    <w:rsid w:val="00F37785"/>
    <w:rsid w:val="00F377AE"/>
    <w:rsid w:val="00F37B82"/>
    <w:rsid w:val="00F4021C"/>
    <w:rsid w:val="00F402D1"/>
    <w:rsid w:val="00F40729"/>
    <w:rsid w:val="00F407FA"/>
    <w:rsid w:val="00F408AA"/>
    <w:rsid w:val="00F40BA0"/>
    <w:rsid w:val="00F40CB7"/>
    <w:rsid w:val="00F40D83"/>
    <w:rsid w:val="00F41060"/>
    <w:rsid w:val="00F41067"/>
    <w:rsid w:val="00F416E1"/>
    <w:rsid w:val="00F41813"/>
    <w:rsid w:val="00F4188A"/>
    <w:rsid w:val="00F418EF"/>
    <w:rsid w:val="00F41931"/>
    <w:rsid w:val="00F41AEC"/>
    <w:rsid w:val="00F41B2C"/>
    <w:rsid w:val="00F41C0F"/>
    <w:rsid w:val="00F41C33"/>
    <w:rsid w:val="00F41DA7"/>
    <w:rsid w:val="00F41DCB"/>
    <w:rsid w:val="00F41FE6"/>
    <w:rsid w:val="00F4217A"/>
    <w:rsid w:val="00F42312"/>
    <w:rsid w:val="00F4238B"/>
    <w:rsid w:val="00F4245D"/>
    <w:rsid w:val="00F42464"/>
    <w:rsid w:val="00F4250C"/>
    <w:rsid w:val="00F425A3"/>
    <w:rsid w:val="00F42615"/>
    <w:rsid w:val="00F42648"/>
    <w:rsid w:val="00F42753"/>
    <w:rsid w:val="00F42762"/>
    <w:rsid w:val="00F428D7"/>
    <w:rsid w:val="00F4292F"/>
    <w:rsid w:val="00F4293C"/>
    <w:rsid w:val="00F42AC7"/>
    <w:rsid w:val="00F4315E"/>
    <w:rsid w:val="00F4390F"/>
    <w:rsid w:val="00F439CF"/>
    <w:rsid w:val="00F43A47"/>
    <w:rsid w:val="00F43A6D"/>
    <w:rsid w:val="00F43A77"/>
    <w:rsid w:val="00F43BD6"/>
    <w:rsid w:val="00F43DE1"/>
    <w:rsid w:val="00F43FC2"/>
    <w:rsid w:val="00F44119"/>
    <w:rsid w:val="00F443D2"/>
    <w:rsid w:val="00F44497"/>
    <w:rsid w:val="00F447FE"/>
    <w:rsid w:val="00F448C4"/>
    <w:rsid w:val="00F448D2"/>
    <w:rsid w:val="00F44959"/>
    <w:rsid w:val="00F449C5"/>
    <w:rsid w:val="00F44B54"/>
    <w:rsid w:val="00F44B60"/>
    <w:rsid w:val="00F44C1F"/>
    <w:rsid w:val="00F44E1D"/>
    <w:rsid w:val="00F451B4"/>
    <w:rsid w:val="00F451FF"/>
    <w:rsid w:val="00F452DB"/>
    <w:rsid w:val="00F459F0"/>
    <w:rsid w:val="00F45AB7"/>
    <w:rsid w:val="00F45B81"/>
    <w:rsid w:val="00F45D30"/>
    <w:rsid w:val="00F45DC4"/>
    <w:rsid w:val="00F45FA5"/>
    <w:rsid w:val="00F462F5"/>
    <w:rsid w:val="00F463C6"/>
    <w:rsid w:val="00F46496"/>
    <w:rsid w:val="00F464A8"/>
    <w:rsid w:val="00F465FD"/>
    <w:rsid w:val="00F466ED"/>
    <w:rsid w:val="00F4694A"/>
    <w:rsid w:val="00F46E2A"/>
    <w:rsid w:val="00F46F1A"/>
    <w:rsid w:val="00F471C1"/>
    <w:rsid w:val="00F471FC"/>
    <w:rsid w:val="00F47207"/>
    <w:rsid w:val="00F47253"/>
    <w:rsid w:val="00F472B6"/>
    <w:rsid w:val="00F473F5"/>
    <w:rsid w:val="00F476DC"/>
    <w:rsid w:val="00F479DB"/>
    <w:rsid w:val="00F47B99"/>
    <w:rsid w:val="00F47DDB"/>
    <w:rsid w:val="00F47E72"/>
    <w:rsid w:val="00F47F63"/>
    <w:rsid w:val="00F47F7F"/>
    <w:rsid w:val="00F503A0"/>
    <w:rsid w:val="00F504ED"/>
    <w:rsid w:val="00F509D5"/>
    <w:rsid w:val="00F50A72"/>
    <w:rsid w:val="00F50CA3"/>
    <w:rsid w:val="00F50DFC"/>
    <w:rsid w:val="00F50FD5"/>
    <w:rsid w:val="00F51265"/>
    <w:rsid w:val="00F51428"/>
    <w:rsid w:val="00F51571"/>
    <w:rsid w:val="00F51624"/>
    <w:rsid w:val="00F5166A"/>
    <w:rsid w:val="00F5170C"/>
    <w:rsid w:val="00F5193E"/>
    <w:rsid w:val="00F519E9"/>
    <w:rsid w:val="00F51A08"/>
    <w:rsid w:val="00F51DF3"/>
    <w:rsid w:val="00F51F63"/>
    <w:rsid w:val="00F5250A"/>
    <w:rsid w:val="00F525A2"/>
    <w:rsid w:val="00F52664"/>
    <w:rsid w:val="00F526E0"/>
    <w:rsid w:val="00F529C2"/>
    <w:rsid w:val="00F52C64"/>
    <w:rsid w:val="00F53026"/>
    <w:rsid w:val="00F5340F"/>
    <w:rsid w:val="00F53680"/>
    <w:rsid w:val="00F53841"/>
    <w:rsid w:val="00F53CE6"/>
    <w:rsid w:val="00F53E61"/>
    <w:rsid w:val="00F54115"/>
    <w:rsid w:val="00F54122"/>
    <w:rsid w:val="00F5420A"/>
    <w:rsid w:val="00F54371"/>
    <w:rsid w:val="00F54374"/>
    <w:rsid w:val="00F5476D"/>
    <w:rsid w:val="00F552C7"/>
    <w:rsid w:val="00F55436"/>
    <w:rsid w:val="00F5556B"/>
    <w:rsid w:val="00F55829"/>
    <w:rsid w:val="00F5591A"/>
    <w:rsid w:val="00F55E36"/>
    <w:rsid w:val="00F55FAD"/>
    <w:rsid w:val="00F563B9"/>
    <w:rsid w:val="00F56411"/>
    <w:rsid w:val="00F56473"/>
    <w:rsid w:val="00F565BC"/>
    <w:rsid w:val="00F56BCE"/>
    <w:rsid w:val="00F56C3E"/>
    <w:rsid w:val="00F56D07"/>
    <w:rsid w:val="00F56EF1"/>
    <w:rsid w:val="00F56F9A"/>
    <w:rsid w:val="00F573BB"/>
    <w:rsid w:val="00F57558"/>
    <w:rsid w:val="00F577A5"/>
    <w:rsid w:val="00F5792F"/>
    <w:rsid w:val="00F57C4C"/>
    <w:rsid w:val="00F60076"/>
    <w:rsid w:val="00F601D5"/>
    <w:rsid w:val="00F601E9"/>
    <w:rsid w:val="00F6026C"/>
    <w:rsid w:val="00F6070C"/>
    <w:rsid w:val="00F607AE"/>
    <w:rsid w:val="00F60B30"/>
    <w:rsid w:val="00F60B5F"/>
    <w:rsid w:val="00F60BAE"/>
    <w:rsid w:val="00F611C0"/>
    <w:rsid w:val="00F612B5"/>
    <w:rsid w:val="00F614B8"/>
    <w:rsid w:val="00F615B0"/>
    <w:rsid w:val="00F61B52"/>
    <w:rsid w:val="00F61BFF"/>
    <w:rsid w:val="00F61E03"/>
    <w:rsid w:val="00F61E10"/>
    <w:rsid w:val="00F61F0F"/>
    <w:rsid w:val="00F6210A"/>
    <w:rsid w:val="00F6211E"/>
    <w:rsid w:val="00F62204"/>
    <w:rsid w:val="00F62213"/>
    <w:rsid w:val="00F62373"/>
    <w:rsid w:val="00F6240F"/>
    <w:rsid w:val="00F6252C"/>
    <w:rsid w:val="00F626A1"/>
    <w:rsid w:val="00F626F9"/>
    <w:rsid w:val="00F62810"/>
    <w:rsid w:val="00F6296B"/>
    <w:rsid w:val="00F62984"/>
    <w:rsid w:val="00F62BC1"/>
    <w:rsid w:val="00F62DEB"/>
    <w:rsid w:val="00F62F83"/>
    <w:rsid w:val="00F62FBC"/>
    <w:rsid w:val="00F6308C"/>
    <w:rsid w:val="00F6319F"/>
    <w:rsid w:val="00F631B5"/>
    <w:rsid w:val="00F631BB"/>
    <w:rsid w:val="00F631FD"/>
    <w:rsid w:val="00F6331E"/>
    <w:rsid w:val="00F635BF"/>
    <w:rsid w:val="00F63980"/>
    <w:rsid w:val="00F63AB9"/>
    <w:rsid w:val="00F63C0B"/>
    <w:rsid w:val="00F63C97"/>
    <w:rsid w:val="00F63EC1"/>
    <w:rsid w:val="00F63FCE"/>
    <w:rsid w:val="00F6427E"/>
    <w:rsid w:val="00F642ED"/>
    <w:rsid w:val="00F644C6"/>
    <w:rsid w:val="00F644F4"/>
    <w:rsid w:val="00F647DD"/>
    <w:rsid w:val="00F648E8"/>
    <w:rsid w:val="00F6493A"/>
    <w:rsid w:val="00F64992"/>
    <w:rsid w:val="00F64B95"/>
    <w:rsid w:val="00F64C21"/>
    <w:rsid w:val="00F64CFF"/>
    <w:rsid w:val="00F65137"/>
    <w:rsid w:val="00F653DC"/>
    <w:rsid w:val="00F653EA"/>
    <w:rsid w:val="00F65652"/>
    <w:rsid w:val="00F65685"/>
    <w:rsid w:val="00F6571F"/>
    <w:rsid w:val="00F65833"/>
    <w:rsid w:val="00F65A64"/>
    <w:rsid w:val="00F65B7C"/>
    <w:rsid w:val="00F65D14"/>
    <w:rsid w:val="00F65F4E"/>
    <w:rsid w:val="00F66475"/>
    <w:rsid w:val="00F669AE"/>
    <w:rsid w:val="00F66BBE"/>
    <w:rsid w:val="00F66C9C"/>
    <w:rsid w:val="00F66DF5"/>
    <w:rsid w:val="00F66EE0"/>
    <w:rsid w:val="00F66F04"/>
    <w:rsid w:val="00F67349"/>
    <w:rsid w:val="00F674F8"/>
    <w:rsid w:val="00F676C6"/>
    <w:rsid w:val="00F67791"/>
    <w:rsid w:val="00F67A19"/>
    <w:rsid w:val="00F67C49"/>
    <w:rsid w:val="00F67DFF"/>
    <w:rsid w:val="00F67F39"/>
    <w:rsid w:val="00F67F5A"/>
    <w:rsid w:val="00F70034"/>
    <w:rsid w:val="00F700C8"/>
    <w:rsid w:val="00F7024E"/>
    <w:rsid w:val="00F703F7"/>
    <w:rsid w:val="00F7072A"/>
    <w:rsid w:val="00F70763"/>
    <w:rsid w:val="00F70832"/>
    <w:rsid w:val="00F70884"/>
    <w:rsid w:val="00F7098A"/>
    <w:rsid w:val="00F70B59"/>
    <w:rsid w:val="00F710ED"/>
    <w:rsid w:val="00F711A3"/>
    <w:rsid w:val="00F714D2"/>
    <w:rsid w:val="00F717A4"/>
    <w:rsid w:val="00F71A28"/>
    <w:rsid w:val="00F71AD8"/>
    <w:rsid w:val="00F71CCB"/>
    <w:rsid w:val="00F71E90"/>
    <w:rsid w:val="00F7201D"/>
    <w:rsid w:val="00F720C0"/>
    <w:rsid w:val="00F7239D"/>
    <w:rsid w:val="00F724EF"/>
    <w:rsid w:val="00F72535"/>
    <w:rsid w:val="00F72DC9"/>
    <w:rsid w:val="00F72E05"/>
    <w:rsid w:val="00F72E47"/>
    <w:rsid w:val="00F7337B"/>
    <w:rsid w:val="00F733E6"/>
    <w:rsid w:val="00F734A7"/>
    <w:rsid w:val="00F7351A"/>
    <w:rsid w:val="00F73525"/>
    <w:rsid w:val="00F7362B"/>
    <w:rsid w:val="00F736CF"/>
    <w:rsid w:val="00F738F1"/>
    <w:rsid w:val="00F73C7C"/>
    <w:rsid w:val="00F73D3F"/>
    <w:rsid w:val="00F73E6B"/>
    <w:rsid w:val="00F73F5F"/>
    <w:rsid w:val="00F73F8E"/>
    <w:rsid w:val="00F74035"/>
    <w:rsid w:val="00F74243"/>
    <w:rsid w:val="00F74324"/>
    <w:rsid w:val="00F74348"/>
    <w:rsid w:val="00F744EA"/>
    <w:rsid w:val="00F7472C"/>
    <w:rsid w:val="00F74748"/>
    <w:rsid w:val="00F7485F"/>
    <w:rsid w:val="00F7490E"/>
    <w:rsid w:val="00F74BB8"/>
    <w:rsid w:val="00F74ECD"/>
    <w:rsid w:val="00F750CE"/>
    <w:rsid w:val="00F75182"/>
    <w:rsid w:val="00F754C5"/>
    <w:rsid w:val="00F756C7"/>
    <w:rsid w:val="00F75775"/>
    <w:rsid w:val="00F757CD"/>
    <w:rsid w:val="00F757DF"/>
    <w:rsid w:val="00F7582A"/>
    <w:rsid w:val="00F758A4"/>
    <w:rsid w:val="00F758C3"/>
    <w:rsid w:val="00F75D40"/>
    <w:rsid w:val="00F75F0C"/>
    <w:rsid w:val="00F75F6E"/>
    <w:rsid w:val="00F75F92"/>
    <w:rsid w:val="00F763C8"/>
    <w:rsid w:val="00F764A5"/>
    <w:rsid w:val="00F766E0"/>
    <w:rsid w:val="00F76899"/>
    <w:rsid w:val="00F768E0"/>
    <w:rsid w:val="00F76B46"/>
    <w:rsid w:val="00F76BA2"/>
    <w:rsid w:val="00F76C3F"/>
    <w:rsid w:val="00F76E8F"/>
    <w:rsid w:val="00F76EB9"/>
    <w:rsid w:val="00F76EFC"/>
    <w:rsid w:val="00F76FF6"/>
    <w:rsid w:val="00F7719C"/>
    <w:rsid w:val="00F77359"/>
    <w:rsid w:val="00F77603"/>
    <w:rsid w:val="00F7763A"/>
    <w:rsid w:val="00F77685"/>
    <w:rsid w:val="00F7786F"/>
    <w:rsid w:val="00F77AF7"/>
    <w:rsid w:val="00F77B66"/>
    <w:rsid w:val="00F77C5D"/>
    <w:rsid w:val="00F77CAA"/>
    <w:rsid w:val="00F77DD5"/>
    <w:rsid w:val="00F77FB4"/>
    <w:rsid w:val="00F801F1"/>
    <w:rsid w:val="00F80571"/>
    <w:rsid w:val="00F808D3"/>
    <w:rsid w:val="00F808F0"/>
    <w:rsid w:val="00F80B3B"/>
    <w:rsid w:val="00F80B53"/>
    <w:rsid w:val="00F80DA5"/>
    <w:rsid w:val="00F80E2B"/>
    <w:rsid w:val="00F81116"/>
    <w:rsid w:val="00F81191"/>
    <w:rsid w:val="00F812B3"/>
    <w:rsid w:val="00F813E7"/>
    <w:rsid w:val="00F814C0"/>
    <w:rsid w:val="00F814E0"/>
    <w:rsid w:val="00F8154E"/>
    <w:rsid w:val="00F81581"/>
    <w:rsid w:val="00F81A38"/>
    <w:rsid w:val="00F81AA2"/>
    <w:rsid w:val="00F81E1E"/>
    <w:rsid w:val="00F81EAB"/>
    <w:rsid w:val="00F81ED0"/>
    <w:rsid w:val="00F81ED6"/>
    <w:rsid w:val="00F81F56"/>
    <w:rsid w:val="00F820A2"/>
    <w:rsid w:val="00F82122"/>
    <w:rsid w:val="00F823F4"/>
    <w:rsid w:val="00F82418"/>
    <w:rsid w:val="00F8243E"/>
    <w:rsid w:val="00F82A52"/>
    <w:rsid w:val="00F82BE3"/>
    <w:rsid w:val="00F82D6F"/>
    <w:rsid w:val="00F82F27"/>
    <w:rsid w:val="00F82FD7"/>
    <w:rsid w:val="00F8314C"/>
    <w:rsid w:val="00F8318F"/>
    <w:rsid w:val="00F8347A"/>
    <w:rsid w:val="00F83515"/>
    <w:rsid w:val="00F83A90"/>
    <w:rsid w:val="00F83BC5"/>
    <w:rsid w:val="00F83D93"/>
    <w:rsid w:val="00F83EFE"/>
    <w:rsid w:val="00F83FCC"/>
    <w:rsid w:val="00F84209"/>
    <w:rsid w:val="00F84506"/>
    <w:rsid w:val="00F8452F"/>
    <w:rsid w:val="00F84636"/>
    <w:rsid w:val="00F84B58"/>
    <w:rsid w:val="00F84CE4"/>
    <w:rsid w:val="00F84E78"/>
    <w:rsid w:val="00F84F0E"/>
    <w:rsid w:val="00F84F47"/>
    <w:rsid w:val="00F84FD1"/>
    <w:rsid w:val="00F850D2"/>
    <w:rsid w:val="00F85150"/>
    <w:rsid w:val="00F85506"/>
    <w:rsid w:val="00F855C5"/>
    <w:rsid w:val="00F8561A"/>
    <w:rsid w:val="00F857E0"/>
    <w:rsid w:val="00F857E7"/>
    <w:rsid w:val="00F85919"/>
    <w:rsid w:val="00F85A10"/>
    <w:rsid w:val="00F85D95"/>
    <w:rsid w:val="00F85E4F"/>
    <w:rsid w:val="00F85E67"/>
    <w:rsid w:val="00F85F16"/>
    <w:rsid w:val="00F85FC2"/>
    <w:rsid w:val="00F86187"/>
    <w:rsid w:val="00F867E6"/>
    <w:rsid w:val="00F8686D"/>
    <w:rsid w:val="00F868E5"/>
    <w:rsid w:val="00F86CBB"/>
    <w:rsid w:val="00F86D82"/>
    <w:rsid w:val="00F86E8F"/>
    <w:rsid w:val="00F86E97"/>
    <w:rsid w:val="00F8717B"/>
    <w:rsid w:val="00F87275"/>
    <w:rsid w:val="00F872C7"/>
    <w:rsid w:val="00F877E8"/>
    <w:rsid w:val="00F8790A"/>
    <w:rsid w:val="00F879E0"/>
    <w:rsid w:val="00F87A77"/>
    <w:rsid w:val="00F87CDE"/>
    <w:rsid w:val="00F87E97"/>
    <w:rsid w:val="00F90027"/>
    <w:rsid w:val="00F900DA"/>
    <w:rsid w:val="00F90152"/>
    <w:rsid w:val="00F90183"/>
    <w:rsid w:val="00F9018A"/>
    <w:rsid w:val="00F90719"/>
    <w:rsid w:val="00F90741"/>
    <w:rsid w:val="00F9078A"/>
    <w:rsid w:val="00F90A07"/>
    <w:rsid w:val="00F90F8A"/>
    <w:rsid w:val="00F90FE9"/>
    <w:rsid w:val="00F91157"/>
    <w:rsid w:val="00F91295"/>
    <w:rsid w:val="00F912FF"/>
    <w:rsid w:val="00F9140E"/>
    <w:rsid w:val="00F91646"/>
    <w:rsid w:val="00F91B45"/>
    <w:rsid w:val="00F91D5E"/>
    <w:rsid w:val="00F91FB9"/>
    <w:rsid w:val="00F9221D"/>
    <w:rsid w:val="00F92300"/>
    <w:rsid w:val="00F92393"/>
    <w:rsid w:val="00F92586"/>
    <w:rsid w:val="00F925B4"/>
    <w:rsid w:val="00F9263F"/>
    <w:rsid w:val="00F926B8"/>
    <w:rsid w:val="00F928F0"/>
    <w:rsid w:val="00F92CAE"/>
    <w:rsid w:val="00F92D3E"/>
    <w:rsid w:val="00F92EC0"/>
    <w:rsid w:val="00F93009"/>
    <w:rsid w:val="00F93026"/>
    <w:rsid w:val="00F930F7"/>
    <w:rsid w:val="00F933DA"/>
    <w:rsid w:val="00F93854"/>
    <w:rsid w:val="00F939F8"/>
    <w:rsid w:val="00F93A7C"/>
    <w:rsid w:val="00F93DFB"/>
    <w:rsid w:val="00F93E13"/>
    <w:rsid w:val="00F94164"/>
    <w:rsid w:val="00F94172"/>
    <w:rsid w:val="00F941A5"/>
    <w:rsid w:val="00F942A9"/>
    <w:rsid w:val="00F9441D"/>
    <w:rsid w:val="00F9484B"/>
    <w:rsid w:val="00F94B5B"/>
    <w:rsid w:val="00F94E59"/>
    <w:rsid w:val="00F94FA6"/>
    <w:rsid w:val="00F952FC"/>
    <w:rsid w:val="00F953C1"/>
    <w:rsid w:val="00F956BD"/>
    <w:rsid w:val="00F956FE"/>
    <w:rsid w:val="00F95729"/>
    <w:rsid w:val="00F957DB"/>
    <w:rsid w:val="00F9583E"/>
    <w:rsid w:val="00F958A8"/>
    <w:rsid w:val="00F95CF2"/>
    <w:rsid w:val="00F95DB3"/>
    <w:rsid w:val="00F95E79"/>
    <w:rsid w:val="00F95ED0"/>
    <w:rsid w:val="00F95F75"/>
    <w:rsid w:val="00F96039"/>
    <w:rsid w:val="00F9625D"/>
    <w:rsid w:val="00F962A2"/>
    <w:rsid w:val="00F9632B"/>
    <w:rsid w:val="00F963F2"/>
    <w:rsid w:val="00F964C7"/>
    <w:rsid w:val="00F9661A"/>
    <w:rsid w:val="00F9695A"/>
    <w:rsid w:val="00F96B46"/>
    <w:rsid w:val="00F96F5F"/>
    <w:rsid w:val="00F96FC6"/>
    <w:rsid w:val="00F96FCD"/>
    <w:rsid w:val="00F97060"/>
    <w:rsid w:val="00F97098"/>
    <w:rsid w:val="00F97564"/>
    <w:rsid w:val="00F975FD"/>
    <w:rsid w:val="00F9770F"/>
    <w:rsid w:val="00F977DB"/>
    <w:rsid w:val="00F978B3"/>
    <w:rsid w:val="00F9790E"/>
    <w:rsid w:val="00F97C2A"/>
    <w:rsid w:val="00F97D10"/>
    <w:rsid w:val="00F97D5C"/>
    <w:rsid w:val="00F97D69"/>
    <w:rsid w:val="00F97DC8"/>
    <w:rsid w:val="00F97E12"/>
    <w:rsid w:val="00F97E43"/>
    <w:rsid w:val="00FA0044"/>
    <w:rsid w:val="00FA015F"/>
    <w:rsid w:val="00FA03A1"/>
    <w:rsid w:val="00FA04CE"/>
    <w:rsid w:val="00FA0539"/>
    <w:rsid w:val="00FA093C"/>
    <w:rsid w:val="00FA0B46"/>
    <w:rsid w:val="00FA0BA3"/>
    <w:rsid w:val="00FA0D1E"/>
    <w:rsid w:val="00FA0D39"/>
    <w:rsid w:val="00FA0F18"/>
    <w:rsid w:val="00FA0F6A"/>
    <w:rsid w:val="00FA1034"/>
    <w:rsid w:val="00FA1102"/>
    <w:rsid w:val="00FA131B"/>
    <w:rsid w:val="00FA1712"/>
    <w:rsid w:val="00FA1794"/>
    <w:rsid w:val="00FA1CED"/>
    <w:rsid w:val="00FA1D6C"/>
    <w:rsid w:val="00FA216B"/>
    <w:rsid w:val="00FA2258"/>
    <w:rsid w:val="00FA22DF"/>
    <w:rsid w:val="00FA239A"/>
    <w:rsid w:val="00FA23BC"/>
    <w:rsid w:val="00FA24A9"/>
    <w:rsid w:val="00FA25A7"/>
    <w:rsid w:val="00FA26FD"/>
    <w:rsid w:val="00FA2743"/>
    <w:rsid w:val="00FA2754"/>
    <w:rsid w:val="00FA2C21"/>
    <w:rsid w:val="00FA2D15"/>
    <w:rsid w:val="00FA2F05"/>
    <w:rsid w:val="00FA2FA9"/>
    <w:rsid w:val="00FA30C5"/>
    <w:rsid w:val="00FA312E"/>
    <w:rsid w:val="00FA3163"/>
    <w:rsid w:val="00FA34C7"/>
    <w:rsid w:val="00FA3536"/>
    <w:rsid w:val="00FA35AA"/>
    <w:rsid w:val="00FA38E5"/>
    <w:rsid w:val="00FA3A32"/>
    <w:rsid w:val="00FA3AD2"/>
    <w:rsid w:val="00FA3B89"/>
    <w:rsid w:val="00FA3FCB"/>
    <w:rsid w:val="00FA406C"/>
    <w:rsid w:val="00FA4092"/>
    <w:rsid w:val="00FA44F9"/>
    <w:rsid w:val="00FA46D9"/>
    <w:rsid w:val="00FA4770"/>
    <w:rsid w:val="00FA49B1"/>
    <w:rsid w:val="00FA4A32"/>
    <w:rsid w:val="00FA4FEB"/>
    <w:rsid w:val="00FA526B"/>
    <w:rsid w:val="00FA5337"/>
    <w:rsid w:val="00FA5629"/>
    <w:rsid w:val="00FA5645"/>
    <w:rsid w:val="00FA575E"/>
    <w:rsid w:val="00FA5897"/>
    <w:rsid w:val="00FA59FA"/>
    <w:rsid w:val="00FA5ABA"/>
    <w:rsid w:val="00FA5AC8"/>
    <w:rsid w:val="00FA5B7C"/>
    <w:rsid w:val="00FA5BB2"/>
    <w:rsid w:val="00FA5BDC"/>
    <w:rsid w:val="00FA5CD5"/>
    <w:rsid w:val="00FA5F6D"/>
    <w:rsid w:val="00FA63BA"/>
    <w:rsid w:val="00FA6450"/>
    <w:rsid w:val="00FA657D"/>
    <w:rsid w:val="00FA67F0"/>
    <w:rsid w:val="00FA68FC"/>
    <w:rsid w:val="00FA69DB"/>
    <w:rsid w:val="00FA6BAB"/>
    <w:rsid w:val="00FA6E31"/>
    <w:rsid w:val="00FA6E47"/>
    <w:rsid w:val="00FA6EC3"/>
    <w:rsid w:val="00FA70AE"/>
    <w:rsid w:val="00FA7245"/>
    <w:rsid w:val="00FA74D6"/>
    <w:rsid w:val="00FA75E1"/>
    <w:rsid w:val="00FA7885"/>
    <w:rsid w:val="00FA7CB7"/>
    <w:rsid w:val="00FA7D14"/>
    <w:rsid w:val="00FB00E9"/>
    <w:rsid w:val="00FB0306"/>
    <w:rsid w:val="00FB0427"/>
    <w:rsid w:val="00FB088B"/>
    <w:rsid w:val="00FB0B96"/>
    <w:rsid w:val="00FB0F1F"/>
    <w:rsid w:val="00FB0F6F"/>
    <w:rsid w:val="00FB10C5"/>
    <w:rsid w:val="00FB140C"/>
    <w:rsid w:val="00FB155A"/>
    <w:rsid w:val="00FB15B8"/>
    <w:rsid w:val="00FB17E0"/>
    <w:rsid w:val="00FB1848"/>
    <w:rsid w:val="00FB18BA"/>
    <w:rsid w:val="00FB19ED"/>
    <w:rsid w:val="00FB1CEA"/>
    <w:rsid w:val="00FB1D6F"/>
    <w:rsid w:val="00FB1F08"/>
    <w:rsid w:val="00FB1F2E"/>
    <w:rsid w:val="00FB1F80"/>
    <w:rsid w:val="00FB2182"/>
    <w:rsid w:val="00FB2277"/>
    <w:rsid w:val="00FB23C2"/>
    <w:rsid w:val="00FB25AD"/>
    <w:rsid w:val="00FB263A"/>
    <w:rsid w:val="00FB2643"/>
    <w:rsid w:val="00FB271D"/>
    <w:rsid w:val="00FB291B"/>
    <w:rsid w:val="00FB2A8D"/>
    <w:rsid w:val="00FB2C8E"/>
    <w:rsid w:val="00FB2E0B"/>
    <w:rsid w:val="00FB3008"/>
    <w:rsid w:val="00FB3055"/>
    <w:rsid w:val="00FB3274"/>
    <w:rsid w:val="00FB3302"/>
    <w:rsid w:val="00FB334A"/>
    <w:rsid w:val="00FB3363"/>
    <w:rsid w:val="00FB3554"/>
    <w:rsid w:val="00FB395D"/>
    <w:rsid w:val="00FB3A32"/>
    <w:rsid w:val="00FB3A91"/>
    <w:rsid w:val="00FB3AE1"/>
    <w:rsid w:val="00FB3C45"/>
    <w:rsid w:val="00FB3CCB"/>
    <w:rsid w:val="00FB3D44"/>
    <w:rsid w:val="00FB4067"/>
    <w:rsid w:val="00FB40B6"/>
    <w:rsid w:val="00FB4325"/>
    <w:rsid w:val="00FB4402"/>
    <w:rsid w:val="00FB4655"/>
    <w:rsid w:val="00FB484C"/>
    <w:rsid w:val="00FB48F5"/>
    <w:rsid w:val="00FB4986"/>
    <w:rsid w:val="00FB4EB3"/>
    <w:rsid w:val="00FB5083"/>
    <w:rsid w:val="00FB536F"/>
    <w:rsid w:val="00FB5674"/>
    <w:rsid w:val="00FB587B"/>
    <w:rsid w:val="00FB5A58"/>
    <w:rsid w:val="00FB5B30"/>
    <w:rsid w:val="00FB5B55"/>
    <w:rsid w:val="00FB5BF7"/>
    <w:rsid w:val="00FB5D73"/>
    <w:rsid w:val="00FB5DD2"/>
    <w:rsid w:val="00FB6130"/>
    <w:rsid w:val="00FB6145"/>
    <w:rsid w:val="00FB65AF"/>
    <w:rsid w:val="00FB65C4"/>
    <w:rsid w:val="00FB6606"/>
    <w:rsid w:val="00FB666B"/>
    <w:rsid w:val="00FB66F0"/>
    <w:rsid w:val="00FB6765"/>
    <w:rsid w:val="00FB67E6"/>
    <w:rsid w:val="00FB6966"/>
    <w:rsid w:val="00FB6F1B"/>
    <w:rsid w:val="00FB7028"/>
    <w:rsid w:val="00FB71CE"/>
    <w:rsid w:val="00FB71FC"/>
    <w:rsid w:val="00FB72C4"/>
    <w:rsid w:val="00FB74EB"/>
    <w:rsid w:val="00FB7B92"/>
    <w:rsid w:val="00FB7C36"/>
    <w:rsid w:val="00FB7CB3"/>
    <w:rsid w:val="00FB7E00"/>
    <w:rsid w:val="00FB7EEA"/>
    <w:rsid w:val="00FB7F82"/>
    <w:rsid w:val="00FC0107"/>
    <w:rsid w:val="00FC01CF"/>
    <w:rsid w:val="00FC02E3"/>
    <w:rsid w:val="00FC039C"/>
    <w:rsid w:val="00FC0495"/>
    <w:rsid w:val="00FC0701"/>
    <w:rsid w:val="00FC0738"/>
    <w:rsid w:val="00FC07BB"/>
    <w:rsid w:val="00FC07CD"/>
    <w:rsid w:val="00FC0812"/>
    <w:rsid w:val="00FC082D"/>
    <w:rsid w:val="00FC08D3"/>
    <w:rsid w:val="00FC09AE"/>
    <w:rsid w:val="00FC0B39"/>
    <w:rsid w:val="00FC0BB9"/>
    <w:rsid w:val="00FC0D82"/>
    <w:rsid w:val="00FC0FCA"/>
    <w:rsid w:val="00FC154B"/>
    <w:rsid w:val="00FC1575"/>
    <w:rsid w:val="00FC16DF"/>
    <w:rsid w:val="00FC1759"/>
    <w:rsid w:val="00FC1A35"/>
    <w:rsid w:val="00FC1DA4"/>
    <w:rsid w:val="00FC2033"/>
    <w:rsid w:val="00FC21AD"/>
    <w:rsid w:val="00FC28E1"/>
    <w:rsid w:val="00FC2A45"/>
    <w:rsid w:val="00FC2B3A"/>
    <w:rsid w:val="00FC2C64"/>
    <w:rsid w:val="00FC2E79"/>
    <w:rsid w:val="00FC3114"/>
    <w:rsid w:val="00FC3162"/>
    <w:rsid w:val="00FC31D7"/>
    <w:rsid w:val="00FC32BA"/>
    <w:rsid w:val="00FC33F2"/>
    <w:rsid w:val="00FC348A"/>
    <w:rsid w:val="00FC358B"/>
    <w:rsid w:val="00FC3656"/>
    <w:rsid w:val="00FC36B4"/>
    <w:rsid w:val="00FC374E"/>
    <w:rsid w:val="00FC38B4"/>
    <w:rsid w:val="00FC3C93"/>
    <w:rsid w:val="00FC41C9"/>
    <w:rsid w:val="00FC428E"/>
    <w:rsid w:val="00FC44C9"/>
    <w:rsid w:val="00FC484D"/>
    <w:rsid w:val="00FC48CE"/>
    <w:rsid w:val="00FC49D7"/>
    <w:rsid w:val="00FC4A72"/>
    <w:rsid w:val="00FC5259"/>
    <w:rsid w:val="00FC52CA"/>
    <w:rsid w:val="00FC52EB"/>
    <w:rsid w:val="00FC53E3"/>
    <w:rsid w:val="00FC53E6"/>
    <w:rsid w:val="00FC577E"/>
    <w:rsid w:val="00FC58C3"/>
    <w:rsid w:val="00FC59A8"/>
    <w:rsid w:val="00FC5BFA"/>
    <w:rsid w:val="00FC5C22"/>
    <w:rsid w:val="00FC5C94"/>
    <w:rsid w:val="00FC5E1B"/>
    <w:rsid w:val="00FC606B"/>
    <w:rsid w:val="00FC608F"/>
    <w:rsid w:val="00FC629C"/>
    <w:rsid w:val="00FC63EF"/>
    <w:rsid w:val="00FC66A7"/>
    <w:rsid w:val="00FC67FB"/>
    <w:rsid w:val="00FC680C"/>
    <w:rsid w:val="00FC6826"/>
    <w:rsid w:val="00FC6C06"/>
    <w:rsid w:val="00FC6C10"/>
    <w:rsid w:val="00FC71E3"/>
    <w:rsid w:val="00FC748B"/>
    <w:rsid w:val="00FC7542"/>
    <w:rsid w:val="00FC78B4"/>
    <w:rsid w:val="00FC7918"/>
    <w:rsid w:val="00FC7A3C"/>
    <w:rsid w:val="00FC7AAA"/>
    <w:rsid w:val="00FC7B5C"/>
    <w:rsid w:val="00FD00EB"/>
    <w:rsid w:val="00FD0320"/>
    <w:rsid w:val="00FD0395"/>
    <w:rsid w:val="00FD04C3"/>
    <w:rsid w:val="00FD07AB"/>
    <w:rsid w:val="00FD09FC"/>
    <w:rsid w:val="00FD0A66"/>
    <w:rsid w:val="00FD1013"/>
    <w:rsid w:val="00FD1034"/>
    <w:rsid w:val="00FD1392"/>
    <w:rsid w:val="00FD19E7"/>
    <w:rsid w:val="00FD1F59"/>
    <w:rsid w:val="00FD208C"/>
    <w:rsid w:val="00FD2105"/>
    <w:rsid w:val="00FD2380"/>
    <w:rsid w:val="00FD24F6"/>
    <w:rsid w:val="00FD259A"/>
    <w:rsid w:val="00FD25E0"/>
    <w:rsid w:val="00FD263C"/>
    <w:rsid w:val="00FD2668"/>
    <w:rsid w:val="00FD28AB"/>
    <w:rsid w:val="00FD2A63"/>
    <w:rsid w:val="00FD2B05"/>
    <w:rsid w:val="00FD2CDF"/>
    <w:rsid w:val="00FD2F81"/>
    <w:rsid w:val="00FD304C"/>
    <w:rsid w:val="00FD3948"/>
    <w:rsid w:val="00FD3989"/>
    <w:rsid w:val="00FD3A87"/>
    <w:rsid w:val="00FD3F72"/>
    <w:rsid w:val="00FD3FEF"/>
    <w:rsid w:val="00FD40D1"/>
    <w:rsid w:val="00FD4347"/>
    <w:rsid w:val="00FD44D6"/>
    <w:rsid w:val="00FD453E"/>
    <w:rsid w:val="00FD457E"/>
    <w:rsid w:val="00FD45D0"/>
    <w:rsid w:val="00FD46F5"/>
    <w:rsid w:val="00FD474F"/>
    <w:rsid w:val="00FD48C8"/>
    <w:rsid w:val="00FD4A3D"/>
    <w:rsid w:val="00FD4B6F"/>
    <w:rsid w:val="00FD4CB7"/>
    <w:rsid w:val="00FD4EBB"/>
    <w:rsid w:val="00FD4F8D"/>
    <w:rsid w:val="00FD51F4"/>
    <w:rsid w:val="00FD523E"/>
    <w:rsid w:val="00FD53B6"/>
    <w:rsid w:val="00FD55D7"/>
    <w:rsid w:val="00FD56F8"/>
    <w:rsid w:val="00FD5997"/>
    <w:rsid w:val="00FD59DD"/>
    <w:rsid w:val="00FD5A02"/>
    <w:rsid w:val="00FD5A2E"/>
    <w:rsid w:val="00FD5BF7"/>
    <w:rsid w:val="00FD5C00"/>
    <w:rsid w:val="00FD5CCC"/>
    <w:rsid w:val="00FD5EF3"/>
    <w:rsid w:val="00FD5FE9"/>
    <w:rsid w:val="00FD62BB"/>
    <w:rsid w:val="00FD6327"/>
    <w:rsid w:val="00FD63F0"/>
    <w:rsid w:val="00FD64D5"/>
    <w:rsid w:val="00FD69FA"/>
    <w:rsid w:val="00FD6A5E"/>
    <w:rsid w:val="00FD6AE8"/>
    <w:rsid w:val="00FD6ED8"/>
    <w:rsid w:val="00FD6F9F"/>
    <w:rsid w:val="00FD700C"/>
    <w:rsid w:val="00FD73C6"/>
    <w:rsid w:val="00FD759D"/>
    <w:rsid w:val="00FD7756"/>
    <w:rsid w:val="00FD7855"/>
    <w:rsid w:val="00FD7998"/>
    <w:rsid w:val="00FD7C70"/>
    <w:rsid w:val="00FD7CFD"/>
    <w:rsid w:val="00FD7E2A"/>
    <w:rsid w:val="00FD7ED5"/>
    <w:rsid w:val="00FE0208"/>
    <w:rsid w:val="00FE0228"/>
    <w:rsid w:val="00FE0381"/>
    <w:rsid w:val="00FE1114"/>
    <w:rsid w:val="00FE1288"/>
    <w:rsid w:val="00FE1467"/>
    <w:rsid w:val="00FE1518"/>
    <w:rsid w:val="00FE16A9"/>
    <w:rsid w:val="00FE1803"/>
    <w:rsid w:val="00FE1812"/>
    <w:rsid w:val="00FE1898"/>
    <w:rsid w:val="00FE1D2B"/>
    <w:rsid w:val="00FE26A5"/>
    <w:rsid w:val="00FE274C"/>
    <w:rsid w:val="00FE2BC6"/>
    <w:rsid w:val="00FE2DA9"/>
    <w:rsid w:val="00FE302A"/>
    <w:rsid w:val="00FE30D5"/>
    <w:rsid w:val="00FE327A"/>
    <w:rsid w:val="00FE328C"/>
    <w:rsid w:val="00FE3407"/>
    <w:rsid w:val="00FE34FC"/>
    <w:rsid w:val="00FE35D7"/>
    <w:rsid w:val="00FE378F"/>
    <w:rsid w:val="00FE37E8"/>
    <w:rsid w:val="00FE3BA7"/>
    <w:rsid w:val="00FE3BFE"/>
    <w:rsid w:val="00FE3CAC"/>
    <w:rsid w:val="00FE3DFC"/>
    <w:rsid w:val="00FE4139"/>
    <w:rsid w:val="00FE41AE"/>
    <w:rsid w:val="00FE42DC"/>
    <w:rsid w:val="00FE479C"/>
    <w:rsid w:val="00FE47FC"/>
    <w:rsid w:val="00FE482A"/>
    <w:rsid w:val="00FE489D"/>
    <w:rsid w:val="00FE4996"/>
    <w:rsid w:val="00FE4ABA"/>
    <w:rsid w:val="00FE4BB6"/>
    <w:rsid w:val="00FE4BB9"/>
    <w:rsid w:val="00FE4BD2"/>
    <w:rsid w:val="00FE4BE3"/>
    <w:rsid w:val="00FE4E0A"/>
    <w:rsid w:val="00FE4F87"/>
    <w:rsid w:val="00FE5051"/>
    <w:rsid w:val="00FE522F"/>
    <w:rsid w:val="00FE5358"/>
    <w:rsid w:val="00FE54AD"/>
    <w:rsid w:val="00FE5541"/>
    <w:rsid w:val="00FE55EE"/>
    <w:rsid w:val="00FE56C2"/>
    <w:rsid w:val="00FE57DD"/>
    <w:rsid w:val="00FE5873"/>
    <w:rsid w:val="00FE5953"/>
    <w:rsid w:val="00FE5C7B"/>
    <w:rsid w:val="00FE5DD2"/>
    <w:rsid w:val="00FE5E7D"/>
    <w:rsid w:val="00FE6052"/>
    <w:rsid w:val="00FE6202"/>
    <w:rsid w:val="00FE6413"/>
    <w:rsid w:val="00FE64BC"/>
    <w:rsid w:val="00FE65CD"/>
    <w:rsid w:val="00FE65DE"/>
    <w:rsid w:val="00FE679C"/>
    <w:rsid w:val="00FE67BC"/>
    <w:rsid w:val="00FE683D"/>
    <w:rsid w:val="00FE6A9C"/>
    <w:rsid w:val="00FE6DA5"/>
    <w:rsid w:val="00FE6E9C"/>
    <w:rsid w:val="00FE703C"/>
    <w:rsid w:val="00FE732C"/>
    <w:rsid w:val="00FE73BD"/>
    <w:rsid w:val="00FE75AB"/>
    <w:rsid w:val="00FE7774"/>
    <w:rsid w:val="00FE77A9"/>
    <w:rsid w:val="00FE78B7"/>
    <w:rsid w:val="00FE7A02"/>
    <w:rsid w:val="00FE7A65"/>
    <w:rsid w:val="00FE7A88"/>
    <w:rsid w:val="00FE7C08"/>
    <w:rsid w:val="00FF0248"/>
    <w:rsid w:val="00FF02BE"/>
    <w:rsid w:val="00FF04A9"/>
    <w:rsid w:val="00FF08E1"/>
    <w:rsid w:val="00FF0A38"/>
    <w:rsid w:val="00FF0AA6"/>
    <w:rsid w:val="00FF0B49"/>
    <w:rsid w:val="00FF0C17"/>
    <w:rsid w:val="00FF0CB0"/>
    <w:rsid w:val="00FF0E20"/>
    <w:rsid w:val="00FF0F45"/>
    <w:rsid w:val="00FF1031"/>
    <w:rsid w:val="00FF1071"/>
    <w:rsid w:val="00FF1073"/>
    <w:rsid w:val="00FF1075"/>
    <w:rsid w:val="00FF1251"/>
    <w:rsid w:val="00FF135B"/>
    <w:rsid w:val="00FF1390"/>
    <w:rsid w:val="00FF14CA"/>
    <w:rsid w:val="00FF16C8"/>
    <w:rsid w:val="00FF1C24"/>
    <w:rsid w:val="00FF1CB8"/>
    <w:rsid w:val="00FF1F4A"/>
    <w:rsid w:val="00FF1F4F"/>
    <w:rsid w:val="00FF2351"/>
    <w:rsid w:val="00FF2480"/>
    <w:rsid w:val="00FF2A03"/>
    <w:rsid w:val="00FF2C4B"/>
    <w:rsid w:val="00FF3573"/>
    <w:rsid w:val="00FF35A4"/>
    <w:rsid w:val="00FF36A3"/>
    <w:rsid w:val="00FF3A11"/>
    <w:rsid w:val="00FF3B90"/>
    <w:rsid w:val="00FF3D5D"/>
    <w:rsid w:val="00FF3D8D"/>
    <w:rsid w:val="00FF3DA5"/>
    <w:rsid w:val="00FF3FD6"/>
    <w:rsid w:val="00FF4344"/>
    <w:rsid w:val="00FF47BA"/>
    <w:rsid w:val="00FF47EC"/>
    <w:rsid w:val="00FF496B"/>
    <w:rsid w:val="00FF49A3"/>
    <w:rsid w:val="00FF49DC"/>
    <w:rsid w:val="00FF4B11"/>
    <w:rsid w:val="00FF4D59"/>
    <w:rsid w:val="00FF4D6E"/>
    <w:rsid w:val="00FF4D71"/>
    <w:rsid w:val="00FF4FC8"/>
    <w:rsid w:val="00FF5061"/>
    <w:rsid w:val="00FF5487"/>
    <w:rsid w:val="00FF54BE"/>
    <w:rsid w:val="00FF577A"/>
    <w:rsid w:val="00FF583A"/>
    <w:rsid w:val="00FF5B3B"/>
    <w:rsid w:val="00FF5C65"/>
    <w:rsid w:val="00FF5CB2"/>
    <w:rsid w:val="00FF5FD6"/>
    <w:rsid w:val="00FF6177"/>
    <w:rsid w:val="00FF6296"/>
    <w:rsid w:val="00FF64A1"/>
    <w:rsid w:val="00FF70ED"/>
    <w:rsid w:val="00FF715B"/>
    <w:rsid w:val="00FF7304"/>
    <w:rsid w:val="00FF73B8"/>
    <w:rsid w:val="00FF74FC"/>
    <w:rsid w:val="00FF758C"/>
    <w:rsid w:val="00FF758D"/>
    <w:rsid w:val="00FF7DA7"/>
    <w:rsid w:val="00FF7E91"/>
    <w:rsid w:val="00FF7F83"/>
    <w:rsid w:val="0131F3C5"/>
    <w:rsid w:val="01AEE30B"/>
    <w:rsid w:val="01E6045E"/>
    <w:rsid w:val="01F2C551"/>
    <w:rsid w:val="0243FB4D"/>
    <w:rsid w:val="025409E2"/>
    <w:rsid w:val="02573C26"/>
    <w:rsid w:val="026A8D81"/>
    <w:rsid w:val="026D87D0"/>
    <w:rsid w:val="026DAB4B"/>
    <w:rsid w:val="0296BC6E"/>
    <w:rsid w:val="029739BE"/>
    <w:rsid w:val="02B576D1"/>
    <w:rsid w:val="02BEA9BB"/>
    <w:rsid w:val="0320F281"/>
    <w:rsid w:val="0354B3C5"/>
    <w:rsid w:val="03A29219"/>
    <w:rsid w:val="041C575F"/>
    <w:rsid w:val="0425BBDE"/>
    <w:rsid w:val="0444CC48"/>
    <w:rsid w:val="04D9A73B"/>
    <w:rsid w:val="04DD5278"/>
    <w:rsid w:val="04FF0E4F"/>
    <w:rsid w:val="0527E448"/>
    <w:rsid w:val="05503C67"/>
    <w:rsid w:val="0583B0D8"/>
    <w:rsid w:val="05DBA12B"/>
    <w:rsid w:val="0608754A"/>
    <w:rsid w:val="063B6E41"/>
    <w:rsid w:val="0645EF64"/>
    <w:rsid w:val="0650FD6C"/>
    <w:rsid w:val="06778BE9"/>
    <w:rsid w:val="067A49C2"/>
    <w:rsid w:val="06BC0335"/>
    <w:rsid w:val="06C0608C"/>
    <w:rsid w:val="06CD01CD"/>
    <w:rsid w:val="06D09F29"/>
    <w:rsid w:val="06EBC876"/>
    <w:rsid w:val="071F7476"/>
    <w:rsid w:val="076D618C"/>
    <w:rsid w:val="0791309D"/>
    <w:rsid w:val="08030727"/>
    <w:rsid w:val="080494A1"/>
    <w:rsid w:val="0856155B"/>
    <w:rsid w:val="08A08BB2"/>
    <w:rsid w:val="090576F8"/>
    <w:rsid w:val="09131A0A"/>
    <w:rsid w:val="094751AD"/>
    <w:rsid w:val="0A20A261"/>
    <w:rsid w:val="0A56DA3F"/>
    <w:rsid w:val="0A5E823E"/>
    <w:rsid w:val="0A663D29"/>
    <w:rsid w:val="0AEEEFE8"/>
    <w:rsid w:val="0B1E5497"/>
    <w:rsid w:val="0B49F866"/>
    <w:rsid w:val="0B4C7F97"/>
    <w:rsid w:val="0B5220DE"/>
    <w:rsid w:val="0BA8A2AA"/>
    <w:rsid w:val="0BEBEC99"/>
    <w:rsid w:val="0C036959"/>
    <w:rsid w:val="0C27D3B9"/>
    <w:rsid w:val="0C36F7D2"/>
    <w:rsid w:val="0C6720B9"/>
    <w:rsid w:val="0C75177D"/>
    <w:rsid w:val="0CD09099"/>
    <w:rsid w:val="0CE40316"/>
    <w:rsid w:val="0CE61B1A"/>
    <w:rsid w:val="0D025AE8"/>
    <w:rsid w:val="0DAF6A59"/>
    <w:rsid w:val="0E4437F1"/>
    <w:rsid w:val="0EB0F599"/>
    <w:rsid w:val="0EB28B7F"/>
    <w:rsid w:val="0EBD8D7D"/>
    <w:rsid w:val="0F1E5EAB"/>
    <w:rsid w:val="0F1EA9A7"/>
    <w:rsid w:val="0F4C3EE6"/>
    <w:rsid w:val="0F57405F"/>
    <w:rsid w:val="0F66BBE0"/>
    <w:rsid w:val="0F6B8AB2"/>
    <w:rsid w:val="10084DF1"/>
    <w:rsid w:val="1066CBD5"/>
    <w:rsid w:val="1069FA69"/>
    <w:rsid w:val="10E25250"/>
    <w:rsid w:val="10FC2B6B"/>
    <w:rsid w:val="1111ED7A"/>
    <w:rsid w:val="11187B6E"/>
    <w:rsid w:val="111DB361"/>
    <w:rsid w:val="112F1BE5"/>
    <w:rsid w:val="113AF2D1"/>
    <w:rsid w:val="1143E881"/>
    <w:rsid w:val="11499800"/>
    <w:rsid w:val="1168EDDB"/>
    <w:rsid w:val="118D12B7"/>
    <w:rsid w:val="11A96D4F"/>
    <w:rsid w:val="11DDA4C5"/>
    <w:rsid w:val="1249E7B2"/>
    <w:rsid w:val="1270026B"/>
    <w:rsid w:val="1270FC06"/>
    <w:rsid w:val="12748F14"/>
    <w:rsid w:val="1278658C"/>
    <w:rsid w:val="12933C97"/>
    <w:rsid w:val="12A5F5E8"/>
    <w:rsid w:val="131B74CA"/>
    <w:rsid w:val="1379806E"/>
    <w:rsid w:val="137E5DD9"/>
    <w:rsid w:val="13D99EB2"/>
    <w:rsid w:val="13F7ACF1"/>
    <w:rsid w:val="13FE299D"/>
    <w:rsid w:val="1490D185"/>
    <w:rsid w:val="1499BFA7"/>
    <w:rsid w:val="14C772A4"/>
    <w:rsid w:val="14EDBA52"/>
    <w:rsid w:val="155B0D47"/>
    <w:rsid w:val="158BD949"/>
    <w:rsid w:val="159ED37F"/>
    <w:rsid w:val="15EE1D69"/>
    <w:rsid w:val="161AE4EB"/>
    <w:rsid w:val="1633844A"/>
    <w:rsid w:val="16876F6A"/>
    <w:rsid w:val="168EF144"/>
    <w:rsid w:val="16A2D974"/>
    <w:rsid w:val="16A95895"/>
    <w:rsid w:val="16AA525C"/>
    <w:rsid w:val="173E39F1"/>
    <w:rsid w:val="1743456B"/>
    <w:rsid w:val="180441E8"/>
    <w:rsid w:val="18ACA399"/>
    <w:rsid w:val="18CAB4B8"/>
    <w:rsid w:val="18CE70FC"/>
    <w:rsid w:val="18E0EE60"/>
    <w:rsid w:val="195A3BA2"/>
    <w:rsid w:val="195B142E"/>
    <w:rsid w:val="1985500A"/>
    <w:rsid w:val="19E44777"/>
    <w:rsid w:val="19E9DBD8"/>
    <w:rsid w:val="19FD3380"/>
    <w:rsid w:val="1A25F14D"/>
    <w:rsid w:val="1A2EDA59"/>
    <w:rsid w:val="1A5141A9"/>
    <w:rsid w:val="1AEF1B87"/>
    <w:rsid w:val="1B4E3E33"/>
    <w:rsid w:val="1B6DCC49"/>
    <w:rsid w:val="1B783955"/>
    <w:rsid w:val="1BBBA2FB"/>
    <w:rsid w:val="1BE8101C"/>
    <w:rsid w:val="1C14F253"/>
    <w:rsid w:val="1C9F391C"/>
    <w:rsid w:val="1D02AD3D"/>
    <w:rsid w:val="1D1C2F44"/>
    <w:rsid w:val="1D2AEF4B"/>
    <w:rsid w:val="1D3C0970"/>
    <w:rsid w:val="1D3D292C"/>
    <w:rsid w:val="1D940590"/>
    <w:rsid w:val="1D9891BB"/>
    <w:rsid w:val="1DB0C837"/>
    <w:rsid w:val="1DD1E225"/>
    <w:rsid w:val="1DD62F35"/>
    <w:rsid w:val="1E191D76"/>
    <w:rsid w:val="1E2CB8A9"/>
    <w:rsid w:val="1E5D14D2"/>
    <w:rsid w:val="1E76AF3C"/>
    <w:rsid w:val="1E920EC9"/>
    <w:rsid w:val="1E94B3DF"/>
    <w:rsid w:val="1EB1F346"/>
    <w:rsid w:val="1EBB2C5B"/>
    <w:rsid w:val="1F0052D0"/>
    <w:rsid w:val="1F027DC3"/>
    <w:rsid w:val="1F2EB68C"/>
    <w:rsid w:val="1F4EE9F4"/>
    <w:rsid w:val="1F7866EC"/>
    <w:rsid w:val="1F989430"/>
    <w:rsid w:val="1FA67DAA"/>
    <w:rsid w:val="1FA75BB0"/>
    <w:rsid w:val="1FCB381D"/>
    <w:rsid w:val="1FEFCA91"/>
    <w:rsid w:val="201C65C4"/>
    <w:rsid w:val="203F6035"/>
    <w:rsid w:val="20522BD5"/>
    <w:rsid w:val="20A5E050"/>
    <w:rsid w:val="20C6A16D"/>
    <w:rsid w:val="20DAF9BD"/>
    <w:rsid w:val="210DEAD3"/>
    <w:rsid w:val="2132CC57"/>
    <w:rsid w:val="2165C9A2"/>
    <w:rsid w:val="22037288"/>
    <w:rsid w:val="22147525"/>
    <w:rsid w:val="222FECAD"/>
    <w:rsid w:val="2259D46B"/>
    <w:rsid w:val="22D0DC42"/>
    <w:rsid w:val="22F26051"/>
    <w:rsid w:val="239FE30D"/>
    <w:rsid w:val="23BDD454"/>
    <w:rsid w:val="24020223"/>
    <w:rsid w:val="24222F72"/>
    <w:rsid w:val="244838DA"/>
    <w:rsid w:val="244EBED9"/>
    <w:rsid w:val="246641AE"/>
    <w:rsid w:val="24A8BED4"/>
    <w:rsid w:val="24CAC061"/>
    <w:rsid w:val="24DDCCCD"/>
    <w:rsid w:val="24FF1DAF"/>
    <w:rsid w:val="2503908A"/>
    <w:rsid w:val="25062D00"/>
    <w:rsid w:val="253403EE"/>
    <w:rsid w:val="256CAD58"/>
    <w:rsid w:val="259184DD"/>
    <w:rsid w:val="2603F733"/>
    <w:rsid w:val="260A204F"/>
    <w:rsid w:val="260DEEFC"/>
    <w:rsid w:val="26413F4D"/>
    <w:rsid w:val="266EC8DD"/>
    <w:rsid w:val="267B59D1"/>
    <w:rsid w:val="270CBD43"/>
    <w:rsid w:val="274C59CE"/>
    <w:rsid w:val="275F0DBB"/>
    <w:rsid w:val="2772208B"/>
    <w:rsid w:val="27766C67"/>
    <w:rsid w:val="277A5F7A"/>
    <w:rsid w:val="279C7EB4"/>
    <w:rsid w:val="27B2D2ED"/>
    <w:rsid w:val="27DC411F"/>
    <w:rsid w:val="27E382DD"/>
    <w:rsid w:val="28051343"/>
    <w:rsid w:val="2831C9E5"/>
    <w:rsid w:val="2832815D"/>
    <w:rsid w:val="28357E75"/>
    <w:rsid w:val="28544C9B"/>
    <w:rsid w:val="287C6493"/>
    <w:rsid w:val="28942296"/>
    <w:rsid w:val="28C23BED"/>
    <w:rsid w:val="28FF4329"/>
    <w:rsid w:val="2931C546"/>
    <w:rsid w:val="2936F1FF"/>
    <w:rsid w:val="2942A98D"/>
    <w:rsid w:val="29685F1B"/>
    <w:rsid w:val="296A26D7"/>
    <w:rsid w:val="2992BC9A"/>
    <w:rsid w:val="29A704C8"/>
    <w:rsid w:val="29ABE069"/>
    <w:rsid w:val="29B28309"/>
    <w:rsid w:val="29BA03A3"/>
    <w:rsid w:val="29EC20CF"/>
    <w:rsid w:val="2A89BD9B"/>
    <w:rsid w:val="2A8B41E4"/>
    <w:rsid w:val="2AE1A03C"/>
    <w:rsid w:val="2B0BC3D2"/>
    <w:rsid w:val="2B2197E4"/>
    <w:rsid w:val="2B53BFBA"/>
    <w:rsid w:val="2B725FE3"/>
    <w:rsid w:val="2BDCCB62"/>
    <w:rsid w:val="2BF183AC"/>
    <w:rsid w:val="2C2B13E4"/>
    <w:rsid w:val="2C3A1EB7"/>
    <w:rsid w:val="2C700AF8"/>
    <w:rsid w:val="2C8AB1DB"/>
    <w:rsid w:val="2CE6B6D8"/>
    <w:rsid w:val="2D387B49"/>
    <w:rsid w:val="2DBF7E9B"/>
    <w:rsid w:val="2DC83F44"/>
    <w:rsid w:val="2DDD0AE9"/>
    <w:rsid w:val="2DE397AE"/>
    <w:rsid w:val="2DEE4083"/>
    <w:rsid w:val="2DFD77CA"/>
    <w:rsid w:val="2E014923"/>
    <w:rsid w:val="2E135692"/>
    <w:rsid w:val="2E150AA9"/>
    <w:rsid w:val="2E4AFD8C"/>
    <w:rsid w:val="2E58E952"/>
    <w:rsid w:val="2E613C0F"/>
    <w:rsid w:val="2EDA99F1"/>
    <w:rsid w:val="2F117708"/>
    <w:rsid w:val="2F23C6B3"/>
    <w:rsid w:val="2F5CFE1B"/>
    <w:rsid w:val="2FC12A61"/>
    <w:rsid w:val="2FDFA3CE"/>
    <w:rsid w:val="3046D812"/>
    <w:rsid w:val="308E0CB7"/>
    <w:rsid w:val="309A044D"/>
    <w:rsid w:val="30ECA5ED"/>
    <w:rsid w:val="3135EBC6"/>
    <w:rsid w:val="31BAD403"/>
    <w:rsid w:val="31E37FDF"/>
    <w:rsid w:val="32781401"/>
    <w:rsid w:val="32D78E1E"/>
    <w:rsid w:val="32D80DCB"/>
    <w:rsid w:val="32F55F94"/>
    <w:rsid w:val="330533F2"/>
    <w:rsid w:val="330C124B"/>
    <w:rsid w:val="33199362"/>
    <w:rsid w:val="333250F9"/>
    <w:rsid w:val="337F1371"/>
    <w:rsid w:val="338ECF6D"/>
    <w:rsid w:val="3392C147"/>
    <w:rsid w:val="3397E91F"/>
    <w:rsid w:val="33B75194"/>
    <w:rsid w:val="33EBB6D8"/>
    <w:rsid w:val="33F088EF"/>
    <w:rsid w:val="33F56AE8"/>
    <w:rsid w:val="342EE3B9"/>
    <w:rsid w:val="348B6B5A"/>
    <w:rsid w:val="349CA8B6"/>
    <w:rsid w:val="34CE1070"/>
    <w:rsid w:val="34E7722B"/>
    <w:rsid w:val="34FB0A38"/>
    <w:rsid w:val="35009A97"/>
    <w:rsid w:val="351173C0"/>
    <w:rsid w:val="351534AE"/>
    <w:rsid w:val="352A7D44"/>
    <w:rsid w:val="357C4105"/>
    <w:rsid w:val="358EE81E"/>
    <w:rsid w:val="35B0D3BC"/>
    <w:rsid w:val="365BB18E"/>
    <w:rsid w:val="36C51831"/>
    <w:rsid w:val="36CFD9EE"/>
    <w:rsid w:val="3742C600"/>
    <w:rsid w:val="37476338"/>
    <w:rsid w:val="37B93661"/>
    <w:rsid w:val="37BF1515"/>
    <w:rsid w:val="37C09D12"/>
    <w:rsid w:val="37CBC849"/>
    <w:rsid w:val="384FDF43"/>
    <w:rsid w:val="38A28C49"/>
    <w:rsid w:val="38D7F102"/>
    <w:rsid w:val="38D98889"/>
    <w:rsid w:val="38E68B1D"/>
    <w:rsid w:val="3926910A"/>
    <w:rsid w:val="39460F45"/>
    <w:rsid w:val="3A079586"/>
    <w:rsid w:val="3A190158"/>
    <w:rsid w:val="3A3416D8"/>
    <w:rsid w:val="3A5158D4"/>
    <w:rsid w:val="3A6D1359"/>
    <w:rsid w:val="3A94631C"/>
    <w:rsid w:val="3AB32BE4"/>
    <w:rsid w:val="3AC2AF40"/>
    <w:rsid w:val="3AC9E442"/>
    <w:rsid w:val="3B0CA3FC"/>
    <w:rsid w:val="3B4B5A6B"/>
    <w:rsid w:val="3BE4C72D"/>
    <w:rsid w:val="3C684B0C"/>
    <w:rsid w:val="3C6EE535"/>
    <w:rsid w:val="3C81E28B"/>
    <w:rsid w:val="3CA86104"/>
    <w:rsid w:val="3CE07D42"/>
    <w:rsid w:val="3CFE3AEE"/>
    <w:rsid w:val="3D33F452"/>
    <w:rsid w:val="3D6C01F2"/>
    <w:rsid w:val="3DEE60C2"/>
    <w:rsid w:val="3E03748A"/>
    <w:rsid w:val="3E1ABB85"/>
    <w:rsid w:val="3E8C4BFA"/>
    <w:rsid w:val="3EDD1A7C"/>
    <w:rsid w:val="3F44C6E8"/>
    <w:rsid w:val="3FE42106"/>
    <w:rsid w:val="40309596"/>
    <w:rsid w:val="40641BB8"/>
    <w:rsid w:val="40648DDB"/>
    <w:rsid w:val="4081F36E"/>
    <w:rsid w:val="40CEF39A"/>
    <w:rsid w:val="40D8381C"/>
    <w:rsid w:val="412E7701"/>
    <w:rsid w:val="4169EEAB"/>
    <w:rsid w:val="4191C8EC"/>
    <w:rsid w:val="41954735"/>
    <w:rsid w:val="41D260DA"/>
    <w:rsid w:val="41EBAAAC"/>
    <w:rsid w:val="41F5A7C5"/>
    <w:rsid w:val="4223B8E2"/>
    <w:rsid w:val="42566683"/>
    <w:rsid w:val="427FC855"/>
    <w:rsid w:val="42F19AA7"/>
    <w:rsid w:val="42FE1ED4"/>
    <w:rsid w:val="433C00B0"/>
    <w:rsid w:val="438C4D66"/>
    <w:rsid w:val="43BE65A4"/>
    <w:rsid w:val="43C4A03E"/>
    <w:rsid w:val="43D0D273"/>
    <w:rsid w:val="441966CE"/>
    <w:rsid w:val="4447A626"/>
    <w:rsid w:val="44750942"/>
    <w:rsid w:val="448C8EED"/>
    <w:rsid w:val="44CFDCF6"/>
    <w:rsid w:val="44E00D27"/>
    <w:rsid w:val="451D427D"/>
    <w:rsid w:val="4547C6BE"/>
    <w:rsid w:val="456DE2F2"/>
    <w:rsid w:val="45799BD5"/>
    <w:rsid w:val="457BE53E"/>
    <w:rsid w:val="45AF2DEF"/>
    <w:rsid w:val="45C1E814"/>
    <w:rsid w:val="45F4F370"/>
    <w:rsid w:val="45FB9D3A"/>
    <w:rsid w:val="4666FE75"/>
    <w:rsid w:val="467523B4"/>
    <w:rsid w:val="467A6247"/>
    <w:rsid w:val="46B5476E"/>
    <w:rsid w:val="470778A8"/>
    <w:rsid w:val="4708E789"/>
    <w:rsid w:val="4721F0B2"/>
    <w:rsid w:val="475E305B"/>
    <w:rsid w:val="47744D14"/>
    <w:rsid w:val="47A59476"/>
    <w:rsid w:val="47B051E7"/>
    <w:rsid w:val="47B9F0E8"/>
    <w:rsid w:val="47C5B555"/>
    <w:rsid w:val="483192F5"/>
    <w:rsid w:val="4836A07E"/>
    <w:rsid w:val="485FBECB"/>
    <w:rsid w:val="48ADC6CE"/>
    <w:rsid w:val="48CF6749"/>
    <w:rsid w:val="48E39343"/>
    <w:rsid w:val="49090269"/>
    <w:rsid w:val="4915B4DA"/>
    <w:rsid w:val="49370335"/>
    <w:rsid w:val="4937BD4F"/>
    <w:rsid w:val="4966C90E"/>
    <w:rsid w:val="49696651"/>
    <w:rsid w:val="49B05F3C"/>
    <w:rsid w:val="4A0B4DBD"/>
    <w:rsid w:val="4A1473FE"/>
    <w:rsid w:val="4A9A5019"/>
    <w:rsid w:val="4AB4F9AA"/>
    <w:rsid w:val="4ACFBF70"/>
    <w:rsid w:val="4BDA937D"/>
    <w:rsid w:val="4BECC000"/>
    <w:rsid w:val="4C0A777E"/>
    <w:rsid w:val="4C2782DD"/>
    <w:rsid w:val="4C4416B7"/>
    <w:rsid w:val="4C5AB6BC"/>
    <w:rsid w:val="4C73974C"/>
    <w:rsid w:val="4CB99378"/>
    <w:rsid w:val="4CE8A38A"/>
    <w:rsid w:val="4CF53564"/>
    <w:rsid w:val="4D2BB00A"/>
    <w:rsid w:val="4D33B9E3"/>
    <w:rsid w:val="4D482B78"/>
    <w:rsid w:val="4D89B91C"/>
    <w:rsid w:val="4D8D04FB"/>
    <w:rsid w:val="4D9216D1"/>
    <w:rsid w:val="4DDF13FB"/>
    <w:rsid w:val="4E287495"/>
    <w:rsid w:val="4E42E3EC"/>
    <w:rsid w:val="4EA4A483"/>
    <w:rsid w:val="4EAB10C6"/>
    <w:rsid w:val="4EC41656"/>
    <w:rsid w:val="4EDA84DE"/>
    <w:rsid w:val="4EE040A4"/>
    <w:rsid w:val="4EE8344B"/>
    <w:rsid w:val="4F3465C2"/>
    <w:rsid w:val="4F6CB78B"/>
    <w:rsid w:val="4F80F41E"/>
    <w:rsid w:val="4F94466E"/>
    <w:rsid w:val="4FBBB9C6"/>
    <w:rsid w:val="4FC0CA37"/>
    <w:rsid w:val="4FCFA419"/>
    <w:rsid w:val="4FEBDEC4"/>
    <w:rsid w:val="500EE03C"/>
    <w:rsid w:val="5043DC51"/>
    <w:rsid w:val="504C9581"/>
    <w:rsid w:val="50622C84"/>
    <w:rsid w:val="506AEAC3"/>
    <w:rsid w:val="5071745A"/>
    <w:rsid w:val="507B9A3D"/>
    <w:rsid w:val="50FF8285"/>
    <w:rsid w:val="513D3977"/>
    <w:rsid w:val="515A7E5B"/>
    <w:rsid w:val="519C24F5"/>
    <w:rsid w:val="51F33652"/>
    <w:rsid w:val="51F55BE4"/>
    <w:rsid w:val="52049E01"/>
    <w:rsid w:val="520720F6"/>
    <w:rsid w:val="52183803"/>
    <w:rsid w:val="522DEE75"/>
    <w:rsid w:val="524EE203"/>
    <w:rsid w:val="528398B7"/>
    <w:rsid w:val="52B6281B"/>
    <w:rsid w:val="52FF4A0D"/>
    <w:rsid w:val="540A7E05"/>
    <w:rsid w:val="54238971"/>
    <w:rsid w:val="5485F7A4"/>
    <w:rsid w:val="54FACE0D"/>
    <w:rsid w:val="5507CE71"/>
    <w:rsid w:val="5527267D"/>
    <w:rsid w:val="5573DD55"/>
    <w:rsid w:val="558CBB2C"/>
    <w:rsid w:val="55B322F7"/>
    <w:rsid w:val="55C3C3AE"/>
    <w:rsid w:val="55D0BBCD"/>
    <w:rsid w:val="55E13D18"/>
    <w:rsid w:val="55EA682D"/>
    <w:rsid w:val="56148EAC"/>
    <w:rsid w:val="56231D05"/>
    <w:rsid w:val="563ACA9F"/>
    <w:rsid w:val="563C74C4"/>
    <w:rsid w:val="56489FA6"/>
    <w:rsid w:val="5659607E"/>
    <w:rsid w:val="5679B12C"/>
    <w:rsid w:val="57596FB0"/>
    <w:rsid w:val="575A89D1"/>
    <w:rsid w:val="57BE9648"/>
    <w:rsid w:val="582B5107"/>
    <w:rsid w:val="58405FE7"/>
    <w:rsid w:val="5841F84C"/>
    <w:rsid w:val="585816CA"/>
    <w:rsid w:val="585CCA1A"/>
    <w:rsid w:val="586C34DE"/>
    <w:rsid w:val="587A2B5C"/>
    <w:rsid w:val="5895AF3E"/>
    <w:rsid w:val="58A526AE"/>
    <w:rsid w:val="58ABC5B1"/>
    <w:rsid w:val="58DC2B63"/>
    <w:rsid w:val="58E5D8FA"/>
    <w:rsid w:val="59017125"/>
    <w:rsid w:val="5937E829"/>
    <w:rsid w:val="59965709"/>
    <w:rsid w:val="59AAB882"/>
    <w:rsid w:val="59CBEEB4"/>
    <w:rsid w:val="59E94732"/>
    <w:rsid w:val="59F408EC"/>
    <w:rsid w:val="59FA47EF"/>
    <w:rsid w:val="5A155FC2"/>
    <w:rsid w:val="5A2222D1"/>
    <w:rsid w:val="5A3A716B"/>
    <w:rsid w:val="5A4235F0"/>
    <w:rsid w:val="5A52C38A"/>
    <w:rsid w:val="5A58CE3F"/>
    <w:rsid w:val="5A5DE223"/>
    <w:rsid w:val="5A7C6624"/>
    <w:rsid w:val="5A9E9711"/>
    <w:rsid w:val="5AAE0BB0"/>
    <w:rsid w:val="5B21D25E"/>
    <w:rsid w:val="5B53766E"/>
    <w:rsid w:val="5B602D41"/>
    <w:rsid w:val="5B60511B"/>
    <w:rsid w:val="5B730BC2"/>
    <w:rsid w:val="5B9A8FF0"/>
    <w:rsid w:val="5BD14748"/>
    <w:rsid w:val="5C2CCAF1"/>
    <w:rsid w:val="5C4111B5"/>
    <w:rsid w:val="5C87F1D1"/>
    <w:rsid w:val="5C9A14CC"/>
    <w:rsid w:val="5CD4A1F3"/>
    <w:rsid w:val="5CDD6732"/>
    <w:rsid w:val="5D7A6994"/>
    <w:rsid w:val="5DA3C65C"/>
    <w:rsid w:val="5DB0A4FE"/>
    <w:rsid w:val="5DD13D33"/>
    <w:rsid w:val="5DE5426D"/>
    <w:rsid w:val="5E137A71"/>
    <w:rsid w:val="5E17EA4C"/>
    <w:rsid w:val="5E1834E8"/>
    <w:rsid w:val="5E28CB77"/>
    <w:rsid w:val="5E504EC5"/>
    <w:rsid w:val="5E73D4BF"/>
    <w:rsid w:val="5E85AA43"/>
    <w:rsid w:val="5EA2B976"/>
    <w:rsid w:val="5EAC5B37"/>
    <w:rsid w:val="5EE1972A"/>
    <w:rsid w:val="5F0117C9"/>
    <w:rsid w:val="5F017801"/>
    <w:rsid w:val="5F40C818"/>
    <w:rsid w:val="5F7D03D4"/>
    <w:rsid w:val="5F7D5319"/>
    <w:rsid w:val="5F8D8EE6"/>
    <w:rsid w:val="5FBD3CDF"/>
    <w:rsid w:val="60213506"/>
    <w:rsid w:val="603FBAC4"/>
    <w:rsid w:val="6061931D"/>
    <w:rsid w:val="607FDF03"/>
    <w:rsid w:val="60C40326"/>
    <w:rsid w:val="60FEDC65"/>
    <w:rsid w:val="610F2661"/>
    <w:rsid w:val="612D767A"/>
    <w:rsid w:val="6132EFDB"/>
    <w:rsid w:val="6143C94C"/>
    <w:rsid w:val="616C7F4C"/>
    <w:rsid w:val="6170094D"/>
    <w:rsid w:val="61B5FE4C"/>
    <w:rsid w:val="61E0A01C"/>
    <w:rsid w:val="61F741FF"/>
    <w:rsid w:val="6220FC68"/>
    <w:rsid w:val="62858239"/>
    <w:rsid w:val="628B45D5"/>
    <w:rsid w:val="62BBC09A"/>
    <w:rsid w:val="62D6D4CE"/>
    <w:rsid w:val="63193DC5"/>
    <w:rsid w:val="6328CD7D"/>
    <w:rsid w:val="635000BA"/>
    <w:rsid w:val="639C58D6"/>
    <w:rsid w:val="64122F45"/>
    <w:rsid w:val="644F6729"/>
    <w:rsid w:val="646BB760"/>
    <w:rsid w:val="6487CC70"/>
    <w:rsid w:val="64C1CD70"/>
    <w:rsid w:val="64C72D5B"/>
    <w:rsid w:val="64C86D09"/>
    <w:rsid w:val="64D92BA7"/>
    <w:rsid w:val="64E6634C"/>
    <w:rsid w:val="651622CA"/>
    <w:rsid w:val="652F430F"/>
    <w:rsid w:val="65E2A6D1"/>
    <w:rsid w:val="66289952"/>
    <w:rsid w:val="66358728"/>
    <w:rsid w:val="663C094B"/>
    <w:rsid w:val="665A91ED"/>
    <w:rsid w:val="66713E03"/>
    <w:rsid w:val="66B5B9A5"/>
    <w:rsid w:val="66C548F3"/>
    <w:rsid w:val="66C989A5"/>
    <w:rsid w:val="66E0F23D"/>
    <w:rsid w:val="66E1AF9A"/>
    <w:rsid w:val="6703F453"/>
    <w:rsid w:val="6727208D"/>
    <w:rsid w:val="674EB856"/>
    <w:rsid w:val="6784D646"/>
    <w:rsid w:val="67BB0C3E"/>
    <w:rsid w:val="67CB2BB5"/>
    <w:rsid w:val="67D5DA77"/>
    <w:rsid w:val="68062929"/>
    <w:rsid w:val="68B90954"/>
    <w:rsid w:val="68EEE173"/>
    <w:rsid w:val="6908EDDA"/>
    <w:rsid w:val="6913422F"/>
    <w:rsid w:val="6915779C"/>
    <w:rsid w:val="6969D7A1"/>
    <w:rsid w:val="698367B6"/>
    <w:rsid w:val="698D944A"/>
    <w:rsid w:val="69BF871F"/>
    <w:rsid w:val="69C3B259"/>
    <w:rsid w:val="6A46FAB1"/>
    <w:rsid w:val="6A4945BF"/>
    <w:rsid w:val="6A49901B"/>
    <w:rsid w:val="6AB67C89"/>
    <w:rsid w:val="6AE1C9C2"/>
    <w:rsid w:val="6AF7E5E9"/>
    <w:rsid w:val="6B0A71AF"/>
    <w:rsid w:val="6B125895"/>
    <w:rsid w:val="6B6B8C81"/>
    <w:rsid w:val="6BF16BBE"/>
    <w:rsid w:val="6C19645E"/>
    <w:rsid w:val="6C800A30"/>
    <w:rsid w:val="6C89600F"/>
    <w:rsid w:val="6C938276"/>
    <w:rsid w:val="6CB1D865"/>
    <w:rsid w:val="6CF2D328"/>
    <w:rsid w:val="6D3F86AB"/>
    <w:rsid w:val="6D8C3660"/>
    <w:rsid w:val="6D9667CE"/>
    <w:rsid w:val="6DAB2B69"/>
    <w:rsid w:val="6DC27E99"/>
    <w:rsid w:val="6DF9A197"/>
    <w:rsid w:val="6E05350F"/>
    <w:rsid w:val="6E152067"/>
    <w:rsid w:val="6E1C0EA9"/>
    <w:rsid w:val="6E6AE6DF"/>
    <w:rsid w:val="6EB54870"/>
    <w:rsid w:val="6EE643F2"/>
    <w:rsid w:val="6F3A3A6C"/>
    <w:rsid w:val="6F3E01D0"/>
    <w:rsid w:val="6F44DC42"/>
    <w:rsid w:val="6F707FE0"/>
    <w:rsid w:val="6FA16FCA"/>
    <w:rsid w:val="6FB5E5E5"/>
    <w:rsid w:val="6FC87D73"/>
    <w:rsid w:val="6FE0EB26"/>
    <w:rsid w:val="700AC2FA"/>
    <w:rsid w:val="70DC1C13"/>
    <w:rsid w:val="71537FFA"/>
    <w:rsid w:val="71664322"/>
    <w:rsid w:val="71724675"/>
    <w:rsid w:val="719B38B8"/>
    <w:rsid w:val="71E35BA0"/>
    <w:rsid w:val="71FD3BCA"/>
    <w:rsid w:val="72065767"/>
    <w:rsid w:val="721707B0"/>
    <w:rsid w:val="72329E54"/>
    <w:rsid w:val="7259FD0E"/>
    <w:rsid w:val="726F5811"/>
    <w:rsid w:val="72B5BD95"/>
    <w:rsid w:val="72BF22F2"/>
    <w:rsid w:val="72FA36CC"/>
    <w:rsid w:val="730ABC98"/>
    <w:rsid w:val="731918F0"/>
    <w:rsid w:val="735C05E4"/>
    <w:rsid w:val="73B77485"/>
    <w:rsid w:val="73D4BF59"/>
    <w:rsid w:val="73D775B2"/>
    <w:rsid w:val="744501A3"/>
    <w:rsid w:val="74658976"/>
    <w:rsid w:val="74755678"/>
    <w:rsid w:val="74C336CF"/>
    <w:rsid w:val="74E500BA"/>
    <w:rsid w:val="74F5E673"/>
    <w:rsid w:val="74F8DA6D"/>
    <w:rsid w:val="74FDFCBC"/>
    <w:rsid w:val="757C8949"/>
    <w:rsid w:val="762FB3E7"/>
    <w:rsid w:val="767545E0"/>
    <w:rsid w:val="7687403B"/>
    <w:rsid w:val="76A2CE40"/>
    <w:rsid w:val="76B7212B"/>
    <w:rsid w:val="76C2F67D"/>
    <w:rsid w:val="76C59524"/>
    <w:rsid w:val="77129E6C"/>
    <w:rsid w:val="771B2751"/>
    <w:rsid w:val="777C8BB1"/>
    <w:rsid w:val="778FD62F"/>
    <w:rsid w:val="77942D4D"/>
    <w:rsid w:val="77E0EFF1"/>
    <w:rsid w:val="77F723A2"/>
    <w:rsid w:val="77FB9406"/>
    <w:rsid w:val="7814822D"/>
    <w:rsid w:val="783C457A"/>
    <w:rsid w:val="78767B72"/>
    <w:rsid w:val="788610EA"/>
    <w:rsid w:val="794016B1"/>
    <w:rsid w:val="79822DAC"/>
    <w:rsid w:val="798DAC26"/>
    <w:rsid w:val="799AD218"/>
    <w:rsid w:val="79E9A086"/>
    <w:rsid w:val="79EE3FB2"/>
    <w:rsid w:val="7A4FEF58"/>
    <w:rsid w:val="7A6598D6"/>
    <w:rsid w:val="7A720C9F"/>
    <w:rsid w:val="7B217F54"/>
    <w:rsid w:val="7B724874"/>
    <w:rsid w:val="7B759AF3"/>
    <w:rsid w:val="7B771D9C"/>
    <w:rsid w:val="7B7F5DF5"/>
    <w:rsid w:val="7B7FA7B9"/>
    <w:rsid w:val="7B86C779"/>
    <w:rsid w:val="7BEEB834"/>
    <w:rsid w:val="7BF108D4"/>
    <w:rsid w:val="7C3B9A9F"/>
    <w:rsid w:val="7C6F0AF6"/>
    <w:rsid w:val="7C71F4BF"/>
    <w:rsid w:val="7C7DDB96"/>
    <w:rsid w:val="7C8717F2"/>
    <w:rsid w:val="7C93F3CC"/>
    <w:rsid w:val="7CDB476F"/>
    <w:rsid w:val="7CE20FE1"/>
    <w:rsid w:val="7D07A279"/>
    <w:rsid w:val="7D422347"/>
    <w:rsid w:val="7D997716"/>
    <w:rsid w:val="7DD75F39"/>
    <w:rsid w:val="7DE4FD58"/>
    <w:rsid w:val="7DFD5F81"/>
    <w:rsid w:val="7E9D4D5E"/>
    <w:rsid w:val="7EAD3186"/>
    <w:rsid w:val="7EC3FA10"/>
    <w:rsid w:val="7ED9B6DD"/>
    <w:rsid w:val="7EE1AEAF"/>
    <w:rsid w:val="7F9060EE"/>
    <w:rsid w:val="7FA54595"/>
    <w:rsid w:val="7FA5825E"/>
    <w:rsid w:val="7FAE4A6E"/>
    <w:rsid w:val="7FF0B5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B0830"/>
  <w15:docId w15:val="{406D9642-CC6D-4FD7-B7BB-235F59AA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6C"/>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DF01A1"/>
    <w:pPr>
      <w:widowControl w:val="0"/>
      <w:spacing w:before="360"/>
      <w:contextualSpacing/>
      <w:outlineLvl w:val="0"/>
    </w:pPr>
    <w:rPr>
      <w:rFonts w:ascii="Calibri" w:eastAsiaTheme="minorHAnsi" w:hAnsi="Calibri" w:cstheme="minorBidi"/>
      <w:b/>
      <w:bCs/>
      <w:color w:val="083A42"/>
      <w:spacing w:val="5"/>
      <w:kern w:val="28"/>
      <w:sz w:val="72"/>
      <w:szCs w:val="28"/>
      <w:lang w:eastAsia="en-US"/>
    </w:rPr>
  </w:style>
  <w:style w:type="paragraph" w:styleId="Heading2">
    <w:name w:val="heading 2"/>
    <w:basedOn w:val="Normal"/>
    <w:next w:val="Normal"/>
    <w:link w:val="Heading2Char"/>
    <w:uiPriority w:val="3"/>
    <w:rsid w:val="00A32152"/>
    <w:pPr>
      <w:spacing w:after="240"/>
      <w:outlineLvl w:val="1"/>
    </w:pPr>
    <w:rPr>
      <w:rFonts w:ascii="Calibri" w:eastAsiaTheme="minorEastAsia" w:hAnsi="Calibri"/>
      <w:bCs/>
      <w:color w:val="197C7D"/>
      <w:sz w:val="56"/>
      <w:szCs w:val="28"/>
      <w:lang w:eastAsia="ja-JP"/>
    </w:rPr>
  </w:style>
  <w:style w:type="paragraph" w:styleId="Heading3">
    <w:name w:val="heading 3"/>
    <w:next w:val="Normal"/>
    <w:link w:val="Heading3Char"/>
    <w:uiPriority w:val="4"/>
    <w:qFormat/>
    <w:pPr>
      <w:keepNext/>
      <w:keepLines/>
      <w:ind w:left="5358" w:hanging="964"/>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DF01A1"/>
    <w:rPr>
      <w:rFonts w:ascii="Calibri" w:eastAsiaTheme="minorHAnsi" w:hAnsi="Calibri" w:cstheme="minorBidi"/>
      <w:b/>
      <w:bCs/>
      <w:color w:val="083A42"/>
      <w:spacing w:val="5"/>
      <w:kern w:val="28"/>
      <w:sz w:val="72"/>
      <w:szCs w:val="28"/>
      <w:lang w:eastAsia="en-US"/>
    </w:rPr>
  </w:style>
  <w:style w:type="character" w:customStyle="1" w:styleId="Heading2Char">
    <w:name w:val="Heading 2 Char"/>
    <w:basedOn w:val="DefaultParagraphFont"/>
    <w:link w:val="Heading2"/>
    <w:uiPriority w:val="3"/>
    <w:rsid w:val="00A32152"/>
    <w:rPr>
      <w:rFonts w:ascii="Calibri" w:eastAsiaTheme="minorEastAsia" w:hAnsi="Calibri" w:cstheme="minorBidi"/>
      <w:bCs/>
      <w:color w:val="197C7D"/>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123033"/>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F01A1"/>
    <w:pPr>
      <w:spacing w:before="120"/>
    </w:pPr>
    <w:rPr>
      <w:b w:val="0"/>
      <w:sz w:val="56"/>
      <w:szCs w:val="56"/>
    </w:rPr>
  </w:style>
  <w:style w:type="character" w:customStyle="1" w:styleId="SubtitleChar">
    <w:name w:val="Subtitle Char"/>
    <w:basedOn w:val="DefaultParagraphFont"/>
    <w:link w:val="Subtitle"/>
    <w:uiPriority w:val="23"/>
    <w:rsid w:val="00DF01A1"/>
    <w:rPr>
      <w:rFonts w:ascii="Calibri" w:eastAsiaTheme="minorHAnsi" w:hAnsi="Calibri" w:cstheme="minorBidi"/>
      <w:bCs/>
      <w:color w:val="083A42"/>
      <w:spacing w:val="5"/>
      <w:kern w:val="28"/>
      <w:sz w:val="56"/>
      <w:szCs w:val="56"/>
      <w:lang w:eastAsia="en-US"/>
    </w:rPr>
  </w:style>
  <w:style w:type="paragraph" w:styleId="TOCHeading">
    <w:name w:val="TOC Heading"/>
    <w:next w:val="Normal"/>
    <w:uiPriority w:val="39"/>
    <w:qFormat/>
    <w:rsid w:val="0093673C"/>
    <w:pPr>
      <w:spacing w:before="480" w:line="276" w:lineRule="auto"/>
    </w:pPr>
    <w:rPr>
      <w:rFonts w:ascii="Calibri" w:eastAsiaTheme="minorEastAsia" w:hAnsi="Calibri" w:cstheme="minorBidi"/>
      <w:bCs/>
      <w:color w:val="197C7D"/>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pPr>
    <w:rPr>
      <w:b/>
      <w:noProof/>
    </w:rPr>
  </w:style>
  <w:style w:type="paragraph" w:styleId="TOC2">
    <w:name w:val="toc 2"/>
    <w:basedOn w:val="Normal"/>
    <w:next w:val="Normal"/>
    <w:uiPriority w:val="39"/>
    <w:unhideWhenUsed/>
    <w:qFormat/>
    <w:pPr>
      <w:tabs>
        <w:tab w:val="right" w:leader="dot" w:pos="9060"/>
      </w:tabs>
      <w:spacing w:before="120" w:after="120"/>
      <w:ind w:firstLine="425"/>
    </w:pPr>
    <w:rPr>
      <w:noProof/>
    </w:rPr>
  </w:style>
  <w:style w:type="paragraph" w:styleId="TOC3">
    <w:name w:val="toc 3"/>
    <w:basedOn w:val="Normal"/>
    <w:next w:val="Normal"/>
    <w:uiPriority w:val="39"/>
    <w:unhideWhenUsed/>
    <w:qFormat/>
    <w:pPr>
      <w:tabs>
        <w:tab w:val="right" w:leader="dot" w:pos="9072"/>
      </w:tabs>
      <w:spacing w:before="120" w:after="120"/>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23033"/>
    <w:pPr>
      <w:spacing w:before="120" w:after="120"/>
      <w:ind w:left="425" w:hanging="425"/>
    </w:pPr>
  </w:style>
  <w:style w:type="paragraph" w:styleId="TableofFigures">
    <w:name w:val="table of figures"/>
    <w:basedOn w:val="Normal"/>
    <w:next w:val="Normal"/>
    <w:uiPriority w:val="99"/>
    <w:pPr>
      <w:spacing w:before="120" w:after="120"/>
    </w:pPr>
  </w:style>
  <w:style w:type="paragraph" w:styleId="ListBullet2">
    <w:name w:val="List Bullet 2"/>
    <w:basedOn w:val="Normal"/>
    <w:uiPriority w:val="8"/>
    <w:qFormat/>
    <w:rsid w:val="00123033"/>
    <w:pPr>
      <w:spacing w:before="120" w:after="120"/>
      <w:ind w:left="851" w:hanging="426"/>
      <w:contextualSpacing/>
    </w:pPr>
  </w:style>
  <w:style w:type="paragraph" w:styleId="ListNumber">
    <w:name w:val="List Number"/>
    <w:basedOn w:val="Normal"/>
    <w:uiPriority w:val="9"/>
    <w:qFormat/>
    <w:rsid w:val="00123033"/>
    <w:pPr>
      <w:tabs>
        <w:tab w:val="left" w:pos="142"/>
      </w:tabs>
      <w:spacing w:before="120" w:after="120"/>
      <w:ind w:left="425" w:hanging="425"/>
    </w:pPr>
  </w:style>
  <w:style w:type="paragraph" w:styleId="ListNumber2">
    <w:name w:val="List Number 2"/>
    <w:uiPriority w:val="10"/>
    <w:qFormat/>
    <w:rsid w:val="00884E3A"/>
    <w:pPr>
      <w:tabs>
        <w:tab w:val="left" w:pos="567"/>
      </w:tabs>
      <w:spacing w:before="120" w:after="120" w:line="264" w:lineRule="auto"/>
      <w:ind w:left="851" w:hanging="426"/>
    </w:pPr>
    <w:rPr>
      <w:rFonts w:asciiTheme="minorHAnsi" w:eastAsia="Times New Roman" w:hAnsiTheme="minorHAnsi"/>
      <w:sz w:val="22"/>
      <w:szCs w:val="24"/>
      <w:lang w:eastAsia="en-US"/>
    </w:rPr>
  </w:style>
  <w:style w:type="paragraph" w:styleId="ListNumber3">
    <w:name w:val="List Number 3"/>
    <w:uiPriority w:val="11"/>
    <w:qFormat/>
    <w:rsid w:val="00884E3A"/>
    <w:pPr>
      <w:spacing w:before="120" w:after="120" w:line="264" w:lineRule="auto"/>
      <w:ind w:left="1191"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123033"/>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23033"/>
    <w:pPr>
      <w:numPr>
        <w:numId w:val="2"/>
      </w:numPr>
      <w:ind w:left="357" w:hanging="357"/>
    </w:pPr>
  </w:style>
  <w:style w:type="paragraph" w:customStyle="1" w:styleId="TableBullet1">
    <w:name w:val="Table Bullet 1"/>
    <w:basedOn w:val="TableText"/>
    <w:uiPriority w:val="15"/>
    <w:qFormat/>
    <w:pPr>
      <w:numPr>
        <w:numId w:val="3"/>
      </w:numPr>
      <w:ind w:left="284" w:hanging="284"/>
    </w:p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00123033"/>
    <w:rPr>
      <w:b/>
    </w:rPr>
  </w:style>
  <w:style w:type="paragraph" w:customStyle="1" w:styleId="Securityclassification">
    <w:name w:val="Security classification"/>
    <w:basedOn w:val="Header"/>
    <w:next w:val="Header"/>
    <w:uiPriority w:val="26"/>
    <w:qFormat/>
    <w:rPr>
      <w:b/>
      <w:color w:val="FF0000"/>
      <w:sz w:val="36"/>
      <w:szCs w:val="36"/>
    </w:rPr>
  </w:style>
  <w:style w:type="paragraph" w:customStyle="1" w:styleId="DisseminationLimitingMarker">
    <w:name w:val="Dissemination Limiting Marker"/>
    <w:basedOn w:val="Header"/>
    <w:next w:val="Header"/>
    <w:uiPriority w:val="27"/>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4"/>
      </w:numPr>
    </w:pPr>
  </w:style>
  <w:style w:type="paragraph" w:styleId="Title">
    <w:name w:val="Title"/>
    <w:basedOn w:val="Normal"/>
    <w:next w:val="Normal"/>
    <w:link w:val="TitleChar"/>
    <w:uiPriority w:val="10"/>
    <w:semiHidden/>
    <w:qFormat/>
    <w:pPr>
      <w:spacing w:before="36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5"/>
      </w:numPr>
    </w:pPr>
  </w:style>
  <w:style w:type="numbering" w:customStyle="1" w:styleId="Headinglist">
    <w:name w:val="Heading list"/>
    <w:uiPriority w:val="99"/>
    <w:pPr>
      <w:numPr>
        <w:numId w:val="6"/>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7"/>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Pr>
      <w:i/>
      <w:iCs/>
      <w:color w:val="197C7D" w:themeColor="accent1"/>
    </w:rPr>
  </w:style>
  <w:style w:type="paragraph" w:customStyle="1" w:styleId="TableBullet2">
    <w:name w:val="Table Bullet 2"/>
    <w:basedOn w:val="TableBullet1"/>
    <w:qFormat/>
    <w:pPr>
      <w:numPr>
        <w:numId w:val="9"/>
      </w:numPr>
      <w:ind w:left="568"/>
    </w:pPr>
  </w:style>
  <w:style w:type="numbering" w:customStyle="1" w:styleId="TableBulletlist">
    <w:name w:val="Table Bullet list"/>
    <w:uiPriority w:val="99"/>
    <w:pPr>
      <w:numPr>
        <w:numId w:val="8"/>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qFormat/>
    <w:rsid w:val="006C261F"/>
    <w:pPr>
      <w:ind w:left="720"/>
    </w:pPr>
    <w:rPr>
      <w:rFonts w:ascii="Calibri" w:hAnsi="Calibri" w:cs="Calibri"/>
    </w:rPr>
  </w:style>
  <w:style w:type="paragraph" w:styleId="BodyText">
    <w:name w:val="Body Text"/>
    <w:link w:val="BodyTextChar"/>
    <w:rsid w:val="008C675D"/>
    <w:pPr>
      <w:spacing w:after="120"/>
    </w:pPr>
    <w:rPr>
      <w:rFonts w:ascii="CG Times (W1)" w:eastAsiaTheme="minorHAnsi" w:hAnsi="CG Times (W1)" w:cstheme="minorBidi"/>
      <w:color w:val="000000" w:themeColor="text1"/>
      <w:szCs w:val="22"/>
      <w:lang w:eastAsia="en-US"/>
    </w:rPr>
  </w:style>
  <w:style w:type="character" w:customStyle="1" w:styleId="BodyTextChar">
    <w:name w:val="Body Text Char"/>
    <w:basedOn w:val="DefaultParagraphFont"/>
    <w:link w:val="BodyText"/>
    <w:rsid w:val="008C675D"/>
    <w:rPr>
      <w:rFonts w:ascii="CG Times (W1)" w:eastAsiaTheme="minorHAnsi" w:hAnsi="CG Times (W1)" w:cstheme="minorBidi"/>
      <w:color w:val="000000" w:themeColor="text1"/>
      <w:szCs w:val="22"/>
      <w:lang w:eastAsia="en-US"/>
    </w:rPr>
  </w:style>
  <w:style w:type="character" w:styleId="Mention">
    <w:name w:val="Mention"/>
    <w:basedOn w:val="DefaultParagraphFont"/>
    <w:uiPriority w:val="99"/>
    <w:unhideWhenUsed/>
    <w:rsid w:val="002E75FB"/>
    <w:rPr>
      <w:color w:val="2B579A"/>
      <w:shd w:val="clear" w:color="auto" w:fill="E1DFDD"/>
    </w:rPr>
  </w:style>
  <w:style w:type="paragraph" w:styleId="Revision">
    <w:name w:val="Revision"/>
    <w:hidden/>
    <w:uiPriority w:val="99"/>
    <w:semiHidden/>
    <w:rsid w:val="002E75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1289023">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30117819">
      <w:bodyDiv w:val="1"/>
      <w:marLeft w:val="0"/>
      <w:marRight w:val="0"/>
      <w:marTop w:val="0"/>
      <w:marBottom w:val="0"/>
      <w:divBdr>
        <w:top w:val="none" w:sz="0" w:space="0" w:color="auto"/>
        <w:left w:val="none" w:sz="0" w:space="0" w:color="auto"/>
        <w:bottom w:val="none" w:sz="0" w:space="0" w:color="auto"/>
        <w:right w:val="none" w:sz="0" w:space="0" w:color="auto"/>
      </w:divBdr>
    </w:div>
    <w:div w:id="277490447">
      <w:bodyDiv w:val="1"/>
      <w:marLeft w:val="0"/>
      <w:marRight w:val="0"/>
      <w:marTop w:val="0"/>
      <w:marBottom w:val="0"/>
      <w:divBdr>
        <w:top w:val="none" w:sz="0" w:space="0" w:color="auto"/>
        <w:left w:val="none" w:sz="0" w:space="0" w:color="auto"/>
        <w:bottom w:val="none" w:sz="0" w:space="0" w:color="auto"/>
        <w:right w:val="none" w:sz="0" w:space="0" w:color="auto"/>
      </w:divBdr>
    </w:div>
    <w:div w:id="34513999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72212570">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1509984">
      <w:bodyDiv w:val="1"/>
      <w:marLeft w:val="0"/>
      <w:marRight w:val="0"/>
      <w:marTop w:val="0"/>
      <w:marBottom w:val="0"/>
      <w:divBdr>
        <w:top w:val="none" w:sz="0" w:space="0" w:color="auto"/>
        <w:left w:val="none" w:sz="0" w:space="0" w:color="auto"/>
        <w:bottom w:val="none" w:sz="0" w:space="0" w:color="auto"/>
        <w:right w:val="none" w:sz="0" w:space="0" w:color="auto"/>
      </w:divBdr>
    </w:div>
    <w:div w:id="538206935">
      <w:bodyDiv w:val="1"/>
      <w:marLeft w:val="0"/>
      <w:marRight w:val="0"/>
      <w:marTop w:val="0"/>
      <w:marBottom w:val="0"/>
      <w:divBdr>
        <w:top w:val="none" w:sz="0" w:space="0" w:color="auto"/>
        <w:left w:val="none" w:sz="0" w:space="0" w:color="auto"/>
        <w:bottom w:val="none" w:sz="0" w:space="0" w:color="auto"/>
        <w:right w:val="none" w:sz="0" w:space="0" w:color="auto"/>
      </w:divBdr>
    </w:div>
    <w:div w:id="567808705">
      <w:bodyDiv w:val="1"/>
      <w:marLeft w:val="0"/>
      <w:marRight w:val="0"/>
      <w:marTop w:val="0"/>
      <w:marBottom w:val="0"/>
      <w:divBdr>
        <w:top w:val="none" w:sz="0" w:space="0" w:color="auto"/>
        <w:left w:val="none" w:sz="0" w:space="0" w:color="auto"/>
        <w:bottom w:val="none" w:sz="0" w:space="0" w:color="auto"/>
        <w:right w:val="none" w:sz="0" w:space="0" w:color="auto"/>
      </w:divBdr>
    </w:div>
    <w:div w:id="60280396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3277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9669940">
      <w:bodyDiv w:val="1"/>
      <w:marLeft w:val="0"/>
      <w:marRight w:val="0"/>
      <w:marTop w:val="0"/>
      <w:marBottom w:val="0"/>
      <w:divBdr>
        <w:top w:val="none" w:sz="0" w:space="0" w:color="auto"/>
        <w:left w:val="none" w:sz="0" w:space="0" w:color="auto"/>
        <w:bottom w:val="none" w:sz="0" w:space="0" w:color="auto"/>
        <w:right w:val="none" w:sz="0" w:space="0" w:color="auto"/>
      </w:divBdr>
    </w:div>
    <w:div w:id="823007477">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480395">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1515303">
      <w:bodyDiv w:val="1"/>
      <w:marLeft w:val="0"/>
      <w:marRight w:val="0"/>
      <w:marTop w:val="0"/>
      <w:marBottom w:val="0"/>
      <w:divBdr>
        <w:top w:val="none" w:sz="0" w:space="0" w:color="auto"/>
        <w:left w:val="none" w:sz="0" w:space="0" w:color="auto"/>
        <w:bottom w:val="none" w:sz="0" w:space="0" w:color="auto"/>
        <w:right w:val="none" w:sz="0" w:space="0" w:color="auto"/>
      </w:divBdr>
    </w:div>
    <w:div w:id="1088429510">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503294">
      <w:bodyDiv w:val="1"/>
      <w:marLeft w:val="0"/>
      <w:marRight w:val="0"/>
      <w:marTop w:val="0"/>
      <w:marBottom w:val="0"/>
      <w:divBdr>
        <w:top w:val="none" w:sz="0" w:space="0" w:color="auto"/>
        <w:left w:val="none" w:sz="0" w:space="0" w:color="auto"/>
        <w:bottom w:val="none" w:sz="0" w:space="0" w:color="auto"/>
        <w:right w:val="none" w:sz="0" w:space="0" w:color="auto"/>
      </w:divBdr>
    </w:div>
    <w:div w:id="1471896191">
      <w:bodyDiv w:val="1"/>
      <w:marLeft w:val="0"/>
      <w:marRight w:val="0"/>
      <w:marTop w:val="0"/>
      <w:marBottom w:val="0"/>
      <w:divBdr>
        <w:top w:val="none" w:sz="0" w:space="0" w:color="auto"/>
        <w:left w:val="none" w:sz="0" w:space="0" w:color="auto"/>
        <w:bottom w:val="none" w:sz="0" w:space="0" w:color="auto"/>
        <w:right w:val="none" w:sz="0" w:space="0" w:color="auto"/>
      </w:divBdr>
    </w:div>
    <w:div w:id="1488206511">
      <w:bodyDiv w:val="1"/>
      <w:marLeft w:val="0"/>
      <w:marRight w:val="0"/>
      <w:marTop w:val="0"/>
      <w:marBottom w:val="0"/>
      <w:divBdr>
        <w:top w:val="none" w:sz="0" w:space="0" w:color="auto"/>
        <w:left w:val="none" w:sz="0" w:space="0" w:color="auto"/>
        <w:bottom w:val="none" w:sz="0" w:space="0" w:color="auto"/>
        <w:right w:val="none" w:sz="0" w:space="0" w:color="auto"/>
      </w:divBdr>
    </w:div>
    <w:div w:id="1496725340">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71962819">
      <w:bodyDiv w:val="1"/>
      <w:marLeft w:val="0"/>
      <w:marRight w:val="0"/>
      <w:marTop w:val="0"/>
      <w:marBottom w:val="0"/>
      <w:divBdr>
        <w:top w:val="none" w:sz="0" w:space="0" w:color="auto"/>
        <w:left w:val="none" w:sz="0" w:space="0" w:color="auto"/>
        <w:bottom w:val="none" w:sz="0" w:space="0" w:color="auto"/>
        <w:right w:val="none" w:sz="0" w:space="0" w:color="auto"/>
      </w:divBdr>
    </w:div>
    <w:div w:id="1629120667">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807928">
      <w:bodyDiv w:val="1"/>
      <w:marLeft w:val="0"/>
      <w:marRight w:val="0"/>
      <w:marTop w:val="0"/>
      <w:marBottom w:val="0"/>
      <w:divBdr>
        <w:top w:val="none" w:sz="0" w:space="0" w:color="auto"/>
        <w:left w:val="none" w:sz="0" w:space="0" w:color="auto"/>
        <w:bottom w:val="none" w:sz="0" w:space="0" w:color="auto"/>
        <w:right w:val="none" w:sz="0" w:space="0" w:color="auto"/>
      </w:divBdr>
    </w:div>
    <w:div w:id="1736511103">
      <w:bodyDiv w:val="1"/>
      <w:marLeft w:val="0"/>
      <w:marRight w:val="0"/>
      <w:marTop w:val="0"/>
      <w:marBottom w:val="0"/>
      <w:divBdr>
        <w:top w:val="none" w:sz="0" w:space="0" w:color="auto"/>
        <w:left w:val="none" w:sz="0" w:space="0" w:color="auto"/>
        <w:bottom w:val="none" w:sz="0" w:space="0" w:color="auto"/>
        <w:right w:val="none" w:sz="0" w:space="0" w:color="auto"/>
      </w:divBdr>
    </w:div>
    <w:div w:id="1809976053">
      <w:bodyDiv w:val="1"/>
      <w:marLeft w:val="0"/>
      <w:marRight w:val="0"/>
      <w:marTop w:val="0"/>
      <w:marBottom w:val="0"/>
      <w:divBdr>
        <w:top w:val="none" w:sz="0" w:space="0" w:color="auto"/>
        <w:left w:val="none" w:sz="0" w:space="0" w:color="auto"/>
        <w:bottom w:val="none" w:sz="0" w:space="0" w:color="auto"/>
        <w:right w:val="none" w:sz="0" w:space="0" w:color="auto"/>
      </w:divBdr>
      <w:divsChild>
        <w:div w:id="138349521">
          <w:marLeft w:val="0"/>
          <w:marRight w:val="0"/>
          <w:marTop w:val="0"/>
          <w:marBottom w:val="0"/>
          <w:divBdr>
            <w:top w:val="none" w:sz="0" w:space="0" w:color="auto"/>
            <w:left w:val="none" w:sz="0" w:space="0" w:color="auto"/>
            <w:bottom w:val="none" w:sz="0" w:space="0" w:color="auto"/>
            <w:right w:val="none" w:sz="0" w:space="0" w:color="auto"/>
          </w:divBdr>
        </w:div>
        <w:div w:id="357893375">
          <w:marLeft w:val="0"/>
          <w:marRight w:val="0"/>
          <w:marTop w:val="0"/>
          <w:marBottom w:val="0"/>
          <w:divBdr>
            <w:top w:val="none" w:sz="0" w:space="0" w:color="auto"/>
            <w:left w:val="none" w:sz="0" w:space="0" w:color="auto"/>
            <w:bottom w:val="none" w:sz="0" w:space="0" w:color="auto"/>
            <w:right w:val="none" w:sz="0" w:space="0" w:color="auto"/>
          </w:divBdr>
        </w:div>
        <w:div w:id="517620245">
          <w:marLeft w:val="0"/>
          <w:marRight w:val="0"/>
          <w:marTop w:val="0"/>
          <w:marBottom w:val="0"/>
          <w:divBdr>
            <w:top w:val="none" w:sz="0" w:space="0" w:color="auto"/>
            <w:left w:val="none" w:sz="0" w:space="0" w:color="auto"/>
            <w:bottom w:val="none" w:sz="0" w:space="0" w:color="auto"/>
            <w:right w:val="none" w:sz="0" w:space="0" w:color="auto"/>
          </w:divBdr>
        </w:div>
        <w:div w:id="726539562">
          <w:marLeft w:val="0"/>
          <w:marRight w:val="0"/>
          <w:marTop w:val="0"/>
          <w:marBottom w:val="0"/>
          <w:divBdr>
            <w:top w:val="none" w:sz="0" w:space="0" w:color="auto"/>
            <w:left w:val="none" w:sz="0" w:space="0" w:color="auto"/>
            <w:bottom w:val="none" w:sz="0" w:space="0" w:color="auto"/>
            <w:right w:val="none" w:sz="0" w:space="0" w:color="auto"/>
          </w:divBdr>
        </w:div>
        <w:div w:id="799954067">
          <w:marLeft w:val="0"/>
          <w:marRight w:val="0"/>
          <w:marTop w:val="0"/>
          <w:marBottom w:val="0"/>
          <w:divBdr>
            <w:top w:val="none" w:sz="0" w:space="0" w:color="auto"/>
            <w:left w:val="none" w:sz="0" w:space="0" w:color="auto"/>
            <w:bottom w:val="none" w:sz="0" w:space="0" w:color="auto"/>
            <w:right w:val="none" w:sz="0" w:space="0" w:color="auto"/>
          </w:divBdr>
        </w:div>
        <w:div w:id="807088233">
          <w:marLeft w:val="0"/>
          <w:marRight w:val="0"/>
          <w:marTop w:val="0"/>
          <w:marBottom w:val="0"/>
          <w:divBdr>
            <w:top w:val="none" w:sz="0" w:space="0" w:color="auto"/>
            <w:left w:val="none" w:sz="0" w:space="0" w:color="auto"/>
            <w:bottom w:val="none" w:sz="0" w:space="0" w:color="auto"/>
            <w:right w:val="none" w:sz="0" w:space="0" w:color="auto"/>
          </w:divBdr>
        </w:div>
        <w:div w:id="892815080">
          <w:marLeft w:val="0"/>
          <w:marRight w:val="0"/>
          <w:marTop w:val="0"/>
          <w:marBottom w:val="0"/>
          <w:divBdr>
            <w:top w:val="none" w:sz="0" w:space="0" w:color="auto"/>
            <w:left w:val="none" w:sz="0" w:space="0" w:color="auto"/>
            <w:bottom w:val="none" w:sz="0" w:space="0" w:color="auto"/>
            <w:right w:val="none" w:sz="0" w:space="0" w:color="auto"/>
          </w:divBdr>
        </w:div>
        <w:div w:id="948704684">
          <w:marLeft w:val="0"/>
          <w:marRight w:val="0"/>
          <w:marTop w:val="0"/>
          <w:marBottom w:val="0"/>
          <w:divBdr>
            <w:top w:val="none" w:sz="0" w:space="0" w:color="auto"/>
            <w:left w:val="none" w:sz="0" w:space="0" w:color="auto"/>
            <w:bottom w:val="none" w:sz="0" w:space="0" w:color="auto"/>
            <w:right w:val="none" w:sz="0" w:space="0" w:color="auto"/>
          </w:divBdr>
        </w:div>
        <w:div w:id="1237203421">
          <w:marLeft w:val="0"/>
          <w:marRight w:val="0"/>
          <w:marTop w:val="0"/>
          <w:marBottom w:val="0"/>
          <w:divBdr>
            <w:top w:val="none" w:sz="0" w:space="0" w:color="auto"/>
            <w:left w:val="none" w:sz="0" w:space="0" w:color="auto"/>
            <w:bottom w:val="none" w:sz="0" w:space="0" w:color="auto"/>
            <w:right w:val="none" w:sz="0" w:space="0" w:color="auto"/>
          </w:divBdr>
        </w:div>
        <w:div w:id="1304694635">
          <w:marLeft w:val="0"/>
          <w:marRight w:val="0"/>
          <w:marTop w:val="0"/>
          <w:marBottom w:val="0"/>
          <w:divBdr>
            <w:top w:val="none" w:sz="0" w:space="0" w:color="auto"/>
            <w:left w:val="none" w:sz="0" w:space="0" w:color="auto"/>
            <w:bottom w:val="none" w:sz="0" w:space="0" w:color="auto"/>
            <w:right w:val="none" w:sz="0" w:space="0" w:color="auto"/>
          </w:divBdr>
        </w:div>
        <w:div w:id="1358848861">
          <w:marLeft w:val="0"/>
          <w:marRight w:val="0"/>
          <w:marTop w:val="0"/>
          <w:marBottom w:val="0"/>
          <w:divBdr>
            <w:top w:val="none" w:sz="0" w:space="0" w:color="auto"/>
            <w:left w:val="none" w:sz="0" w:space="0" w:color="auto"/>
            <w:bottom w:val="none" w:sz="0" w:space="0" w:color="auto"/>
            <w:right w:val="none" w:sz="0" w:space="0" w:color="auto"/>
          </w:divBdr>
        </w:div>
        <w:div w:id="1361973493">
          <w:marLeft w:val="0"/>
          <w:marRight w:val="0"/>
          <w:marTop w:val="0"/>
          <w:marBottom w:val="0"/>
          <w:divBdr>
            <w:top w:val="none" w:sz="0" w:space="0" w:color="auto"/>
            <w:left w:val="none" w:sz="0" w:space="0" w:color="auto"/>
            <w:bottom w:val="none" w:sz="0" w:space="0" w:color="auto"/>
            <w:right w:val="none" w:sz="0" w:space="0" w:color="auto"/>
          </w:divBdr>
          <w:divsChild>
            <w:div w:id="58096389">
              <w:marLeft w:val="0"/>
              <w:marRight w:val="0"/>
              <w:marTop w:val="0"/>
              <w:marBottom w:val="0"/>
              <w:divBdr>
                <w:top w:val="none" w:sz="0" w:space="0" w:color="auto"/>
                <w:left w:val="none" w:sz="0" w:space="0" w:color="auto"/>
                <w:bottom w:val="none" w:sz="0" w:space="0" w:color="auto"/>
                <w:right w:val="none" w:sz="0" w:space="0" w:color="auto"/>
              </w:divBdr>
            </w:div>
            <w:div w:id="133642382">
              <w:marLeft w:val="0"/>
              <w:marRight w:val="0"/>
              <w:marTop w:val="0"/>
              <w:marBottom w:val="0"/>
              <w:divBdr>
                <w:top w:val="none" w:sz="0" w:space="0" w:color="auto"/>
                <w:left w:val="none" w:sz="0" w:space="0" w:color="auto"/>
                <w:bottom w:val="none" w:sz="0" w:space="0" w:color="auto"/>
                <w:right w:val="none" w:sz="0" w:space="0" w:color="auto"/>
              </w:divBdr>
            </w:div>
            <w:div w:id="216478477">
              <w:marLeft w:val="0"/>
              <w:marRight w:val="0"/>
              <w:marTop w:val="0"/>
              <w:marBottom w:val="0"/>
              <w:divBdr>
                <w:top w:val="none" w:sz="0" w:space="0" w:color="auto"/>
                <w:left w:val="none" w:sz="0" w:space="0" w:color="auto"/>
                <w:bottom w:val="none" w:sz="0" w:space="0" w:color="auto"/>
                <w:right w:val="none" w:sz="0" w:space="0" w:color="auto"/>
              </w:divBdr>
            </w:div>
            <w:div w:id="290139092">
              <w:marLeft w:val="0"/>
              <w:marRight w:val="0"/>
              <w:marTop w:val="0"/>
              <w:marBottom w:val="0"/>
              <w:divBdr>
                <w:top w:val="none" w:sz="0" w:space="0" w:color="auto"/>
                <w:left w:val="none" w:sz="0" w:space="0" w:color="auto"/>
                <w:bottom w:val="none" w:sz="0" w:space="0" w:color="auto"/>
                <w:right w:val="none" w:sz="0" w:space="0" w:color="auto"/>
              </w:divBdr>
            </w:div>
            <w:div w:id="297078233">
              <w:marLeft w:val="0"/>
              <w:marRight w:val="0"/>
              <w:marTop w:val="0"/>
              <w:marBottom w:val="0"/>
              <w:divBdr>
                <w:top w:val="none" w:sz="0" w:space="0" w:color="auto"/>
                <w:left w:val="none" w:sz="0" w:space="0" w:color="auto"/>
                <w:bottom w:val="none" w:sz="0" w:space="0" w:color="auto"/>
                <w:right w:val="none" w:sz="0" w:space="0" w:color="auto"/>
              </w:divBdr>
            </w:div>
            <w:div w:id="393890954">
              <w:marLeft w:val="0"/>
              <w:marRight w:val="0"/>
              <w:marTop w:val="0"/>
              <w:marBottom w:val="0"/>
              <w:divBdr>
                <w:top w:val="none" w:sz="0" w:space="0" w:color="auto"/>
                <w:left w:val="none" w:sz="0" w:space="0" w:color="auto"/>
                <w:bottom w:val="none" w:sz="0" w:space="0" w:color="auto"/>
                <w:right w:val="none" w:sz="0" w:space="0" w:color="auto"/>
              </w:divBdr>
            </w:div>
            <w:div w:id="502473735">
              <w:marLeft w:val="0"/>
              <w:marRight w:val="0"/>
              <w:marTop w:val="0"/>
              <w:marBottom w:val="0"/>
              <w:divBdr>
                <w:top w:val="none" w:sz="0" w:space="0" w:color="auto"/>
                <w:left w:val="none" w:sz="0" w:space="0" w:color="auto"/>
                <w:bottom w:val="none" w:sz="0" w:space="0" w:color="auto"/>
                <w:right w:val="none" w:sz="0" w:space="0" w:color="auto"/>
              </w:divBdr>
            </w:div>
            <w:div w:id="529221177">
              <w:marLeft w:val="0"/>
              <w:marRight w:val="0"/>
              <w:marTop w:val="0"/>
              <w:marBottom w:val="0"/>
              <w:divBdr>
                <w:top w:val="none" w:sz="0" w:space="0" w:color="auto"/>
                <w:left w:val="none" w:sz="0" w:space="0" w:color="auto"/>
                <w:bottom w:val="none" w:sz="0" w:space="0" w:color="auto"/>
                <w:right w:val="none" w:sz="0" w:space="0" w:color="auto"/>
              </w:divBdr>
            </w:div>
            <w:div w:id="855583363">
              <w:marLeft w:val="0"/>
              <w:marRight w:val="0"/>
              <w:marTop w:val="0"/>
              <w:marBottom w:val="0"/>
              <w:divBdr>
                <w:top w:val="none" w:sz="0" w:space="0" w:color="auto"/>
                <w:left w:val="none" w:sz="0" w:space="0" w:color="auto"/>
                <w:bottom w:val="none" w:sz="0" w:space="0" w:color="auto"/>
                <w:right w:val="none" w:sz="0" w:space="0" w:color="auto"/>
              </w:divBdr>
            </w:div>
            <w:div w:id="894119571">
              <w:marLeft w:val="0"/>
              <w:marRight w:val="0"/>
              <w:marTop w:val="0"/>
              <w:marBottom w:val="0"/>
              <w:divBdr>
                <w:top w:val="none" w:sz="0" w:space="0" w:color="auto"/>
                <w:left w:val="none" w:sz="0" w:space="0" w:color="auto"/>
                <w:bottom w:val="none" w:sz="0" w:space="0" w:color="auto"/>
                <w:right w:val="none" w:sz="0" w:space="0" w:color="auto"/>
              </w:divBdr>
            </w:div>
            <w:div w:id="926112805">
              <w:marLeft w:val="0"/>
              <w:marRight w:val="0"/>
              <w:marTop w:val="0"/>
              <w:marBottom w:val="0"/>
              <w:divBdr>
                <w:top w:val="none" w:sz="0" w:space="0" w:color="auto"/>
                <w:left w:val="none" w:sz="0" w:space="0" w:color="auto"/>
                <w:bottom w:val="none" w:sz="0" w:space="0" w:color="auto"/>
                <w:right w:val="none" w:sz="0" w:space="0" w:color="auto"/>
              </w:divBdr>
            </w:div>
            <w:div w:id="1021778461">
              <w:marLeft w:val="0"/>
              <w:marRight w:val="0"/>
              <w:marTop w:val="0"/>
              <w:marBottom w:val="0"/>
              <w:divBdr>
                <w:top w:val="none" w:sz="0" w:space="0" w:color="auto"/>
                <w:left w:val="none" w:sz="0" w:space="0" w:color="auto"/>
                <w:bottom w:val="none" w:sz="0" w:space="0" w:color="auto"/>
                <w:right w:val="none" w:sz="0" w:space="0" w:color="auto"/>
              </w:divBdr>
            </w:div>
            <w:div w:id="1039939268">
              <w:marLeft w:val="0"/>
              <w:marRight w:val="0"/>
              <w:marTop w:val="0"/>
              <w:marBottom w:val="0"/>
              <w:divBdr>
                <w:top w:val="none" w:sz="0" w:space="0" w:color="auto"/>
                <w:left w:val="none" w:sz="0" w:space="0" w:color="auto"/>
                <w:bottom w:val="none" w:sz="0" w:space="0" w:color="auto"/>
                <w:right w:val="none" w:sz="0" w:space="0" w:color="auto"/>
              </w:divBdr>
            </w:div>
            <w:div w:id="1323923547">
              <w:marLeft w:val="0"/>
              <w:marRight w:val="0"/>
              <w:marTop w:val="0"/>
              <w:marBottom w:val="0"/>
              <w:divBdr>
                <w:top w:val="none" w:sz="0" w:space="0" w:color="auto"/>
                <w:left w:val="none" w:sz="0" w:space="0" w:color="auto"/>
                <w:bottom w:val="none" w:sz="0" w:space="0" w:color="auto"/>
                <w:right w:val="none" w:sz="0" w:space="0" w:color="auto"/>
              </w:divBdr>
            </w:div>
            <w:div w:id="1668558363">
              <w:marLeft w:val="0"/>
              <w:marRight w:val="0"/>
              <w:marTop w:val="0"/>
              <w:marBottom w:val="0"/>
              <w:divBdr>
                <w:top w:val="none" w:sz="0" w:space="0" w:color="auto"/>
                <w:left w:val="none" w:sz="0" w:space="0" w:color="auto"/>
                <w:bottom w:val="none" w:sz="0" w:space="0" w:color="auto"/>
                <w:right w:val="none" w:sz="0" w:space="0" w:color="auto"/>
              </w:divBdr>
            </w:div>
            <w:div w:id="1814056029">
              <w:marLeft w:val="0"/>
              <w:marRight w:val="0"/>
              <w:marTop w:val="0"/>
              <w:marBottom w:val="0"/>
              <w:divBdr>
                <w:top w:val="none" w:sz="0" w:space="0" w:color="auto"/>
                <w:left w:val="none" w:sz="0" w:space="0" w:color="auto"/>
                <w:bottom w:val="none" w:sz="0" w:space="0" w:color="auto"/>
                <w:right w:val="none" w:sz="0" w:space="0" w:color="auto"/>
              </w:divBdr>
            </w:div>
            <w:div w:id="1913467691">
              <w:marLeft w:val="0"/>
              <w:marRight w:val="0"/>
              <w:marTop w:val="0"/>
              <w:marBottom w:val="0"/>
              <w:divBdr>
                <w:top w:val="none" w:sz="0" w:space="0" w:color="auto"/>
                <w:left w:val="none" w:sz="0" w:space="0" w:color="auto"/>
                <w:bottom w:val="none" w:sz="0" w:space="0" w:color="auto"/>
                <w:right w:val="none" w:sz="0" w:space="0" w:color="auto"/>
              </w:divBdr>
            </w:div>
            <w:div w:id="1937252626">
              <w:marLeft w:val="0"/>
              <w:marRight w:val="0"/>
              <w:marTop w:val="0"/>
              <w:marBottom w:val="0"/>
              <w:divBdr>
                <w:top w:val="none" w:sz="0" w:space="0" w:color="auto"/>
                <w:left w:val="none" w:sz="0" w:space="0" w:color="auto"/>
                <w:bottom w:val="none" w:sz="0" w:space="0" w:color="auto"/>
                <w:right w:val="none" w:sz="0" w:space="0" w:color="auto"/>
              </w:divBdr>
            </w:div>
            <w:div w:id="1995335512">
              <w:marLeft w:val="0"/>
              <w:marRight w:val="0"/>
              <w:marTop w:val="0"/>
              <w:marBottom w:val="0"/>
              <w:divBdr>
                <w:top w:val="none" w:sz="0" w:space="0" w:color="auto"/>
                <w:left w:val="none" w:sz="0" w:space="0" w:color="auto"/>
                <w:bottom w:val="none" w:sz="0" w:space="0" w:color="auto"/>
                <w:right w:val="none" w:sz="0" w:space="0" w:color="auto"/>
              </w:divBdr>
            </w:div>
            <w:div w:id="2126072721">
              <w:marLeft w:val="0"/>
              <w:marRight w:val="0"/>
              <w:marTop w:val="0"/>
              <w:marBottom w:val="0"/>
              <w:divBdr>
                <w:top w:val="none" w:sz="0" w:space="0" w:color="auto"/>
                <w:left w:val="none" w:sz="0" w:space="0" w:color="auto"/>
                <w:bottom w:val="none" w:sz="0" w:space="0" w:color="auto"/>
                <w:right w:val="none" w:sz="0" w:space="0" w:color="auto"/>
              </w:divBdr>
            </w:div>
          </w:divsChild>
        </w:div>
        <w:div w:id="1525317497">
          <w:marLeft w:val="0"/>
          <w:marRight w:val="0"/>
          <w:marTop w:val="0"/>
          <w:marBottom w:val="0"/>
          <w:divBdr>
            <w:top w:val="none" w:sz="0" w:space="0" w:color="auto"/>
            <w:left w:val="none" w:sz="0" w:space="0" w:color="auto"/>
            <w:bottom w:val="none" w:sz="0" w:space="0" w:color="auto"/>
            <w:right w:val="none" w:sz="0" w:space="0" w:color="auto"/>
          </w:divBdr>
        </w:div>
        <w:div w:id="1556698463">
          <w:marLeft w:val="0"/>
          <w:marRight w:val="0"/>
          <w:marTop w:val="0"/>
          <w:marBottom w:val="0"/>
          <w:divBdr>
            <w:top w:val="none" w:sz="0" w:space="0" w:color="auto"/>
            <w:left w:val="none" w:sz="0" w:space="0" w:color="auto"/>
            <w:bottom w:val="none" w:sz="0" w:space="0" w:color="auto"/>
            <w:right w:val="none" w:sz="0" w:space="0" w:color="auto"/>
          </w:divBdr>
        </w:div>
        <w:div w:id="1639795045">
          <w:marLeft w:val="0"/>
          <w:marRight w:val="0"/>
          <w:marTop w:val="0"/>
          <w:marBottom w:val="0"/>
          <w:divBdr>
            <w:top w:val="none" w:sz="0" w:space="0" w:color="auto"/>
            <w:left w:val="none" w:sz="0" w:space="0" w:color="auto"/>
            <w:bottom w:val="none" w:sz="0" w:space="0" w:color="auto"/>
            <w:right w:val="none" w:sz="0" w:space="0" w:color="auto"/>
          </w:divBdr>
        </w:div>
        <w:div w:id="1824076860">
          <w:marLeft w:val="0"/>
          <w:marRight w:val="0"/>
          <w:marTop w:val="0"/>
          <w:marBottom w:val="0"/>
          <w:divBdr>
            <w:top w:val="none" w:sz="0" w:space="0" w:color="auto"/>
            <w:left w:val="none" w:sz="0" w:space="0" w:color="auto"/>
            <w:bottom w:val="none" w:sz="0" w:space="0" w:color="auto"/>
            <w:right w:val="none" w:sz="0" w:space="0" w:color="auto"/>
          </w:divBdr>
        </w:div>
        <w:div w:id="1843201190">
          <w:marLeft w:val="0"/>
          <w:marRight w:val="0"/>
          <w:marTop w:val="0"/>
          <w:marBottom w:val="0"/>
          <w:divBdr>
            <w:top w:val="none" w:sz="0" w:space="0" w:color="auto"/>
            <w:left w:val="none" w:sz="0" w:space="0" w:color="auto"/>
            <w:bottom w:val="none" w:sz="0" w:space="0" w:color="auto"/>
            <w:right w:val="none" w:sz="0" w:space="0" w:color="auto"/>
          </w:divBdr>
          <w:divsChild>
            <w:div w:id="513108665">
              <w:marLeft w:val="0"/>
              <w:marRight w:val="0"/>
              <w:marTop w:val="0"/>
              <w:marBottom w:val="0"/>
              <w:divBdr>
                <w:top w:val="none" w:sz="0" w:space="0" w:color="auto"/>
                <w:left w:val="none" w:sz="0" w:space="0" w:color="auto"/>
                <w:bottom w:val="none" w:sz="0" w:space="0" w:color="auto"/>
                <w:right w:val="none" w:sz="0" w:space="0" w:color="auto"/>
              </w:divBdr>
            </w:div>
            <w:div w:id="1134449073">
              <w:marLeft w:val="0"/>
              <w:marRight w:val="0"/>
              <w:marTop w:val="0"/>
              <w:marBottom w:val="0"/>
              <w:divBdr>
                <w:top w:val="none" w:sz="0" w:space="0" w:color="auto"/>
                <w:left w:val="none" w:sz="0" w:space="0" w:color="auto"/>
                <w:bottom w:val="none" w:sz="0" w:space="0" w:color="auto"/>
                <w:right w:val="none" w:sz="0" w:space="0" w:color="auto"/>
              </w:divBdr>
            </w:div>
            <w:div w:id="1155144774">
              <w:marLeft w:val="0"/>
              <w:marRight w:val="0"/>
              <w:marTop w:val="0"/>
              <w:marBottom w:val="0"/>
              <w:divBdr>
                <w:top w:val="none" w:sz="0" w:space="0" w:color="auto"/>
                <w:left w:val="none" w:sz="0" w:space="0" w:color="auto"/>
                <w:bottom w:val="none" w:sz="0" w:space="0" w:color="auto"/>
                <w:right w:val="none" w:sz="0" w:space="0" w:color="auto"/>
              </w:divBdr>
            </w:div>
            <w:div w:id="1920480577">
              <w:marLeft w:val="0"/>
              <w:marRight w:val="0"/>
              <w:marTop w:val="0"/>
              <w:marBottom w:val="0"/>
              <w:divBdr>
                <w:top w:val="none" w:sz="0" w:space="0" w:color="auto"/>
                <w:left w:val="none" w:sz="0" w:space="0" w:color="auto"/>
                <w:bottom w:val="none" w:sz="0" w:space="0" w:color="auto"/>
                <w:right w:val="none" w:sz="0" w:space="0" w:color="auto"/>
              </w:divBdr>
            </w:div>
            <w:div w:id="1930036731">
              <w:marLeft w:val="0"/>
              <w:marRight w:val="0"/>
              <w:marTop w:val="0"/>
              <w:marBottom w:val="0"/>
              <w:divBdr>
                <w:top w:val="none" w:sz="0" w:space="0" w:color="auto"/>
                <w:left w:val="none" w:sz="0" w:space="0" w:color="auto"/>
                <w:bottom w:val="none" w:sz="0" w:space="0" w:color="auto"/>
                <w:right w:val="none" w:sz="0" w:space="0" w:color="auto"/>
              </w:divBdr>
            </w:div>
          </w:divsChild>
        </w:div>
        <w:div w:id="1856572500">
          <w:marLeft w:val="0"/>
          <w:marRight w:val="0"/>
          <w:marTop w:val="0"/>
          <w:marBottom w:val="0"/>
          <w:divBdr>
            <w:top w:val="none" w:sz="0" w:space="0" w:color="auto"/>
            <w:left w:val="none" w:sz="0" w:space="0" w:color="auto"/>
            <w:bottom w:val="none" w:sz="0" w:space="0" w:color="auto"/>
            <w:right w:val="none" w:sz="0" w:space="0" w:color="auto"/>
          </w:divBdr>
        </w:div>
        <w:div w:id="1983269378">
          <w:marLeft w:val="0"/>
          <w:marRight w:val="0"/>
          <w:marTop w:val="0"/>
          <w:marBottom w:val="0"/>
          <w:divBdr>
            <w:top w:val="none" w:sz="0" w:space="0" w:color="auto"/>
            <w:left w:val="none" w:sz="0" w:space="0" w:color="auto"/>
            <w:bottom w:val="none" w:sz="0" w:space="0" w:color="auto"/>
            <w:right w:val="none" w:sz="0" w:space="0" w:color="auto"/>
          </w:divBdr>
        </w:div>
        <w:div w:id="2043700585">
          <w:marLeft w:val="0"/>
          <w:marRight w:val="0"/>
          <w:marTop w:val="0"/>
          <w:marBottom w:val="0"/>
          <w:divBdr>
            <w:top w:val="none" w:sz="0" w:space="0" w:color="auto"/>
            <w:left w:val="none" w:sz="0" w:space="0" w:color="auto"/>
            <w:bottom w:val="none" w:sz="0" w:space="0" w:color="auto"/>
            <w:right w:val="none" w:sz="0" w:space="0" w:color="auto"/>
          </w:divBdr>
        </w:div>
        <w:div w:id="2055962233">
          <w:marLeft w:val="0"/>
          <w:marRight w:val="0"/>
          <w:marTop w:val="0"/>
          <w:marBottom w:val="0"/>
          <w:divBdr>
            <w:top w:val="none" w:sz="0" w:space="0" w:color="auto"/>
            <w:left w:val="none" w:sz="0" w:space="0" w:color="auto"/>
            <w:bottom w:val="none" w:sz="0" w:space="0" w:color="auto"/>
            <w:right w:val="none" w:sz="0" w:space="0" w:color="auto"/>
          </w:divBdr>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865547">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94760">
      <w:bodyDiv w:val="1"/>
      <w:marLeft w:val="0"/>
      <w:marRight w:val="0"/>
      <w:marTop w:val="0"/>
      <w:marBottom w:val="0"/>
      <w:divBdr>
        <w:top w:val="none" w:sz="0" w:space="0" w:color="auto"/>
        <w:left w:val="none" w:sz="0" w:space="0" w:color="auto"/>
        <w:bottom w:val="none" w:sz="0" w:space="0" w:color="auto"/>
        <w:right w:val="none" w:sz="0" w:space="0" w:color="auto"/>
      </w:divBdr>
      <w:divsChild>
        <w:div w:id="68238744">
          <w:marLeft w:val="0"/>
          <w:marRight w:val="0"/>
          <w:marTop w:val="0"/>
          <w:marBottom w:val="0"/>
          <w:divBdr>
            <w:top w:val="none" w:sz="0" w:space="0" w:color="auto"/>
            <w:left w:val="none" w:sz="0" w:space="0" w:color="auto"/>
            <w:bottom w:val="none" w:sz="0" w:space="0" w:color="auto"/>
            <w:right w:val="none" w:sz="0" w:space="0" w:color="auto"/>
          </w:divBdr>
          <w:divsChild>
            <w:div w:id="102187639">
              <w:marLeft w:val="0"/>
              <w:marRight w:val="0"/>
              <w:marTop w:val="0"/>
              <w:marBottom w:val="0"/>
              <w:divBdr>
                <w:top w:val="none" w:sz="0" w:space="0" w:color="auto"/>
                <w:left w:val="none" w:sz="0" w:space="0" w:color="auto"/>
                <w:bottom w:val="none" w:sz="0" w:space="0" w:color="auto"/>
                <w:right w:val="none" w:sz="0" w:space="0" w:color="auto"/>
              </w:divBdr>
            </w:div>
            <w:div w:id="501164875">
              <w:marLeft w:val="0"/>
              <w:marRight w:val="0"/>
              <w:marTop w:val="0"/>
              <w:marBottom w:val="0"/>
              <w:divBdr>
                <w:top w:val="none" w:sz="0" w:space="0" w:color="auto"/>
                <w:left w:val="none" w:sz="0" w:space="0" w:color="auto"/>
                <w:bottom w:val="none" w:sz="0" w:space="0" w:color="auto"/>
                <w:right w:val="none" w:sz="0" w:space="0" w:color="auto"/>
              </w:divBdr>
            </w:div>
            <w:div w:id="504898519">
              <w:marLeft w:val="0"/>
              <w:marRight w:val="0"/>
              <w:marTop w:val="0"/>
              <w:marBottom w:val="0"/>
              <w:divBdr>
                <w:top w:val="none" w:sz="0" w:space="0" w:color="auto"/>
                <w:left w:val="none" w:sz="0" w:space="0" w:color="auto"/>
                <w:bottom w:val="none" w:sz="0" w:space="0" w:color="auto"/>
                <w:right w:val="none" w:sz="0" w:space="0" w:color="auto"/>
              </w:divBdr>
            </w:div>
            <w:div w:id="1825047092">
              <w:marLeft w:val="0"/>
              <w:marRight w:val="0"/>
              <w:marTop w:val="0"/>
              <w:marBottom w:val="0"/>
              <w:divBdr>
                <w:top w:val="none" w:sz="0" w:space="0" w:color="auto"/>
                <w:left w:val="none" w:sz="0" w:space="0" w:color="auto"/>
                <w:bottom w:val="none" w:sz="0" w:space="0" w:color="auto"/>
                <w:right w:val="none" w:sz="0" w:space="0" w:color="auto"/>
              </w:divBdr>
            </w:div>
            <w:div w:id="1950965764">
              <w:marLeft w:val="0"/>
              <w:marRight w:val="0"/>
              <w:marTop w:val="0"/>
              <w:marBottom w:val="0"/>
              <w:divBdr>
                <w:top w:val="none" w:sz="0" w:space="0" w:color="auto"/>
                <w:left w:val="none" w:sz="0" w:space="0" w:color="auto"/>
                <w:bottom w:val="none" w:sz="0" w:space="0" w:color="auto"/>
                <w:right w:val="none" w:sz="0" w:space="0" w:color="auto"/>
              </w:divBdr>
            </w:div>
          </w:divsChild>
        </w:div>
        <w:div w:id="101531276">
          <w:marLeft w:val="0"/>
          <w:marRight w:val="0"/>
          <w:marTop w:val="0"/>
          <w:marBottom w:val="0"/>
          <w:divBdr>
            <w:top w:val="none" w:sz="0" w:space="0" w:color="auto"/>
            <w:left w:val="none" w:sz="0" w:space="0" w:color="auto"/>
            <w:bottom w:val="none" w:sz="0" w:space="0" w:color="auto"/>
            <w:right w:val="none" w:sz="0" w:space="0" w:color="auto"/>
          </w:divBdr>
        </w:div>
        <w:div w:id="147407662">
          <w:marLeft w:val="0"/>
          <w:marRight w:val="0"/>
          <w:marTop w:val="0"/>
          <w:marBottom w:val="0"/>
          <w:divBdr>
            <w:top w:val="none" w:sz="0" w:space="0" w:color="auto"/>
            <w:left w:val="none" w:sz="0" w:space="0" w:color="auto"/>
            <w:bottom w:val="none" w:sz="0" w:space="0" w:color="auto"/>
            <w:right w:val="none" w:sz="0" w:space="0" w:color="auto"/>
          </w:divBdr>
        </w:div>
        <w:div w:id="246579022">
          <w:marLeft w:val="0"/>
          <w:marRight w:val="0"/>
          <w:marTop w:val="0"/>
          <w:marBottom w:val="0"/>
          <w:divBdr>
            <w:top w:val="none" w:sz="0" w:space="0" w:color="auto"/>
            <w:left w:val="none" w:sz="0" w:space="0" w:color="auto"/>
            <w:bottom w:val="none" w:sz="0" w:space="0" w:color="auto"/>
            <w:right w:val="none" w:sz="0" w:space="0" w:color="auto"/>
          </w:divBdr>
        </w:div>
        <w:div w:id="329717765">
          <w:marLeft w:val="0"/>
          <w:marRight w:val="0"/>
          <w:marTop w:val="0"/>
          <w:marBottom w:val="0"/>
          <w:divBdr>
            <w:top w:val="none" w:sz="0" w:space="0" w:color="auto"/>
            <w:left w:val="none" w:sz="0" w:space="0" w:color="auto"/>
            <w:bottom w:val="none" w:sz="0" w:space="0" w:color="auto"/>
            <w:right w:val="none" w:sz="0" w:space="0" w:color="auto"/>
          </w:divBdr>
        </w:div>
        <w:div w:id="686324486">
          <w:marLeft w:val="0"/>
          <w:marRight w:val="0"/>
          <w:marTop w:val="0"/>
          <w:marBottom w:val="0"/>
          <w:divBdr>
            <w:top w:val="none" w:sz="0" w:space="0" w:color="auto"/>
            <w:left w:val="none" w:sz="0" w:space="0" w:color="auto"/>
            <w:bottom w:val="none" w:sz="0" w:space="0" w:color="auto"/>
            <w:right w:val="none" w:sz="0" w:space="0" w:color="auto"/>
          </w:divBdr>
        </w:div>
        <w:div w:id="829561590">
          <w:marLeft w:val="0"/>
          <w:marRight w:val="0"/>
          <w:marTop w:val="0"/>
          <w:marBottom w:val="0"/>
          <w:divBdr>
            <w:top w:val="none" w:sz="0" w:space="0" w:color="auto"/>
            <w:left w:val="none" w:sz="0" w:space="0" w:color="auto"/>
            <w:bottom w:val="none" w:sz="0" w:space="0" w:color="auto"/>
            <w:right w:val="none" w:sz="0" w:space="0" w:color="auto"/>
          </w:divBdr>
        </w:div>
        <w:div w:id="943270546">
          <w:marLeft w:val="0"/>
          <w:marRight w:val="0"/>
          <w:marTop w:val="0"/>
          <w:marBottom w:val="0"/>
          <w:divBdr>
            <w:top w:val="none" w:sz="0" w:space="0" w:color="auto"/>
            <w:left w:val="none" w:sz="0" w:space="0" w:color="auto"/>
            <w:bottom w:val="none" w:sz="0" w:space="0" w:color="auto"/>
            <w:right w:val="none" w:sz="0" w:space="0" w:color="auto"/>
          </w:divBdr>
        </w:div>
        <w:div w:id="960695723">
          <w:marLeft w:val="0"/>
          <w:marRight w:val="0"/>
          <w:marTop w:val="0"/>
          <w:marBottom w:val="0"/>
          <w:divBdr>
            <w:top w:val="none" w:sz="0" w:space="0" w:color="auto"/>
            <w:left w:val="none" w:sz="0" w:space="0" w:color="auto"/>
            <w:bottom w:val="none" w:sz="0" w:space="0" w:color="auto"/>
            <w:right w:val="none" w:sz="0" w:space="0" w:color="auto"/>
          </w:divBdr>
        </w:div>
        <w:div w:id="1011179895">
          <w:marLeft w:val="0"/>
          <w:marRight w:val="0"/>
          <w:marTop w:val="0"/>
          <w:marBottom w:val="0"/>
          <w:divBdr>
            <w:top w:val="none" w:sz="0" w:space="0" w:color="auto"/>
            <w:left w:val="none" w:sz="0" w:space="0" w:color="auto"/>
            <w:bottom w:val="none" w:sz="0" w:space="0" w:color="auto"/>
            <w:right w:val="none" w:sz="0" w:space="0" w:color="auto"/>
          </w:divBdr>
        </w:div>
        <w:div w:id="1243031287">
          <w:marLeft w:val="0"/>
          <w:marRight w:val="0"/>
          <w:marTop w:val="0"/>
          <w:marBottom w:val="0"/>
          <w:divBdr>
            <w:top w:val="none" w:sz="0" w:space="0" w:color="auto"/>
            <w:left w:val="none" w:sz="0" w:space="0" w:color="auto"/>
            <w:bottom w:val="none" w:sz="0" w:space="0" w:color="auto"/>
            <w:right w:val="none" w:sz="0" w:space="0" w:color="auto"/>
          </w:divBdr>
        </w:div>
        <w:div w:id="1314602968">
          <w:marLeft w:val="0"/>
          <w:marRight w:val="0"/>
          <w:marTop w:val="0"/>
          <w:marBottom w:val="0"/>
          <w:divBdr>
            <w:top w:val="none" w:sz="0" w:space="0" w:color="auto"/>
            <w:left w:val="none" w:sz="0" w:space="0" w:color="auto"/>
            <w:bottom w:val="none" w:sz="0" w:space="0" w:color="auto"/>
            <w:right w:val="none" w:sz="0" w:space="0" w:color="auto"/>
          </w:divBdr>
        </w:div>
        <w:div w:id="1320381234">
          <w:marLeft w:val="0"/>
          <w:marRight w:val="0"/>
          <w:marTop w:val="0"/>
          <w:marBottom w:val="0"/>
          <w:divBdr>
            <w:top w:val="none" w:sz="0" w:space="0" w:color="auto"/>
            <w:left w:val="none" w:sz="0" w:space="0" w:color="auto"/>
            <w:bottom w:val="none" w:sz="0" w:space="0" w:color="auto"/>
            <w:right w:val="none" w:sz="0" w:space="0" w:color="auto"/>
          </w:divBdr>
        </w:div>
        <w:div w:id="1383021120">
          <w:marLeft w:val="0"/>
          <w:marRight w:val="0"/>
          <w:marTop w:val="0"/>
          <w:marBottom w:val="0"/>
          <w:divBdr>
            <w:top w:val="none" w:sz="0" w:space="0" w:color="auto"/>
            <w:left w:val="none" w:sz="0" w:space="0" w:color="auto"/>
            <w:bottom w:val="none" w:sz="0" w:space="0" w:color="auto"/>
            <w:right w:val="none" w:sz="0" w:space="0" w:color="auto"/>
          </w:divBdr>
        </w:div>
        <w:div w:id="1719475653">
          <w:marLeft w:val="0"/>
          <w:marRight w:val="0"/>
          <w:marTop w:val="0"/>
          <w:marBottom w:val="0"/>
          <w:divBdr>
            <w:top w:val="none" w:sz="0" w:space="0" w:color="auto"/>
            <w:left w:val="none" w:sz="0" w:space="0" w:color="auto"/>
            <w:bottom w:val="none" w:sz="0" w:space="0" w:color="auto"/>
            <w:right w:val="none" w:sz="0" w:space="0" w:color="auto"/>
          </w:divBdr>
        </w:div>
        <w:div w:id="1793940237">
          <w:marLeft w:val="0"/>
          <w:marRight w:val="0"/>
          <w:marTop w:val="0"/>
          <w:marBottom w:val="0"/>
          <w:divBdr>
            <w:top w:val="none" w:sz="0" w:space="0" w:color="auto"/>
            <w:left w:val="none" w:sz="0" w:space="0" w:color="auto"/>
            <w:bottom w:val="none" w:sz="0" w:space="0" w:color="auto"/>
            <w:right w:val="none" w:sz="0" w:space="0" w:color="auto"/>
          </w:divBdr>
        </w:div>
        <w:div w:id="1875655524">
          <w:marLeft w:val="0"/>
          <w:marRight w:val="0"/>
          <w:marTop w:val="0"/>
          <w:marBottom w:val="0"/>
          <w:divBdr>
            <w:top w:val="none" w:sz="0" w:space="0" w:color="auto"/>
            <w:left w:val="none" w:sz="0" w:space="0" w:color="auto"/>
            <w:bottom w:val="none" w:sz="0" w:space="0" w:color="auto"/>
            <w:right w:val="none" w:sz="0" w:space="0" w:color="auto"/>
          </w:divBdr>
        </w:div>
        <w:div w:id="1878199087">
          <w:marLeft w:val="0"/>
          <w:marRight w:val="0"/>
          <w:marTop w:val="0"/>
          <w:marBottom w:val="0"/>
          <w:divBdr>
            <w:top w:val="none" w:sz="0" w:space="0" w:color="auto"/>
            <w:left w:val="none" w:sz="0" w:space="0" w:color="auto"/>
            <w:bottom w:val="none" w:sz="0" w:space="0" w:color="auto"/>
            <w:right w:val="none" w:sz="0" w:space="0" w:color="auto"/>
          </w:divBdr>
          <w:divsChild>
            <w:div w:id="29916941">
              <w:marLeft w:val="0"/>
              <w:marRight w:val="0"/>
              <w:marTop w:val="0"/>
              <w:marBottom w:val="0"/>
              <w:divBdr>
                <w:top w:val="none" w:sz="0" w:space="0" w:color="auto"/>
                <w:left w:val="none" w:sz="0" w:space="0" w:color="auto"/>
                <w:bottom w:val="none" w:sz="0" w:space="0" w:color="auto"/>
                <w:right w:val="none" w:sz="0" w:space="0" w:color="auto"/>
              </w:divBdr>
            </w:div>
            <w:div w:id="32121179">
              <w:marLeft w:val="0"/>
              <w:marRight w:val="0"/>
              <w:marTop w:val="0"/>
              <w:marBottom w:val="0"/>
              <w:divBdr>
                <w:top w:val="none" w:sz="0" w:space="0" w:color="auto"/>
                <w:left w:val="none" w:sz="0" w:space="0" w:color="auto"/>
                <w:bottom w:val="none" w:sz="0" w:space="0" w:color="auto"/>
                <w:right w:val="none" w:sz="0" w:space="0" w:color="auto"/>
              </w:divBdr>
            </w:div>
            <w:div w:id="35862521">
              <w:marLeft w:val="0"/>
              <w:marRight w:val="0"/>
              <w:marTop w:val="0"/>
              <w:marBottom w:val="0"/>
              <w:divBdr>
                <w:top w:val="none" w:sz="0" w:space="0" w:color="auto"/>
                <w:left w:val="none" w:sz="0" w:space="0" w:color="auto"/>
                <w:bottom w:val="none" w:sz="0" w:space="0" w:color="auto"/>
                <w:right w:val="none" w:sz="0" w:space="0" w:color="auto"/>
              </w:divBdr>
            </w:div>
            <w:div w:id="108353582">
              <w:marLeft w:val="0"/>
              <w:marRight w:val="0"/>
              <w:marTop w:val="0"/>
              <w:marBottom w:val="0"/>
              <w:divBdr>
                <w:top w:val="none" w:sz="0" w:space="0" w:color="auto"/>
                <w:left w:val="none" w:sz="0" w:space="0" w:color="auto"/>
                <w:bottom w:val="none" w:sz="0" w:space="0" w:color="auto"/>
                <w:right w:val="none" w:sz="0" w:space="0" w:color="auto"/>
              </w:divBdr>
            </w:div>
            <w:div w:id="190069918">
              <w:marLeft w:val="0"/>
              <w:marRight w:val="0"/>
              <w:marTop w:val="0"/>
              <w:marBottom w:val="0"/>
              <w:divBdr>
                <w:top w:val="none" w:sz="0" w:space="0" w:color="auto"/>
                <w:left w:val="none" w:sz="0" w:space="0" w:color="auto"/>
                <w:bottom w:val="none" w:sz="0" w:space="0" w:color="auto"/>
                <w:right w:val="none" w:sz="0" w:space="0" w:color="auto"/>
              </w:divBdr>
            </w:div>
            <w:div w:id="507065411">
              <w:marLeft w:val="0"/>
              <w:marRight w:val="0"/>
              <w:marTop w:val="0"/>
              <w:marBottom w:val="0"/>
              <w:divBdr>
                <w:top w:val="none" w:sz="0" w:space="0" w:color="auto"/>
                <w:left w:val="none" w:sz="0" w:space="0" w:color="auto"/>
                <w:bottom w:val="none" w:sz="0" w:space="0" w:color="auto"/>
                <w:right w:val="none" w:sz="0" w:space="0" w:color="auto"/>
              </w:divBdr>
            </w:div>
            <w:div w:id="661347330">
              <w:marLeft w:val="0"/>
              <w:marRight w:val="0"/>
              <w:marTop w:val="0"/>
              <w:marBottom w:val="0"/>
              <w:divBdr>
                <w:top w:val="none" w:sz="0" w:space="0" w:color="auto"/>
                <w:left w:val="none" w:sz="0" w:space="0" w:color="auto"/>
                <w:bottom w:val="none" w:sz="0" w:space="0" w:color="auto"/>
                <w:right w:val="none" w:sz="0" w:space="0" w:color="auto"/>
              </w:divBdr>
            </w:div>
            <w:div w:id="712585640">
              <w:marLeft w:val="0"/>
              <w:marRight w:val="0"/>
              <w:marTop w:val="0"/>
              <w:marBottom w:val="0"/>
              <w:divBdr>
                <w:top w:val="none" w:sz="0" w:space="0" w:color="auto"/>
                <w:left w:val="none" w:sz="0" w:space="0" w:color="auto"/>
                <w:bottom w:val="none" w:sz="0" w:space="0" w:color="auto"/>
                <w:right w:val="none" w:sz="0" w:space="0" w:color="auto"/>
              </w:divBdr>
            </w:div>
            <w:div w:id="734200788">
              <w:marLeft w:val="0"/>
              <w:marRight w:val="0"/>
              <w:marTop w:val="0"/>
              <w:marBottom w:val="0"/>
              <w:divBdr>
                <w:top w:val="none" w:sz="0" w:space="0" w:color="auto"/>
                <w:left w:val="none" w:sz="0" w:space="0" w:color="auto"/>
                <w:bottom w:val="none" w:sz="0" w:space="0" w:color="auto"/>
                <w:right w:val="none" w:sz="0" w:space="0" w:color="auto"/>
              </w:divBdr>
            </w:div>
            <w:div w:id="739207207">
              <w:marLeft w:val="0"/>
              <w:marRight w:val="0"/>
              <w:marTop w:val="0"/>
              <w:marBottom w:val="0"/>
              <w:divBdr>
                <w:top w:val="none" w:sz="0" w:space="0" w:color="auto"/>
                <w:left w:val="none" w:sz="0" w:space="0" w:color="auto"/>
                <w:bottom w:val="none" w:sz="0" w:space="0" w:color="auto"/>
                <w:right w:val="none" w:sz="0" w:space="0" w:color="auto"/>
              </w:divBdr>
            </w:div>
            <w:div w:id="914827980">
              <w:marLeft w:val="0"/>
              <w:marRight w:val="0"/>
              <w:marTop w:val="0"/>
              <w:marBottom w:val="0"/>
              <w:divBdr>
                <w:top w:val="none" w:sz="0" w:space="0" w:color="auto"/>
                <w:left w:val="none" w:sz="0" w:space="0" w:color="auto"/>
                <w:bottom w:val="none" w:sz="0" w:space="0" w:color="auto"/>
                <w:right w:val="none" w:sz="0" w:space="0" w:color="auto"/>
              </w:divBdr>
            </w:div>
            <w:div w:id="1067415590">
              <w:marLeft w:val="0"/>
              <w:marRight w:val="0"/>
              <w:marTop w:val="0"/>
              <w:marBottom w:val="0"/>
              <w:divBdr>
                <w:top w:val="none" w:sz="0" w:space="0" w:color="auto"/>
                <w:left w:val="none" w:sz="0" w:space="0" w:color="auto"/>
                <w:bottom w:val="none" w:sz="0" w:space="0" w:color="auto"/>
                <w:right w:val="none" w:sz="0" w:space="0" w:color="auto"/>
              </w:divBdr>
            </w:div>
            <w:div w:id="1406762428">
              <w:marLeft w:val="0"/>
              <w:marRight w:val="0"/>
              <w:marTop w:val="0"/>
              <w:marBottom w:val="0"/>
              <w:divBdr>
                <w:top w:val="none" w:sz="0" w:space="0" w:color="auto"/>
                <w:left w:val="none" w:sz="0" w:space="0" w:color="auto"/>
                <w:bottom w:val="none" w:sz="0" w:space="0" w:color="auto"/>
                <w:right w:val="none" w:sz="0" w:space="0" w:color="auto"/>
              </w:divBdr>
            </w:div>
            <w:div w:id="1468401067">
              <w:marLeft w:val="0"/>
              <w:marRight w:val="0"/>
              <w:marTop w:val="0"/>
              <w:marBottom w:val="0"/>
              <w:divBdr>
                <w:top w:val="none" w:sz="0" w:space="0" w:color="auto"/>
                <w:left w:val="none" w:sz="0" w:space="0" w:color="auto"/>
                <w:bottom w:val="none" w:sz="0" w:space="0" w:color="auto"/>
                <w:right w:val="none" w:sz="0" w:space="0" w:color="auto"/>
              </w:divBdr>
            </w:div>
            <w:div w:id="1589541096">
              <w:marLeft w:val="0"/>
              <w:marRight w:val="0"/>
              <w:marTop w:val="0"/>
              <w:marBottom w:val="0"/>
              <w:divBdr>
                <w:top w:val="none" w:sz="0" w:space="0" w:color="auto"/>
                <w:left w:val="none" w:sz="0" w:space="0" w:color="auto"/>
                <w:bottom w:val="none" w:sz="0" w:space="0" w:color="auto"/>
                <w:right w:val="none" w:sz="0" w:space="0" w:color="auto"/>
              </w:divBdr>
            </w:div>
            <w:div w:id="1768693406">
              <w:marLeft w:val="0"/>
              <w:marRight w:val="0"/>
              <w:marTop w:val="0"/>
              <w:marBottom w:val="0"/>
              <w:divBdr>
                <w:top w:val="none" w:sz="0" w:space="0" w:color="auto"/>
                <w:left w:val="none" w:sz="0" w:space="0" w:color="auto"/>
                <w:bottom w:val="none" w:sz="0" w:space="0" w:color="auto"/>
                <w:right w:val="none" w:sz="0" w:space="0" w:color="auto"/>
              </w:divBdr>
            </w:div>
            <w:div w:id="1954896340">
              <w:marLeft w:val="0"/>
              <w:marRight w:val="0"/>
              <w:marTop w:val="0"/>
              <w:marBottom w:val="0"/>
              <w:divBdr>
                <w:top w:val="none" w:sz="0" w:space="0" w:color="auto"/>
                <w:left w:val="none" w:sz="0" w:space="0" w:color="auto"/>
                <w:bottom w:val="none" w:sz="0" w:space="0" w:color="auto"/>
                <w:right w:val="none" w:sz="0" w:space="0" w:color="auto"/>
              </w:divBdr>
            </w:div>
            <w:div w:id="2094232602">
              <w:marLeft w:val="0"/>
              <w:marRight w:val="0"/>
              <w:marTop w:val="0"/>
              <w:marBottom w:val="0"/>
              <w:divBdr>
                <w:top w:val="none" w:sz="0" w:space="0" w:color="auto"/>
                <w:left w:val="none" w:sz="0" w:space="0" w:color="auto"/>
                <w:bottom w:val="none" w:sz="0" w:space="0" w:color="auto"/>
                <w:right w:val="none" w:sz="0" w:space="0" w:color="auto"/>
              </w:divBdr>
            </w:div>
            <w:div w:id="2105304281">
              <w:marLeft w:val="0"/>
              <w:marRight w:val="0"/>
              <w:marTop w:val="0"/>
              <w:marBottom w:val="0"/>
              <w:divBdr>
                <w:top w:val="none" w:sz="0" w:space="0" w:color="auto"/>
                <w:left w:val="none" w:sz="0" w:space="0" w:color="auto"/>
                <w:bottom w:val="none" w:sz="0" w:space="0" w:color="auto"/>
                <w:right w:val="none" w:sz="0" w:space="0" w:color="auto"/>
              </w:divBdr>
            </w:div>
            <w:div w:id="2128692262">
              <w:marLeft w:val="0"/>
              <w:marRight w:val="0"/>
              <w:marTop w:val="0"/>
              <w:marBottom w:val="0"/>
              <w:divBdr>
                <w:top w:val="none" w:sz="0" w:space="0" w:color="auto"/>
                <w:left w:val="none" w:sz="0" w:space="0" w:color="auto"/>
                <w:bottom w:val="none" w:sz="0" w:space="0" w:color="auto"/>
                <w:right w:val="none" w:sz="0" w:space="0" w:color="auto"/>
              </w:divBdr>
            </w:div>
          </w:divsChild>
        </w:div>
        <w:div w:id="1946621066">
          <w:marLeft w:val="0"/>
          <w:marRight w:val="0"/>
          <w:marTop w:val="0"/>
          <w:marBottom w:val="0"/>
          <w:divBdr>
            <w:top w:val="none" w:sz="0" w:space="0" w:color="auto"/>
            <w:left w:val="none" w:sz="0" w:space="0" w:color="auto"/>
            <w:bottom w:val="none" w:sz="0" w:space="0" w:color="auto"/>
            <w:right w:val="none" w:sz="0" w:space="0" w:color="auto"/>
          </w:divBdr>
        </w:div>
        <w:div w:id="1975673694">
          <w:marLeft w:val="0"/>
          <w:marRight w:val="0"/>
          <w:marTop w:val="0"/>
          <w:marBottom w:val="0"/>
          <w:divBdr>
            <w:top w:val="none" w:sz="0" w:space="0" w:color="auto"/>
            <w:left w:val="none" w:sz="0" w:space="0" w:color="auto"/>
            <w:bottom w:val="none" w:sz="0" w:space="0" w:color="auto"/>
            <w:right w:val="none" w:sz="0" w:space="0" w:color="auto"/>
          </w:divBdr>
        </w:div>
        <w:div w:id="2088723959">
          <w:marLeft w:val="0"/>
          <w:marRight w:val="0"/>
          <w:marTop w:val="0"/>
          <w:marBottom w:val="0"/>
          <w:divBdr>
            <w:top w:val="none" w:sz="0" w:space="0" w:color="auto"/>
            <w:left w:val="none" w:sz="0" w:space="0" w:color="auto"/>
            <w:bottom w:val="none" w:sz="0" w:space="0" w:color="auto"/>
            <w:right w:val="none" w:sz="0" w:space="0" w:color="auto"/>
          </w:divBdr>
        </w:div>
      </w:divsChild>
    </w:div>
    <w:div w:id="21199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dcceew.gov.au"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cceew.gov.au"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cbd.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cbd.gov.au/about-cbd-program/cbd-program-history/cbd-program-reviews" TargetMode="External"/><Relationship Id="rId18" Type="http://schemas.openxmlformats.org/officeDocument/2006/relationships/hyperlink" Target="https://www.nabers.gov.au/data-gallery/spi-2024-public-hospitals" TargetMode="External"/><Relationship Id="rId26" Type="http://schemas.openxmlformats.org/officeDocument/2006/relationships/hyperlink" Target="https://nabers.info/annual-report/2022-2023/" TargetMode="External"/><Relationship Id="rId21" Type="http://schemas.openxmlformats.org/officeDocument/2006/relationships/hyperlink" Target="https://www.cbd.gov.au/sites/default/files/2020-09/cbd_review_cie_report_draft.pdf" TargetMode="External"/><Relationship Id="rId34" Type="http://schemas.openxmlformats.org/officeDocument/2006/relationships/hyperlink" Target="https://www.publish.csiro.au/ah/fulltext/AH23129" TargetMode="External"/><Relationship Id="rId7" Type="http://schemas.openxmlformats.org/officeDocument/2006/relationships/hyperlink" Target="https://oia.pmc.gov.au/resources/guidance-impact-analysis/australian-government-guide-policy-impact-analysis" TargetMode="External"/><Relationship Id="rId12" Type="http://schemas.openxmlformats.org/officeDocument/2006/relationships/hyperlink" Target="https://www.legislation.gov.au/F2016L01276/latest/text" TargetMode="External"/><Relationship Id="rId17" Type="http://schemas.openxmlformats.org/officeDocument/2006/relationships/hyperlink" Target="https://www.finance.gov.au/government/managing-commonwealth-resources/implementing-charging-framework-rmg-302" TargetMode="External"/><Relationship Id="rId25" Type="http://schemas.openxmlformats.org/officeDocument/2006/relationships/hyperlink" Target="https://www.dcceew.gov.au/sites/default/files/documents/commercial-buildings-energy-consumption-baseline-study-2022.pdf" TargetMode="External"/><Relationship Id="rId33" Type="http://schemas.openxmlformats.org/officeDocument/2006/relationships/hyperlink" Target="https://www.dcceew.gov.au/energy/publications/commercial-building-baseline-study-2024" TargetMode="External"/><Relationship Id="rId2" Type="http://schemas.openxmlformats.org/officeDocument/2006/relationships/hyperlink" Target="https://www.dcceew.gov.au/energy/energy-efficiency/buildings/trajectory-low-energy-buildings" TargetMode="External"/><Relationship Id="rId16" Type="http://schemas.openxmlformats.org/officeDocument/2006/relationships/hyperlink" Target="https://federation.gov.au/about/agreements/intergovernmental-agreement-data-sharing" TargetMode="External"/><Relationship Id="rId20" Type="http://schemas.openxmlformats.org/officeDocument/2006/relationships/hyperlink" Target="https://www.cbd.gov.au/sites/default/files/2020-09/cbd_review_cie_report_draft.pdf" TargetMode="External"/><Relationship Id="rId29" Type="http://schemas.openxmlformats.org/officeDocument/2006/relationships/hyperlink" Target="https://cloudscene.com/market/data-centers-in-australia/all" TargetMode="External"/><Relationship Id="rId1" Type="http://schemas.openxmlformats.org/officeDocument/2006/relationships/hyperlink" Target="https://nabers2023.32phillip.com.au/annual-report/2022-2023/office-energy/" TargetMode="External"/><Relationship Id="rId6" Type="http://schemas.openxmlformats.org/officeDocument/2006/relationships/hyperlink" Target="https://www.cbd.gov.au/about-cbd-program/cbd-program-history/cbd-program-reviews" TargetMode="External"/><Relationship Id="rId11" Type="http://schemas.openxmlformats.org/officeDocument/2006/relationships/hyperlink" Target="https://www.energy.gov.au/energy-and-climate-change-ministerial-council/energy-ministers-publications/trajectory-low-energy-buildings" TargetMode="External"/><Relationship Id="rId24" Type="http://schemas.openxmlformats.org/officeDocument/2006/relationships/hyperlink" Target="https://www.cbd.gov.au/sites/default/files/2024-05/regulation-impact-statement%202016.pdf" TargetMode="External"/><Relationship Id="rId32" Type="http://schemas.openxmlformats.org/officeDocument/2006/relationships/hyperlink" Target="https://www.nabers.gov.au/ratings/spaces-we-rate/data-centres" TargetMode="External"/><Relationship Id="rId37" Type="http://schemas.openxmlformats.org/officeDocument/2006/relationships/hyperlink" Target="https://www.dcceew.gov.au/energy/publications/barriers-to-building-energy-performance" TargetMode="External"/><Relationship Id="rId5" Type="http://schemas.openxmlformats.org/officeDocument/2006/relationships/hyperlink" Target="https://www.dcceew.gov.au/energy/publications/barriers-to-building-energy-performance" TargetMode="External"/><Relationship Id="rId15" Type="http://schemas.openxmlformats.org/officeDocument/2006/relationships/hyperlink" Target="https://www.cbd.gov.au/about-cbd-program/cbd-program-history/cbd-program-reviews" TargetMode="External"/><Relationship Id="rId23" Type="http://schemas.openxmlformats.org/officeDocument/2006/relationships/hyperlink" Target="https://www.cbd.gov.au/sites/default/files/2025-02/City%20of%20Melbourne.pdf" TargetMode="External"/><Relationship Id="rId28" Type="http://schemas.openxmlformats.org/officeDocument/2006/relationships/hyperlink" Target="https://www.dcceew.gov.au/energy/publications/commercial-building-baseline-study-2024" TargetMode="External"/><Relationship Id="rId36" Type="http://schemas.openxmlformats.org/officeDocument/2006/relationships/hyperlink" Target="https://www.finance.gov.au/sites/default/files/2024-12/APS_Net_Zero_Roadmap-Dec-2024.pdf" TargetMode="External"/><Relationship Id="rId10" Type="http://schemas.openxmlformats.org/officeDocument/2006/relationships/hyperlink" Target="https://www.dcceew.gov.au/energy/strategies-and-frameworks/national-energy-performance-strategy" TargetMode="External"/><Relationship Id="rId19" Type="http://schemas.openxmlformats.org/officeDocument/2006/relationships/hyperlink" Target="https://www.cbd.gov.au/about-cbd-program/cbd-program-history/cbd-program-reviews" TargetMode="External"/><Relationship Id="rId31" Type="http://schemas.openxmlformats.org/officeDocument/2006/relationships/hyperlink" Target="https://www.aemo.com.au/energy-systems/electricity/national-electricity-market-nem/nem-forecasting-and-planning/forecasting-and-reliability/nem-electricity-statement-of-opportunities-esoo" TargetMode="External"/><Relationship Id="rId4" Type="http://schemas.openxmlformats.org/officeDocument/2006/relationships/hyperlink" Target="https://www.dcceew.gov.au/climate-change/publications/net-zero-plan" TargetMode="External"/><Relationship Id="rId9" Type="http://schemas.openxmlformats.org/officeDocument/2006/relationships/hyperlink" Target="https://www.regulatoryreform.gov.au/sites/default/files/Regulatory-Policy-Practice-and-Performance-Framework.pdf" TargetMode="External"/><Relationship Id="rId14" Type="http://schemas.openxmlformats.org/officeDocument/2006/relationships/hyperlink" Target="https://www.dcceew.gov.au/energy/publications/commercial-building-baseline-study-2024" TargetMode="External"/><Relationship Id="rId22" Type="http://schemas.openxmlformats.org/officeDocument/2006/relationships/hyperlink" Target="https://www.dcceew.gov.au/sites/default/files/documents/commercial-buildings-energy-consumption-baseline-study-2022.pdf" TargetMode="External"/><Relationship Id="rId27" Type="http://schemas.openxmlformats.org/officeDocument/2006/relationships/hyperlink" Target="https://nabers.info/annual-report/2022-2023/spotlight-shopping-centres/%20Annual%20Report%202022-2023%20major%20Achievements" TargetMode="External"/><Relationship Id="rId30" Type="http://schemas.openxmlformats.org/officeDocument/2006/relationships/hyperlink" Target="https://www.datacentermap.com/australia/" TargetMode="External"/><Relationship Id="rId35" Type="http://schemas.openxmlformats.org/officeDocument/2006/relationships/hyperlink" Target="https://www.dcceew.gov.au/energy/publications/commercial-building-baseline-study-2024" TargetMode="External"/><Relationship Id="rId8" Type="http://schemas.openxmlformats.org/officeDocument/2006/relationships/hyperlink" Target="https://www.energy.gov.au/energy-and-climate-change-ministerial-council/working-groups/energy-efficiency-working-group/home-energy-ratings-disclosure-framework-version-2" TargetMode="External"/><Relationship Id="rId3" Type="http://schemas.openxmlformats.org/officeDocument/2006/relationships/hyperlink" Target="https://www.dcceew.gov.au/sites/default/files/documents/commercial-buildings-energy-consumption-baseline-study-2022.pdf" TargetMode="External"/></Relationships>
</file>

<file path=word/documenttasks/documenttasks1.xml><?xml version="1.0" encoding="utf-8"?>
<t:Tasks xmlns:t="http://schemas.microsoft.com/office/tasks/2019/documenttasks" xmlns:oel="http://schemas.microsoft.com/office/2019/extlst">
  <t:Task id="{C6EA3961-AFF4-4B32-9DCC-BDB8243CBB9B}">
    <t:Anchor>
      <t:Comment id="56041306"/>
    </t:Anchor>
    <t:History>
      <t:Event id="{BE2C4204-3658-4845-BC6A-CE649E7C95F2}" time="2025-01-22T22:51:16.005Z">
        <t:Attribution userId="S::Karl.Perkins@dcceew.gov.au::da1dabcb-f992-4a42-9134-a23e8cf68604" userProvider="AD" userName="Karl PERKINS"/>
        <t:Anchor>
          <t:Comment id="2030568672"/>
        </t:Anchor>
        <t:Create/>
      </t:Event>
      <t:Event id="{50A411E4-C746-4B41-B83A-F63FB3CBC1A1}" time="2025-01-22T22:51:16.005Z">
        <t:Attribution userId="S::Karl.Perkins@dcceew.gov.au::da1dabcb-f992-4a42-9134-a23e8cf68604" userProvider="AD" userName="Karl PERKINS"/>
        <t:Anchor>
          <t:Comment id="2030568672"/>
        </t:Anchor>
        <t:Assign userId="S::Allison.Dong@dcceew.gov.au::9c398429-f64e-4ba1-8594-c2044aed1ae2" userProvider="AD" userName="Allison DONG"/>
      </t:Event>
      <t:Event id="{29B95694-A5EF-439C-BF1B-77D152B97FCF}" time="2025-01-22T22:51:16.005Z">
        <t:Attribution userId="S::Karl.Perkins@dcceew.gov.au::da1dabcb-f992-4a42-9134-a23e8cf68604" userProvider="AD" userName="Karl PERKINS"/>
        <t:Anchor>
          <t:Comment id="2030568672"/>
        </t:Anchor>
        <t:SetTitle title="@Allison DONG "/>
      </t:Event>
    </t:History>
  </t:Task>
</t:Tasks>
</file>

<file path=word/theme/theme1.xml><?xml version="1.0" encoding="utf-8"?>
<a:theme xmlns:a="http://schemas.openxmlformats.org/drawingml/2006/main" name="Office Theme">
  <a:themeElements>
    <a:clrScheme name="DCCEEW">
      <a:dk1>
        <a:sysClr val="windowText" lastClr="000000"/>
      </a:dk1>
      <a:lt1>
        <a:sysClr val="window" lastClr="FFFFFF"/>
      </a:lt1>
      <a:dk2>
        <a:srgbClr val="222021"/>
      </a:dk2>
      <a:lt2>
        <a:srgbClr val="083A42"/>
      </a:lt2>
      <a:accent1>
        <a:srgbClr val="197C7D"/>
      </a:accent1>
      <a:accent2>
        <a:srgbClr val="40C1AC"/>
      </a:accent2>
      <a:accent3>
        <a:srgbClr val="9AFFBE"/>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a1e3a6f-90f2-4bee-94aa-8b51ed367850" xsi:nil="true"/>
    <_ip_UnifiedCompliancePolicyProperties xmlns="http://schemas.microsoft.com/sharepoint/v3" xsi:nil="true"/>
    <PublishingExpirationDate xmlns="http://schemas.microsoft.com/sharepoint/v3" xsi:nil="true"/>
    <PublishingStartDate xmlns="http://schemas.microsoft.com/sharepoint/v3" xsi:nil="true"/>
    <ec8963811f66454d90035b41c545792f xmlns="e069ed18-643f-4fa2-8f24-2a187e93ad6d">
      <Terms xmlns="http://schemas.microsoft.com/office/infopath/2007/PartnerControls"/>
    </ec8963811f66454d90035b41c545792f>
    <lcf76f155ced4ddcb4097134ff3c332f xmlns="4dd02bef-4908-4a6a-a8ef-24841f0b055e">
      <Terms xmlns="http://schemas.microsoft.com/office/infopath/2007/PartnerControls"/>
    </lcf76f155ced4ddcb4097134ff3c332f>
    <TaxCatchAll xmlns="e069ed18-643f-4fa2-8f24-2a187e93ad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873A69F272546A7689B2A5DD8EFBA" ma:contentTypeVersion="8" ma:contentTypeDescription="Create a new document." ma:contentTypeScope="" ma:versionID="43e62ad3ad6dc806ee1cd319336e41a7">
  <xsd:schema xmlns:xsd="http://www.w3.org/2001/XMLSchema" xmlns:xs="http://www.w3.org/2001/XMLSchema" xmlns:p="http://schemas.microsoft.com/office/2006/metadata/properties" xmlns:ns1="http://schemas.microsoft.com/sharepoint/v3" xmlns:ns2="e069ed18-643f-4fa2-8f24-2a187e93ad6d" xmlns:ns3="1a1e3a6f-90f2-4bee-94aa-8b51ed367850" xmlns:ns4="4c70a926-dbaa-45f1-afc0-26a9639aec76" xmlns:ns6="4dd02bef-4908-4a6a-a8ef-24841f0b055e" targetNamespace="http://schemas.microsoft.com/office/2006/metadata/properties" ma:root="true" ma:fieldsID="3b44a0ea38169e1c3f86f18a2c4bcdf6" ns1:_="" ns2:_="" ns3:_="" ns4:_="" ns6:_="">
    <xsd:import namespace="http://schemas.microsoft.com/sharepoint/v3"/>
    <xsd:import namespace="e069ed18-643f-4fa2-8f24-2a187e93ad6d"/>
    <xsd:import namespace="1a1e3a6f-90f2-4bee-94aa-8b51ed367850"/>
    <xsd:import namespace="4c70a926-dbaa-45f1-afc0-26a9639aec76"/>
    <xsd:import namespace="4dd02bef-4908-4a6a-a8ef-24841f0b055e"/>
    <xsd:element name="properties">
      <xsd:complexType>
        <xsd:sequence>
          <xsd:element name="documentManagement">
            <xsd:complexType>
              <xsd:all>
                <xsd:element ref="ns1:PublishingStartDate" minOccurs="0"/>
                <xsd:element ref="ns1:PublishingExpirationDate" minOccurs="0"/>
                <xsd:element ref="ns2:ec8963811f66454d90035b41c54579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ObjectDetectorVersions" minOccurs="0"/>
                <xsd:element ref="ns3:_Flow_SignoffStatus" minOccurs="0"/>
                <xsd:element ref="ns3:MediaServiceSearchProperties" minOccurs="0"/>
                <xsd:element ref="ns3:MediaServiceLocation" minOccurs="0"/>
                <xsd:element ref="ns6: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9ed18-643f-4fa2-8f24-2a187e93ad6d" elementFormDefault="qualified">
    <xsd:import namespace="http://schemas.microsoft.com/office/2006/documentManagement/types"/>
    <xsd:import namespace="http://schemas.microsoft.com/office/infopath/2007/PartnerControls"/>
    <xsd:element name="ec8963811f66454d90035b41c545792f" ma:index="10" nillable="true" ma:taxonomy="true" ma:internalName="ec8963811f66454d90035b41c545792f" ma:taxonomyFieldName="Topic" ma:displayName="Topic" ma:default="" ma:fieldId="{ec896381-1f66-454d-9003-5b41c545792f}" ma:sspId="0c081d5d-8f15-4d39-99f9-175405a35875" ma:termSetId="4d0ee169-b0f3-4659-8cb8-a3102d9d5ca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523feb-ddfd-4dc2-a2de-670027f80012}"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1e3a6f-90f2-4bee-94aa-8b51ed3678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0a926-dbaa-45f1-afc0-26a9639aec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02bef-4908-4a6a-a8ef-24841f0b055e"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http://schemas.microsoft.com/sharepoint/v3"/>
    <ds:schemaRef ds:uri="1a1e3a6f-90f2-4bee-94aa-8b51ed367850"/>
    <ds:schemaRef ds:uri="e069ed18-643f-4fa2-8f24-2a187e93ad6d"/>
    <ds:schemaRef ds:uri="4dd02bef-4908-4a6a-a8ef-24841f0b055e"/>
  </ds:schemaRefs>
</ds:datastoreItem>
</file>

<file path=customXml/itemProps2.xml><?xml version="1.0" encoding="utf-8"?>
<ds:datastoreItem xmlns:ds="http://schemas.openxmlformats.org/officeDocument/2006/customXml" ds:itemID="{11B87B21-4D4D-497D-B1CB-2A299804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69ed18-643f-4fa2-8f24-2a187e93ad6d"/>
    <ds:schemaRef ds:uri="1a1e3a6f-90f2-4bee-94aa-8b51ed367850"/>
    <ds:schemaRef ds:uri="4c70a926-dbaa-45f1-afc0-26a9639aec76"/>
    <ds:schemaRef ds:uri="4dd02bef-4908-4a6a-a8ef-24841f0b0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180</TotalTime>
  <Pages>39</Pages>
  <Words>14807</Words>
  <Characters>83070</Characters>
  <Application>Microsoft Office Word</Application>
  <DocSecurity>0</DocSecurity>
  <Lines>1384</Lines>
  <Paragraphs>631</Paragraphs>
  <ScaleCrop>false</ScaleCrop>
  <HeadingPairs>
    <vt:vector size="2" baseType="variant">
      <vt:variant>
        <vt:lpstr>Title</vt:lpstr>
      </vt:variant>
      <vt:variant>
        <vt:i4>1</vt:i4>
      </vt:variant>
    </vt:vector>
  </HeadingPairs>
  <TitlesOfParts>
    <vt:vector size="1" baseType="lpstr">
      <vt:lpstr>CBD Program Policy Roadmap for Expansion</vt:lpstr>
    </vt:vector>
  </TitlesOfParts>
  <Company/>
  <LinksUpToDate>false</LinksUpToDate>
  <CharactersWithSpaces>97246</CharactersWithSpaces>
  <SharedDoc>false</SharedDoc>
  <HLinks>
    <vt:vector size="468" baseType="variant">
      <vt:variant>
        <vt:i4>1179699</vt:i4>
      </vt:variant>
      <vt:variant>
        <vt:i4>230</vt:i4>
      </vt:variant>
      <vt:variant>
        <vt:i4>0</vt:i4>
      </vt:variant>
      <vt:variant>
        <vt:i4>5</vt:i4>
      </vt:variant>
      <vt:variant>
        <vt:lpwstr/>
      </vt:variant>
      <vt:variant>
        <vt:lpwstr>_Toc200017029</vt:lpwstr>
      </vt:variant>
      <vt:variant>
        <vt:i4>1179699</vt:i4>
      </vt:variant>
      <vt:variant>
        <vt:i4>224</vt:i4>
      </vt:variant>
      <vt:variant>
        <vt:i4>0</vt:i4>
      </vt:variant>
      <vt:variant>
        <vt:i4>5</vt:i4>
      </vt:variant>
      <vt:variant>
        <vt:lpwstr/>
      </vt:variant>
      <vt:variant>
        <vt:lpwstr>_Toc200017028</vt:lpwstr>
      </vt:variant>
      <vt:variant>
        <vt:i4>1179699</vt:i4>
      </vt:variant>
      <vt:variant>
        <vt:i4>218</vt:i4>
      </vt:variant>
      <vt:variant>
        <vt:i4>0</vt:i4>
      </vt:variant>
      <vt:variant>
        <vt:i4>5</vt:i4>
      </vt:variant>
      <vt:variant>
        <vt:lpwstr/>
      </vt:variant>
      <vt:variant>
        <vt:lpwstr>_Toc200017027</vt:lpwstr>
      </vt:variant>
      <vt:variant>
        <vt:i4>1179699</vt:i4>
      </vt:variant>
      <vt:variant>
        <vt:i4>212</vt:i4>
      </vt:variant>
      <vt:variant>
        <vt:i4>0</vt:i4>
      </vt:variant>
      <vt:variant>
        <vt:i4>5</vt:i4>
      </vt:variant>
      <vt:variant>
        <vt:lpwstr/>
      </vt:variant>
      <vt:variant>
        <vt:lpwstr>_Toc200017026</vt:lpwstr>
      </vt:variant>
      <vt:variant>
        <vt:i4>1179699</vt:i4>
      </vt:variant>
      <vt:variant>
        <vt:i4>206</vt:i4>
      </vt:variant>
      <vt:variant>
        <vt:i4>0</vt:i4>
      </vt:variant>
      <vt:variant>
        <vt:i4>5</vt:i4>
      </vt:variant>
      <vt:variant>
        <vt:lpwstr/>
      </vt:variant>
      <vt:variant>
        <vt:lpwstr>_Toc200017025</vt:lpwstr>
      </vt:variant>
      <vt:variant>
        <vt:i4>1179699</vt:i4>
      </vt:variant>
      <vt:variant>
        <vt:i4>200</vt:i4>
      </vt:variant>
      <vt:variant>
        <vt:i4>0</vt:i4>
      </vt:variant>
      <vt:variant>
        <vt:i4>5</vt:i4>
      </vt:variant>
      <vt:variant>
        <vt:lpwstr/>
      </vt:variant>
      <vt:variant>
        <vt:lpwstr>_Toc200017024</vt:lpwstr>
      </vt:variant>
      <vt:variant>
        <vt:i4>1179699</vt:i4>
      </vt:variant>
      <vt:variant>
        <vt:i4>194</vt:i4>
      </vt:variant>
      <vt:variant>
        <vt:i4>0</vt:i4>
      </vt:variant>
      <vt:variant>
        <vt:i4>5</vt:i4>
      </vt:variant>
      <vt:variant>
        <vt:lpwstr/>
      </vt:variant>
      <vt:variant>
        <vt:lpwstr>_Toc200017023</vt:lpwstr>
      </vt:variant>
      <vt:variant>
        <vt:i4>1179699</vt:i4>
      </vt:variant>
      <vt:variant>
        <vt:i4>188</vt:i4>
      </vt:variant>
      <vt:variant>
        <vt:i4>0</vt:i4>
      </vt:variant>
      <vt:variant>
        <vt:i4>5</vt:i4>
      </vt:variant>
      <vt:variant>
        <vt:lpwstr/>
      </vt:variant>
      <vt:variant>
        <vt:lpwstr>_Toc200017022</vt:lpwstr>
      </vt:variant>
      <vt:variant>
        <vt:i4>1179699</vt:i4>
      </vt:variant>
      <vt:variant>
        <vt:i4>182</vt:i4>
      </vt:variant>
      <vt:variant>
        <vt:i4>0</vt:i4>
      </vt:variant>
      <vt:variant>
        <vt:i4>5</vt:i4>
      </vt:variant>
      <vt:variant>
        <vt:lpwstr/>
      </vt:variant>
      <vt:variant>
        <vt:lpwstr>_Toc200017021</vt:lpwstr>
      </vt:variant>
      <vt:variant>
        <vt:i4>1179699</vt:i4>
      </vt:variant>
      <vt:variant>
        <vt:i4>176</vt:i4>
      </vt:variant>
      <vt:variant>
        <vt:i4>0</vt:i4>
      </vt:variant>
      <vt:variant>
        <vt:i4>5</vt:i4>
      </vt:variant>
      <vt:variant>
        <vt:lpwstr/>
      </vt:variant>
      <vt:variant>
        <vt:lpwstr>_Toc200017020</vt:lpwstr>
      </vt:variant>
      <vt:variant>
        <vt:i4>1114163</vt:i4>
      </vt:variant>
      <vt:variant>
        <vt:i4>170</vt:i4>
      </vt:variant>
      <vt:variant>
        <vt:i4>0</vt:i4>
      </vt:variant>
      <vt:variant>
        <vt:i4>5</vt:i4>
      </vt:variant>
      <vt:variant>
        <vt:lpwstr/>
      </vt:variant>
      <vt:variant>
        <vt:lpwstr>_Toc200017019</vt:lpwstr>
      </vt:variant>
      <vt:variant>
        <vt:i4>1114163</vt:i4>
      </vt:variant>
      <vt:variant>
        <vt:i4>164</vt:i4>
      </vt:variant>
      <vt:variant>
        <vt:i4>0</vt:i4>
      </vt:variant>
      <vt:variant>
        <vt:i4>5</vt:i4>
      </vt:variant>
      <vt:variant>
        <vt:lpwstr/>
      </vt:variant>
      <vt:variant>
        <vt:lpwstr>_Toc200017018</vt:lpwstr>
      </vt:variant>
      <vt:variant>
        <vt:i4>1114163</vt:i4>
      </vt:variant>
      <vt:variant>
        <vt:i4>158</vt:i4>
      </vt:variant>
      <vt:variant>
        <vt:i4>0</vt:i4>
      </vt:variant>
      <vt:variant>
        <vt:i4>5</vt:i4>
      </vt:variant>
      <vt:variant>
        <vt:lpwstr/>
      </vt:variant>
      <vt:variant>
        <vt:lpwstr>_Toc200017017</vt:lpwstr>
      </vt:variant>
      <vt:variant>
        <vt:i4>1114163</vt:i4>
      </vt:variant>
      <vt:variant>
        <vt:i4>152</vt:i4>
      </vt:variant>
      <vt:variant>
        <vt:i4>0</vt:i4>
      </vt:variant>
      <vt:variant>
        <vt:i4>5</vt:i4>
      </vt:variant>
      <vt:variant>
        <vt:lpwstr/>
      </vt:variant>
      <vt:variant>
        <vt:lpwstr>_Toc200017016</vt:lpwstr>
      </vt:variant>
      <vt:variant>
        <vt:i4>1114163</vt:i4>
      </vt:variant>
      <vt:variant>
        <vt:i4>146</vt:i4>
      </vt:variant>
      <vt:variant>
        <vt:i4>0</vt:i4>
      </vt:variant>
      <vt:variant>
        <vt:i4>5</vt:i4>
      </vt:variant>
      <vt:variant>
        <vt:lpwstr/>
      </vt:variant>
      <vt:variant>
        <vt:lpwstr>_Toc200017015</vt:lpwstr>
      </vt:variant>
      <vt:variant>
        <vt:i4>1114163</vt:i4>
      </vt:variant>
      <vt:variant>
        <vt:i4>140</vt:i4>
      </vt:variant>
      <vt:variant>
        <vt:i4>0</vt:i4>
      </vt:variant>
      <vt:variant>
        <vt:i4>5</vt:i4>
      </vt:variant>
      <vt:variant>
        <vt:lpwstr/>
      </vt:variant>
      <vt:variant>
        <vt:lpwstr>_Toc200017014</vt:lpwstr>
      </vt:variant>
      <vt:variant>
        <vt:i4>1114163</vt:i4>
      </vt:variant>
      <vt:variant>
        <vt:i4>134</vt:i4>
      </vt:variant>
      <vt:variant>
        <vt:i4>0</vt:i4>
      </vt:variant>
      <vt:variant>
        <vt:i4>5</vt:i4>
      </vt:variant>
      <vt:variant>
        <vt:lpwstr/>
      </vt:variant>
      <vt:variant>
        <vt:lpwstr>_Toc200017013</vt:lpwstr>
      </vt:variant>
      <vt:variant>
        <vt:i4>1114163</vt:i4>
      </vt:variant>
      <vt:variant>
        <vt:i4>128</vt:i4>
      </vt:variant>
      <vt:variant>
        <vt:i4>0</vt:i4>
      </vt:variant>
      <vt:variant>
        <vt:i4>5</vt:i4>
      </vt:variant>
      <vt:variant>
        <vt:lpwstr/>
      </vt:variant>
      <vt:variant>
        <vt:lpwstr>_Toc200017012</vt:lpwstr>
      </vt:variant>
      <vt:variant>
        <vt:i4>1114163</vt:i4>
      </vt:variant>
      <vt:variant>
        <vt:i4>122</vt:i4>
      </vt:variant>
      <vt:variant>
        <vt:i4>0</vt:i4>
      </vt:variant>
      <vt:variant>
        <vt:i4>5</vt:i4>
      </vt:variant>
      <vt:variant>
        <vt:lpwstr/>
      </vt:variant>
      <vt:variant>
        <vt:lpwstr>_Toc200017011</vt:lpwstr>
      </vt:variant>
      <vt:variant>
        <vt:i4>1114163</vt:i4>
      </vt:variant>
      <vt:variant>
        <vt:i4>116</vt:i4>
      </vt:variant>
      <vt:variant>
        <vt:i4>0</vt:i4>
      </vt:variant>
      <vt:variant>
        <vt:i4>5</vt:i4>
      </vt:variant>
      <vt:variant>
        <vt:lpwstr/>
      </vt:variant>
      <vt:variant>
        <vt:lpwstr>_Toc200017010</vt:lpwstr>
      </vt:variant>
      <vt:variant>
        <vt:i4>1048627</vt:i4>
      </vt:variant>
      <vt:variant>
        <vt:i4>110</vt:i4>
      </vt:variant>
      <vt:variant>
        <vt:i4>0</vt:i4>
      </vt:variant>
      <vt:variant>
        <vt:i4>5</vt:i4>
      </vt:variant>
      <vt:variant>
        <vt:lpwstr/>
      </vt:variant>
      <vt:variant>
        <vt:lpwstr>_Toc200017009</vt:lpwstr>
      </vt:variant>
      <vt:variant>
        <vt:i4>1048627</vt:i4>
      </vt:variant>
      <vt:variant>
        <vt:i4>104</vt:i4>
      </vt:variant>
      <vt:variant>
        <vt:i4>0</vt:i4>
      </vt:variant>
      <vt:variant>
        <vt:i4>5</vt:i4>
      </vt:variant>
      <vt:variant>
        <vt:lpwstr/>
      </vt:variant>
      <vt:variant>
        <vt:lpwstr>_Toc200017008</vt:lpwstr>
      </vt:variant>
      <vt:variant>
        <vt:i4>1048627</vt:i4>
      </vt:variant>
      <vt:variant>
        <vt:i4>98</vt:i4>
      </vt:variant>
      <vt:variant>
        <vt:i4>0</vt:i4>
      </vt:variant>
      <vt:variant>
        <vt:i4>5</vt:i4>
      </vt:variant>
      <vt:variant>
        <vt:lpwstr/>
      </vt:variant>
      <vt:variant>
        <vt:lpwstr>_Toc200017007</vt:lpwstr>
      </vt:variant>
      <vt:variant>
        <vt:i4>1048627</vt:i4>
      </vt:variant>
      <vt:variant>
        <vt:i4>92</vt:i4>
      </vt:variant>
      <vt:variant>
        <vt:i4>0</vt:i4>
      </vt:variant>
      <vt:variant>
        <vt:i4>5</vt:i4>
      </vt:variant>
      <vt:variant>
        <vt:lpwstr/>
      </vt:variant>
      <vt:variant>
        <vt:lpwstr>_Toc200017006</vt:lpwstr>
      </vt:variant>
      <vt:variant>
        <vt:i4>1048627</vt:i4>
      </vt:variant>
      <vt:variant>
        <vt:i4>86</vt:i4>
      </vt:variant>
      <vt:variant>
        <vt:i4>0</vt:i4>
      </vt:variant>
      <vt:variant>
        <vt:i4>5</vt:i4>
      </vt:variant>
      <vt:variant>
        <vt:lpwstr/>
      </vt:variant>
      <vt:variant>
        <vt:lpwstr>_Toc200017005</vt:lpwstr>
      </vt:variant>
      <vt:variant>
        <vt:i4>1048627</vt:i4>
      </vt:variant>
      <vt:variant>
        <vt:i4>80</vt:i4>
      </vt:variant>
      <vt:variant>
        <vt:i4>0</vt:i4>
      </vt:variant>
      <vt:variant>
        <vt:i4>5</vt:i4>
      </vt:variant>
      <vt:variant>
        <vt:lpwstr/>
      </vt:variant>
      <vt:variant>
        <vt:lpwstr>_Toc200017004</vt:lpwstr>
      </vt:variant>
      <vt:variant>
        <vt:i4>1048627</vt:i4>
      </vt:variant>
      <vt:variant>
        <vt:i4>74</vt:i4>
      </vt:variant>
      <vt:variant>
        <vt:i4>0</vt:i4>
      </vt:variant>
      <vt:variant>
        <vt:i4>5</vt:i4>
      </vt:variant>
      <vt:variant>
        <vt:lpwstr/>
      </vt:variant>
      <vt:variant>
        <vt:lpwstr>_Toc200017003</vt:lpwstr>
      </vt:variant>
      <vt:variant>
        <vt:i4>1048627</vt:i4>
      </vt:variant>
      <vt:variant>
        <vt:i4>68</vt:i4>
      </vt:variant>
      <vt:variant>
        <vt:i4>0</vt:i4>
      </vt:variant>
      <vt:variant>
        <vt:i4>5</vt:i4>
      </vt:variant>
      <vt:variant>
        <vt:lpwstr/>
      </vt:variant>
      <vt:variant>
        <vt:lpwstr>_Toc200017002</vt:lpwstr>
      </vt:variant>
      <vt:variant>
        <vt:i4>1048627</vt:i4>
      </vt:variant>
      <vt:variant>
        <vt:i4>62</vt:i4>
      </vt:variant>
      <vt:variant>
        <vt:i4>0</vt:i4>
      </vt:variant>
      <vt:variant>
        <vt:i4>5</vt:i4>
      </vt:variant>
      <vt:variant>
        <vt:lpwstr/>
      </vt:variant>
      <vt:variant>
        <vt:lpwstr>_Toc200017001</vt:lpwstr>
      </vt:variant>
      <vt:variant>
        <vt:i4>1048627</vt:i4>
      </vt:variant>
      <vt:variant>
        <vt:i4>56</vt:i4>
      </vt:variant>
      <vt:variant>
        <vt:i4>0</vt:i4>
      </vt:variant>
      <vt:variant>
        <vt:i4>5</vt:i4>
      </vt:variant>
      <vt:variant>
        <vt:lpwstr/>
      </vt:variant>
      <vt:variant>
        <vt:lpwstr>_Toc200017000</vt:lpwstr>
      </vt:variant>
      <vt:variant>
        <vt:i4>1572922</vt:i4>
      </vt:variant>
      <vt:variant>
        <vt:i4>50</vt:i4>
      </vt:variant>
      <vt:variant>
        <vt:i4>0</vt:i4>
      </vt:variant>
      <vt:variant>
        <vt:i4>5</vt:i4>
      </vt:variant>
      <vt:variant>
        <vt:lpwstr/>
      </vt:variant>
      <vt:variant>
        <vt:lpwstr>_Toc200016999</vt:lpwstr>
      </vt:variant>
      <vt:variant>
        <vt:i4>1572922</vt:i4>
      </vt:variant>
      <vt:variant>
        <vt:i4>44</vt:i4>
      </vt:variant>
      <vt:variant>
        <vt:i4>0</vt:i4>
      </vt:variant>
      <vt:variant>
        <vt:i4>5</vt:i4>
      </vt:variant>
      <vt:variant>
        <vt:lpwstr/>
      </vt:variant>
      <vt:variant>
        <vt:lpwstr>_Toc200016998</vt:lpwstr>
      </vt:variant>
      <vt:variant>
        <vt:i4>1572922</vt:i4>
      </vt:variant>
      <vt:variant>
        <vt:i4>38</vt:i4>
      </vt:variant>
      <vt:variant>
        <vt:i4>0</vt:i4>
      </vt:variant>
      <vt:variant>
        <vt:i4>5</vt:i4>
      </vt:variant>
      <vt:variant>
        <vt:lpwstr/>
      </vt:variant>
      <vt:variant>
        <vt:lpwstr>_Toc200016997</vt:lpwstr>
      </vt:variant>
      <vt:variant>
        <vt:i4>1572922</vt:i4>
      </vt:variant>
      <vt:variant>
        <vt:i4>32</vt:i4>
      </vt:variant>
      <vt:variant>
        <vt:i4>0</vt:i4>
      </vt:variant>
      <vt:variant>
        <vt:i4>5</vt:i4>
      </vt:variant>
      <vt:variant>
        <vt:lpwstr/>
      </vt:variant>
      <vt:variant>
        <vt:lpwstr>_Toc200016996</vt:lpwstr>
      </vt:variant>
      <vt:variant>
        <vt:i4>1572922</vt:i4>
      </vt:variant>
      <vt:variant>
        <vt:i4>26</vt:i4>
      </vt:variant>
      <vt:variant>
        <vt:i4>0</vt:i4>
      </vt:variant>
      <vt:variant>
        <vt:i4>5</vt:i4>
      </vt:variant>
      <vt:variant>
        <vt:lpwstr/>
      </vt:variant>
      <vt:variant>
        <vt:lpwstr>_Toc200016995</vt:lpwstr>
      </vt:variant>
      <vt:variant>
        <vt:i4>1572922</vt:i4>
      </vt:variant>
      <vt:variant>
        <vt:i4>20</vt:i4>
      </vt:variant>
      <vt:variant>
        <vt:i4>0</vt:i4>
      </vt:variant>
      <vt:variant>
        <vt:i4>5</vt:i4>
      </vt:variant>
      <vt:variant>
        <vt:lpwstr/>
      </vt:variant>
      <vt:variant>
        <vt:lpwstr>_Toc200016994</vt:lpwstr>
      </vt:variant>
      <vt:variant>
        <vt:i4>1572922</vt:i4>
      </vt:variant>
      <vt:variant>
        <vt:i4>14</vt:i4>
      </vt:variant>
      <vt:variant>
        <vt:i4>0</vt:i4>
      </vt:variant>
      <vt:variant>
        <vt:i4>5</vt:i4>
      </vt:variant>
      <vt:variant>
        <vt:lpwstr/>
      </vt:variant>
      <vt:variant>
        <vt:lpwstr>_Toc200016993</vt:lpwstr>
      </vt:variant>
      <vt:variant>
        <vt:i4>6684728</vt:i4>
      </vt:variant>
      <vt:variant>
        <vt:i4>9</vt:i4>
      </vt:variant>
      <vt:variant>
        <vt:i4>0</vt:i4>
      </vt:variant>
      <vt:variant>
        <vt:i4>5</vt:i4>
      </vt:variant>
      <vt:variant>
        <vt:lpwstr>https://www.dcceew.gov.au/</vt:lpwstr>
      </vt:variant>
      <vt:variant>
        <vt:lpwstr/>
      </vt:variant>
      <vt:variant>
        <vt:i4>7536680</vt:i4>
      </vt:variant>
      <vt:variant>
        <vt:i4>6</vt:i4>
      </vt:variant>
      <vt:variant>
        <vt:i4>0</vt:i4>
      </vt:variant>
      <vt:variant>
        <vt:i4>5</vt:i4>
      </vt:variant>
      <vt:variant>
        <vt:lpwstr>http://www.cbd.gov.au/</vt:lpwstr>
      </vt:variant>
      <vt:variant>
        <vt:lpwstr/>
      </vt:variant>
      <vt:variant>
        <vt:i4>6815772</vt:i4>
      </vt:variant>
      <vt:variant>
        <vt:i4>3</vt:i4>
      </vt:variant>
      <vt:variant>
        <vt:i4>0</vt:i4>
      </vt:variant>
      <vt:variant>
        <vt:i4>5</vt:i4>
      </vt:variant>
      <vt:variant>
        <vt:lpwstr>mailto:copyright@dcceew.gov.au</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4390924</vt:i4>
      </vt:variant>
      <vt:variant>
        <vt:i4>120</vt:i4>
      </vt:variant>
      <vt:variant>
        <vt:i4>0</vt:i4>
      </vt:variant>
      <vt:variant>
        <vt:i4>5</vt:i4>
      </vt:variant>
      <vt:variant>
        <vt:lpwstr>https://www.dcceew.gov.au/energy/publications/barriers-to-building-energy-performance</vt:lpwstr>
      </vt:variant>
      <vt:variant>
        <vt:lpwstr/>
      </vt:variant>
      <vt:variant>
        <vt:i4>6946845</vt:i4>
      </vt:variant>
      <vt:variant>
        <vt:i4>117</vt:i4>
      </vt:variant>
      <vt:variant>
        <vt:i4>0</vt:i4>
      </vt:variant>
      <vt:variant>
        <vt:i4>5</vt:i4>
      </vt:variant>
      <vt:variant>
        <vt:lpwstr>https://www.finance.gov.au/sites/default/files/2024-12/APS_Net_Zero_Roadmap-Dec-2024.pdf</vt:lpwstr>
      </vt:variant>
      <vt:variant>
        <vt:lpwstr/>
      </vt:variant>
      <vt:variant>
        <vt:i4>2031618</vt:i4>
      </vt:variant>
      <vt:variant>
        <vt:i4>111</vt:i4>
      </vt:variant>
      <vt:variant>
        <vt:i4>0</vt:i4>
      </vt:variant>
      <vt:variant>
        <vt:i4>5</vt:i4>
      </vt:variant>
      <vt:variant>
        <vt:lpwstr>https://www.dcceew.gov.au/energy/publications/commercial-building-baseline-study-2024</vt:lpwstr>
      </vt:variant>
      <vt:variant>
        <vt:lpwstr/>
      </vt:variant>
      <vt:variant>
        <vt:i4>7864354</vt:i4>
      </vt:variant>
      <vt:variant>
        <vt:i4>108</vt:i4>
      </vt:variant>
      <vt:variant>
        <vt:i4>0</vt:i4>
      </vt:variant>
      <vt:variant>
        <vt:i4>5</vt:i4>
      </vt:variant>
      <vt:variant>
        <vt:lpwstr>https://www.publish.csiro.au/ah/fulltext/AH23129</vt:lpwstr>
      </vt:variant>
      <vt:variant>
        <vt:lpwstr>R3</vt:lpwstr>
      </vt:variant>
      <vt:variant>
        <vt:i4>2031618</vt:i4>
      </vt:variant>
      <vt:variant>
        <vt:i4>102</vt:i4>
      </vt:variant>
      <vt:variant>
        <vt:i4>0</vt:i4>
      </vt:variant>
      <vt:variant>
        <vt:i4>5</vt:i4>
      </vt:variant>
      <vt:variant>
        <vt:lpwstr>https://www.dcceew.gov.au/energy/publications/commercial-building-baseline-study-2024</vt:lpwstr>
      </vt:variant>
      <vt:variant>
        <vt:lpwstr/>
      </vt:variant>
      <vt:variant>
        <vt:i4>5701718</vt:i4>
      </vt:variant>
      <vt:variant>
        <vt:i4>99</vt:i4>
      </vt:variant>
      <vt:variant>
        <vt:i4>0</vt:i4>
      </vt:variant>
      <vt:variant>
        <vt:i4>5</vt:i4>
      </vt:variant>
      <vt:variant>
        <vt:lpwstr>https://www.nabers.gov.au/ratings/spaces-we-rate/data-centres</vt:lpwstr>
      </vt:variant>
      <vt:variant>
        <vt:lpwstr/>
      </vt:variant>
      <vt:variant>
        <vt:i4>2949182</vt:i4>
      </vt:variant>
      <vt:variant>
        <vt:i4>96</vt:i4>
      </vt:variant>
      <vt:variant>
        <vt:i4>0</vt:i4>
      </vt:variant>
      <vt:variant>
        <vt:i4>5</vt:i4>
      </vt:variant>
      <vt:variant>
        <vt:lpwstr>https://www.aemo.com.au/energy-systems/electricity/national-electricity-market-nem/nem-forecasting-and-planning/forecasting-and-reliability/nem-electricity-statement-of-opportunities-esoo</vt:lpwstr>
      </vt:variant>
      <vt:variant>
        <vt:lpwstr/>
      </vt:variant>
      <vt:variant>
        <vt:i4>131142</vt:i4>
      </vt:variant>
      <vt:variant>
        <vt:i4>93</vt:i4>
      </vt:variant>
      <vt:variant>
        <vt:i4>0</vt:i4>
      </vt:variant>
      <vt:variant>
        <vt:i4>5</vt:i4>
      </vt:variant>
      <vt:variant>
        <vt:lpwstr>https://www.datacentermap.com/australia/</vt:lpwstr>
      </vt:variant>
      <vt:variant>
        <vt:lpwstr/>
      </vt:variant>
      <vt:variant>
        <vt:i4>3473444</vt:i4>
      </vt:variant>
      <vt:variant>
        <vt:i4>90</vt:i4>
      </vt:variant>
      <vt:variant>
        <vt:i4>0</vt:i4>
      </vt:variant>
      <vt:variant>
        <vt:i4>5</vt:i4>
      </vt:variant>
      <vt:variant>
        <vt:lpwstr>https://cloudscene.com/market/data-centers-in-australia/all</vt:lpwstr>
      </vt:variant>
      <vt:variant>
        <vt:lpwstr/>
      </vt:variant>
      <vt:variant>
        <vt:i4>2031618</vt:i4>
      </vt:variant>
      <vt:variant>
        <vt:i4>84</vt:i4>
      </vt:variant>
      <vt:variant>
        <vt:i4>0</vt:i4>
      </vt:variant>
      <vt:variant>
        <vt:i4>5</vt:i4>
      </vt:variant>
      <vt:variant>
        <vt:lpwstr>https://www.dcceew.gov.au/energy/publications/commercial-building-baseline-study-2024</vt:lpwstr>
      </vt:variant>
      <vt:variant>
        <vt:lpwstr/>
      </vt:variant>
      <vt:variant>
        <vt:i4>7733350</vt:i4>
      </vt:variant>
      <vt:variant>
        <vt:i4>81</vt:i4>
      </vt:variant>
      <vt:variant>
        <vt:i4>0</vt:i4>
      </vt:variant>
      <vt:variant>
        <vt:i4>5</vt:i4>
      </vt:variant>
      <vt:variant>
        <vt:lpwstr>https://nabers.info/annual-report/2022-2023/spotlight-shopping-centres/ Annual Report 2022-2023 major Achievements</vt:lpwstr>
      </vt:variant>
      <vt:variant>
        <vt:lpwstr/>
      </vt:variant>
      <vt:variant>
        <vt:i4>4390914</vt:i4>
      </vt:variant>
      <vt:variant>
        <vt:i4>78</vt:i4>
      </vt:variant>
      <vt:variant>
        <vt:i4>0</vt:i4>
      </vt:variant>
      <vt:variant>
        <vt:i4>5</vt:i4>
      </vt:variant>
      <vt:variant>
        <vt:lpwstr>https://nabers.info/annual-report/2022-2023/</vt:lpwstr>
      </vt:variant>
      <vt:variant>
        <vt:lpwstr/>
      </vt:variant>
      <vt:variant>
        <vt:i4>3276836</vt:i4>
      </vt:variant>
      <vt:variant>
        <vt:i4>75</vt:i4>
      </vt:variant>
      <vt:variant>
        <vt:i4>0</vt:i4>
      </vt:variant>
      <vt:variant>
        <vt:i4>5</vt:i4>
      </vt:variant>
      <vt:variant>
        <vt:lpwstr>https://www.dcceew.gov.au/sites/default/files/documents/commercial-buildings-energy-consumption-baseline-study-2022.pdf</vt:lpwstr>
      </vt:variant>
      <vt:variant>
        <vt:lpwstr/>
      </vt:variant>
      <vt:variant>
        <vt:i4>4063280</vt:i4>
      </vt:variant>
      <vt:variant>
        <vt:i4>72</vt:i4>
      </vt:variant>
      <vt:variant>
        <vt:i4>0</vt:i4>
      </vt:variant>
      <vt:variant>
        <vt:i4>5</vt:i4>
      </vt:variant>
      <vt:variant>
        <vt:lpwstr>https://www.cbd.gov.au/sites/default/files/2024-05/regulation-impact-statement 2016.pdf</vt:lpwstr>
      </vt:variant>
      <vt:variant>
        <vt:lpwstr/>
      </vt:variant>
      <vt:variant>
        <vt:i4>2031692</vt:i4>
      </vt:variant>
      <vt:variant>
        <vt:i4>69</vt:i4>
      </vt:variant>
      <vt:variant>
        <vt:i4>0</vt:i4>
      </vt:variant>
      <vt:variant>
        <vt:i4>5</vt:i4>
      </vt:variant>
      <vt:variant>
        <vt:lpwstr>https://www.cbd.gov.au/sites/default/files/2025-02/City of Melbourne.pdf</vt:lpwstr>
      </vt:variant>
      <vt:variant>
        <vt:lpwstr/>
      </vt:variant>
      <vt:variant>
        <vt:i4>3276836</vt:i4>
      </vt:variant>
      <vt:variant>
        <vt:i4>66</vt:i4>
      </vt:variant>
      <vt:variant>
        <vt:i4>0</vt:i4>
      </vt:variant>
      <vt:variant>
        <vt:i4>5</vt:i4>
      </vt:variant>
      <vt:variant>
        <vt:lpwstr>https://www.dcceew.gov.au/sites/default/files/documents/commercial-buildings-energy-consumption-baseline-study-2022.pdf</vt:lpwstr>
      </vt:variant>
      <vt:variant>
        <vt:lpwstr/>
      </vt:variant>
      <vt:variant>
        <vt:i4>3932273</vt:i4>
      </vt:variant>
      <vt:variant>
        <vt:i4>63</vt:i4>
      </vt:variant>
      <vt:variant>
        <vt:i4>0</vt:i4>
      </vt:variant>
      <vt:variant>
        <vt:i4>5</vt:i4>
      </vt:variant>
      <vt:variant>
        <vt:lpwstr>https://www.cbd.gov.au/sites/default/files/2020-09/cbd_review_cie_report_draft.pdf</vt:lpwstr>
      </vt:variant>
      <vt:variant>
        <vt:lpwstr/>
      </vt:variant>
      <vt:variant>
        <vt:i4>3932273</vt:i4>
      </vt:variant>
      <vt:variant>
        <vt:i4>60</vt:i4>
      </vt:variant>
      <vt:variant>
        <vt:i4>0</vt:i4>
      </vt:variant>
      <vt:variant>
        <vt:i4>5</vt:i4>
      </vt:variant>
      <vt:variant>
        <vt:lpwstr>https://www.cbd.gov.au/sites/default/files/2020-09/cbd_review_cie_report_draft.pdf</vt:lpwstr>
      </vt:variant>
      <vt:variant>
        <vt:lpwstr/>
      </vt:variant>
      <vt:variant>
        <vt:i4>5373965</vt:i4>
      </vt:variant>
      <vt:variant>
        <vt:i4>57</vt:i4>
      </vt:variant>
      <vt:variant>
        <vt:i4>0</vt:i4>
      </vt:variant>
      <vt:variant>
        <vt:i4>5</vt:i4>
      </vt:variant>
      <vt:variant>
        <vt:lpwstr>https://www.cbd.gov.au/about-cbd-program/cbd-program-history/cbd-program-reviews</vt:lpwstr>
      </vt:variant>
      <vt:variant>
        <vt:lpwstr/>
      </vt:variant>
      <vt:variant>
        <vt:i4>5898305</vt:i4>
      </vt:variant>
      <vt:variant>
        <vt:i4>54</vt:i4>
      </vt:variant>
      <vt:variant>
        <vt:i4>0</vt:i4>
      </vt:variant>
      <vt:variant>
        <vt:i4>5</vt:i4>
      </vt:variant>
      <vt:variant>
        <vt:lpwstr>https://www.nabers.gov.au/data-gallery/spi-2024-public-hospitals</vt:lpwstr>
      </vt:variant>
      <vt:variant>
        <vt:lpwstr/>
      </vt:variant>
      <vt:variant>
        <vt:i4>589917</vt:i4>
      </vt:variant>
      <vt:variant>
        <vt:i4>51</vt:i4>
      </vt:variant>
      <vt:variant>
        <vt:i4>0</vt:i4>
      </vt:variant>
      <vt:variant>
        <vt:i4>5</vt:i4>
      </vt:variant>
      <vt:variant>
        <vt:lpwstr>https://www.finance.gov.au/government/managing-commonwealth-resources/implementing-charging-framework-rmg-302</vt:lpwstr>
      </vt:variant>
      <vt:variant>
        <vt:lpwstr/>
      </vt:variant>
      <vt:variant>
        <vt:i4>3801203</vt:i4>
      </vt:variant>
      <vt:variant>
        <vt:i4>48</vt:i4>
      </vt:variant>
      <vt:variant>
        <vt:i4>0</vt:i4>
      </vt:variant>
      <vt:variant>
        <vt:i4>5</vt:i4>
      </vt:variant>
      <vt:variant>
        <vt:lpwstr>https://federation.gov.au/about/agreements/intergovernmental-agreement-data-sharing</vt:lpwstr>
      </vt:variant>
      <vt:variant>
        <vt:lpwstr/>
      </vt:variant>
      <vt:variant>
        <vt:i4>5373965</vt:i4>
      </vt:variant>
      <vt:variant>
        <vt:i4>45</vt:i4>
      </vt:variant>
      <vt:variant>
        <vt:i4>0</vt:i4>
      </vt:variant>
      <vt:variant>
        <vt:i4>5</vt:i4>
      </vt:variant>
      <vt:variant>
        <vt:lpwstr>https://www.cbd.gov.au/about-cbd-program/cbd-program-history/cbd-program-reviews</vt:lpwstr>
      </vt:variant>
      <vt:variant>
        <vt:lpwstr/>
      </vt:variant>
      <vt:variant>
        <vt:i4>2031618</vt:i4>
      </vt:variant>
      <vt:variant>
        <vt:i4>42</vt:i4>
      </vt:variant>
      <vt:variant>
        <vt:i4>0</vt:i4>
      </vt:variant>
      <vt:variant>
        <vt:i4>5</vt:i4>
      </vt:variant>
      <vt:variant>
        <vt:lpwstr>https://www.dcceew.gov.au/energy/publications/commercial-building-baseline-study-2024</vt:lpwstr>
      </vt:variant>
      <vt:variant>
        <vt:lpwstr/>
      </vt:variant>
      <vt:variant>
        <vt:i4>5373965</vt:i4>
      </vt:variant>
      <vt:variant>
        <vt:i4>39</vt:i4>
      </vt:variant>
      <vt:variant>
        <vt:i4>0</vt:i4>
      </vt:variant>
      <vt:variant>
        <vt:i4>5</vt:i4>
      </vt:variant>
      <vt:variant>
        <vt:lpwstr>https://www.cbd.gov.au/about-cbd-program/cbd-program-history/cbd-program-reviews</vt:lpwstr>
      </vt:variant>
      <vt:variant>
        <vt:lpwstr/>
      </vt:variant>
      <vt:variant>
        <vt:i4>2621499</vt:i4>
      </vt:variant>
      <vt:variant>
        <vt:i4>36</vt:i4>
      </vt:variant>
      <vt:variant>
        <vt:i4>0</vt:i4>
      </vt:variant>
      <vt:variant>
        <vt:i4>5</vt:i4>
      </vt:variant>
      <vt:variant>
        <vt:lpwstr>https://www.legislation.gov.au/F2016L01276/latest/text</vt:lpwstr>
      </vt:variant>
      <vt:variant>
        <vt:lpwstr/>
      </vt:variant>
      <vt:variant>
        <vt:i4>4390920</vt:i4>
      </vt:variant>
      <vt:variant>
        <vt:i4>33</vt:i4>
      </vt:variant>
      <vt:variant>
        <vt:i4>0</vt:i4>
      </vt:variant>
      <vt:variant>
        <vt:i4>5</vt:i4>
      </vt:variant>
      <vt:variant>
        <vt:lpwstr>https://www.energy.gov.au/energy-and-climate-change-ministerial-council/energy-ministers-publications/trajectory-low-energy-buildings</vt:lpwstr>
      </vt:variant>
      <vt:variant>
        <vt:lpwstr/>
      </vt:variant>
      <vt:variant>
        <vt:i4>3539000</vt:i4>
      </vt:variant>
      <vt:variant>
        <vt:i4>30</vt:i4>
      </vt:variant>
      <vt:variant>
        <vt:i4>0</vt:i4>
      </vt:variant>
      <vt:variant>
        <vt:i4>5</vt:i4>
      </vt:variant>
      <vt:variant>
        <vt:lpwstr>https://www.dcceew.gov.au/energy/strategies-and-frameworks/national-energy-performance-strategy</vt:lpwstr>
      </vt:variant>
      <vt:variant>
        <vt:lpwstr/>
      </vt:variant>
      <vt:variant>
        <vt:i4>393222</vt:i4>
      </vt:variant>
      <vt:variant>
        <vt:i4>27</vt:i4>
      </vt:variant>
      <vt:variant>
        <vt:i4>0</vt:i4>
      </vt:variant>
      <vt:variant>
        <vt:i4>5</vt:i4>
      </vt:variant>
      <vt:variant>
        <vt:lpwstr>https://www.regulatoryreform.gov.au/sites/default/files/Regulatory-Policy-Practice-and-Performance-Framework.pdf</vt:lpwstr>
      </vt:variant>
      <vt:variant>
        <vt:lpwstr/>
      </vt:variant>
      <vt:variant>
        <vt:i4>4194313</vt:i4>
      </vt:variant>
      <vt:variant>
        <vt:i4>24</vt:i4>
      </vt:variant>
      <vt:variant>
        <vt:i4>0</vt:i4>
      </vt:variant>
      <vt:variant>
        <vt:i4>5</vt:i4>
      </vt:variant>
      <vt:variant>
        <vt:lpwstr>https://www.energy.gov.au/energy-and-climate-change-ministerial-council/working-groups/energy-efficiency-working-group/home-energy-ratings-disclosure-framework-version-2</vt:lpwstr>
      </vt:variant>
      <vt:variant>
        <vt:lpwstr/>
      </vt:variant>
      <vt:variant>
        <vt:i4>2031643</vt:i4>
      </vt:variant>
      <vt:variant>
        <vt:i4>21</vt:i4>
      </vt:variant>
      <vt:variant>
        <vt:i4>0</vt:i4>
      </vt:variant>
      <vt:variant>
        <vt:i4>5</vt:i4>
      </vt:variant>
      <vt:variant>
        <vt:lpwstr>https://oia.pmc.gov.au/resources/guidance-impact-analysis/australian-government-guide-policy-impact-analysis</vt:lpwstr>
      </vt:variant>
      <vt:variant>
        <vt:lpwstr/>
      </vt:variant>
      <vt:variant>
        <vt:i4>5373965</vt:i4>
      </vt:variant>
      <vt:variant>
        <vt:i4>18</vt:i4>
      </vt:variant>
      <vt:variant>
        <vt:i4>0</vt:i4>
      </vt:variant>
      <vt:variant>
        <vt:i4>5</vt:i4>
      </vt:variant>
      <vt:variant>
        <vt:lpwstr>https://www.cbd.gov.au/about-cbd-program/cbd-program-history/cbd-program-reviews</vt:lpwstr>
      </vt:variant>
      <vt:variant>
        <vt:lpwstr/>
      </vt:variant>
      <vt:variant>
        <vt:i4>4390924</vt:i4>
      </vt:variant>
      <vt:variant>
        <vt:i4>15</vt:i4>
      </vt:variant>
      <vt:variant>
        <vt:i4>0</vt:i4>
      </vt:variant>
      <vt:variant>
        <vt:i4>5</vt:i4>
      </vt:variant>
      <vt:variant>
        <vt:lpwstr>https://www.dcceew.gov.au/energy/publications/barriers-to-building-energy-performance</vt:lpwstr>
      </vt:variant>
      <vt:variant>
        <vt:lpwstr/>
      </vt:variant>
      <vt:variant>
        <vt:i4>3932221</vt:i4>
      </vt:variant>
      <vt:variant>
        <vt:i4>9</vt:i4>
      </vt:variant>
      <vt:variant>
        <vt:i4>0</vt:i4>
      </vt:variant>
      <vt:variant>
        <vt:i4>5</vt:i4>
      </vt:variant>
      <vt:variant>
        <vt:lpwstr>https://www.dcceew.gov.au/climate-change/publications/net-zero-plan</vt:lpwstr>
      </vt:variant>
      <vt:variant>
        <vt:lpwstr/>
      </vt:variant>
      <vt:variant>
        <vt:i4>3276836</vt:i4>
      </vt:variant>
      <vt:variant>
        <vt:i4>6</vt:i4>
      </vt:variant>
      <vt:variant>
        <vt:i4>0</vt:i4>
      </vt:variant>
      <vt:variant>
        <vt:i4>5</vt:i4>
      </vt:variant>
      <vt:variant>
        <vt:lpwstr>https://www.dcceew.gov.au/sites/default/files/documents/commercial-buildings-energy-consumption-baseline-study-2022.pdf</vt:lpwstr>
      </vt:variant>
      <vt:variant>
        <vt:lpwstr/>
      </vt:variant>
      <vt:variant>
        <vt:i4>4456527</vt:i4>
      </vt:variant>
      <vt:variant>
        <vt:i4>3</vt:i4>
      </vt:variant>
      <vt:variant>
        <vt:i4>0</vt:i4>
      </vt:variant>
      <vt:variant>
        <vt:i4>5</vt:i4>
      </vt:variant>
      <vt:variant>
        <vt:lpwstr>https://www.dcceew.gov.au/energy/energy-efficiency/buildings/trajectory-low-energy-buildings</vt:lpwstr>
      </vt:variant>
      <vt:variant>
        <vt:lpwstr/>
      </vt:variant>
      <vt:variant>
        <vt:i4>3407972</vt:i4>
      </vt:variant>
      <vt:variant>
        <vt:i4>0</vt:i4>
      </vt:variant>
      <vt:variant>
        <vt:i4>0</vt:i4>
      </vt:variant>
      <vt:variant>
        <vt:i4>5</vt:i4>
      </vt:variant>
      <vt:variant>
        <vt:lpwstr>https://nabers2023.32phillip.com.au/annual-report/2022-2023/office-energy/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 Program Policy Roadmap for Expansion</dc:title>
  <dc:subject/>
  <dc:creator>Department of Climate Change, Energy, the Environment and Water</dc:creator>
  <cp:keywords/>
  <cp:lastModifiedBy>Mara PUTNIS</cp:lastModifiedBy>
  <cp:revision>56</cp:revision>
  <cp:lastPrinted>2025-09-15T17:20:00Z</cp:lastPrinted>
  <dcterms:created xsi:type="dcterms:W3CDTF">2025-09-19T21:41:00Z</dcterms:created>
  <dcterms:modified xsi:type="dcterms:W3CDTF">2025-10-13T02:04:00Z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0x0101007A3873A69F272546A7689B2A5DD8EFBA</vt:lpwstr>
  </property>
  <property fmtid="{D5CDD505-2E9C-101B-9397-08002B2CF9AE}" pid="3" name="MediaServiceImageTags">
    <vt:lpwstr/>
  </property>
  <property fmtid="{D5CDD505-2E9C-101B-9397-08002B2CF9AE}" pid="4" name="Order">
    <vt:r8>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opic">
    <vt:lpwstr/>
  </property>
  <property fmtid="{D5CDD505-2E9C-101B-9397-08002B2CF9AE}" pid="12" name="ClassificationContentMarkingHeaderShapeIds">
    <vt:lpwstr>23874dd,683f9a71,5441506b</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57f2d07c,4e6d07c4,7df5cbfc</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docLang">
    <vt:lpwstr>en</vt:lpwstr>
  </property>
</Properties>
</file>