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8077C" w14:textId="77777777" w:rsidR="009D06EF" w:rsidRDefault="009D06EF"/>
    <w:tbl>
      <w:tblPr>
        <w:tblStyle w:val="KPMGTable"/>
        <w:tblpPr w:leftFromText="180" w:rightFromText="180" w:vertAnchor="text" w:horzAnchor="margin" w:tblpXSpec="center" w:tblpY="-702"/>
        <w:tblOverlap w:val="never"/>
        <w:tblW w:w="0" w:type="auto"/>
        <w:tblBorders>
          <w:bottom w:val="none" w:sz="0" w:space="0" w:color="auto"/>
          <w:insideH w:val="none" w:sz="0" w:space="0" w:color="auto"/>
        </w:tblBorders>
        <w:tblLook w:val="04A0" w:firstRow="1" w:lastRow="0" w:firstColumn="1" w:lastColumn="0" w:noHBand="0" w:noVBand="1"/>
      </w:tblPr>
      <w:tblGrid>
        <w:gridCol w:w="9638"/>
      </w:tblGrid>
      <w:tr w:rsidR="00AA0DF9" w14:paraId="280672EF" w14:textId="77777777" w:rsidTr="00892755">
        <w:trPr>
          <w:cnfStyle w:val="100000000000" w:firstRow="1" w:lastRow="0" w:firstColumn="0" w:lastColumn="0" w:oddVBand="0" w:evenVBand="0" w:oddHBand="0" w:evenHBand="0" w:firstRowFirstColumn="0" w:firstRowLastColumn="0" w:lastRowFirstColumn="0" w:lastRowLastColumn="0"/>
          <w:trHeight w:val="10921"/>
        </w:trPr>
        <w:tc>
          <w:tcPr>
            <w:cnfStyle w:val="001000000000" w:firstRow="0" w:lastRow="0" w:firstColumn="1" w:lastColumn="0" w:oddVBand="0" w:evenVBand="0" w:oddHBand="0" w:evenHBand="0" w:firstRowFirstColumn="0" w:firstRowLastColumn="0" w:lastRowFirstColumn="0" w:lastRowLastColumn="0"/>
            <w:tcW w:w="9638" w:type="dxa"/>
            <w:shd w:val="clear" w:color="auto" w:fill="auto"/>
          </w:tcPr>
          <w:p w14:paraId="3A4A1962" w14:textId="77777777" w:rsidR="00AA0DF9" w:rsidRPr="00354FAF" w:rsidRDefault="00AA0DF9" w:rsidP="00892755">
            <w:pPr>
              <w:pStyle w:val="CoverTitle1White"/>
              <w:spacing w:before="0" w:after="240"/>
              <w:rPr>
                <w:rFonts w:ascii="KPMG Bold" w:hAnsi="KPMG Bold" w:cstheme="minorHAnsi"/>
                <w:sz w:val="144"/>
                <w:szCs w:val="144"/>
              </w:rPr>
            </w:pPr>
            <w:r w:rsidRPr="00354FAF">
              <w:rPr>
                <w:rFonts w:ascii="KPMG Bold" w:hAnsi="KPMG Bold" w:cstheme="minorHAnsi"/>
                <w:sz w:val="144"/>
                <w:szCs w:val="144"/>
              </w:rPr>
              <w:lastRenderedPageBreak/>
              <w:t>Expan</w:t>
            </w:r>
            <w:r>
              <w:rPr>
                <w:noProof/>
              </w:rPr>
              <w:drawing>
                <wp:anchor distT="0" distB="0" distL="114300" distR="114300" simplePos="0" relativeHeight="251658244" behindDoc="1" locked="1" layoutInCell="1" allowOverlap="1" wp14:anchorId="37002E30" wp14:editId="2C422085">
                  <wp:simplePos x="0" y="0"/>
                  <wp:positionH relativeFrom="page">
                    <wp:posOffset>-699135</wp:posOffset>
                  </wp:positionH>
                  <wp:positionV relativeFrom="page">
                    <wp:posOffset>-2006600</wp:posOffset>
                  </wp:positionV>
                  <wp:extent cx="7782560" cy="11006455"/>
                  <wp:effectExtent l="0" t="0" r="8890" b="4445"/>
                  <wp:wrapNone/>
                  <wp:docPr id="55" name="Picture 55" descr="Expanding the commercial building disclosur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panding the commercial building disclosure pro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2560" cy="11006455"/>
                          </a:xfrm>
                          <a:prstGeom prst="rect">
                            <a:avLst/>
                          </a:prstGeom>
                          <a:noFill/>
                        </pic:spPr>
                      </pic:pic>
                    </a:graphicData>
                  </a:graphic>
                  <wp14:sizeRelH relativeFrom="page">
                    <wp14:pctWidth>0</wp14:pctWidth>
                  </wp14:sizeRelH>
                  <wp14:sizeRelV relativeFrom="page">
                    <wp14:pctHeight>0</wp14:pctHeight>
                  </wp14:sizeRelV>
                </wp:anchor>
              </w:drawing>
            </w:r>
            <w:r w:rsidRPr="00354FAF">
              <w:rPr>
                <w:rFonts w:ascii="KPMG Bold" w:hAnsi="KPMG Bold" w:cstheme="minorHAnsi"/>
                <w:sz w:val="144"/>
                <w:szCs w:val="144"/>
              </w:rPr>
              <w:t xml:space="preserve">ding the Commercial Building Disclosure Program </w:t>
            </w:r>
          </w:p>
          <w:p w14:paraId="47BC9C58" w14:textId="77777777" w:rsidR="00AA0DF9" w:rsidRPr="00354FAF" w:rsidRDefault="00AA0DF9" w:rsidP="00892755">
            <w:pPr>
              <w:pStyle w:val="Covertitle2White"/>
              <w:rPr>
                <w:rFonts w:asciiTheme="minorHAnsi" w:hAnsiTheme="minorHAnsi" w:cstheme="minorHAnsi"/>
                <w:i/>
              </w:rPr>
            </w:pPr>
            <w:r w:rsidRPr="00354FAF">
              <w:rPr>
                <w:rFonts w:asciiTheme="minorHAnsi" w:hAnsiTheme="minorHAnsi" w:cstheme="minorHAnsi"/>
                <w:i/>
              </w:rPr>
              <w:t>Feasibility of mandatory disclosure of energy ratings for most commercial buildings including expanding the CBD Program</w:t>
            </w:r>
          </w:p>
          <w:p w14:paraId="29C6AA58" w14:textId="77777777" w:rsidR="00AA0DF9" w:rsidRPr="00354FAF" w:rsidRDefault="00AA0DF9" w:rsidP="00892755">
            <w:pPr>
              <w:pStyle w:val="Covertitle2White"/>
              <w:rPr>
                <w:rFonts w:asciiTheme="minorHAnsi" w:hAnsiTheme="minorHAnsi" w:cstheme="minorHAnsi"/>
                <w:i/>
              </w:rPr>
            </w:pPr>
          </w:p>
          <w:p w14:paraId="4581CBA8" w14:textId="77777777" w:rsidR="00AA0DF9" w:rsidRPr="00354FAF" w:rsidRDefault="00AA0DF9" w:rsidP="00892755">
            <w:pPr>
              <w:pStyle w:val="Covertitle2White"/>
              <w:rPr>
                <w:rFonts w:asciiTheme="minorHAnsi" w:hAnsiTheme="minorHAnsi" w:cstheme="minorHAnsi"/>
              </w:rPr>
            </w:pPr>
            <w:r w:rsidRPr="00354FAF">
              <w:rPr>
                <w:rFonts w:asciiTheme="minorHAnsi" w:hAnsiTheme="minorHAnsi" w:cstheme="minorHAnsi"/>
              </w:rPr>
              <w:t>Final Report for the Department of Climate Change, Energy, the Environment and Water</w:t>
            </w:r>
          </w:p>
          <w:p w14:paraId="1F6ED622" w14:textId="77777777" w:rsidR="00AA0DF9" w:rsidRDefault="00AA0DF9" w:rsidP="00892755">
            <w:pPr>
              <w:pStyle w:val="CoverTitle3White"/>
              <w:rPr>
                <w:rFonts w:asciiTheme="minorHAnsi" w:hAnsiTheme="minorHAnsi" w:cstheme="minorHAnsi"/>
              </w:rPr>
            </w:pPr>
          </w:p>
          <w:p w14:paraId="7A19919E" w14:textId="77777777" w:rsidR="00AA0DF9" w:rsidRDefault="00AA0DF9" w:rsidP="00892755">
            <w:pPr>
              <w:pStyle w:val="CoverTitle3White"/>
              <w:rPr>
                <w:rFonts w:asciiTheme="minorHAnsi" w:hAnsiTheme="minorHAnsi" w:cstheme="minorHAnsi"/>
              </w:rPr>
            </w:pPr>
          </w:p>
          <w:p w14:paraId="41F44E3D" w14:textId="77777777" w:rsidR="00AA0DF9" w:rsidRDefault="00AA0DF9" w:rsidP="00892755">
            <w:pPr>
              <w:pStyle w:val="CoverTitle3White"/>
              <w:rPr>
                <w:rFonts w:asciiTheme="minorHAnsi" w:hAnsiTheme="minorHAnsi" w:cstheme="minorHAnsi"/>
              </w:rPr>
            </w:pPr>
          </w:p>
          <w:p w14:paraId="546A4D1B" w14:textId="77777777" w:rsidR="00AA0DF9" w:rsidRDefault="00AA0DF9" w:rsidP="00892755">
            <w:pPr>
              <w:pStyle w:val="CoverTitle3White"/>
              <w:rPr>
                <w:rFonts w:asciiTheme="minorHAnsi" w:hAnsiTheme="minorHAnsi" w:cstheme="minorHAnsi"/>
              </w:rPr>
            </w:pPr>
          </w:p>
          <w:p w14:paraId="0D1CE193" w14:textId="77777777" w:rsidR="00AA0DF9" w:rsidRPr="00354FAF" w:rsidRDefault="00AA0DF9" w:rsidP="00892755">
            <w:pPr>
              <w:pStyle w:val="CoverTitle3White"/>
              <w:rPr>
                <w:rFonts w:asciiTheme="minorHAnsi" w:hAnsiTheme="minorHAnsi" w:cstheme="minorHAnsi"/>
              </w:rPr>
            </w:pPr>
          </w:p>
        </w:tc>
      </w:tr>
      <w:tr w:rsidR="00AA0DF9" w14:paraId="2CBBAD9D" w14:textId="77777777" w:rsidTr="00892755">
        <w:tc>
          <w:tcPr>
            <w:cnfStyle w:val="001000000000" w:firstRow="0" w:lastRow="0" w:firstColumn="1" w:lastColumn="0" w:oddVBand="0" w:evenVBand="0" w:oddHBand="0" w:evenHBand="0" w:firstRowFirstColumn="0" w:firstRowLastColumn="0" w:lastRowFirstColumn="0" w:lastRowLastColumn="0"/>
            <w:tcW w:w="9638" w:type="dxa"/>
            <w:shd w:val="clear" w:color="auto" w:fill="auto"/>
          </w:tcPr>
          <w:p w14:paraId="1A740CF3" w14:textId="33B9E50A" w:rsidR="00AA0DF9" w:rsidRPr="00C652C6" w:rsidRDefault="00C271F0" w:rsidP="00892755">
            <w:pPr>
              <w:pStyle w:val="CoverTitle4White"/>
              <w:rPr>
                <w:rFonts w:asciiTheme="minorHAnsi" w:hAnsiTheme="minorHAnsi" w:cstheme="minorHAnsi"/>
                <w:b/>
                <w:bCs/>
              </w:rPr>
            </w:pPr>
            <w:r>
              <w:rPr>
                <w:rFonts w:asciiTheme="minorHAnsi" w:hAnsiTheme="minorHAnsi" w:cstheme="minorHAnsi"/>
                <w:b/>
                <w:bCs/>
              </w:rPr>
              <w:lastRenderedPageBreak/>
              <w:t>March</w:t>
            </w:r>
            <w:r w:rsidR="006C7EB7">
              <w:rPr>
                <w:rFonts w:asciiTheme="minorHAnsi" w:hAnsiTheme="minorHAnsi" w:cstheme="minorHAnsi"/>
                <w:b/>
                <w:bCs/>
              </w:rPr>
              <w:t xml:space="preserve"> 2024</w:t>
            </w:r>
          </w:p>
          <w:p w14:paraId="71217CBF" w14:textId="77777777" w:rsidR="00AA0DF9" w:rsidRPr="006A6CBB" w:rsidRDefault="00AA0DF9" w:rsidP="00892755">
            <w:pPr>
              <w:pStyle w:val="CoverTitle4White"/>
              <w:rPr>
                <w:rFonts w:asciiTheme="minorHAnsi" w:hAnsiTheme="minorHAnsi" w:cstheme="minorHAnsi"/>
                <w:b/>
                <w:bCs/>
              </w:rPr>
            </w:pPr>
            <w:r w:rsidRPr="006A6CBB">
              <w:rPr>
                <w:rFonts w:asciiTheme="minorHAnsi" w:hAnsiTheme="minorHAnsi" w:cstheme="minorHAnsi"/>
                <w:b/>
                <w:bCs/>
              </w:rPr>
              <w:t>KPMG.com.au</w:t>
            </w:r>
          </w:p>
        </w:tc>
      </w:tr>
    </w:tbl>
    <w:p w14:paraId="4FFA57F2" w14:textId="77777777" w:rsidR="00F94AB9" w:rsidRPr="00354FAF" w:rsidRDefault="00F94AB9" w:rsidP="007C5F05">
      <w:pPr>
        <w:pStyle w:val="BodyText"/>
        <w:rPr>
          <w:rFonts w:asciiTheme="minorHAnsi" w:hAnsiTheme="minorHAnsi" w:cstheme="minorHAnsi"/>
        </w:rPr>
        <w:sectPr w:rsidR="00F94AB9" w:rsidRPr="00354FAF" w:rsidSect="00A77C53">
          <w:headerReference w:type="even" r:id="rId12"/>
          <w:footerReference w:type="even" r:id="rId13"/>
          <w:footerReference w:type="default" r:id="rId14"/>
          <w:pgSz w:w="11906" w:h="16838"/>
          <w:pgMar w:top="3544" w:right="851" w:bottom="851" w:left="851" w:header="567" w:footer="284" w:gutter="0"/>
          <w:cols w:space="708"/>
          <w:docGrid w:linePitch="360"/>
        </w:sectPr>
      </w:pPr>
    </w:p>
    <w:p w14:paraId="27812EC6" w14:textId="4C252677" w:rsidR="00721C94" w:rsidRPr="00F81ADB" w:rsidRDefault="00721C94" w:rsidP="00721C94">
      <w:pPr>
        <w:pStyle w:val="Heading1"/>
        <w:numPr>
          <w:ilvl w:val="0"/>
          <w:numId w:val="0"/>
        </w:numPr>
        <w:ind w:left="432" w:hanging="432"/>
        <w:rPr>
          <w:rFonts w:cstheme="minorHAnsi"/>
        </w:rPr>
      </w:pPr>
      <w:bookmarkStart w:id="0" w:name="_Toc154059356"/>
      <w:r w:rsidRPr="00F81ADB">
        <w:rPr>
          <w:rFonts w:cstheme="minorHAnsi"/>
        </w:rPr>
        <w:lastRenderedPageBreak/>
        <w:t>Executive Summary</w:t>
      </w:r>
      <w:bookmarkEnd w:id="0"/>
    </w:p>
    <w:p w14:paraId="1CEC850B" w14:textId="77777777" w:rsidR="005C5018" w:rsidRPr="00F81ADB" w:rsidRDefault="005C5018" w:rsidP="00632A2A">
      <w:pPr>
        <w:pStyle w:val="BodyBullet"/>
        <w:rPr>
          <w:rFonts w:cstheme="minorHAnsi"/>
        </w:rPr>
      </w:pPr>
    </w:p>
    <w:p w14:paraId="2BB8C2A1" w14:textId="77777777" w:rsidR="00371B77" w:rsidRDefault="00EC671E" w:rsidP="00655F35">
      <w:pPr>
        <w:pStyle w:val="BodyBullet"/>
        <w:rPr>
          <w:rFonts w:cstheme="minorHAnsi"/>
        </w:rPr>
      </w:pPr>
      <w:r w:rsidRPr="00F81ADB">
        <w:rPr>
          <w:rFonts w:cstheme="minorHAnsi"/>
        </w:rPr>
        <w:t xml:space="preserve">The Australian </w:t>
      </w:r>
      <w:r w:rsidR="00A028F3" w:rsidRPr="00F81ADB">
        <w:rPr>
          <w:rFonts w:cstheme="minorHAnsi"/>
        </w:rPr>
        <w:t xml:space="preserve">Government </w:t>
      </w:r>
      <w:r w:rsidRPr="00F81ADB">
        <w:rPr>
          <w:rFonts w:cstheme="minorHAnsi"/>
        </w:rPr>
        <w:t xml:space="preserve">has </w:t>
      </w:r>
      <w:r w:rsidR="004D6862">
        <w:rPr>
          <w:rFonts w:cstheme="minorHAnsi"/>
        </w:rPr>
        <w:t xml:space="preserve">legislated to </w:t>
      </w:r>
      <w:r w:rsidR="002C0965">
        <w:rPr>
          <w:rFonts w:cstheme="minorHAnsi"/>
        </w:rPr>
        <w:t>reduce</w:t>
      </w:r>
      <w:r w:rsidR="002C0965" w:rsidRPr="00F81ADB">
        <w:rPr>
          <w:rFonts w:cstheme="minorHAnsi"/>
        </w:rPr>
        <w:t xml:space="preserve"> emission</w:t>
      </w:r>
      <w:r w:rsidR="00875202">
        <w:rPr>
          <w:rFonts w:cstheme="minorHAnsi"/>
        </w:rPr>
        <w:t>s</w:t>
      </w:r>
      <w:r w:rsidR="00565054" w:rsidRPr="00F81ADB">
        <w:rPr>
          <w:rFonts w:cstheme="minorHAnsi"/>
        </w:rPr>
        <w:t xml:space="preserve"> across the economy by </w:t>
      </w:r>
      <w:r w:rsidR="00F068BD" w:rsidRPr="00F81ADB">
        <w:rPr>
          <w:rFonts w:cstheme="minorHAnsi"/>
        </w:rPr>
        <w:t>43 per cent by 2030</w:t>
      </w:r>
      <w:r w:rsidR="004D6862">
        <w:rPr>
          <w:rFonts w:cstheme="minorHAnsi"/>
        </w:rPr>
        <w:t xml:space="preserve">, </w:t>
      </w:r>
      <w:r w:rsidR="00596DA2" w:rsidRPr="00F81ADB">
        <w:rPr>
          <w:rFonts w:cstheme="minorHAnsi"/>
        </w:rPr>
        <w:t>reach</w:t>
      </w:r>
      <w:r w:rsidR="004D6862">
        <w:rPr>
          <w:rFonts w:cstheme="minorHAnsi"/>
        </w:rPr>
        <w:t>ing</w:t>
      </w:r>
      <w:r w:rsidR="00596DA2" w:rsidRPr="00F81ADB">
        <w:rPr>
          <w:rFonts w:cstheme="minorHAnsi"/>
        </w:rPr>
        <w:t xml:space="preserve"> net zero by 2050. </w:t>
      </w:r>
      <w:r w:rsidR="00186585" w:rsidRPr="00F81ADB">
        <w:rPr>
          <w:rFonts w:cstheme="minorHAnsi"/>
        </w:rPr>
        <w:t>T</w:t>
      </w:r>
      <w:r w:rsidR="00A028F3" w:rsidRPr="00F81ADB">
        <w:rPr>
          <w:rFonts w:cstheme="minorHAnsi"/>
        </w:rPr>
        <w:t xml:space="preserve">o achieve </w:t>
      </w:r>
      <w:r w:rsidR="00706B3A" w:rsidRPr="00F81ADB">
        <w:rPr>
          <w:rFonts w:cstheme="minorHAnsi"/>
        </w:rPr>
        <w:t>these</w:t>
      </w:r>
      <w:r w:rsidR="00A028F3" w:rsidRPr="00F81ADB">
        <w:rPr>
          <w:rFonts w:cstheme="minorHAnsi"/>
        </w:rPr>
        <w:t xml:space="preserve"> commitments</w:t>
      </w:r>
      <w:r w:rsidR="007F2E46">
        <w:rPr>
          <w:rFonts w:cstheme="minorHAnsi"/>
        </w:rPr>
        <w:t xml:space="preserve"> </w:t>
      </w:r>
      <w:r w:rsidR="007D446C">
        <w:rPr>
          <w:rFonts w:cstheme="minorHAnsi"/>
        </w:rPr>
        <w:t xml:space="preserve">all </w:t>
      </w:r>
      <w:r w:rsidR="00A028F3" w:rsidRPr="00F81ADB">
        <w:rPr>
          <w:rFonts w:cstheme="minorHAnsi"/>
        </w:rPr>
        <w:t>sector</w:t>
      </w:r>
      <w:r w:rsidR="007D446C">
        <w:rPr>
          <w:rFonts w:cstheme="minorHAnsi"/>
        </w:rPr>
        <w:t xml:space="preserve">s must </w:t>
      </w:r>
      <w:r w:rsidR="008F3AFD">
        <w:rPr>
          <w:rFonts w:cstheme="minorHAnsi"/>
        </w:rPr>
        <w:t>have credible emissions reduction pathways</w:t>
      </w:r>
      <w:r w:rsidR="007D446C">
        <w:rPr>
          <w:rFonts w:cstheme="minorHAnsi"/>
        </w:rPr>
        <w:t xml:space="preserve">, </w:t>
      </w:r>
      <w:r w:rsidR="00220D5D">
        <w:rPr>
          <w:rFonts w:cstheme="minorHAnsi"/>
        </w:rPr>
        <w:t xml:space="preserve">and </w:t>
      </w:r>
      <w:r w:rsidR="00A028F3" w:rsidRPr="00F81ADB">
        <w:rPr>
          <w:rFonts w:cstheme="minorHAnsi"/>
        </w:rPr>
        <w:t>the built environment sector</w:t>
      </w:r>
      <w:r w:rsidR="00AC3DED">
        <w:rPr>
          <w:rFonts w:cstheme="minorHAnsi"/>
        </w:rPr>
        <w:t xml:space="preserve"> </w:t>
      </w:r>
      <w:r w:rsidR="004D6862">
        <w:rPr>
          <w:rFonts w:cstheme="minorHAnsi"/>
        </w:rPr>
        <w:t xml:space="preserve">may be required to </w:t>
      </w:r>
      <w:r w:rsidR="00A82F1E">
        <w:rPr>
          <w:rFonts w:cstheme="minorHAnsi"/>
        </w:rPr>
        <w:t xml:space="preserve">make </w:t>
      </w:r>
      <w:r w:rsidR="008F3AFD">
        <w:rPr>
          <w:rFonts w:cstheme="minorHAnsi"/>
        </w:rPr>
        <w:t>a strong</w:t>
      </w:r>
      <w:r w:rsidR="004D6862">
        <w:rPr>
          <w:rFonts w:cstheme="minorHAnsi"/>
        </w:rPr>
        <w:t>er</w:t>
      </w:r>
      <w:r w:rsidR="008F3AFD">
        <w:rPr>
          <w:rFonts w:cstheme="minorHAnsi"/>
        </w:rPr>
        <w:t xml:space="preserve"> contribution </w:t>
      </w:r>
      <w:r w:rsidR="004D6862">
        <w:rPr>
          <w:rFonts w:cstheme="minorHAnsi"/>
        </w:rPr>
        <w:t xml:space="preserve">compared to other </w:t>
      </w:r>
      <w:r w:rsidR="002C0965">
        <w:rPr>
          <w:rFonts w:cstheme="minorHAnsi"/>
        </w:rPr>
        <w:t>harder</w:t>
      </w:r>
      <w:r w:rsidR="004D6862">
        <w:rPr>
          <w:rFonts w:cstheme="minorHAnsi"/>
        </w:rPr>
        <w:t xml:space="preserve"> to abate sectors such as agriculture </w:t>
      </w:r>
      <w:r w:rsidR="004D6862" w:rsidRPr="00FD3D37">
        <w:rPr>
          <w:rFonts w:cstheme="minorHAnsi"/>
        </w:rPr>
        <w:t xml:space="preserve">and </w:t>
      </w:r>
      <w:r w:rsidR="00FD3D37" w:rsidRPr="00FD3D37">
        <w:rPr>
          <w:rFonts w:cstheme="minorHAnsi"/>
        </w:rPr>
        <w:t>heavy industry</w:t>
      </w:r>
      <w:r w:rsidR="009A254F" w:rsidRPr="00FD3D37">
        <w:rPr>
          <w:rFonts w:cstheme="minorHAnsi"/>
        </w:rPr>
        <w:t>.</w:t>
      </w:r>
      <w:r w:rsidR="009A254F" w:rsidRPr="00F81ADB">
        <w:rPr>
          <w:rFonts w:cstheme="minorHAnsi"/>
        </w:rPr>
        <w:t xml:space="preserve"> </w:t>
      </w:r>
      <w:r w:rsidR="004D6862">
        <w:rPr>
          <w:rFonts w:cstheme="minorHAnsi"/>
        </w:rPr>
        <w:t>The</w:t>
      </w:r>
      <w:r w:rsidR="000D0F02">
        <w:rPr>
          <w:rFonts w:cstheme="minorHAnsi"/>
        </w:rPr>
        <w:t>re are various</w:t>
      </w:r>
      <w:r w:rsidR="004D6862">
        <w:rPr>
          <w:rFonts w:cstheme="minorHAnsi"/>
        </w:rPr>
        <w:t xml:space="preserve"> benefits of reducing</w:t>
      </w:r>
      <w:r w:rsidR="009A254F" w:rsidRPr="00F81ADB">
        <w:rPr>
          <w:rFonts w:cstheme="minorHAnsi"/>
        </w:rPr>
        <w:t xml:space="preserve"> </w:t>
      </w:r>
      <w:r w:rsidR="004823A6" w:rsidRPr="00F81ADB">
        <w:rPr>
          <w:rFonts w:cstheme="minorHAnsi"/>
        </w:rPr>
        <w:t xml:space="preserve">energy </w:t>
      </w:r>
      <w:r w:rsidR="00A028F3" w:rsidRPr="00F81ADB">
        <w:rPr>
          <w:rFonts w:cstheme="minorHAnsi"/>
        </w:rPr>
        <w:t>consumption</w:t>
      </w:r>
      <w:r w:rsidR="004823A6" w:rsidRPr="00F81ADB">
        <w:rPr>
          <w:rFonts w:cstheme="minorHAnsi"/>
        </w:rPr>
        <w:t xml:space="preserve"> from this sector</w:t>
      </w:r>
      <w:r w:rsidR="004D455B">
        <w:rPr>
          <w:rFonts w:cstheme="minorHAnsi"/>
        </w:rPr>
        <w:t xml:space="preserve">, </w:t>
      </w:r>
      <w:r w:rsidR="004D6862">
        <w:rPr>
          <w:rFonts w:cstheme="minorHAnsi"/>
        </w:rPr>
        <w:t>includ</w:t>
      </w:r>
      <w:r w:rsidR="004D455B">
        <w:rPr>
          <w:rFonts w:cstheme="minorHAnsi"/>
        </w:rPr>
        <w:t>ing</w:t>
      </w:r>
      <w:r w:rsidR="00C65F70" w:rsidRPr="00F81ADB">
        <w:rPr>
          <w:rFonts w:cstheme="minorHAnsi"/>
        </w:rPr>
        <w:t xml:space="preserve"> </w:t>
      </w:r>
      <w:r w:rsidR="007135A2">
        <w:rPr>
          <w:rFonts w:cstheme="minorHAnsi"/>
        </w:rPr>
        <w:t>limit</w:t>
      </w:r>
      <w:r w:rsidR="004D6862">
        <w:rPr>
          <w:rFonts w:cstheme="minorHAnsi"/>
        </w:rPr>
        <w:t>ing</w:t>
      </w:r>
      <w:r w:rsidR="00AF3A98">
        <w:rPr>
          <w:rFonts w:cstheme="minorHAnsi"/>
        </w:rPr>
        <w:t xml:space="preserve"> </w:t>
      </w:r>
      <w:r w:rsidR="004D6862">
        <w:rPr>
          <w:rFonts w:cstheme="minorHAnsi"/>
        </w:rPr>
        <w:t>future</w:t>
      </w:r>
      <w:r w:rsidR="00F36F26">
        <w:rPr>
          <w:rFonts w:cstheme="minorHAnsi"/>
        </w:rPr>
        <w:t xml:space="preserve"> </w:t>
      </w:r>
      <w:r w:rsidR="00ED6880">
        <w:rPr>
          <w:rFonts w:cstheme="minorHAnsi"/>
        </w:rPr>
        <w:t xml:space="preserve">network </w:t>
      </w:r>
      <w:r w:rsidR="00AF3A98">
        <w:rPr>
          <w:rFonts w:cstheme="minorHAnsi"/>
        </w:rPr>
        <w:t>infrastructure build</w:t>
      </w:r>
      <w:r w:rsidR="00F36F26">
        <w:rPr>
          <w:rFonts w:cstheme="minorHAnsi"/>
        </w:rPr>
        <w:t xml:space="preserve">, </w:t>
      </w:r>
      <w:r w:rsidR="00ED6880">
        <w:rPr>
          <w:rFonts w:cstheme="minorHAnsi"/>
        </w:rPr>
        <w:t>improv</w:t>
      </w:r>
      <w:r w:rsidR="004D6862">
        <w:rPr>
          <w:rFonts w:cstheme="minorHAnsi"/>
        </w:rPr>
        <w:t>ing</w:t>
      </w:r>
      <w:r w:rsidR="00ED6880">
        <w:rPr>
          <w:rFonts w:cstheme="minorHAnsi"/>
        </w:rPr>
        <w:t xml:space="preserve"> grid reliability and stability</w:t>
      </w:r>
      <w:r w:rsidR="000A063A" w:rsidRPr="00F81ADB">
        <w:rPr>
          <w:rFonts w:cstheme="minorHAnsi"/>
        </w:rPr>
        <w:t>,</w:t>
      </w:r>
      <w:r w:rsidR="00231B66" w:rsidRPr="00F81ADB">
        <w:rPr>
          <w:rFonts w:cstheme="minorHAnsi"/>
        </w:rPr>
        <w:t xml:space="preserve"> </w:t>
      </w:r>
      <w:r w:rsidR="004D6862">
        <w:rPr>
          <w:rFonts w:cstheme="minorHAnsi"/>
        </w:rPr>
        <w:t>and ultimately</w:t>
      </w:r>
      <w:r w:rsidR="007D6734" w:rsidRPr="00F81ADB">
        <w:rPr>
          <w:rFonts w:cstheme="minorHAnsi"/>
        </w:rPr>
        <w:t xml:space="preserve"> enabl</w:t>
      </w:r>
      <w:r w:rsidR="004D6862">
        <w:rPr>
          <w:rFonts w:cstheme="minorHAnsi"/>
        </w:rPr>
        <w:t>ing</w:t>
      </w:r>
      <w:r w:rsidR="007D6734" w:rsidRPr="00F81ADB">
        <w:rPr>
          <w:rFonts w:cstheme="minorHAnsi"/>
        </w:rPr>
        <w:t xml:space="preserve"> lower cost electrification of </w:t>
      </w:r>
      <w:r w:rsidR="00B757D8" w:rsidRPr="00F81ADB">
        <w:rPr>
          <w:rFonts w:cstheme="minorHAnsi"/>
        </w:rPr>
        <w:t xml:space="preserve">other parts of the economy. </w:t>
      </w:r>
      <w:r w:rsidR="00D4753F" w:rsidRPr="00F81ADB">
        <w:rPr>
          <w:rFonts w:cstheme="minorHAnsi"/>
        </w:rPr>
        <w:t xml:space="preserve">Energy efficiency </w:t>
      </w:r>
      <w:r w:rsidR="00160F4A" w:rsidRPr="00F81ADB">
        <w:rPr>
          <w:rFonts w:cstheme="minorHAnsi"/>
        </w:rPr>
        <w:t>measures</w:t>
      </w:r>
      <w:r w:rsidR="005221B2" w:rsidRPr="00F81ADB">
        <w:rPr>
          <w:rFonts w:cstheme="minorHAnsi"/>
        </w:rPr>
        <w:t xml:space="preserve"> also </w:t>
      </w:r>
      <w:r w:rsidR="009447C4" w:rsidRPr="00F81ADB">
        <w:rPr>
          <w:rFonts w:cstheme="minorHAnsi"/>
        </w:rPr>
        <w:t>generall</w:t>
      </w:r>
      <w:r w:rsidR="009F04D1" w:rsidRPr="00F81ADB">
        <w:rPr>
          <w:rFonts w:cstheme="minorHAnsi"/>
        </w:rPr>
        <w:t>y hav</w:t>
      </w:r>
      <w:r w:rsidR="00266FBD">
        <w:rPr>
          <w:rFonts w:cstheme="minorHAnsi"/>
        </w:rPr>
        <w:t>e</w:t>
      </w:r>
      <w:r w:rsidR="009F04D1" w:rsidRPr="00F81ADB">
        <w:rPr>
          <w:rFonts w:cstheme="minorHAnsi"/>
        </w:rPr>
        <w:t xml:space="preserve"> short payback periods, </w:t>
      </w:r>
      <w:r w:rsidR="009C7D80">
        <w:rPr>
          <w:rFonts w:cstheme="minorHAnsi"/>
        </w:rPr>
        <w:t xml:space="preserve">meaning </w:t>
      </w:r>
      <w:r w:rsidR="008E541B">
        <w:rPr>
          <w:rFonts w:cstheme="minorHAnsi"/>
        </w:rPr>
        <w:t xml:space="preserve">these measures can contribute to emissions and </w:t>
      </w:r>
      <w:r w:rsidR="00CD4E69">
        <w:rPr>
          <w:rFonts w:cstheme="minorHAnsi"/>
        </w:rPr>
        <w:t xml:space="preserve">energy </w:t>
      </w:r>
      <w:r w:rsidR="008E541B">
        <w:rPr>
          <w:rFonts w:cstheme="minorHAnsi"/>
        </w:rPr>
        <w:t xml:space="preserve">affordability </w:t>
      </w:r>
      <w:r w:rsidR="00CD4E69">
        <w:rPr>
          <w:rFonts w:cstheme="minorHAnsi"/>
        </w:rPr>
        <w:t xml:space="preserve">objectives if properly designed. </w:t>
      </w:r>
      <w:r w:rsidR="00371B77" w:rsidRPr="004D077C">
        <w:rPr>
          <w:rFonts w:cstheme="minorHAnsi"/>
        </w:rPr>
        <w:t>In addition to reducing energy use and emissions, the policies assessed in this report were found to have substantial net benefit for building owners.</w:t>
      </w:r>
    </w:p>
    <w:p w14:paraId="2C5D3C92" w14:textId="7ED31D65" w:rsidR="00232BCC" w:rsidRDefault="00655F35" w:rsidP="00655F35">
      <w:pPr>
        <w:pStyle w:val="BodyBullet"/>
        <w:rPr>
          <w:rFonts w:cstheme="minorHAnsi"/>
        </w:rPr>
      </w:pPr>
      <w:r w:rsidRPr="00F81ADB">
        <w:rPr>
          <w:rFonts w:cstheme="minorHAnsi"/>
        </w:rPr>
        <w:t xml:space="preserve">KPMG was engaged to assess the feasibility around options to expand </w:t>
      </w:r>
      <w:r w:rsidR="007B36AC">
        <w:rPr>
          <w:rFonts w:cstheme="minorHAnsi"/>
        </w:rPr>
        <w:t xml:space="preserve">the </w:t>
      </w:r>
      <w:r w:rsidR="008E2317">
        <w:rPr>
          <w:rFonts w:cstheme="minorHAnsi"/>
        </w:rPr>
        <w:t>C</w:t>
      </w:r>
      <w:r w:rsidR="00CB31DF" w:rsidRPr="00F81ADB">
        <w:rPr>
          <w:rFonts w:cstheme="minorHAnsi"/>
        </w:rPr>
        <w:t xml:space="preserve">ommercial Buildings Disclosure </w:t>
      </w:r>
      <w:r w:rsidR="00CB31DF">
        <w:rPr>
          <w:rFonts w:cstheme="minorHAnsi"/>
        </w:rPr>
        <w:t>(</w:t>
      </w:r>
      <w:r w:rsidRPr="00F81ADB">
        <w:rPr>
          <w:rFonts w:cstheme="minorHAnsi"/>
        </w:rPr>
        <w:t>CBD</w:t>
      </w:r>
      <w:r w:rsidR="00CB31DF">
        <w:rPr>
          <w:rFonts w:cstheme="minorHAnsi"/>
        </w:rPr>
        <w:t>)</w:t>
      </w:r>
      <w:r w:rsidRPr="00F81ADB">
        <w:rPr>
          <w:rFonts w:cstheme="minorHAnsi"/>
        </w:rPr>
        <w:t xml:space="preserve"> </w:t>
      </w:r>
      <w:r w:rsidR="00371B77">
        <w:rPr>
          <w:rFonts w:cstheme="minorHAnsi"/>
        </w:rPr>
        <w:t>program</w:t>
      </w:r>
      <w:r w:rsidRPr="00F81ADB">
        <w:rPr>
          <w:rFonts w:cstheme="minorHAnsi"/>
        </w:rPr>
        <w:t xml:space="preserve">. </w:t>
      </w:r>
    </w:p>
    <w:p w14:paraId="655FC121" w14:textId="77777777" w:rsidR="00407077" w:rsidRPr="00F7050C" w:rsidRDefault="00407077" w:rsidP="00F7050C">
      <w:pPr>
        <w:pStyle w:val="Heading2"/>
        <w:rPr>
          <w:rFonts w:cstheme="minorHAnsi"/>
        </w:rPr>
      </w:pPr>
      <w:r w:rsidRPr="00F7050C">
        <w:rPr>
          <w:rFonts w:cstheme="minorHAnsi"/>
        </w:rPr>
        <w:t>Findings</w:t>
      </w:r>
    </w:p>
    <w:p w14:paraId="25810A2C" w14:textId="6EE93FA8" w:rsidR="00407077" w:rsidRDefault="00407077" w:rsidP="00407077">
      <w:pPr>
        <w:pStyle w:val="BodyBullet"/>
        <w:rPr>
          <w:rFonts w:cstheme="minorHAnsi"/>
        </w:rPr>
      </w:pPr>
      <w:r>
        <w:rPr>
          <w:rFonts w:cstheme="minorHAnsi"/>
        </w:rPr>
        <w:t xml:space="preserve">The CBD program is performing well when compared with other programs internationally. Its expansion promises to be the best placed tool to achieve the task of reducing Australia’s </w:t>
      </w:r>
      <w:r w:rsidR="009B77C7">
        <w:rPr>
          <w:rFonts w:cstheme="minorHAnsi"/>
        </w:rPr>
        <w:t xml:space="preserve">commercial </w:t>
      </w:r>
      <w:r>
        <w:rPr>
          <w:rFonts w:cstheme="minorHAnsi"/>
        </w:rPr>
        <w:t>building sector emissions to net zero by 2050.</w:t>
      </w:r>
    </w:p>
    <w:p w14:paraId="7BA986F8" w14:textId="13639F3F" w:rsidR="00B358A3" w:rsidRDefault="001360B9" w:rsidP="00655F35">
      <w:pPr>
        <w:pStyle w:val="BodyBullet"/>
        <w:rPr>
          <w:rFonts w:cstheme="minorHAnsi"/>
        </w:rPr>
      </w:pPr>
      <w:r>
        <w:rPr>
          <w:rFonts w:cstheme="minorHAnsi"/>
        </w:rPr>
        <w:t xml:space="preserve">This report considers the benefits and approaches for expanding mandatory disclosure of </w:t>
      </w:r>
      <w:r w:rsidR="00C542B9">
        <w:rPr>
          <w:rFonts w:cstheme="minorHAnsi"/>
        </w:rPr>
        <w:t>National Australian Built Environment Rating System (</w:t>
      </w:r>
      <w:r w:rsidR="00767E13">
        <w:rPr>
          <w:rFonts w:cstheme="minorHAnsi"/>
        </w:rPr>
        <w:t>NABERS</w:t>
      </w:r>
      <w:r w:rsidR="00C542B9">
        <w:rPr>
          <w:rFonts w:cstheme="minorHAnsi"/>
        </w:rPr>
        <w:t>)</w:t>
      </w:r>
      <w:r w:rsidR="00767E13">
        <w:rPr>
          <w:rFonts w:cstheme="minorHAnsi"/>
        </w:rPr>
        <w:t xml:space="preserve"> </w:t>
      </w:r>
      <w:r>
        <w:rPr>
          <w:rFonts w:cstheme="minorHAnsi"/>
        </w:rPr>
        <w:t xml:space="preserve">energy ratings to more building types in Australia, under the </w:t>
      </w:r>
      <w:r w:rsidR="00655F35" w:rsidRPr="00F81ADB">
        <w:rPr>
          <w:rFonts w:cstheme="minorHAnsi"/>
        </w:rPr>
        <w:t>CBD program</w:t>
      </w:r>
      <w:r w:rsidR="00D44811">
        <w:rPr>
          <w:rFonts w:cstheme="minorHAnsi"/>
        </w:rPr>
        <w:t xml:space="preserve">. </w:t>
      </w:r>
      <w:r w:rsidR="00655F35" w:rsidRPr="00F81ADB">
        <w:rPr>
          <w:rFonts w:cstheme="minorHAnsi"/>
        </w:rPr>
        <w:t xml:space="preserve"> </w:t>
      </w:r>
      <w:r w:rsidR="001519FF">
        <w:rPr>
          <w:rFonts w:cstheme="minorHAnsi"/>
        </w:rPr>
        <w:t>It</w:t>
      </w:r>
      <w:r w:rsidR="005D2017">
        <w:rPr>
          <w:rFonts w:cstheme="minorHAnsi"/>
        </w:rPr>
        <w:t xml:space="preserve"> considers</w:t>
      </w:r>
      <w:r w:rsidR="004D6862">
        <w:rPr>
          <w:rFonts w:cstheme="minorHAnsi"/>
        </w:rPr>
        <w:t xml:space="preserve"> a range of policy options </w:t>
      </w:r>
      <w:r w:rsidR="005D2017">
        <w:rPr>
          <w:rFonts w:cstheme="minorHAnsi"/>
        </w:rPr>
        <w:t>taken from</w:t>
      </w:r>
      <w:r w:rsidR="004D6862">
        <w:rPr>
          <w:rFonts w:cstheme="minorHAnsi"/>
        </w:rPr>
        <w:t xml:space="preserve"> international and Australian context</w:t>
      </w:r>
      <w:r w:rsidR="005D2017">
        <w:rPr>
          <w:rFonts w:cstheme="minorHAnsi"/>
        </w:rPr>
        <w:t>s.</w:t>
      </w:r>
      <w:r w:rsidR="004D6862">
        <w:rPr>
          <w:rFonts w:cstheme="minorHAnsi"/>
        </w:rPr>
        <w:t xml:space="preserve"> </w:t>
      </w:r>
    </w:p>
    <w:p w14:paraId="6AAEDA6D" w14:textId="4415308E" w:rsidR="005D2017" w:rsidRDefault="005D2017" w:rsidP="00655F35">
      <w:pPr>
        <w:pStyle w:val="BodyBullet"/>
        <w:rPr>
          <w:rFonts w:cstheme="minorHAnsi"/>
        </w:rPr>
      </w:pPr>
      <w:r w:rsidRPr="00F81ADB">
        <w:rPr>
          <w:rFonts w:cstheme="minorHAnsi"/>
        </w:rPr>
        <w:t>Based on the assessment</w:t>
      </w:r>
      <w:r w:rsidR="00EF1034" w:rsidRPr="00EF1034">
        <w:rPr>
          <w:rFonts w:cstheme="minorHAnsi"/>
        </w:rPr>
        <w:t xml:space="preserve"> </w:t>
      </w:r>
      <w:r w:rsidR="00EF1034">
        <w:rPr>
          <w:rFonts w:cstheme="minorHAnsi"/>
        </w:rPr>
        <w:t>of international and Australian policy options</w:t>
      </w:r>
      <w:r w:rsidRPr="00F81ADB">
        <w:rPr>
          <w:rFonts w:cstheme="minorHAnsi"/>
        </w:rPr>
        <w:t xml:space="preserve">, discussions with the Department </w:t>
      </w:r>
      <w:r w:rsidR="007858CB">
        <w:rPr>
          <w:rFonts w:cstheme="minorHAnsi"/>
        </w:rPr>
        <w:t xml:space="preserve">of </w:t>
      </w:r>
      <w:r w:rsidR="00672775">
        <w:rPr>
          <w:rFonts w:cstheme="minorHAnsi"/>
        </w:rPr>
        <w:t>Climate Change, Energy, the Environment and Water</w:t>
      </w:r>
      <w:r w:rsidR="00C20B62">
        <w:rPr>
          <w:rFonts w:cstheme="minorHAnsi"/>
        </w:rPr>
        <w:t xml:space="preserve"> (the Department)</w:t>
      </w:r>
      <w:r w:rsidRPr="00F81ADB">
        <w:rPr>
          <w:rFonts w:cstheme="minorHAnsi"/>
        </w:rPr>
        <w:t xml:space="preserve"> and the views of </w:t>
      </w:r>
      <w:r w:rsidR="00CF5738">
        <w:rPr>
          <w:rFonts w:cstheme="minorHAnsi"/>
        </w:rPr>
        <w:t>an</w:t>
      </w:r>
      <w:r w:rsidRPr="00F81ADB">
        <w:rPr>
          <w:rFonts w:cstheme="minorHAnsi"/>
        </w:rPr>
        <w:t xml:space="preserve"> expert reference group, three policies </w:t>
      </w:r>
      <w:r>
        <w:rPr>
          <w:rFonts w:cstheme="minorHAnsi"/>
        </w:rPr>
        <w:t>from original seven options</w:t>
      </w:r>
      <w:r w:rsidRPr="00F81ADB">
        <w:rPr>
          <w:rFonts w:cstheme="minorHAnsi"/>
        </w:rPr>
        <w:t xml:space="preserve"> were identified to proceed to a feasibility assessment for further investigation. The priority policies </w:t>
      </w:r>
      <w:r>
        <w:rPr>
          <w:rFonts w:cstheme="minorHAnsi"/>
        </w:rPr>
        <w:t>are</w:t>
      </w:r>
      <w:r w:rsidRPr="00F81ADB">
        <w:rPr>
          <w:rFonts w:cstheme="minorHAnsi"/>
        </w:rPr>
        <w:t>:</w:t>
      </w:r>
    </w:p>
    <w:p w14:paraId="47FB39C2" w14:textId="0E1154F0" w:rsidR="005D2017" w:rsidRPr="004E2261" w:rsidRDefault="005D2017" w:rsidP="00A253E6">
      <w:pPr>
        <w:pStyle w:val="BodyText"/>
        <w:numPr>
          <w:ilvl w:val="0"/>
          <w:numId w:val="58"/>
        </w:numPr>
        <w:rPr>
          <w:rFonts w:asciiTheme="minorHAnsi" w:hAnsiTheme="minorHAnsi" w:cstheme="minorHAnsi"/>
        </w:rPr>
      </w:pPr>
      <w:r w:rsidRPr="004E2261">
        <w:rPr>
          <w:rFonts w:asciiTheme="minorHAnsi" w:hAnsiTheme="minorHAnsi" w:cstheme="minorHAnsi"/>
          <w:b/>
        </w:rPr>
        <w:t>Tailored sectoral disclosure</w:t>
      </w:r>
      <w:r w:rsidR="008149B8" w:rsidRPr="008149B8">
        <w:rPr>
          <w:rFonts w:asciiTheme="minorHAnsi" w:hAnsiTheme="minorHAnsi" w:cstheme="minorHAnsi"/>
          <w:b/>
        </w:rPr>
        <w:t xml:space="preserve"> </w:t>
      </w:r>
      <w:r w:rsidR="008149B8">
        <w:rPr>
          <w:rFonts w:asciiTheme="minorHAnsi" w:hAnsiTheme="minorHAnsi" w:cstheme="minorHAnsi"/>
          <w:b/>
        </w:rPr>
        <w:t>(</w:t>
      </w:r>
      <w:r w:rsidR="008149B8" w:rsidRPr="004E2261">
        <w:rPr>
          <w:rFonts w:asciiTheme="minorHAnsi" w:hAnsiTheme="minorHAnsi" w:cstheme="minorHAnsi"/>
          <w:b/>
        </w:rPr>
        <w:t>Policy 2</w:t>
      </w:r>
      <w:r w:rsidR="008149B8">
        <w:rPr>
          <w:rFonts w:asciiTheme="minorHAnsi" w:hAnsiTheme="minorHAnsi" w:cstheme="minorHAnsi"/>
          <w:b/>
        </w:rPr>
        <w:t>)</w:t>
      </w:r>
      <w:r w:rsidR="008149B8" w:rsidRPr="004E2261">
        <w:rPr>
          <w:rFonts w:asciiTheme="minorHAnsi" w:hAnsiTheme="minorHAnsi" w:cstheme="minorHAnsi"/>
          <w:b/>
        </w:rPr>
        <w:t xml:space="preserve"> </w:t>
      </w:r>
      <w:r w:rsidR="008149B8" w:rsidRPr="00CF5738">
        <w:rPr>
          <w:rFonts w:asciiTheme="minorHAnsi" w:hAnsiTheme="minorHAnsi" w:cstheme="minorHAnsi"/>
          <w:bCs/>
        </w:rPr>
        <w:t>- T</w:t>
      </w:r>
      <w:r w:rsidRPr="00CF5738">
        <w:rPr>
          <w:rFonts w:asciiTheme="minorHAnsi" w:hAnsiTheme="minorHAnsi" w:cstheme="minorHAnsi"/>
          <w:bCs/>
        </w:rPr>
        <w:t>his</w:t>
      </w:r>
      <w:r w:rsidRPr="004E2261">
        <w:rPr>
          <w:rFonts w:asciiTheme="minorHAnsi" w:hAnsiTheme="minorHAnsi" w:cstheme="minorHAnsi"/>
        </w:rPr>
        <w:t xml:space="preserve"> policy presents an option for large</w:t>
      </w:r>
      <w:r>
        <w:rPr>
          <w:rFonts w:asciiTheme="minorHAnsi" w:hAnsiTheme="minorHAnsi" w:cstheme="minorHAnsi"/>
        </w:rPr>
        <w:t>-</w:t>
      </w:r>
      <w:r w:rsidRPr="004E2261">
        <w:rPr>
          <w:rFonts w:asciiTheme="minorHAnsi" w:hAnsiTheme="minorHAnsi" w:cstheme="minorHAnsi"/>
        </w:rPr>
        <w:t xml:space="preserve">scale disclosure, whilst accounting for the </w:t>
      </w:r>
      <w:r w:rsidR="00180B41">
        <w:rPr>
          <w:rFonts w:asciiTheme="minorHAnsi" w:hAnsiTheme="minorHAnsi" w:cstheme="minorHAnsi"/>
        </w:rPr>
        <w:t xml:space="preserve">building size and </w:t>
      </w:r>
      <w:r w:rsidRPr="004E2261">
        <w:rPr>
          <w:rFonts w:asciiTheme="minorHAnsi" w:hAnsiTheme="minorHAnsi" w:cstheme="minorHAnsi"/>
        </w:rPr>
        <w:t xml:space="preserve">relative maturity of different sectors, with thresholds set with further analysis of emissions and compliance trade-offs. </w:t>
      </w:r>
    </w:p>
    <w:p w14:paraId="0BE3A01F" w14:textId="473ACDCC" w:rsidR="005D2017" w:rsidRDefault="005D2017" w:rsidP="00A253E6">
      <w:pPr>
        <w:pStyle w:val="BodyText"/>
        <w:numPr>
          <w:ilvl w:val="0"/>
          <w:numId w:val="58"/>
        </w:numPr>
        <w:rPr>
          <w:rFonts w:asciiTheme="minorHAnsi" w:hAnsiTheme="minorHAnsi" w:cstheme="minorHAnsi"/>
        </w:rPr>
      </w:pPr>
      <w:r w:rsidRPr="004E2261">
        <w:rPr>
          <w:rFonts w:asciiTheme="minorHAnsi" w:hAnsiTheme="minorHAnsi" w:cstheme="minorHAnsi"/>
          <w:b/>
        </w:rPr>
        <w:t xml:space="preserve">NABERS-star rating </w:t>
      </w:r>
      <w:r w:rsidR="00DB1180">
        <w:rPr>
          <w:rFonts w:asciiTheme="minorHAnsi" w:hAnsiTheme="minorHAnsi" w:cstheme="minorHAnsi"/>
          <w:b/>
        </w:rPr>
        <w:t>minimum energy performance standard (</w:t>
      </w:r>
      <w:proofErr w:type="spellStart"/>
      <w:r w:rsidRPr="004E2261">
        <w:rPr>
          <w:rFonts w:asciiTheme="minorHAnsi" w:hAnsiTheme="minorHAnsi" w:cstheme="minorHAnsi"/>
          <w:b/>
        </w:rPr>
        <w:t>MEPS</w:t>
      </w:r>
      <w:proofErr w:type="spellEnd"/>
      <w:r w:rsidR="00DB1180">
        <w:rPr>
          <w:rFonts w:asciiTheme="minorHAnsi" w:hAnsiTheme="minorHAnsi" w:cstheme="minorHAnsi"/>
          <w:b/>
        </w:rPr>
        <w:t>)</w:t>
      </w:r>
      <w:r w:rsidRPr="004E2261">
        <w:rPr>
          <w:rFonts w:asciiTheme="minorHAnsi" w:hAnsiTheme="minorHAnsi" w:cstheme="minorHAnsi"/>
          <w:b/>
        </w:rPr>
        <w:t xml:space="preserve"> for offices </w:t>
      </w:r>
      <w:r w:rsidR="008149B8">
        <w:rPr>
          <w:rFonts w:asciiTheme="minorHAnsi" w:hAnsiTheme="minorHAnsi" w:cstheme="minorHAnsi"/>
          <w:b/>
        </w:rPr>
        <w:t>(</w:t>
      </w:r>
      <w:r w:rsidR="008149B8" w:rsidRPr="004E2261">
        <w:rPr>
          <w:rFonts w:asciiTheme="minorHAnsi" w:hAnsiTheme="minorHAnsi" w:cstheme="minorHAnsi"/>
          <w:b/>
        </w:rPr>
        <w:t>Policy 4</w:t>
      </w:r>
      <w:r w:rsidR="008149B8">
        <w:rPr>
          <w:rFonts w:asciiTheme="minorHAnsi" w:hAnsiTheme="minorHAnsi" w:cstheme="minorHAnsi"/>
          <w:b/>
        </w:rPr>
        <w:t>)</w:t>
      </w:r>
      <w:r w:rsidR="008149B8" w:rsidRPr="004E2261">
        <w:rPr>
          <w:rFonts w:asciiTheme="minorHAnsi" w:hAnsiTheme="minorHAnsi" w:cstheme="minorHAnsi"/>
          <w:b/>
        </w:rPr>
        <w:t xml:space="preserve"> – </w:t>
      </w:r>
      <w:r w:rsidRPr="004E2261">
        <w:rPr>
          <w:rFonts w:asciiTheme="minorHAnsi" w:hAnsiTheme="minorHAnsi" w:cstheme="minorHAnsi"/>
        </w:rPr>
        <w:t xml:space="preserve">This policy has a smaller, more targeted coverage, but greater certainty of outcomes as it requires buildings meet a certain standard. </w:t>
      </w:r>
      <w:r>
        <w:rPr>
          <w:rFonts w:asciiTheme="minorHAnsi" w:hAnsiTheme="minorHAnsi" w:cstheme="minorHAnsi"/>
        </w:rPr>
        <w:t xml:space="preserve">Currently, this policy would largely lift a subset of low performing buildings to align with most large and newer buildings. </w:t>
      </w:r>
      <w:r w:rsidRPr="004E2261">
        <w:rPr>
          <w:rFonts w:asciiTheme="minorHAnsi" w:hAnsiTheme="minorHAnsi" w:cstheme="minorHAnsi"/>
        </w:rPr>
        <w:t xml:space="preserve">This could possibly be expanded to other building types later, based on sub-sector maturity and experience with disclosure, so the broader potential for emissions reduction is further improved. </w:t>
      </w:r>
    </w:p>
    <w:p w14:paraId="4EF63C74" w14:textId="3BB0FF73" w:rsidR="00140AD6" w:rsidRPr="00D55926" w:rsidRDefault="00AE209F" w:rsidP="00A253E6">
      <w:pPr>
        <w:pStyle w:val="BodyText"/>
        <w:numPr>
          <w:ilvl w:val="0"/>
          <w:numId w:val="58"/>
        </w:numPr>
        <w:rPr>
          <w:rFonts w:cstheme="minorHAnsi"/>
        </w:rPr>
      </w:pPr>
      <w:r w:rsidRPr="004E2261">
        <w:rPr>
          <w:rFonts w:asciiTheme="minorHAnsi" w:hAnsiTheme="minorHAnsi" w:cstheme="minorHAnsi"/>
          <w:b/>
        </w:rPr>
        <w:t xml:space="preserve">Scope 1 Disclosure </w:t>
      </w:r>
      <w:r>
        <w:rPr>
          <w:rFonts w:asciiTheme="minorHAnsi" w:hAnsiTheme="minorHAnsi" w:cstheme="minorHAnsi"/>
          <w:b/>
        </w:rPr>
        <w:t>(</w:t>
      </w:r>
      <w:r w:rsidRPr="004E2261">
        <w:rPr>
          <w:rFonts w:asciiTheme="minorHAnsi" w:hAnsiTheme="minorHAnsi" w:cstheme="minorHAnsi"/>
          <w:b/>
        </w:rPr>
        <w:t>Policy 5</w:t>
      </w:r>
      <w:r>
        <w:rPr>
          <w:rFonts w:asciiTheme="minorHAnsi" w:hAnsiTheme="minorHAnsi" w:cstheme="minorHAnsi"/>
          <w:b/>
        </w:rPr>
        <w:t>)</w:t>
      </w:r>
      <w:r w:rsidRPr="004E2261">
        <w:rPr>
          <w:rFonts w:asciiTheme="minorHAnsi" w:hAnsiTheme="minorHAnsi" w:cstheme="minorHAnsi"/>
          <w:b/>
        </w:rPr>
        <w:t xml:space="preserve"> - </w:t>
      </w:r>
      <w:r w:rsidRPr="004E2261">
        <w:rPr>
          <w:rFonts w:asciiTheme="minorHAnsi" w:hAnsiTheme="minorHAnsi" w:cstheme="minorHAnsi"/>
        </w:rPr>
        <w:t xml:space="preserve">This policy is simple, low cost and easy to implement. It also provides potential additional value of filling a small data gap that currently exists in the NABERS assessment. It is consistent with the new </w:t>
      </w:r>
      <w:r>
        <w:rPr>
          <w:rFonts w:asciiTheme="minorHAnsi" w:hAnsiTheme="minorHAnsi" w:cstheme="minorHAnsi"/>
        </w:rPr>
        <w:t xml:space="preserve">net zero </w:t>
      </w:r>
      <w:r w:rsidRPr="004E2261">
        <w:rPr>
          <w:rFonts w:asciiTheme="minorHAnsi" w:hAnsiTheme="minorHAnsi" w:cstheme="minorHAnsi"/>
        </w:rPr>
        <w:t>emissions focus for Federal regulation</w:t>
      </w:r>
      <w:r>
        <w:rPr>
          <w:rFonts w:asciiTheme="minorHAnsi" w:hAnsiTheme="minorHAnsi" w:cstheme="minorHAnsi"/>
        </w:rPr>
        <w:t>, and trends in finance provision</w:t>
      </w:r>
      <w:r w:rsidRPr="004E2261">
        <w:rPr>
          <w:rFonts w:asciiTheme="minorHAnsi" w:hAnsiTheme="minorHAnsi" w:cstheme="minorHAnsi"/>
        </w:rPr>
        <w:t xml:space="preserve">. Although it is anticipated to have low impact, a more detailed assessment would help clarify this, as well as other costs and benefits this option would bring. </w:t>
      </w:r>
    </w:p>
    <w:p w14:paraId="3DE23150" w14:textId="0CA2D089" w:rsidR="00140AD6" w:rsidRDefault="00140AD6" w:rsidP="001A3A05">
      <w:pPr>
        <w:pStyle w:val="BodyBullet"/>
        <w:rPr>
          <w:rFonts w:cstheme="minorHAnsi"/>
        </w:rPr>
      </w:pPr>
      <w:r w:rsidRPr="00F81ADB">
        <w:rPr>
          <w:rFonts w:cstheme="minorHAnsi"/>
        </w:rPr>
        <w:t>These three policies are not mutually exclusive, and a package of measures which</w:t>
      </w:r>
      <w:r>
        <w:rPr>
          <w:rFonts w:cstheme="minorHAnsi"/>
        </w:rPr>
        <w:t xml:space="preserve"> signals progressive</w:t>
      </w:r>
      <w:r w:rsidRPr="00F81ADB">
        <w:rPr>
          <w:rFonts w:cstheme="minorHAnsi"/>
        </w:rPr>
        <w:t xml:space="preserve"> expan</w:t>
      </w:r>
      <w:r>
        <w:rPr>
          <w:rFonts w:cstheme="minorHAnsi"/>
        </w:rPr>
        <w:t xml:space="preserve">sion of </w:t>
      </w:r>
      <w:r w:rsidRPr="00F81ADB">
        <w:rPr>
          <w:rFonts w:cstheme="minorHAnsi"/>
        </w:rPr>
        <w:t xml:space="preserve">disclosure and then </w:t>
      </w:r>
      <w:proofErr w:type="spellStart"/>
      <w:r w:rsidRPr="00F81ADB">
        <w:rPr>
          <w:rFonts w:cstheme="minorHAnsi"/>
        </w:rPr>
        <w:t>MEPS</w:t>
      </w:r>
      <w:proofErr w:type="spellEnd"/>
      <w:r w:rsidRPr="00F81ADB">
        <w:rPr>
          <w:rFonts w:cstheme="minorHAnsi"/>
        </w:rPr>
        <w:t xml:space="preserve"> over time is likely to have considerable additional benefits, both in speed and quantum, </w:t>
      </w:r>
      <w:proofErr w:type="gramStart"/>
      <w:r w:rsidRPr="00F81ADB">
        <w:rPr>
          <w:rFonts w:cstheme="minorHAnsi"/>
        </w:rPr>
        <w:t>th</w:t>
      </w:r>
      <w:r w:rsidR="00C35ADD">
        <w:rPr>
          <w:rFonts w:cstheme="minorHAnsi"/>
        </w:rPr>
        <w:t>a</w:t>
      </w:r>
      <w:r w:rsidRPr="00F81ADB">
        <w:rPr>
          <w:rFonts w:cstheme="minorHAnsi"/>
        </w:rPr>
        <w:t>n</w:t>
      </w:r>
      <w:proofErr w:type="gramEnd"/>
      <w:r w:rsidRPr="00F81ADB">
        <w:rPr>
          <w:rFonts w:cstheme="minorHAnsi"/>
        </w:rPr>
        <w:t xml:space="preserve"> the sum of the parts.</w:t>
      </w:r>
    </w:p>
    <w:p w14:paraId="51D3B6B0" w14:textId="77777777" w:rsidR="00B14E2C" w:rsidRPr="00861D3D" w:rsidRDefault="00B14E2C" w:rsidP="00861D3D">
      <w:pPr>
        <w:pStyle w:val="Heading2"/>
        <w:rPr>
          <w:rFonts w:cstheme="minorHAnsi"/>
        </w:rPr>
      </w:pPr>
      <w:r w:rsidRPr="00A34383">
        <w:rPr>
          <w:rFonts w:cstheme="minorHAnsi"/>
        </w:rPr>
        <w:t>Recommendation</w:t>
      </w:r>
    </w:p>
    <w:p w14:paraId="2A22FB56" w14:textId="4A3FE242" w:rsidR="00B14E2C" w:rsidRPr="00F81ADB" w:rsidRDefault="00B14E2C" w:rsidP="001A3A05">
      <w:pPr>
        <w:pStyle w:val="BodyBullet"/>
        <w:rPr>
          <w:rFonts w:cstheme="minorHAnsi"/>
        </w:rPr>
      </w:pPr>
      <w:r>
        <w:rPr>
          <w:rFonts w:cstheme="minorHAnsi"/>
        </w:rPr>
        <w:t>Based on the feasibility assessment of the three policy options, all three policies have significant merits and should be considered further by the Government through a formal cost-benefit analysis and regulatory impact assessment process, including stakeholder engagement.</w:t>
      </w:r>
      <w:r w:rsidR="00157594">
        <w:rPr>
          <w:rFonts w:cstheme="minorHAnsi"/>
        </w:rPr>
        <w:t xml:space="preserve"> </w:t>
      </w:r>
      <w:r w:rsidR="00797246" w:rsidRPr="008B0045">
        <w:t>We provide a suggested roadmap for change to incorporate all three policy options over the next ten years</w:t>
      </w:r>
      <w:r w:rsidR="00155F5F">
        <w:t>, which</w:t>
      </w:r>
      <w:r w:rsidR="006D399D">
        <w:t xml:space="preserve"> can be updated after </w:t>
      </w:r>
      <w:r w:rsidR="00155F5F">
        <w:t>formal analysis</w:t>
      </w:r>
      <w:r w:rsidR="006D399D">
        <w:t xml:space="preserve"> and </w:t>
      </w:r>
      <w:r w:rsidR="00155F5F">
        <w:t xml:space="preserve">broader </w:t>
      </w:r>
      <w:r w:rsidR="006D399D">
        <w:t xml:space="preserve">stakeholder </w:t>
      </w:r>
      <w:r w:rsidR="00155F5F">
        <w:t xml:space="preserve">engagement. </w:t>
      </w:r>
    </w:p>
    <w:p w14:paraId="3034620B" w14:textId="77777777" w:rsidR="00E06568" w:rsidRPr="00045BCA" w:rsidRDefault="00E06568" w:rsidP="00045BCA">
      <w:pPr>
        <w:pStyle w:val="Heading3"/>
        <w:rPr>
          <w:rFonts w:asciiTheme="minorHAnsi" w:hAnsiTheme="minorHAnsi" w:cstheme="minorHAnsi"/>
        </w:rPr>
      </w:pPr>
      <w:r w:rsidRPr="00045BCA">
        <w:rPr>
          <w:rFonts w:asciiTheme="minorHAnsi" w:hAnsiTheme="minorHAnsi" w:cstheme="minorHAnsi"/>
        </w:rPr>
        <w:t>A roadmap for change</w:t>
      </w:r>
    </w:p>
    <w:p w14:paraId="54901F74" w14:textId="1D843CC6" w:rsidR="004E2F7A" w:rsidRDefault="00687FDB" w:rsidP="000F0348">
      <w:pPr>
        <w:pStyle w:val="BodyText"/>
        <w:spacing w:after="60"/>
        <w:rPr>
          <w:rFonts w:asciiTheme="minorHAnsi" w:hAnsiTheme="minorHAnsi" w:cstheme="minorHAnsi"/>
        </w:rPr>
      </w:pPr>
      <w:r>
        <w:rPr>
          <w:rFonts w:asciiTheme="minorHAnsi" w:hAnsiTheme="minorHAnsi" w:cstheme="minorHAnsi"/>
        </w:rPr>
        <w:t>There is t</w:t>
      </w:r>
      <w:r w:rsidR="00880A7A">
        <w:rPr>
          <w:rFonts w:asciiTheme="minorHAnsi" w:hAnsiTheme="minorHAnsi" w:cstheme="minorHAnsi"/>
        </w:rPr>
        <w:t xml:space="preserve">he opportunity to expand building regulation in a systematic way that builds to transform the energy and emissions performance of the sector, while being sensitive to the levels of readiness and maturity in smaller buildings and some non-residential building sectors. </w:t>
      </w:r>
    </w:p>
    <w:p w14:paraId="6749E429" w14:textId="1DD6CD56" w:rsidR="00880A7A" w:rsidRDefault="00880A7A" w:rsidP="00687FDB">
      <w:pPr>
        <w:pStyle w:val="BodyText"/>
        <w:spacing w:after="0"/>
        <w:rPr>
          <w:rFonts w:asciiTheme="minorHAnsi" w:hAnsiTheme="minorHAnsi" w:cstheme="minorHAnsi"/>
        </w:rPr>
      </w:pPr>
      <w:r>
        <w:rPr>
          <w:rFonts w:asciiTheme="minorHAnsi" w:hAnsiTheme="minorHAnsi" w:cstheme="minorHAnsi"/>
        </w:rPr>
        <w:lastRenderedPageBreak/>
        <w:t>This involves reform on several dimensions:</w:t>
      </w:r>
    </w:p>
    <w:p w14:paraId="18C2E984" w14:textId="77777777" w:rsidR="00880A7A" w:rsidRDefault="00880A7A" w:rsidP="00A253E6">
      <w:pPr>
        <w:pStyle w:val="BodyText"/>
        <w:numPr>
          <w:ilvl w:val="0"/>
          <w:numId w:val="63"/>
        </w:numPr>
        <w:tabs>
          <w:tab w:val="clear" w:pos="340"/>
          <w:tab w:val="num" w:pos="680"/>
        </w:tabs>
        <w:spacing w:after="60"/>
        <w:ind w:left="680"/>
        <w:rPr>
          <w:rFonts w:asciiTheme="minorHAnsi" w:hAnsiTheme="minorHAnsi" w:cstheme="minorHAnsi"/>
        </w:rPr>
      </w:pPr>
      <w:r>
        <w:rPr>
          <w:rFonts w:asciiTheme="minorHAnsi" w:hAnsiTheme="minorHAnsi" w:cstheme="minorHAnsi"/>
        </w:rPr>
        <w:t xml:space="preserve">expanding the </w:t>
      </w:r>
      <w:r>
        <w:rPr>
          <w:rFonts w:asciiTheme="minorHAnsi" w:hAnsiTheme="minorHAnsi" w:cstheme="minorHAnsi"/>
          <w:i/>
        </w:rPr>
        <w:t>scope</w:t>
      </w:r>
      <w:r>
        <w:rPr>
          <w:rFonts w:asciiTheme="minorHAnsi" w:hAnsiTheme="minorHAnsi" w:cstheme="minorHAnsi"/>
        </w:rPr>
        <w:t xml:space="preserve"> of disclosure requirements from the current focus on larger office buildings owned by corporations to a progressively wider set of building types and ownership </w:t>
      </w:r>
      <w:proofErr w:type="gramStart"/>
      <w:r>
        <w:rPr>
          <w:rFonts w:asciiTheme="minorHAnsi" w:hAnsiTheme="minorHAnsi" w:cstheme="minorHAnsi"/>
        </w:rPr>
        <w:t>structures</w:t>
      </w:r>
      <w:proofErr w:type="gramEnd"/>
      <w:r>
        <w:rPr>
          <w:rFonts w:asciiTheme="minorHAnsi" w:hAnsiTheme="minorHAnsi" w:cstheme="minorHAnsi"/>
        </w:rPr>
        <w:t xml:space="preserve"> </w:t>
      </w:r>
    </w:p>
    <w:p w14:paraId="088520A8" w14:textId="77777777" w:rsidR="00880A7A" w:rsidRDefault="00880A7A" w:rsidP="00A253E6">
      <w:pPr>
        <w:pStyle w:val="BodyText"/>
        <w:numPr>
          <w:ilvl w:val="0"/>
          <w:numId w:val="63"/>
        </w:numPr>
        <w:tabs>
          <w:tab w:val="clear" w:pos="340"/>
          <w:tab w:val="num" w:pos="680"/>
        </w:tabs>
        <w:spacing w:after="60"/>
        <w:ind w:left="680"/>
        <w:rPr>
          <w:rFonts w:asciiTheme="minorHAnsi" w:hAnsiTheme="minorHAnsi" w:cstheme="minorHAnsi"/>
        </w:rPr>
      </w:pPr>
      <w:r>
        <w:rPr>
          <w:rFonts w:asciiTheme="minorHAnsi" w:hAnsiTheme="minorHAnsi" w:cstheme="minorHAnsi"/>
          <w:i/>
        </w:rPr>
        <w:t>deepening</w:t>
      </w:r>
      <w:r>
        <w:rPr>
          <w:rFonts w:asciiTheme="minorHAnsi" w:hAnsiTheme="minorHAnsi" w:cstheme="minorHAnsi"/>
        </w:rPr>
        <w:t xml:space="preserve"> building regulation from the current focus on disclosure to </w:t>
      </w:r>
      <w:proofErr w:type="spellStart"/>
      <w:r>
        <w:rPr>
          <w:rFonts w:asciiTheme="minorHAnsi" w:hAnsiTheme="minorHAnsi" w:cstheme="minorHAnsi"/>
        </w:rPr>
        <w:t>MEPS</w:t>
      </w:r>
      <w:proofErr w:type="spellEnd"/>
      <w:r>
        <w:rPr>
          <w:rFonts w:asciiTheme="minorHAnsi" w:hAnsiTheme="minorHAnsi" w:cstheme="minorHAnsi"/>
        </w:rPr>
        <w:t xml:space="preserve">, to reduce the tail of low performing </w:t>
      </w:r>
      <w:proofErr w:type="gramStart"/>
      <w:r>
        <w:rPr>
          <w:rFonts w:asciiTheme="minorHAnsi" w:hAnsiTheme="minorHAnsi" w:cstheme="minorHAnsi"/>
        </w:rPr>
        <w:t>buildings</w:t>
      </w:r>
      <w:proofErr w:type="gramEnd"/>
    </w:p>
    <w:p w14:paraId="025B6850" w14:textId="68FEA9B7" w:rsidR="00FE76D0" w:rsidRPr="00E23C8E" w:rsidRDefault="00880A7A" w:rsidP="00A253E6">
      <w:pPr>
        <w:pStyle w:val="BodyText"/>
        <w:numPr>
          <w:ilvl w:val="0"/>
          <w:numId w:val="63"/>
        </w:numPr>
        <w:tabs>
          <w:tab w:val="clear" w:pos="340"/>
          <w:tab w:val="num" w:pos="680"/>
        </w:tabs>
        <w:spacing w:after="240"/>
        <w:ind w:left="680"/>
        <w:rPr>
          <w:rFonts w:asciiTheme="minorHAnsi" w:hAnsiTheme="minorHAnsi" w:cstheme="minorHAnsi"/>
        </w:rPr>
      </w:pPr>
      <w:r>
        <w:rPr>
          <w:rFonts w:asciiTheme="minorHAnsi" w:hAnsiTheme="minorHAnsi" w:cstheme="minorHAnsi"/>
        </w:rPr>
        <w:t xml:space="preserve">phasing these reforms in a way that </w:t>
      </w:r>
      <w:r>
        <w:rPr>
          <w:rFonts w:asciiTheme="minorHAnsi" w:hAnsiTheme="minorHAnsi" w:cstheme="minorHAnsi"/>
          <w:i/>
        </w:rPr>
        <w:t>builds the maturity and implementation capacity</w:t>
      </w:r>
      <w:r>
        <w:rPr>
          <w:rFonts w:asciiTheme="minorHAnsi" w:hAnsiTheme="minorHAnsi" w:cstheme="minorHAnsi"/>
        </w:rPr>
        <w:t xml:space="preserve"> of different building sizes and types, while working to build capacity and tools. </w:t>
      </w:r>
    </w:p>
    <w:p w14:paraId="012F469D" w14:textId="77777777" w:rsidR="001360B9" w:rsidRDefault="001360B9" w:rsidP="00E23C8E">
      <w:pPr>
        <w:pStyle w:val="BodyBullet"/>
        <w:rPr>
          <w:rFonts w:cstheme="minorHAnsi"/>
        </w:rPr>
      </w:pPr>
      <w:r>
        <w:rPr>
          <w:rFonts w:cstheme="minorHAnsi"/>
        </w:rPr>
        <w:t xml:space="preserve">A roadmap for progressive expansion of CBD in building types </w:t>
      </w:r>
      <w:r w:rsidRPr="00DE5515">
        <w:rPr>
          <w:rFonts w:cstheme="minorHAnsi"/>
          <w:szCs w:val="20"/>
        </w:rPr>
        <w:t>and sizes is proposed</w:t>
      </w:r>
      <w:r w:rsidR="00EB4496" w:rsidRPr="00DE5515">
        <w:rPr>
          <w:rFonts w:cstheme="minorHAnsi"/>
          <w:szCs w:val="20"/>
        </w:rPr>
        <w:t xml:space="preserve"> (</w:t>
      </w:r>
      <w:r w:rsidR="00DE5515" w:rsidRPr="00DE5515">
        <w:rPr>
          <w:rFonts w:cstheme="minorHAnsi"/>
          <w:szCs w:val="20"/>
        </w:rPr>
        <w:fldChar w:fldCharType="begin" w:fldLock="1"/>
      </w:r>
      <w:r w:rsidR="00DE5515" w:rsidRPr="00DE5515">
        <w:rPr>
          <w:rFonts w:cstheme="minorHAnsi"/>
          <w:szCs w:val="20"/>
        </w:rPr>
        <w:instrText xml:space="preserve"> REF _Ref152095475 \h  \* MERGEFORMAT </w:instrText>
      </w:r>
      <w:r w:rsidR="00DE5515" w:rsidRPr="00DE5515">
        <w:rPr>
          <w:rFonts w:cstheme="minorHAnsi"/>
          <w:szCs w:val="20"/>
        </w:rPr>
      </w:r>
      <w:r w:rsidR="00DE5515" w:rsidRPr="00DE5515">
        <w:rPr>
          <w:rFonts w:cstheme="minorHAnsi"/>
          <w:szCs w:val="20"/>
        </w:rPr>
        <w:fldChar w:fldCharType="separate"/>
      </w:r>
      <w:r w:rsidR="00DE5515" w:rsidRPr="00DE5515">
        <w:rPr>
          <w:rFonts w:cstheme="minorHAnsi"/>
          <w:szCs w:val="20"/>
        </w:rPr>
        <w:t xml:space="preserve">Figure </w:t>
      </w:r>
      <w:r w:rsidR="00DE5515" w:rsidRPr="00DE5515">
        <w:rPr>
          <w:rFonts w:cstheme="minorHAnsi"/>
          <w:noProof/>
          <w:szCs w:val="20"/>
        </w:rPr>
        <w:t>1</w:t>
      </w:r>
      <w:r w:rsidR="00DE5515" w:rsidRPr="00DE5515">
        <w:rPr>
          <w:rFonts w:cstheme="minorHAnsi"/>
          <w:szCs w:val="20"/>
        </w:rPr>
        <w:fldChar w:fldCharType="end"/>
      </w:r>
      <w:r w:rsidR="00012D1F" w:rsidRPr="00DE5515">
        <w:rPr>
          <w:rFonts w:cstheme="minorHAnsi"/>
          <w:szCs w:val="20"/>
        </w:rPr>
        <w:t>)</w:t>
      </w:r>
      <w:r w:rsidRPr="00DE5515">
        <w:rPr>
          <w:rFonts w:cstheme="minorHAnsi"/>
          <w:szCs w:val="20"/>
        </w:rPr>
        <w:t>, along with phased</w:t>
      </w:r>
      <w:r>
        <w:rPr>
          <w:rFonts w:cstheme="minorHAnsi"/>
        </w:rPr>
        <w:t xml:space="preserve"> implementation of </w:t>
      </w:r>
      <w:proofErr w:type="spellStart"/>
      <w:r>
        <w:rPr>
          <w:rFonts w:cstheme="minorHAnsi"/>
        </w:rPr>
        <w:t>MEPS</w:t>
      </w:r>
      <w:proofErr w:type="spellEnd"/>
      <w:r>
        <w:rPr>
          <w:rFonts w:cstheme="minorHAnsi"/>
        </w:rPr>
        <w:t xml:space="preserve">. Actions are timed to make a significant contribution to emissions reduction in the 2030s, while being sensitive to the </w:t>
      </w:r>
      <w:r w:rsidR="00D661EF" w:rsidRPr="005F61E7">
        <w:rPr>
          <w:rFonts w:cstheme="minorHAnsi"/>
        </w:rPr>
        <w:t>NABERS</w:t>
      </w:r>
      <w:r w:rsidR="00D661EF">
        <w:rPr>
          <w:rFonts w:cstheme="minorHAnsi"/>
        </w:rPr>
        <w:t xml:space="preserve"> </w:t>
      </w:r>
      <w:r>
        <w:rPr>
          <w:rFonts w:cstheme="minorHAnsi"/>
        </w:rPr>
        <w:t>maturity in different segments of commercial buildings and phasing implementation as capacity grows and more information is available. Such a roadmap will build energy and emissions performance over time, though clear signalling now has potential to bring activity and benefits forward and reduce implementation costs, as owners anticipate and undertake improvements optimally.</w:t>
      </w:r>
      <w:r w:rsidR="00247191">
        <w:rPr>
          <w:rStyle w:val="CommentReference"/>
          <w:rFonts w:ascii="CG Times (W1)" w:hAnsi="CG Times (W1)"/>
        </w:rPr>
        <w:t xml:space="preserve"> </w:t>
      </w:r>
      <w:r w:rsidR="00667027" w:rsidRPr="00044B73">
        <w:rPr>
          <w:rFonts w:cstheme="minorHAnsi"/>
        </w:rPr>
        <w:t>F</w:t>
      </w:r>
      <w:r w:rsidR="00247191" w:rsidRPr="00044B73">
        <w:rPr>
          <w:rFonts w:cstheme="minorHAnsi"/>
        </w:rPr>
        <w:t xml:space="preserve">eedback </w:t>
      </w:r>
      <w:r w:rsidR="00667027" w:rsidRPr="00044B73">
        <w:rPr>
          <w:rFonts w:cstheme="minorHAnsi"/>
        </w:rPr>
        <w:t xml:space="preserve">from </w:t>
      </w:r>
      <w:r w:rsidR="00EE35EB" w:rsidRPr="00044B73">
        <w:rPr>
          <w:rFonts w:cstheme="minorHAnsi"/>
        </w:rPr>
        <w:t xml:space="preserve">an expert reference group </w:t>
      </w:r>
      <w:r w:rsidR="00247191" w:rsidRPr="00044B73">
        <w:rPr>
          <w:rFonts w:cstheme="minorHAnsi"/>
        </w:rPr>
        <w:t xml:space="preserve">suggests </w:t>
      </w:r>
      <w:r w:rsidR="00F2605F" w:rsidRPr="00044B73">
        <w:rPr>
          <w:rFonts w:cstheme="minorHAnsi"/>
        </w:rPr>
        <w:t xml:space="preserve">there may be </w:t>
      </w:r>
      <w:r w:rsidR="00247191" w:rsidRPr="00044B73">
        <w:rPr>
          <w:rFonts w:cstheme="minorHAnsi"/>
        </w:rPr>
        <w:t xml:space="preserve">variance </w:t>
      </w:r>
      <w:r w:rsidR="00F2605F" w:rsidRPr="00044B73">
        <w:rPr>
          <w:rFonts w:cstheme="minorHAnsi"/>
        </w:rPr>
        <w:t xml:space="preserve">within some of the </w:t>
      </w:r>
      <w:r w:rsidR="00A636A9" w:rsidRPr="00044B73">
        <w:rPr>
          <w:rFonts w:cstheme="minorHAnsi"/>
        </w:rPr>
        <w:t xml:space="preserve">building </w:t>
      </w:r>
      <w:r w:rsidR="00F2605F" w:rsidRPr="00044B73">
        <w:rPr>
          <w:rFonts w:cstheme="minorHAnsi"/>
        </w:rPr>
        <w:t>sectors</w:t>
      </w:r>
      <w:r w:rsidR="00EE35EB" w:rsidRPr="00044B73">
        <w:rPr>
          <w:rFonts w:cstheme="minorHAnsi"/>
        </w:rPr>
        <w:t xml:space="preserve"> </w:t>
      </w:r>
      <w:r w:rsidR="009930B0" w:rsidRPr="00044B73">
        <w:rPr>
          <w:rFonts w:cstheme="minorHAnsi"/>
        </w:rPr>
        <w:t xml:space="preserve">below </w:t>
      </w:r>
      <w:r w:rsidR="00EE35EB" w:rsidRPr="00044B73">
        <w:rPr>
          <w:rFonts w:cstheme="minorHAnsi"/>
        </w:rPr>
        <w:t xml:space="preserve">that </w:t>
      </w:r>
      <w:r w:rsidR="0045401F" w:rsidRPr="00044B73">
        <w:rPr>
          <w:rFonts w:cstheme="minorHAnsi"/>
        </w:rPr>
        <w:t>could vary the general</w:t>
      </w:r>
      <w:r w:rsidR="000F717C" w:rsidRPr="00044B73">
        <w:rPr>
          <w:rFonts w:cstheme="minorHAnsi"/>
        </w:rPr>
        <w:t>ised approach to</w:t>
      </w:r>
      <w:r w:rsidR="00EE35EB" w:rsidRPr="00044B73">
        <w:rPr>
          <w:rFonts w:cstheme="minorHAnsi"/>
        </w:rPr>
        <w:t xml:space="preserve"> rolling out </w:t>
      </w:r>
      <w:r w:rsidR="00A67EE8" w:rsidRPr="00044B73">
        <w:rPr>
          <w:rFonts w:cstheme="minorHAnsi"/>
        </w:rPr>
        <w:t xml:space="preserve">mandatory </w:t>
      </w:r>
      <w:r w:rsidR="00EE35EB" w:rsidRPr="00044B73">
        <w:rPr>
          <w:rFonts w:cstheme="minorHAnsi"/>
        </w:rPr>
        <w:t xml:space="preserve">disclosure or </w:t>
      </w:r>
      <w:proofErr w:type="spellStart"/>
      <w:r w:rsidR="00EE35EB" w:rsidRPr="00044B73">
        <w:rPr>
          <w:rFonts w:cstheme="minorHAnsi"/>
        </w:rPr>
        <w:t>MEPS</w:t>
      </w:r>
      <w:proofErr w:type="spellEnd"/>
      <w:r w:rsidR="00EE35EB" w:rsidRPr="00044B73">
        <w:rPr>
          <w:rFonts w:cstheme="minorHAnsi"/>
        </w:rPr>
        <w:t>. F</w:t>
      </w:r>
      <w:r w:rsidR="00F2605F" w:rsidRPr="00044B73">
        <w:rPr>
          <w:rFonts w:cstheme="minorHAnsi"/>
        </w:rPr>
        <w:t>or example</w:t>
      </w:r>
      <w:r w:rsidR="00EE35EB" w:rsidRPr="00044B73">
        <w:rPr>
          <w:rFonts w:cstheme="minorHAnsi"/>
        </w:rPr>
        <w:t xml:space="preserve">, in </w:t>
      </w:r>
      <w:r w:rsidR="00247191" w:rsidRPr="00044B73">
        <w:rPr>
          <w:rFonts w:cstheme="minorHAnsi"/>
        </w:rPr>
        <w:t>higher ed</w:t>
      </w:r>
      <w:r w:rsidR="00F2605F" w:rsidRPr="00044B73">
        <w:rPr>
          <w:rFonts w:cstheme="minorHAnsi"/>
        </w:rPr>
        <w:t xml:space="preserve">ucation </w:t>
      </w:r>
      <w:r w:rsidR="00EE35EB" w:rsidRPr="00044B73">
        <w:rPr>
          <w:rFonts w:cstheme="minorHAnsi"/>
        </w:rPr>
        <w:t xml:space="preserve">there are </w:t>
      </w:r>
      <w:r w:rsidR="00A636A9" w:rsidRPr="00044B73">
        <w:rPr>
          <w:rFonts w:cstheme="minorHAnsi"/>
        </w:rPr>
        <w:t xml:space="preserve">some </w:t>
      </w:r>
      <w:r w:rsidR="00667027" w:rsidRPr="00044B73">
        <w:rPr>
          <w:rFonts w:cstheme="minorHAnsi"/>
        </w:rPr>
        <w:t xml:space="preserve">sub-sectors </w:t>
      </w:r>
      <w:r w:rsidR="009930B0" w:rsidRPr="00044B73">
        <w:rPr>
          <w:rFonts w:cstheme="minorHAnsi"/>
        </w:rPr>
        <w:t xml:space="preserve">such as </w:t>
      </w:r>
      <w:r w:rsidR="00A636A9" w:rsidRPr="00044B73">
        <w:rPr>
          <w:rFonts w:cstheme="minorHAnsi"/>
        </w:rPr>
        <w:t>large universities that c</w:t>
      </w:r>
      <w:r w:rsidR="00667027" w:rsidRPr="00044B73">
        <w:rPr>
          <w:rFonts w:cstheme="minorHAnsi"/>
        </w:rPr>
        <w:t xml:space="preserve">ould </w:t>
      </w:r>
      <w:r w:rsidR="003432C3" w:rsidRPr="00044B73">
        <w:rPr>
          <w:rFonts w:cstheme="minorHAnsi"/>
        </w:rPr>
        <w:t xml:space="preserve">develop maturity and regulated </w:t>
      </w:r>
      <w:r w:rsidR="009930B0" w:rsidRPr="00044B73">
        <w:rPr>
          <w:rFonts w:cstheme="minorHAnsi"/>
        </w:rPr>
        <w:t>disclosure more quickly</w:t>
      </w:r>
      <w:r w:rsidR="00667027" w:rsidRPr="00044B73">
        <w:rPr>
          <w:rFonts w:cstheme="minorHAnsi"/>
        </w:rPr>
        <w:t xml:space="preserve"> than </w:t>
      </w:r>
      <w:r w:rsidR="0052720C" w:rsidRPr="00044B73">
        <w:rPr>
          <w:rFonts w:cstheme="minorHAnsi"/>
        </w:rPr>
        <w:t xml:space="preserve">would be suggested by </w:t>
      </w:r>
      <w:r w:rsidR="00052DBB" w:rsidRPr="00044B73">
        <w:rPr>
          <w:rFonts w:cstheme="minorHAnsi"/>
        </w:rPr>
        <w:t>NABERS maturity</w:t>
      </w:r>
      <w:r w:rsidR="00F14562" w:rsidRPr="00044B73">
        <w:rPr>
          <w:rFonts w:cstheme="minorHAnsi"/>
        </w:rPr>
        <w:t>, given voluntary developments in the sector</w:t>
      </w:r>
      <w:r w:rsidR="00667027" w:rsidRPr="00044B73">
        <w:rPr>
          <w:rFonts w:cstheme="minorHAnsi"/>
        </w:rPr>
        <w:t>.</w:t>
      </w:r>
      <w:r w:rsidR="00667027">
        <w:rPr>
          <w:rFonts w:cstheme="minorHAnsi"/>
        </w:rPr>
        <w:t xml:space="preserve"> </w:t>
      </w:r>
    </w:p>
    <w:p w14:paraId="524DF4B1" w14:textId="0E38B562" w:rsidR="009E563E" w:rsidRPr="00EC2C49" w:rsidRDefault="009E563E" w:rsidP="00EC2C49">
      <w:pPr>
        <w:pStyle w:val="Caption"/>
        <w:keepNext/>
        <w:spacing w:after="120"/>
        <w:rPr>
          <w:rFonts w:ascii="Calibri" w:eastAsia="Times New Roman" w:hAnsi="Calibri" w:cs="Times New Roman"/>
          <w:b/>
          <w:bCs/>
          <w:i w:val="0"/>
          <w:iCs w:val="0"/>
          <w:color w:val="auto"/>
          <w:sz w:val="24"/>
        </w:rPr>
      </w:pPr>
      <w:bookmarkStart w:id="1" w:name="_Ref152095475"/>
      <w:bookmarkStart w:id="2" w:name="_Toc157687006"/>
      <w:r w:rsidRPr="00EC2C49">
        <w:rPr>
          <w:rFonts w:ascii="Calibri" w:eastAsia="Times New Roman" w:hAnsi="Calibri" w:cs="Times New Roman"/>
          <w:b/>
          <w:bCs/>
          <w:i w:val="0"/>
          <w:iCs w:val="0"/>
          <w:color w:val="auto"/>
          <w:sz w:val="24"/>
        </w:rPr>
        <w:t xml:space="preserve">Figure </w:t>
      </w:r>
      <w:r w:rsidRPr="00EC2C49">
        <w:rPr>
          <w:rFonts w:ascii="Calibri" w:eastAsia="Times New Roman" w:hAnsi="Calibri" w:cs="Times New Roman"/>
          <w:b/>
          <w:bCs/>
          <w:i w:val="0"/>
          <w:iCs w:val="0"/>
          <w:color w:val="auto"/>
          <w:sz w:val="24"/>
        </w:rPr>
        <w:fldChar w:fldCharType="begin"/>
      </w:r>
      <w:r w:rsidRPr="00EC2C49">
        <w:rPr>
          <w:rFonts w:ascii="Calibri" w:eastAsia="Times New Roman" w:hAnsi="Calibri" w:cs="Times New Roman"/>
          <w:b/>
          <w:bCs/>
          <w:i w:val="0"/>
          <w:iCs w:val="0"/>
          <w:color w:val="auto"/>
          <w:sz w:val="24"/>
        </w:rPr>
        <w:instrText xml:space="preserve"> SEQ Figure \* ARABIC </w:instrText>
      </w:r>
      <w:r w:rsidRPr="00EC2C49">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w:t>
      </w:r>
      <w:r w:rsidRPr="00EC2C49">
        <w:rPr>
          <w:rFonts w:ascii="Calibri" w:eastAsia="Times New Roman" w:hAnsi="Calibri" w:cs="Times New Roman"/>
          <w:b/>
          <w:bCs/>
          <w:i w:val="0"/>
          <w:iCs w:val="0"/>
          <w:color w:val="auto"/>
          <w:sz w:val="24"/>
        </w:rPr>
        <w:fldChar w:fldCharType="end"/>
      </w:r>
      <w:bookmarkEnd w:id="1"/>
      <w:r w:rsidRPr="00EC2C49">
        <w:rPr>
          <w:rFonts w:ascii="Calibri" w:eastAsia="Times New Roman" w:hAnsi="Calibri" w:cs="Times New Roman"/>
          <w:b/>
          <w:bCs/>
          <w:i w:val="0"/>
          <w:iCs w:val="0"/>
          <w:color w:val="auto"/>
          <w:sz w:val="24"/>
        </w:rPr>
        <w:t>: High level-roadmap for how CBD program could be expanded.</w:t>
      </w:r>
      <w:bookmarkEnd w:id="2"/>
    </w:p>
    <w:p w14:paraId="09C415D7" w14:textId="65BD3D33" w:rsidR="005D3BC4" w:rsidRDefault="00F420A1" w:rsidP="00E23C8E">
      <w:pPr>
        <w:pStyle w:val="BodyBullet"/>
        <w:rPr>
          <w:rFonts w:cstheme="minorHAnsi"/>
        </w:rPr>
      </w:pPr>
      <w:r>
        <w:rPr>
          <w:rFonts w:cstheme="minorHAnsi"/>
          <w:noProof/>
        </w:rPr>
        <w:drawing>
          <wp:inline distT="0" distB="0" distL="0" distR="0" wp14:anchorId="17276A2B" wp14:editId="78F60EFC">
            <wp:extent cx="6494503" cy="5386417"/>
            <wp:effectExtent l="0" t="0" r="1905" b="5080"/>
            <wp:docPr id="40" name="Picture 40" descr="Roadmap for CBD Program for building group types between 2025 and 2035. Details of the roadmap are presented in Appendix 11, 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Roadmap for CBD Program for building group types between 2025 and 2035. Details of the roadmap are presented in Appendix 11, Tabl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9489" cy="5398846"/>
                    </a:xfrm>
                    <a:prstGeom prst="rect">
                      <a:avLst/>
                    </a:prstGeom>
                    <a:noFill/>
                  </pic:spPr>
                </pic:pic>
              </a:graphicData>
            </a:graphic>
          </wp:inline>
        </w:drawing>
      </w:r>
    </w:p>
    <w:p w14:paraId="4434174D" w14:textId="31C4B5C4" w:rsidR="00C80B00" w:rsidRDefault="00171C8F" w:rsidP="004D6862">
      <w:pPr>
        <w:pStyle w:val="BodyText"/>
        <w:spacing w:after="0"/>
        <w:rPr>
          <w:rFonts w:asciiTheme="minorHAnsi" w:hAnsiTheme="minorHAnsi" w:cstheme="minorHAnsi"/>
        </w:rPr>
      </w:pPr>
      <w:hyperlink w:anchor="_Table_32:_Details" w:history="1">
        <w:r w:rsidRPr="00171C8F">
          <w:rPr>
            <w:rStyle w:val="Hyperlink"/>
            <w:rFonts w:asciiTheme="minorHAnsi" w:hAnsiTheme="minorHAnsi" w:cstheme="minorHAnsi"/>
          </w:rPr>
          <w:t>Link to</w:t>
        </w:r>
        <w:r w:rsidR="00747F4B" w:rsidRPr="00171C8F">
          <w:rPr>
            <w:rStyle w:val="Hyperlink"/>
            <w:rFonts w:asciiTheme="minorHAnsi" w:hAnsiTheme="minorHAnsi" w:cstheme="minorHAnsi"/>
          </w:rPr>
          <w:t xml:space="preserve"> text version of </w:t>
        </w:r>
        <w:r w:rsidR="002969F0">
          <w:rPr>
            <w:rStyle w:val="Hyperlink"/>
            <w:rFonts w:asciiTheme="minorHAnsi" w:hAnsiTheme="minorHAnsi" w:cstheme="minorHAnsi"/>
          </w:rPr>
          <w:t>Figure 1</w:t>
        </w:r>
        <w:r w:rsidR="00FC298A">
          <w:rPr>
            <w:rStyle w:val="Hyperlink"/>
            <w:rFonts w:asciiTheme="minorHAnsi" w:hAnsiTheme="minorHAnsi" w:cstheme="minorHAnsi"/>
          </w:rPr>
          <w:t xml:space="preserve"> </w:t>
        </w:r>
        <w:r w:rsidR="00BD772F">
          <w:rPr>
            <w:rStyle w:val="Hyperlink"/>
            <w:rFonts w:asciiTheme="minorHAnsi" w:hAnsiTheme="minorHAnsi" w:cstheme="minorHAnsi"/>
          </w:rPr>
          <w:t>[Appendix 11 Table 32</w:t>
        </w:r>
        <w:proofErr w:type="gramStart"/>
        <w:r w:rsidR="00BD772F">
          <w:rPr>
            <w:rStyle w:val="Hyperlink"/>
            <w:rFonts w:asciiTheme="minorHAnsi" w:hAnsiTheme="minorHAnsi" w:cstheme="minorHAnsi"/>
          </w:rPr>
          <w:t xml:space="preserve">] </w:t>
        </w:r>
        <w:r w:rsidRPr="00171C8F">
          <w:rPr>
            <w:rStyle w:val="Hyperlink"/>
            <w:rFonts w:asciiTheme="minorHAnsi" w:hAnsiTheme="minorHAnsi" w:cstheme="minorHAnsi"/>
          </w:rPr>
          <w:t>.</w:t>
        </w:r>
        <w:proofErr w:type="gramEnd"/>
        <w:r w:rsidRPr="00171C8F">
          <w:rPr>
            <w:rStyle w:val="Hyperlink"/>
            <w:rFonts w:asciiTheme="minorHAnsi" w:hAnsiTheme="minorHAnsi" w:cstheme="minorHAnsi"/>
          </w:rPr>
          <w:t xml:space="preserve"> </w:t>
        </w:r>
      </w:hyperlink>
      <w:r w:rsidR="00747F4B">
        <w:rPr>
          <w:rFonts w:asciiTheme="minorHAnsi" w:hAnsiTheme="minorHAnsi" w:cstheme="minorHAnsi"/>
        </w:rPr>
        <w:t xml:space="preserve"> </w:t>
      </w:r>
    </w:p>
    <w:p w14:paraId="0660DF83" w14:textId="77777777" w:rsidR="002969F0" w:rsidRDefault="002969F0" w:rsidP="004D6862">
      <w:pPr>
        <w:pStyle w:val="BodyText"/>
        <w:spacing w:after="0"/>
        <w:rPr>
          <w:rFonts w:asciiTheme="minorHAnsi" w:hAnsiTheme="minorHAnsi" w:cstheme="minorHAnsi"/>
        </w:rPr>
      </w:pPr>
    </w:p>
    <w:p w14:paraId="2EF0A415" w14:textId="6FC2270C" w:rsidR="00F55872" w:rsidRDefault="001360B9" w:rsidP="004D6862">
      <w:pPr>
        <w:pStyle w:val="BodyText"/>
        <w:spacing w:after="0"/>
        <w:rPr>
          <w:rFonts w:asciiTheme="minorHAnsi" w:hAnsiTheme="minorHAnsi" w:cstheme="minorHAnsi"/>
        </w:rPr>
      </w:pPr>
      <w:r>
        <w:rPr>
          <w:rFonts w:asciiTheme="minorHAnsi" w:hAnsiTheme="minorHAnsi" w:cstheme="minorHAnsi"/>
        </w:rPr>
        <w:lastRenderedPageBreak/>
        <w:t>T</w:t>
      </w:r>
      <w:r w:rsidR="004D6862">
        <w:rPr>
          <w:rFonts w:asciiTheme="minorHAnsi" w:hAnsiTheme="minorHAnsi" w:cstheme="minorHAnsi"/>
        </w:rPr>
        <w:t xml:space="preserve">he following general principles </w:t>
      </w:r>
      <w:r w:rsidR="00131727">
        <w:rPr>
          <w:rFonts w:asciiTheme="minorHAnsi" w:hAnsiTheme="minorHAnsi" w:cstheme="minorHAnsi"/>
        </w:rPr>
        <w:t>were</w:t>
      </w:r>
      <w:r w:rsidR="004D6862">
        <w:rPr>
          <w:rFonts w:asciiTheme="minorHAnsi" w:hAnsiTheme="minorHAnsi" w:cstheme="minorHAnsi"/>
        </w:rPr>
        <w:t xml:space="preserve"> considered</w:t>
      </w:r>
      <w:r w:rsidR="00D75BC1">
        <w:rPr>
          <w:rFonts w:asciiTheme="minorHAnsi" w:hAnsiTheme="minorHAnsi" w:cstheme="minorHAnsi"/>
        </w:rPr>
        <w:t xml:space="preserve"> </w:t>
      </w:r>
      <w:r w:rsidR="00C631FF">
        <w:rPr>
          <w:rFonts w:asciiTheme="minorHAnsi" w:hAnsiTheme="minorHAnsi" w:cstheme="minorHAnsi"/>
        </w:rPr>
        <w:t xml:space="preserve">while developing </w:t>
      </w:r>
      <w:r w:rsidR="00802F66">
        <w:rPr>
          <w:rFonts w:asciiTheme="minorHAnsi" w:hAnsiTheme="minorHAnsi" w:cstheme="minorHAnsi"/>
        </w:rPr>
        <w:t xml:space="preserve">this </w:t>
      </w:r>
      <w:r w:rsidR="00C139C4">
        <w:rPr>
          <w:rFonts w:asciiTheme="minorHAnsi" w:hAnsiTheme="minorHAnsi" w:cstheme="minorHAnsi"/>
        </w:rPr>
        <w:t>roadmap for change</w:t>
      </w:r>
      <w:r w:rsidR="004D6862">
        <w:rPr>
          <w:rFonts w:asciiTheme="minorHAnsi" w:hAnsiTheme="minorHAnsi" w:cstheme="minorHAnsi"/>
        </w:rPr>
        <w:t>:</w:t>
      </w:r>
    </w:p>
    <w:p w14:paraId="75AD389C" w14:textId="32DFE351" w:rsidR="001360B9" w:rsidRDefault="001360B9" w:rsidP="00A253E6">
      <w:pPr>
        <w:pStyle w:val="BodyText"/>
        <w:numPr>
          <w:ilvl w:val="0"/>
          <w:numId w:val="63"/>
        </w:numPr>
        <w:tabs>
          <w:tab w:val="clear" w:pos="340"/>
          <w:tab w:val="num" w:pos="680"/>
        </w:tabs>
        <w:spacing w:after="60"/>
        <w:ind w:left="680"/>
        <w:rPr>
          <w:rFonts w:asciiTheme="minorHAnsi" w:hAnsiTheme="minorHAnsi" w:cstheme="minorHAnsi"/>
        </w:rPr>
      </w:pPr>
      <w:r>
        <w:rPr>
          <w:rFonts w:asciiTheme="minorHAnsi" w:hAnsiTheme="minorHAnsi" w:cstheme="minorHAnsi"/>
        </w:rPr>
        <w:t xml:space="preserve">prioritising early expansion in scope to larger building types where NABERS ratings tools are </w:t>
      </w:r>
      <w:proofErr w:type="gramStart"/>
      <w:r>
        <w:rPr>
          <w:rFonts w:asciiTheme="minorHAnsi" w:hAnsiTheme="minorHAnsi" w:cstheme="minorHAnsi"/>
        </w:rPr>
        <w:t>available</w:t>
      </w:r>
      <w:proofErr w:type="gramEnd"/>
    </w:p>
    <w:p w14:paraId="25ACB930" w14:textId="32E8DC35" w:rsidR="004D6862" w:rsidRDefault="004D6862" w:rsidP="00A253E6">
      <w:pPr>
        <w:pStyle w:val="BodyText"/>
        <w:numPr>
          <w:ilvl w:val="0"/>
          <w:numId w:val="63"/>
        </w:numPr>
        <w:tabs>
          <w:tab w:val="clear" w:pos="340"/>
          <w:tab w:val="num" w:pos="680"/>
        </w:tabs>
        <w:spacing w:after="60"/>
        <w:ind w:left="680"/>
        <w:rPr>
          <w:rFonts w:asciiTheme="minorHAnsi" w:hAnsiTheme="minorHAnsi" w:cstheme="minorHAnsi"/>
        </w:rPr>
      </w:pPr>
      <w:r>
        <w:rPr>
          <w:rFonts w:asciiTheme="minorHAnsi" w:hAnsiTheme="minorHAnsi" w:cstheme="minorHAnsi"/>
        </w:rPr>
        <w:t xml:space="preserve">pursuing coverage of all significant commercial buildings sectors over time, eventually covering a large proportion of their emissions and energy use with effective regulation. </w:t>
      </w:r>
    </w:p>
    <w:p w14:paraId="086AD58B" w14:textId="77777777" w:rsidR="004D6862" w:rsidRDefault="004D6862" w:rsidP="00A253E6">
      <w:pPr>
        <w:pStyle w:val="BodyText"/>
        <w:numPr>
          <w:ilvl w:val="0"/>
          <w:numId w:val="63"/>
        </w:numPr>
        <w:tabs>
          <w:tab w:val="clear" w:pos="340"/>
          <w:tab w:val="num" w:pos="680"/>
        </w:tabs>
        <w:spacing w:after="60"/>
        <w:ind w:left="680"/>
        <w:rPr>
          <w:rFonts w:asciiTheme="minorHAnsi" w:hAnsiTheme="minorHAnsi" w:cstheme="minorHAnsi"/>
        </w:rPr>
      </w:pPr>
      <w:r>
        <w:rPr>
          <w:rFonts w:asciiTheme="minorHAnsi" w:hAnsiTheme="minorHAnsi" w:cstheme="minorHAnsi"/>
        </w:rPr>
        <w:t xml:space="preserve">phasing in </w:t>
      </w:r>
      <w:proofErr w:type="spellStart"/>
      <w:r>
        <w:rPr>
          <w:rFonts w:asciiTheme="minorHAnsi" w:hAnsiTheme="minorHAnsi" w:cstheme="minorHAnsi"/>
        </w:rPr>
        <w:t>MEPS</w:t>
      </w:r>
      <w:proofErr w:type="spellEnd"/>
      <w:r>
        <w:rPr>
          <w:rFonts w:asciiTheme="minorHAnsi" w:hAnsiTheme="minorHAnsi" w:cstheme="minorHAnsi"/>
        </w:rPr>
        <w:t xml:space="preserve"> to building types that have first been subject to disclosure requirements. </w:t>
      </w:r>
    </w:p>
    <w:p w14:paraId="7E5089EB" w14:textId="04432F51" w:rsidR="00837AF2" w:rsidRPr="003213C2" w:rsidRDefault="004D6862" w:rsidP="00A253E6">
      <w:pPr>
        <w:pStyle w:val="BodyText"/>
        <w:numPr>
          <w:ilvl w:val="0"/>
          <w:numId w:val="63"/>
        </w:numPr>
        <w:tabs>
          <w:tab w:val="clear" w:pos="340"/>
          <w:tab w:val="num" w:pos="680"/>
        </w:tabs>
        <w:spacing w:after="60"/>
        <w:ind w:left="680"/>
        <w:rPr>
          <w:rFonts w:asciiTheme="minorHAnsi" w:hAnsiTheme="minorHAnsi" w:cstheme="minorHAnsi"/>
        </w:rPr>
      </w:pPr>
      <w:r>
        <w:rPr>
          <w:rFonts w:asciiTheme="minorHAnsi" w:hAnsiTheme="minorHAnsi" w:cstheme="minorHAnsi"/>
        </w:rPr>
        <w:t>specific details on timing, size thresholds, trigger points and disclosure/consideration requirements following more detailed cost benefit analysis, regulatory impact statement (RIS) and industry consultations.</w:t>
      </w:r>
    </w:p>
    <w:p w14:paraId="0EC7A434" w14:textId="0FC3B8BF" w:rsidR="00CB150C" w:rsidRDefault="00CB150C" w:rsidP="00DE56C0">
      <w:pPr>
        <w:pStyle w:val="BodyText"/>
        <w:spacing w:after="60"/>
        <w:rPr>
          <w:rFonts w:asciiTheme="minorHAnsi" w:hAnsiTheme="minorHAnsi" w:cstheme="minorHAnsi"/>
        </w:rPr>
      </w:pPr>
      <w:r>
        <w:rPr>
          <w:rFonts w:asciiTheme="minorHAnsi" w:hAnsiTheme="minorHAnsi" w:cstheme="minorHAnsi"/>
        </w:rPr>
        <w:t xml:space="preserve">The </w:t>
      </w:r>
      <w:r w:rsidR="00EB5C24">
        <w:rPr>
          <w:rFonts w:asciiTheme="minorHAnsi" w:hAnsiTheme="minorHAnsi" w:cstheme="minorHAnsi"/>
        </w:rPr>
        <w:t>r</w:t>
      </w:r>
      <w:r>
        <w:rPr>
          <w:rFonts w:asciiTheme="minorHAnsi" w:hAnsiTheme="minorHAnsi" w:cstheme="minorHAnsi"/>
        </w:rPr>
        <w:t xml:space="preserve">oadmap principles </w:t>
      </w:r>
      <w:r w:rsidR="006A13ED">
        <w:rPr>
          <w:rFonts w:asciiTheme="minorHAnsi" w:hAnsiTheme="minorHAnsi" w:cstheme="minorHAnsi"/>
        </w:rPr>
        <w:t xml:space="preserve">are outlined </w:t>
      </w:r>
      <w:r w:rsidR="00C6576C">
        <w:rPr>
          <w:rFonts w:asciiTheme="minorHAnsi" w:hAnsiTheme="minorHAnsi" w:cstheme="minorHAnsi"/>
        </w:rPr>
        <w:t>in</w:t>
      </w:r>
      <w:r w:rsidR="00E30217">
        <w:rPr>
          <w:rFonts w:asciiTheme="minorHAnsi" w:hAnsiTheme="minorHAnsi" w:cstheme="minorHAnsi"/>
        </w:rPr>
        <w:t xml:space="preserve"> </w:t>
      </w:r>
      <w:r w:rsidR="00E30217" w:rsidRPr="00E30217">
        <w:rPr>
          <w:rFonts w:asciiTheme="minorHAnsi" w:hAnsiTheme="minorHAnsi" w:cstheme="minorHAnsi"/>
          <w:szCs w:val="20"/>
        </w:rPr>
        <w:fldChar w:fldCharType="begin" w:fldLock="1"/>
      </w:r>
      <w:r w:rsidR="00E30217" w:rsidRPr="00E30217">
        <w:rPr>
          <w:rFonts w:asciiTheme="minorHAnsi" w:hAnsiTheme="minorHAnsi" w:cstheme="minorHAnsi"/>
          <w:szCs w:val="20"/>
        </w:rPr>
        <w:instrText xml:space="preserve"> REF _Ref149570878 \h  \* MERGEFORMAT </w:instrText>
      </w:r>
      <w:r w:rsidR="00E30217" w:rsidRPr="00E30217">
        <w:rPr>
          <w:rFonts w:asciiTheme="minorHAnsi" w:hAnsiTheme="minorHAnsi" w:cstheme="minorHAnsi"/>
          <w:szCs w:val="20"/>
        </w:rPr>
      </w:r>
      <w:r w:rsidR="00E30217" w:rsidRPr="00E30217">
        <w:rPr>
          <w:rFonts w:asciiTheme="minorHAnsi" w:hAnsiTheme="minorHAnsi" w:cstheme="minorHAnsi"/>
          <w:szCs w:val="20"/>
        </w:rPr>
        <w:fldChar w:fldCharType="separate"/>
      </w:r>
      <w:r w:rsidR="00E30217" w:rsidRPr="00E30217">
        <w:rPr>
          <w:rFonts w:asciiTheme="minorHAnsi" w:hAnsiTheme="minorHAnsi" w:cstheme="minorHAnsi"/>
          <w:szCs w:val="20"/>
        </w:rPr>
        <w:t xml:space="preserve">Figure </w:t>
      </w:r>
      <w:r w:rsidR="00E30217" w:rsidRPr="00E30217">
        <w:rPr>
          <w:rFonts w:asciiTheme="minorHAnsi" w:hAnsiTheme="minorHAnsi" w:cstheme="minorHAnsi"/>
          <w:noProof/>
          <w:szCs w:val="20"/>
        </w:rPr>
        <w:t>2</w:t>
      </w:r>
      <w:r w:rsidR="00E30217" w:rsidRPr="00E30217">
        <w:rPr>
          <w:rFonts w:asciiTheme="minorHAnsi" w:hAnsiTheme="minorHAnsi" w:cstheme="minorHAnsi"/>
          <w:szCs w:val="20"/>
        </w:rPr>
        <w:fldChar w:fldCharType="end"/>
      </w:r>
      <w:r w:rsidR="00E30217">
        <w:rPr>
          <w:rFonts w:asciiTheme="minorHAnsi" w:hAnsiTheme="minorHAnsi" w:cstheme="minorHAnsi"/>
        </w:rPr>
        <w:t>.</w:t>
      </w:r>
    </w:p>
    <w:p w14:paraId="28A6C6F3" w14:textId="37A930A0" w:rsidR="00E806CC" w:rsidRPr="00EC2C49" w:rsidRDefault="00E806CC" w:rsidP="00EC2C49">
      <w:pPr>
        <w:pStyle w:val="Caption"/>
        <w:keepNext/>
        <w:spacing w:after="120"/>
        <w:rPr>
          <w:rFonts w:ascii="Calibri" w:eastAsia="Times New Roman" w:hAnsi="Calibri" w:cs="Times New Roman"/>
          <w:b/>
          <w:bCs/>
          <w:i w:val="0"/>
          <w:iCs w:val="0"/>
          <w:color w:val="auto"/>
          <w:sz w:val="24"/>
        </w:rPr>
      </w:pPr>
      <w:bookmarkStart w:id="3" w:name="_Ref149570878"/>
      <w:bookmarkStart w:id="4" w:name="_Ref149570869"/>
      <w:bookmarkStart w:id="5" w:name="_Toc157687007"/>
      <w:r w:rsidRPr="00EC2C49">
        <w:rPr>
          <w:rFonts w:ascii="Calibri" w:eastAsia="Times New Roman" w:hAnsi="Calibri" w:cs="Times New Roman"/>
          <w:b/>
          <w:bCs/>
          <w:i w:val="0"/>
          <w:iCs w:val="0"/>
          <w:color w:val="auto"/>
          <w:sz w:val="24"/>
        </w:rPr>
        <w:t xml:space="preserve">Figure </w:t>
      </w:r>
      <w:r w:rsidRPr="00EC2C49">
        <w:rPr>
          <w:rFonts w:ascii="Calibri" w:eastAsia="Times New Roman" w:hAnsi="Calibri" w:cs="Times New Roman"/>
          <w:b/>
          <w:bCs/>
          <w:i w:val="0"/>
          <w:iCs w:val="0"/>
          <w:color w:val="auto"/>
          <w:sz w:val="24"/>
        </w:rPr>
        <w:fldChar w:fldCharType="begin"/>
      </w:r>
      <w:r w:rsidRPr="00EC2C49">
        <w:rPr>
          <w:rFonts w:ascii="Calibri" w:eastAsia="Times New Roman" w:hAnsi="Calibri" w:cs="Times New Roman"/>
          <w:b/>
          <w:bCs/>
          <w:i w:val="0"/>
          <w:iCs w:val="0"/>
          <w:color w:val="auto"/>
          <w:sz w:val="24"/>
        </w:rPr>
        <w:instrText xml:space="preserve"> SEQ Figure \* ARABIC </w:instrText>
      </w:r>
      <w:r w:rsidRPr="00EC2C49">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w:t>
      </w:r>
      <w:r w:rsidRPr="00EC2C49">
        <w:rPr>
          <w:rFonts w:ascii="Calibri" w:eastAsia="Times New Roman" w:hAnsi="Calibri" w:cs="Times New Roman"/>
          <w:b/>
          <w:bCs/>
          <w:i w:val="0"/>
          <w:iCs w:val="0"/>
          <w:color w:val="auto"/>
          <w:sz w:val="24"/>
        </w:rPr>
        <w:fldChar w:fldCharType="end"/>
      </w:r>
      <w:bookmarkEnd w:id="3"/>
      <w:r w:rsidRPr="00EC2C49">
        <w:rPr>
          <w:rFonts w:ascii="Calibri" w:eastAsia="Times New Roman" w:hAnsi="Calibri" w:cs="Times New Roman"/>
          <w:b/>
          <w:bCs/>
          <w:i w:val="0"/>
          <w:iCs w:val="0"/>
          <w:color w:val="auto"/>
          <w:sz w:val="24"/>
        </w:rPr>
        <w:t xml:space="preserve">:  Roadmap </w:t>
      </w:r>
      <w:proofErr w:type="gramStart"/>
      <w:r w:rsidRPr="00EC2C49">
        <w:rPr>
          <w:rFonts w:ascii="Calibri" w:eastAsia="Times New Roman" w:hAnsi="Calibri" w:cs="Times New Roman"/>
          <w:b/>
          <w:bCs/>
          <w:i w:val="0"/>
          <w:iCs w:val="0"/>
          <w:color w:val="auto"/>
          <w:sz w:val="24"/>
        </w:rPr>
        <w:t>principles</w:t>
      </w:r>
      <w:bookmarkEnd w:id="4"/>
      <w:bookmarkEnd w:id="5"/>
      <w:proofErr w:type="gramEnd"/>
    </w:p>
    <w:p w14:paraId="1BA31B68" w14:textId="77777777" w:rsidR="001B29A1" w:rsidRPr="00A1095C" w:rsidRDefault="001B29A1" w:rsidP="001B29A1">
      <w:pPr>
        <w:pStyle w:val="BodyText"/>
        <w:spacing w:after="60"/>
        <w:rPr>
          <w:rFonts w:asciiTheme="minorHAnsi" w:hAnsiTheme="minorHAnsi" w:cstheme="minorHAnsi"/>
        </w:rPr>
      </w:pPr>
      <w:r>
        <w:rPr>
          <w:rFonts w:asciiTheme="minorHAnsi" w:hAnsiTheme="minorHAnsi" w:cstheme="minorHAnsi"/>
          <w:noProof/>
        </w:rPr>
        <w:drawing>
          <wp:inline distT="0" distB="0" distL="0" distR="0" wp14:anchorId="5CA6F593" wp14:editId="4E0034CA">
            <wp:extent cx="6424863" cy="2819295"/>
            <wp:effectExtent l="0" t="0" r="0" b="635"/>
            <wp:docPr id="22968240" name="Picture 22968240" descr="Roadmap principles. Full description in Appendi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8240" name="Picture 22968240" descr="Roadmap principles. Full description in Appendix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7494" cy="2829226"/>
                    </a:xfrm>
                    <a:prstGeom prst="rect">
                      <a:avLst/>
                    </a:prstGeom>
                    <a:noFill/>
                  </pic:spPr>
                </pic:pic>
              </a:graphicData>
            </a:graphic>
          </wp:inline>
        </w:drawing>
      </w:r>
    </w:p>
    <w:p w14:paraId="61CEAD37" w14:textId="6720FBE6" w:rsidR="002969F0" w:rsidRDefault="002969F0" w:rsidP="002969F0">
      <w:pPr>
        <w:pStyle w:val="BodyText"/>
        <w:spacing w:after="0"/>
        <w:rPr>
          <w:rFonts w:asciiTheme="minorHAnsi" w:hAnsiTheme="minorHAnsi" w:cstheme="minorHAnsi"/>
        </w:rPr>
      </w:pPr>
      <w:hyperlink w:anchor="_Appendix_11:_Accessibility"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2</w:t>
        </w:r>
        <w:r w:rsidRPr="00171C8F">
          <w:rPr>
            <w:rStyle w:val="Hyperlink"/>
            <w:rFonts w:asciiTheme="minorHAnsi" w:hAnsiTheme="minorHAnsi" w:cstheme="minorHAnsi"/>
          </w:rPr>
          <w:t xml:space="preserve">. </w:t>
        </w:r>
      </w:hyperlink>
      <w:r>
        <w:rPr>
          <w:rFonts w:asciiTheme="minorHAnsi" w:hAnsiTheme="minorHAnsi" w:cstheme="minorHAnsi"/>
        </w:rPr>
        <w:t xml:space="preserve"> </w:t>
      </w:r>
    </w:p>
    <w:p w14:paraId="6D18C67B" w14:textId="77777777" w:rsidR="002969F0" w:rsidRDefault="002969F0">
      <w:pPr>
        <w:pStyle w:val="BodyText"/>
        <w:rPr>
          <w:rFonts w:asciiTheme="minorHAnsi" w:hAnsiTheme="minorHAnsi" w:cstheme="minorHAnsi"/>
        </w:rPr>
      </w:pPr>
    </w:p>
    <w:p w14:paraId="06EC4433" w14:textId="133B82E2" w:rsidR="00D65486" w:rsidRDefault="001B29A1">
      <w:pPr>
        <w:pStyle w:val="BodyText"/>
        <w:rPr>
          <w:rFonts w:asciiTheme="minorHAnsi" w:hAnsiTheme="minorHAnsi" w:cstheme="minorHAnsi"/>
        </w:rPr>
      </w:pPr>
      <w:r>
        <w:rPr>
          <w:rFonts w:asciiTheme="minorHAnsi" w:hAnsiTheme="minorHAnsi" w:cstheme="minorHAnsi"/>
        </w:rPr>
        <w:t xml:space="preserve">Consultation with an expert panel indicated that a goal of </w:t>
      </w:r>
      <w:r w:rsidRPr="00940B5A">
        <w:rPr>
          <w:rFonts w:asciiTheme="minorHAnsi" w:hAnsiTheme="minorHAnsi" w:cstheme="minorHAnsi"/>
        </w:rPr>
        <w:t xml:space="preserve">80% </w:t>
      </w:r>
      <w:r>
        <w:rPr>
          <w:rFonts w:asciiTheme="minorHAnsi" w:hAnsiTheme="minorHAnsi" w:cstheme="minorHAnsi"/>
        </w:rPr>
        <w:t xml:space="preserve">mandatory disclosure coverage across </w:t>
      </w:r>
      <w:r w:rsidRPr="00940B5A">
        <w:rPr>
          <w:rFonts w:asciiTheme="minorHAnsi" w:hAnsiTheme="minorHAnsi" w:cstheme="minorHAnsi"/>
        </w:rPr>
        <w:t xml:space="preserve">non-residential buildings by </w:t>
      </w:r>
      <w:r>
        <w:rPr>
          <w:rFonts w:asciiTheme="minorHAnsi" w:hAnsiTheme="minorHAnsi" w:cstheme="minorHAnsi"/>
        </w:rPr>
        <w:t>2035 is a suitable level of ambition and that industry capacity is available</w:t>
      </w:r>
      <w:r w:rsidRPr="00940B5A">
        <w:rPr>
          <w:rFonts w:asciiTheme="minorHAnsi" w:hAnsiTheme="minorHAnsi" w:cstheme="minorHAnsi"/>
        </w:rPr>
        <w:t>.</w:t>
      </w:r>
      <w:r>
        <w:rPr>
          <w:rFonts w:asciiTheme="minorHAnsi" w:hAnsiTheme="minorHAnsi" w:cstheme="minorHAnsi"/>
        </w:rPr>
        <w:t xml:space="preserve"> The expansion in disclosure is considered the single most important element of the above package, as it provides a pathway for sectoral transformation. </w:t>
      </w:r>
      <w:r w:rsidRPr="0037036A">
        <w:rPr>
          <w:rFonts w:asciiTheme="minorHAnsi" w:hAnsiTheme="minorHAnsi" w:cstheme="minorHAnsi"/>
        </w:rPr>
        <w:t xml:space="preserve">Based on </w:t>
      </w:r>
      <w:r>
        <w:rPr>
          <w:rFonts w:asciiTheme="minorHAnsi" w:hAnsiTheme="minorHAnsi" w:cstheme="minorHAnsi"/>
        </w:rPr>
        <w:t>this goal and the above</w:t>
      </w:r>
      <w:r w:rsidRPr="0037036A">
        <w:rPr>
          <w:rFonts w:asciiTheme="minorHAnsi" w:hAnsiTheme="minorHAnsi" w:cstheme="minorHAnsi"/>
        </w:rPr>
        <w:t xml:space="preserve"> principles, KPMG developed </w:t>
      </w:r>
      <w:r w:rsidR="00F52CF0">
        <w:rPr>
          <w:rFonts w:asciiTheme="minorHAnsi" w:hAnsiTheme="minorHAnsi" w:cstheme="minorHAnsi"/>
        </w:rPr>
        <w:t xml:space="preserve">the </w:t>
      </w:r>
      <w:r w:rsidRPr="0037036A">
        <w:rPr>
          <w:rFonts w:asciiTheme="minorHAnsi" w:hAnsiTheme="minorHAnsi" w:cstheme="minorHAnsi"/>
        </w:rPr>
        <w:t xml:space="preserve">high-level illustrative roadmap </w:t>
      </w:r>
      <w:r w:rsidR="00F52CF0">
        <w:rPr>
          <w:rFonts w:asciiTheme="minorHAnsi" w:hAnsiTheme="minorHAnsi" w:cstheme="minorHAnsi"/>
        </w:rPr>
        <w:t>above</w:t>
      </w:r>
      <w:r w:rsidRPr="0037036A">
        <w:rPr>
          <w:rFonts w:asciiTheme="minorHAnsi" w:hAnsiTheme="minorHAnsi" w:cstheme="minorHAnsi"/>
        </w:rPr>
        <w:t xml:space="preserve">. Note this roadmap is illustrative, and detailed analysis and considerations would need to be made about the specific elements of a formal roadmap. </w:t>
      </w:r>
      <w:r>
        <w:rPr>
          <w:rFonts w:asciiTheme="minorHAnsi" w:hAnsiTheme="minorHAnsi" w:cstheme="minorHAnsi"/>
        </w:rPr>
        <w:t>There m</w:t>
      </w:r>
      <w:r w:rsidRPr="000E437E">
        <w:rPr>
          <w:rFonts w:asciiTheme="minorHAnsi" w:hAnsiTheme="minorHAnsi" w:cstheme="minorHAnsi"/>
        </w:rPr>
        <w:t xml:space="preserve">ay be practical </w:t>
      </w:r>
      <w:r>
        <w:rPr>
          <w:rFonts w:asciiTheme="minorHAnsi" w:hAnsiTheme="minorHAnsi" w:cstheme="minorHAnsi"/>
        </w:rPr>
        <w:t xml:space="preserve">issues </w:t>
      </w:r>
      <w:r w:rsidRPr="000E437E">
        <w:rPr>
          <w:rFonts w:asciiTheme="minorHAnsi" w:hAnsiTheme="minorHAnsi" w:cstheme="minorHAnsi"/>
        </w:rPr>
        <w:t xml:space="preserve">that need to be worked through, including </w:t>
      </w:r>
      <w:r>
        <w:rPr>
          <w:rFonts w:asciiTheme="minorHAnsi" w:hAnsiTheme="minorHAnsi" w:cstheme="minorHAnsi"/>
        </w:rPr>
        <w:t>an exemption</w:t>
      </w:r>
      <w:r w:rsidRPr="000E437E">
        <w:rPr>
          <w:rFonts w:asciiTheme="minorHAnsi" w:hAnsiTheme="minorHAnsi" w:cstheme="minorHAnsi"/>
        </w:rPr>
        <w:t xml:space="preserve"> framework</w:t>
      </w:r>
      <w:r>
        <w:rPr>
          <w:rFonts w:asciiTheme="minorHAnsi" w:hAnsiTheme="minorHAnsi" w:cstheme="minorHAnsi"/>
        </w:rPr>
        <w:t>,</w:t>
      </w:r>
      <w:r w:rsidRPr="000E437E">
        <w:rPr>
          <w:rFonts w:asciiTheme="minorHAnsi" w:hAnsiTheme="minorHAnsi" w:cstheme="minorHAnsi"/>
        </w:rPr>
        <w:t xml:space="preserve"> and </w:t>
      </w:r>
      <w:r>
        <w:rPr>
          <w:rFonts w:asciiTheme="minorHAnsi" w:hAnsiTheme="minorHAnsi" w:cstheme="minorHAnsi"/>
        </w:rPr>
        <w:t xml:space="preserve">understanding implementation capacity at an industry and regulatory level. </w:t>
      </w:r>
      <w:r w:rsidRPr="0037036A">
        <w:rPr>
          <w:rFonts w:asciiTheme="minorHAnsi" w:hAnsiTheme="minorHAnsi" w:cstheme="minorHAnsi"/>
        </w:rPr>
        <w:t>Such an approach has potential to ensure the building sector makes a significant contribution to achieving Australia’s net zero ambition while constraining energy bills.</w:t>
      </w:r>
    </w:p>
    <w:p w14:paraId="4826D1CD" w14:textId="77777777" w:rsidR="004E2EEB" w:rsidRDefault="004E2EEB" w:rsidP="00157114">
      <w:pPr>
        <w:pStyle w:val="BodyText"/>
        <w:spacing w:after="60"/>
        <w:rPr>
          <w:rFonts w:asciiTheme="minorHAnsi" w:hAnsiTheme="minorHAnsi" w:cstheme="minorHAnsi"/>
          <w:b/>
          <w:bCs/>
          <w:color w:val="1635A9" w:themeColor="accent1" w:themeShade="BF"/>
          <w:sz w:val="24"/>
          <w:szCs w:val="28"/>
        </w:rPr>
      </w:pPr>
    </w:p>
    <w:p w14:paraId="78C971B6" w14:textId="1903F6FC" w:rsidR="00D65486" w:rsidRPr="00A253E6" w:rsidRDefault="004E2EEB" w:rsidP="00A253E6">
      <w:pPr>
        <w:pStyle w:val="Heading2"/>
        <w:rPr>
          <w:rFonts w:cstheme="minorHAnsi"/>
        </w:rPr>
      </w:pPr>
      <w:r w:rsidRPr="00A253E6">
        <w:rPr>
          <w:rFonts w:cstheme="minorHAnsi"/>
        </w:rPr>
        <w:t>B</w:t>
      </w:r>
      <w:r w:rsidR="0072599B" w:rsidRPr="00A253E6">
        <w:rPr>
          <w:rFonts w:cstheme="minorHAnsi"/>
        </w:rPr>
        <w:t xml:space="preserve">ackground  </w:t>
      </w:r>
    </w:p>
    <w:p w14:paraId="7E4BA76E" w14:textId="1A0B8227" w:rsidR="00157114" w:rsidRPr="00A253E6" w:rsidRDefault="0072599B" w:rsidP="00A253E6">
      <w:pPr>
        <w:pStyle w:val="Heading3"/>
        <w:rPr>
          <w:rFonts w:asciiTheme="minorHAnsi" w:hAnsiTheme="minorHAnsi" w:cstheme="minorHAnsi"/>
        </w:rPr>
      </w:pPr>
      <w:r w:rsidRPr="00A253E6">
        <w:rPr>
          <w:rFonts w:asciiTheme="minorHAnsi" w:hAnsiTheme="minorHAnsi" w:cstheme="minorHAnsi"/>
        </w:rPr>
        <w:t xml:space="preserve">Policy assessment process </w:t>
      </w:r>
    </w:p>
    <w:p w14:paraId="438DE568" w14:textId="582FCED3" w:rsidR="00D9015A" w:rsidRDefault="00903E7D" w:rsidP="00D9015A">
      <w:pPr>
        <w:pStyle w:val="BodyBullet"/>
        <w:rPr>
          <w:rFonts w:cstheme="minorHAnsi"/>
        </w:rPr>
      </w:pPr>
      <w:r>
        <w:rPr>
          <w:rFonts w:cstheme="minorHAnsi"/>
        </w:rPr>
        <w:t>KPMG assessed</w:t>
      </w:r>
      <w:r w:rsidR="001C743D" w:rsidRPr="00F81ADB">
        <w:rPr>
          <w:rFonts w:cstheme="minorHAnsi"/>
        </w:rPr>
        <w:t xml:space="preserve"> seven possible policies to drive commercial building energy efficiency and emissions reduction</w:t>
      </w:r>
      <w:r w:rsidR="002703D2">
        <w:rPr>
          <w:rFonts w:cstheme="minorHAnsi"/>
        </w:rPr>
        <w:t>, based upon analysis of current international and Australian policies and programs</w:t>
      </w:r>
      <w:r w:rsidR="001C743D" w:rsidRPr="00F81ADB">
        <w:rPr>
          <w:rFonts w:cstheme="minorHAnsi"/>
        </w:rPr>
        <w:t xml:space="preserve">. These policies represent both changes to the existing disclosure framework and new regulatory requirements for covered buildings to achieve a </w:t>
      </w:r>
      <w:proofErr w:type="spellStart"/>
      <w:r w:rsidR="001C743D" w:rsidRPr="00F81ADB">
        <w:rPr>
          <w:rFonts w:cstheme="minorHAnsi"/>
        </w:rPr>
        <w:t>MEPS</w:t>
      </w:r>
      <w:proofErr w:type="spellEnd"/>
      <w:r w:rsidR="001C743D" w:rsidRPr="00F81ADB">
        <w:rPr>
          <w:rFonts w:cstheme="minorHAnsi"/>
        </w:rPr>
        <w:t xml:space="preserve"> of a nominated star rating. Each policy was assessed against a </w:t>
      </w:r>
      <w:proofErr w:type="gramStart"/>
      <w:r w:rsidR="001C743D" w:rsidRPr="00F81ADB">
        <w:rPr>
          <w:rFonts w:cstheme="minorHAnsi"/>
        </w:rPr>
        <w:t>high-level criteria</w:t>
      </w:r>
      <w:proofErr w:type="gramEnd"/>
      <w:r w:rsidR="001C743D" w:rsidRPr="00F81ADB">
        <w:rPr>
          <w:rFonts w:cstheme="minorHAnsi"/>
        </w:rPr>
        <w:t xml:space="preserve"> exploring the emissions impact, strength of signal, compliance cost and ease of implementation. The seven policies, and their assessments are presented in </w:t>
      </w:r>
      <w:r w:rsidR="00EE1FA4">
        <w:rPr>
          <w:rFonts w:cstheme="minorHAnsi"/>
        </w:rPr>
        <w:fldChar w:fldCharType="begin" w:fldLock="1"/>
      </w:r>
      <w:r w:rsidR="00EE1FA4">
        <w:rPr>
          <w:rFonts w:cstheme="minorHAnsi"/>
        </w:rPr>
        <w:instrText xml:space="preserve"> REF _Ref149571213 \h </w:instrText>
      </w:r>
      <w:r w:rsidR="00EE1FA4">
        <w:rPr>
          <w:rFonts w:cstheme="minorHAnsi"/>
        </w:rPr>
      </w:r>
      <w:r w:rsidR="00EE1FA4">
        <w:rPr>
          <w:rFonts w:cstheme="minorHAnsi"/>
        </w:rPr>
        <w:fldChar w:fldCharType="separate"/>
      </w:r>
      <w:r w:rsidR="00EE1FA4" w:rsidRPr="00AF609E">
        <w:rPr>
          <w:rFonts w:cstheme="minorHAnsi"/>
        </w:rPr>
        <w:t xml:space="preserve">Table </w:t>
      </w:r>
      <w:r w:rsidR="00EE1FA4" w:rsidRPr="00AF609E">
        <w:rPr>
          <w:rFonts w:cstheme="minorHAnsi"/>
          <w:noProof/>
        </w:rPr>
        <w:t>1</w:t>
      </w:r>
      <w:r w:rsidR="00EE1FA4">
        <w:rPr>
          <w:rFonts w:cstheme="minorHAnsi"/>
        </w:rPr>
        <w:fldChar w:fldCharType="end"/>
      </w:r>
      <w:r w:rsidR="00EE1FA4">
        <w:rPr>
          <w:rFonts w:cstheme="minorHAnsi"/>
        </w:rPr>
        <w:t xml:space="preserve"> </w:t>
      </w:r>
      <w:r w:rsidR="004E2EEB">
        <w:rPr>
          <w:rFonts w:cstheme="minorHAnsi"/>
        </w:rPr>
        <w:t>overleaf</w:t>
      </w:r>
      <w:r w:rsidR="001C743D" w:rsidRPr="00F81ADB">
        <w:rPr>
          <w:rFonts w:cstheme="minorHAnsi"/>
        </w:rPr>
        <w:t>.</w:t>
      </w:r>
      <w:r w:rsidR="00EE1FA4">
        <w:rPr>
          <w:rFonts w:cstheme="minorHAnsi"/>
        </w:rPr>
        <w:t xml:space="preserve"> </w:t>
      </w:r>
      <w:bookmarkStart w:id="6" w:name="_Ref149571213"/>
    </w:p>
    <w:p w14:paraId="45DA105B" w14:textId="27098D9B" w:rsidR="004E2EEB" w:rsidRDefault="004E2EEB">
      <w:pPr>
        <w:spacing w:before="0" w:after="160" w:line="259" w:lineRule="auto"/>
        <w:rPr>
          <w:rFonts w:asciiTheme="minorHAnsi" w:hAnsiTheme="minorHAnsi" w:cstheme="minorHAnsi"/>
          <w:i/>
          <w:iCs/>
          <w:color w:val="00338D" w:themeColor="text2"/>
          <w:sz w:val="18"/>
          <w:szCs w:val="18"/>
        </w:rPr>
      </w:pPr>
      <w:r>
        <w:rPr>
          <w:rFonts w:asciiTheme="minorHAnsi" w:hAnsiTheme="minorHAnsi" w:cstheme="minorHAnsi"/>
          <w:b/>
          <w:bCs/>
          <w:i/>
          <w:iCs/>
          <w:sz w:val="18"/>
          <w:szCs w:val="18"/>
        </w:rPr>
        <w:br w:type="page"/>
      </w:r>
    </w:p>
    <w:p w14:paraId="0D202EEC" w14:textId="029310F6" w:rsidR="001C743D" w:rsidRPr="00780A56" w:rsidRDefault="001C743D" w:rsidP="004E3937">
      <w:pPr>
        <w:pStyle w:val="Caption"/>
        <w:keepNext/>
        <w:spacing w:after="120"/>
        <w:rPr>
          <w:rFonts w:ascii="Calibri" w:eastAsia="Times New Roman" w:hAnsi="Calibri" w:cs="Times New Roman"/>
          <w:b/>
          <w:i w:val="0"/>
          <w:color w:val="auto"/>
          <w:sz w:val="24"/>
        </w:rPr>
      </w:pPr>
      <w:bookmarkStart w:id="7" w:name="_Toc162535437"/>
      <w:r w:rsidRPr="004E3937">
        <w:rPr>
          <w:rFonts w:ascii="Calibri" w:eastAsia="Times New Roman" w:hAnsi="Calibri" w:cs="Times New Roman"/>
          <w:b/>
          <w:bCs/>
          <w:i w:val="0"/>
          <w:iCs w:val="0"/>
          <w:color w:val="auto"/>
          <w:sz w:val="24"/>
        </w:rPr>
        <w:lastRenderedPageBreak/>
        <w:t xml:space="preserve">Table </w:t>
      </w:r>
      <w:r w:rsidRPr="00780A56">
        <w:rPr>
          <w:rFonts w:ascii="Calibri" w:eastAsia="Times New Roman" w:hAnsi="Calibri" w:cs="Times New Roman"/>
          <w:b/>
          <w:i w:val="0"/>
          <w:color w:val="auto"/>
          <w:sz w:val="24"/>
        </w:rPr>
        <w:fldChar w:fldCharType="begin"/>
      </w:r>
      <w:r w:rsidRPr="00780A56">
        <w:rPr>
          <w:rFonts w:ascii="Calibri" w:eastAsia="Times New Roman" w:hAnsi="Calibri" w:cs="Times New Roman"/>
          <w:b/>
          <w:i w:val="0"/>
          <w:color w:val="auto"/>
          <w:sz w:val="24"/>
        </w:rPr>
        <w:instrText xml:space="preserve"> SEQ Table \* ARABIC </w:instrText>
      </w:r>
      <w:r w:rsidRPr="00780A56">
        <w:rPr>
          <w:rFonts w:ascii="Calibri" w:eastAsia="Times New Roman" w:hAnsi="Calibri" w:cs="Times New Roman"/>
          <w:b/>
          <w:i w:val="0"/>
          <w:color w:val="auto"/>
          <w:sz w:val="24"/>
        </w:rPr>
        <w:fldChar w:fldCharType="separate"/>
      </w:r>
      <w:r w:rsidR="00D24A06">
        <w:rPr>
          <w:rFonts w:ascii="Calibri" w:eastAsia="Times New Roman" w:hAnsi="Calibri" w:cs="Times New Roman"/>
          <w:b/>
          <w:i w:val="0"/>
          <w:noProof/>
          <w:color w:val="auto"/>
          <w:sz w:val="24"/>
        </w:rPr>
        <w:t>1</w:t>
      </w:r>
      <w:r w:rsidRPr="00780A56">
        <w:rPr>
          <w:rFonts w:ascii="Calibri" w:eastAsia="Times New Roman" w:hAnsi="Calibri" w:cs="Times New Roman"/>
          <w:b/>
          <w:i w:val="0"/>
          <w:color w:val="auto"/>
          <w:sz w:val="24"/>
        </w:rPr>
        <w:fldChar w:fldCharType="end"/>
      </w:r>
      <w:bookmarkEnd w:id="6"/>
      <w:r w:rsidRPr="00780A56">
        <w:rPr>
          <w:rFonts w:ascii="Calibri" w:eastAsia="Times New Roman" w:hAnsi="Calibri" w:cs="Times New Roman"/>
          <w:b/>
          <w:i w:val="0"/>
          <w:color w:val="auto"/>
          <w:sz w:val="24"/>
        </w:rPr>
        <w:t>: High level assessment of seven policies</w:t>
      </w:r>
      <w:bookmarkEnd w:id="7"/>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274"/>
        <w:gridCol w:w="1223"/>
        <w:gridCol w:w="1189"/>
        <w:gridCol w:w="1562"/>
      </w:tblGrid>
      <w:tr w:rsidR="001C743D" w14:paraId="5AF97284" w14:textId="77777777" w:rsidTr="00FD4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6B4C590" w14:textId="77777777" w:rsidR="001C743D" w:rsidRPr="00F81ADB" w:rsidRDefault="001C743D" w:rsidP="00EE05F6">
            <w:pPr>
              <w:pStyle w:val="BodyBullet"/>
              <w:rPr>
                <w:rFonts w:cstheme="minorHAnsi"/>
              </w:rPr>
            </w:pPr>
            <w:r w:rsidRPr="00F81ADB">
              <w:rPr>
                <w:rFonts w:cstheme="minorHAnsi"/>
              </w:rPr>
              <w:t>Policy description</w:t>
            </w:r>
          </w:p>
        </w:tc>
        <w:tc>
          <w:tcPr>
            <w:tcW w:w="1275" w:type="dxa"/>
          </w:tcPr>
          <w:p w14:paraId="000BF723" w14:textId="77777777" w:rsidR="001C743D" w:rsidRPr="00F81ADB" w:rsidRDefault="001C743D" w:rsidP="00EE05F6">
            <w:pPr>
              <w:pStyle w:val="BodyBullet"/>
              <w:jc w:val="center"/>
              <w:cnfStyle w:val="100000000000" w:firstRow="1" w:lastRow="0" w:firstColumn="0" w:lastColumn="0" w:oddVBand="0" w:evenVBand="0" w:oddHBand="0" w:evenHBand="0" w:firstRowFirstColumn="0" w:firstRowLastColumn="0" w:lastRowFirstColumn="0" w:lastRowLastColumn="0"/>
              <w:rPr>
                <w:rFonts w:cstheme="minorHAnsi"/>
              </w:rPr>
            </w:pPr>
            <w:r w:rsidRPr="00F81ADB">
              <w:rPr>
                <w:rFonts w:cstheme="minorHAnsi"/>
              </w:rPr>
              <w:t>Emissions impact</w:t>
            </w:r>
          </w:p>
        </w:tc>
        <w:tc>
          <w:tcPr>
            <w:tcW w:w="1224" w:type="dxa"/>
          </w:tcPr>
          <w:p w14:paraId="6614BAAD" w14:textId="77777777" w:rsidR="001C743D" w:rsidRPr="00F81ADB" w:rsidRDefault="001C743D" w:rsidP="00EE05F6">
            <w:pPr>
              <w:pStyle w:val="BodyBullet"/>
              <w:jc w:val="center"/>
              <w:cnfStyle w:val="100000000000" w:firstRow="1" w:lastRow="0" w:firstColumn="0" w:lastColumn="0" w:oddVBand="0" w:evenVBand="0" w:oddHBand="0" w:evenHBand="0" w:firstRowFirstColumn="0" w:firstRowLastColumn="0" w:lastRowFirstColumn="0" w:lastRowLastColumn="0"/>
              <w:rPr>
                <w:rFonts w:cstheme="minorHAnsi"/>
              </w:rPr>
            </w:pPr>
            <w:r w:rsidRPr="00F81ADB">
              <w:rPr>
                <w:rFonts w:cstheme="minorHAnsi"/>
              </w:rPr>
              <w:t>Strength of signal</w:t>
            </w:r>
          </w:p>
        </w:tc>
        <w:tc>
          <w:tcPr>
            <w:tcW w:w="1186" w:type="dxa"/>
          </w:tcPr>
          <w:p w14:paraId="444A6B32" w14:textId="77777777" w:rsidR="001C743D" w:rsidRPr="00F81ADB" w:rsidRDefault="001C743D" w:rsidP="00EE05F6">
            <w:pPr>
              <w:pStyle w:val="BodyBullet"/>
              <w:jc w:val="center"/>
              <w:cnfStyle w:val="100000000000" w:firstRow="1" w:lastRow="0" w:firstColumn="0" w:lastColumn="0" w:oddVBand="0" w:evenVBand="0" w:oddHBand="0" w:evenHBand="0" w:firstRowFirstColumn="0" w:firstRowLastColumn="0" w:lastRowFirstColumn="0" w:lastRowLastColumn="0"/>
              <w:rPr>
                <w:rFonts w:cstheme="minorHAnsi"/>
              </w:rPr>
            </w:pPr>
            <w:r w:rsidRPr="00F81ADB">
              <w:rPr>
                <w:rFonts w:cstheme="minorHAnsi"/>
              </w:rPr>
              <w:t>Compliance cost</w:t>
            </w:r>
          </w:p>
        </w:tc>
        <w:tc>
          <w:tcPr>
            <w:tcW w:w="1552" w:type="dxa"/>
          </w:tcPr>
          <w:p w14:paraId="75FF374D" w14:textId="77777777" w:rsidR="001C743D" w:rsidRPr="00F81ADB" w:rsidRDefault="001C743D" w:rsidP="00EE05F6">
            <w:pPr>
              <w:pStyle w:val="BodyBullet"/>
              <w:jc w:val="center"/>
              <w:cnfStyle w:val="100000000000" w:firstRow="1" w:lastRow="0" w:firstColumn="0" w:lastColumn="0" w:oddVBand="0" w:evenVBand="0" w:oddHBand="0" w:evenHBand="0" w:firstRowFirstColumn="0" w:firstRowLastColumn="0" w:lastRowFirstColumn="0" w:lastRowLastColumn="0"/>
              <w:rPr>
                <w:rFonts w:cstheme="minorHAnsi"/>
              </w:rPr>
            </w:pPr>
            <w:r w:rsidRPr="00F81ADB">
              <w:rPr>
                <w:rFonts w:cstheme="minorHAnsi"/>
              </w:rPr>
              <w:t>Implementation ease</w:t>
            </w:r>
          </w:p>
        </w:tc>
      </w:tr>
      <w:tr w:rsidR="001C743D" w14:paraId="1EAAA2E3"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EAB215F" w14:textId="77777777" w:rsidR="001C743D" w:rsidRPr="00F81ADB" w:rsidRDefault="001C743D" w:rsidP="00A253E6">
            <w:pPr>
              <w:pStyle w:val="BodyBullet"/>
              <w:numPr>
                <w:ilvl w:val="0"/>
                <w:numId w:val="57"/>
              </w:numPr>
              <w:rPr>
                <w:rFonts w:cstheme="minorHAnsi"/>
                <w:b w:val="0"/>
              </w:rPr>
            </w:pPr>
            <w:r w:rsidRPr="00F81ADB">
              <w:rPr>
                <w:rFonts w:cstheme="minorHAnsi"/>
                <w:b w:val="0"/>
              </w:rPr>
              <w:t>Blanket disclosure policy for all commercial buildings over 1,000m</w:t>
            </w:r>
            <w:r w:rsidRPr="00F81ADB">
              <w:rPr>
                <w:rFonts w:cstheme="minorHAnsi"/>
                <w:b w:val="0"/>
                <w:vertAlign w:val="superscript"/>
              </w:rPr>
              <w:t>2</w:t>
            </w:r>
          </w:p>
        </w:tc>
        <w:tc>
          <w:tcPr>
            <w:tcW w:w="1275" w:type="dxa"/>
            <w:vAlign w:val="center"/>
          </w:tcPr>
          <w:p w14:paraId="762C172B" w14:textId="4F9A0E23"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inline distT="0" distB="0" distL="0" distR="0" wp14:anchorId="7EDD0949" wp14:editId="2B19B9A1">
                      <wp:extent cx="228600" cy="228600"/>
                      <wp:effectExtent l="0" t="0" r="19050" b="19050"/>
                      <wp:docPr id="244179976" name="Freeform: Shape 244179976" descr="Full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21600000"/>
                                    <a:close/>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51FB7BBD" id="Freeform: Shape 244179976" o:spid="_x0000_s1026" alt="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" path="m317500,at,,635000,635000,317500,,317500,xe" fillcolor="black [3213]" strokecolor="black [3213]" strokeweight="1.5pt">
                      <v:stroke joinstyle="miter"/>
                      <v:path arrowok="t"/>
                      <o:lock v:ext="edit" aspectratio="t"/>
                      <w10:anchorlock/>
                    </v:shape>
                  </w:pict>
                </mc:Fallback>
              </mc:AlternateContent>
            </w:r>
          </w:p>
        </w:tc>
        <w:tc>
          <w:tcPr>
            <w:tcW w:w="1224" w:type="dxa"/>
            <w:vAlign w:val="center"/>
          </w:tcPr>
          <w:p w14:paraId="1481CEC6" w14:textId="380DEB0C"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anchor distT="0" distB="0" distL="114300" distR="114300" simplePos="0" relativeHeight="251658242" behindDoc="0" locked="0" layoutInCell="1" allowOverlap="1" wp14:anchorId="095FB172" wp14:editId="44BAD3CE">
                      <wp:simplePos x="0" y="0"/>
                      <wp:positionH relativeFrom="column">
                        <wp:posOffset>208280</wp:posOffset>
                      </wp:positionH>
                      <wp:positionV relativeFrom="paragraph">
                        <wp:posOffset>30480</wp:posOffset>
                      </wp:positionV>
                      <wp:extent cx="228600" cy="228600"/>
                      <wp:effectExtent l="0" t="0" r="19050" b="19050"/>
                      <wp:wrapNone/>
                      <wp:docPr id="1995796503" name="Freeform: Shape 1995796503"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F315E42" id="Freeform: Shape 1995796503" o:spid="_x0000_s1026" alt="Quarter circle" style="position:absolute;margin-left:16.4pt;margin-top:2.4pt;width:18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" path="m317500,wa,,635000,635000,317500,,635000,317500l317500,317500,317500,xem635000,317500nfwa,,635000,635000,635000,317500,317500,e" fillcolor="black" strokeweight="1.5pt">
                      <v:stroke joinstyle="miter"/>
                      <v:path arrowok="t"/>
                      <o:lock v:ext="edit" aspectratio="t"/>
                    </v:shape>
                  </w:pict>
                </mc:Fallback>
              </mc:AlternateContent>
            </w:r>
          </w:p>
        </w:tc>
        <w:tc>
          <w:tcPr>
            <w:tcW w:w="1186" w:type="dxa"/>
            <w:vAlign w:val="center"/>
          </w:tcPr>
          <w:p w14:paraId="52E64909"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rPr>
              <w:t>$$$</w:t>
            </w:r>
            <w:r>
              <w:rPr>
                <w:rFonts w:cstheme="minorHAnsi"/>
              </w:rPr>
              <w:t>$</w:t>
            </w:r>
          </w:p>
        </w:tc>
        <w:tc>
          <w:tcPr>
            <w:tcW w:w="1552" w:type="dxa"/>
            <w:vAlign w:val="center"/>
          </w:tcPr>
          <w:p w14:paraId="678CC691"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noProof/>
              </w:rPr>
              <w:drawing>
                <wp:inline distT="0" distB="0" distL="0" distR="0" wp14:anchorId="0C2FBEB6" wp14:editId="61898FAB">
                  <wp:extent cx="185057" cy="185057"/>
                  <wp:effectExtent l="0" t="0" r="5715" b="5715"/>
                  <wp:docPr id="17740289" name="Picture 1774028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289" name="Picture 17740289"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79222A3E" wp14:editId="4FA3FCEC">
                  <wp:extent cx="185057" cy="185057"/>
                  <wp:effectExtent l="0" t="0" r="5715" b="5715"/>
                  <wp:docPr id="1069778396" name="Picture 106977839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78396" name="Picture 1069778396" descr="Tick"/>
                          <pic:cNvPicPr/>
                        </pic:nvPicPr>
                        <pic:blipFill>
                          <a:blip r:embed="rId17"/>
                          <a:stretch>
                            <a:fillRect/>
                          </a:stretch>
                        </pic:blipFill>
                        <pic:spPr>
                          <a:xfrm>
                            <a:off x="0" y="0"/>
                            <a:ext cx="190904" cy="190904"/>
                          </a:xfrm>
                          <a:prstGeom prst="rect">
                            <a:avLst/>
                          </a:prstGeom>
                        </pic:spPr>
                      </pic:pic>
                    </a:graphicData>
                  </a:graphic>
                </wp:inline>
              </w:drawing>
            </w:r>
          </w:p>
        </w:tc>
      </w:tr>
      <w:tr w:rsidR="001C743D" w14:paraId="662029BB" w14:textId="77777777" w:rsidTr="00FD477B">
        <w:tc>
          <w:tcPr>
            <w:cnfStyle w:val="001000000000" w:firstRow="0" w:lastRow="0" w:firstColumn="1" w:lastColumn="0" w:oddVBand="0" w:evenVBand="0" w:oddHBand="0" w:evenHBand="0" w:firstRowFirstColumn="0" w:firstRowLastColumn="0" w:lastRowFirstColumn="0" w:lastRowLastColumn="0"/>
            <w:tcW w:w="4957" w:type="dxa"/>
          </w:tcPr>
          <w:p w14:paraId="13379BC2" w14:textId="77777777" w:rsidR="001C743D" w:rsidRPr="00F81ADB" w:rsidRDefault="001C743D" w:rsidP="00A253E6">
            <w:pPr>
              <w:pStyle w:val="BodyBullet"/>
              <w:numPr>
                <w:ilvl w:val="0"/>
                <w:numId w:val="57"/>
              </w:numPr>
              <w:rPr>
                <w:rFonts w:cstheme="minorHAnsi"/>
                <w:b w:val="0"/>
              </w:rPr>
            </w:pPr>
            <w:r w:rsidRPr="00F81ADB">
              <w:rPr>
                <w:rFonts w:cstheme="minorHAnsi"/>
                <w:b w:val="0"/>
              </w:rPr>
              <w:t>Tailored sectoral disclosure policy</w:t>
            </w:r>
          </w:p>
        </w:tc>
        <w:tc>
          <w:tcPr>
            <w:tcW w:w="1275" w:type="dxa"/>
            <w:vAlign w:val="center"/>
          </w:tcPr>
          <w:p w14:paraId="575F2B48" w14:textId="518ABF95" w:rsidR="001C743D" w:rsidRPr="00F81ADB" w:rsidRDefault="00863593"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mc:AlternateContent>
                <mc:Choice Requires="wps">
                  <w:drawing>
                    <wp:inline distT="0" distB="0" distL="0" distR="0" wp14:anchorId="009803F5" wp14:editId="2DFF884E">
                      <wp:extent cx="228600" cy="228600"/>
                      <wp:effectExtent l="0" t="0" r="19050" b="19050"/>
                      <wp:docPr id="1609939697" name="Freeform: Shape 1609939697" descr="Three 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16200000"/>
                                    <a:lnTo>
                                      <a:pt x="317500" y="317500"/>
                                    </a:lnTo>
                                    <a:close/>
                                  </a:path>
                                  <a:path w="635000" h="635000" fill="none">
                                    <a:moveTo>
                                      <a:pt x="0" y="317500"/>
                                    </a:moveTo>
                                    <a:arcTo wR="317500" hR="317500" stAng="10800000" swAng="54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29859D8B" id="Freeform: Shape 1609939697" o:spid="_x0000_s1026" alt="Three 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" path="m317500,wa,,635000,635000,317500,,,317500l317500,317500,317500,xem,317500nfwa,,635000,635000,,317500,317500,e" fillcolor="black [3213]" strokecolor="black [3213]" strokeweight="1.5pt">
                      <v:stroke joinstyle="miter"/>
                      <v:path arrowok="t"/>
                      <o:lock v:ext="edit" aspectratio="t"/>
                      <w10:anchorlock/>
                    </v:shape>
                  </w:pict>
                </mc:Fallback>
              </mc:AlternateContent>
            </w:r>
          </w:p>
        </w:tc>
        <w:tc>
          <w:tcPr>
            <w:tcW w:w="1224" w:type="dxa"/>
            <w:vAlign w:val="center"/>
          </w:tcPr>
          <w:p w14:paraId="790C3FC5" w14:textId="1E0DBACD" w:rsidR="001C743D" w:rsidRPr="00F81ADB" w:rsidRDefault="00C3691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mc:AlternateContent>
                <mc:Choice Requires="wps">
                  <w:drawing>
                    <wp:inline distT="0" distB="0" distL="0" distR="0" wp14:anchorId="728DD157" wp14:editId="006AA01B">
                      <wp:extent cx="228600" cy="228600"/>
                      <wp:effectExtent l="0" t="0" r="19050" b="19050"/>
                      <wp:docPr id="911713985" name="Freeform: Shape 911713985"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29CADC10" id="Freeform: Shape 911713985" o:spid="_x0000_s1026" alt="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1186" w:type="dxa"/>
            <w:vAlign w:val="center"/>
          </w:tcPr>
          <w:p w14:paraId="65F767DE" w14:textId="77777777" w:rsidR="001C743D" w:rsidRPr="00F81ADB" w:rsidRDefault="001C743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sidRPr="00F81ADB">
              <w:rPr>
                <w:rFonts w:cstheme="minorHAnsi"/>
              </w:rPr>
              <w:t>$$</w:t>
            </w:r>
          </w:p>
        </w:tc>
        <w:tc>
          <w:tcPr>
            <w:tcW w:w="1552" w:type="dxa"/>
            <w:vAlign w:val="center"/>
          </w:tcPr>
          <w:p w14:paraId="5F58A0DD" w14:textId="77777777" w:rsidR="001C743D" w:rsidRPr="00F81ADB" w:rsidRDefault="001C743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sidRPr="00F81ADB">
              <w:rPr>
                <w:rFonts w:cstheme="minorHAnsi"/>
                <w:noProof/>
              </w:rPr>
              <w:drawing>
                <wp:inline distT="0" distB="0" distL="0" distR="0" wp14:anchorId="6B913336" wp14:editId="3618A00C">
                  <wp:extent cx="185057" cy="185057"/>
                  <wp:effectExtent l="0" t="0" r="5715" b="5715"/>
                  <wp:docPr id="1936984079" name="Picture 193698407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84079" name="Picture 1936984079"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4339060A" wp14:editId="61CD066E">
                  <wp:extent cx="185057" cy="185057"/>
                  <wp:effectExtent l="0" t="0" r="5715" b="5715"/>
                  <wp:docPr id="913110935" name="Picture 91311093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10935" name="Picture 913110935" descr="Tick"/>
                          <pic:cNvPicPr/>
                        </pic:nvPicPr>
                        <pic:blipFill>
                          <a:blip r:embed="rId17"/>
                          <a:stretch>
                            <a:fillRect/>
                          </a:stretch>
                        </pic:blipFill>
                        <pic:spPr>
                          <a:xfrm>
                            <a:off x="0" y="0"/>
                            <a:ext cx="190904" cy="190904"/>
                          </a:xfrm>
                          <a:prstGeom prst="rect">
                            <a:avLst/>
                          </a:prstGeom>
                        </pic:spPr>
                      </pic:pic>
                    </a:graphicData>
                  </a:graphic>
                </wp:inline>
              </w:drawing>
            </w:r>
          </w:p>
        </w:tc>
      </w:tr>
      <w:tr w:rsidR="001C743D" w14:paraId="3D3BC7AB"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AEDD6E7" w14:textId="77777777" w:rsidR="001C743D" w:rsidRPr="00F81ADB" w:rsidRDefault="001C743D" w:rsidP="00A253E6">
            <w:pPr>
              <w:pStyle w:val="BodyBullet"/>
              <w:numPr>
                <w:ilvl w:val="0"/>
                <w:numId w:val="57"/>
              </w:numPr>
              <w:rPr>
                <w:rFonts w:cstheme="minorHAnsi"/>
                <w:b w:val="0"/>
              </w:rPr>
            </w:pPr>
            <w:r w:rsidRPr="00F81ADB">
              <w:rPr>
                <w:rFonts w:cstheme="minorHAnsi"/>
                <w:b w:val="0"/>
              </w:rPr>
              <w:t>Reduce the current CBD threshold for all offices to buildings over 500m</w:t>
            </w:r>
            <w:r w:rsidRPr="00F81ADB">
              <w:rPr>
                <w:rFonts w:cstheme="minorHAnsi"/>
                <w:b w:val="0"/>
                <w:vertAlign w:val="superscript"/>
              </w:rPr>
              <w:t>2</w:t>
            </w:r>
          </w:p>
        </w:tc>
        <w:tc>
          <w:tcPr>
            <w:tcW w:w="1275" w:type="dxa"/>
            <w:vAlign w:val="center"/>
          </w:tcPr>
          <w:p w14:paraId="115A524F" w14:textId="13C9FE64" w:rsidR="001C743D" w:rsidRPr="00F81ADB" w:rsidRDefault="00ED7755"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inline distT="0" distB="0" distL="0" distR="0" wp14:anchorId="4730EF36" wp14:editId="3B55BCE4">
                      <wp:extent cx="228600" cy="228600"/>
                      <wp:effectExtent l="0" t="0" r="19050" b="19050"/>
                      <wp:docPr id="561278445" name="Freeform: Shape 561278445"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7A695384" id="Freeform: Shape 561278445" o:spid="_x0000_s1026" alt="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1224" w:type="dxa"/>
            <w:vAlign w:val="center"/>
          </w:tcPr>
          <w:p w14:paraId="511453E0" w14:textId="6A6C1608" w:rsidR="001C743D" w:rsidRPr="00F81ADB" w:rsidRDefault="00C3691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inline distT="0" distB="0" distL="0" distR="0" wp14:anchorId="63FC3C30" wp14:editId="050624AA">
                      <wp:extent cx="228600" cy="228600"/>
                      <wp:effectExtent l="0" t="0" r="19050" b="19050"/>
                      <wp:docPr id="1547373586" name="Freeform: Shape 1547373586"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61EC2862" id="Freeform: Shape 1547373586" o:spid="_x0000_s1026" alt="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1186" w:type="dxa"/>
            <w:vAlign w:val="center"/>
          </w:tcPr>
          <w:p w14:paraId="13E2948A"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rPr>
              <w:t>$$</w:t>
            </w:r>
          </w:p>
        </w:tc>
        <w:tc>
          <w:tcPr>
            <w:tcW w:w="1552" w:type="dxa"/>
            <w:vAlign w:val="center"/>
          </w:tcPr>
          <w:p w14:paraId="766935A4"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noProof/>
              </w:rPr>
              <w:drawing>
                <wp:inline distT="0" distB="0" distL="0" distR="0" wp14:anchorId="6C9694ED" wp14:editId="29377A25">
                  <wp:extent cx="185057" cy="185057"/>
                  <wp:effectExtent l="0" t="0" r="5715" b="5715"/>
                  <wp:docPr id="69382823" name="Picture 6938282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823" name="Picture 69382823"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086CC81F" wp14:editId="38A81D43">
                  <wp:extent cx="185057" cy="185057"/>
                  <wp:effectExtent l="0" t="0" r="5715" b="5715"/>
                  <wp:docPr id="563667441" name="Picture 56366744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67441" name="Picture 563667441"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2791901A" wp14:editId="764832DA">
                  <wp:extent cx="185057" cy="185057"/>
                  <wp:effectExtent l="0" t="0" r="5715" b="5715"/>
                  <wp:docPr id="1367386821" name="Picture 136738682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86821" name="Picture 1367386821" descr="tick"/>
                          <pic:cNvPicPr/>
                        </pic:nvPicPr>
                        <pic:blipFill>
                          <a:blip r:embed="rId17"/>
                          <a:stretch>
                            <a:fillRect/>
                          </a:stretch>
                        </pic:blipFill>
                        <pic:spPr>
                          <a:xfrm>
                            <a:off x="0" y="0"/>
                            <a:ext cx="190904" cy="190904"/>
                          </a:xfrm>
                          <a:prstGeom prst="rect">
                            <a:avLst/>
                          </a:prstGeom>
                        </pic:spPr>
                      </pic:pic>
                    </a:graphicData>
                  </a:graphic>
                </wp:inline>
              </w:drawing>
            </w:r>
          </w:p>
        </w:tc>
      </w:tr>
      <w:tr w:rsidR="001C743D" w14:paraId="0C45F4C0" w14:textId="77777777" w:rsidTr="00FD477B">
        <w:tc>
          <w:tcPr>
            <w:cnfStyle w:val="001000000000" w:firstRow="0" w:lastRow="0" w:firstColumn="1" w:lastColumn="0" w:oddVBand="0" w:evenVBand="0" w:oddHBand="0" w:evenHBand="0" w:firstRowFirstColumn="0" w:firstRowLastColumn="0" w:lastRowFirstColumn="0" w:lastRowLastColumn="0"/>
            <w:tcW w:w="4957" w:type="dxa"/>
          </w:tcPr>
          <w:p w14:paraId="3967C4F6" w14:textId="77777777" w:rsidR="001C743D" w:rsidRPr="00F81ADB" w:rsidRDefault="001C743D" w:rsidP="00A253E6">
            <w:pPr>
              <w:pStyle w:val="BodyBullet"/>
              <w:numPr>
                <w:ilvl w:val="0"/>
                <w:numId w:val="57"/>
              </w:numPr>
              <w:rPr>
                <w:rFonts w:cstheme="minorHAnsi"/>
                <w:b w:val="0"/>
              </w:rPr>
            </w:pPr>
            <w:r w:rsidRPr="00F81ADB">
              <w:rPr>
                <w:rFonts w:cstheme="minorHAnsi"/>
                <w:b w:val="0"/>
              </w:rPr>
              <w:t xml:space="preserve">A </w:t>
            </w:r>
            <w:proofErr w:type="spellStart"/>
            <w:r w:rsidRPr="00F81ADB">
              <w:rPr>
                <w:rFonts w:cstheme="minorHAnsi"/>
                <w:b w:val="0"/>
              </w:rPr>
              <w:t>MEPS</w:t>
            </w:r>
            <w:proofErr w:type="spellEnd"/>
            <w:r w:rsidRPr="00F81ADB">
              <w:rPr>
                <w:rFonts w:cstheme="minorHAnsi"/>
                <w:b w:val="0"/>
              </w:rPr>
              <w:t xml:space="preserve"> for offices over 1000m</w:t>
            </w:r>
            <w:r w:rsidRPr="00F81ADB">
              <w:rPr>
                <w:rFonts w:cstheme="minorHAnsi"/>
                <w:b w:val="0"/>
                <w:vertAlign w:val="superscript"/>
              </w:rPr>
              <w:t>2</w:t>
            </w:r>
            <w:r w:rsidRPr="00F81ADB">
              <w:rPr>
                <w:rFonts w:cstheme="minorHAnsi"/>
                <w:b w:val="0"/>
              </w:rPr>
              <w:t xml:space="preserve"> based on a NABERS-star rating</w:t>
            </w:r>
          </w:p>
        </w:tc>
        <w:tc>
          <w:tcPr>
            <w:tcW w:w="1275" w:type="dxa"/>
            <w:vAlign w:val="center"/>
          </w:tcPr>
          <w:p w14:paraId="5CFBE30A" w14:textId="6D38A6C7" w:rsidR="001C743D" w:rsidRPr="00F81ADB" w:rsidRDefault="00CC7F01"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mc:AlternateContent>
                <mc:Choice Requires="wps">
                  <w:drawing>
                    <wp:inline distT="0" distB="0" distL="0" distR="0" wp14:anchorId="5C7A39B2" wp14:editId="573ECC6D">
                      <wp:extent cx="230505" cy="228600"/>
                      <wp:effectExtent l="0" t="0" r="17145" b="19050"/>
                      <wp:docPr id="10921101" name="Freeform: Shape 10921101" descr="Half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0505" cy="228600"/>
                              </a:xfrm>
                              <a:custGeom>
                                <a:avLst/>
                                <a:gdLst>
                                  <a:gd name="connsiteX0" fmla="*/ 317500 w 635000"/>
                                  <a:gd name="connsiteY0" fmla="*/ 0 h 635000"/>
                                  <a:gd name="connsiteX1" fmla="*/ 635000 w 635000"/>
                                  <a:gd name="connsiteY1" fmla="*/ 317500 h 635000"/>
                                  <a:gd name="connsiteX2" fmla="*/ 301219 w 635000"/>
                                  <a:gd name="connsiteY2" fmla="*/ 635000 h 635000"/>
                                  <a:gd name="connsiteX3" fmla="*/ 317500 w 635000"/>
                                  <a:gd name="connsiteY3" fmla="*/ 0 h 635000"/>
                                  <a:gd name="connsiteX0" fmla="*/ 635000 w 635000"/>
                                  <a:gd name="connsiteY0" fmla="*/ 317500 h 635000"/>
                                  <a:gd name="connsiteX1" fmla="*/ 317500 w 635000"/>
                                  <a:gd name="connsiteY1" fmla="*/ 635000 h 635000"/>
                                  <a:gd name="connsiteX2" fmla="*/ 0 w 635000"/>
                                  <a:gd name="connsiteY2" fmla="*/ 317500 h 635000"/>
                                  <a:gd name="connsiteX3" fmla="*/ 317500 w 635000"/>
                                  <a:gd name="connsiteY3" fmla="*/ 0 h 635000"/>
                                  <a:gd name="connsiteX0" fmla="*/ 317500 w 642131"/>
                                  <a:gd name="connsiteY0" fmla="*/ 0 h 661778"/>
                                  <a:gd name="connsiteX1" fmla="*/ 635000 w 642131"/>
                                  <a:gd name="connsiteY1" fmla="*/ 317500 h 661778"/>
                                  <a:gd name="connsiteX2" fmla="*/ 545450 w 642131"/>
                                  <a:gd name="connsiteY2" fmla="*/ 553592 h 661778"/>
                                  <a:gd name="connsiteX3" fmla="*/ 301219 w 642131"/>
                                  <a:gd name="connsiteY3" fmla="*/ 635000 h 661778"/>
                                  <a:gd name="connsiteX4" fmla="*/ 317500 w 642131"/>
                                  <a:gd name="connsiteY4" fmla="*/ 0 h 661778"/>
                                  <a:gd name="connsiteX0" fmla="*/ 635000 w 642131"/>
                                  <a:gd name="connsiteY0" fmla="*/ 317500 h 661778"/>
                                  <a:gd name="connsiteX1" fmla="*/ 317500 w 642131"/>
                                  <a:gd name="connsiteY1" fmla="*/ 635000 h 661778"/>
                                  <a:gd name="connsiteX2" fmla="*/ 0 w 642131"/>
                                  <a:gd name="connsiteY2" fmla="*/ 317500 h 661778"/>
                                  <a:gd name="connsiteX3" fmla="*/ 317500 w 642131"/>
                                  <a:gd name="connsiteY3" fmla="*/ 0 h 661778"/>
                                  <a:gd name="connsiteX0" fmla="*/ 317500 w 642131"/>
                                  <a:gd name="connsiteY0" fmla="*/ 0 h 657745"/>
                                  <a:gd name="connsiteX1" fmla="*/ 635000 w 642131"/>
                                  <a:gd name="connsiteY1" fmla="*/ 317500 h 657745"/>
                                  <a:gd name="connsiteX2" fmla="*/ 545450 w 642131"/>
                                  <a:gd name="connsiteY2" fmla="*/ 553592 h 657745"/>
                                  <a:gd name="connsiteX3" fmla="*/ 301219 w 642131"/>
                                  <a:gd name="connsiteY3" fmla="*/ 635000 h 657745"/>
                                  <a:gd name="connsiteX4" fmla="*/ 317500 w 642131"/>
                                  <a:gd name="connsiteY4" fmla="*/ 0 h 657745"/>
                                  <a:gd name="connsiteX0" fmla="*/ 635000 w 642131"/>
                                  <a:gd name="connsiteY0" fmla="*/ 317500 h 657745"/>
                                  <a:gd name="connsiteX1" fmla="*/ 317500 w 642131"/>
                                  <a:gd name="connsiteY1" fmla="*/ 635000 h 657745"/>
                                  <a:gd name="connsiteX2" fmla="*/ 0 w 642131"/>
                                  <a:gd name="connsiteY2" fmla="*/ 317500 h 657745"/>
                                  <a:gd name="connsiteX3" fmla="*/ 317500 w 642131"/>
                                  <a:gd name="connsiteY3" fmla="*/ 0 h 657745"/>
                                  <a:gd name="connsiteX0" fmla="*/ 317500 w 642131"/>
                                  <a:gd name="connsiteY0" fmla="*/ 0 h 657745"/>
                                  <a:gd name="connsiteX1" fmla="*/ 635000 w 642131"/>
                                  <a:gd name="connsiteY1" fmla="*/ 317500 h 657745"/>
                                  <a:gd name="connsiteX2" fmla="*/ 545450 w 642131"/>
                                  <a:gd name="connsiteY2" fmla="*/ 553592 h 657745"/>
                                  <a:gd name="connsiteX3" fmla="*/ 301219 w 642131"/>
                                  <a:gd name="connsiteY3" fmla="*/ 635000 h 657745"/>
                                  <a:gd name="connsiteX4" fmla="*/ 317500 w 642131"/>
                                  <a:gd name="connsiteY4" fmla="*/ 0 h 657745"/>
                                  <a:gd name="connsiteX0" fmla="*/ 635000 w 642131"/>
                                  <a:gd name="connsiteY0" fmla="*/ 317500 h 657745"/>
                                  <a:gd name="connsiteX1" fmla="*/ 317501 w 642131"/>
                                  <a:gd name="connsiteY1" fmla="*/ 636527 h 657745"/>
                                  <a:gd name="connsiteX2" fmla="*/ 0 w 642131"/>
                                  <a:gd name="connsiteY2" fmla="*/ 317500 h 657745"/>
                                  <a:gd name="connsiteX3" fmla="*/ 317500 w 642131"/>
                                  <a:gd name="connsiteY3" fmla="*/ 0 h 657745"/>
                                  <a:gd name="connsiteX0" fmla="*/ 317500 w 642131"/>
                                  <a:gd name="connsiteY0" fmla="*/ 0 h 657745"/>
                                  <a:gd name="connsiteX1" fmla="*/ 635000 w 642131"/>
                                  <a:gd name="connsiteY1" fmla="*/ 317500 h 657745"/>
                                  <a:gd name="connsiteX2" fmla="*/ 545450 w 642131"/>
                                  <a:gd name="connsiteY2" fmla="*/ 553592 h 657745"/>
                                  <a:gd name="connsiteX3" fmla="*/ 301219 w 642131"/>
                                  <a:gd name="connsiteY3" fmla="*/ 635000 h 657745"/>
                                  <a:gd name="connsiteX4" fmla="*/ 317500 w 642131"/>
                                  <a:gd name="connsiteY4" fmla="*/ 0 h 657745"/>
                                  <a:gd name="connsiteX0" fmla="*/ 635000 w 642131"/>
                                  <a:gd name="connsiteY0" fmla="*/ 317500 h 657745"/>
                                  <a:gd name="connsiteX1" fmla="*/ 317501 w 642131"/>
                                  <a:gd name="connsiteY1" fmla="*/ 636527 h 657745"/>
                                  <a:gd name="connsiteX2" fmla="*/ 0 w 642131"/>
                                  <a:gd name="connsiteY2" fmla="*/ 317500 h 657745"/>
                                  <a:gd name="connsiteX3" fmla="*/ 317500 w 642131"/>
                                  <a:gd name="connsiteY3" fmla="*/ 0 h 657745"/>
                                  <a:gd name="connsiteX0" fmla="*/ 317500 w 640798"/>
                                  <a:gd name="connsiteY0" fmla="*/ 0 h 656239"/>
                                  <a:gd name="connsiteX1" fmla="*/ 635000 w 640798"/>
                                  <a:gd name="connsiteY1" fmla="*/ 317500 h 656239"/>
                                  <a:gd name="connsiteX2" fmla="*/ 524964 w 640798"/>
                                  <a:gd name="connsiteY2" fmla="*/ 539904 h 656239"/>
                                  <a:gd name="connsiteX3" fmla="*/ 301219 w 640798"/>
                                  <a:gd name="connsiteY3" fmla="*/ 635000 h 656239"/>
                                  <a:gd name="connsiteX4" fmla="*/ 317500 w 640798"/>
                                  <a:gd name="connsiteY4" fmla="*/ 0 h 656239"/>
                                  <a:gd name="connsiteX0" fmla="*/ 635000 w 640798"/>
                                  <a:gd name="connsiteY0" fmla="*/ 317500 h 656239"/>
                                  <a:gd name="connsiteX1" fmla="*/ 317501 w 640798"/>
                                  <a:gd name="connsiteY1" fmla="*/ 636527 h 656239"/>
                                  <a:gd name="connsiteX2" fmla="*/ 0 w 640798"/>
                                  <a:gd name="connsiteY2" fmla="*/ 317500 h 656239"/>
                                  <a:gd name="connsiteX3" fmla="*/ 317500 w 640798"/>
                                  <a:gd name="connsiteY3" fmla="*/ 0 h 656239"/>
                                  <a:gd name="connsiteX0" fmla="*/ 317500 w 640798"/>
                                  <a:gd name="connsiteY0" fmla="*/ 0 h 656239"/>
                                  <a:gd name="connsiteX1" fmla="*/ 635000 w 640798"/>
                                  <a:gd name="connsiteY1" fmla="*/ 317500 h 656239"/>
                                  <a:gd name="connsiteX2" fmla="*/ 524964 w 640798"/>
                                  <a:gd name="connsiteY2" fmla="*/ 539904 h 656239"/>
                                  <a:gd name="connsiteX3" fmla="*/ 301219 w 640798"/>
                                  <a:gd name="connsiteY3" fmla="*/ 635000 h 656239"/>
                                  <a:gd name="connsiteX4" fmla="*/ 317500 w 640798"/>
                                  <a:gd name="connsiteY4" fmla="*/ 0 h 656239"/>
                                  <a:gd name="connsiteX0" fmla="*/ 635000 w 640798"/>
                                  <a:gd name="connsiteY0" fmla="*/ 317500 h 656239"/>
                                  <a:gd name="connsiteX1" fmla="*/ 324334 w 640798"/>
                                  <a:gd name="connsiteY1" fmla="*/ 635070 h 656239"/>
                                  <a:gd name="connsiteX2" fmla="*/ 0 w 640798"/>
                                  <a:gd name="connsiteY2" fmla="*/ 317500 h 656239"/>
                                  <a:gd name="connsiteX3" fmla="*/ 317500 w 640798"/>
                                  <a:gd name="connsiteY3" fmla="*/ 0 h 656239"/>
                                  <a:gd name="connsiteX0" fmla="*/ 317500 w 640798"/>
                                  <a:gd name="connsiteY0" fmla="*/ 0 h 656239"/>
                                  <a:gd name="connsiteX1" fmla="*/ 635000 w 640798"/>
                                  <a:gd name="connsiteY1" fmla="*/ 317500 h 656239"/>
                                  <a:gd name="connsiteX2" fmla="*/ 524964 w 640798"/>
                                  <a:gd name="connsiteY2" fmla="*/ 539904 h 656239"/>
                                  <a:gd name="connsiteX3" fmla="*/ 301219 w 640798"/>
                                  <a:gd name="connsiteY3" fmla="*/ 635000 h 656239"/>
                                  <a:gd name="connsiteX4" fmla="*/ 317500 w 640798"/>
                                  <a:gd name="connsiteY4" fmla="*/ 0 h 656239"/>
                                  <a:gd name="connsiteX0" fmla="*/ 635000 w 640798"/>
                                  <a:gd name="connsiteY0" fmla="*/ 317500 h 656239"/>
                                  <a:gd name="connsiteX1" fmla="*/ 324334 w 640798"/>
                                  <a:gd name="connsiteY1" fmla="*/ 635070 h 656239"/>
                                  <a:gd name="connsiteX2" fmla="*/ 0 w 640798"/>
                                  <a:gd name="connsiteY2" fmla="*/ 317500 h 656239"/>
                                  <a:gd name="connsiteX3" fmla="*/ 317500 w 640798"/>
                                  <a:gd name="connsiteY3" fmla="*/ 0 h 656239"/>
                                  <a:gd name="connsiteX0" fmla="*/ 317500 w 640798"/>
                                  <a:gd name="connsiteY0" fmla="*/ 0 h 635070"/>
                                  <a:gd name="connsiteX1" fmla="*/ 635000 w 640798"/>
                                  <a:gd name="connsiteY1" fmla="*/ 317500 h 635070"/>
                                  <a:gd name="connsiteX2" fmla="*/ 524964 w 640798"/>
                                  <a:gd name="connsiteY2" fmla="*/ 539904 h 635070"/>
                                  <a:gd name="connsiteX3" fmla="*/ 328551 w 640798"/>
                                  <a:gd name="connsiteY3" fmla="*/ 594029 h 635070"/>
                                  <a:gd name="connsiteX4" fmla="*/ 317500 w 640798"/>
                                  <a:gd name="connsiteY4" fmla="*/ 0 h 635070"/>
                                  <a:gd name="connsiteX0" fmla="*/ 635000 w 640798"/>
                                  <a:gd name="connsiteY0" fmla="*/ 317500 h 635070"/>
                                  <a:gd name="connsiteX1" fmla="*/ 324334 w 640798"/>
                                  <a:gd name="connsiteY1" fmla="*/ 635070 h 635070"/>
                                  <a:gd name="connsiteX2" fmla="*/ 0 w 640798"/>
                                  <a:gd name="connsiteY2" fmla="*/ 317500 h 635070"/>
                                  <a:gd name="connsiteX3" fmla="*/ 317500 w 640798"/>
                                  <a:gd name="connsiteY3" fmla="*/ 0 h 635070"/>
                                </a:gdLst>
                                <a:ahLst/>
                                <a:cxnLst>
                                  <a:cxn ang="0">
                                    <a:pos x="connsiteX0" y="connsiteY0"/>
                                  </a:cxn>
                                  <a:cxn ang="0">
                                    <a:pos x="connsiteX1" y="connsiteY1"/>
                                  </a:cxn>
                                  <a:cxn ang="0">
                                    <a:pos x="connsiteX2" y="connsiteY2"/>
                                  </a:cxn>
                                  <a:cxn ang="0">
                                    <a:pos x="connsiteX3" y="connsiteY3"/>
                                  </a:cxn>
                                </a:cxnLst>
                                <a:rect l="l" t="t" r="r" b="b"/>
                                <a:pathLst>
                                  <a:path w="640798" h="635070">
                                    <a:moveTo>
                                      <a:pt x="317500" y="0"/>
                                    </a:moveTo>
                                    <a:cubicBezTo>
                                      <a:pt x="492850" y="0"/>
                                      <a:pt x="635000" y="142150"/>
                                      <a:pt x="635000" y="317500"/>
                                    </a:cubicBezTo>
                                    <a:cubicBezTo>
                                      <a:pt x="663493" y="393483"/>
                                      <a:pt x="580594" y="486987"/>
                                      <a:pt x="524964" y="539904"/>
                                    </a:cubicBezTo>
                                    <a:cubicBezTo>
                                      <a:pt x="461190" y="560242"/>
                                      <a:pt x="357044" y="670012"/>
                                      <a:pt x="328551" y="594029"/>
                                    </a:cubicBezTo>
                                    <a:cubicBezTo>
                                      <a:pt x="328551" y="488196"/>
                                      <a:pt x="317500" y="105833"/>
                                      <a:pt x="317500" y="0"/>
                                    </a:cubicBezTo>
                                    <a:close/>
                                  </a:path>
                                  <a:path w="640798" h="635070" fill="none">
                                    <a:moveTo>
                                      <a:pt x="635000" y="317500"/>
                                    </a:moveTo>
                                    <a:cubicBezTo>
                                      <a:pt x="635000" y="492850"/>
                                      <a:pt x="499684" y="635070"/>
                                      <a:pt x="324334" y="635070"/>
                                    </a:cubicBezTo>
                                    <a:cubicBezTo>
                                      <a:pt x="148984" y="635070"/>
                                      <a:pt x="0" y="492850"/>
                                      <a:pt x="0" y="317500"/>
                                    </a:cubicBezTo>
                                    <a:cubicBezTo>
                                      <a:pt x="0" y="142150"/>
                                      <a:pt x="142150" y="0"/>
                                      <a:pt x="317500" y="0"/>
                                    </a:cubicBezTo>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7E81D595" id="Freeform: Shape 10921101" o:spid="_x0000_s1026" alt="Half circle" style="width:18.15pt;height:18pt;visibility:visible;mso-wrap-style:square;mso-left-percent:-10001;mso-top-percent:-10001;mso-position-horizontal:absolute;mso-position-horizontal-relative:char;mso-position-vertical:absolute;mso-position-vertical-relative:line;mso-left-percent:-10001;mso-top-percent:-10001;v-text-anchor:middle" coordsize="640798,63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" path="m317500,c492850,,635000,142150,635000,317500v28493,75983,-54406,169487,-110036,222404c461190,560242,357044,670012,328551,594029,328551,488196,317500,105833,317500,xem635000,317500nfc635000,492850,499684,635070,324334,635070,148984,635070,,492850,,317500,,142150,142150,,317500,e" fillcolor="black [3213]" strokecolor="black [3213]" strokeweight="1.5pt">
                      <v:stroke joinstyle="miter"/>
                      <v:path arrowok="t" o:connecttype="custom" o:connectlocs="228419,114287;116668,228600;0,114287;114210,0" o:connectangles="0,0,0,0"/>
                      <o:lock v:ext="edit" aspectratio="t"/>
                      <w10:anchorlock/>
                    </v:shape>
                  </w:pict>
                </mc:Fallback>
              </mc:AlternateContent>
            </w:r>
          </w:p>
        </w:tc>
        <w:tc>
          <w:tcPr>
            <w:tcW w:w="1224" w:type="dxa"/>
            <w:vAlign w:val="center"/>
          </w:tcPr>
          <w:p w14:paraId="4641D006" w14:textId="77777777" w:rsidR="001C743D" w:rsidRPr="00F81ADB" w:rsidRDefault="001C743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mc:AlternateContent>
                <mc:Choice Requires="wps">
                  <w:drawing>
                    <wp:inline distT="0" distB="0" distL="0" distR="0" wp14:anchorId="63C564D7" wp14:editId="23B6D923">
                      <wp:extent cx="228600" cy="228600"/>
                      <wp:effectExtent l="0" t="0" r="19050" b="19050"/>
                      <wp:docPr id="1093097551" name="Freeform: Shape 1093097551" descr="three 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16200000"/>
                                    <a:lnTo>
                                      <a:pt x="317500" y="317500"/>
                                    </a:lnTo>
                                    <a:close/>
                                  </a:path>
                                  <a:path w="635000" h="635000" fill="none">
                                    <a:moveTo>
                                      <a:pt x="0" y="317500"/>
                                    </a:moveTo>
                                    <a:arcTo wR="317500" hR="317500" stAng="10800000" swAng="54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1130F59E" id="Freeform: Shape 1093097551" o:spid="_x0000_s1026" alt="three 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" path="m317500,wa,,635000,635000,317500,,,317500l317500,317500,317500,xem,317500nfwa,,635000,635000,,317500,317500,e" fillcolor="black [3213]" strokecolor="black [3213]" strokeweight="1.5pt">
                      <v:stroke joinstyle="miter"/>
                      <v:path arrowok="t"/>
                      <o:lock v:ext="edit" aspectratio="t"/>
                      <w10:anchorlock/>
                    </v:shape>
                  </w:pict>
                </mc:Fallback>
              </mc:AlternateContent>
            </w:r>
          </w:p>
        </w:tc>
        <w:tc>
          <w:tcPr>
            <w:tcW w:w="1186" w:type="dxa"/>
            <w:vAlign w:val="center"/>
          </w:tcPr>
          <w:p w14:paraId="65D64467" w14:textId="77777777" w:rsidR="001C743D" w:rsidRPr="00F81ADB" w:rsidRDefault="001C743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sidRPr="00F81ADB">
              <w:rPr>
                <w:rFonts w:cstheme="minorHAnsi"/>
              </w:rPr>
              <w:t>$$$$</w:t>
            </w:r>
          </w:p>
        </w:tc>
        <w:tc>
          <w:tcPr>
            <w:tcW w:w="1552" w:type="dxa"/>
            <w:vAlign w:val="center"/>
          </w:tcPr>
          <w:p w14:paraId="680B1588" w14:textId="77777777" w:rsidR="001C743D" w:rsidRPr="00F81ADB" w:rsidRDefault="001C743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sidRPr="00F81ADB">
              <w:rPr>
                <w:rFonts w:cstheme="minorHAnsi"/>
                <w:noProof/>
              </w:rPr>
              <w:drawing>
                <wp:inline distT="0" distB="0" distL="0" distR="0" wp14:anchorId="57D1A77D" wp14:editId="711ADA50">
                  <wp:extent cx="185057" cy="185057"/>
                  <wp:effectExtent l="0" t="0" r="5715" b="5715"/>
                  <wp:docPr id="1815274458" name="Picture 181527445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74458" name="Picture 1815274458"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7ED617E7" wp14:editId="11318725">
                  <wp:extent cx="185057" cy="185057"/>
                  <wp:effectExtent l="0" t="0" r="5715" b="5715"/>
                  <wp:docPr id="1200191174" name="Picture 120019117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91174" name="Picture 1200191174" descr="tick"/>
                          <pic:cNvPicPr/>
                        </pic:nvPicPr>
                        <pic:blipFill>
                          <a:blip r:embed="rId17"/>
                          <a:stretch>
                            <a:fillRect/>
                          </a:stretch>
                        </pic:blipFill>
                        <pic:spPr>
                          <a:xfrm>
                            <a:off x="0" y="0"/>
                            <a:ext cx="190904" cy="190904"/>
                          </a:xfrm>
                          <a:prstGeom prst="rect">
                            <a:avLst/>
                          </a:prstGeom>
                        </pic:spPr>
                      </pic:pic>
                    </a:graphicData>
                  </a:graphic>
                </wp:inline>
              </w:drawing>
            </w:r>
          </w:p>
        </w:tc>
      </w:tr>
      <w:tr w:rsidR="001C743D" w14:paraId="681B96CB"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2CB2444" w14:textId="77777777" w:rsidR="001C743D" w:rsidRPr="00F81ADB" w:rsidRDefault="001C743D" w:rsidP="00A253E6">
            <w:pPr>
              <w:pStyle w:val="BodyBullet"/>
              <w:numPr>
                <w:ilvl w:val="0"/>
                <w:numId w:val="57"/>
              </w:numPr>
              <w:rPr>
                <w:rFonts w:cstheme="minorHAnsi"/>
                <w:b w:val="0"/>
              </w:rPr>
            </w:pPr>
            <w:r w:rsidRPr="00F81ADB">
              <w:rPr>
                <w:rFonts w:cstheme="minorHAnsi"/>
                <w:b w:val="0"/>
              </w:rPr>
              <w:t>In the existing CBD program require offices to breakdown their scope 1 emissions</w:t>
            </w:r>
          </w:p>
        </w:tc>
        <w:tc>
          <w:tcPr>
            <w:tcW w:w="1275" w:type="dxa"/>
            <w:vAlign w:val="center"/>
          </w:tcPr>
          <w:p w14:paraId="763B3F95" w14:textId="7413724E" w:rsidR="001C743D" w:rsidRPr="00F81ADB" w:rsidRDefault="00ED7755"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inline distT="0" distB="0" distL="0" distR="0" wp14:anchorId="29151CA3" wp14:editId="29F86E43">
                      <wp:extent cx="228600" cy="228600"/>
                      <wp:effectExtent l="0" t="0" r="19050" b="19050"/>
                      <wp:docPr id="38615885" name="Freeform: Shape 38615885"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3017C5E3" id="Freeform: Shape 38615885" o:spid="_x0000_s1026" alt="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1224" w:type="dxa"/>
            <w:vAlign w:val="center"/>
          </w:tcPr>
          <w:p w14:paraId="5A033322" w14:textId="209286D3" w:rsidR="001C743D" w:rsidRPr="00F81ADB" w:rsidRDefault="00C3691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inline distT="0" distB="0" distL="0" distR="0" wp14:anchorId="6969A42D" wp14:editId="01587957">
                      <wp:extent cx="228600" cy="228600"/>
                      <wp:effectExtent l="0" t="0" r="19050" b="19050"/>
                      <wp:docPr id="1521128472" name="Freeform: Shape 1521128472"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6B648391" id="Freeform: Shape 1521128472" o:spid="_x0000_s1026" alt="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1186" w:type="dxa"/>
            <w:vAlign w:val="center"/>
          </w:tcPr>
          <w:p w14:paraId="47CD90DE"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rPr>
              <w:t>$</w:t>
            </w:r>
          </w:p>
        </w:tc>
        <w:tc>
          <w:tcPr>
            <w:tcW w:w="1552" w:type="dxa"/>
            <w:vAlign w:val="center"/>
          </w:tcPr>
          <w:p w14:paraId="343B759B"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noProof/>
              </w:rPr>
              <w:drawing>
                <wp:inline distT="0" distB="0" distL="0" distR="0" wp14:anchorId="3A455DAB" wp14:editId="5FB486B6">
                  <wp:extent cx="185057" cy="185057"/>
                  <wp:effectExtent l="0" t="0" r="5715" b="5715"/>
                  <wp:docPr id="470495330" name="Picture 47049533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95330" name="Picture 470495330"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04D984B8" wp14:editId="4D71D525">
                  <wp:extent cx="185057" cy="185057"/>
                  <wp:effectExtent l="0" t="0" r="5715" b="5715"/>
                  <wp:docPr id="1330016788" name="Picture 133001678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16788" name="Picture 1330016788"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5438AF03" wp14:editId="712BB564">
                  <wp:extent cx="185057" cy="185057"/>
                  <wp:effectExtent l="0" t="0" r="5715" b="5715"/>
                  <wp:docPr id="422844128" name="Picture 42284412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4128" name="Picture 422844128"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7499ACC4" wp14:editId="53B0BA2D">
                  <wp:extent cx="185057" cy="185057"/>
                  <wp:effectExtent l="0" t="0" r="5715" b="5715"/>
                  <wp:docPr id="337131339" name="Picture 33713133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31339" name="Picture 337131339" descr="Tick"/>
                          <pic:cNvPicPr/>
                        </pic:nvPicPr>
                        <pic:blipFill>
                          <a:blip r:embed="rId17"/>
                          <a:stretch>
                            <a:fillRect/>
                          </a:stretch>
                        </pic:blipFill>
                        <pic:spPr>
                          <a:xfrm>
                            <a:off x="0" y="0"/>
                            <a:ext cx="190904" cy="190904"/>
                          </a:xfrm>
                          <a:prstGeom prst="rect">
                            <a:avLst/>
                          </a:prstGeom>
                        </pic:spPr>
                      </pic:pic>
                    </a:graphicData>
                  </a:graphic>
                </wp:inline>
              </w:drawing>
            </w:r>
          </w:p>
        </w:tc>
      </w:tr>
      <w:tr w:rsidR="001C743D" w14:paraId="74C6D022" w14:textId="77777777" w:rsidTr="00FD477B">
        <w:tc>
          <w:tcPr>
            <w:cnfStyle w:val="001000000000" w:firstRow="0" w:lastRow="0" w:firstColumn="1" w:lastColumn="0" w:oddVBand="0" w:evenVBand="0" w:oddHBand="0" w:evenHBand="0" w:firstRowFirstColumn="0" w:firstRowLastColumn="0" w:lastRowFirstColumn="0" w:lastRowLastColumn="0"/>
            <w:tcW w:w="4957" w:type="dxa"/>
          </w:tcPr>
          <w:p w14:paraId="0574E1A3" w14:textId="77777777" w:rsidR="001C743D" w:rsidRPr="00F81ADB" w:rsidRDefault="001C743D" w:rsidP="00A253E6">
            <w:pPr>
              <w:pStyle w:val="BodyBullet"/>
              <w:numPr>
                <w:ilvl w:val="0"/>
                <w:numId w:val="57"/>
              </w:numPr>
              <w:rPr>
                <w:rFonts w:cstheme="minorHAnsi"/>
                <w:b w:val="0"/>
              </w:rPr>
            </w:pPr>
            <w:r w:rsidRPr="00F81ADB">
              <w:rPr>
                <w:rFonts w:cstheme="minorHAnsi"/>
                <w:b w:val="0"/>
              </w:rPr>
              <w:t xml:space="preserve">Introduce a </w:t>
            </w:r>
            <w:proofErr w:type="spellStart"/>
            <w:r w:rsidRPr="00F81ADB">
              <w:rPr>
                <w:rFonts w:cstheme="minorHAnsi"/>
                <w:b w:val="0"/>
              </w:rPr>
              <w:t>MEPS</w:t>
            </w:r>
            <w:proofErr w:type="spellEnd"/>
            <w:r w:rsidRPr="00F81ADB">
              <w:rPr>
                <w:rFonts w:cstheme="minorHAnsi"/>
                <w:b w:val="0"/>
              </w:rPr>
              <w:t xml:space="preserve"> for lighting in offices</w:t>
            </w:r>
          </w:p>
        </w:tc>
        <w:tc>
          <w:tcPr>
            <w:tcW w:w="1275" w:type="dxa"/>
            <w:vAlign w:val="center"/>
          </w:tcPr>
          <w:p w14:paraId="7000CF4D" w14:textId="325B640E" w:rsidR="001C743D" w:rsidRPr="00F81ADB" w:rsidRDefault="00CC7F01"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mc:AlternateContent>
                <mc:Choice Requires="wps">
                  <w:drawing>
                    <wp:inline distT="0" distB="0" distL="0" distR="0" wp14:anchorId="1D14582E" wp14:editId="75AB6703">
                      <wp:extent cx="228600" cy="228600"/>
                      <wp:effectExtent l="0" t="0" r="19050" b="19050"/>
                      <wp:docPr id="1414467150" name="Freeform: Shape 1414467150"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0AF73DD7" id="Freeform: Shape 1414467150" o:spid="_x0000_s1026" alt="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1224" w:type="dxa"/>
            <w:vAlign w:val="center"/>
          </w:tcPr>
          <w:p w14:paraId="6A1DB9CD" w14:textId="594F69E0" w:rsidR="001C743D" w:rsidRPr="00F81ADB" w:rsidRDefault="00C3691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rPr>
              <mc:AlternateContent>
                <mc:Choice Requires="wps">
                  <w:drawing>
                    <wp:inline distT="0" distB="0" distL="0" distR="0" wp14:anchorId="7C48AB3F" wp14:editId="1C111FA3">
                      <wp:extent cx="228600" cy="228600"/>
                      <wp:effectExtent l="0" t="0" r="19050" b="19050"/>
                      <wp:docPr id="408353819" name="Freeform: Shape 408353819" descr="Three 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16200000"/>
                                    <a:lnTo>
                                      <a:pt x="317500" y="317500"/>
                                    </a:lnTo>
                                    <a:close/>
                                  </a:path>
                                  <a:path w="635000" h="635000" fill="none">
                                    <a:moveTo>
                                      <a:pt x="0" y="317500"/>
                                    </a:moveTo>
                                    <a:arcTo wR="317500" hR="317500" stAng="10800000" swAng="54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54A5923F" id="Freeform: Shape 408353819" o:spid="_x0000_s1026" alt="Three 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" path="m317500,wa,,635000,635000,317500,,,317500l317500,317500,317500,xem,317500nfwa,,635000,635000,,317500,317500,e" fillcolor="black [3213]" strokecolor="black [3213]" strokeweight="1.5pt">
                      <v:stroke joinstyle="miter"/>
                      <v:path arrowok="t"/>
                      <o:lock v:ext="edit" aspectratio="t"/>
                      <w10:anchorlock/>
                    </v:shape>
                  </w:pict>
                </mc:Fallback>
              </mc:AlternateContent>
            </w:r>
          </w:p>
        </w:tc>
        <w:tc>
          <w:tcPr>
            <w:tcW w:w="1186" w:type="dxa"/>
            <w:vAlign w:val="center"/>
          </w:tcPr>
          <w:p w14:paraId="116DDEFE" w14:textId="77777777" w:rsidR="001C743D" w:rsidRPr="00F81ADB" w:rsidRDefault="001C743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sidRPr="00F81ADB">
              <w:rPr>
                <w:rFonts w:cstheme="minorHAnsi"/>
              </w:rPr>
              <w:t>$</w:t>
            </w:r>
          </w:p>
        </w:tc>
        <w:tc>
          <w:tcPr>
            <w:tcW w:w="1552" w:type="dxa"/>
            <w:vAlign w:val="center"/>
          </w:tcPr>
          <w:p w14:paraId="3F1070DE" w14:textId="77777777" w:rsidR="001C743D" w:rsidRPr="00F81ADB" w:rsidRDefault="001C743D" w:rsidP="00EE05F6">
            <w:pPr>
              <w:pStyle w:val="BodyBullet"/>
              <w:jc w:val="center"/>
              <w:cnfStyle w:val="000000000000" w:firstRow="0" w:lastRow="0" w:firstColumn="0" w:lastColumn="0" w:oddVBand="0" w:evenVBand="0" w:oddHBand="0" w:evenHBand="0" w:firstRowFirstColumn="0" w:firstRowLastColumn="0" w:lastRowFirstColumn="0" w:lastRowLastColumn="0"/>
              <w:rPr>
                <w:rFonts w:cstheme="minorHAnsi"/>
              </w:rPr>
            </w:pPr>
            <w:r w:rsidRPr="00F81ADB">
              <w:rPr>
                <w:rFonts w:cstheme="minorHAnsi"/>
                <w:noProof/>
              </w:rPr>
              <w:drawing>
                <wp:inline distT="0" distB="0" distL="0" distR="0" wp14:anchorId="16B8081F" wp14:editId="46BCDB1E">
                  <wp:extent cx="185057" cy="185057"/>
                  <wp:effectExtent l="0" t="0" r="5715" b="5715"/>
                  <wp:docPr id="1024860684" name="Picture 102486068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60684" name="Picture 1024860684" descr="Tick"/>
                          <pic:cNvPicPr/>
                        </pic:nvPicPr>
                        <pic:blipFill>
                          <a:blip r:embed="rId17"/>
                          <a:stretch>
                            <a:fillRect/>
                          </a:stretch>
                        </pic:blipFill>
                        <pic:spPr>
                          <a:xfrm>
                            <a:off x="0" y="0"/>
                            <a:ext cx="190904" cy="190904"/>
                          </a:xfrm>
                          <a:prstGeom prst="rect">
                            <a:avLst/>
                          </a:prstGeom>
                        </pic:spPr>
                      </pic:pic>
                    </a:graphicData>
                  </a:graphic>
                </wp:inline>
              </w:drawing>
            </w:r>
            <w:r w:rsidRPr="00F81ADB">
              <w:rPr>
                <w:rFonts w:cstheme="minorHAnsi"/>
                <w:noProof/>
              </w:rPr>
              <w:drawing>
                <wp:inline distT="0" distB="0" distL="0" distR="0" wp14:anchorId="2EA792F2" wp14:editId="62461AC4">
                  <wp:extent cx="185057" cy="185057"/>
                  <wp:effectExtent l="0" t="0" r="5715" b="5715"/>
                  <wp:docPr id="2068092979" name="Picture 206809297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92979" name="Picture 2068092979" descr="Tick"/>
                          <pic:cNvPicPr/>
                        </pic:nvPicPr>
                        <pic:blipFill>
                          <a:blip r:embed="rId17"/>
                          <a:stretch>
                            <a:fillRect/>
                          </a:stretch>
                        </pic:blipFill>
                        <pic:spPr>
                          <a:xfrm>
                            <a:off x="0" y="0"/>
                            <a:ext cx="190904" cy="190904"/>
                          </a:xfrm>
                          <a:prstGeom prst="rect">
                            <a:avLst/>
                          </a:prstGeom>
                        </pic:spPr>
                      </pic:pic>
                    </a:graphicData>
                  </a:graphic>
                </wp:inline>
              </w:drawing>
            </w:r>
          </w:p>
        </w:tc>
      </w:tr>
      <w:tr w:rsidR="001C743D" w14:paraId="11BC45DB"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A2BA03E" w14:textId="77777777" w:rsidR="001C743D" w:rsidRPr="00F81ADB" w:rsidRDefault="001C743D" w:rsidP="00A253E6">
            <w:pPr>
              <w:pStyle w:val="BodyBullet"/>
              <w:numPr>
                <w:ilvl w:val="0"/>
                <w:numId w:val="57"/>
              </w:numPr>
              <w:rPr>
                <w:rFonts w:cstheme="minorHAnsi"/>
                <w:b w:val="0"/>
              </w:rPr>
            </w:pPr>
            <w:r w:rsidRPr="00F81ADB">
              <w:rPr>
                <w:rFonts w:cstheme="minorHAnsi"/>
                <w:b w:val="0"/>
              </w:rPr>
              <w:t>Phase out fossil fuel boilers in all commercial buildings.</w:t>
            </w:r>
          </w:p>
        </w:tc>
        <w:tc>
          <w:tcPr>
            <w:tcW w:w="1275" w:type="dxa"/>
            <w:vAlign w:val="center"/>
          </w:tcPr>
          <w:p w14:paraId="46AF0F9D" w14:textId="6BEFD3BF" w:rsidR="001C743D" w:rsidRPr="00F81ADB" w:rsidRDefault="00CC7F01"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inline distT="0" distB="0" distL="0" distR="0" wp14:anchorId="5BB3531C" wp14:editId="3FFEFFAD">
                      <wp:extent cx="228600" cy="228600"/>
                      <wp:effectExtent l="0" t="0" r="19050" b="19050"/>
                      <wp:docPr id="2018343460" name="Freeform: Shape 2018343460" descr="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6794378E" id="Freeform: Shape 2018343460" o:spid="_x0000_s1026" alt="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1224" w:type="dxa"/>
            <w:vAlign w:val="center"/>
          </w:tcPr>
          <w:p w14:paraId="44F6D081" w14:textId="08FEF578" w:rsidR="001C743D" w:rsidRPr="00F81ADB" w:rsidRDefault="00C3691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Pr>
                <w:noProof/>
              </w:rPr>
              <mc:AlternateContent>
                <mc:Choice Requires="wps">
                  <w:drawing>
                    <wp:inline distT="0" distB="0" distL="0" distR="0" wp14:anchorId="16C93A00" wp14:editId="2D8DA37A">
                      <wp:extent cx="228600" cy="228600"/>
                      <wp:effectExtent l="0" t="0" r="19050" b="19050"/>
                      <wp:docPr id="1316456040" name="Freeform: Shape 1316456040" descr="Three quarter circ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16200000"/>
                                    <a:lnTo>
                                      <a:pt x="317500" y="317500"/>
                                    </a:lnTo>
                                    <a:close/>
                                  </a:path>
                                  <a:path w="635000" h="635000" fill="none">
                                    <a:moveTo>
                                      <a:pt x="0" y="317500"/>
                                    </a:moveTo>
                                    <a:arcTo wR="317500" hR="317500" stAng="10800000" swAng="54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515AEB3A" id="Freeform: Shape 1316456040" o:spid="_x0000_s1026" alt="Three quarter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" path="m317500,wa,,635000,635000,317500,,,317500l317500,317500,317500,xem,317500nfwa,,635000,635000,,317500,317500,e" fillcolor="black [3213]" strokecolor="black [3213]" strokeweight="1.5pt">
                      <v:stroke joinstyle="miter"/>
                      <v:path arrowok="t"/>
                      <o:lock v:ext="edit" aspectratio="t"/>
                      <w10:anchorlock/>
                    </v:shape>
                  </w:pict>
                </mc:Fallback>
              </mc:AlternateContent>
            </w:r>
          </w:p>
        </w:tc>
        <w:tc>
          <w:tcPr>
            <w:tcW w:w="1186" w:type="dxa"/>
            <w:vAlign w:val="center"/>
          </w:tcPr>
          <w:p w14:paraId="4BA9AFDE"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rPr>
              <w:t>$$$$</w:t>
            </w:r>
          </w:p>
        </w:tc>
        <w:tc>
          <w:tcPr>
            <w:tcW w:w="1552" w:type="dxa"/>
            <w:vAlign w:val="center"/>
          </w:tcPr>
          <w:p w14:paraId="47CCAAAB" w14:textId="77777777" w:rsidR="001C743D" w:rsidRPr="00F81ADB" w:rsidRDefault="001C743D" w:rsidP="00EE05F6">
            <w:pPr>
              <w:pStyle w:val="BodyBullet"/>
              <w:jc w:val="center"/>
              <w:cnfStyle w:val="000000100000" w:firstRow="0" w:lastRow="0" w:firstColumn="0" w:lastColumn="0" w:oddVBand="0" w:evenVBand="0" w:oddHBand="1" w:evenHBand="0" w:firstRowFirstColumn="0" w:firstRowLastColumn="0" w:lastRowFirstColumn="0" w:lastRowLastColumn="0"/>
              <w:rPr>
                <w:rFonts w:cstheme="minorHAnsi"/>
              </w:rPr>
            </w:pPr>
            <w:r w:rsidRPr="00F81ADB">
              <w:rPr>
                <w:rFonts w:cstheme="minorHAnsi"/>
                <w:noProof/>
              </w:rPr>
              <w:drawing>
                <wp:inline distT="0" distB="0" distL="0" distR="0" wp14:anchorId="0D65C062" wp14:editId="13503A89">
                  <wp:extent cx="185057" cy="185057"/>
                  <wp:effectExtent l="0" t="0" r="5715" b="5715"/>
                  <wp:docPr id="2092257375" name="Picture 209225737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57375" name="Picture 2092257375" descr="Tick"/>
                          <pic:cNvPicPr/>
                        </pic:nvPicPr>
                        <pic:blipFill>
                          <a:blip r:embed="rId17"/>
                          <a:stretch>
                            <a:fillRect/>
                          </a:stretch>
                        </pic:blipFill>
                        <pic:spPr>
                          <a:xfrm>
                            <a:off x="0" y="0"/>
                            <a:ext cx="190904" cy="190904"/>
                          </a:xfrm>
                          <a:prstGeom prst="rect">
                            <a:avLst/>
                          </a:prstGeom>
                        </pic:spPr>
                      </pic:pic>
                    </a:graphicData>
                  </a:graphic>
                </wp:inline>
              </w:drawing>
            </w:r>
          </w:p>
        </w:tc>
      </w:tr>
    </w:tbl>
    <w:p w14:paraId="605322AE" w14:textId="77777777" w:rsidR="00B31604" w:rsidRPr="00D55926" w:rsidRDefault="00B31604" w:rsidP="00D9015A">
      <w:pPr>
        <w:pStyle w:val="BodyText"/>
        <w:spacing w:after="60"/>
        <w:rPr>
          <w:rFonts w:cstheme="minorHAnsi"/>
        </w:rPr>
      </w:pPr>
    </w:p>
    <w:p w14:paraId="3882B6B7" w14:textId="77777777" w:rsidR="007C1EF4" w:rsidRPr="00D43547" w:rsidRDefault="007C1EF4" w:rsidP="00A253E6">
      <w:pPr>
        <w:pStyle w:val="Heading3"/>
        <w:rPr>
          <w:rFonts w:asciiTheme="minorHAnsi" w:hAnsiTheme="minorHAnsi" w:cstheme="minorHAnsi"/>
        </w:rPr>
      </w:pPr>
      <w:r w:rsidRPr="00D43547">
        <w:rPr>
          <w:rFonts w:asciiTheme="minorHAnsi" w:hAnsiTheme="minorHAnsi" w:cstheme="minorHAnsi"/>
        </w:rPr>
        <w:t>The Australian Context</w:t>
      </w:r>
    </w:p>
    <w:p w14:paraId="608FC5F5" w14:textId="7F22C9BE" w:rsidR="00E45AF0" w:rsidRPr="00F81ADB" w:rsidRDefault="00E45AF0" w:rsidP="00E45AF0">
      <w:pPr>
        <w:pStyle w:val="BodyBullet"/>
        <w:rPr>
          <w:rFonts w:cstheme="minorHAnsi"/>
        </w:rPr>
      </w:pPr>
      <w:r w:rsidRPr="00F81ADB">
        <w:rPr>
          <w:rFonts w:cstheme="minorHAnsi"/>
        </w:rPr>
        <w:t xml:space="preserve">Over the past 12 years, the CBD program has driven improvements in energy efficiency across the stock of office buildings </w:t>
      </w:r>
      <w:r w:rsidR="00C32FA1">
        <w:rPr>
          <w:rFonts w:cstheme="minorHAnsi"/>
        </w:rPr>
        <w:t>with net lettable area (</w:t>
      </w:r>
      <w:r w:rsidR="00C32FA1" w:rsidRPr="00C33F37">
        <w:rPr>
          <w:rFonts w:cstheme="minorHAnsi"/>
        </w:rPr>
        <w:t>NLA</w:t>
      </w:r>
      <w:r w:rsidR="00C32FA1">
        <w:rPr>
          <w:rFonts w:cstheme="minorHAnsi"/>
        </w:rPr>
        <w:t xml:space="preserve">) </w:t>
      </w:r>
      <w:r w:rsidRPr="00F81ADB">
        <w:rPr>
          <w:rFonts w:cstheme="minorHAnsi"/>
        </w:rPr>
        <w:t>larger than 1,000m</w:t>
      </w:r>
      <w:r w:rsidRPr="00F81ADB">
        <w:rPr>
          <w:rFonts w:cstheme="minorHAnsi"/>
          <w:vertAlign w:val="superscript"/>
        </w:rPr>
        <w:t>2</w:t>
      </w:r>
      <w:r w:rsidRPr="00F81ADB">
        <w:rPr>
          <w:rFonts w:cstheme="minorHAnsi"/>
        </w:rPr>
        <w:t xml:space="preserve">. The CBD program is an energy disclosure program </w:t>
      </w:r>
      <w:r w:rsidR="007A0E68">
        <w:rPr>
          <w:rFonts w:cstheme="minorHAnsi"/>
        </w:rPr>
        <w:t xml:space="preserve">that </w:t>
      </w:r>
      <w:r w:rsidRPr="00F81ADB">
        <w:rPr>
          <w:rFonts w:cstheme="minorHAnsi"/>
        </w:rPr>
        <w:t xml:space="preserve">places a requirement for building owners and operators to conduct a </w:t>
      </w:r>
      <w:r w:rsidR="009740CD">
        <w:rPr>
          <w:rFonts w:cstheme="minorHAnsi"/>
        </w:rPr>
        <w:t xml:space="preserve">National </w:t>
      </w:r>
      <w:r w:rsidR="00172495">
        <w:rPr>
          <w:rFonts w:cstheme="minorHAnsi"/>
        </w:rPr>
        <w:t>Australian Built Environment</w:t>
      </w:r>
      <w:r w:rsidR="000C4FD5">
        <w:rPr>
          <w:rFonts w:cstheme="minorHAnsi"/>
        </w:rPr>
        <w:t xml:space="preserve"> Rating System </w:t>
      </w:r>
      <w:r w:rsidR="009740CD">
        <w:rPr>
          <w:rFonts w:cstheme="minorHAnsi"/>
        </w:rPr>
        <w:t>(</w:t>
      </w:r>
      <w:r w:rsidRPr="00F81ADB">
        <w:rPr>
          <w:rFonts w:cstheme="minorHAnsi"/>
        </w:rPr>
        <w:t>NABERS</w:t>
      </w:r>
      <w:r w:rsidR="009740CD">
        <w:rPr>
          <w:rFonts w:cstheme="minorHAnsi"/>
        </w:rPr>
        <w:t>)</w:t>
      </w:r>
      <w:r w:rsidRPr="00F81ADB">
        <w:rPr>
          <w:rFonts w:cstheme="minorHAnsi"/>
        </w:rPr>
        <w:t xml:space="preserve"> </w:t>
      </w:r>
      <w:r w:rsidR="00BF052B">
        <w:rPr>
          <w:rFonts w:cstheme="minorHAnsi"/>
        </w:rPr>
        <w:t>rating</w:t>
      </w:r>
      <w:r w:rsidRPr="00F81ADB">
        <w:rPr>
          <w:rFonts w:cstheme="minorHAnsi"/>
        </w:rPr>
        <w:t xml:space="preserve"> and a lighting energy efficiency assessment, to help </w:t>
      </w:r>
      <w:r w:rsidR="0013586D">
        <w:rPr>
          <w:rFonts w:cstheme="minorHAnsi"/>
        </w:rPr>
        <w:t>prospective buyers and tenants</w:t>
      </w:r>
      <w:r w:rsidRPr="00F81ADB">
        <w:rPr>
          <w:rFonts w:cstheme="minorHAnsi"/>
        </w:rPr>
        <w:t xml:space="preserve"> understand their </w:t>
      </w:r>
      <w:r w:rsidR="00962496">
        <w:rPr>
          <w:rFonts w:cstheme="minorHAnsi"/>
        </w:rPr>
        <w:t xml:space="preserve">future </w:t>
      </w:r>
      <w:r w:rsidRPr="00F81ADB">
        <w:rPr>
          <w:rFonts w:cstheme="minorHAnsi"/>
        </w:rPr>
        <w:t>energy consumption</w:t>
      </w:r>
      <w:r w:rsidR="00BC6781">
        <w:rPr>
          <w:rFonts w:cstheme="minorHAnsi"/>
        </w:rPr>
        <w:t xml:space="preserve">, </w:t>
      </w:r>
      <w:proofErr w:type="gramStart"/>
      <w:r w:rsidR="00BC6781">
        <w:rPr>
          <w:rFonts w:cstheme="minorHAnsi"/>
        </w:rPr>
        <w:t>bills</w:t>
      </w:r>
      <w:proofErr w:type="gramEnd"/>
      <w:r w:rsidRPr="00F81ADB">
        <w:rPr>
          <w:rFonts w:cstheme="minorHAnsi"/>
        </w:rPr>
        <w:t xml:space="preserve"> and possible opportunities to reduce both energy consumption and bills. </w:t>
      </w:r>
      <w:r w:rsidR="00A00D1E">
        <w:rPr>
          <w:rFonts w:cstheme="minorHAnsi"/>
        </w:rPr>
        <w:t xml:space="preserve">The </w:t>
      </w:r>
      <w:r w:rsidR="00BE048C">
        <w:rPr>
          <w:rFonts w:cstheme="minorHAnsi"/>
        </w:rPr>
        <w:t>program mandates p</w:t>
      </w:r>
      <w:r w:rsidRPr="00F81ADB">
        <w:rPr>
          <w:rFonts w:cstheme="minorHAnsi"/>
        </w:rPr>
        <w:t>ublic disclosure of energy efficiency to prospective buyers and tenants of the building</w:t>
      </w:r>
      <w:r w:rsidR="00377FC3">
        <w:rPr>
          <w:rFonts w:cstheme="minorHAnsi"/>
        </w:rPr>
        <w:t>, and</w:t>
      </w:r>
      <w:r w:rsidRPr="00F81ADB">
        <w:rPr>
          <w:rFonts w:cstheme="minorHAnsi"/>
        </w:rPr>
        <w:t xml:space="preserve"> incentivises building owners to improve their efficiency, driven through market competition. </w:t>
      </w:r>
      <w:r w:rsidR="00717991">
        <w:rPr>
          <w:rFonts w:cstheme="minorHAnsi"/>
        </w:rPr>
        <w:t xml:space="preserve">The program has been </w:t>
      </w:r>
      <w:r w:rsidR="003A3E22">
        <w:rPr>
          <w:rFonts w:cstheme="minorHAnsi"/>
        </w:rPr>
        <w:t xml:space="preserve">very successful to date, with NABERS reporting a 29 per cent improvement in energy intensity </w:t>
      </w:r>
      <w:r w:rsidR="001328D6">
        <w:rPr>
          <w:rFonts w:cstheme="minorHAnsi"/>
        </w:rPr>
        <w:t>for buildings covered under the program.</w:t>
      </w:r>
    </w:p>
    <w:p w14:paraId="383B6B4E" w14:textId="74A27F46" w:rsidR="007C1EF4" w:rsidRPr="00F81ADB" w:rsidRDefault="00D93183" w:rsidP="00C62EF7">
      <w:pPr>
        <w:pStyle w:val="BodyBullet"/>
        <w:jc w:val="left"/>
        <w:rPr>
          <w:rFonts w:cstheme="minorHAnsi"/>
        </w:rPr>
      </w:pPr>
      <w:r w:rsidRPr="00F81ADB">
        <w:rPr>
          <w:rFonts w:cstheme="minorHAnsi"/>
        </w:rPr>
        <w:t xml:space="preserve">In Australia, </w:t>
      </w:r>
      <w:r w:rsidR="005F6722" w:rsidRPr="00F81ADB">
        <w:rPr>
          <w:rFonts w:cstheme="minorHAnsi"/>
        </w:rPr>
        <w:t xml:space="preserve">non-residential </w:t>
      </w:r>
      <w:r w:rsidRPr="00F81ADB">
        <w:rPr>
          <w:rFonts w:cstheme="minorHAnsi"/>
        </w:rPr>
        <w:t xml:space="preserve">buildings </w:t>
      </w:r>
      <w:r w:rsidR="00CA5928" w:rsidRPr="00F81ADB">
        <w:rPr>
          <w:rFonts w:cstheme="minorHAnsi"/>
        </w:rPr>
        <w:t>contribute</w:t>
      </w:r>
      <w:r w:rsidRPr="00F81ADB">
        <w:rPr>
          <w:rFonts w:cstheme="minorHAnsi"/>
        </w:rPr>
        <w:t xml:space="preserve"> around </w:t>
      </w:r>
      <w:r w:rsidR="00ED5175" w:rsidRPr="00F81ADB">
        <w:rPr>
          <w:rFonts w:cstheme="minorHAnsi"/>
        </w:rPr>
        <w:t>10</w:t>
      </w:r>
      <w:r w:rsidRPr="00F81ADB">
        <w:rPr>
          <w:rFonts w:cstheme="minorHAnsi"/>
        </w:rPr>
        <w:t xml:space="preserve"> per cent of </w:t>
      </w:r>
      <w:r w:rsidR="00FD5EDD" w:rsidRPr="00F81ADB">
        <w:rPr>
          <w:rFonts w:cstheme="minorHAnsi"/>
        </w:rPr>
        <w:t>total emissions in the economy</w:t>
      </w:r>
      <w:r w:rsidR="00CA5928" w:rsidRPr="00F81ADB">
        <w:rPr>
          <w:rFonts w:cstheme="minorHAnsi"/>
        </w:rPr>
        <w:t xml:space="preserve">, </w:t>
      </w:r>
      <w:r w:rsidR="00A66335">
        <w:rPr>
          <w:rFonts w:cstheme="minorHAnsi"/>
        </w:rPr>
        <w:t xml:space="preserve">most of this outside the office sub-sector, </w:t>
      </w:r>
      <w:r w:rsidR="00CA5928" w:rsidRPr="00F81ADB">
        <w:rPr>
          <w:rFonts w:cstheme="minorHAnsi"/>
        </w:rPr>
        <w:t xml:space="preserve">representing a significant opportunity to </w:t>
      </w:r>
      <w:r w:rsidR="005B6ABF" w:rsidRPr="00F81ADB">
        <w:rPr>
          <w:rFonts w:cstheme="minorHAnsi"/>
        </w:rPr>
        <w:t>decarbonise</w:t>
      </w:r>
      <w:r w:rsidR="00F0022F" w:rsidRPr="00F81ADB">
        <w:rPr>
          <w:rFonts w:cstheme="minorHAnsi"/>
        </w:rPr>
        <w:t xml:space="preserve">. </w:t>
      </w:r>
      <w:r w:rsidR="002B30F4" w:rsidRPr="00F81ADB">
        <w:rPr>
          <w:rFonts w:cstheme="minorHAnsi"/>
        </w:rPr>
        <w:t>From a regulatory perspective, e</w:t>
      </w:r>
      <w:r w:rsidR="005C55C0" w:rsidRPr="00F81ADB">
        <w:rPr>
          <w:rFonts w:cstheme="minorHAnsi"/>
        </w:rPr>
        <w:t xml:space="preserve">nergy efficiency in commercial buildings have largely been driven by </w:t>
      </w:r>
      <w:r w:rsidR="00896228" w:rsidRPr="00F81ADB">
        <w:rPr>
          <w:rFonts w:cstheme="minorHAnsi"/>
        </w:rPr>
        <w:t xml:space="preserve">a set of requirements across </w:t>
      </w:r>
      <w:r w:rsidR="005C55C0" w:rsidRPr="00F81ADB">
        <w:rPr>
          <w:rFonts w:cstheme="minorHAnsi"/>
        </w:rPr>
        <w:t>the</w:t>
      </w:r>
      <w:r w:rsidR="002B30F4" w:rsidRPr="00F81ADB">
        <w:rPr>
          <w:rFonts w:cstheme="minorHAnsi"/>
        </w:rPr>
        <w:t xml:space="preserve"> </w:t>
      </w:r>
      <w:r w:rsidR="006F2403" w:rsidRPr="00F81ADB">
        <w:rPr>
          <w:rFonts w:cstheme="minorHAnsi"/>
        </w:rPr>
        <w:t xml:space="preserve">National Construction </w:t>
      </w:r>
      <w:r w:rsidR="00EB74E3">
        <w:rPr>
          <w:rFonts w:cstheme="minorHAnsi"/>
        </w:rPr>
        <w:t>C</w:t>
      </w:r>
      <w:r w:rsidR="006F2403" w:rsidRPr="00F81ADB">
        <w:rPr>
          <w:rFonts w:cstheme="minorHAnsi"/>
        </w:rPr>
        <w:t>ode (</w:t>
      </w:r>
      <w:proofErr w:type="spellStart"/>
      <w:r w:rsidR="006F2403" w:rsidRPr="00F81ADB">
        <w:rPr>
          <w:rFonts w:cstheme="minorHAnsi"/>
        </w:rPr>
        <w:t>NCC</w:t>
      </w:r>
      <w:proofErr w:type="spellEnd"/>
      <w:r w:rsidR="006F2403" w:rsidRPr="00F81ADB">
        <w:rPr>
          <w:rFonts w:cstheme="minorHAnsi"/>
        </w:rPr>
        <w:t xml:space="preserve">), the CBD </w:t>
      </w:r>
      <w:r w:rsidR="005A5CE4" w:rsidRPr="00F81ADB">
        <w:rPr>
          <w:rFonts w:cstheme="minorHAnsi"/>
        </w:rPr>
        <w:t xml:space="preserve">program, </w:t>
      </w:r>
      <w:r w:rsidR="00567300" w:rsidRPr="00F81ADB">
        <w:rPr>
          <w:rFonts w:cstheme="minorHAnsi"/>
        </w:rPr>
        <w:t xml:space="preserve">and the </w:t>
      </w:r>
      <w:r w:rsidR="00567300" w:rsidRPr="00974776">
        <w:rPr>
          <w:rFonts w:cstheme="minorHAnsi"/>
          <w:i/>
          <w:iCs/>
        </w:rPr>
        <w:t>Greenhouse and Energy Minimum Standards Ac</w:t>
      </w:r>
      <w:r w:rsidR="00A57958" w:rsidRPr="00974776">
        <w:rPr>
          <w:rFonts w:cstheme="minorHAnsi"/>
          <w:i/>
          <w:iCs/>
        </w:rPr>
        <w:t>t</w:t>
      </w:r>
      <w:r w:rsidR="009E03BB" w:rsidRPr="00974776">
        <w:rPr>
          <w:rFonts w:cstheme="minorHAnsi"/>
          <w:i/>
          <w:iCs/>
        </w:rPr>
        <w:t xml:space="preserve"> 2012</w:t>
      </w:r>
      <w:r w:rsidR="00567300" w:rsidRPr="00F81ADB">
        <w:rPr>
          <w:rFonts w:cstheme="minorHAnsi"/>
        </w:rPr>
        <w:t xml:space="preserve"> (GEMS Act)</w:t>
      </w:r>
      <w:r w:rsidR="00896228" w:rsidRPr="00F81ADB">
        <w:rPr>
          <w:rFonts w:cstheme="minorHAnsi"/>
        </w:rPr>
        <w:t xml:space="preserve">, and a range of incentives </w:t>
      </w:r>
      <w:r w:rsidR="003737D8" w:rsidRPr="00F81ADB">
        <w:rPr>
          <w:rFonts w:cstheme="minorHAnsi"/>
        </w:rPr>
        <w:t>offered by both state and territory governments including white label energy efficiency schemes</w:t>
      </w:r>
      <w:r w:rsidR="00914A5B" w:rsidRPr="00F81ADB">
        <w:rPr>
          <w:rFonts w:cstheme="minorHAnsi"/>
        </w:rPr>
        <w:t xml:space="preserve">. These regulatory </w:t>
      </w:r>
      <w:r w:rsidR="003737D8" w:rsidRPr="00F81ADB">
        <w:rPr>
          <w:rFonts w:cstheme="minorHAnsi"/>
        </w:rPr>
        <w:t xml:space="preserve">programs are complemented by </w:t>
      </w:r>
      <w:proofErr w:type="gramStart"/>
      <w:r w:rsidR="00914A5B" w:rsidRPr="00F81ADB">
        <w:rPr>
          <w:rFonts w:cstheme="minorHAnsi"/>
        </w:rPr>
        <w:t>a number of</w:t>
      </w:r>
      <w:proofErr w:type="gramEnd"/>
      <w:r w:rsidR="00914A5B" w:rsidRPr="00F81ADB">
        <w:rPr>
          <w:rFonts w:cstheme="minorHAnsi"/>
        </w:rPr>
        <w:t xml:space="preserve"> voluntary programs such as NA</w:t>
      </w:r>
      <w:r w:rsidR="00896228" w:rsidRPr="00F81ADB">
        <w:rPr>
          <w:rFonts w:cstheme="minorHAnsi"/>
        </w:rPr>
        <w:t>B</w:t>
      </w:r>
      <w:r w:rsidR="00914A5B" w:rsidRPr="00F81ADB">
        <w:rPr>
          <w:rFonts w:cstheme="minorHAnsi"/>
        </w:rPr>
        <w:t>ER</w:t>
      </w:r>
      <w:r w:rsidR="003737D8" w:rsidRPr="00F81ADB">
        <w:rPr>
          <w:rFonts w:cstheme="minorHAnsi"/>
        </w:rPr>
        <w:t>S</w:t>
      </w:r>
      <w:r w:rsidR="00914A5B" w:rsidRPr="00F81ADB">
        <w:rPr>
          <w:rFonts w:cstheme="minorHAnsi"/>
        </w:rPr>
        <w:t>, Climate Active and the Green</w:t>
      </w:r>
      <w:r w:rsidR="00CF0C55" w:rsidRPr="00F81ADB">
        <w:rPr>
          <w:rFonts w:cstheme="minorHAnsi"/>
        </w:rPr>
        <w:t xml:space="preserve"> Star rating scheme. </w:t>
      </w:r>
      <w:r w:rsidR="00636F60" w:rsidRPr="00F81ADB">
        <w:rPr>
          <w:rFonts w:cstheme="minorHAnsi"/>
        </w:rPr>
        <w:t>The inclusion of emissions reduction objectives</w:t>
      </w:r>
      <w:r w:rsidR="0035291E" w:rsidRPr="00F81ADB">
        <w:rPr>
          <w:rFonts w:cstheme="minorHAnsi"/>
        </w:rPr>
        <w:t xml:space="preserve"> </w:t>
      </w:r>
      <w:r w:rsidR="00EC38AD" w:rsidRPr="00F81ADB">
        <w:rPr>
          <w:rFonts w:cstheme="minorHAnsi"/>
        </w:rPr>
        <w:t xml:space="preserve">in legislation, </w:t>
      </w:r>
      <w:r w:rsidR="00484584">
        <w:rPr>
          <w:rFonts w:cstheme="minorHAnsi"/>
        </w:rPr>
        <w:t xml:space="preserve">and </w:t>
      </w:r>
      <w:r w:rsidR="00EC38AD" w:rsidRPr="00F81ADB">
        <w:rPr>
          <w:rFonts w:cstheme="minorHAnsi"/>
        </w:rPr>
        <w:t xml:space="preserve">the </w:t>
      </w:r>
      <w:r w:rsidR="00484584">
        <w:rPr>
          <w:rFonts w:cstheme="minorHAnsi"/>
        </w:rPr>
        <w:t>forthcoming</w:t>
      </w:r>
      <w:r w:rsidR="00EC38AD">
        <w:rPr>
          <w:rFonts w:cstheme="minorHAnsi"/>
        </w:rPr>
        <w:t xml:space="preserve"> </w:t>
      </w:r>
      <w:r w:rsidR="00EC38AD" w:rsidRPr="00F81ADB">
        <w:rPr>
          <w:rFonts w:cstheme="minorHAnsi"/>
        </w:rPr>
        <w:t>National Energy Performance Strategy</w:t>
      </w:r>
      <w:r w:rsidR="00EC38AD">
        <w:rPr>
          <w:rFonts w:cstheme="minorHAnsi"/>
        </w:rPr>
        <w:t xml:space="preserve"> and </w:t>
      </w:r>
      <w:r w:rsidR="00841887">
        <w:rPr>
          <w:rFonts w:cstheme="minorHAnsi"/>
        </w:rPr>
        <w:t>s</w:t>
      </w:r>
      <w:r w:rsidR="00EC38AD">
        <w:rPr>
          <w:rFonts w:cstheme="minorHAnsi"/>
        </w:rPr>
        <w:t xml:space="preserve">ectoral </w:t>
      </w:r>
      <w:r w:rsidR="006A0CF6">
        <w:rPr>
          <w:rFonts w:cstheme="minorHAnsi"/>
        </w:rPr>
        <w:t xml:space="preserve">decarbonisation plan for </w:t>
      </w:r>
      <w:r w:rsidR="00E83614">
        <w:rPr>
          <w:rFonts w:cstheme="minorHAnsi"/>
        </w:rPr>
        <w:t>the built environment</w:t>
      </w:r>
      <w:r w:rsidR="00D61809">
        <w:rPr>
          <w:rFonts w:cstheme="minorHAnsi"/>
        </w:rPr>
        <w:t>,</w:t>
      </w:r>
      <w:r w:rsidR="00EC38AD">
        <w:rPr>
          <w:rFonts w:cstheme="minorHAnsi"/>
        </w:rPr>
        <w:t xml:space="preserve"> </w:t>
      </w:r>
      <w:r w:rsidR="00EC38AD" w:rsidRPr="00F81ADB">
        <w:rPr>
          <w:rFonts w:cstheme="minorHAnsi"/>
        </w:rPr>
        <w:t xml:space="preserve">provides a good opportunity </w:t>
      </w:r>
      <w:r w:rsidR="00970013" w:rsidRPr="00F81ADB">
        <w:rPr>
          <w:rFonts w:cstheme="minorHAnsi"/>
        </w:rPr>
        <w:t xml:space="preserve">build on </w:t>
      </w:r>
      <w:r w:rsidR="00E147F3">
        <w:rPr>
          <w:rFonts w:cstheme="minorHAnsi"/>
        </w:rPr>
        <w:t>Australia’s</w:t>
      </w:r>
      <w:r w:rsidR="00A7106B">
        <w:rPr>
          <w:rFonts w:cstheme="minorHAnsi"/>
        </w:rPr>
        <w:t xml:space="preserve"> </w:t>
      </w:r>
      <w:r w:rsidR="00A7106B" w:rsidRPr="00F81ADB">
        <w:rPr>
          <w:rFonts w:cstheme="minorHAnsi"/>
        </w:rPr>
        <w:t xml:space="preserve">successful regulatory </w:t>
      </w:r>
      <w:r w:rsidR="00A30D69" w:rsidRPr="00F81ADB">
        <w:rPr>
          <w:rFonts w:cstheme="minorHAnsi"/>
        </w:rPr>
        <w:t>foundation.</w:t>
      </w:r>
    </w:p>
    <w:p w14:paraId="6D2D3376" w14:textId="77777777" w:rsidR="007C1EF4" w:rsidRPr="00A6343A" w:rsidRDefault="007C1EF4" w:rsidP="00A253E6">
      <w:pPr>
        <w:pStyle w:val="Heading3"/>
        <w:rPr>
          <w:rFonts w:asciiTheme="minorHAnsi" w:hAnsiTheme="minorHAnsi" w:cstheme="minorHAnsi"/>
        </w:rPr>
      </w:pPr>
      <w:r w:rsidRPr="00A6343A">
        <w:rPr>
          <w:rFonts w:asciiTheme="minorHAnsi" w:hAnsiTheme="minorHAnsi" w:cstheme="minorHAnsi"/>
        </w:rPr>
        <w:t>International trends</w:t>
      </w:r>
    </w:p>
    <w:p w14:paraId="27D47C65" w14:textId="3238B0B6" w:rsidR="007C1EF4" w:rsidRDefault="00847170" w:rsidP="00632A2A">
      <w:pPr>
        <w:pStyle w:val="BodyBullet"/>
        <w:rPr>
          <w:rFonts w:cstheme="minorHAnsi"/>
        </w:rPr>
      </w:pPr>
      <w:r w:rsidRPr="00F81ADB">
        <w:rPr>
          <w:rFonts w:cstheme="minorHAnsi"/>
        </w:rPr>
        <w:t>Government policy around commercial building e</w:t>
      </w:r>
      <w:r w:rsidR="00131C2F" w:rsidRPr="00F81ADB">
        <w:rPr>
          <w:rFonts w:cstheme="minorHAnsi"/>
        </w:rPr>
        <w:t xml:space="preserve">nergy </w:t>
      </w:r>
      <w:r w:rsidRPr="00F81ADB">
        <w:rPr>
          <w:rFonts w:cstheme="minorHAnsi"/>
        </w:rPr>
        <w:t>e</w:t>
      </w:r>
      <w:r w:rsidR="00131C2F" w:rsidRPr="00F81ADB">
        <w:rPr>
          <w:rFonts w:cstheme="minorHAnsi"/>
        </w:rPr>
        <w:t xml:space="preserve">fficiency </w:t>
      </w:r>
      <w:r w:rsidRPr="00F81ADB">
        <w:rPr>
          <w:rFonts w:cstheme="minorHAnsi"/>
        </w:rPr>
        <w:t xml:space="preserve">have been accelerating in </w:t>
      </w:r>
      <w:r w:rsidR="004E5CF1" w:rsidRPr="00F81ADB">
        <w:rPr>
          <w:rFonts w:cstheme="minorHAnsi"/>
        </w:rPr>
        <w:t>several</w:t>
      </w:r>
      <w:r w:rsidRPr="00F81ADB">
        <w:rPr>
          <w:rFonts w:cstheme="minorHAnsi"/>
        </w:rPr>
        <w:t xml:space="preserve"> countries internationally</w:t>
      </w:r>
      <w:r w:rsidR="00357ADA" w:rsidRPr="00F81ADB">
        <w:rPr>
          <w:rFonts w:cstheme="minorHAnsi"/>
        </w:rPr>
        <w:t>. Europe</w:t>
      </w:r>
      <w:proofErr w:type="gramStart"/>
      <w:r w:rsidR="00D52B3C" w:rsidRPr="00F81ADB">
        <w:rPr>
          <w:rFonts w:cstheme="minorHAnsi"/>
        </w:rPr>
        <w:t>,</w:t>
      </w:r>
      <w:r w:rsidR="00357ADA" w:rsidRPr="00F81ADB">
        <w:rPr>
          <w:rFonts w:cstheme="minorHAnsi"/>
        </w:rPr>
        <w:t xml:space="preserve"> in particular</w:t>
      </w:r>
      <w:r w:rsidR="00D52B3C" w:rsidRPr="00F81ADB">
        <w:rPr>
          <w:rFonts w:cstheme="minorHAnsi"/>
        </w:rPr>
        <w:t>,</w:t>
      </w:r>
      <w:r w:rsidR="00C115F6" w:rsidRPr="00F81ADB">
        <w:rPr>
          <w:rFonts w:cstheme="minorHAnsi"/>
        </w:rPr>
        <w:t xml:space="preserve"> has</w:t>
      </w:r>
      <w:proofErr w:type="gramEnd"/>
      <w:r w:rsidR="00C115F6" w:rsidRPr="00F81ADB">
        <w:rPr>
          <w:rFonts w:cstheme="minorHAnsi"/>
        </w:rPr>
        <w:t xml:space="preserve"> made </w:t>
      </w:r>
      <w:r w:rsidR="00FB087E" w:rsidRPr="00F81ADB">
        <w:rPr>
          <w:rFonts w:cstheme="minorHAnsi"/>
        </w:rPr>
        <w:t xml:space="preserve">a concerted effort to introduce disclosure requirements, </w:t>
      </w:r>
      <w:proofErr w:type="spellStart"/>
      <w:r w:rsidR="00FB087E" w:rsidRPr="00F81ADB">
        <w:rPr>
          <w:rFonts w:cstheme="minorHAnsi"/>
        </w:rPr>
        <w:t>MEPS</w:t>
      </w:r>
      <w:proofErr w:type="spellEnd"/>
      <w:r w:rsidR="00FB087E" w:rsidRPr="00F81ADB">
        <w:rPr>
          <w:rFonts w:cstheme="minorHAnsi"/>
        </w:rPr>
        <w:t xml:space="preserve"> and </w:t>
      </w:r>
      <w:r w:rsidR="00013E5C" w:rsidRPr="00F81ADB">
        <w:rPr>
          <w:rFonts w:cstheme="minorHAnsi"/>
        </w:rPr>
        <w:t>fossil fuel boiler phase</w:t>
      </w:r>
      <w:r w:rsidR="00D610DA" w:rsidRPr="00F81ADB">
        <w:rPr>
          <w:rFonts w:cstheme="minorHAnsi"/>
        </w:rPr>
        <w:t>-</w:t>
      </w:r>
      <w:r w:rsidR="00013E5C" w:rsidRPr="00F81ADB">
        <w:rPr>
          <w:rFonts w:cstheme="minorHAnsi"/>
        </w:rPr>
        <w:t xml:space="preserve">outs. These policies have often been introduced across </w:t>
      </w:r>
      <w:r w:rsidR="00D40DF9" w:rsidRPr="00F81ADB">
        <w:rPr>
          <w:rFonts w:cstheme="minorHAnsi"/>
        </w:rPr>
        <w:t>a broader non-residential</w:t>
      </w:r>
      <w:r w:rsidR="00013E5C" w:rsidRPr="00F81ADB">
        <w:rPr>
          <w:rFonts w:cstheme="minorHAnsi"/>
        </w:rPr>
        <w:t xml:space="preserve"> building stock, rather than just focussed on offices </w:t>
      </w:r>
      <w:r w:rsidR="003D02EB" w:rsidRPr="00F81ADB">
        <w:rPr>
          <w:rFonts w:cstheme="minorHAnsi"/>
        </w:rPr>
        <w:t xml:space="preserve">which is the current scope of the CBD program. These policies are </w:t>
      </w:r>
      <w:r w:rsidR="005C65D9" w:rsidRPr="00F81ADB">
        <w:rPr>
          <w:rFonts w:cstheme="minorHAnsi"/>
        </w:rPr>
        <w:t xml:space="preserve">often introduced as part of </w:t>
      </w:r>
      <w:r w:rsidR="00042F21" w:rsidRPr="00F81ADB">
        <w:rPr>
          <w:rFonts w:cstheme="minorHAnsi"/>
        </w:rPr>
        <w:t>wider building efficiency and emissions</w:t>
      </w:r>
      <w:r w:rsidR="005C65D9" w:rsidRPr="00F81ADB">
        <w:rPr>
          <w:rFonts w:cstheme="minorHAnsi"/>
        </w:rPr>
        <w:t xml:space="preserve"> reform package</w:t>
      </w:r>
      <w:r w:rsidR="00042F21" w:rsidRPr="00F81ADB">
        <w:rPr>
          <w:rFonts w:cstheme="minorHAnsi"/>
        </w:rPr>
        <w:t>s</w:t>
      </w:r>
      <w:r w:rsidR="005C65D9" w:rsidRPr="00F81ADB">
        <w:rPr>
          <w:rFonts w:cstheme="minorHAnsi"/>
        </w:rPr>
        <w:t xml:space="preserve">, including providing </w:t>
      </w:r>
      <w:r w:rsidR="00CC27A3" w:rsidRPr="00F81ADB">
        <w:rPr>
          <w:rFonts w:cstheme="minorHAnsi"/>
        </w:rPr>
        <w:t xml:space="preserve">support to building owners and </w:t>
      </w:r>
      <w:r w:rsidR="007A5D98" w:rsidRPr="00F81ADB">
        <w:rPr>
          <w:rFonts w:cstheme="minorHAnsi"/>
        </w:rPr>
        <w:t>tenants.</w:t>
      </w:r>
      <w:r w:rsidR="00770ED0" w:rsidRPr="00F81ADB">
        <w:rPr>
          <w:rFonts w:cstheme="minorHAnsi"/>
        </w:rPr>
        <w:t xml:space="preserve"> While the scale of the regulation being implemented internationally is larger than that currently in place in Australia, the reliance on attribute compliance measurement </w:t>
      </w:r>
      <w:r w:rsidR="006B275C" w:rsidRPr="00F81ADB">
        <w:rPr>
          <w:rFonts w:cstheme="minorHAnsi"/>
        </w:rPr>
        <w:t xml:space="preserve">(which is easier to implement at scale) has </w:t>
      </w:r>
      <w:r w:rsidR="00E37BDF">
        <w:rPr>
          <w:rFonts w:cstheme="minorHAnsi"/>
        </w:rPr>
        <w:t>likely limited</w:t>
      </w:r>
      <w:r w:rsidR="006B275C">
        <w:rPr>
          <w:rFonts w:cstheme="minorHAnsi"/>
        </w:rPr>
        <w:t xml:space="preserve"> </w:t>
      </w:r>
      <w:r w:rsidR="006B275C" w:rsidRPr="00F81ADB">
        <w:rPr>
          <w:rFonts w:cstheme="minorHAnsi"/>
        </w:rPr>
        <w:t>effectiveness. Many countries are now opting for performance</w:t>
      </w:r>
      <w:r w:rsidR="0013461C">
        <w:rPr>
          <w:rFonts w:cstheme="minorHAnsi"/>
        </w:rPr>
        <w:t>-</w:t>
      </w:r>
      <w:r w:rsidR="006B275C" w:rsidRPr="00F81ADB">
        <w:rPr>
          <w:rFonts w:cstheme="minorHAnsi"/>
        </w:rPr>
        <w:t xml:space="preserve">based compliance measurement </w:t>
      </w:r>
      <w:r w:rsidR="000C4FD5">
        <w:rPr>
          <w:rFonts w:cstheme="minorHAnsi"/>
        </w:rPr>
        <w:t>(like NABERS)</w:t>
      </w:r>
      <w:r w:rsidR="006B275C" w:rsidRPr="00F81ADB">
        <w:rPr>
          <w:rFonts w:cstheme="minorHAnsi"/>
        </w:rPr>
        <w:t xml:space="preserve"> as it is seen to be more effective (though </w:t>
      </w:r>
      <w:r w:rsidR="00B9220B">
        <w:rPr>
          <w:rFonts w:cstheme="minorHAnsi"/>
        </w:rPr>
        <w:t>it requires greater attention to phasing</w:t>
      </w:r>
      <w:r w:rsidR="006B275C">
        <w:rPr>
          <w:rFonts w:cstheme="minorHAnsi"/>
        </w:rPr>
        <w:t xml:space="preserve"> to </w:t>
      </w:r>
      <w:r w:rsidR="006B275C" w:rsidRPr="00F81ADB">
        <w:rPr>
          <w:rFonts w:cstheme="minorHAnsi"/>
        </w:rPr>
        <w:t>implement at scale).</w:t>
      </w:r>
    </w:p>
    <w:p w14:paraId="2EB807D8" w14:textId="468396B8" w:rsidR="00A110CF" w:rsidRDefault="00A110CF">
      <w:pPr>
        <w:spacing w:before="0" w:after="160" w:line="259" w:lineRule="auto"/>
        <w:rPr>
          <w:rFonts w:asciiTheme="minorHAnsi" w:hAnsiTheme="minorHAnsi" w:cstheme="minorHAnsi"/>
        </w:rPr>
      </w:pPr>
    </w:p>
    <w:p w14:paraId="14ABA3CB" w14:textId="77777777" w:rsidR="00E806CC" w:rsidRDefault="00E806CC">
      <w:pPr>
        <w:spacing w:before="0" w:after="160" w:line="259" w:lineRule="auto"/>
        <w:rPr>
          <w:rFonts w:asciiTheme="minorHAnsi" w:hAnsiTheme="minorHAnsi" w:cstheme="minorHAnsi"/>
        </w:rPr>
      </w:pPr>
    </w:p>
    <w:p w14:paraId="36ABC212" w14:textId="77777777" w:rsidR="00E806CC" w:rsidRDefault="00E806CC" w:rsidP="00E806CC">
      <w:pPr>
        <w:pStyle w:val="CVHeading"/>
        <w:rPr>
          <w:rFonts w:asciiTheme="minorHAnsi" w:hAnsiTheme="minorHAnsi" w:cstheme="minorHAnsi"/>
          <w:b w:val="0"/>
          <w:bCs w:val="0"/>
          <w:i/>
          <w:iCs/>
          <w:sz w:val="18"/>
          <w:szCs w:val="18"/>
        </w:rPr>
      </w:pPr>
    </w:p>
    <w:p w14:paraId="1E40160C" w14:textId="25314746" w:rsidR="00E806CC" w:rsidRPr="00EC2C49" w:rsidRDefault="00E806CC" w:rsidP="00EC2C49">
      <w:pPr>
        <w:pStyle w:val="Caption"/>
        <w:keepNext/>
        <w:spacing w:after="120"/>
        <w:rPr>
          <w:rFonts w:ascii="Calibri" w:eastAsia="Times New Roman" w:hAnsi="Calibri" w:cs="Times New Roman"/>
          <w:b/>
          <w:bCs/>
          <w:i w:val="0"/>
          <w:iCs w:val="0"/>
          <w:color w:val="auto"/>
          <w:sz w:val="24"/>
        </w:rPr>
      </w:pPr>
      <w:bookmarkStart w:id="8" w:name="_Ref157675625"/>
      <w:bookmarkStart w:id="9" w:name="_Toc157687008"/>
      <w:r w:rsidRPr="00EC2C49">
        <w:rPr>
          <w:rFonts w:ascii="Calibri" w:eastAsia="Times New Roman" w:hAnsi="Calibri" w:cs="Times New Roman"/>
          <w:b/>
          <w:bCs/>
          <w:i w:val="0"/>
          <w:iCs w:val="0"/>
          <w:color w:val="auto"/>
          <w:sz w:val="24"/>
        </w:rPr>
        <w:t xml:space="preserve">Figure </w:t>
      </w:r>
      <w:r w:rsidRPr="00EC2C49">
        <w:rPr>
          <w:rFonts w:ascii="Calibri" w:eastAsia="Times New Roman" w:hAnsi="Calibri" w:cs="Times New Roman"/>
          <w:b/>
          <w:bCs/>
          <w:i w:val="0"/>
          <w:iCs w:val="0"/>
          <w:color w:val="auto"/>
          <w:sz w:val="24"/>
        </w:rPr>
        <w:fldChar w:fldCharType="begin"/>
      </w:r>
      <w:r w:rsidRPr="00EC2C49">
        <w:rPr>
          <w:rFonts w:ascii="Calibri" w:eastAsia="Times New Roman" w:hAnsi="Calibri" w:cs="Times New Roman"/>
          <w:b/>
          <w:bCs/>
          <w:i w:val="0"/>
          <w:iCs w:val="0"/>
          <w:color w:val="auto"/>
          <w:sz w:val="24"/>
        </w:rPr>
        <w:instrText xml:space="preserve"> SEQ Figure \* ARABIC </w:instrText>
      </w:r>
      <w:r w:rsidRPr="00EC2C49">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3</w:t>
      </w:r>
      <w:r w:rsidRPr="00EC2C49">
        <w:rPr>
          <w:rFonts w:ascii="Calibri" w:eastAsia="Times New Roman" w:hAnsi="Calibri" w:cs="Times New Roman"/>
          <w:b/>
          <w:bCs/>
          <w:i w:val="0"/>
          <w:iCs w:val="0"/>
          <w:color w:val="auto"/>
          <w:sz w:val="24"/>
        </w:rPr>
        <w:fldChar w:fldCharType="end"/>
      </w:r>
      <w:bookmarkEnd w:id="8"/>
      <w:r w:rsidRPr="00EC2C49">
        <w:rPr>
          <w:rFonts w:ascii="Calibri" w:eastAsia="Times New Roman" w:hAnsi="Calibri" w:cs="Times New Roman"/>
          <w:b/>
          <w:bCs/>
          <w:i w:val="0"/>
          <w:iCs w:val="0"/>
          <w:color w:val="auto"/>
          <w:sz w:val="24"/>
        </w:rPr>
        <w:t xml:space="preserve">:  High level overview of building energy global disclosure </w:t>
      </w:r>
      <w:proofErr w:type="gramStart"/>
      <w:r w:rsidRPr="00EC2C49">
        <w:rPr>
          <w:rFonts w:ascii="Calibri" w:eastAsia="Times New Roman" w:hAnsi="Calibri" w:cs="Times New Roman"/>
          <w:b/>
          <w:bCs/>
          <w:i w:val="0"/>
          <w:iCs w:val="0"/>
          <w:color w:val="auto"/>
          <w:sz w:val="24"/>
        </w:rPr>
        <w:t>requirements</w:t>
      </w:r>
      <w:bookmarkEnd w:id="9"/>
      <w:proofErr w:type="gramEnd"/>
      <w:r w:rsidRPr="00EC2C49">
        <w:rPr>
          <w:rFonts w:ascii="Calibri" w:eastAsia="Times New Roman" w:hAnsi="Calibri" w:cs="Times New Roman"/>
          <w:b/>
          <w:bCs/>
          <w:i w:val="0"/>
          <w:iCs w:val="0"/>
          <w:color w:val="auto"/>
          <w:sz w:val="24"/>
        </w:rPr>
        <w:t xml:space="preserve"> </w:t>
      </w:r>
    </w:p>
    <w:p w14:paraId="403B52F2" w14:textId="25E45B93" w:rsidR="007C1EF4" w:rsidRPr="00F81ADB" w:rsidRDefault="00C552AB" w:rsidP="00FD339C">
      <w:pPr>
        <w:pStyle w:val="Caption"/>
        <w:rPr>
          <w:rFonts w:cstheme="minorHAnsi"/>
        </w:rPr>
      </w:pPr>
      <w:r>
        <w:rPr>
          <w:rFonts w:ascii="Calibri" w:eastAsia="Times New Roman" w:hAnsi="Calibri" w:cs="Times New Roman"/>
          <w:b/>
          <w:bCs/>
          <w:i w:val="0"/>
          <w:iCs w:val="0"/>
          <w:noProof/>
          <w:color w:val="auto"/>
          <w:sz w:val="24"/>
        </w:rPr>
        <w:drawing>
          <wp:inline distT="0" distB="0" distL="0" distR="0" wp14:anchorId="4499CB3A" wp14:editId="1A9129E0">
            <wp:extent cx="6326329" cy="3727502"/>
            <wp:effectExtent l="0" t="0" r="0" b="6350"/>
            <wp:docPr id="445498380" name="Picture 445498380" descr="A map of the world with building energy global requirements listed in major countries. Details presented in map is presented in Appendix 11 Tabl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8380" name="Picture 445498380" descr="A map of the world with building energy global requirements listed in major countries. Details presented in map is presented in Appendix 11 Tabl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7148" cy="3733876"/>
                    </a:xfrm>
                    <a:prstGeom prst="rect">
                      <a:avLst/>
                    </a:prstGeom>
                    <a:noFill/>
                  </pic:spPr>
                </pic:pic>
              </a:graphicData>
            </a:graphic>
          </wp:inline>
        </w:drawing>
      </w:r>
    </w:p>
    <w:p w14:paraId="21DE4DAC" w14:textId="0D86F5A0" w:rsidR="00E34688" w:rsidRDefault="00E34688" w:rsidP="00E34688">
      <w:pPr>
        <w:pStyle w:val="BodyText"/>
        <w:spacing w:after="0"/>
        <w:rPr>
          <w:rFonts w:asciiTheme="minorHAnsi" w:hAnsiTheme="minorHAnsi" w:cstheme="minorHAnsi"/>
        </w:rPr>
      </w:pPr>
      <w:hyperlink w:anchor="_Table_33:_Details"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sidR="000F48A1">
          <w:rPr>
            <w:rStyle w:val="Hyperlink"/>
            <w:rFonts w:asciiTheme="minorHAnsi" w:hAnsiTheme="minorHAnsi" w:cstheme="minorHAnsi"/>
          </w:rPr>
          <w:t xml:space="preserve">3 [Appendix 11 </w:t>
        </w:r>
        <w:r w:rsidR="00F010A1">
          <w:rPr>
            <w:rStyle w:val="Hyperlink"/>
            <w:rFonts w:asciiTheme="minorHAnsi" w:hAnsiTheme="minorHAnsi" w:cstheme="minorHAnsi"/>
          </w:rPr>
          <w:t>Table 33</w:t>
        </w:r>
        <w:r w:rsidR="00684769">
          <w:rPr>
            <w:rStyle w:val="Hyperlink"/>
            <w:rFonts w:asciiTheme="minorHAnsi" w:hAnsiTheme="minorHAnsi" w:cstheme="minorHAnsi"/>
          </w:rPr>
          <w:t>]</w:t>
        </w:r>
        <w:r w:rsidRPr="00171C8F">
          <w:rPr>
            <w:rStyle w:val="Hyperlink"/>
            <w:rFonts w:asciiTheme="minorHAnsi" w:hAnsiTheme="minorHAnsi" w:cstheme="minorHAnsi"/>
          </w:rPr>
          <w:t xml:space="preserve">. </w:t>
        </w:r>
      </w:hyperlink>
      <w:r>
        <w:rPr>
          <w:rFonts w:asciiTheme="minorHAnsi" w:hAnsiTheme="minorHAnsi" w:cstheme="minorHAnsi"/>
        </w:rPr>
        <w:t xml:space="preserve"> </w:t>
      </w:r>
    </w:p>
    <w:p w14:paraId="53A952E7" w14:textId="77777777" w:rsidR="00E34688" w:rsidRDefault="00E34688" w:rsidP="001414CD">
      <w:pPr>
        <w:pStyle w:val="CVHeading"/>
        <w:rPr>
          <w:rFonts w:asciiTheme="minorHAnsi" w:hAnsiTheme="minorHAnsi" w:cstheme="minorHAnsi"/>
          <w:b w:val="0"/>
          <w:color w:val="000000" w:themeColor="text1"/>
          <w:szCs w:val="22"/>
        </w:rPr>
      </w:pPr>
    </w:p>
    <w:p w14:paraId="7F298694" w14:textId="293AE67F" w:rsidR="00C729B0" w:rsidRPr="00A6343A" w:rsidRDefault="001700BE" w:rsidP="001414CD">
      <w:pPr>
        <w:pStyle w:val="CVHeading"/>
        <w:rPr>
          <w:rFonts w:asciiTheme="minorHAnsi" w:hAnsiTheme="minorHAnsi" w:cstheme="minorHAnsi"/>
          <w:b w:val="0"/>
          <w:color w:val="000000" w:themeColor="text1"/>
          <w:szCs w:val="22"/>
        </w:rPr>
      </w:pPr>
      <w:r w:rsidRPr="00A6343A">
        <w:rPr>
          <w:rFonts w:asciiTheme="minorHAnsi" w:hAnsiTheme="minorHAnsi" w:cstheme="minorHAnsi"/>
          <w:b w:val="0"/>
          <w:color w:val="000000" w:themeColor="text1"/>
          <w:szCs w:val="22"/>
        </w:rPr>
        <w:t>The international policy scan revealed</w:t>
      </w:r>
      <w:r w:rsidR="00EF25C4" w:rsidRPr="00A6343A">
        <w:rPr>
          <w:rFonts w:asciiTheme="minorHAnsi" w:hAnsiTheme="minorHAnsi" w:cstheme="minorHAnsi"/>
          <w:b w:val="0"/>
          <w:color w:val="000000" w:themeColor="text1"/>
          <w:szCs w:val="22"/>
        </w:rPr>
        <w:t xml:space="preserve"> </w:t>
      </w:r>
      <w:r w:rsidR="00C729B0" w:rsidRPr="00A6343A">
        <w:rPr>
          <w:rFonts w:asciiTheme="minorHAnsi" w:hAnsiTheme="minorHAnsi" w:cstheme="minorHAnsi"/>
          <w:b w:val="0"/>
          <w:color w:val="000000" w:themeColor="text1"/>
          <w:szCs w:val="22"/>
        </w:rPr>
        <w:t>several key considerations for the Australian context including:</w:t>
      </w:r>
    </w:p>
    <w:p w14:paraId="193C2056" w14:textId="45DA48F7" w:rsidR="00724CA8" w:rsidRDefault="00724CA8" w:rsidP="00A253E6">
      <w:pPr>
        <w:pStyle w:val="CVHeading"/>
        <w:numPr>
          <w:ilvl w:val="0"/>
          <w:numId w:val="60"/>
        </w:numPr>
        <w:rPr>
          <w:rFonts w:asciiTheme="minorHAnsi" w:hAnsiTheme="minorHAnsi" w:cstheme="minorHAnsi"/>
          <w:b w:val="0"/>
          <w:color w:val="000000" w:themeColor="text1"/>
          <w:szCs w:val="22"/>
        </w:rPr>
      </w:pPr>
      <w:r>
        <w:rPr>
          <w:rFonts w:asciiTheme="minorHAnsi" w:hAnsiTheme="minorHAnsi" w:cstheme="minorHAnsi"/>
          <w:b w:val="0"/>
          <w:color w:val="000000" w:themeColor="text1"/>
          <w:szCs w:val="22"/>
        </w:rPr>
        <w:t xml:space="preserve">Reinforcing the </w:t>
      </w:r>
      <w:r w:rsidR="005139FF">
        <w:rPr>
          <w:rFonts w:asciiTheme="minorHAnsi" w:hAnsiTheme="minorHAnsi" w:cstheme="minorHAnsi"/>
          <w:b w:val="0"/>
          <w:color w:val="000000" w:themeColor="text1"/>
          <w:szCs w:val="22"/>
        </w:rPr>
        <w:t xml:space="preserve">strengths of the existing NABERS regulatory and standards environment extant in Australia </w:t>
      </w:r>
    </w:p>
    <w:p w14:paraId="3F28DDC5" w14:textId="11821FEC" w:rsidR="00EF25C4" w:rsidRPr="00A6343A" w:rsidRDefault="00BF1502" w:rsidP="00A253E6">
      <w:pPr>
        <w:pStyle w:val="CVHeading"/>
        <w:numPr>
          <w:ilvl w:val="0"/>
          <w:numId w:val="60"/>
        </w:numPr>
        <w:rPr>
          <w:rFonts w:asciiTheme="minorHAnsi" w:hAnsiTheme="minorHAnsi" w:cstheme="minorHAnsi"/>
          <w:b w:val="0"/>
          <w:color w:val="000000" w:themeColor="text1"/>
          <w:szCs w:val="22"/>
        </w:rPr>
      </w:pPr>
      <w:r w:rsidRPr="00A6343A">
        <w:rPr>
          <w:rFonts w:asciiTheme="minorHAnsi" w:hAnsiTheme="minorHAnsi" w:cstheme="minorHAnsi"/>
          <w:b w:val="0"/>
          <w:color w:val="000000" w:themeColor="text1"/>
          <w:szCs w:val="22"/>
        </w:rPr>
        <w:t xml:space="preserve">Disclosure policies should be considered for </w:t>
      </w:r>
      <w:r w:rsidR="00AD7529" w:rsidRPr="00A6343A">
        <w:rPr>
          <w:rFonts w:asciiTheme="minorHAnsi" w:hAnsiTheme="minorHAnsi" w:cstheme="minorHAnsi"/>
          <w:b w:val="0"/>
          <w:color w:val="000000" w:themeColor="text1"/>
          <w:szCs w:val="22"/>
        </w:rPr>
        <w:t>a broader portion of the building stock</w:t>
      </w:r>
      <w:r w:rsidR="00B41E33">
        <w:rPr>
          <w:rFonts w:asciiTheme="minorHAnsi" w:hAnsiTheme="minorHAnsi" w:cstheme="minorHAnsi"/>
          <w:b w:val="0"/>
          <w:color w:val="000000" w:themeColor="text1"/>
          <w:szCs w:val="22"/>
        </w:rPr>
        <w:t xml:space="preserve">, and have the </w:t>
      </w:r>
      <w:r w:rsidR="005B5FC0">
        <w:rPr>
          <w:rFonts w:asciiTheme="minorHAnsi" w:hAnsiTheme="minorHAnsi" w:cstheme="minorHAnsi"/>
          <w:b w:val="0"/>
          <w:color w:val="000000" w:themeColor="text1"/>
          <w:szCs w:val="22"/>
        </w:rPr>
        <w:t xml:space="preserve">greatest </w:t>
      </w:r>
      <w:r w:rsidR="00B41E33">
        <w:rPr>
          <w:rFonts w:asciiTheme="minorHAnsi" w:hAnsiTheme="minorHAnsi" w:cstheme="minorHAnsi"/>
          <w:b w:val="0"/>
          <w:color w:val="000000" w:themeColor="text1"/>
          <w:szCs w:val="22"/>
        </w:rPr>
        <w:t>potential</w:t>
      </w:r>
      <w:r w:rsidR="00D6479B">
        <w:rPr>
          <w:rFonts w:asciiTheme="minorHAnsi" w:hAnsiTheme="minorHAnsi" w:cstheme="minorHAnsi"/>
          <w:b w:val="0"/>
          <w:color w:val="000000" w:themeColor="text1"/>
          <w:szCs w:val="22"/>
        </w:rPr>
        <w:t xml:space="preserve"> to drive sectoral </w:t>
      </w:r>
      <w:proofErr w:type="gramStart"/>
      <w:r w:rsidR="00D6479B">
        <w:rPr>
          <w:rFonts w:asciiTheme="minorHAnsi" w:hAnsiTheme="minorHAnsi" w:cstheme="minorHAnsi"/>
          <w:b w:val="0"/>
          <w:color w:val="000000" w:themeColor="text1"/>
          <w:szCs w:val="22"/>
        </w:rPr>
        <w:t>transformation</w:t>
      </w:r>
      <w:proofErr w:type="gramEnd"/>
    </w:p>
    <w:p w14:paraId="39B7E1A9" w14:textId="453FFDF2" w:rsidR="00AD7529" w:rsidRPr="00A6343A" w:rsidRDefault="00157EB6" w:rsidP="00A253E6">
      <w:pPr>
        <w:pStyle w:val="CVHeading"/>
        <w:numPr>
          <w:ilvl w:val="0"/>
          <w:numId w:val="60"/>
        </w:numPr>
        <w:rPr>
          <w:rFonts w:asciiTheme="minorHAnsi" w:hAnsiTheme="minorHAnsi" w:cstheme="minorHAnsi"/>
          <w:b w:val="0"/>
          <w:color w:val="000000" w:themeColor="text1"/>
          <w:szCs w:val="22"/>
        </w:rPr>
      </w:pPr>
      <w:proofErr w:type="spellStart"/>
      <w:r w:rsidRPr="00A6343A">
        <w:rPr>
          <w:rFonts w:asciiTheme="minorHAnsi" w:hAnsiTheme="minorHAnsi" w:cstheme="minorHAnsi"/>
          <w:b w:val="0"/>
          <w:color w:val="000000" w:themeColor="text1"/>
          <w:szCs w:val="22"/>
        </w:rPr>
        <w:t>M</w:t>
      </w:r>
      <w:r w:rsidR="003B1EFA" w:rsidRPr="00A6343A">
        <w:rPr>
          <w:rFonts w:asciiTheme="minorHAnsi" w:hAnsiTheme="minorHAnsi" w:cstheme="minorHAnsi"/>
          <w:b w:val="0"/>
          <w:color w:val="000000" w:themeColor="text1"/>
          <w:szCs w:val="22"/>
        </w:rPr>
        <w:t>EPS</w:t>
      </w:r>
      <w:proofErr w:type="spellEnd"/>
      <w:r w:rsidR="00A16FAF" w:rsidRPr="00A6343A">
        <w:rPr>
          <w:rFonts w:asciiTheme="minorHAnsi" w:hAnsiTheme="minorHAnsi" w:cstheme="minorHAnsi"/>
          <w:b w:val="0"/>
          <w:color w:val="000000" w:themeColor="text1"/>
          <w:szCs w:val="22"/>
        </w:rPr>
        <w:t xml:space="preserve"> have a role to play to ensure the steady </w:t>
      </w:r>
      <w:r w:rsidR="00B81768" w:rsidRPr="00A6343A">
        <w:rPr>
          <w:rFonts w:asciiTheme="minorHAnsi" w:hAnsiTheme="minorHAnsi" w:cstheme="minorHAnsi"/>
          <w:b w:val="0"/>
          <w:color w:val="000000" w:themeColor="text1"/>
          <w:szCs w:val="22"/>
        </w:rPr>
        <w:t>decarbonisation of the sector</w:t>
      </w:r>
      <w:r w:rsidR="006B1A27">
        <w:rPr>
          <w:rFonts w:asciiTheme="minorHAnsi" w:hAnsiTheme="minorHAnsi" w:cstheme="minorHAnsi"/>
          <w:b w:val="0"/>
          <w:color w:val="000000" w:themeColor="text1"/>
          <w:szCs w:val="22"/>
        </w:rPr>
        <w:t xml:space="preserve">, </w:t>
      </w:r>
      <w:r w:rsidR="009508BA">
        <w:rPr>
          <w:rFonts w:asciiTheme="minorHAnsi" w:hAnsiTheme="minorHAnsi" w:cstheme="minorHAnsi"/>
          <w:b w:val="0"/>
          <w:color w:val="000000" w:themeColor="text1"/>
          <w:szCs w:val="22"/>
        </w:rPr>
        <w:t xml:space="preserve">by </w:t>
      </w:r>
      <w:r w:rsidR="00834F18">
        <w:rPr>
          <w:rFonts w:asciiTheme="minorHAnsi" w:hAnsiTheme="minorHAnsi" w:cstheme="minorHAnsi"/>
          <w:b w:val="0"/>
          <w:color w:val="000000" w:themeColor="text1"/>
          <w:szCs w:val="22"/>
        </w:rPr>
        <w:t xml:space="preserve">improving </w:t>
      </w:r>
      <w:r w:rsidR="00A3158B">
        <w:rPr>
          <w:rFonts w:asciiTheme="minorHAnsi" w:hAnsiTheme="minorHAnsi" w:cstheme="minorHAnsi"/>
          <w:b w:val="0"/>
          <w:color w:val="000000" w:themeColor="text1"/>
          <w:szCs w:val="22"/>
        </w:rPr>
        <w:t xml:space="preserve">the </w:t>
      </w:r>
      <w:r w:rsidR="00834F18">
        <w:rPr>
          <w:rFonts w:asciiTheme="minorHAnsi" w:hAnsiTheme="minorHAnsi" w:cstheme="minorHAnsi"/>
          <w:b w:val="0"/>
          <w:color w:val="000000" w:themeColor="text1"/>
          <w:szCs w:val="22"/>
        </w:rPr>
        <w:t>low</w:t>
      </w:r>
      <w:r w:rsidR="004651B2">
        <w:rPr>
          <w:rFonts w:asciiTheme="minorHAnsi" w:hAnsiTheme="minorHAnsi" w:cstheme="minorHAnsi"/>
          <w:b w:val="0"/>
          <w:color w:val="000000" w:themeColor="text1"/>
          <w:szCs w:val="22"/>
        </w:rPr>
        <w:noBreakHyphen/>
      </w:r>
      <w:r w:rsidR="00834F18">
        <w:rPr>
          <w:rFonts w:asciiTheme="minorHAnsi" w:hAnsiTheme="minorHAnsi" w:cstheme="minorHAnsi"/>
          <w:b w:val="0"/>
          <w:color w:val="000000" w:themeColor="text1"/>
          <w:szCs w:val="22"/>
        </w:rPr>
        <w:t xml:space="preserve">performing </w:t>
      </w:r>
      <w:r w:rsidR="00A3158B">
        <w:rPr>
          <w:rFonts w:asciiTheme="minorHAnsi" w:hAnsiTheme="minorHAnsi" w:cstheme="minorHAnsi"/>
          <w:b w:val="0"/>
          <w:color w:val="000000" w:themeColor="text1"/>
          <w:szCs w:val="22"/>
        </w:rPr>
        <w:t xml:space="preserve">tail in the building </w:t>
      </w:r>
      <w:proofErr w:type="gramStart"/>
      <w:r w:rsidR="00A3158B">
        <w:rPr>
          <w:rFonts w:asciiTheme="minorHAnsi" w:hAnsiTheme="minorHAnsi" w:cstheme="minorHAnsi"/>
          <w:b w:val="0"/>
          <w:color w:val="000000" w:themeColor="text1"/>
          <w:szCs w:val="22"/>
        </w:rPr>
        <w:t>stock</w:t>
      </w:r>
      <w:proofErr w:type="gramEnd"/>
    </w:p>
    <w:p w14:paraId="53045923" w14:textId="3E4C534D" w:rsidR="00B81768" w:rsidRPr="00A6343A" w:rsidRDefault="001318F2" w:rsidP="00A253E6">
      <w:pPr>
        <w:pStyle w:val="CVHeading"/>
        <w:numPr>
          <w:ilvl w:val="0"/>
          <w:numId w:val="60"/>
        </w:numPr>
        <w:rPr>
          <w:rFonts w:asciiTheme="minorHAnsi" w:hAnsiTheme="minorHAnsi" w:cstheme="minorHAnsi"/>
          <w:b w:val="0"/>
          <w:color w:val="000000" w:themeColor="text1"/>
          <w:szCs w:val="22"/>
        </w:rPr>
      </w:pPr>
      <w:r w:rsidRPr="00A6343A">
        <w:rPr>
          <w:rFonts w:asciiTheme="minorHAnsi" w:hAnsiTheme="minorHAnsi" w:cstheme="minorHAnsi"/>
          <w:b w:val="0"/>
          <w:color w:val="000000" w:themeColor="text1"/>
          <w:szCs w:val="22"/>
        </w:rPr>
        <w:t xml:space="preserve">Consideration should be given to the broader suite of policies </w:t>
      </w:r>
      <w:r w:rsidR="00023F39" w:rsidRPr="00A6343A">
        <w:rPr>
          <w:rFonts w:asciiTheme="minorHAnsi" w:hAnsiTheme="minorHAnsi" w:cstheme="minorHAnsi"/>
          <w:b w:val="0"/>
          <w:color w:val="000000" w:themeColor="text1"/>
          <w:szCs w:val="22"/>
        </w:rPr>
        <w:t xml:space="preserve">that accompany disclosure and </w:t>
      </w:r>
      <w:proofErr w:type="spellStart"/>
      <w:r w:rsidR="00023F39" w:rsidRPr="00A6343A">
        <w:rPr>
          <w:rFonts w:asciiTheme="minorHAnsi" w:hAnsiTheme="minorHAnsi" w:cstheme="minorHAnsi"/>
          <w:b w:val="0"/>
          <w:color w:val="000000" w:themeColor="text1"/>
          <w:szCs w:val="22"/>
        </w:rPr>
        <w:t>MEPS</w:t>
      </w:r>
      <w:proofErr w:type="spellEnd"/>
      <w:r w:rsidR="00023F39" w:rsidRPr="00A6343A">
        <w:rPr>
          <w:rFonts w:asciiTheme="minorHAnsi" w:hAnsiTheme="minorHAnsi" w:cstheme="minorHAnsi"/>
          <w:b w:val="0"/>
          <w:color w:val="000000" w:themeColor="text1"/>
          <w:szCs w:val="22"/>
        </w:rPr>
        <w:t xml:space="preserve"> policies, including changes to the national construction standards, and </w:t>
      </w:r>
      <w:r w:rsidR="00262654">
        <w:rPr>
          <w:rFonts w:asciiTheme="minorHAnsi" w:hAnsiTheme="minorHAnsi" w:cstheme="minorHAnsi"/>
          <w:b w:val="0"/>
          <w:color w:val="000000" w:themeColor="text1"/>
          <w:szCs w:val="22"/>
        </w:rPr>
        <w:t xml:space="preserve">adjustment </w:t>
      </w:r>
      <w:r w:rsidR="00023F39" w:rsidRPr="00A6343A">
        <w:rPr>
          <w:rFonts w:asciiTheme="minorHAnsi" w:hAnsiTheme="minorHAnsi" w:cstheme="minorHAnsi"/>
          <w:b w:val="0"/>
          <w:color w:val="000000" w:themeColor="text1"/>
          <w:szCs w:val="22"/>
        </w:rPr>
        <w:t xml:space="preserve">support mechanisms for </w:t>
      </w:r>
      <w:r w:rsidR="00CB6841">
        <w:rPr>
          <w:rFonts w:asciiTheme="minorHAnsi" w:hAnsiTheme="minorHAnsi" w:cstheme="minorHAnsi"/>
          <w:b w:val="0"/>
          <w:color w:val="000000" w:themeColor="text1"/>
          <w:szCs w:val="22"/>
        </w:rPr>
        <w:t xml:space="preserve">building owners, </w:t>
      </w:r>
      <w:proofErr w:type="gramStart"/>
      <w:r w:rsidR="00CB6841">
        <w:rPr>
          <w:rFonts w:asciiTheme="minorHAnsi" w:hAnsiTheme="minorHAnsi" w:cstheme="minorHAnsi"/>
          <w:b w:val="0"/>
          <w:color w:val="000000" w:themeColor="text1"/>
          <w:szCs w:val="22"/>
        </w:rPr>
        <w:t>tenants</w:t>
      </w:r>
      <w:proofErr w:type="gramEnd"/>
      <w:r w:rsidR="00CB6841">
        <w:rPr>
          <w:rFonts w:asciiTheme="minorHAnsi" w:hAnsiTheme="minorHAnsi" w:cstheme="minorHAnsi"/>
          <w:b w:val="0"/>
          <w:color w:val="000000" w:themeColor="text1"/>
          <w:szCs w:val="22"/>
        </w:rPr>
        <w:t xml:space="preserve"> and </w:t>
      </w:r>
      <w:r w:rsidR="001F5307" w:rsidRPr="00A6343A">
        <w:rPr>
          <w:rFonts w:asciiTheme="minorHAnsi" w:hAnsiTheme="minorHAnsi" w:cstheme="minorHAnsi"/>
          <w:b w:val="0"/>
          <w:color w:val="000000" w:themeColor="text1"/>
          <w:szCs w:val="22"/>
        </w:rPr>
        <w:t>consumers</w:t>
      </w:r>
      <w:r w:rsidR="00AB5529" w:rsidRPr="00631A0D">
        <w:rPr>
          <w:rFonts w:asciiTheme="minorHAnsi" w:hAnsiTheme="minorHAnsi" w:cstheme="minorHAnsi"/>
          <w:b w:val="0"/>
          <w:color w:val="000000" w:themeColor="text1"/>
          <w:szCs w:val="22"/>
        </w:rPr>
        <w:t>, and enhancing</w:t>
      </w:r>
      <w:r w:rsidR="005949A0" w:rsidRPr="00631A0D">
        <w:rPr>
          <w:rFonts w:asciiTheme="minorHAnsi" w:hAnsiTheme="minorHAnsi" w:cstheme="minorHAnsi"/>
          <w:b w:val="0"/>
          <w:color w:val="000000" w:themeColor="text1"/>
          <w:szCs w:val="22"/>
        </w:rPr>
        <w:t xml:space="preserve"> </w:t>
      </w:r>
      <w:r w:rsidR="004C3E70">
        <w:rPr>
          <w:rFonts w:asciiTheme="minorHAnsi" w:hAnsiTheme="minorHAnsi" w:cstheme="minorHAnsi"/>
          <w:b w:val="0"/>
          <w:color w:val="000000" w:themeColor="text1"/>
          <w:szCs w:val="22"/>
        </w:rPr>
        <w:t xml:space="preserve">flows of </w:t>
      </w:r>
      <w:r w:rsidR="00E500E4">
        <w:rPr>
          <w:rFonts w:asciiTheme="minorHAnsi" w:hAnsiTheme="minorHAnsi" w:cstheme="minorHAnsi"/>
          <w:b w:val="0"/>
          <w:color w:val="000000" w:themeColor="text1"/>
          <w:szCs w:val="22"/>
        </w:rPr>
        <w:t>sustaina</w:t>
      </w:r>
      <w:r w:rsidR="004C3E70">
        <w:rPr>
          <w:rFonts w:asciiTheme="minorHAnsi" w:hAnsiTheme="minorHAnsi" w:cstheme="minorHAnsi"/>
          <w:b w:val="0"/>
          <w:color w:val="000000" w:themeColor="text1"/>
          <w:szCs w:val="22"/>
        </w:rPr>
        <w:t>ble</w:t>
      </w:r>
      <w:r w:rsidR="005949A0" w:rsidRPr="00631A0D">
        <w:rPr>
          <w:rFonts w:asciiTheme="minorHAnsi" w:hAnsiTheme="minorHAnsi" w:cstheme="minorHAnsi"/>
          <w:b w:val="0"/>
          <w:color w:val="000000" w:themeColor="text1"/>
          <w:szCs w:val="22"/>
        </w:rPr>
        <w:t xml:space="preserve"> financ</w:t>
      </w:r>
      <w:r w:rsidR="004C3E70">
        <w:rPr>
          <w:rFonts w:asciiTheme="minorHAnsi" w:hAnsiTheme="minorHAnsi" w:cstheme="minorHAnsi"/>
          <w:b w:val="0"/>
          <w:color w:val="000000" w:themeColor="text1"/>
          <w:szCs w:val="22"/>
        </w:rPr>
        <w:t>e</w:t>
      </w:r>
      <w:r w:rsidR="005949A0" w:rsidRPr="00631A0D" w:rsidDel="00434F55">
        <w:rPr>
          <w:rFonts w:asciiTheme="minorHAnsi" w:hAnsiTheme="minorHAnsi" w:cstheme="minorHAnsi"/>
          <w:b w:val="0"/>
          <w:color w:val="000000" w:themeColor="text1"/>
          <w:szCs w:val="22"/>
        </w:rPr>
        <w:t xml:space="preserve"> </w:t>
      </w:r>
      <w:r w:rsidR="005949A0" w:rsidRPr="00631A0D">
        <w:rPr>
          <w:rFonts w:asciiTheme="minorHAnsi" w:hAnsiTheme="minorHAnsi" w:cstheme="minorHAnsi"/>
          <w:b w:val="0"/>
          <w:color w:val="000000" w:themeColor="text1"/>
          <w:szCs w:val="22"/>
        </w:rPr>
        <w:t>to the sector</w:t>
      </w:r>
      <w:r w:rsidR="001F5307" w:rsidRPr="00631A0D">
        <w:rPr>
          <w:rFonts w:asciiTheme="minorHAnsi" w:hAnsiTheme="minorHAnsi" w:cstheme="minorHAnsi"/>
          <w:b w:val="0"/>
          <w:color w:val="000000" w:themeColor="text1"/>
          <w:szCs w:val="22"/>
        </w:rPr>
        <w:t>.</w:t>
      </w:r>
    </w:p>
    <w:p w14:paraId="34A8EC1F" w14:textId="2BE8FAC8" w:rsidR="003900F4" w:rsidRPr="004E2261" w:rsidRDefault="003900F4" w:rsidP="00A253E6">
      <w:pPr>
        <w:pStyle w:val="Heading3"/>
        <w:rPr>
          <w:rFonts w:asciiTheme="minorHAnsi" w:hAnsiTheme="minorHAnsi" w:cstheme="minorHAnsi"/>
        </w:rPr>
      </w:pPr>
      <w:r w:rsidRPr="004E2261">
        <w:rPr>
          <w:rFonts w:asciiTheme="minorHAnsi" w:hAnsiTheme="minorHAnsi" w:cstheme="minorHAnsi"/>
        </w:rPr>
        <w:t>Assessment of priority policies</w:t>
      </w:r>
    </w:p>
    <w:p w14:paraId="08B2A5DB" w14:textId="41C47646" w:rsidR="00B339D7" w:rsidRPr="00F81ADB" w:rsidRDefault="00333283" w:rsidP="00632A2A">
      <w:pPr>
        <w:pStyle w:val="BodyBullet"/>
        <w:rPr>
          <w:rFonts w:cstheme="minorHAnsi"/>
        </w:rPr>
      </w:pPr>
      <w:r w:rsidRPr="00F81ADB">
        <w:rPr>
          <w:rFonts w:cstheme="minorHAnsi"/>
        </w:rPr>
        <w:t xml:space="preserve">A high-level feasibility assessment was conducted </w:t>
      </w:r>
      <w:r w:rsidR="00125CA9" w:rsidRPr="00F81ADB">
        <w:rPr>
          <w:rFonts w:cstheme="minorHAnsi"/>
        </w:rPr>
        <w:t xml:space="preserve">an indication of the relative costs and benefits of each policy </w:t>
      </w:r>
      <w:r w:rsidR="00477721" w:rsidRPr="00F81ADB">
        <w:rPr>
          <w:rFonts w:cstheme="minorHAnsi"/>
        </w:rPr>
        <w:t xml:space="preserve">at a ‘per-building’ level. </w:t>
      </w:r>
      <w:r w:rsidR="00D92BE1" w:rsidRPr="00F81ADB">
        <w:rPr>
          <w:rFonts w:cstheme="minorHAnsi"/>
        </w:rPr>
        <w:t>Significant data constraints were encountered</w:t>
      </w:r>
      <w:r w:rsidR="00BB7D95" w:rsidRPr="00F81ADB">
        <w:rPr>
          <w:rFonts w:cstheme="minorHAnsi"/>
        </w:rPr>
        <w:t xml:space="preserve"> and</w:t>
      </w:r>
      <w:r w:rsidR="00D92BE1" w:rsidRPr="00F81ADB">
        <w:rPr>
          <w:rFonts w:cstheme="minorHAnsi"/>
        </w:rPr>
        <w:t xml:space="preserve"> emphasised </w:t>
      </w:r>
      <w:r w:rsidR="00AC5313" w:rsidRPr="00F81ADB">
        <w:rPr>
          <w:rFonts w:cstheme="minorHAnsi"/>
        </w:rPr>
        <w:t xml:space="preserve">which makes it difficult to </w:t>
      </w:r>
      <w:r w:rsidR="005564BA" w:rsidRPr="00F81ADB">
        <w:rPr>
          <w:rFonts w:cstheme="minorHAnsi"/>
        </w:rPr>
        <w:t>arrive at aggregate costs at this stage.</w:t>
      </w:r>
      <w:r w:rsidR="00094F6D" w:rsidRPr="00F81ADB">
        <w:rPr>
          <w:rFonts w:cstheme="minorHAnsi"/>
        </w:rPr>
        <w:t xml:space="preserve"> Such an analysis requires both </w:t>
      </w:r>
      <w:r w:rsidR="00103802" w:rsidRPr="00F81ADB">
        <w:rPr>
          <w:rFonts w:cstheme="minorHAnsi"/>
        </w:rPr>
        <w:t>a stronger data base</w:t>
      </w:r>
      <w:r w:rsidR="00D85610" w:rsidRPr="00F81ADB">
        <w:rPr>
          <w:rFonts w:cstheme="minorHAnsi"/>
        </w:rPr>
        <w:t xml:space="preserve">, and </w:t>
      </w:r>
      <w:r w:rsidR="002A3224" w:rsidRPr="00F81ADB">
        <w:rPr>
          <w:rFonts w:cstheme="minorHAnsi"/>
        </w:rPr>
        <w:t xml:space="preserve">detailed analysis of the capacity </w:t>
      </w:r>
      <w:r w:rsidR="0037600C" w:rsidRPr="00F81ADB">
        <w:rPr>
          <w:rFonts w:cstheme="minorHAnsi"/>
        </w:rPr>
        <w:t xml:space="preserve">and speed at which </w:t>
      </w:r>
      <w:r w:rsidR="00FC1CD8" w:rsidRPr="00F81ADB">
        <w:rPr>
          <w:rFonts w:cstheme="minorHAnsi"/>
        </w:rPr>
        <w:t xml:space="preserve">sector capability and compliance </w:t>
      </w:r>
      <w:r w:rsidR="00946005">
        <w:rPr>
          <w:rFonts w:cstheme="minorHAnsi"/>
        </w:rPr>
        <w:t xml:space="preserve">with regulation </w:t>
      </w:r>
      <w:r w:rsidR="00FC1CD8" w:rsidRPr="00F81ADB">
        <w:rPr>
          <w:rFonts w:cstheme="minorHAnsi"/>
        </w:rPr>
        <w:t xml:space="preserve">could be </w:t>
      </w:r>
      <w:r w:rsidR="00912AFD" w:rsidRPr="00F81ADB">
        <w:rPr>
          <w:rFonts w:cstheme="minorHAnsi"/>
        </w:rPr>
        <w:t>ramped up.</w:t>
      </w:r>
      <w:r w:rsidR="00460F00" w:rsidRPr="00F81ADB">
        <w:rPr>
          <w:rFonts w:cstheme="minorHAnsi"/>
        </w:rPr>
        <w:t xml:space="preserve"> Hence, this</w:t>
      </w:r>
      <w:r w:rsidR="00477721" w:rsidRPr="00F81ADB">
        <w:rPr>
          <w:rFonts w:cstheme="minorHAnsi"/>
        </w:rPr>
        <w:t xml:space="preserve"> assessment</w:t>
      </w:r>
      <w:r w:rsidR="009040A1" w:rsidRPr="00F81ADB">
        <w:rPr>
          <w:rFonts w:cstheme="minorHAnsi"/>
        </w:rPr>
        <w:t xml:space="preserve"> does not constitute a formal cost-benefit analysis or business case, but rather is intended to</w:t>
      </w:r>
      <w:r w:rsidR="003D5DD1" w:rsidRPr="00F81ADB">
        <w:rPr>
          <w:rFonts w:cstheme="minorHAnsi"/>
        </w:rPr>
        <w:t xml:space="preserve"> provide some bounds to support further consideration of each policy.</w:t>
      </w:r>
    </w:p>
    <w:p w14:paraId="09AB03C1" w14:textId="77777777" w:rsidR="000A2EC7" w:rsidRPr="00F81ADB" w:rsidRDefault="003760D8" w:rsidP="00632A2A">
      <w:pPr>
        <w:pStyle w:val="BodyBullet"/>
        <w:rPr>
          <w:rFonts w:cstheme="minorHAnsi"/>
        </w:rPr>
      </w:pPr>
      <w:r w:rsidRPr="00F81ADB">
        <w:rPr>
          <w:rFonts w:cstheme="minorHAnsi"/>
        </w:rPr>
        <w:t>All policies were explored over a 20</w:t>
      </w:r>
      <w:r w:rsidR="00125AD8" w:rsidRPr="00F81ADB">
        <w:rPr>
          <w:rFonts w:cstheme="minorHAnsi"/>
        </w:rPr>
        <w:t>-</w:t>
      </w:r>
      <w:r w:rsidRPr="00F81ADB">
        <w:rPr>
          <w:rFonts w:cstheme="minorHAnsi"/>
        </w:rPr>
        <w:t>year period</w:t>
      </w:r>
      <w:r w:rsidR="003B39EC" w:rsidRPr="00F81ADB">
        <w:rPr>
          <w:rFonts w:cstheme="minorHAnsi"/>
        </w:rPr>
        <w:t>, assuming a 5 per cent discount rate. The analysis included</w:t>
      </w:r>
      <w:r w:rsidR="000A2EC7" w:rsidRPr="00F81ADB">
        <w:rPr>
          <w:rFonts w:cstheme="minorHAnsi"/>
        </w:rPr>
        <w:t xml:space="preserve"> five broad categories of costs and benefits, namely:</w:t>
      </w:r>
    </w:p>
    <w:p w14:paraId="08476B3E" w14:textId="630A70E2" w:rsidR="007A5D98" w:rsidRPr="00F81ADB" w:rsidRDefault="000A2EC7" w:rsidP="00A253E6">
      <w:pPr>
        <w:pStyle w:val="BodyBullet"/>
        <w:numPr>
          <w:ilvl w:val="0"/>
          <w:numId w:val="59"/>
        </w:numPr>
        <w:rPr>
          <w:rFonts w:cstheme="minorHAnsi"/>
        </w:rPr>
      </w:pPr>
      <w:r w:rsidRPr="00F81ADB">
        <w:rPr>
          <w:rFonts w:cstheme="minorHAnsi"/>
        </w:rPr>
        <w:t xml:space="preserve">Program development </w:t>
      </w:r>
      <w:r w:rsidR="000943FD" w:rsidRPr="00F81ADB">
        <w:rPr>
          <w:rFonts w:cstheme="minorHAnsi"/>
        </w:rPr>
        <w:t xml:space="preserve">and enforcement costs for the </w:t>
      </w:r>
      <w:proofErr w:type="gramStart"/>
      <w:r w:rsidR="000943FD" w:rsidRPr="00F81ADB">
        <w:rPr>
          <w:rFonts w:cstheme="minorHAnsi"/>
        </w:rPr>
        <w:t>Government</w:t>
      </w:r>
      <w:proofErr w:type="gramEnd"/>
    </w:p>
    <w:p w14:paraId="10247B98" w14:textId="33F5E15A" w:rsidR="000A2EC7" w:rsidRPr="00F81ADB" w:rsidRDefault="000A2EC7" w:rsidP="00A253E6">
      <w:pPr>
        <w:pStyle w:val="BodyBullet"/>
        <w:numPr>
          <w:ilvl w:val="0"/>
          <w:numId w:val="59"/>
        </w:numPr>
        <w:rPr>
          <w:rFonts w:cstheme="minorHAnsi"/>
        </w:rPr>
      </w:pPr>
      <w:r w:rsidRPr="00F81ADB">
        <w:rPr>
          <w:rFonts w:cstheme="minorHAnsi"/>
        </w:rPr>
        <w:lastRenderedPageBreak/>
        <w:t>Compliance costs</w:t>
      </w:r>
      <w:r w:rsidR="000943FD" w:rsidRPr="00F81ADB">
        <w:rPr>
          <w:rFonts w:cstheme="minorHAnsi"/>
        </w:rPr>
        <w:t xml:space="preserve"> for building owners and operators</w:t>
      </w:r>
    </w:p>
    <w:p w14:paraId="0D315100" w14:textId="7DE64286" w:rsidR="000943FD" w:rsidRPr="00F81ADB" w:rsidRDefault="000943FD" w:rsidP="00A253E6">
      <w:pPr>
        <w:pStyle w:val="BodyBullet"/>
        <w:numPr>
          <w:ilvl w:val="0"/>
          <w:numId w:val="59"/>
        </w:numPr>
        <w:rPr>
          <w:rFonts w:cstheme="minorHAnsi"/>
        </w:rPr>
      </w:pPr>
      <w:r w:rsidRPr="00F81ADB">
        <w:rPr>
          <w:rFonts w:cstheme="minorHAnsi"/>
        </w:rPr>
        <w:t xml:space="preserve">Upgrade costs to improve energy </w:t>
      </w:r>
      <w:proofErr w:type="gramStart"/>
      <w:r w:rsidRPr="00F81ADB">
        <w:rPr>
          <w:rFonts w:cstheme="minorHAnsi"/>
        </w:rPr>
        <w:t>efficiency</w:t>
      </w:r>
      <w:proofErr w:type="gramEnd"/>
    </w:p>
    <w:p w14:paraId="552DE3CE" w14:textId="396E4675" w:rsidR="00985EA4" w:rsidRPr="00F81ADB" w:rsidRDefault="00985EA4" w:rsidP="00A253E6">
      <w:pPr>
        <w:pStyle w:val="BodyBullet"/>
        <w:numPr>
          <w:ilvl w:val="0"/>
          <w:numId w:val="59"/>
        </w:numPr>
        <w:rPr>
          <w:rFonts w:cstheme="minorHAnsi"/>
        </w:rPr>
      </w:pPr>
      <w:r w:rsidRPr="00F81ADB">
        <w:rPr>
          <w:rFonts w:cstheme="minorHAnsi"/>
        </w:rPr>
        <w:t>Emissions savings, costed at a social cost of carbon of $2</w:t>
      </w:r>
      <w:r w:rsidR="00696C2D" w:rsidRPr="00F81ADB">
        <w:rPr>
          <w:rFonts w:cstheme="minorHAnsi"/>
        </w:rPr>
        <w:t>80/t CO</w:t>
      </w:r>
      <w:r w:rsidR="00696C2D" w:rsidRPr="003F7B9F">
        <w:rPr>
          <w:rFonts w:cstheme="minorHAnsi"/>
          <w:vertAlign w:val="subscript"/>
        </w:rPr>
        <w:t>2</w:t>
      </w:r>
      <w:r w:rsidR="00696C2D" w:rsidRPr="00F81ADB">
        <w:rPr>
          <w:rFonts w:cstheme="minorHAnsi"/>
        </w:rPr>
        <w:t>e (as proposed by the US EPA</w:t>
      </w:r>
      <w:r w:rsidR="008E0471" w:rsidRPr="00F81ADB">
        <w:rPr>
          <w:rFonts w:cstheme="minorHAnsi"/>
        </w:rPr>
        <w:t xml:space="preserve"> and consistent with </w:t>
      </w:r>
      <w:r w:rsidR="00893F12" w:rsidRPr="00F81ADB">
        <w:rPr>
          <w:rFonts w:cstheme="minorHAnsi"/>
        </w:rPr>
        <w:t>consideration in the Australian National Construction Code</w:t>
      </w:r>
      <w:r w:rsidR="00696C2D" w:rsidRPr="00F81ADB">
        <w:rPr>
          <w:rFonts w:cstheme="minorHAnsi"/>
        </w:rPr>
        <w:t>)</w:t>
      </w:r>
    </w:p>
    <w:p w14:paraId="561C04F3" w14:textId="64740196" w:rsidR="00CC5BA0" w:rsidRPr="00F81ADB" w:rsidRDefault="00696C2D" w:rsidP="00A253E6">
      <w:pPr>
        <w:pStyle w:val="BodyBullet"/>
        <w:numPr>
          <w:ilvl w:val="0"/>
          <w:numId w:val="59"/>
        </w:numPr>
        <w:rPr>
          <w:rFonts w:cstheme="minorHAnsi"/>
        </w:rPr>
      </w:pPr>
      <w:r w:rsidRPr="00F81ADB">
        <w:rPr>
          <w:rFonts w:cstheme="minorHAnsi"/>
        </w:rPr>
        <w:t>Energy bill savings for consumers.</w:t>
      </w:r>
    </w:p>
    <w:p w14:paraId="7E942983" w14:textId="5664F1D5" w:rsidR="003760D8" w:rsidRPr="00F81ADB" w:rsidRDefault="00B420A9" w:rsidP="00CC5BA0">
      <w:pPr>
        <w:pStyle w:val="BodyBullet"/>
        <w:rPr>
          <w:rFonts w:cstheme="minorHAnsi"/>
        </w:rPr>
      </w:pPr>
      <w:r>
        <w:rPr>
          <w:rFonts w:cstheme="minorHAnsi"/>
        </w:rPr>
        <w:fldChar w:fldCharType="begin" w:fldLock="1"/>
      </w:r>
      <w:r>
        <w:rPr>
          <w:rFonts w:cstheme="minorHAnsi"/>
        </w:rPr>
        <w:instrText xml:space="preserve"> REF _Ref152334228 \h  \* MERGEFORMAT </w:instrText>
      </w:r>
      <w:r>
        <w:rPr>
          <w:rFonts w:cstheme="minorHAnsi"/>
        </w:rPr>
      </w:r>
      <w:r>
        <w:rPr>
          <w:rFonts w:cstheme="minorHAnsi"/>
        </w:rPr>
        <w:fldChar w:fldCharType="separate"/>
      </w:r>
      <w:r w:rsidRPr="00B420A9">
        <w:rPr>
          <w:rFonts w:cstheme="minorHAnsi"/>
        </w:rPr>
        <w:t>Figure 4</w:t>
      </w:r>
      <w:r>
        <w:rPr>
          <w:rFonts w:cstheme="minorHAnsi"/>
        </w:rPr>
        <w:fldChar w:fldCharType="end"/>
      </w:r>
      <w:r w:rsidR="00CC5BA0" w:rsidRPr="00631A0D">
        <w:rPr>
          <w:rFonts w:cstheme="minorHAnsi"/>
        </w:rPr>
        <w:t xml:space="preserve"> below presents the high</w:t>
      </w:r>
      <w:r w:rsidR="00054E18" w:rsidRPr="00631A0D">
        <w:rPr>
          <w:rFonts w:cstheme="minorHAnsi"/>
        </w:rPr>
        <w:noBreakHyphen/>
      </w:r>
      <w:r w:rsidR="00CC5BA0" w:rsidRPr="00631A0D">
        <w:rPr>
          <w:rFonts w:cstheme="minorHAnsi"/>
        </w:rPr>
        <w:t xml:space="preserve">level results for </w:t>
      </w:r>
      <w:r w:rsidR="00A94CFF" w:rsidRPr="00631A0D">
        <w:rPr>
          <w:rFonts w:cstheme="minorHAnsi"/>
        </w:rPr>
        <w:t xml:space="preserve">the most </w:t>
      </w:r>
      <w:r w:rsidR="00420E2D" w:rsidRPr="00631A0D">
        <w:rPr>
          <w:rFonts w:cstheme="minorHAnsi"/>
        </w:rPr>
        <w:t>extensive of these measures, the expansion of CBD</w:t>
      </w:r>
      <w:r w:rsidR="00494D37" w:rsidRPr="00631A0D">
        <w:rPr>
          <w:rFonts w:cstheme="minorHAnsi"/>
        </w:rPr>
        <w:t xml:space="preserve">, </w:t>
      </w:r>
      <w:r w:rsidR="00A85754" w:rsidRPr="00631A0D">
        <w:rPr>
          <w:rFonts w:cstheme="minorHAnsi"/>
        </w:rPr>
        <w:t>stratified into large and small buildings</w:t>
      </w:r>
      <w:r w:rsidR="00494D37" w:rsidRPr="00631A0D">
        <w:rPr>
          <w:rFonts w:cstheme="minorHAnsi"/>
        </w:rPr>
        <w:t>.</w:t>
      </w:r>
    </w:p>
    <w:p w14:paraId="0390064F" w14:textId="2633A234" w:rsidR="0072216A" w:rsidRDefault="00E806CC" w:rsidP="00B40C26">
      <w:pPr>
        <w:pStyle w:val="Caption"/>
        <w:keepNext/>
        <w:spacing w:after="120"/>
        <w:rPr>
          <w:rFonts w:ascii="Calibri" w:eastAsia="Times New Roman" w:hAnsi="Calibri" w:cs="Times New Roman"/>
          <w:b/>
          <w:bCs/>
          <w:i w:val="0"/>
          <w:iCs w:val="0"/>
          <w:color w:val="auto"/>
          <w:sz w:val="24"/>
        </w:rPr>
      </w:pPr>
      <w:r w:rsidRPr="004E3937">
        <w:rPr>
          <w:rFonts w:ascii="Calibri" w:eastAsia="Times New Roman" w:hAnsi="Calibri" w:cs="Times New Roman"/>
          <w:b/>
          <w:bCs/>
          <w:i w:val="0"/>
          <w:iCs w:val="0"/>
          <w:color w:val="auto"/>
          <w:sz w:val="24"/>
        </w:rPr>
        <w:t xml:space="preserve"> </w:t>
      </w:r>
      <w:bookmarkStart w:id="10" w:name="_Ref152334228"/>
      <w:bookmarkStart w:id="11" w:name="_Toc157687009"/>
      <w:r w:rsidRPr="005E2ED7">
        <w:rPr>
          <w:rFonts w:ascii="Calibri" w:eastAsia="Times New Roman" w:hAnsi="Calibri" w:cs="Times New Roman"/>
          <w:b/>
          <w:bCs/>
          <w:i w:val="0"/>
          <w:iCs w:val="0"/>
          <w:color w:val="auto"/>
          <w:sz w:val="24"/>
        </w:rPr>
        <w:t xml:space="preserve">Figure </w:t>
      </w:r>
      <w:r w:rsidRPr="005E2ED7">
        <w:rPr>
          <w:rFonts w:ascii="Calibri" w:eastAsia="Times New Roman" w:hAnsi="Calibri" w:cs="Times New Roman"/>
          <w:b/>
          <w:bCs/>
          <w:i w:val="0"/>
          <w:iCs w:val="0"/>
          <w:color w:val="auto"/>
          <w:sz w:val="24"/>
        </w:rPr>
        <w:fldChar w:fldCharType="begin"/>
      </w:r>
      <w:r w:rsidRPr="005E2ED7">
        <w:rPr>
          <w:rFonts w:ascii="Calibri" w:eastAsia="Times New Roman" w:hAnsi="Calibri" w:cs="Times New Roman"/>
          <w:b/>
          <w:bCs/>
          <w:i w:val="0"/>
          <w:iCs w:val="0"/>
          <w:color w:val="auto"/>
          <w:sz w:val="24"/>
        </w:rPr>
        <w:instrText xml:space="preserve"> SEQ Figure \* ARABIC </w:instrText>
      </w:r>
      <w:r w:rsidRPr="005E2ED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4</w:t>
      </w:r>
      <w:r w:rsidRPr="005E2ED7">
        <w:rPr>
          <w:rFonts w:ascii="Calibri" w:eastAsia="Times New Roman" w:hAnsi="Calibri" w:cs="Times New Roman"/>
          <w:b/>
          <w:bCs/>
          <w:i w:val="0"/>
          <w:iCs w:val="0"/>
          <w:color w:val="auto"/>
          <w:sz w:val="24"/>
        </w:rPr>
        <w:fldChar w:fldCharType="end"/>
      </w:r>
      <w:bookmarkEnd w:id="10"/>
      <w:r w:rsidRPr="005E2ED7">
        <w:rPr>
          <w:rFonts w:ascii="Calibri" w:eastAsia="Times New Roman" w:hAnsi="Calibri" w:cs="Times New Roman"/>
          <w:b/>
          <w:bCs/>
          <w:i w:val="0"/>
          <w:iCs w:val="0"/>
          <w:color w:val="auto"/>
          <w:sz w:val="24"/>
        </w:rPr>
        <w:t xml:space="preserve">:  Net position for the average building covered by Tailored Sectoral Disclosure policy over 20 </w:t>
      </w:r>
      <w:proofErr w:type="gramStart"/>
      <w:r w:rsidRPr="005E2ED7">
        <w:rPr>
          <w:rFonts w:ascii="Calibri" w:eastAsia="Times New Roman" w:hAnsi="Calibri" w:cs="Times New Roman"/>
          <w:b/>
          <w:bCs/>
          <w:i w:val="0"/>
          <w:iCs w:val="0"/>
          <w:color w:val="auto"/>
          <w:sz w:val="24"/>
        </w:rPr>
        <w:t>years</w:t>
      </w:r>
      <w:bookmarkEnd w:id="11"/>
      <w:proofErr w:type="gramEnd"/>
      <w:r w:rsidRPr="005E2ED7">
        <w:rPr>
          <w:rFonts w:ascii="Calibri" w:eastAsia="Times New Roman" w:hAnsi="Calibri" w:cs="Times New Roman"/>
          <w:b/>
          <w:bCs/>
          <w:i w:val="0"/>
          <w:iCs w:val="0"/>
          <w:color w:val="auto"/>
          <w:sz w:val="24"/>
        </w:rPr>
        <w:t xml:space="preserve"> </w:t>
      </w:r>
    </w:p>
    <w:p w14:paraId="2EB29A56" w14:textId="539B1597" w:rsidR="00256B82" w:rsidRDefault="001B6DB3" w:rsidP="006976BB">
      <w:pPr>
        <w:pStyle w:val="BodyBullet"/>
        <w:jc w:val="right"/>
        <w:rPr>
          <w:rFonts w:cstheme="minorHAnsi"/>
        </w:rPr>
      </w:pPr>
      <w:r w:rsidRPr="001B6DB3">
        <w:rPr>
          <w:rFonts w:cstheme="minorHAnsi"/>
          <w:noProof/>
        </w:rPr>
        <w:drawing>
          <wp:inline distT="0" distB="0" distL="0" distR="0" wp14:anchorId="7F98225C" wp14:editId="0B33D4D6">
            <wp:extent cx="6479540" cy="3462020"/>
            <wp:effectExtent l="0" t="0" r="0" b="5080"/>
            <wp:docPr id="1" name="Picture 1" descr="Net position for the average building covered by the Tailored Sectoral Disclosure policy over 20 years. See Appendix 11, Table 34 for data presented i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t position for the average building covered by the Tailored Sectoral Disclosure policy over 20 years. See Appendix 11, Table 34 for data presented in chart."/>
                    <pic:cNvPicPr/>
                  </pic:nvPicPr>
                  <pic:blipFill>
                    <a:blip r:embed="rId19"/>
                    <a:stretch>
                      <a:fillRect/>
                    </a:stretch>
                  </pic:blipFill>
                  <pic:spPr>
                    <a:xfrm>
                      <a:off x="0" y="0"/>
                      <a:ext cx="6479540" cy="3462020"/>
                    </a:xfrm>
                    <a:prstGeom prst="rect">
                      <a:avLst/>
                    </a:prstGeom>
                  </pic:spPr>
                </pic:pic>
              </a:graphicData>
            </a:graphic>
          </wp:inline>
        </w:drawing>
      </w:r>
    </w:p>
    <w:p w14:paraId="041F5D2B" w14:textId="03C8B528" w:rsidR="00E57C85" w:rsidRDefault="00E57C85" w:rsidP="00190E49">
      <w:pPr>
        <w:pStyle w:val="BodyBullet"/>
        <w:rPr>
          <w:rFonts w:cstheme="minorHAnsi"/>
        </w:rPr>
      </w:pPr>
      <w:hyperlink w:anchor="_Table_34:_Data" w:history="1">
        <w:r w:rsidRPr="00171C8F">
          <w:rPr>
            <w:rStyle w:val="Hyperlink"/>
            <w:rFonts w:cstheme="minorHAnsi"/>
          </w:rPr>
          <w:t xml:space="preserve">Link to text version of </w:t>
        </w:r>
        <w:r>
          <w:rPr>
            <w:rStyle w:val="Hyperlink"/>
            <w:rFonts w:cstheme="minorHAnsi"/>
          </w:rPr>
          <w:t xml:space="preserve">Figure </w:t>
        </w:r>
        <w:r w:rsidR="00EA3477">
          <w:rPr>
            <w:rStyle w:val="Hyperlink"/>
            <w:rFonts w:cstheme="minorHAnsi"/>
          </w:rPr>
          <w:t>4</w:t>
        </w:r>
        <w:r>
          <w:rPr>
            <w:rStyle w:val="Hyperlink"/>
            <w:rFonts w:cstheme="minorHAnsi"/>
          </w:rPr>
          <w:t xml:space="preserve"> [Appendix 11 Table 3</w:t>
        </w:r>
        <w:r w:rsidR="00EA3477">
          <w:rPr>
            <w:rStyle w:val="Hyperlink"/>
            <w:rFonts w:cstheme="minorHAnsi"/>
          </w:rPr>
          <w:t>4</w:t>
        </w:r>
        <w:r>
          <w:rPr>
            <w:rStyle w:val="Hyperlink"/>
            <w:rFonts w:cstheme="minorHAnsi"/>
          </w:rPr>
          <w:t>]</w:t>
        </w:r>
        <w:r w:rsidRPr="00171C8F">
          <w:rPr>
            <w:rStyle w:val="Hyperlink"/>
            <w:rFonts w:cstheme="minorHAnsi"/>
          </w:rPr>
          <w:t xml:space="preserve">. </w:t>
        </w:r>
      </w:hyperlink>
    </w:p>
    <w:p w14:paraId="7B5C3196" w14:textId="7F7D4725" w:rsidR="002B3B52" w:rsidRPr="00F81ADB" w:rsidRDefault="009740C2" w:rsidP="00190E49">
      <w:pPr>
        <w:pStyle w:val="BodyBullet"/>
        <w:rPr>
          <w:rFonts w:cstheme="minorHAnsi"/>
        </w:rPr>
      </w:pPr>
      <w:r>
        <w:rPr>
          <w:rFonts w:cstheme="minorHAnsi"/>
        </w:rPr>
        <w:t>T</w:t>
      </w:r>
      <w:r w:rsidR="00494D37" w:rsidRPr="00F81ADB">
        <w:rPr>
          <w:rFonts w:cstheme="minorHAnsi"/>
        </w:rPr>
        <w:t xml:space="preserve">he </w:t>
      </w:r>
      <w:r w:rsidR="00494D37" w:rsidRPr="001B14EC">
        <w:rPr>
          <w:rFonts w:cstheme="minorHAnsi"/>
          <w:i/>
        </w:rPr>
        <w:t>Tailored Sectoral Disclosure</w:t>
      </w:r>
      <w:r w:rsidR="00494D37" w:rsidRPr="00F81ADB">
        <w:rPr>
          <w:rFonts w:cstheme="minorHAnsi"/>
        </w:rPr>
        <w:t xml:space="preserve"> policy</w:t>
      </w:r>
      <w:r w:rsidR="002B3B52" w:rsidRPr="00F81ADB">
        <w:rPr>
          <w:rFonts w:cstheme="minorHAnsi"/>
        </w:rPr>
        <w:t xml:space="preserve"> </w:t>
      </w:r>
      <w:r w:rsidR="000F57EE" w:rsidRPr="00F81ADB">
        <w:rPr>
          <w:rFonts w:cstheme="minorHAnsi"/>
        </w:rPr>
        <w:t>achieved</w:t>
      </w:r>
      <w:r w:rsidR="002B3B52" w:rsidRPr="00F81ADB">
        <w:rPr>
          <w:rFonts w:cstheme="minorHAnsi"/>
        </w:rPr>
        <w:t xml:space="preserve"> a net benefit for building owners ranging from around $365,000 to $663,000 over a 20-year period. This range is based on different underlying assumptions on building sizes, as input data on the existing building stock provides quantity estimates in size ranges.</w:t>
      </w:r>
      <w:r w:rsidR="00190E49" w:rsidRPr="00F81ADB">
        <w:rPr>
          <w:rFonts w:cstheme="minorHAnsi"/>
        </w:rPr>
        <w:t xml:space="preserve"> This </w:t>
      </w:r>
      <w:r w:rsidR="002B3B52" w:rsidRPr="00F81ADB">
        <w:rPr>
          <w:rFonts w:cstheme="minorHAnsi"/>
        </w:rPr>
        <w:t xml:space="preserve">policy </w:t>
      </w:r>
      <w:r w:rsidR="002D585C">
        <w:rPr>
          <w:rFonts w:cstheme="minorHAnsi"/>
        </w:rPr>
        <w:t xml:space="preserve">could form the foundations of a strong policy suite as it </w:t>
      </w:r>
      <w:r w:rsidR="002B3B52" w:rsidRPr="00F81ADB">
        <w:rPr>
          <w:rFonts w:cstheme="minorHAnsi"/>
        </w:rPr>
        <w:t xml:space="preserve">represents </w:t>
      </w:r>
      <w:r w:rsidR="002D585C">
        <w:rPr>
          <w:rFonts w:cstheme="minorHAnsi"/>
        </w:rPr>
        <w:t>the</w:t>
      </w:r>
      <w:r w:rsidR="002B3B52" w:rsidRPr="00F81ADB">
        <w:rPr>
          <w:rFonts w:cstheme="minorHAnsi"/>
        </w:rPr>
        <w:t xml:space="preserve"> most expansive of the policies explored, in that it has implications for many sectors of the economy</w:t>
      </w:r>
      <w:r w:rsidR="009D00A4" w:rsidRPr="00F81ADB">
        <w:rPr>
          <w:rFonts w:cstheme="minorHAnsi"/>
        </w:rPr>
        <w:t xml:space="preserve"> and would cover the widest range of buildings</w:t>
      </w:r>
      <w:r w:rsidR="002B3B52" w:rsidRPr="00F81ADB">
        <w:rPr>
          <w:rFonts w:cstheme="minorHAnsi"/>
        </w:rPr>
        <w:t xml:space="preserve">. This means that the benefits of the policy are more transformative for the economy encouraging sectors that had not previously been exposed to building energy efficiency </w:t>
      </w:r>
      <w:r w:rsidR="005F53A2">
        <w:rPr>
          <w:rFonts w:cstheme="minorHAnsi"/>
        </w:rPr>
        <w:t xml:space="preserve">standards and regulation </w:t>
      </w:r>
      <w:r w:rsidR="002B3B52" w:rsidRPr="00F81ADB">
        <w:rPr>
          <w:rFonts w:cstheme="minorHAnsi"/>
        </w:rPr>
        <w:t xml:space="preserve">to consider changes. </w:t>
      </w:r>
      <w:r w:rsidR="00DC1918">
        <w:rPr>
          <w:rFonts w:cstheme="minorHAnsi"/>
        </w:rPr>
        <w:t xml:space="preserve">It would also </w:t>
      </w:r>
      <w:r w:rsidR="00955FB2">
        <w:rPr>
          <w:rFonts w:cstheme="minorHAnsi"/>
        </w:rPr>
        <w:t>make</w:t>
      </w:r>
      <w:r w:rsidR="000933B8">
        <w:rPr>
          <w:rFonts w:cstheme="minorHAnsi"/>
        </w:rPr>
        <w:t xml:space="preserve"> the </w:t>
      </w:r>
      <w:r w:rsidR="00955FB2">
        <w:rPr>
          <w:rFonts w:cstheme="minorHAnsi"/>
        </w:rPr>
        <w:t>most significant impact on emissions and energy usage</w:t>
      </w:r>
      <w:r w:rsidR="000933B8">
        <w:rPr>
          <w:rFonts w:cstheme="minorHAnsi"/>
        </w:rPr>
        <w:t>.</w:t>
      </w:r>
      <w:r w:rsidR="00073F8C">
        <w:rPr>
          <w:rFonts w:cstheme="minorHAnsi"/>
        </w:rPr>
        <w:t xml:space="preserve"> Additionally, </w:t>
      </w:r>
      <w:r w:rsidR="00BF0559">
        <w:rPr>
          <w:rFonts w:cstheme="minorHAnsi"/>
        </w:rPr>
        <w:t xml:space="preserve">the expansion of benchmarking and disclosure requirements </w:t>
      </w:r>
      <w:r w:rsidR="00842A38">
        <w:rPr>
          <w:rFonts w:cstheme="minorHAnsi"/>
        </w:rPr>
        <w:t xml:space="preserve">under this policy </w:t>
      </w:r>
      <w:r w:rsidR="00BF0559">
        <w:rPr>
          <w:rFonts w:cstheme="minorHAnsi"/>
        </w:rPr>
        <w:t xml:space="preserve">could also establish a framework for other </w:t>
      </w:r>
      <w:r w:rsidR="00842A38">
        <w:rPr>
          <w:rFonts w:cstheme="minorHAnsi"/>
        </w:rPr>
        <w:t>institutions</w:t>
      </w:r>
      <w:r w:rsidR="00BF0559">
        <w:rPr>
          <w:rFonts w:cstheme="minorHAnsi"/>
        </w:rPr>
        <w:t xml:space="preserve"> such as banks and </w:t>
      </w:r>
      <w:r w:rsidR="00ED51A6">
        <w:rPr>
          <w:rFonts w:cstheme="minorHAnsi"/>
        </w:rPr>
        <w:t xml:space="preserve">lenders to drive energy efficiency improvements. The </w:t>
      </w:r>
      <w:r w:rsidR="00271904">
        <w:rPr>
          <w:rFonts w:cstheme="minorHAnsi"/>
        </w:rPr>
        <w:t xml:space="preserve">finance </w:t>
      </w:r>
      <w:r w:rsidR="00ED51A6">
        <w:rPr>
          <w:rFonts w:cstheme="minorHAnsi"/>
        </w:rPr>
        <w:t xml:space="preserve">sector </w:t>
      </w:r>
      <w:r w:rsidR="00F65824">
        <w:rPr>
          <w:rFonts w:cstheme="minorHAnsi"/>
        </w:rPr>
        <w:t xml:space="preserve">has ambitious sustainability and considerations incorporate as part of its lending targets, and a </w:t>
      </w:r>
      <w:r w:rsidR="000E2CEE">
        <w:rPr>
          <w:rFonts w:cstheme="minorHAnsi"/>
        </w:rPr>
        <w:t xml:space="preserve">sector-wide framework </w:t>
      </w:r>
      <w:r w:rsidR="00271904">
        <w:rPr>
          <w:rFonts w:cstheme="minorHAnsi"/>
        </w:rPr>
        <w:t xml:space="preserve">are likely to reinforce </w:t>
      </w:r>
      <w:r w:rsidR="00C40B6D">
        <w:rPr>
          <w:rFonts w:cstheme="minorHAnsi"/>
        </w:rPr>
        <w:t xml:space="preserve">the impact of regulatory </w:t>
      </w:r>
      <w:r w:rsidR="000E2CEE">
        <w:rPr>
          <w:rFonts w:cstheme="minorHAnsi"/>
        </w:rPr>
        <w:t xml:space="preserve">change. </w:t>
      </w:r>
      <w:r w:rsidR="00355EAA">
        <w:rPr>
          <w:rFonts w:cstheme="minorHAnsi"/>
        </w:rPr>
        <w:t xml:space="preserve">The aggregate benefit would depend on </w:t>
      </w:r>
      <w:r w:rsidR="005801ED">
        <w:rPr>
          <w:rFonts w:cstheme="minorHAnsi"/>
        </w:rPr>
        <w:t xml:space="preserve">precise </w:t>
      </w:r>
      <w:r w:rsidR="0090224F">
        <w:rPr>
          <w:rFonts w:cstheme="minorHAnsi"/>
        </w:rPr>
        <w:t xml:space="preserve">implementation </w:t>
      </w:r>
      <w:r w:rsidR="005801ED">
        <w:rPr>
          <w:rFonts w:cstheme="minorHAnsi"/>
        </w:rPr>
        <w:t>coverage</w:t>
      </w:r>
      <w:r w:rsidR="0090224F">
        <w:rPr>
          <w:rFonts w:cstheme="minorHAnsi"/>
        </w:rPr>
        <w:t xml:space="preserve"> </w:t>
      </w:r>
      <w:r w:rsidR="00EB5F3F">
        <w:rPr>
          <w:rFonts w:cstheme="minorHAnsi"/>
        </w:rPr>
        <w:t xml:space="preserve">of </w:t>
      </w:r>
      <w:r w:rsidR="008E575E">
        <w:rPr>
          <w:rFonts w:cstheme="minorHAnsi"/>
        </w:rPr>
        <w:t>any expansion</w:t>
      </w:r>
      <w:r w:rsidR="0090224F">
        <w:rPr>
          <w:rFonts w:cstheme="minorHAnsi"/>
        </w:rPr>
        <w:t xml:space="preserve">, but </w:t>
      </w:r>
      <w:r w:rsidR="00A405C8">
        <w:rPr>
          <w:rFonts w:cstheme="minorHAnsi"/>
        </w:rPr>
        <w:t>initial</w:t>
      </w:r>
      <w:r w:rsidR="008B5807">
        <w:rPr>
          <w:rFonts w:cstheme="minorHAnsi"/>
        </w:rPr>
        <w:t xml:space="preserve"> </w:t>
      </w:r>
      <w:r w:rsidR="00596703">
        <w:rPr>
          <w:rFonts w:cstheme="minorHAnsi"/>
        </w:rPr>
        <w:t>commenc</w:t>
      </w:r>
      <w:r w:rsidR="008B5807">
        <w:rPr>
          <w:rFonts w:cstheme="minorHAnsi"/>
        </w:rPr>
        <w:t xml:space="preserve">ement with </w:t>
      </w:r>
      <w:r w:rsidR="001D0E1D">
        <w:rPr>
          <w:rFonts w:cstheme="minorHAnsi"/>
        </w:rPr>
        <w:t>large</w:t>
      </w:r>
      <w:r w:rsidR="00A405C8">
        <w:rPr>
          <w:rFonts w:cstheme="minorHAnsi"/>
        </w:rPr>
        <w:t>r</w:t>
      </w:r>
      <w:r w:rsidR="001D0E1D">
        <w:rPr>
          <w:rFonts w:cstheme="minorHAnsi"/>
        </w:rPr>
        <w:t xml:space="preserve"> </w:t>
      </w:r>
      <w:r w:rsidR="00D43D81">
        <w:rPr>
          <w:rFonts w:cstheme="minorHAnsi"/>
        </w:rPr>
        <w:t xml:space="preserve">buildings in </w:t>
      </w:r>
      <w:r w:rsidR="008B5807">
        <w:rPr>
          <w:rFonts w:cstheme="minorHAnsi"/>
        </w:rPr>
        <w:t>relatively mature</w:t>
      </w:r>
      <w:r w:rsidR="001D0E1D">
        <w:rPr>
          <w:rFonts w:cstheme="minorHAnsi"/>
        </w:rPr>
        <w:t xml:space="preserve"> sub-sectors could produce substantial </w:t>
      </w:r>
      <w:r w:rsidR="00CA4DFF">
        <w:rPr>
          <w:rFonts w:cstheme="minorHAnsi"/>
        </w:rPr>
        <w:t>energy</w:t>
      </w:r>
      <w:r w:rsidR="00927DF0">
        <w:rPr>
          <w:rFonts w:cstheme="minorHAnsi"/>
        </w:rPr>
        <w:t xml:space="preserve">, </w:t>
      </w:r>
      <w:proofErr w:type="gramStart"/>
      <w:r w:rsidR="00CA4DFF">
        <w:rPr>
          <w:rFonts w:cstheme="minorHAnsi"/>
        </w:rPr>
        <w:t>emissions</w:t>
      </w:r>
      <w:proofErr w:type="gramEnd"/>
      <w:r w:rsidR="00927DF0">
        <w:rPr>
          <w:rFonts w:cstheme="minorHAnsi"/>
        </w:rPr>
        <w:t xml:space="preserve"> and net economic benefits</w:t>
      </w:r>
      <w:r w:rsidR="005801ED">
        <w:rPr>
          <w:rFonts w:cstheme="minorHAnsi"/>
        </w:rPr>
        <w:t>.</w:t>
      </w:r>
    </w:p>
    <w:p w14:paraId="05099E15" w14:textId="21B3E474" w:rsidR="000E2CEE" w:rsidRPr="00F81ADB" w:rsidRDefault="000E2CEE" w:rsidP="00190E49">
      <w:pPr>
        <w:pStyle w:val="BodyBullet"/>
        <w:rPr>
          <w:rFonts w:cstheme="minorHAnsi"/>
        </w:rPr>
      </w:pPr>
      <w:r>
        <w:rPr>
          <w:rFonts w:cstheme="minorHAnsi"/>
        </w:rPr>
        <w:t>In considering this policy</w:t>
      </w:r>
      <w:r w:rsidR="00FB4382">
        <w:rPr>
          <w:rFonts w:cstheme="minorHAnsi"/>
        </w:rPr>
        <w:t xml:space="preserve"> a sensitivity analysis was conducted to explore the impact of moving from annual disclosure requirements to </w:t>
      </w:r>
      <w:r w:rsidR="006606BE">
        <w:rPr>
          <w:rFonts w:cstheme="minorHAnsi"/>
        </w:rPr>
        <w:t xml:space="preserve">disclosure </w:t>
      </w:r>
      <w:r w:rsidR="002B2E61">
        <w:rPr>
          <w:rFonts w:cstheme="minorHAnsi"/>
        </w:rPr>
        <w:t>once every two years</w:t>
      </w:r>
      <w:r w:rsidR="00613136">
        <w:rPr>
          <w:rFonts w:cstheme="minorHAnsi"/>
        </w:rPr>
        <w:t xml:space="preserve">. </w:t>
      </w:r>
      <w:r w:rsidR="00C16874">
        <w:rPr>
          <w:rFonts w:cstheme="minorHAnsi"/>
        </w:rPr>
        <w:t>T</w:t>
      </w:r>
      <w:r w:rsidR="004C6486">
        <w:rPr>
          <w:rFonts w:cstheme="minorHAnsi"/>
        </w:rPr>
        <w:t>he</w:t>
      </w:r>
      <w:r w:rsidR="0092233B">
        <w:rPr>
          <w:rFonts w:cstheme="minorHAnsi"/>
        </w:rPr>
        <w:t xml:space="preserve"> overall net benefit </w:t>
      </w:r>
      <w:r w:rsidR="00C16874">
        <w:rPr>
          <w:rFonts w:cstheme="minorHAnsi"/>
        </w:rPr>
        <w:t xml:space="preserve">was found to be reduced </w:t>
      </w:r>
      <w:r w:rsidR="0092233B" w:rsidRPr="00C07CF7">
        <w:rPr>
          <w:rFonts w:cstheme="minorHAnsi"/>
        </w:rPr>
        <w:t xml:space="preserve">by </w:t>
      </w:r>
      <w:r w:rsidR="00C07CF7" w:rsidRPr="00C07CF7">
        <w:rPr>
          <w:rFonts w:cstheme="minorHAnsi"/>
        </w:rPr>
        <w:t>46</w:t>
      </w:r>
      <w:r w:rsidR="00A519D2" w:rsidRPr="00C07CF7">
        <w:rPr>
          <w:rFonts w:cstheme="minorHAnsi"/>
        </w:rPr>
        <w:t>-</w:t>
      </w:r>
      <w:r w:rsidR="00C07CF7" w:rsidRPr="00C07CF7">
        <w:rPr>
          <w:rFonts w:cstheme="minorHAnsi"/>
        </w:rPr>
        <w:t>53</w:t>
      </w:r>
      <w:r w:rsidR="0092233B">
        <w:rPr>
          <w:rFonts w:cstheme="minorHAnsi"/>
        </w:rPr>
        <w:t xml:space="preserve"> per cent</w:t>
      </w:r>
      <w:r w:rsidR="00C16874">
        <w:rPr>
          <w:rFonts w:cstheme="minorHAnsi"/>
        </w:rPr>
        <w:t xml:space="preserve"> </w:t>
      </w:r>
      <w:r w:rsidR="00733984">
        <w:rPr>
          <w:rFonts w:cstheme="minorHAnsi"/>
        </w:rPr>
        <w:t xml:space="preserve">based on </w:t>
      </w:r>
      <w:r w:rsidR="006A29E5">
        <w:rPr>
          <w:rFonts w:cstheme="minorHAnsi"/>
        </w:rPr>
        <w:t xml:space="preserve">likely lower take up of </w:t>
      </w:r>
      <w:r w:rsidR="00572836">
        <w:rPr>
          <w:rFonts w:cstheme="minorHAnsi"/>
        </w:rPr>
        <w:t>low/no cost opportunities</w:t>
      </w:r>
      <w:r w:rsidR="0092233B">
        <w:rPr>
          <w:rFonts w:cstheme="minorHAnsi"/>
        </w:rPr>
        <w:t>.</w:t>
      </w:r>
    </w:p>
    <w:p w14:paraId="7907DC25" w14:textId="33D19B9A" w:rsidR="00752584" w:rsidRPr="00F81ADB" w:rsidRDefault="00E90193" w:rsidP="00426085">
      <w:pPr>
        <w:pStyle w:val="BodyBullet"/>
        <w:rPr>
          <w:rFonts w:cstheme="minorHAnsi"/>
        </w:rPr>
      </w:pPr>
      <w:r w:rsidRPr="001B14EC">
        <w:rPr>
          <w:rFonts w:cstheme="minorHAnsi"/>
          <w:i/>
        </w:rPr>
        <w:t>A</w:t>
      </w:r>
      <w:r w:rsidR="00752584" w:rsidRPr="001B14EC">
        <w:rPr>
          <w:rFonts w:cstheme="minorHAnsi"/>
          <w:i/>
        </w:rPr>
        <w:t xml:space="preserve"> </w:t>
      </w:r>
      <w:r w:rsidR="00752584" w:rsidRPr="00B50733">
        <w:rPr>
          <w:rFonts w:cstheme="minorHAnsi"/>
          <w:i/>
        </w:rPr>
        <w:t xml:space="preserve">NABERS star rating </w:t>
      </w:r>
      <w:proofErr w:type="spellStart"/>
      <w:r w:rsidR="00752584" w:rsidRPr="00B50733">
        <w:rPr>
          <w:rFonts w:cstheme="minorHAnsi"/>
          <w:i/>
        </w:rPr>
        <w:t>MEPS</w:t>
      </w:r>
      <w:proofErr w:type="spellEnd"/>
      <w:r w:rsidR="00752584" w:rsidRPr="00B50733">
        <w:rPr>
          <w:rFonts w:cstheme="minorHAnsi"/>
          <w:i/>
        </w:rPr>
        <w:t xml:space="preserve"> for offices</w:t>
      </w:r>
      <w:r w:rsidR="00752584" w:rsidRPr="00F81ADB">
        <w:rPr>
          <w:rFonts w:cstheme="minorHAnsi"/>
        </w:rPr>
        <w:t xml:space="preserve"> </w:t>
      </w:r>
      <w:r w:rsidR="00B1701B">
        <w:rPr>
          <w:rFonts w:cstheme="minorHAnsi"/>
        </w:rPr>
        <w:t xml:space="preserve">was </w:t>
      </w:r>
      <w:r w:rsidR="00D46DA2">
        <w:rPr>
          <w:rFonts w:cstheme="minorHAnsi"/>
        </w:rPr>
        <w:t xml:space="preserve">also </w:t>
      </w:r>
      <w:r w:rsidR="00B1701B">
        <w:rPr>
          <w:rFonts w:cstheme="minorHAnsi"/>
        </w:rPr>
        <w:t xml:space="preserve">found to </w:t>
      </w:r>
      <w:r w:rsidR="00025F03" w:rsidRPr="00F81ADB">
        <w:rPr>
          <w:rFonts w:cstheme="minorHAnsi"/>
        </w:rPr>
        <w:t>provide</w:t>
      </w:r>
      <w:r w:rsidR="00752584" w:rsidRPr="00F81ADB">
        <w:rPr>
          <w:rFonts w:cstheme="minorHAnsi"/>
        </w:rPr>
        <w:t xml:space="preserve"> a </w:t>
      </w:r>
      <w:r w:rsidR="00B1701B">
        <w:rPr>
          <w:rFonts w:cstheme="minorHAnsi"/>
        </w:rPr>
        <w:t xml:space="preserve">substantial </w:t>
      </w:r>
      <w:r w:rsidR="00752584" w:rsidRPr="00F81ADB">
        <w:rPr>
          <w:rFonts w:cstheme="minorHAnsi"/>
        </w:rPr>
        <w:t>net benefit for building owners</w:t>
      </w:r>
      <w:r w:rsidR="002F1B95">
        <w:rPr>
          <w:rFonts w:cstheme="minorHAnsi"/>
        </w:rPr>
        <w:t xml:space="preserve">, </w:t>
      </w:r>
      <w:r w:rsidR="00752584" w:rsidRPr="00F81ADB">
        <w:rPr>
          <w:rFonts w:cstheme="minorHAnsi"/>
        </w:rPr>
        <w:t xml:space="preserve">ranging from </w:t>
      </w:r>
      <w:r w:rsidR="00752584" w:rsidRPr="00C07CF7">
        <w:rPr>
          <w:rFonts w:cstheme="minorHAnsi"/>
        </w:rPr>
        <w:t>$1.1 million to $1.</w:t>
      </w:r>
      <w:r w:rsidR="00A2608E" w:rsidRPr="00C07CF7">
        <w:rPr>
          <w:rFonts w:cstheme="minorHAnsi"/>
        </w:rPr>
        <w:t>8</w:t>
      </w:r>
      <w:r w:rsidR="00752584" w:rsidRPr="00C07CF7">
        <w:rPr>
          <w:rFonts w:cstheme="minorHAnsi"/>
        </w:rPr>
        <w:t xml:space="preserve"> million</w:t>
      </w:r>
      <w:r w:rsidR="00752584" w:rsidRPr="00F81ADB">
        <w:rPr>
          <w:rFonts w:cstheme="minorHAnsi"/>
        </w:rPr>
        <w:t xml:space="preserve"> over a 20-year period, depending on the average size of the </w:t>
      </w:r>
      <w:r w:rsidR="00113F11">
        <w:rPr>
          <w:rFonts w:cstheme="minorHAnsi"/>
        </w:rPr>
        <w:t xml:space="preserve">office </w:t>
      </w:r>
      <w:r w:rsidR="00752584" w:rsidRPr="00F81ADB">
        <w:rPr>
          <w:rFonts w:cstheme="minorHAnsi"/>
        </w:rPr>
        <w:t>buildings.</w:t>
      </w:r>
      <w:r w:rsidR="00426085" w:rsidRPr="00F81ADB">
        <w:rPr>
          <w:rFonts w:cstheme="minorHAnsi"/>
        </w:rPr>
        <w:t xml:space="preserve"> </w:t>
      </w:r>
      <w:r w:rsidR="00864264">
        <w:rPr>
          <w:rFonts w:cstheme="minorHAnsi"/>
        </w:rPr>
        <w:t>While</w:t>
      </w:r>
      <w:r w:rsidR="00370D8C">
        <w:rPr>
          <w:rFonts w:cstheme="minorHAnsi"/>
        </w:rPr>
        <w:t xml:space="preserve"> </w:t>
      </w:r>
      <w:r w:rsidR="0006714E">
        <w:rPr>
          <w:rFonts w:cstheme="minorHAnsi"/>
        </w:rPr>
        <w:t xml:space="preserve">this net benefit is </w:t>
      </w:r>
      <w:r w:rsidR="00370D8C">
        <w:rPr>
          <w:rFonts w:cstheme="minorHAnsi"/>
        </w:rPr>
        <w:t>larger per building than the results ou</w:t>
      </w:r>
      <w:r w:rsidR="0006714E">
        <w:rPr>
          <w:rFonts w:cstheme="minorHAnsi"/>
        </w:rPr>
        <w:t xml:space="preserve">tlined above for the CBD expansion, </w:t>
      </w:r>
      <w:r w:rsidR="00ED6499">
        <w:rPr>
          <w:rFonts w:cstheme="minorHAnsi"/>
        </w:rPr>
        <w:t xml:space="preserve">this proposal targets a much lower population of buildings, generally smaller </w:t>
      </w:r>
      <w:r w:rsidR="009368BC">
        <w:rPr>
          <w:rFonts w:cstheme="minorHAnsi"/>
        </w:rPr>
        <w:t>in size and energy use</w:t>
      </w:r>
      <w:r w:rsidR="00572DAE">
        <w:rPr>
          <w:rFonts w:cstheme="minorHAnsi"/>
        </w:rPr>
        <w:t xml:space="preserve"> - </w:t>
      </w:r>
      <w:r w:rsidR="003D60AA">
        <w:rPr>
          <w:rFonts w:cstheme="minorHAnsi"/>
        </w:rPr>
        <w:t xml:space="preserve">that is, this policy </w:t>
      </w:r>
      <w:r w:rsidR="00B565F6">
        <w:rPr>
          <w:rFonts w:cstheme="minorHAnsi"/>
        </w:rPr>
        <w:t xml:space="preserve">targets a subset of buildings with low efficiency ratings, </w:t>
      </w:r>
      <w:r w:rsidR="00B565F6">
        <w:rPr>
          <w:rFonts w:cstheme="minorHAnsi"/>
        </w:rPr>
        <w:lastRenderedPageBreak/>
        <w:t>seeking to lift th</w:t>
      </w:r>
      <w:r w:rsidR="007F19DA">
        <w:rPr>
          <w:rFonts w:cstheme="minorHAnsi"/>
        </w:rPr>
        <w:t xml:space="preserve">is tail to align better with larger and more modern buildings. </w:t>
      </w:r>
      <w:r w:rsidR="00206AFB">
        <w:rPr>
          <w:rFonts w:cstheme="minorHAnsi"/>
        </w:rPr>
        <w:t>T</w:t>
      </w:r>
      <w:r w:rsidR="009C2C68">
        <w:rPr>
          <w:rFonts w:cstheme="minorHAnsi"/>
        </w:rPr>
        <w:t xml:space="preserve">here is evidence </w:t>
      </w:r>
      <w:r w:rsidR="007B278B">
        <w:rPr>
          <w:rFonts w:cstheme="minorHAnsi"/>
        </w:rPr>
        <w:t xml:space="preserve">nonetheless of a </w:t>
      </w:r>
      <w:r w:rsidR="009C2C68">
        <w:rPr>
          <w:rFonts w:cstheme="minorHAnsi"/>
        </w:rPr>
        <w:t>large benefit under this policy</w:t>
      </w:r>
      <w:r w:rsidR="00206AFB">
        <w:rPr>
          <w:rFonts w:cstheme="minorHAnsi"/>
        </w:rPr>
        <w:t xml:space="preserve"> because</w:t>
      </w:r>
      <w:r w:rsidR="00AE29F9" w:rsidRPr="00F81ADB">
        <w:rPr>
          <w:rFonts w:cstheme="minorHAnsi"/>
        </w:rPr>
        <w:t xml:space="preserve"> </w:t>
      </w:r>
      <w:r w:rsidR="00B1777C" w:rsidRPr="00F81ADB">
        <w:rPr>
          <w:rFonts w:cstheme="minorHAnsi"/>
        </w:rPr>
        <w:t xml:space="preserve">many star rating improvements can be achieved </w:t>
      </w:r>
      <w:r w:rsidR="00585323" w:rsidRPr="00F81ADB">
        <w:rPr>
          <w:rFonts w:cstheme="minorHAnsi"/>
        </w:rPr>
        <w:t xml:space="preserve">with </w:t>
      </w:r>
      <w:r w:rsidR="00B1777C" w:rsidRPr="00F81ADB">
        <w:rPr>
          <w:rFonts w:cstheme="minorHAnsi"/>
        </w:rPr>
        <w:t xml:space="preserve">relatively low </w:t>
      </w:r>
      <w:r w:rsidR="00585323" w:rsidRPr="00F81ADB">
        <w:rPr>
          <w:rFonts w:cstheme="minorHAnsi"/>
        </w:rPr>
        <w:t>or no-cost operational improvements</w:t>
      </w:r>
      <w:r w:rsidR="00043129" w:rsidRPr="00F81ADB">
        <w:rPr>
          <w:rFonts w:cstheme="minorHAnsi"/>
        </w:rPr>
        <w:t xml:space="preserve">, and </w:t>
      </w:r>
      <w:r w:rsidR="00257B7C" w:rsidRPr="00F81ADB">
        <w:rPr>
          <w:rFonts w:cstheme="minorHAnsi"/>
        </w:rPr>
        <w:t xml:space="preserve">capital </w:t>
      </w:r>
      <w:r w:rsidR="00674951" w:rsidRPr="00F81ADB">
        <w:rPr>
          <w:rFonts w:cstheme="minorHAnsi"/>
        </w:rPr>
        <w:t xml:space="preserve">upgrade </w:t>
      </w:r>
      <w:r w:rsidR="00257B7C" w:rsidRPr="00F81ADB">
        <w:rPr>
          <w:rFonts w:cstheme="minorHAnsi"/>
        </w:rPr>
        <w:t xml:space="preserve">costs </w:t>
      </w:r>
      <w:r w:rsidR="00585323" w:rsidRPr="00F81ADB">
        <w:rPr>
          <w:rFonts w:cstheme="minorHAnsi"/>
        </w:rPr>
        <w:t xml:space="preserve">are limited </w:t>
      </w:r>
      <w:r w:rsidR="00E52B23" w:rsidRPr="00F81ADB">
        <w:rPr>
          <w:rFonts w:cstheme="minorHAnsi"/>
        </w:rPr>
        <w:t xml:space="preserve">by </w:t>
      </w:r>
      <w:r w:rsidR="00674951" w:rsidRPr="00F81ADB">
        <w:rPr>
          <w:rFonts w:cstheme="minorHAnsi"/>
        </w:rPr>
        <w:t xml:space="preserve">the fact that </w:t>
      </w:r>
      <w:r w:rsidR="00752584" w:rsidRPr="00F81ADB">
        <w:rPr>
          <w:rFonts w:cstheme="minorHAnsi"/>
        </w:rPr>
        <w:t xml:space="preserve">the most significant star-increases </w:t>
      </w:r>
      <w:r w:rsidR="00674951" w:rsidRPr="00F81ADB">
        <w:rPr>
          <w:rFonts w:cstheme="minorHAnsi"/>
        </w:rPr>
        <w:t xml:space="preserve">are </w:t>
      </w:r>
      <w:r w:rsidR="00752584" w:rsidRPr="00F81ADB">
        <w:rPr>
          <w:rFonts w:cstheme="minorHAnsi"/>
        </w:rPr>
        <w:t>in the smallest building size categor</w:t>
      </w:r>
      <w:r w:rsidR="00674951" w:rsidRPr="00F81ADB">
        <w:rPr>
          <w:rFonts w:cstheme="minorHAnsi"/>
        </w:rPr>
        <w:t>ies</w:t>
      </w:r>
      <w:r w:rsidR="00752584" w:rsidRPr="00F81ADB">
        <w:rPr>
          <w:rFonts w:cstheme="minorHAnsi"/>
        </w:rPr>
        <w:t xml:space="preserve">. </w:t>
      </w:r>
      <w:r w:rsidR="00674951" w:rsidRPr="00F81ADB">
        <w:rPr>
          <w:rFonts w:cstheme="minorHAnsi"/>
        </w:rPr>
        <w:t xml:space="preserve">The aggregate cost </w:t>
      </w:r>
      <w:r w:rsidR="00A25B00">
        <w:rPr>
          <w:rFonts w:cstheme="minorHAnsi"/>
        </w:rPr>
        <w:t>and benefits</w:t>
      </w:r>
      <w:r w:rsidR="00674951" w:rsidRPr="00F81ADB">
        <w:rPr>
          <w:rFonts w:cstheme="minorHAnsi"/>
        </w:rPr>
        <w:t xml:space="preserve"> of this policy</w:t>
      </w:r>
      <w:r w:rsidR="0065045E">
        <w:rPr>
          <w:rFonts w:cstheme="minorHAnsi"/>
        </w:rPr>
        <w:t xml:space="preserve"> is limited</w:t>
      </w:r>
      <w:r w:rsidR="00674951" w:rsidRPr="00F81ADB">
        <w:rPr>
          <w:rFonts w:cstheme="minorHAnsi"/>
        </w:rPr>
        <w:t xml:space="preserve"> by the high proportion of larger buildings that are already rated 5 stars and above.</w:t>
      </w:r>
    </w:p>
    <w:p w14:paraId="5E594BA9" w14:textId="47686CA4" w:rsidR="00AB3A18" w:rsidRPr="004E3937" w:rsidRDefault="00AB3A18" w:rsidP="004E3937">
      <w:pPr>
        <w:pStyle w:val="Caption"/>
        <w:keepNext/>
        <w:spacing w:after="120"/>
        <w:rPr>
          <w:rFonts w:ascii="Calibri" w:eastAsia="Times New Roman" w:hAnsi="Calibri" w:cs="Times New Roman"/>
          <w:b/>
          <w:bCs/>
          <w:i w:val="0"/>
          <w:iCs w:val="0"/>
          <w:color w:val="auto"/>
          <w:sz w:val="24"/>
        </w:rPr>
      </w:pPr>
      <w:bookmarkStart w:id="12" w:name="_Toc162535438"/>
      <w:r w:rsidRPr="004E3937">
        <w:rPr>
          <w:rFonts w:ascii="Calibri" w:eastAsia="Times New Roman" w:hAnsi="Calibri" w:cs="Times New Roman"/>
          <w:b/>
          <w:bCs/>
          <w:i w:val="0"/>
          <w:iCs w:val="0"/>
          <w:color w:val="auto"/>
          <w:sz w:val="24"/>
        </w:rPr>
        <w:t xml:space="preserve">Table </w:t>
      </w:r>
      <w:r w:rsidR="00EC4EF0" w:rsidRPr="004E3937">
        <w:rPr>
          <w:rFonts w:ascii="Calibri" w:eastAsia="Times New Roman" w:hAnsi="Calibri" w:cs="Times New Roman"/>
          <w:b/>
          <w:bCs/>
          <w:i w:val="0"/>
          <w:iCs w:val="0"/>
          <w:color w:val="auto"/>
          <w:sz w:val="24"/>
        </w:rPr>
        <w:fldChar w:fldCharType="begin"/>
      </w:r>
      <w:r w:rsidR="00EC4EF0" w:rsidRPr="004E3937">
        <w:rPr>
          <w:rFonts w:ascii="Calibri" w:eastAsia="Times New Roman" w:hAnsi="Calibri" w:cs="Times New Roman"/>
          <w:b/>
          <w:bCs/>
          <w:i w:val="0"/>
          <w:iCs w:val="0"/>
          <w:color w:val="auto"/>
          <w:sz w:val="24"/>
        </w:rPr>
        <w:instrText xml:space="preserve"> SEQ Table \* ARABIC </w:instrText>
      </w:r>
      <w:r w:rsidR="00EC4EF0"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w:t>
      </w:r>
      <w:r w:rsidR="00EC4EF0" w:rsidRPr="004E3937">
        <w:rPr>
          <w:rFonts w:ascii="Calibri" w:eastAsia="Times New Roman" w:hAnsi="Calibri" w:cs="Times New Roman"/>
          <w:b/>
          <w:bCs/>
          <w:i w:val="0"/>
          <w:iCs w:val="0"/>
          <w:color w:val="auto"/>
          <w:sz w:val="24"/>
        </w:rPr>
        <w:fldChar w:fldCharType="end"/>
      </w:r>
      <w:r w:rsidR="00911EEF" w:rsidRPr="004E3937">
        <w:rPr>
          <w:rFonts w:ascii="Calibri" w:eastAsia="Times New Roman" w:hAnsi="Calibri" w:cs="Times New Roman"/>
          <w:b/>
          <w:bCs/>
          <w:i w:val="0"/>
          <w:iCs w:val="0"/>
          <w:color w:val="auto"/>
          <w:sz w:val="24"/>
        </w:rPr>
        <w:t>:</w:t>
      </w:r>
      <w:r w:rsidRPr="004E3937">
        <w:rPr>
          <w:rFonts w:ascii="Calibri" w:eastAsia="Times New Roman" w:hAnsi="Calibri" w:cs="Times New Roman"/>
          <w:b/>
          <w:bCs/>
          <w:i w:val="0"/>
          <w:iCs w:val="0"/>
          <w:color w:val="auto"/>
          <w:sz w:val="24"/>
        </w:rPr>
        <w:t xml:space="preserve"> Breakdown of NABERS rating by building </w:t>
      </w:r>
      <w:proofErr w:type="gramStart"/>
      <w:r w:rsidRPr="004E3937">
        <w:rPr>
          <w:rFonts w:ascii="Calibri" w:eastAsia="Times New Roman" w:hAnsi="Calibri" w:cs="Times New Roman"/>
          <w:b/>
          <w:bCs/>
          <w:i w:val="0"/>
          <w:iCs w:val="0"/>
          <w:color w:val="auto"/>
          <w:sz w:val="24"/>
        </w:rPr>
        <w:t>size</w:t>
      </w:r>
      <w:bookmarkEnd w:id="12"/>
      <w:proofErr w:type="gramEnd"/>
    </w:p>
    <w:tbl>
      <w:tblPr>
        <w:tblW w:w="8160" w:type="dxa"/>
        <w:tblCellMar>
          <w:left w:w="0" w:type="dxa"/>
          <w:right w:w="0" w:type="dxa"/>
        </w:tblCellMar>
        <w:tblLook w:val="06A0" w:firstRow="1" w:lastRow="0" w:firstColumn="1" w:lastColumn="0" w:noHBand="1" w:noVBand="1"/>
      </w:tblPr>
      <w:tblGrid>
        <w:gridCol w:w="2300"/>
        <w:gridCol w:w="2460"/>
        <w:gridCol w:w="1920"/>
        <w:gridCol w:w="1480"/>
      </w:tblGrid>
      <w:tr w:rsidR="00AB3A18" w:rsidRPr="00B50DF2" w14:paraId="33001C1D" w14:textId="77777777">
        <w:trPr>
          <w:trHeight w:val="359"/>
        </w:trPr>
        <w:tc>
          <w:tcPr>
            <w:tcW w:w="2300" w:type="dxa"/>
            <w:tcBorders>
              <w:top w:val="single" w:sz="8" w:space="0" w:color="1E49E2"/>
              <w:left w:val="nil"/>
              <w:bottom w:val="nil"/>
              <w:right w:val="nil"/>
            </w:tcBorders>
            <w:shd w:val="clear" w:color="auto" w:fill="auto"/>
            <w:tcMar>
              <w:top w:w="15" w:type="dxa"/>
              <w:left w:w="15" w:type="dxa"/>
              <w:bottom w:w="0" w:type="dxa"/>
              <w:right w:w="15" w:type="dxa"/>
            </w:tcMar>
            <w:vAlign w:val="bottom"/>
            <w:hideMark/>
          </w:tcPr>
          <w:p w14:paraId="46E13490" w14:textId="77777777" w:rsidR="00AB3A18" w:rsidRPr="00D43547" w:rsidRDefault="00AB3A18">
            <w:pPr>
              <w:pStyle w:val="BodyText"/>
              <w:rPr>
                <w:rFonts w:asciiTheme="minorHAnsi" w:hAnsiTheme="minorHAnsi" w:cstheme="minorHAnsi"/>
              </w:rPr>
            </w:pPr>
          </w:p>
        </w:tc>
        <w:tc>
          <w:tcPr>
            <w:tcW w:w="2460"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48AA4B68"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1,000 - 5,000m</w:t>
            </w:r>
            <w:r w:rsidRPr="00D43547">
              <w:rPr>
                <w:rFonts w:asciiTheme="minorHAnsi" w:hAnsiTheme="minorHAnsi" w:cstheme="minorHAnsi"/>
                <w:vertAlign w:val="superscript"/>
              </w:rPr>
              <w:t>2</w:t>
            </w:r>
          </w:p>
        </w:tc>
        <w:tc>
          <w:tcPr>
            <w:tcW w:w="1920"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481BBF7B"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5,000-20,000 m</w:t>
            </w:r>
            <w:r w:rsidRPr="00D43547">
              <w:rPr>
                <w:rFonts w:asciiTheme="minorHAnsi" w:hAnsiTheme="minorHAnsi" w:cstheme="minorHAnsi"/>
                <w:vertAlign w:val="superscript"/>
              </w:rPr>
              <w:t>2</w:t>
            </w:r>
          </w:p>
        </w:tc>
        <w:tc>
          <w:tcPr>
            <w:tcW w:w="1480"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6B8D9E55"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&gt;20,000m</w:t>
            </w:r>
            <w:r w:rsidRPr="00D43547">
              <w:rPr>
                <w:rFonts w:asciiTheme="minorHAnsi" w:hAnsiTheme="minorHAnsi" w:cstheme="minorHAnsi"/>
                <w:vertAlign w:val="superscript"/>
              </w:rPr>
              <w:t>2</w:t>
            </w:r>
          </w:p>
        </w:tc>
      </w:tr>
      <w:tr w:rsidR="00AB3A18" w:rsidRPr="00B50DF2" w14:paraId="1BA14763" w14:textId="77777777">
        <w:trPr>
          <w:trHeight w:val="359"/>
        </w:trPr>
        <w:tc>
          <w:tcPr>
            <w:tcW w:w="2300" w:type="dxa"/>
            <w:tcBorders>
              <w:top w:val="nil"/>
              <w:left w:val="nil"/>
              <w:bottom w:val="nil"/>
              <w:right w:val="nil"/>
            </w:tcBorders>
            <w:shd w:val="clear" w:color="auto" w:fill="auto"/>
            <w:tcMar>
              <w:top w:w="15" w:type="dxa"/>
              <w:left w:w="15" w:type="dxa"/>
              <w:bottom w:w="0" w:type="dxa"/>
              <w:right w:w="15" w:type="dxa"/>
            </w:tcMar>
            <w:vAlign w:val="bottom"/>
            <w:hideMark/>
          </w:tcPr>
          <w:p w14:paraId="26435A7B" w14:textId="77777777" w:rsidR="00AB3A18" w:rsidRPr="00D43547" w:rsidRDefault="00AB3A18">
            <w:pPr>
              <w:pStyle w:val="BodyText"/>
              <w:rPr>
                <w:rFonts w:asciiTheme="minorHAnsi" w:hAnsiTheme="minorHAnsi" w:cstheme="minorHAnsi"/>
              </w:rPr>
            </w:pPr>
            <w:r w:rsidRPr="00D43547">
              <w:rPr>
                <w:rFonts w:asciiTheme="minorHAnsi" w:hAnsiTheme="minorHAnsi" w:cstheme="minorHAnsi"/>
                <w:b/>
              </w:rPr>
              <w:t>% 2 Star or less</w:t>
            </w:r>
          </w:p>
        </w:tc>
        <w:tc>
          <w:tcPr>
            <w:tcW w:w="2460" w:type="dxa"/>
            <w:tcBorders>
              <w:top w:val="nil"/>
              <w:left w:val="nil"/>
              <w:bottom w:val="nil"/>
              <w:right w:val="nil"/>
            </w:tcBorders>
            <w:shd w:val="clear" w:color="auto" w:fill="auto"/>
            <w:tcMar>
              <w:top w:w="15" w:type="dxa"/>
              <w:left w:w="15" w:type="dxa"/>
              <w:bottom w:w="0" w:type="dxa"/>
              <w:right w:w="15" w:type="dxa"/>
            </w:tcMar>
            <w:vAlign w:val="center"/>
            <w:hideMark/>
          </w:tcPr>
          <w:p w14:paraId="00F2E147"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26%</w:t>
            </w:r>
          </w:p>
        </w:tc>
        <w:tc>
          <w:tcPr>
            <w:tcW w:w="1920" w:type="dxa"/>
            <w:tcBorders>
              <w:top w:val="nil"/>
              <w:left w:val="nil"/>
              <w:bottom w:val="nil"/>
              <w:right w:val="nil"/>
            </w:tcBorders>
            <w:shd w:val="clear" w:color="auto" w:fill="auto"/>
            <w:tcMar>
              <w:top w:w="15" w:type="dxa"/>
              <w:left w:w="15" w:type="dxa"/>
              <w:bottom w:w="0" w:type="dxa"/>
              <w:right w:w="15" w:type="dxa"/>
            </w:tcMar>
            <w:vAlign w:val="center"/>
            <w:hideMark/>
          </w:tcPr>
          <w:p w14:paraId="00B903F0"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7%</w:t>
            </w:r>
          </w:p>
        </w:tc>
        <w:tc>
          <w:tcPr>
            <w:tcW w:w="1480" w:type="dxa"/>
            <w:tcBorders>
              <w:top w:val="nil"/>
              <w:left w:val="nil"/>
              <w:bottom w:val="nil"/>
              <w:right w:val="nil"/>
            </w:tcBorders>
            <w:shd w:val="clear" w:color="auto" w:fill="auto"/>
            <w:tcMar>
              <w:top w:w="15" w:type="dxa"/>
              <w:left w:w="15" w:type="dxa"/>
              <w:bottom w:w="0" w:type="dxa"/>
              <w:right w:w="15" w:type="dxa"/>
            </w:tcMar>
            <w:vAlign w:val="center"/>
            <w:hideMark/>
          </w:tcPr>
          <w:p w14:paraId="54D8C8EE"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1%</w:t>
            </w:r>
          </w:p>
        </w:tc>
      </w:tr>
      <w:tr w:rsidR="00AB3A18" w:rsidRPr="00B50DF2" w14:paraId="4446245F" w14:textId="77777777">
        <w:trPr>
          <w:trHeight w:val="359"/>
        </w:trPr>
        <w:tc>
          <w:tcPr>
            <w:tcW w:w="2300" w:type="dxa"/>
            <w:tcBorders>
              <w:top w:val="nil"/>
              <w:left w:val="nil"/>
              <w:bottom w:val="nil"/>
              <w:right w:val="nil"/>
            </w:tcBorders>
            <w:shd w:val="clear" w:color="auto" w:fill="auto"/>
            <w:tcMar>
              <w:top w:w="15" w:type="dxa"/>
              <w:left w:w="15" w:type="dxa"/>
              <w:bottom w:w="0" w:type="dxa"/>
              <w:right w:w="15" w:type="dxa"/>
            </w:tcMar>
            <w:vAlign w:val="bottom"/>
            <w:hideMark/>
          </w:tcPr>
          <w:p w14:paraId="153C61EE" w14:textId="77777777" w:rsidR="00AB3A18" w:rsidRPr="00D43547" w:rsidRDefault="00AB3A18">
            <w:pPr>
              <w:pStyle w:val="BodyText"/>
              <w:rPr>
                <w:rFonts w:asciiTheme="minorHAnsi" w:hAnsiTheme="minorHAnsi" w:cstheme="minorHAnsi"/>
              </w:rPr>
            </w:pPr>
            <w:r w:rsidRPr="00D43547">
              <w:rPr>
                <w:rFonts w:asciiTheme="minorHAnsi" w:hAnsiTheme="minorHAnsi" w:cstheme="minorHAnsi"/>
                <w:b/>
              </w:rPr>
              <w:t>% 3 Star</w:t>
            </w:r>
          </w:p>
        </w:tc>
        <w:tc>
          <w:tcPr>
            <w:tcW w:w="2460" w:type="dxa"/>
            <w:tcBorders>
              <w:top w:val="nil"/>
              <w:left w:val="nil"/>
              <w:bottom w:val="nil"/>
              <w:right w:val="nil"/>
            </w:tcBorders>
            <w:shd w:val="clear" w:color="auto" w:fill="auto"/>
            <w:tcMar>
              <w:top w:w="15" w:type="dxa"/>
              <w:left w:w="15" w:type="dxa"/>
              <w:bottom w:w="0" w:type="dxa"/>
              <w:right w:w="15" w:type="dxa"/>
            </w:tcMar>
            <w:vAlign w:val="center"/>
            <w:hideMark/>
          </w:tcPr>
          <w:p w14:paraId="4885AD72"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16%</w:t>
            </w:r>
          </w:p>
        </w:tc>
        <w:tc>
          <w:tcPr>
            <w:tcW w:w="1920" w:type="dxa"/>
            <w:tcBorders>
              <w:top w:val="nil"/>
              <w:left w:val="nil"/>
              <w:bottom w:val="nil"/>
              <w:right w:val="nil"/>
            </w:tcBorders>
            <w:shd w:val="clear" w:color="auto" w:fill="auto"/>
            <w:tcMar>
              <w:top w:w="15" w:type="dxa"/>
              <w:left w:w="15" w:type="dxa"/>
              <w:bottom w:w="0" w:type="dxa"/>
              <w:right w:w="15" w:type="dxa"/>
            </w:tcMar>
            <w:vAlign w:val="center"/>
            <w:hideMark/>
          </w:tcPr>
          <w:p w14:paraId="4B5BBAEA"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10%</w:t>
            </w:r>
          </w:p>
        </w:tc>
        <w:tc>
          <w:tcPr>
            <w:tcW w:w="1480" w:type="dxa"/>
            <w:tcBorders>
              <w:top w:val="nil"/>
              <w:left w:val="nil"/>
              <w:bottom w:val="nil"/>
              <w:right w:val="nil"/>
            </w:tcBorders>
            <w:shd w:val="clear" w:color="auto" w:fill="auto"/>
            <w:tcMar>
              <w:top w:w="15" w:type="dxa"/>
              <w:left w:w="15" w:type="dxa"/>
              <w:bottom w:w="0" w:type="dxa"/>
              <w:right w:w="15" w:type="dxa"/>
            </w:tcMar>
            <w:vAlign w:val="center"/>
            <w:hideMark/>
          </w:tcPr>
          <w:p w14:paraId="191E8E4F"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2%</w:t>
            </w:r>
          </w:p>
        </w:tc>
      </w:tr>
      <w:tr w:rsidR="00AB3A18" w:rsidRPr="00B50DF2" w14:paraId="33DD6D6D" w14:textId="77777777">
        <w:trPr>
          <w:trHeight w:val="359"/>
        </w:trPr>
        <w:tc>
          <w:tcPr>
            <w:tcW w:w="2300" w:type="dxa"/>
            <w:tcBorders>
              <w:top w:val="nil"/>
              <w:left w:val="nil"/>
              <w:bottom w:val="nil"/>
              <w:right w:val="nil"/>
            </w:tcBorders>
            <w:shd w:val="clear" w:color="auto" w:fill="auto"/>
            <w:tcMar>
              <w:top w:w="15" w:type="dxa"/>
              <w:left w:w="15" w:type="dxa"/>
              <w:bottom w:w="0" w:type="dxa"/>
              <w:right w:w="15" w:type="dxa"/>
            </w:tcMar>
            <w:vAlign w:val="bottom"/>
            <w:hideMark/>
          </w:tcPr>
          <w:p w14:paraId="51EE28C7" w14:textId="77777777" w:rsidR="00AB3A18" w:rsidRPr="00D43547" w:rsidRDefault="00AB3A18">
            <w:pPr>
              <w:pStyle w:val="BodyText"/>
              <w:rPr>
                <w:rFonts w:asciiTheme="minorHAnsi" w:hAnsiTheme="minorHAnsi" w:cstheme="minorHAnsi"/>
              </w:rPr>
            </w:pPr>
            <w:r w:rsidRPr="00D43547">
              <w:rPr>
                <w:rFonts w:asciiTheme="minorHAnsi" w:hAnsiTheme="minorHAnsi" w:cstheme="minorHAnsi"/>
                <w:b/>
              </w:rPr>
              <w:t>% 4 Star</w:t>
            </w:r>
          </w:p>
        </w:tc>
        <w:tc>
          <w:tcPr>
            <w:tcW w:w="2460" w:type="dxa"/>
            <w:tcBorders>
              <w:top w:val="nil"/>
              <w:left w:val="nil"/>
              <w:bottom w:val="nil"/>
              <w:right w:val="nil"/>
            </w:tcBorders>
            <w:shd w:val="clear" w:color="auto" w:fill="auto"/>
            <w:tcMar>
              <w:top w:w="15" w:type="dxa"/>
              <w:left w:w="15" w:type="dxa"/>
              <w:bottom w:w="0" w:type="dxa"/>
              <w:right w:w="15" w:type="dxa"/>
            </w:tcMar>
            <w:vAlign w:val="center"/>
            <w:hideMark/>
          </w:tcPr>
          <w:p w14:paraId="389F3315"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24%</w:t>
            </w:r>
          </w:p>
        </w:tc>
        <w:tc>
          <w:tcPr>
            <w:tcW w:w="1920" w:type="dxa"/>
            <w:tcBorders>
              <w:top w:val="nil"/>
              <w:left w:val="nil"/>
              <w:bottom w:val="nil"/>
              <w:right w:val="nil"/>
            </w:tcBorders>
            <w:shd w:val="clear" w:color="auto" w:fill="auto"/>
            <w:tcMar>
              <w:top w:w="15" w:type="dxa"/>
              <w:left w:w="15" w:type="dxa"/>
              <w:bottom w:w="0" w:type="dxa"/>
              <w:right w:w="15" w:type="dxa"/>
            </w:tcMar>
            <w:vAlign w:val="center"/>
            <w:hideMark/>
          </w:tcPr>
          <w:p w14:paraId="4E778FD5"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21%</w:t>
            </w:r>
          </w:p>
        </w:tc>
        <w:tc>
          <w:tcPr>
            <w:tcW w:w="1480" w:type="dxa"/>
            <w:tcBorders>
              <w:top w:val="nil"/>
              <w:left w:val="nil"/>
              <w:bottom w:val="nil"/>
              <w:right w:val="nil"/>
            </w:tcBorders>
            <w:shd w:val="clear" w:color="auto" w:fill="auto"/>
            <w:tcMar>
              <w:top w:w="15" w:type="dxa"/>
              <w:left w:w="15" w:type="dxa"/>
              <w:bottom w:w="0" w:type="dxa"/>
              <w:right w:w="15" w:type="dxa"/>
            </w:tcMar>
            <w:vAlign w:val="center"/>
            <w:hideMark/>
          </w:tcPr>
          <w:p w14:paraId="5BD5CB19" w14:textId="77777777" w:rsidR="00AB3A18" w:rsidRPr="00D43547" w:rsidRDefault="00AB3A18" w:rsidP="00F125F8">
            <w:pPr>
              <w:pStyle w:val="BodyText"/>
              <w:jc w:val="center"/>
              <w:rPr>
                <w:rFonts w:asciiTheme="minorHAnsi" w:hAnsiTheme="minorHAnsi" w:cstheme="minorHAnsi"/>
              </w:rPr>
            </w:pPr>
            <w:r w:rsidRPr="00D43547">
              <w:rPr>
                <w:rFonts w:asciiTheme="minorHAnsi" w:hAnsiTheme="minorHAnsi" w:cstheme="minorHAnsi"/>
              </w:rPr>
              <w:t>9%</w:t>
            </w:r>
          </w:p>
        </w:tc>
      </w:tr>
      <w:tr w:rsidR="00067BA8" w:rsidRPr="00B50DF2" w14:paraId="7443B12D" w14:textId="77777777" w:rsidTr="00FD477B">
        <w:trPr>
          <w:trHeight w:val="359"/>
        </w:trPr>
        <w:tc>
          <w:tcPr>
            <w:tcW w:w="2300" w:type="dxa"/>
            <w:tcBorders>
              <w:top w:val="nil"/>
              <w:left w:val="nil"/>
              <w:bottom w:val="nil"/>
              <w:right w:val="nil"/>
            </w:tcBorders>
            <w:shd w:val="clear" w:color="auto" w:fill="D9D9D9" w:themeFill="background1" w:themeFillShade="D9"/>
            <w:tcMar>
              <w:top w:w="15" w:type="dxa"/>
              <w:left w:w="15" w:type="dxa"/>
              <w:bottom w:w="0" w:type="dxa"/>
              <w:right w:w="15" w:type="dxa"/>
            </w:tcMar>
            <w:vAlign w:val="bottom"/>
          </w:tcPr>
          <w:p w14:paraId="3CE32859" w14:textId="7EFEE2B3" w:rsidR="00067BA8" w:rsidRPr="00D43547" w:rsidRDefault="00067BA8" w:rsidP="00067BA8">
            <w:pPr>
              <w:pStyle w:val="BodyText"/>
              <w:rPr>
                <w:rFonts w:asciiTheme="minorHAnsi" w:hAnsiTheme="minorHAnsi" w:cstheme="minorHAnsi"/>
                <w:b/>
              </w:rPr>
            </w:pPr>
            <w:r w:rsidRPr="00FD477B">
              <w:rPr>
                <w:rFonts w:asciiTheme="minorHAnsi" w:hAnsiTheme="minorHAnsi" w:cstheme="minorHAnsi"/>
                <w:b/>
              </w:rPr>
              <w:t>% 5 Star or above</w:t>
            </w:r>
          </w:p>
        </w:tc>
        <w:tc>
          <w:tcPr>
            <w:tcW w:w="2460" w:type="dxa"/>
            <w:tcBorders>
              <w:top w:val="nil"/>
              <w:left w:val="nil"/>
              <w:bottom w:val="nil"/>
              <w:right w:val="nil"/>
            </w:tcBorders>
            <w:shd w:val="clear" w:color="auto" w:fill="D9D9D9" w:themeFill="background1" w:themeFillShade="D9"/>
            <w:tcMar>
              <w:top w:w="15" w:type="dxa"/>
              <w:left w:w="15" w:type="dxa"/>
              <w:bottom w:w="0" w:type="dxa"/>
              <w:right w:w="15" w:type="dxa"/>
            </w:tcMar>
            <w:vAlign w:val="center"/>
          </w:tcPr>
          <w:p w14:paraId="718FAB21" w14:textId="134BDE3F" w:rsidR="00067BA8" w:rsidRPr="00D43547" w:rsidRDefault="00067BA8" w:rsidP="00F125F8">
            <w:pPr>
              <w:pStyle w:val="BodyText"/>
              <w:jc w:val="center"/>
              <w:rPr>
                <w:rFonts w:asciiTheme="minorHAnsi" w:hAnsiTheme="minorHAnsi" w:cstheme="minorHAnsi"/>
              </w:rPr>
            </w:pPr>
            <w:r w:rsidRPr="00FD477B">
              <w:rPr>
                <w:rFonts w:asciiTheme="minorHAnsi" w:hAnsiTheme="minorHAnsi" w:cstheme="minorHAnsi"/>
              </w:rPr>
              <w:t>35%</w:t>
            </w:r>
          </w:p>
        </w:tc>
        <w:tc>
          <w:tcPr>
            <w:tcW w:w="1920" w:type="dxa"/>
            <w:tcBorders>
              <w:top w:val="nil"/>
              <w:left w:val="nil"/>
              <w:bottom w:val="nil"/>
              <w:right w:val="nil"/>
            </w:tcBorders>
            <w:shd w:val="clear" w:color="auto" w:fill="D9D9D9" w:themeFill="background1" w:themeFillShade="D9"/>
            <w:tcMar>
              <w:top w:w="15" w:type="dxa"/>
              <w:left w:w="15" w:type="dxa"/>
              <w:bottom w:w="0" w:type="dxa"/>
              <w:right w:w="15" w:type="dxa"/>
            </w:tcMar>
            <w:vAlign w:val="center"/>
          </w:tcPr>
          <w:p w14:paraId="2FA51829" w14:textId="6099DC0B" w:rsidR="00067BA8" w:rsidRPr="00D43547" w:rsidRDefault="00067BA8" w:rsidP="00F125F8">
            <w:pPr>
              <w:pStyle w:val="BodyText"/>
              <w:jc w:val="center"/>
              <w:rPr>
                <w:rFonts w:asciiTheme="minorHAnsi" w:hAnsiTheme="minorHAnsi" w:cstheme="minorHAnsi"/>
              </w:rPr>
            </w:pPr>
            <w:r w:rsidRPr="00FD477B">
              <w:rPr>
                <w:rFonts w:asciiTheme="minorHAnsi" w:hAnsiTheme="minorHAnsi" w:cstheme="minorHAnsi"/>
              </w:rPr>
              <w:t>61%</w:t>
            </w:r>
          </w:p>
        </w:tc>
        <w:tc>
          <w:tcPr>
            <w:tcW w:w="1480" w:type="dxa"/>
            <w:tcBorders>
              <w:top w:val="nil"/>
              <w:left w:val="nil"/>
              <w:bottom w:val="nil"/>
              <w:right w:val="nil"/>
            </w:tcBorders>
            <w:shd w:val="clear" w:color="auto" w:fill="D9D9D9" w:themeFill="background1" w:themeFillShade="D9"/>
            <w:tcMar>
              <w:top w:w="15" w:type="dxa"/>
              <w:left w:w="15" w:type="dxa"/>
              <w:bottom w:w="0" w:type="dxa"/>
              <w:right w:w="15" w:type="dxa"/>
            </w:tcMar>
            <w:vAlign w:val="center"/>
          </w:tcPr>
          <w:p w14:paraId="6B9CAA71" w14:textId="099B84F1" w:rsidR="00067BA8" w:rsidRPr="00D43547" w:rsidRDefault="00067BA8" w:rsidP="00F125F8">
            <w:pPr>
              <w:pStyle w:val="BodyText"/>
              <w:jc w:val="center"/>
              <w:rPr>
                <w:rFonts w:asciiTheme="minorHAnsi" w:hAnsiTheme="minorHAnsi" w:cstheme="minorHAnsi"/>
              </w:rPr>
            </w:pPr>
            <w:r w:rsidRPr="00FD477B">
              <w:rPr>
                <w:rFonts w:asciiTheme="minorHAnsi" w:hAnsiTheme="minorHAnsi" w:cstheme="minorHAnsi"/>
              </w:rPr>
              <w:t>87%</w:t>
            </w:r>
          </w:p>
        </w:tc>
      </w:tr>
    </w:tbl>
    <w:p w14:paraId="118ACED9" w14:textId="77777777" w:rsidR="00F63B8F" w:rsidRDefault="00AB3A18" w:rsidP="00631A0D">
      <w:pPr>
        <w:pStyle w:val="BodyBullet"/>
        <w:rPr>
          <w:rFonts w:cstheme="minorHAnsi"/>
        </w:rPr>
      </w:pPr>
      <w:r w:rsidRPr="00F81ADB">
        <w:rPr>
          <w:rFonts w:cstheme="minorHAnsi"/>
        </w:rPr>
        <w:t xml:space="preserve">The feasibility assessment for the </w:t>
      </w:r>
      <w:r w:rsidRPr="00F81ADB">
        <w:rPr>
          <w:rFonts w:cstheme="minorHAnsi"/>
          <w:i/>
        </w:rPr>
        <w:t>Scope 1 disclosure</w:t>
      </w:r>
      <w:r w:rsidRPr="00F81ADB">
        <w:rPr>
          <w:rFonts w:cstheme="minorHAnsi"/>
        </w:rPr>
        <w:t xml:space="preserve"> policy revealed a modest net benefit for building owners ranging from around $3,100 to $5,200 over a 20-year period, depending on the average size of the underlying buildings. As this reform is a relatively light touch, it was assumed that the additional disclosure of detailed scope 1 emissions would result in a 0.5 per cent reduction in energy consumption and emissions per annum, and this improvement is the result of zero-cost operational improvements. The costs incurred for this policy assessment are largely centred on system uplift of the NABERS/</w:t>
      </w:r>
      <w:proofErr w:type="spellStart"/>
      <w:r w:rsidRPr="00F81ADB">
        <w:rPr>
          <w:rFonts w:cstheme="minorHAnsi"/>
        </w:rPr>
        <w:t>BEEC</w:t>
      </w:r>
      <w:proofErr w:type="spellEnd"/>
      <w:r w:rsidRPr="00F81ADB">
        <w:rPr>
          <w:rFonts w:cstheme="minorHAnsi"/>
        </w:rPr>
        <w:t xml:space="preserve"> policy, and costs to support the additional reporting requirements and some ongoing maintenance costs.</w:t>
      </w:r>
      <w:r w:rsidR="00012854">
        <w:rPr>
          <w:rFonts w:cstheme="minorHAnsi"/>
        </w:rPr>
        <w:t xml:space="preserve"> </w:t>
      </w:r>
      <w:r w:rsidR="00CF5943" w:rsidRPr="00BA282D">
        <w:rPr>
          <w:rFonts w:cstheme="minorHAnsi"/>
          <w:i/>
        </w:rPr>
        <w:t>Scope 1 disclosure policy</w:t>
      </w:r>
      <w:r w:rsidR="00CF5943">
        <w:rPr>
          <w:rFonts w:cstheme="minorHAnsi"/>
        </w:rPr>
        <w:t xml:space="preserve"> needs to be considered in the context of other changes, including the </w:t>
      </w:r>
      <w:r w:rsidR="007F0AAE">
        <w:rPr>
          <w:rFonts w:cstheme="minorHAnsi"/>
        </w:rPr>
        <w:t xml:space="preserve">NABERS </w:t>
      </w:r>
      <w:r w:rsidR="00CF5943">
        <w:rPr>
          <w:rFonts w:cstheme="minorHAnsi"/>
        </w:rPr>
        <w:t xml:space="preserve">renewable energy indicator, the Montreal Protocol, which is phasing out refrigerants globally, and </w:t>
      </w:r>
      <w:r w:rsidR="00FE5F75">
        <w:rPr>
          <w:rFonts w:cstheme="minorHAnsi"/>
        </w:rPr>
        <w:t xml:space="preserve">other </w:t>
      </w:r>
      <w:r w:rsidR="00E77831">
        <w:rPr>
          <w:rFonts w:cstheme="minorHAnsi"/>
        </w:rPr>
        <w:t>drivers of</w:t>
      </w:r>
      <w:r w:rsidR="00FE5F75">
        <w:rPr>
          <w:rFonts w:cstheme="minorHAnsi"/>
        </w:rPr>
        <w:t xml:space="preserve"> increas</w:t>
      </w:r>
      <w:r w:rsidR="00E77831">
        <w:rPr>
          <w:rFonts w:cstheme="minorHAnsi"/>
        </w:rPr>
        <w:t xml:space="preserve">ing </w:t>
      </w:r>
      <w:r w:rsidR="00CF5943">
        <w:rPr>
          <w:rFonts w:cstheme="minorHAnsi"/>
        </w:rPr>
        <w:t>electrification of buildings.</w:t>
      </w:r>
      <w:r w:rsidR="00585B58">
        <w:rPr>
          <w:rFonts w:cstheme="minorHAnsi"/>
        </w:rPr>
        <w:t xml:space="preserve"> </w:t>
      </w:r>
    </w:p>
    <w:p w14:paraId="1F7B82E7" w14:textId="77777777" w:rsidR="00D965B2" w:rsidRDefault="00D965B2" w:rsidP="00631A0D">
      <w:pPr>
        <w:pStyle w:val="BodyBullet"/>
        <w:rPr>
          <w:rFonts w:cstheme="minorHAnsi"/>
        </w:rPr>
        <w:sectPr w:rsidR="00D965B2" w:rsidSect="00A77C53">
          <w:headerReference w:type="default" r:id="rId20"/>
          <w:footerReference w:type="default" r:id="rId21"/>
          <w:pgSz w:w="11906" w:h="16838"/>
          <w:pgMar w:top="851" w:right="851" w:bottom="1418" w:left="851" w:header="567" w:footer="283" w:gutter="0"/>
          <w:cols w:space="708"/>
          <w:docGrid w:linePitch="360"/>
        </w:sectPr>
      </w:pPr>
    </w:p>
    <w:p w14:paraId="4294152E" w14:textId="77777777" w:rsidR="00CE06EF" w:rsidRDefault="00CE06EF" w:rsidP="00631A0D">
      <w:pPr>
        <w:pStyle w:val="BodyBullet"/>
        <w:rPr>
          <w:rFonts w:cstheme="minorHAnsi"/>
        </w:rPr>
        <w:sectPr w:rsidR="00CE06EF" w:rsidSect="00A77C53">
          <w:footerReference w:type="default" r:id="rId22"/>
          <w:type w:val="continuous"/>
          <w:pgSz w:w="11906" w:h="16838"/>
          <w:pgMar w:top="851" w:right="851" w:bottom="1418" w:left="851" w:header="567" w:footer="283" w:gutter="0"/>
          <w:pgNumType w:start="0"/>
          <w:cols w:space="708"/>
          <w:docGrid w:linePitch="360"/>
        </w:sectPr>
      </w:pPr>
    </w:p>
    <w:p w14:paraId="7CB32CAD" w14:textId="1469DABA" w:rsidR="00C57A10" w:rsidRPr="000C0792" w:rsidRDefault="00C57A10" w:rsidP="003E077F">
      <w:pPr>
        <w:pStyle w:val="Heading2"/>
        <w:numPr>
          <w:ilvl w:val="0"/>
          <w:numId w:val="0"/>
        </w:numPr>
        <w:ind w:left="576"/>
      </w:pPr>
      <w:bookmarkStart w:id="13" w:name="_Table_of_Contents"/>
      <w:bookmarkEnd w:id="13"/>
      <w:r w:rsidRPr="000C0792">
        <w:lastRenderedPageBreak/>
        <w:t>Table of Contents</w:t>
      </w:r>
    </w:p>
    <w:p w14:paraId="296F68EC" w14:textId="76987F5E" w:rsidR="00543A97" w:rsidRPr="00325A85" w:rsidRDefault="00F441D9">
      <w:pPr>
        <w:pStyle w:val="TOC1"/>
        <w:rPr>
          <w:rFonts w:asciiTheme="minorHAnsi" w:eastAsiaTheme="minorEastAsia" w:hAnsiTheme="minorHAnsi" w:cstheme="minorHAnsi"/>
          <w:b w:val="0"/>
          <w:noProof/>
          <w:color w:val="auto"/>
          <w:sz w:val="19"/>
          <w:szCs w:val="19"/>
          <w:lang w:eastAsia="en-AU"/>
        </w:rPr>
      </w:pPr>
      <w:r w:rsidRPr="00325A85">
        <w:rPr>
          <w:rFonts w:asciiTheme="minorHAnsi" w:hAnsiTheme="minorHAnsi" w:cstheme="minorHAnsi"/>
          <w:sz w:val="19"/>
          <w:szCs w:val="19"/>
        </w:rPr>
        <w:fldChar w:fldCharType="begin"/>
      </w:r>
      <w:r w:rsidRPr="00325A85">
        <w:rPr>
          <w:rFonts w:asciiTheme="minorHAnsi" w:hAnsiTheme="minorHAnsi" w:cstheme="minorHAnsi"/>
          <w:sz w:val="19"/>
          <w:szCs w:val="19"/>
        </w:rPr>
        <w:instrText xml:space="preserve"> TOC \o "1-2" \h \z \u </w:instrText>
      </w:r>
      <w:r w:rsidRPr="00325A85">
        <w:rPr>
          <w:rFonts w:asciiTheme="minorHAnsi" w:hAnsiTheme="minorHAnsi" w:cstheme="minorHAnsi"/>
          <w:sz w:val="19"/>
          <w:szCs w:val="19"/>
        </w:rPr>
        <w:fldChar w:fldCharType="separate"/>
      </w:r>
      <w:hyperlink w:anchor="_Toc154059356" w:history="1">
        <w:r w:rsidR="00543A97" w:rsidRPr="00325A85">
          <w:rPr>
            <w:rStyle w:val="Hyperlink"/>
            <w:rFonts w:asciiTheme="minorHAnsi" w:hAnsiTheme="minorHAnsi" w:cstheme="minorHAnsi"/>
            <w:noProof/>
            <w:sz w:val="19"/>
            <w:szCs w:val="19"/>
          </w:rPr>
          <w:t>Executive Summary</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_Toc154059356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w:t>
        </w:r>
        <w:r w:rsidR="00543A97" w:rsidRPr="00325A85">
          <w:rPr>
            <w:rFonts w:asciiTheme="minorHAnsi" w:hAnsiTheme="minorHAnsi" w:cstheme="minorHAnsi"/>
            <w:noProof/>
            <w:webHidden/>
            <w:sz w:val="19"/>
            <w:szCs w:val="19"/>
          </w:rPr>
          <w:fldChar w:fldCharType="end"/>
        </w:r>
      </w:hyperlink>
    </w:p>
    <w:p w14:paraId="3218F0AA" w14:textId="6C0D7660"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57" w:history="1">
        <w:r w:rsidR="00543A97" w:rsidRPr="00325A85">
          <w:rPr>
            <w:rStyle w:val="Hyperlink"/>
            <w:rFonts w:asciiTheme="minorHAnsi" w:hAnsiTheme="minorHAnsi" w:cstheme="minorHAnsi"/>
            <w:noProof/>
            <w:sz w:val="19"/>
            <w:szCs w:val="19"/>
          </w:rPr>
          <w:t>1</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Introduction</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_Toc154059357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14</w:t>
        </w:r>
        <w:r w:rsidR="00543A97" w:rsidRPr="00325A85">
          <w:rPr>
            <w:rFonts w:asciiTheme="minorHAnsi" w:hAnsiTheme="minorHAnsi" w:cstheme="minorHAnsi"/>
            <w:noProof/>
            <w:webHidden/>
            <w:sz w:val="19"/>
            <w:szCs w:val="19"/>
          </w:rPr>
          <w:fldChar w:fldCharType="end"/>
        </w:r>
      </w:hyperlink>
    </w:p>
    <w:p w14:paraId="01D575D0" w14:textId="541F9CB3"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58" w:history="1">
        <w:r w:rsidR="00543A97" w:rsidRPr="00325A85">
          <w:rPr>
            <w:rStyle w:val="Hyperlink"/>
            <w:rFonts w:asciiTheme="minorHAnsi" w:hAnsiTheme="minorHAnsi" w:cstheme="minorHAnsi"/>
            <w:noProof/>
            <w:sz w:val="19"/>
            <w:szCs w:val="19"/>
          </w:rPr>
          <w:t>1.1</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Purpose and Scope</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_Toc154059358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14</w:t>
        </w:r>
        <w:r w:rsidR="00543A97" w:rsidRPr="00325A85">
          <w:rPr>
            <w:rFonts w:asciiTheme="minorHAnsi" w:hAnsiTheme="minorHAnsi" w:cstheme="minorHAnsi"/>
            <w:noProof/>
            <w:webHidden/>
            <w:sz w:val="19"/>
            <w:szCs w:val="19"/>
          </w:rPr>
          <w:fldChar w:fldCharType="end"/>
        </w:r>
      </w:hyperlink>
    </w:p>
    <w:p w14:paraId="75156E0C" w14:textId="25EE8DDD"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59" w:history="1">
        <w:r w:rsidR="00543A97" w:rsidRPr="00325A85">
          <w:rPr>
            <w:rStyle w:val="Hyperlink"/>
            <w:rFonts w:asciiTheme="minorHAnsi" w:hAnsiTheme="minorHAnsi" w:cstheme="minorHAnsi"/>
            <w:noProof/>
            <w:sz w:val="19"/>
            <w:szCs w:val="19"/>
          </w:rPr>
          <w:t>1.2</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CBD program</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_Toc154059359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14</w:t>
        </w:r>
        <w:r w:rsidR="00543A97" w:rsidRPr="00325A85">
          <w:rPr>
            <w:rFonts w:asciiTheme="minorHAnsi" w:hAnsiTheme="minorHAnsi" w:cstheme="minorHAnsi"/>
            <w:noProof/>
            <w:webHidden/>
            <w:sz w:val="19"/>
            <w:szCs w:val="19"/>
          </w:rPr>
          <w:fldChar w:fldCharType="end"/>
        </w:r>
      </w:hyperlink>
    </w:p>
    <w:p w14:paraId="522BB91F" w14:textId="61600AD4"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0" w:history="1">
        <w:r w:rsidR="00543A97" w:rsidRPr="00325A85">
          <w:rPr>
            <w:rStyle w:val="Hyperlink"/>
            <w:rFonts w:asciiTheme="minorHAnsi" w:hAnsiTheme="minorHAnsi" w:cstheme="minorHAnsi"/>
            <w:noProof/>
            <w:sz w:val="19"/>
            <w:szCs w:val="19"/>
          </w:rPr>
          <w:t>1.3</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Policy approaches to improving building energy and emissions performance</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_Toc154059360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14</w:t>
        </w:r>
        <w:r w:rsidR="00543A97" w:rsidRPr="00325A85">
          <w:rPr>
            <w:rFonts w:asciiTheme="minorHAnsi" w:hAnsiTheme="minorHAnsi" w:cstheme="minorHAnsi"/>
            <w:noProof/>
            <w:webHidden/>
            <w:sz w:val="19"/>
            <w:szCs w:val="19"/>
          </w:rPr>
          <w:fldChar w:fldCharType="end"/>
        </w:r>
      </w:hyperlink>
    </w:p>
    <w:p w14:paraId="7269C748" w14:textId="6F07DC0B"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61" w:history="1">
        <w:r w:rsidR="00543A97" w:rsidRPr="00325A85">
          <w:rPr>
            <w:rStyle w:val="Hyperlink"/>
            <w:rFonts w:asciiTheme="minorHAnsi" w:hAnsiTheme="minorHAnsi" w:cstheme="minorHAnsi"/>
            <w:noProof/>
            <w:sz w:val="19"/>
            <w:szCs w:val="19"/>
          </w:rPr>
          <w:t>2</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Australian Policies and Standards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_Toc154059361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15</w:t>
        </w:r>
        <w:r w:rsidR="00543A97" w:rsidRPr="00325A85">
          <w:rPr>
            <w:rFonts w:asciiTheme="minorHAnsi" w:hAnsiTheme="minorHAnsi" w:cstheme="minorHAnsi"/>
            <w:noProof/>
            <w:webHidden/>
            <w:sz w:val="19"/>
            <w:szCs w:val="19"/>
          </w:rPr>
          <w:fldChar w:fldCharType="end"/>
        </w:r>
      </w:hyperlink>
    </w:p>
    <w:p w14:paraId="5F0EFA02" w14:textId="37698551"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2" w:history="1">
        <w:r w:rsidR="00543A97" w:rsidRPr="00325A85">
          <w:rPr>
            <w:rStyle w:val="Hyperlink"/>
            <w:rFonts w:asciiTheme="minorHAnsi" w:hAnsiTheme="minorHAnsi" w:cstheme="minorHAnsi"/>
            <w:noProof/>
            <w:sz w:val="19"/>
            <w:szCs w:val="19"/>
          </w:rPr>
          <w:t>2.1</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Energy performance of Australia’s non-residential building st</w:t>
        </w:r>
        <w:r w:rsidR="006D3F14">
          <w:rPr>
            <w:rStyle w:val="Hyperlink"/>
            <w:rFonts w:asciiTheme="minorHAnsi" w:hAnsiTheme="minorHAnsi" w:cstheme="minorHAnsi"/>
            <w:noProof/>
            <w:sz w:val="19"/>
            <w:szCs w:val="19"/>
          </w:rPr>
          <w:t>ock</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_Toc154059362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15</w:t>
        </w:r>
        <w:r w:rsidR="00543A97" w:rsidRPr="00325A85">
          <w:rPr>
            <w:rFonts w:asciiTheme="minorHAnsi" w:hAnsiTheme="minorHAnsi" w:cstheme="minorHAnsi"/>
            <w:noProof/>
            <w:webHidden/>
            <w:sz w:val="19"/>
            <w:szCs w:val="19"/>
          </w:rPr>
          <w:fldChar w:fldCharType="end"/>
        </w:r>
      </w:hyperlink>
    </w:p>
    <w:p w14:paraId="5C9A0B72" w14:textId="4BB80467"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3" w:history="1">
        <w:r w:rsidR="00543A97" w:rsidRPr="00325A85">
          <w:rPr>
            <w:rStyle w:val="Hyperlink"/>
            <w:rFonts w:asciiTheme="minorHAnsi" w:hAnsiTheme="minorHAnsi" w:cstheme="minorHAnsi"/>
            <w:noProof/>
            <w:sz w:val="19"/>
            <w:szCs w:val="19"/>
          </w:rPr>
          <w:t>2.2</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Energy Efficiency and emissions regulation relating to commercial buildings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_Toc154059363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17</w:t>
        </w:r>
        <w:r w:rsidR="00543A97" w:rsidRPr="00325A85">
          <w:rPr>
            <w:rFonts w:asciiTheme="minorHAnsi" w:hAnsiTheme="minorHAnsi" w:cstheme="minorHAnsi"/>
            <w:noProof/>
            <w:webHidden/>
            <w:sz w:val="19"/>
            <w:szCs w:val="19"/>
          </w:rPr>
          <w:fldChar w:fldCharType="end"/>
        </w:r>
      </w:hyperlink>
    </w:p>
    <w:p w14:paraId="1CB603C3" w14:textId="7182C011"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4" w:history="1">
        <w:r w:rsidR="00543A97" w:rsidRPr="00325A85">
          <w:rPr>
            <w:rStyle w:val="Hyperlink"/>
            <w:rFonts w:asciiTheme="minorHAnsi" w:hAnsiTheme="minorHAnsi" w:cstheme="minorHAnsi"/>
            <w:noProof/>
            <w:sz w:val="19"/>
            <w:szCs w:val="19"/>
          </w:rPr>
          <w:t>2.3</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Other Policies Affecting Building Performance</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_Toc154059364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18</w:t>
        </w:r>
        <w:r w:rsidR="00543A97" w:rsidRPr="00325A85">
          <w:rPr>
            <w:rFonts w:asciiTheme="minorHAnsi" w:hAnsiTheme="minorHAnsi" w:cstheme="minorHAnsi"/>
            <w:noProof/>
            <w:webHidden/>
            <w:sz w:val="19"/>
            <w:szCs w:val="19"/>
          </w:rPr>
          <w:fldChar w:fldCharType="end"/>
        </w:r>
      </w:hyperlink>
    </w:p>
    <w:p w14:paraId="0DBB002C" w14:textId="26EEEB9B"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5" w:history="1">
        <w:r w:rsidR="00543A97" w:rsidRPr="00325A85">
          <w:rPr>
            <w:rStyle w:val="Hyperlink"/>
            <w:rFonts w:asciiTheme="minorHAnsi" w:hAnsiTheme="minorHAnsi" w:cstheme="minorHAnsi"/>
            <w:noProof/>
            <w:sz w:val="19"/>
            <w:szCs w:val="19"/>
          </w:rPr>
          <w:t>2.4</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Assessment of Existing Non-Residential Buildings policies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_Toc154059365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20</w:t>
        </w:r>
        <w:r w:rsidR="00543A97" w:rsidRPr="00325A85">
          <w:rPr>
            <w:rFonts w:asciiTheme="minorHAnsi" w:hAnsiTheme="minorHAnsi" w:cstheme="minorHAnsi"/>
            <w:noProof/>
            <w:webHidden/>
            <w:sz w:val="19"/>
            <w:szCs w:val="19"/>
          </w:rPr>
          <w:fldChar w:fldCharType="end"/>
        </w:r>
      </w:hyperlink>
    </w:p>
    <w:p w14:paraId="5A025187" w14:textId="1A9A7D3B"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66" w:history="1">
        <w:r w:rsidR="00543A97" w:rsidRPr="00325A85">
          <w:rPr>
            <w:rStyle w:val="Hyperlink"/>
            <w:rFonts w:asciiTheme="minorHAnsi" w:hAnsiTheme="minorHAnsi" w:cstheme="minorHAnsi"/>
            <w:noProof/>
            <w:sz w:val="19"/>
            <w:szCs w:val="19"/>
          </w:rPr>
          <w:t>3</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Trends in Global Energy Regulation for Commercial Buildings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_Toc154059366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21</w:t>
        </w:r>
        <w:r w:rsidR="00543A97" w:rsidRPr="00325A85">
          <w:rPr>
            <w:rFonts w:asciiTheme="minorHAnsi" w:hAnsiTheme="minorHAnsi" w:cstheme="minorHAnsi"/>
            <w:noProof/>
            <w:webHidden/>
            <w:sz w:val="19"/>
            <w:szCs w:val="19"/>
          </w:rPr>
          <w:fldChar w:fldCharType="end"/>
        </w:r>
      </w:hyperlink>
    </w:p>
    <w:p w14:paraId="25FE9511" w14:textId="5C52BDF1"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7" w:history="1">
        <w:r w:rsidR="00543A97" w:rsidRPr="00325A85">
          <w:rPr>
            <w:rStyle w:val="Hyperlink"/>
            <w:rFonts w:asciiTheme="minorHAnsi" w:hAnsiTheme="minorHAnsi" w:cstheme="minorHAnsi"/>
            <w:noProof/>
            <w:sz w:val="19"/>
            <w:szCs w:val="19"/>
          </w:rPr>
          <w:t>3.1</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Background and purpose of the global research</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_Toc154059367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21</w:t>
        </w:r>
        <w:r w:rsidR="00543A97" w:rsidRPr="00325A85">
          <w:rPr>
            <w:rFonts w:asciiTheme="minorHAnsi" w:hAnsiTheme="minorHAnsi" w:cstheme="minorHAnsi"/>
            <w:noProof/>
            <w:webHidden/>
            <w:sz w:val="19"/>
            <w:szCs w:val="19"/>
          </w:rPr>
          <w:fldChar w:fldCharType="end"/>
        </w:r>
      </w:hyperlink>
    </w:p>
    <w:p w14:paraId="32A96BAB" w14:textId="55BB91C0"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8" w:history="1">
        <w:r w:rsidR="00543A97" w:rsidRPr="00325A85">
          <w:rPr>
            <w:rStyle w:val="Hyperlink"/>
            <w:rFonts w:asciiTheme="minorHAnsi" w:hAnsiTheme="minorHAnsi" w:cstheme="minorHAnsi"/>
            <w:noProof/>
            <w:sz w:val="19"/>
            <w:szCs w:val="19"/>
          </w:rPr>
          <w:t>3.2</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Key highlights from international schemes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_Toc154059368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22</w:t>
        </w:r>
        <w:r w:rsidR="00543A97" w:rsidRPr="00325A85">
          <w:rPr>
            <w:rFonts w:asciiTheme="minorHAnsi" w:hAnsiTheme="minorHAnsi" w:cstheme="minorHAnsi"/>
            <w:noProof/>
            <w:webHidden/>
            <w:sz w:val="19"/>
            <w:szCs w:val="19"/>
          </w:rPr>
          <w:fldChar w:fldCharType="end"/>
        </w:r>
      </w:hyperlink>
    </w:p>
    <w:p w14:paraId="28944555" w14:textId="20C9478C"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69" w:history="1">
        <w:r w:rsidR="00543A97" w:rsidRPr="00325A85">
          <w:rPr>
            <w:rStyle w:val="Hyperlink"/>
            <w:rFonts w:asciiTheme="minorHAnsi" w:hAnsiTheme="minorHAnsi" w:cstheme="minorHAnsi"/>
            <w:noProof/>
            <w:sz w:val="19"/>
            <w:szCs w:val="19"/>
          </w:rPr>
          <w:t>3.3</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Approaches to disclosure</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_Toc154059369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24</w:t>
        </w:r>
        <w:r w:rsidR="00543A97" w:rsidRPr="00325A85">
          <w:rPr>
            <w:rFonts w:asciiTheme="minorHAnsi" w:hAnsiTheme="minorHAnsi" w:cstheme="minorHAnsi"/>
            <w:noProof/>
            <w:webHidden/>
            <w:sz w:val="19"/>
            <w:szCs w:val="19"/>
          </w:rPr>
          <w:fldChar w:fldCharType="end"/>
        </w:r>
      </w:hyperlink>
    </w:p>
    <w:p w14:paraId="5B3488EC" w14:textId="47B19D80"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0" w:history="1">
        <w:r w:rsidR="00543A97" w:rsidRPr="00325A85">
          <w:rPr>
            <w:rStyle w:val="Hyperlink"/>
            <w:rFonts w:asciiTheme="minorHAnsi" w:hAnsiTheme="minorHAnsi" w:cstheme="minorHAnsi"/>
            <w:noProof/>
            <w:sz w:val="19"/>
            <w:szCs w:val="19"/>
          </w:rPr>
          <w:t>3.4</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Minimum Energy Performance Standards (MEPS)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_Toc154059370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31</w:t>
        </w:r>
        <w:r w:rsidR="00543A97" w:rsidRPr="00325A85">
          <w:rPr>
            <w:rFonts w:asciiTheme="minorHAnsi" w:hAnsiTheme="minorHAnsi" w:cstheme="minorHAnsi"/>
            <w:noProof/>
            <w:webHidden/>
            <w:sz w:val="19"/>
            <w:szCs w:val="19"/>
          </w:rPr>
          <w:fldChar w:fldCharType="end"/>
        </w:r>
      </w:hyperlink>
    </w:p>
    <w:p w14:paraId="0975A4AC" w14:textId="436CDDBF"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1" w:history="1">
        <w:r w:rsidR="00543A97" w:rsidRPr="00325A85">
          <w:rPr>
            <w:rStyle w:val="Hyperlink"/>
            <w:rFonts w:asciiTheme="minorHAnsi" w:hAnsiTheme="minorHAnsi" w:cstheme="minorHAnsi"/>
            <w:noProof/>
            <w:sz w:val="19"/>
            <w:szCs w:val="19"/>
          </w:rPr>
          <w:t>3.5</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Broader policy context for building regulations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_Toc154059371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34</w:t>
        </w:r>
        <w:r w:rsidR="00543A97" w:rsidRPr="00325A85">
          <w:rPr>
            <w:rFonts w:asciiTheme="minorHAnsi" w:hAnsiTheme="minorHAnsi" w:cstheme="minorHAnsi"/>
            <w:noProof/>
            <w:webHidden/>
            <w:sz w:val="19"/>
            <w:szCs w:val="19"/>
          </w:rPr>
          <w:fldChar w:fldCharType="end"/>
        </w:r>
      </w:hyperlink>
    </w:p>
    <w:p w14:paraId="013B1349" w14:textId="52B688A4"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2" w:history="1">
        <w:r w:rsidR="00543A97" w:rsidRPr="00325A85">
          <w:rPr>
            <w:rStyle w:val="Hyperlink"/>
            <w:rFonts w:asciiTheme="minorHAnsi" w:hAnsiTheme="minorHAnsi" w:cstheme="minorHAnsi"/>
            <w:noProof/>
            <w:sz w:val="19"/>
            <w:szCs w:val="19"/>
          </w:rPr>
          <w:t>3.6</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Outcomes from Regulation and Other Policy Levers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_Toc154059372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36</w:t>
        </w:r>
        <w:r w:rsidR="00543A97" w:rsidRPr="00325A85">
          <w:rPr>
            <w:rFonts w:asciiTheme="minorHAnsi" w:hAnsiTheme="minorHAnsi" w:cstheme="minorHAnsi"/>
            <w:noProof/>
            <w:webHidden/>
            <w:sz w:val="19"/>
            <w:szCs w:val="19"/>
          </w:rPr>
          <w:fldChar w:fldCharType="end"/>
        </w:r>
      </w:hyperlink>
    </w:p>
    <w:p w14:paraId="525F7EDB" w14:textId="30DE8414"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73" w:history="1">
        <w:r w:rsidR="00543A97" w:rsidRPr="00325A85">
          <w:rPr>
            <w:rStyle w:val="Hyperlink"/>
            <w:rFonts w:asciiTheme="minorHAnsi" w:hAnsiTheme="minorHAnsi" w:cstheme="minorHAnsi"/>
            <w:noProof/>
            <w:sz w:val="19"/>
            <w:szCs w:val="19"/>
          </w:rPr>
          <w:t>4</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Considerations for Australia</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_Toc154059373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42</w:t>
        </w:r>
        <w:r w:rsidR="00543A97" w:rsidRPr="00325A85">
          <w:rPr>
            <w:rFonts w:asciiTheme="minorHAnsi" w:hAnsiTheme="minorHAnsi" w:cstheme="minorHAnsi"/>
            <w:noProof/>
            <w:webHidden/>
            <w:sz w:val="19"/>
            <w:szCs w:val="19"/>
          </w:rPr>
          <w:fldChar w:fldCharType="end"/>
        </w:r>
      </w:hyperlink>
    </w:p>
    <w:p w14:paraId="34927F43" w14:textId="6CA5514E"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74" w:history="1">
        <w:r w:rsidR="00543A97" w:rsidRPr="00325A85">
          <w:rPr>
            <w:rStyle w:val="Hyperlink"/>
            <w:rFonts w:asciiTheme="minorHAnsi" w:hAnsiTheme="minorHAnsi" w:cstheme="minorHAnsi"/>
            <w:noProof/>
            <w:sz w:val="19"/>
            <w:szCs w:val="19"/>
          </w:rPr>
          <w:t>5</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Initial options assessment</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_Toc154059374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43</w:t>
        </w:r>
        <w:r w:rsidR="00543A97" w:rsidRPr="00325A85">
          <w:rPr>
            <w:rFonts w:asciiTheme="minorHAnsi" w:hAnsiTheme="minorHAnsi" w:cstheme="minorHAnsi"/>
            <w:noProof/>
            <w:webHidden/>
            <w:sz w:val="19"/>
            <w:szCs w:val="19"/>
          </w:rPr>
          <w:fldChar w:fldCharType="end"/>
        </w:r>
      </w:hyperlink>
    </w:p>
    <w:p w14:paraId="7328FB43" w14:textId="650CDD50"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5" w:history="1">
        <w:r w:rsidR="00543A97" w:rsidRPr="00325A85">
          <w:rPr>
            <w:rStyle w:val="Hyperlink"/>
            <w:rFonts w:asciiTheme="minorHAnsi" w:hAnsiTheme="minorHAnsi" w:cstheme="minorHAnsi"/>
            <w:noProof/>
            <w:sz w:val="19"/>
            <w:szCs w:val="19"/>
          </w:rPr>
          <w:t>5.1</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Overview</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_Toc154059375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43</w:t>
        </w:r>
        <w:r w:rsidR="00543A97" w:rsidRPr="00325A85">
          <w:rPr>
            <w:rFonts w:asciiTheme="minorHAnsi" w:hAnsiTheme="minorHAnsi" w:cstheme="minorHAnsi"/>
            <w:noProof/>
            <w:webHidden/>
            <w:sz w:val="19"/>
            <w:szCs w:val="19"/>
          </w:rPr>
          <w:fldChar w:fldCharType="end"/>
        </w:r>
      </w:hyperlink>
    </w:p>
    <w:p w14:paraId="063C35F3" w14:textId="5D0D8926"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6" w:history="1">
        <w:r w:rsidR="00543A97" w:rsidRPr="00325A85">
          <w:rPr>
            <w:rStyle w:val="Hyperlink"/>
            <w:rFonts w:asciiTheme="minorHAnsi" w:hAnsiTheme="minorHAnsi" w:cstheme="minorHAnsi"/>
            <w:noProof/>
            <w:sz w:val="19"/>
            <w:szCs w:val="19"/>
          </w:rPr>
          <w:t>5.2</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Design considerations for policy options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_Toc154059376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43</w:t>
        </w:r>
        <w:r w:rsidR="00543A97" w:rsidRPr="00325A85">
          <w:rPr>
            <w:rFonts w:asciiTheme="minorHAnsi" w:hAnsiTheme="minorHAnsi" w:cstheme="minorHAnsi"/>
            <w:noProof/>
            <w:webHidden/>
            <w:sz w:val="19"/>
            <w:szCs w:val="19"/>
          </w:rPr>
          <w:fldChar w:fldCharType="end"/>
        </w:r>
      </w:hyperlink>
    </w:p>
    <w:p w14:paraId="4EEE6173" w14:textId="772131E9"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7" w:history="1">
        <w:r w:rsidR="00543A97" w:rsidRPr="00325A85">
          <w:rPr>
            <w:rStyle w:val="Hyperlink"/>
            <w:rFonts w:asciiTheme="minorHAnsi" w:hAnsiTheme="minorHAnsi" w:cstheme="minorHAnsi"/>
            <w:noProof/>
            <w:sz w:val="19"/>
            <w:szCs w:val="19"/>
          </w:rPr>
          <w:t>5.3</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Description of options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_Toc154059377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45</w:t>
        </w:r>
        <w:r w:rsidR="00543A97" w:rsidRPr="00325A85">
          <w:rPr>
            <w:rFonts w:asciiTheme="minorHAnsi" w:hAnsiTheme="minorHAnsi" w:cstheme="minorHAnsi"/>
            <w:noProof/>
            <w:webHidden/>
            <w:sz w:val="19"/>
            <w:szCs w:val="19"/>
          </w:rPr>
          <w:fldChar w:fldCharType="end"/>
        </w:r>
      </w:hyperlink>
    </w:p>
    <w:p w14:paraId="2A1D5F22" w14:textId="312C15FA"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8" w:history="1">
        <w:r w:rsidR="00543A97" w:rsidRPr="00325A85">
          <w:rPr>
            <w:rStyle w:val="Hyperlink"/>
            <w:rFonts w:asciiTheme="minorHAnsi" w:hAnsiTheme="minorHAnsi" w:cstheme="minorHAnsi"/>
            <w:noProof/>
            <w:sz w:val="19"/>
            <w:szCs w:val="19"/>
          </w:rPr>
          <w:t>5.4</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Initial assessment criteria</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_Toc154059378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49</w:t>
        </w:r>
        <w:r w:rsidR="00543A97" w:rsidRPr="00325A85">
          <w:rPr>
            <w:rFonts w:asciiTheme="minorHAnsi" w:hAnsiTheme="minorHAnsi" w:cstheme="minorHAnsi"/>
            <w:noProof/>
            <w:webHidden/>
            <w:sz w:val="19"/>
            <w:szCs w:val="19"/>
          </w:rPr>
          <w:fldChar w:fldCharType="end"/>
        </w:r>
      </w:hyperlink>
    </w:p>
    <w:p w14:paraId="43D75379" w14:textId="45651DD6"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79" w:history="1">
        <w:r w:rsidR="00543A97" w:rsidRPr="00325A85">
          <w:rPr>
            <w:rStyle w:val="Hyperlink"/>
            <w:rFonts w:asciiTheme="minorHAnsi" w:hAnsiTheme="minorHAnsi" w:cstheme="minorHAnsi"/>
            <w:noProof/>
            <w:sz w:val="19"/>
            <w:szCs w:val="19"/>
          </w:rPr>
          <w:t>5.5</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Assessment of options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_Toc154059379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50</w:t>
        </w:r>
        <w:r w:rsidR="00543A97" w:rsidRPr="00325A85">
          <w:rPr>
            <w:rFonts w:asciiTheme="minorHAnsi" w:hAnsiTheme="minorHAnsi" w:cstheme="minorHAnsi"/>
            <w:noProof/>
            <w:webHidden/>
            <w:sz w:val="19"/>
            <w:szCs w:val="19"/>
          </w:rPr>
          <w:fldChar w:fldCharType="end"/>
        </w:r>
      </w:hyperlink>
    </w:p>
    <w:p w14:paraId="36AA24AC" w14:textId="69C79073"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80" w:history="1">
        <w:r w:rsidR="00543A97" w:rsidRPr="00325A85">
          <w:rPr>
            <w:rStyle w:val="Hyperlink"/>
            <w:rFonts w:asciiTheme="minorHAnsi" w:hAnsiTheme="minorHAnsi" w:cstheme="minorHAnsi"/>
            <w:noProof/>
            <w:sz w:val="19"/>
            <w:szCs w:val="19"/>
          </w:rPr>
          <w:t>6</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Feasibility assessment</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_Toc154059380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56</w:t>
        </w:r>
        <w:r w:rsidR="00543A97" w:rsidRPr="00325A85">
          <w:rPr>
            <w:rFonts w:asciiTheme="minorHAnsi" w:hAnsiTheme="minorHAnsi" w:cstheme="minorHAnsi"/>
            <w:noProof/>
            <w:webHidden/>
            <w:sz w:val="19"/>
            <w:szCs w:val="19"/>
          </w:rPr>
          <w:fldChar w:fldCharType="end"/>
        </w:r>
      </w:hyperlink>
    </w:p>
    <w:p w14:paraId="384D9A8D" w14:textId="437FFE69"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81" w:history="1">
        <w:r w:rsidR="00543A97" w:rsidRPr="00325A85">
          <w:rPr>
            <w:rStyle w:val="Hyperlink"/>
            <w:rFonts w:asciiTheme="minorHAnsi" w:hAnsiTheme="minorHAnsi" w:cstheme="minorHAnsi"/>
            <w:noProof/>
            <w:sz w:val="19"/>
            <w:szCs w:val="19"/>
          </w:rPr>
          <w:t>6.1</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Analysis approach</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_Toc154059381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56</w:t>
        </w:r>
        <w:r w:rsidR="00543A97" w:rsidRPr="00325A85">
          <w:rPr>
            <w:rFonts w:asciiTheme="minorHAnsi" w:hAnsiTheme="minorHAnsi" w:cstheme="minorHAnsi"/>
            <w:noProof/>
            <w:webHidden/>
            <w:sz w:val="19"/>
            <w:szCs w:val="19"/>
          </w:rPr>
          <w:fldChar w:fldCharType="end"/>
        </w:r>
      </w:hyperlink>
    </w:p>
    <w:p w14:paraId="142ED251" w14:textId="3135F58D"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82" w:history="1">
        <w:r w:rsidR="00543A97" w:rsidRPr="00325A85">
          <w:rPr>
            <w:rStyle w:val="Hyperlink"/>
            <w:rFonts w:asciiTheme="minorHAnsi" w:hAnsiTheme="minorHAnsi" w:cstheme="minorHAnsi"/>
            <w:noProof/>
            <w:sz w:val="19"/>
            <w:szCs w:val="19"/>
          </w:rPr>
          <w:t>6.2</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Limitations for analysis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_Toc154059382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57</w:t>
        </w:r>
        <w:r w:rsidR="00543A97" w:rsidRPr="00325A85">
          <w:rPr>
            <w:rFonts w:asciiTheme="minorHAnsi" w:hAnsiTheme="minorHAnsi" w:cstheme="minorHAnsi"/>
            <w:noProof/>
            <w:webHidden/>
            <w:sz w:val="19"/>
            <w:szCs w:val="19"/>
          </w:rPr>
          <w:fldChar w:fldCharType="end"/>
        </w:r>
      </w:hyperlink>
    </w:p>
    <w:p w14:paraId="63471EA7" w14:textId="425B6C5A"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83" w:history="1">
        <w:r w:rsidR="00543A97" w:rsidRPr="00325A85">
          <w:rPr>
            <w:rStyle w:val="Hyperlink"/>
            <w:rFonts w:asciiTheme="minorHAnsi" w:hAnsiTheme="minorHAnsi" w:cstheme="minorHAnsi"/>
            <w:noProof/>
            <w:sz w:val="19"/>
            <w:szCs w:val="19"/>
          </w:rPr>
          <w:t>6.3</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Overview of benefits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_Toc154059383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58</w:t>
        </w:r>
        <w:r w:rsidR="00543A97" w:rsidRPr="00325A85">
          <w:rPr>
            <w:rFonts w:asciiTheme="minorHAnsi" w:hAnsiTheme="minorHAnsi" w:cstheme="minorHAnsi"/>
            <w:noProof/>
            <w:webHidden/>
            <w:sz w:val="19"/>
            <w:szCs w:val="19"/>
          </w:rPr>
          <w:fldChar w:fldCharType="end"/>
        </w:r>
      </w:hyperlink>
    </w:p>
    <w:p w14:paraId="3A6FD378" w14:textId="089E6795"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84" w:history="1">
        <w:r w:rsidR="00543A97" w:rsidRPr="00325A85">
          <w:rPr>
            <w:rStyle w:val="Hyperlink"/>
            <w:rFonts w:asciiTheme="minorHAnsi" w:hAnsiTheme="minorHAnsi" w:cstheme="minorHAnsi"/>
            <w:noProof/>
            <w:sz w:val="19"/>
            <w:szCs w:val="19"/>
          </w:rPr>
          <w:t>6.4</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Overview of costs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_Toc154059384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59</w:t>
        </w:r>
        <w:r w:rsidR="00543A97" w:rsidRPr="00325A85">
          <w:rPr>
            <w:rFonts w:asciiTheme="minorHAnsi" w:hAnsiTheme="minorHAnsi" w:cstheme="minorHAnsi"/>
            <w:noProof/>
            <w:webHidden/>
            <w:sz w:val="19"/>
            <w:szCs w:val="19"/>
          </w:rPr>
          <w:fldChar w:fldCharType="end"/>
        </w:r>
      </w:hyperlink>
    </w:p>
    <w:p w14:paraId="6F108486" w14:textId="3BC419CA"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85" w:history="1">
        <w:r w:rsidR="00543A97" w:rsidRPr="00325A85">
          <w:rPr>
            <w:rStyle w:val="Hyperlink"/>
            <w:rFonts w:asciiTheme="minorHAnsi" w:hAnsiTheme="minorHAnsi" w:cstheme="minorHAnsi"/>
            <w:noProof/>
            <w:sz w:val="19"/>
            <w:szCs w:val="19"/>
          </w:rPr>
          <w:t>6.5</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rPr>
          <w:t>Feasibility assessment results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_Toc154059385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60</w:t>
        </w:r>
        <w:r w:rsidR="00543A97" w:rsidRPr="00325A85">
          <w:rPr>
            <w:rFonts w:asciiTheme="minorHAnsi" w:hAnsiTheme="minorHAnsi" w:cstheme="minorHAnsi"/>
            <w:noProof/>
            <w:webHidden/>
            <w:sz w:val="19"/>
            <w:szCs w:val="19"/>
          </w:rPr>
          <w:fldChar w:fldCharType="end"/>
        </w:r>
      </w:hyperlink>
    </w:p>
    <w:p w14:paraId="67B8F207" w14:textId="384DDCD5"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86" w:history="1">
        <w:r w:rsidR="00543A97" w:rsidRPr="00325A85">
          <w:rPr>
            <w:rStyle w:val="Hyperlink"/>
            <w:rFonts w:asciiTheme="minorHAnsi" w:hAnsiTheme="minorHAnsi" w:cstheme="minorHAnsi"/>
            <w:noProof/>
            <w:sz w:val="19"/>
            <w:szCs w:val="19"/>
          </w:rPr>
          <w:t>7</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Future roadmap</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_Toc154059386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66</w:t>
        </w:r>
        <w:r w:rsidR="00543A97" w:rsidRPr="00325A85">
          <w:rPr>
            <w:rFonts w:asciiTheme="minorHAnsi" w:hAnsiTheme="minorHAnsi" w:cstheme="minorHAnsi"/>
            <w:noProof/>
            <w:webHidden/>
            <w:sz w:val="19"/>
            <w:szCs w:val="19"/>
          </w:rPr>
          <w:fldChar w:fldCharType="end"/>
        </w:r>
      </w:hyperlink>
    </w:p>
    <w:p w14:paraId="3D29DF5E" w14:textId="71FC9BD8"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87" w:history="1">
        <w:r w:rsidR="00543A97" w:rsidRPr="00325A85">
          <w:rPr>
            <w:rStyle w:val="Hyperlink"/>
            <w:rFonts w:asciiTheme="minorHAnsi" w:hAnsiTheme="minorHAnsi" w:cstheme="minorHAnsi"/>
            <w:noProof/>
            <w:sz w:val="19"/>
            <w:szCs w:val="19"/>
          </w:rPr>
          <w:t>8</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Conclusion</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_Toc154059387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69</w:t>
        </w:r>
        <w:r w:rsidR="00543A97" w:rsidRPr="00325A85">
          <w:rPr>
            <w:rFonts w:asciiTheme="minorHAnsi" w:hAnsiTheme="minorHAnsi" w:cstheme="minorHAnsi"/>
            <w:noProof/>
            <w:webHidden/>
            <w:sz w:val="19"/>
            <w:szCs w:val="19"/>
          </w:rPr>
          <w:fldChar w:fldCharType="end"/>
        </w:r>
      </w:hyperlink>
    </w:p>
    <w:p w14:paraId="0A6AF769" w14:textId="57214AD6" w:rsidR="00543A97" w:rsidRPr="00325A85" w:rsidRDefault="00000000">
      <w:pPr>
        <w:pStyle w:val="TOC1"/>
        <w:rPr>
          <w:rFonts w:asciiTheme="minorHAnsi" w:eastAsiaTheme="minorEastAsia" w:hAnsiTheme="minorHAnsi" w:cstheme="minorHAnsi"/>
          <w:b w:val="0"/>
          <w:noProof/>
          <w:color w:val="auto"/>
          <w:sz w:val="19"/>
          <w:szCs w:val="19"/>
          <w:lang w:eastAsia="en-AU"/>
        </w:rPr>
      </w:pPr>
      <w:hyperlink w:anchor="_Toc154059388" w:history="1">
        <w:r w:rsidR="00543A97" w:rsidRPr="00325A85">
          <w:rPr>
            <w:rStyle w:val="Hyperlink"/>
            <w:rFonts w:asciiTheme="minorHAnsi" w:hAnsiTheme="minorHAnsi" w:cstheme="minorHAnsi"/>
            <w:noProof/>
            <w:sz w:val="19"/>
            <w:szCs w:val="19"/>
          </w:rPr>
          <w:t>9</w:t>
        </w:r>
        <w:r w:rsidR="00543A97" w:rsidRPr="00325A85">
          <w:rPr>
            <w:rFonts w:asciiTheme="minorHAnsi" w:eastAsiaTheme="minorEastAsia" w:hAnsiTheme="minorHAnsi" w:cstheme="minorHAnsi"/>
            <w:b w:val="0"/>
            <w:noProof/>
            <w:color w:val="auto"/>
            <w:sz w:val="19"/>
            <w:szCs w:val="19"/>
            <w:lang w:eastAsia="en-AU"/>
          </w:rPr>
          <w:tab/>
        </w:r>
        <w:r w:rsidR="00543A97" w:rsidRPr="00325A85">
          <w:rPr>
            <w:rStyle w:val="Hyperlink"/>
            <w:rFonts w:asciiTheme="minorHAnsi" w:hAnsiTheme="minorHAnsi" w:cstheme="minorHAnsi"/>
            <w:noProof/>
            <w:sz w:val="19"/>
            <w:szCs w:val="19"/>
          </w:rPr>
          <w:t>Appendices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_Toc154059388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70</w:t>
        </w:r>
        <w:r w:rsidR="00543A97" w:rsidRPr="00325A85">
          <w:rPr>
            <w:rFonts w:asciiTheme="minorHAnsi" w:hAnsiTheme="minorHAnsi" w:cstheme="minorHAnsi"/>
            <w:noProof/>
            <w:webHidden/>
            <w:sz w:val="19"/>
            <w:szCs w:val="19"/>
          </w:rPr>
          <w:fldChar w:fldCharType="end"/>
        </w:r>
      </w:hyperlink>
    </w:p>
    <w:p w14:paraId="44A23DF4" w14:textId="5AA278B4"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89" w:history="1">
        <w:r w:rsidR="00543A97" w:rsidRPr="00325A85">
          <w:rPr>
            <w:rStyle w:val="Hyperlink"/>
            <w:rFonts w:asciiTheme="minorHAnsi" w:hAnsiTheme="minorHAnsi" w:cstheme="minorHAnsi"/>
            <w:noProof/>
            <w:sz w:val="19"/>
            <w:szCs w:val="19"/>
            <w:lang w:val="en-GB"/>
          </w:rPr>
          <w:t>9.1</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1: Framework of government levers influencing behaviour</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_Toc154059389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70</w:t>
        </w:r>
        <w:r w:rsidR="00543A97" w:rsidRPr="00325A85">
          <w:rPr>
            <w:rFonts w:asciiTheme="minorHAnsi" w:hAnsiTheme="minorHAnsi" w:cstheme="minorHAnsi"/>
            <w:noProof/>
            <w:webHidden/>
            <w:sz w:val="19"/>
            <w:szCs w:val="19"/>
          </w:rPr>
          <w:fldChar w:fldCharType="end"/>
        </w:r>
      </w:hyperlink>
    </w:p>
    <w:p w14:paraId="1F2F8612" w14:textId="09602192"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0" w:history="1">
        <w:r w:rsidR="00543A97" w:rsidRPr="00325A85">
          <w:rPr>
            <w:rStyle w:val="Hyperlink"/>
            <w:rFonts w:asciiTheme="minorHAnsi" w:hAnsiTheme="minorHAnsi" w:cstheme="minorHAnsi"/>
            <w:noProof/>
            <w:sz w:val="19"/>
            <w:szCs w:val="19"/>
            <w:lang w:val="en-GB"/>
          </w:rPr>
          <w:t>9.2</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2: Australian Buildings Data used in this report</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_Toc154059390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71</w:t>
        </w:r>
        <w:r w:rsidR="00543A97" w:rsidRPr="00325A85">
          <w:rPr>
            <w:rFonts w:asciiTheme="minorHAnsi" w:hAnsiTheme="minorHAnsi" w:cstheme="minorHAnsi"/>
            <w:noProof/>
            <w:webHidden/>
            <w:sz w:val="19"/>
            <w:szCs w:val="19"/>
          </w:rPr>
          <w:fldChar w:fldCharType="end"/>
        </w:r>
      </w:hyperlink>
    </w:p>
    <w:p w14:paraId="7D371E80" w14:textId="0C5CC82E"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1" w:history="1">
        <w:r w:rsidR="00543A97" w:rsidRPr="00325A85">
          <w:rPr>
            <w:rStyle w:val="Hyperlink"/>
            <w:rFonts w:asciiTheme="minorHAnsi" w:hAnsiTheme="minorHAnsi" w:cstheme="minorHAnsi"/>
            <w:noProof/>
            <w:sz w:val="19"/>
            <w:szCs w:val="19"/>
            <w:lang w:val="en-GB"/>
          </w:rPr>
          <w:t>9.3</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3: Australian building stock breakdown by emissions, ratings and standards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_Toc154059391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72</w:t>
        </w:r>
        <w:r w:rsidR="00543A97" w:rsidRPr="00325A85">
          <w:rPr>
            <w:rFonts w:asciiTheme="minorHAnsi" w:hAnsiTheme="minorHAnsi" w:cstheme="minorHAnsi"/>
            <w:noProof/>
            <w:webHidden/>
            <w:sz w:val="19"/>
            <w:szCs w:val="19"/>
          </w:rPr>
          <w:fldChar w:fldCharType="end"/>
        </w:r>
      </w:hyperlink>
    </w:p>
    <w:p w14:paraId="469A1D05" w14:textId="47DB70BF"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2" w:history="1">
        <w:r w:rsidR="00543A97" w:rsidRPr="00325A85">
          <w:rPr>
            <w:rStyle w:val="Hyperlink"/>
            <w:rFonts w:asciiTheme="minorHAnsi" w:hAnsiTheme="minorHAnsi" w:cstheme="minorHAnsi"/>
            <w:noProof/>
            <w:sz w:val="19"/>
            <w:szCs w:val="19"/>
            <w:lang w:val="en-GB"/>
          </w:rPr>
          <w:t>9.4</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4: Australian building stock breakdown including data centres, hotels and shopping centres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_Toc154059392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75</w:t>
        </w:r>
        <w:r w:rsidR="00543A97" w:rsidRPr="00325A85">
          <w:rPr>
            <w:rFonts w:asciiTheme="minorHAnsi" w:hAnsiTheme="minorHAnsi" w:cstheme="minorHAnsi"/>
            <w:noProof/>
            <w:webHidden/>
            <w:sz w:val="19"/>
            <w:szCs w:val="19"/>
          </w:rPr>
          <w:fldChar w:fldCharType="end"/>
        </w:r>
      </w:hyperlink>
    </w:p>
    <w:p w14:paraId="215820DC" w14:textId="1C907955"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3" w:history="1">
        <w:r w:rsidR="00543A97" w:rsidRPr="00325A85">
          <w:rPr>
            <w:rStyle w:val="Hyperlink"/>
            <w:rFonts w:asciiTheme="minorHAnsi" w:hAnsiTheme="minorHAnsi" w:cstheme="minorHAnsi"/>
            <w:noProof/>
            <w:sz w:val="19"/>
            <w:szCs w:val="19"/>
            <w:lang w:val="en-GB"/>
          </w:rPr>
          <w:t>9.5</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5: Analysis of Datasets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_Toc154059393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76</w:t>
        </w:r>
        <w:r w:rsidR="00543A97" w:rsidRPr="00325A85">
          <w:rPr>
            <w:rFonts w:asciiTheme="minorHAnsi" w:hAnsiTheme="minorHAnsi" w:cstheme="minorHAnsi"/>
            <w:noProof/>
            <w:webHidden/>
            <w:sz w:val="19"/>
            <w:szCs w:val="19"/>
          </w:rPr>
          <w:fldChar w:fldCharType="end"/>
        </w:r>
      </w:hyperlink>
    </w:p>
    <w:p w14:paraId="4CF15BCE" w14:textId="1B2BBE29"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4" w:history="1">
        <w:r w:rsidR="00543A97" w:rsidRPr="00325A85">
          <w:rPr>
            <w:rStyle w:val="Hyperlink"/>
            <w:rFonts w:asciiTheme="minorHAnsi" w:hAnsiTheme="minorHAnsi" w:cstheme="minorHAnsi"/>
            <w:noProof/>
            <w:sz w:val="19"/>
            <w:szCs w:val="19"/>
            <w:lang w:val="en-GB"/>
          </w:rPr>
          <w:t>9.6</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6: Option 2 – Tailored sectoral disclosure - coverage methodology</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_Toc154059394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78</w:t>
        </w:r>
        <w:r w:rsidR="00543A97" w:rsidRPr="00325A85">
          <w:rPr>
            <w:rFonts w:asciiTheme="minorHAnsi" w:hAnsiTheme="minorHAnsi" w:cstheme="minorHAnsi"/>
            <w:noProof/>
            <w:webHidden/>
            <w:sz w:val="19"/>
            <w:szCs w:val="19"/>
          </w:rPr>
          <w:fldChar w:fldCharType="end"/>
        </w:r>
      </w:hyperlink>
    </w:p>
    <w:p w14:paraId="625BDD67" w14:textId="204E2C6D"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5" w:history="1">
        <w:r w:rsidR="00543A97" w:rsidRPr="00325A85">
          <w:rPr>
            <w:rStyle w:val="Hyperlink"/>
            <w:rFonts w:asciiTheme="minorHAnsi" w:hAnsiTheme="minorHAnsi" w:cstheme="minorHAnsi"/>
            <w:noProof/>
            <w:sz w:val="19"/>
            <w:szCs w:val="19"/>
            <w:lang w:val="en-GB"/>
          </w:rPr>
          <w:t>9.7</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7: Australian relevant policies and initiatives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_Toc154059395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83</w:t>
        </w:r>
        <w:r w:rsidR="00543A97" w:rsidRPr="00325A85">
          <w:rPr>
            <w:rFonts w:asciiTheme="minorHAnsi" w:hAnsiTheme="minorHAnsi" w:cstheme="minorHAnsi"/>
            <w:noProof/>
            <w:webHidden/>
            <w:sz w:val="19"/>
            <w:szCs w:val="19"/>
          </w:rPr>
          <w:fldChar w:fldCharType="end"/>
        </w:r>
      </w:hyperlink>
    </w:p>
    <w:p w14:paraId="7949A403" w14:textId="2EF3575D"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6" w:history="1">
        <w:r w:rsidR="00543A97" w:rsidRPr="00325A85">
          <w:rPr>
            <w:rStyle w:val="Hyperlink"/>
            <w:rFonts w:asciiTheme="minorHAnsi" w:hAnsiTheme="minorHAnsi" w:cstheme="minorHAnsi"/>
            <w:noProof/>
            <w:sz w:val="19"/>
            <w:szCs w:val="19"/>
            <w:lang w:val="en-GB"/>
          </w:rPr>
          <w:t>9.8</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8: Summary information from international research</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_Toc154059396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85</w:t>
        </w:r>
        <w:r w:rsidR="00543A97" w:rsidRPr="00325A85">
          <w:rPr>
            <w:rFonts w:asciiTheme="minorHAnsi" w:hAnsiTheme="minorHAnsi" w:cstheme="minorHAnsi"/>
            <w:noProof/>
            <w:webHidden/>
            <w:sz w:val="19"/>
            <w:szCs w:val="19"/>
          </w:rPr>
          <w:fldChar w:fldCharType="end"/>
        </w:r>
      </w:hyperlink>
    </w:p>
    <w:p w14:paraId="19260100" w14:textId="5A81A57C"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7" w:history="1">
        <w:r w:rsidR="00543A97" w:rsidRPr="00325A85">
          <w:rPr>
            <w:rStyle w:val="Hyperlink"/>
            <w:rFonts w:asciiTheme="minorHAnsi" w:hAnsiTheme="minorHAnsi" w:cstheme="minorHAnsi"/>
            <w:noProof/>
            <w:sz w:val="19"/>
            <w:szCs w:val="19"/>
            <w:lang w:val="en-GB"/>
          </w:rPr>
          <w:t>9.9</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9: Detail on Energy Star and EPCs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_Toc154059397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92</w:t>
        </w:r>
        <w:r w:rsidR="00543A97" w:rsidRPr="00325A85">
          <w:rPr>
            <w:rFonts w:asciiTheme="minorHAnsi" w:hAnsiTheme="minorHAnsi" w:cstheme="minorHAnsi"/>
            <w:noProof/>
            <w:webHidden/>
            <w:sz w:val="19"/>
            <w:szCs w:val="19"/>
          </w:rPr>
          <w:fldChar w:fldCharType="end"/>
        </w:r>
      </w:hyperlink>
    </w:p>
    <w:p w14:paraId="620124DB" w14:textId="05A569CF"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8" w:history="1">
        <w:r w:rsidR="00543A97" w:rsidRPr="00325A85">
          <w:rPr>
            <w:rStyle w:val="Hyperlink"/>
            <w:rFonts w:asciiTheme="minorHAnsi" w:hAnsiTheme="minorHAnsi" w:cstheme="minorHAnsi"/>
            <w:noProof/>
            <w:sz w:val="19"/>
            <w:szCs w:val="19"/>
            <w:lang w:val="en-GB"/>
          </w:rPr>
          <w:t>9.10</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10: Examples of energy rating displays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_Toc154059398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95</w:t>
        </w:r>
        <w:r w:rsidR="00543A97" w:rsidRPr="00325A85">
          <w:rPr>
            <w:rFonts w:asciiTheme="minorHAnsi" w:hAnsiTheme="minorHAnsi" w:cstheme="minorHAnsi"/>
            <w:noProof/>
            <w:webHidden/>
            <w:sz w:val="19"/>
            <w:szCs w:val="19"/>
          </w:rPr>
          <w:fldChar w:fldCharType="end"/>
        </w:r>
      </w:hyperlink>
    </w:p>
    <w:p w14:paraId="60EFC6D0" w14:textId="59DA1D3F" w:rsidR="00543A97" w:rsidRPr="00325A85" w:rsidRDefault="00000000">
      <w:pPr>
        <w:pStyle w:val="TOC2"/>
        <w:rPr>
          <w:rFonts w:asciiTheme="minorHAnsi" w:eastAsiaTheme="minorEastAsia" w:hAnsiTheme="minorHAnsi" w:cstheme="minorHAnsi"/>
          <w:noProof/>
          <w:color w:val="auto"/>
          <w:sz w:val="19"/>
          <w:szCs w:val="19"/>
          <w:lang w:eastAsia="en-AU"/>
        </w:rPr>
      </w:pPr>
      <w:hyperlink w:anchor="_Toc154059399" w:history="1">
        <w:r w:rsidR="00543A97" w:rsidRPr="00325A85">
          <w:rPr>
            <w:rStyle w:val="Hyperlink"/>
            <w:rFonts w:asciiTheme="minorHAnsi" w:hAnsiTheme="minorHAnsi" w:cstheme="minorHAnsi"/>
            <w:noProof/>
            <w:sz w:val="19"/>
            <w:szCs w:val="19"/>
            <w:lang w:val="en-GB"/>
          </w:rPr>
          <w:t>9.11</w:t>
        </w:r>
        <w:r w:rsidR="00543A97" w:rsidRPr="00325A85">
          <w:rPr>
            <w:rFonts w:asciiTheme="minorHAnsi" w:eastAsiaTheme="minorEastAsia" w:hAnsiTheme="minorHAnsi" w:cstheme="minorHAnsi"/>
            <w:noProof/>
            <w:color w:val="auto"/>
            <w:sz w:val="19"/>
            <w:szCs w:val="19"/>
            <w:lang w:eastAsia="en-AU"/>
          </w:rPr>
          <w:tab/>
        </w:r>
        <w:r w:rsidR="00543A97" w:rsidRPr="00325A85">
          <w:rPr>
            <w:rStyle w:val="Hyperlink"/>
            <w:rFonts w:asciiTheme="minorHAnsi" w:hAnsiTheme="minorHAnsi" w:cstheme="minorHAnsi"/>
            <w:noProof/>
            <w:sz w:val="19"/>
            <w:szCs w:val="19"/>
            <w:lang w:val="en-GB"/>
          </w:rPr>
          <w:t>Appendix 11: Accessibility supported information for charts and infographics</w:t>
        </w:r>
        <w:r w:rsidR="00543A97" w:rsidRPr="00325A85">
          <w:rPr>
            <w:rFonts w:asciiTheme="minorHAnsi" w:hAnsiTheme="minorHAnsi" w:cstheme="minorHAnsi"/>
            <w:noProof/>
            <w:webHidden/>
            <w:sz w:val="19"/>
            <w:szCs w:val="19"/>
          </w:rPr>
          <w:tab/>
        </w:r>
        <w:r w:rsidR="00543A97" w:rsidRPr="00325A85">
          <w:rPr>
            <w:rFonts w:asciiTheme="minorHAnsi" w:hAnsiTheme="minorHAnsi" w:cstheme="minorHAnsi"/>
            <w:noProof/>
            <w:webHidden/>
            <w:sz w:val="19"/>
            <w:szCs w:val="19"/>
          </w:rPr>
          <w:fldChar w:fldCharType="begin"/>
        </w:r>
        <w:r w:rsidR="00543A97" w:rsidRPr="00325A85">
          <w:rPr>
            <w:rFonts w:asciiTheme="minorHAnsi" w:hAnsiTheme="minorHAnsi" w:cstheme="minorHAnsi"/>
            <w:noProof/>
            <w:webHidden/>
            <w:sz w:val="19"/>
            <w:szCs w:val="19"/>
          </w:rPr>
          <w:instrText xml:space="preserve"> PAGEREF _Toc154059399 \h </w:instrText>
        </w:r>
        <w:r w:rsidR="00543A97" w:rsidRPr="00325A85">
          <w:rPr>
            <w:rFonts w:asciiTheme="minorHAnsi" w:hAnsiTheme="minorHAnsi" w:cstheme="minorHAnsi"/>
            <w:noProof/>
            <w:webHidden/>
            <w:sz w:val="19"/>
            <w:szCs w:val="19"/>
          </w:rPr>
        </w:r>
        <w:r w:rsidR="00543A97" w:rsidRPr="00325A85">
          <w:rPr>
            <w:rFonts w:asciiTheme="minorHAnsi" w:hAnsiTheme="minorHAnsi" w:cstheme="minorHAnsi"/>
            <w:noProof/>
            <w:webHidden/>
            <w:sz w:val="19"/>
            <w:szCs w:val="19"/>
          </w:rPr>
          <w:fldChar w:fldCharType="separate"/>
        </w:r>
        <w:r w:rsidR="00D24A06">
          <w:rPr>
            <w:rFonts w:asciiTheme="minorHAnsi" w:hAnsiTheme="minorHAnsi" w:cstheme="minorHAnsi"/>
            <w:noProof/>
            <w:webHidden/>
            <w:sz w:val="19"/>
            <w:szCs w:val="19"/>
          </w:rPr>
          <w:t>98</w:t>
        </w:r>
        <w:r w:rsidR="00543A97" w:rsidRPr="00325A85">
          <w:rPr>
            <w:rFonts w:asciiTheme="minorHAnsi" w:hAnsiTheme="minorHAnsi" w:cstheme="minorHAnsi"/>
            <w:noProof/>
            <w:webHidden/>
            <w:sz w:val="19"/>
            <w:szCs w:val="19"/>
          </w:rPr>
          <w:fldChar w:fldCharType="end"/>
        </w:r>
      </w:hyperlink>
    </w:p>
    <w:p w14:paraId="31C29CE9" w14:textId="69AB10EC" w:rsidR="00B60008" w:rsidRPr="00543A97" w:rsidRDefault="00F441D9" w:rsidP="001720F1">
      <w:pPr>
        <w:tabs>
          <w:tab w:val="right" w:leader="dot" w:pos="10204"/>
        </w:tabs>
        <w:rPr>
          <w:rFonts w:asciiTheme="minorHAnsi" w:hAnsiTheme="minorHAnsi" w:cstheme="minorHAnsi"/>
        </w:rPr>
      </w:pPr>
      <w:r w:rsidRPr="00325A85">
        <w:rPr>
          <w:rFonts w:asciiTheme="minorHAnsi" w:hAnsiTheme="minorHAnsi" w:cstheme="minorHAnsi"/>
          <w:sz w:val="19"/>
          <w:szCs w:val="19"/>
        </w:rPr>
        <w:lastRenderedPageBreak/>
        <w:fldChar w:fldCharType="end"/>
      </w:r>
    </w:p>
    <w:p w14:paraId="0FE02D59" w14:textId="77777777" w:rsidR="003E3DB3" w:rsidRDefault="00C57A10" w:rsidP="00CD53CA">
      <w:pPr>
        <w:pStyle w:val="CVName"/>
        <w:rPr>
          <w:noProof/>
        </w:rPr>
      </w:pPr>
      <w:bookmarkStart w:id="14" w:name="_Toc132295349"/>
      <w:bookmarkStart w:id="15" w:name="_Toc132295394"/>
      <w:r w:rsidRPr="0037036A">
        <w:rPr>
          <w:rFonts w:asciiTheme="minorHAnsi" w:hAnsiTheme="minorHAnsi" w:cstheme="minorHAnsi"/>
        </w:rPr>
        <w:t xml:space="preserve">Index of Tables </w:t>
      </w:r>
      <w:bookmarkEnd w:id="14"/>
      <w:bookmarkEnd w:id="15"/>
      <w:r w:rsidR="000D3FBF" w:rsidRPr="00DB6120">
        <w:rPr>
          <w:rFonts w:asciiTheme="minorHAnsi" w:hAnsiTheme="minorHAnsi" w:cstheme="minorHAnsi"/>
          <w:b w:val="0"/>
          <w:bCs w:val="0"/>
          <w:sz w:val="20"/>
          <w:szCs w:val="20"/>
        </w:rPr>
        <w:fldChar w:fldCharType="begin"/>
      </w:r>
      <w:r w:rsidR="000D3FBF" w:rsidRPr="00DB6120">
        <w:rPr>
          <w:rFonts w:asciiTheme="minorHAnsi" w:hAnsiTheme="minorHAnsi" w:cstheme="minorHAnsi"/>
          <w:b w:val="0"/>
          <w:bCs w:val="0"/>
          <w:szCs w:val="20"/>
        </w:rPr>
        <w:instrText xml:space="preserve"> TOC \h \z \c "Table" </w:instrText>
      </w:r>
      <w:r w:rsidR="000D3FBF" w:rsidRPr="00DB6120">
        <w:rPr>
          <w:rFonts w:asciiTheme="minorHAnsi" w:hAnsiTheme="minorHAnsi" w:cstheme="minorHAnsi"/>
          <w:b w:val="0"/>
          <w:bCs w:val="0"/>
          <w:sz w:val="20"/>
          <w:szCs w:val="20"/>
        </w:rPr>
        <w:fldChar w:fldCharType="separate"/>
      </w:r>
    </w:p>
    <w:p w14:paraId="26386415" w14:textId="781B15E9"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37" w:history="1">
        <w:r w:rsidR="003E3DB3" w:rsidRPr="003A76F2">
          <w:rPr>
            <w:rStyle w:val="Hyperlink"/>
            <w:rFonts w:ascii="Calibri" w:eastAsia="Times New Roman" w:hAnsi="Calibri" w:cs="Times New Roman"/>
            <w:noProof/>
          </w:rPr>
          <w:t>Table 1: High level assessment of seven policies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_Toc162535437 \h </w:instrText>
        </w:r>
        <w:r w:rsidR="003E3DB3" w:rsidRPr="003A76F2">
          <w:rPr>
            <w:noProof/>
            <w:webHidden/>
          </w:rPr>
        </w:r>
        <w:r w:rsidR="003E3DB3" w:rsidRPr="003A76F2">
          <w:rPr>
            <w:noProof/>
            <w:webHidden/>
          </w:rPr>
          <w:fldChar w:fldCharType="separate"/>
        </w:r>
        <w:r w:rsidR="00D24A06">
          <w:rPr>
            <w:noProof/>
            <w:webHidden/>
          </w:rPr>
          <w:t>4</w:t>
        </w:r>
        <w:r w:rsidR="003E3DB3" w:rsidRPr="003A76F2">
          <w:rPr>
            <w:noProof/>
            <w:webHidden/>
          </w:rPr>
          <w:fldChar w:fldCharType="end"/>
        </w:r>
      </w:hyperlink>
    </w:p>
    <w:p w14:paraId="5C644EAC" w14:textId="0F6651F6"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38" w:history="1">
        <w:r w:rsidR="003E3DB3" w:rsidRPr="003A76F2">
          <w:rPr>
            <w:rStyle w:val="Hyperlink"/>
            <w:rFonts w:ascii="Calibri" w:eastAsia="Times New Roman" w:hAnsi="Calibri" w:cs="Times New Roman"/>
            <w:noProof/>
          </w:rPr>
          <w:t>Table 2: Breakdown of NABERS rating by building size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_Toc162535438 \h </w:instrText>
        </w:r>
        <w:r w:rsidR="003E3DB3" w:rsidRPr="003A76F2">
          <w:rPr>
            <w:noProof/>
            <w:webHidden/>
          </w:rPr>
        </w:r>
        <w:r w:rsidR="003E3DB3" w:rsidRPr="003A76F2">
          <w:rPr>
            <w:noProof/>
            <w:webHidden/>
          </w:rPr>
          <w:fldChar w:fldCharType="separate"/>
        </w:r>
        <w:r w:rsidR="00D24A06">
          <w:rPr>
            <w:noProof/>
            <w:webHidden/>
          </w:rPr>
          <w:t>7</w:t>
        </w:r>
        <w:r w:rsidR="003E3DB3" w:rsidRPr="003A76F2">
          <w:rPr>
            <w:noProof/>
            <w:webHidden/>
          </w:rPr>
          <w:fldChar w:fldCharType="end"/>
        </w:r>
      </w:hyperlink>
    </w:p>
    <w:p w14:paraId="0F2AFC8C" w14:textId="689FAE68"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39" w:history="1">
        <w:r w:rsidR="003E3DB3" w:rsidRPr="003A76F2">
          <w:rPr>
            <w:rStyle w:val="Hyperlink"/>
            <w:rFonts w:ascii="Calibri" w:eastAsia="Times New Roman" w:hAnsi="Calibri" w:cs="Times New Roman"/>
            <w:noProof/>
          </w:rPr>
          <w:t>Table 3: Australian policies and initiatives influencing the building sector</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_Toc162535439 \h </w:instrText>
        </w:r>
        <w:r w:rsidR="003E3DB3" w:rsidRPr="003A76F2">
          <w:rPr>
            <w:noProof/>
            <w:webHidden/>
          </w:rPr>
        </w:r>
        <w:r w:rsidR="003E3DB3" w:rsidRPr="003A76F2">
          <w:rPr>
            <w:noProof/>
            <w:webHidden/>
          </w:rPr>
          <w:fldChar w:fldCharType="separate"/>
        </w:r>
        <w:r w:rsidR="00D24A06">
          <w:rPr>
            <w:noProof/>
            <w:webHidden/>
          </w:rPr>
          <w:t>17</w:t>
        </w:r>
        <w:r w:rsidR="003E3DB3" w:rsidRPr="003A76F2">
          <w:rPr>
            <w:noProof/>
            <w:webHidden/>
          </w:rPr>
          <w:fldChar w:fldCharType="end"/>
        </w:r>
      </w:hyperlink>
    </w:p>
    <w:p w14:paraId="7F273516" w14:textId="0832F1A7"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0" w:history="1">
        <w:r w:rsidR="003E3DB3" w:rsidRPr="003A76F2">
          <w:rPr>
            <w:rStyle w:val="Hyperlink"/>
            <w:rFonts w:ascii="Calibri" w:eastAsia="Times New Roman" w:hAnsi="Calibri" w:cs="Times New Roman"/>
            <w:noProof/>
          </w:rPr>
          <w:t>Table 4: Minimum Energy Performance Standards for Government Buildings &gt; 2,000 m</w:t>
        </w:r>
        <w:r w:rsidR="003E3DB3" w:rsidRPr="003A76F2">
          <w:rPr>
            <w:rStyle w:val="Hyperlink"/>
            <w:rFonts w:ascii="Calibri" w:eastAsia="Times New Roman" w:hAnsi="Calibri" w:cs="Times New Roman"/>
            <w:noProof/>
            <w:vertAlign w:val="superscript"/>
          </w:rPr>
          <w:t>2</w:t>
        </w:r>
        <w:r w:rsidR="003E3DB3" w:rsidRPr="003A76F2">
          <w:rPr>
            <w:rStyle w:val="Hyperlink"/>
            <w:rFonts w:ascii="Calibri" w:eastAsia="Times New Roman" w:hAnsi="Calibri" w:cs="Times New Roman"/>
            <w:noProof/>
          </w:rPr>
          <w:t xml:space="preserve"> </w:t>
        </w:r>
        <w:r w:rsidR="003E3DB3" w:rsidRPr="003A76F2">
          <w:rPr>
            <w:rStyle w:val="Hyperlink"/>
            <w:rFonts w:ascii="Calibri" w:eastAsia="Times New Roman" w:hAnsi="Calibri" w:cs="Times New Roman"/>
            <w:noProof/>
            <w:vertAlign w:val="superscript"/>
          </w:rPr>
          <w:t>17,</w:t>
        </w:r>
        <w:r w:rsidR="003E3DB3" w:rsidRPr="003A76F2">
          <w:rPr>
            <w:rStyle w:val="Hyperlink"/>
            <w:rFonts w:ascii="ZWAdobeF" w:eastAsia="Times New Roman" w:hAnsi="ZWAdobeF" w:cs="ZWAdobeF"/>
            <w:noProof/>
            <w:vertAlign w:val="superscript"/>
          </w:rPr>
          <w:t>17F</w:t>
        </w:r>
        <w:r w:rsidR="003E3DB3" w:rsidRPr="003A76F2">
          <w:rPr>
            <w:rStyle w:val="Hyperlink"/>
            <w:rFonts w:ascii="ZWAdobeF" w:eastAsia="Times New Roman" w:hAnsi="ZWAdobeF" w:cs="ZWAdobeF"/>
            <w:noProof/>
          </w:rPr>
          <w:t>17F17F17F</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_Toc162535440 \h </w:instrText>
        </w:r>
        <w:r w:rsidR="003E3DB3" w:rsidRPr="003A76F2">
          <w:rPr>
            <w:noProof/>
            <w:webHidden/>
          </w:rPr>
        </w:r>
        <w:r w:rsidR="003E3DB3" w:rsidRPr="003A76F2">
          <w:rPr>
            <w:noProof/>
            <w:webHidden/>
          </w:rPr>
          <w:fldChar w:fldCharType="separate"/>
        </w:r>
        <w:r w:rsidR="00D24A06">
          <w:rPr>
            <w:noProof/>
            <w:webHidden/>
          </w:rPr>
          <w:t>19</w:t>
        </w:r>
        <w:r w:rsidR="003E3DB3" w:rsidRPr="003A76F2">
          <w:rPr>
            <w:noProof/>
            <w:webHidden/>
          </w:rPr>
          <w:fldChar w:fldCharType="end"/>
        </w:r>
      </w:hyperlink>
    </w:p>
    <w:p w14:paraId="1E2C8FF8" w14:textId="6C634735"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1" w:history="1">
        <w:r w:rsidR="003E3DB3" w:rsidRPr="003A76F2">
          <w:rPr>
            <w:rStyle w:val="Hyperlink"/>
            <w:rFonts w:ascii="Calibri" w:eastAsia="Times New Roman" w:hAnsi="Calibri" w:cs="Times New Roman"/>
            <w:noProof/>
          </w:rPr>
          <w:t>Table 5: Minimum Energy Performance Standards for Government Buildings &lt; 2,000 m</w:t>
        </w:r>
        <w:r w:rsidR="003E3DB3" w:rsidRPr="003A76F2">
          <w:rPr>
            <w:rStyle w:val="Hyperlink"/>
            <w:rFonts w:ascii="Calibri" w:eastAsia="Times New Roman" w:hAnsi="Calibri" w:cs="Times New Roman"/>
            <w:noProof/>
            <w:vertAlign w:val="superscript"/>
          </w:rPr>
          <w:t>2</w:t>
        </w:r>
        <w:r w:rsidR="003E3DB3" w:rsidRPr="003A76F2">
          <w:rPr>
            <w:rStyle w:val="Hyperlink"/>
            <w:rFonts w:ascii="Calibri" w:eastAsia="Times New Roman" w:hAnsi="Calibri" w:cs="Times New Roman"/>
            <w:noProof/>
          </w:rPr>
          <w:t xml:space="preserve"> </w:t>
        </w:r>
        <w:r w:rsidR="003E3DB3" w:rsidRPr="003A76F2">
          <w:rPr>
            <w:rStyle w:val="Hyperlink"/>
            <w:rFonts w:ascii="Calibri" w:eastAsia="Times New Roman" w:hAnsi="Calibri" w:cs="Times New Roman"/>
            <w:noProof/>
            <w:vertAlign w:val="superscript"/>
          </w:rPr>
          <w:t>18,</w:t>
        </w:r>
        <w:r w:rsidR="003E3DB3" w:rsidRPr="003A76F2">
          <w:rPr>
            <w:rStyle w:val="Hyperlink"/>
            <w:rFonts w:ascii="ZWAdobeF" w:eastAsia="Times New Roman" w:hAnsi="ZWAdobeF" w:cs="ZWAdobeF"/>
            <w:noProof/>
            <w:vertAlign w:val="superscript"/>
          </w:rPr>
          <w:t>18F</w:t>
        </w:r>
        <w:r w:rsidR="003E3DB3" w:rsidRPr="003A76F2">
          <w:rPr>
            <w:rStyle w:val="Hyperlink"/>
            <w:rFonts w:ascii="ZWAdobeF" w:eastAsia="Times New Roman" w:hAnsi="ZWAdobeF" w:cs="ZWAdobeF"/>
            <w:noProof/>
          </w:rPr>
          <w:t>18F18F18F</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_Toc162535441 \h </w:instrText>
        </w:r>
        <w:r w:rsidR="003E3DB3" w:rsidRPr="003A76F2">
          <w:rPr>
            <w:noProof/>
            <w:webHidden/>
          </w:rPr>
        </w:r>
        <w:r w:rsidR="003E3DB3" w:rsidRPr="003A76F2">
          <w:rPr>
            <w:noProof/>
            <w:webHidden/>
          </w:rPr>
          <w:fldChar w:fldCharType="separate"/>
        </w:r>
        <w:r w:rsidR="00D24A06">
          <w:rPr>
            <w:noProof/>
            <w:webHidden/>
          </w:rPr>
          <w:t>19</w:t>
        </w:r>
        <w:r w:rsidR="003E3DB3" w:rsidRPr="003A76F2">
          <w:rPr>
            <w:noProof/>
            <w:webHidden/>
          </w:rPr>
          <w:fldChar w:fldCharType="end"/>
        </w:r>
      </w:hyperlink>
    </w:p>
    <w:p w14:paraId="2E9BE40D" w14:textId="6779B8BD"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2" w:history="1">
        <w:r w:rsidR="003E3DB3" w:rsidRPr="003A76F2">
          <w:rPr>
            <w:rStyle w:val="Hyperlink"/>
            <w:rFonts w:ascii="Calibri" w:eastAsia="Times New Roman" w:hAnsi="Calibri" w:cs="Times New Roman"/>
            <w:noProof/>
          </w:rPr>
          <w:t>Table 6: Broad trends in the international scan relating to disclosure and MEPS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_Toc162535442 \h </w:instrText>
        </w:r>
        <w:r w:rsidR="003E3DB3" w:rsidRPr="003A76F2">
          <w:rPr>
            <w:noProof/>
            <w:webHidden/>
          </w:rPr>
        </w:r>
        <w:r w:rsidR="003E3DB3" w:rsidRPr="003A76F2">
          <w:rPr>
            <w:noProof/>
            <w:webHidden/>
          </w:rPr>
          <w:fldChar w:fldCharType="separate"/>
        </w:r>
        <w:r w:rsidR="00D24A06">
          <w:rPr>
            <w:noProof/>
            <w:webHidden/>
          </w:rPr>
          <w:t>22</w:t>
        </w:r>
        <w:r w:rsidR="003E3DB3" w:rsidRPr="003A76F2">
          <w:rPr>
            <w:noProof/>
            <w:webHidden/>
          </w:rPr>
          <w:fldChar w:fldCharType="end"/>
        </w:r>
      </w:hyperlink>
    </w:p>
    <w:p w14:paraId="2D88A116" w14:textId="7EB7D29A"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3" w:history="1">
        <w:r w:rsidR="003E3DB3" w:rsidRPr="003A76F2">
          <w:rPr>
            <w:rStyle w:val="Hyperlink"/>
            <w:rFonts w:ascii="Calibri" w:eastAsia="Times New Roman" w:hAnsi="Calibri" w:cs="Times New Roman"/>
            <w:noProof/>
          </w:rPr>
          <w:t>Table 7: Examples of Building Rating Schemes in different jurisdictions</w:t>
        </w:r>
        <w:r w:rsidR="003E3DB3" w:rsidRPr="003A76F2">
          <w:rPr>
            <w:rStyle w:val="Hyperlink"/>
            <w:rFonts w:ascii="Calibri" w:eastAsia="Times New Roman" w:hAnsi="Calibri" w:cs="Times New Roman"/>
            <w:noProof/>
            <w:vertAlign w:val="superscript"/>
          </w:rPr>
          <w:t>32,</w:t>
        </w:r>
        <w:r w:rsidR="003E3DB3" w:rsidRPr="003A76F2">
          <w:rPr>
            <w:rStyle w:val="Hyperlink"/>
            <w:rFonts w:ascii="ZWAdobeF" w:eastAsia="Times New Roman" w:hAnsi="ZWAdobeF" w:cs="ZWAdobeF"/>
            <w:noProof/>
            <w:vertAlign w:val="superscript"/>
          </w:rPr>
          <w:t>F</w:t>
        </w:r>
        <w:r w:rsidR="003E3DB3" w:rsidRPr="003A76F2">
          <w:rPr>
            <w:rStyle w:val="Hyperlink"/>
            <w:rFonts w:ascii="ZWAdobeF" w:eastAsia="Times New Roman" w:hAnsi="ZWAdobeF" w:cs="ZWAdobeF"/>
            <w:noProof/>
          </w:rPr>
          <w:t>32F32F32F</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_Toc162535443 \h </w:instrText>
        </w:r>
        <w:r w:rsidR="003E3DB3" w:rsidRPr="003A76F2">
          <w:rPr>
            <w:noProof/>
            <w:webHidden/>
          </w:rPr>
        </w:r>
        <w:r w:rsidR="003E3DB3" w:rsidRPr="003A76F2">
          <w:rPr>
            <w:noProof/>
            <w:webHidden/>
          </w:rPr>
          <w:fldChar w:fldCharType="separate"/>
        </w:r>
        <w:r w:rsidR="00D24A06">
          <w:rPr>
            <w:noProof/>
            <w:webHidden/>
          </w:rPr>
          <w:t>25</w:t>
        </w:r>
        <w:r w:rsidR="003E3DB3" w:rsidRPr="003A76F2">
          <w:rPr>
            <w:noProof/>
            <w:webHidden/>
          </w:rPr>
          <w:fldChar w:fldCharType="end"/>
        </w:r>
      </w:hyperlink>
    </w:p>
    <w:p w14:paraId="6D98A514" w14:textId="31C928E7"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4" w:history="1">
        <w:r w:rsidR="003E3DB3" w:rsidRPr="003A76F2">
          <w:rPr>
            <w:rStyle w:val="Hyperlink"/>
            <w:rFonts w:ascii="Calibri" w:eastAsia="Times New Roman" w:hAnsi="Calibri" w:cs="Times New Roman"/>
            <w:noProof/>
          </w:rPr>
          <w:t>Table 8: Disclosure requirements by jurisdiction</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_Toc162535444 \h </w:instrText>
        </w:r>
        <w:r w:rsidR="003E3DB3" w:rsidRPr="003A76F2">
          <w:rPr>
            <w:noProof/>
            <w:webHidden/>
          </w:rPr>
        </w:r>
        <w:r w:rsidR="003E3DB3" w:rsidRPr="003A76F2">
          <w:rPr>
            <w:noProof/>
            <w:webHidden/>
          </w:rPr>
          <w:fldChar w:fldCharType="separate"/>
        </w:r>
        <w:r w:rsidR="00D24A06">
          <w:rPr>
            <w:noProof/>
            <w:webHidden/>
          </w:rPr>
          <w:t>26</w:t>
        </w:r>
        <w:r w:rsidR="003E3DB3" w:rsidRPr="003A76F2">
          <w:rPr>
            <w:noProof/>
            <w:webHidden/>
          </w:rPr>
          <w:fldChar w:fldCharType="end"/>
        </w:r>
      </w:hyperlink>
    </w:p>
    <w:p w14:paraId="1401D32D" w14:textId="791480F0"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5" w:history="1">
        <w:r w:rsidR="003E3DB3" w:rsidRPr="003A76F2">
          <w:rPr>
            <w:rStyle w:val="Hyperlink"/>
            <w:rFonts w:ascii="Calibri" w:eastAsia="Times New Roman" w:hAnsi="Calibri" w:cs="Times New Roman"/>
            <w:noProof/>
          </w:rPr>
          <w:t>Table 9: Implementation of MEPS for existing buildings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_Toc162535445 \h </w:instrText>
        </w:r>
        <w:r w:rsidR="003E3DB3" w:rsidRPr="003A76F2">
          <w:rPr>
            <w:noProof/>
            <w:webHidden/>
          </w:rPr>
        </w:r>
        <w:r w:rsidR="003E3DB3" w:rsidRPr="003A76F2">
          <w:rPr>
            <w:noProof/>
            <w:webHidden/>
          </w:rPr>
          <w:fldChar w:fldCharType="separate"/>
        </w:r>
        <w:r w:rsidR="00D24A06">
          <w:rPr>
            <w:noProof/>
            <w:webHidden/>
          </w:rPr>
          <w:t>33</w:t>
        </w:r>
        <w:r w:rsidR="003E3DB3" w:rsidRPr="003A76F2">
          <w:rPr>
            <w:noProof/>
            <w:webHidden/>
          </w:rPr>
          <w:fldChar w:fldCharType="end"/>
        </w:r>
      </w:hyperlink>
    </w:p>
    <w:p w14:paraId="250F0FD5" w14:textId="7330D432"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6" w:history="1">
        <w:r w:rsidR="003E3DB3" w:rsidRPr="003A76F2">
          <w:rPr>
            <w:rStyle w:val="Hyperlink"/>
            <w:rFonts w:ascii="Calibri" w:eastAsia="Times New Roman" w:hAnsi="Calibri" w:cs="Times New Roman"/>
            <w:noProof/>
          </w:rPr>
          <w:t>Table 10: Building energy, emissions changes from policy introduction</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_Toc162535446 \h </w:instrText>
        </w:r>
        <w:r w:rsidR="003E3DB3" w:rsidRPr="003A76F2">
          <w:rPr>
            <w:noProof/>
            <w:webHidden/>
          </w:rPr>
        </w:r>
        <w:r w:rsidR="003E3DB3" w:rsidRPr="003A76F2">
          <w:rPr>
            <w:noProof/>
            <w:webHidden/>
          </w:rPr>
          <w:fldChar w:fldCharType="separate"/>
        </w:r>
        <w:r w:rsidR="00D24A06">
          <w:rPr>
            <w:noProof/>
            <w:webHidden/>
          </w:rPr>
          <w:t>37</w:t>
        </w:r>
        <w:r w:rsidR="003E3DB3" w:rsidRPr="003A76F2">
          <w:rPr>
            <w:noProof/>
            <w:webHidden/>
          </w:rPr>
          <w:fldChar w:fldCharType="end"/>
        </w:r>
      </w:hyperlink>
    </w:p>
    <w:p w14:paraId="4DDF37D8" w14:textId="22B42902"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7" w:history="1">
        <w:r w:rsidR="003E3DB3" w:rsidRPr="003A76F2">
          <w:rPr>
            <w:rStyle w:val="Hyperlink"/>
            <w:rFonts w:ascii="Calibri" w:eastAsia="Times New Roman" w:hAnsi="Calibri" w:cs="Times New Roman"/>
            <w:noProof/>
          </w:rPr>
          <w:t>Table 11: Adoption of rating schemes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_Toc162535447 \h </w:instrText>
        </w:r>
        <w:r w:rsidR="003E3DB3" w:rsidRPr="003A76F2">
          <w:rPr>
            <w:noProof/>
            <w:webHidden/>
          </w:rPr>
        </w:r>
        <w:r w:rsidR="003E3DB3" w:rsidRPr="003A76F2">
          <w:rPr>
            <w:noProof/>
            <w:webHidden/>
          </w:rPr>
          <w:fldChar w:fldCharType="separate"/>
        </w:r>
        <w:r w:rsidR="00D24A06">
          <w:rPr>
            <w:noProof/>
            <w:webHidden/>
          </w:rPr>
          <w:t>38</w:t>
        </w:r>
        <w:r w:rsidR="003E3DB3" w:rsidRPr="003A76F2">
          <w:rPr>
            <w:noProof/>
            <w:webHidden/>
          </w:rPr>
          <w:fldChar w:fldCharType="end"/>
        </w:r>
      </w:hyperlink>
    </w:p>
    <w:p w14:paraId="076E2EAA" w14:textId="389D4A00"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8" w:history="1">
        <w:r w:rsidR="003E3DB3" w:rsidRPr="003A76F2">
          <w:rPr>
            <w:rStyle w:val="Hyperlink"/>
            <w:rFonts w:ascii="Calibri" w:eastAsia="Times New Roman" w:hAnsi="Calibri" w:cs="Times New Roman"/>
            <w:noProof/>
          </w:rPr>
          <w:t>Table 12: Blanket disclosure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_Toc162535448 \h </w:instrText>
        </w:r>
        <w:r w:rsidR="003E3DB3" w:rsidRPr="003A76F2">
          <w:rPr>
            <w:noProof/>
            <w:webHidden/>
          </w:rPr>
        </w:r>
        <w:r w:rsidR="003E3DB3" w:rsidRPr="003A76F2">
          <w:rPr>
            <w:noProof/>
            <w:webHidden/>
          </w:rPr>
          <w:fldChar w:fldCharType="separate"/>
        </w:r>
        <w:r w:rsidR="00D24A06">
          <w:rPr>
            <w:noProof/>
            <w:webHidden/>
          </w:rPr>
          <w:t>45</w:t>
        </w:r>
        <w:r w:rsidR="003E3DB3" w:rsidRPr="003A76F2">
          <w:rPr>
            <w:noProof/>
            <w:webHidden/>
          </w:rPr>
          <w:fldChar w:fldCharType="end"/>
        </w:r>
      </w:hyperlink>
    </w:p>
    <w:p w14:paraId="2900F764" w14:textId="1D045D40"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49" w:history="1">
        <w:r w:rsidR="003E3DB3" w:rsidRPr="003A76F2">
          <w:rPr>
            <w:rStyle w:val="Hyperlink"/>
            <w:rFonts w:ascii="Calibri" w:eastAsia="Times New Roman" w:hAnsi="Calibri" w:cs="Times New Roman"/>
            <w:noProof/>
          </w:rPr>
          <w:t>Table 13: Tailored sectoral disclosure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_Toc162535449 \h </w:instrText>
        </w:r>
        <w:r w:rsidR="003E3DB3" w:rsidRPr="003A76F2">
          <w:rPr>
            <w:noProof/>
            <w:webHidden/>
          </w:rPr>
        </w:r>
        <w:r w:rsidR="003E3DB3" w:rsidRPr="003A76F2">
          <w:rPr>
            <w:noProof/>
            <w:webHidden/>
          </w:rPr>
          <w:fldChar w:fldCharType="separate"/>
        </w:r>
        <w:r w:rsidR="00D24A06">
          <w:rPr>
            <w:noProof/>
            <w:webHidden/>
          </w:rPr>
          <w:t>46</w:t>
        </w:r>
        <w:r w:rsidR="003E3DB3" w:rsidRPr="003A76F2">
          <w:rPr>
            <w:noProof/>
            <w:webHidden/>
          </w:rPr>
          <w:fldChar w:fldCharType="end"/>
        </w:r>
      </w:hyperlink>
    </w:p>
    <w:p w14:paraId="251F83AF" w14:textId="26F1859F"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0" w:history="1">
        <w:r w:rsidR="003E3DB3" w:rsidRPr="003A76F2">
          <w:rPr>
            <w:rStyle w:val="Hyperlink"/>
            <w:rFonts w:ascii="Calibri" w:eastAsia="Times New Roman" w:hAnsi="Calibri" w:cs="Times New Roman"/>
            <w:noProof/>
          </w:rPr>
          <w:t>Table 14: Office 500</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_Toc162535450 \h </w:instrText>
        </w:r>
        <w:r w:rsidR="003E3DB3" w:rsidRPr="003A76F2">
          <w:rPr>
            <w:noProof/>
            <w:webHidden/>
          </w:rPr>
        </w:r>
        <w:r w:rsidR="003E3DB3" w:rsidRPr="003A76F2">
          <w:rPr>
            <w:noProof/>
            <w:webHidden/>
          </w:rPr>
          <w:fldChar w:fldCharType="separate"/>
        </w:r>
        <w:r w:rsidR="00D24A06">
          <w:rPr>
            <w:noProof/>
            <w:webHidden/>
          </w:rPr>
          <w:t>47</w:t>
        </w:r>
        <w:r w:rsidR="003E3DB3" w:rsidRPr="003A76F2">
          <w:rPr>
            <w:noProof/>
            <w:webHidden/>
          </w:rPr>
          <w:fldChar w:fldCharType="end"/>
        </w:r>
      </w:hyperlink>
    </w:p>
    <w:p w14:paraId="450B8792" w14:textId="04340B6F"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1" w:history="1">
        <w:r w:rsidR="003E3DB3" w:rsidRPr="003A76F2">
          <w:rPr>
            <w:rStyle w:val="Hyperlink"/>
            <w:rFonts w:ascii="Calibri" w:eastAsia="Times New Roman" w:hAnsi="Calibri" w:cs="Times New Roman"/>
            <w:noProof/>
          </w:rPr>
          <w:t>Table 15: Start Rating MEPS for offices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_Toc162535451 \h </w:instrText>
        </w:r>
        <w:r w:rsidR="003E3DB3" w:rsidRPr="003A76F2">
          <w:rPr>
            <w:noProof/>
            <w:webHidden/>
          </w:rPr>
        </w:r>
        <w:r w:rsidR="003E3DB3" w:rsidRPr="003A76F2">
          <w:rPr>
            <w:noProof/>
            <w:webHidden/>
          </w:rPr>
          <w:fldChar w:fldCharType="separate"/>
        </w:r>
        <w:r w:rsidR="00D24A06">
          <w:rPr>
            <w:noProof/>
            <w:webHidden/>
          </w:rPr>
          <w:t>47</w:t>
        </w:r>
        <w:r w:rsidR="003E3DB3" w:rsidRPr="003A76F2">
          <w:rPr>
            <w:noProof/>
            <w:webHidden/>
          </w:rPr>
          <w:fldChar w:fldCharType="end"/>
        </w:r>
      </w:hyperlink>
    </w:p>
    <w:p w14:paraId="665CD250" w14:textId="3FCE72BA"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2" w:history="1">
        <w:r w:rsidR="003E3DB3" w:rsidRPr="003A76F2">
          <w:rPr>
            <w:rStyle w:val="Hyperlink"/>
            <w:rFonts w:ascii="Calibri" w:eastAsia="Times New Roman" w:hAnsi="Calibri" w:cs="Times New Roman"/>
            <w:noProof/>
          </w:rPr>
          <w:t>Table 16: Scope 1 disclosure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_Toc162535452 \h </w:instrText>
        </w:r>
        <w:r w:rsidR="003E3DB3" w:rsidRPr="003A76F2">
          <w:rPr>
            <w:noProof/>
            <w:webHidden/>
          </w:rPr>
        </w:r>
        <w:r w:rsidR="003E3DB3" w:rsidRPr="003A76F2">
          <w:rPr>
            <w:noProof/>
            <w:webHidden/>
          </w:rPr>
          <w:fldChar w:fldCharType="separate"/>
        </w:r>
        <w:r w:rsidR="00D24A06">
          <w:rPr>
            <w:noProof/>
            <w:webHidden/>
          </w:rPr>
          <w:t>48</w:t>
        </w:r>
        <w:r w:rsidR="003E3DB3" w:rsidRPr="003A76F2">
          <w:rPr>
            <w:noProof/>
            <w:webHidden/>
          </w:rPr>
          <w:fldChar w:fldCharType="end"/>
        </w:r>
      </w:hyperlink>
    </w:p>
    <w:p w14:paraId="11FD44F2" w14:textId="16DB7698"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3" w:history="1">
        <w:r w:rsidR="003E3DB3" w:rsidRPr="003A76F2">
          <w:rPr>
            <w:rStyle w:val="Hyperlink"/>
            <w:rFonts w:ascii="Calibri" w:eastAsia="Times New Roman" w:hAnsi="Calibri" w:cs="Times New Roman"/>
            <w:noProof/>
          </w:rPr>
          <w:t>Table 17: Lighting MEPS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_Toc162535453 \h </w:instrText>
        </w:r>
        <w:r w:rsidR="003E3DB3" w:rsidRPr="003A76F2">
          <w:rPr>
            <w:noProof/>
            <w:webHidden/>
          </w:rPr>
        </w:r>
        <w:r w:rsidR="003E3DB3" w:rsidRPr="003A76F2">
          <w:rPr>
            <w:noProof/>
            <w:webHidden/>
          </w:rPr>
          <w:fldChar w:fldCharType="separate"/>
        </w:r>
        <w:r w:rsidR="00D24A06">
          <w:rPr>
            <w:noProof/>
            <w:webHidden/>
          </w:rPr>
          <w:t>48</w:t>
        </w:r>
        <w:r w:rsidR="003E3DB3" w:rsidRPr="003A76F2">
          <w:rPr>
            <w:noProof/>
            <w:webHidden/>
          </w:rPr>
          <w:fldChar w:fldCharType="end"/>
        </w:r>
      </w:hyperlink>
    </w:p>
    <w:p w14:paraId="3C4AB162" w14:textId="3E916AF5"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4" w:history="1">
        <w:r w:rsidR="003E3DB3" w:rsidRPr="003A76F2">
          <w:rPr>
            <w:rStyle w:val="Hyperlink"/>
            <w:rFonts w:ascii="Calibri" w:eastAsia="Times New Roman" w:hAnsi="Calibri" w:cs="Times New Roman"/>
            <w:noProof/>
          </w:rPr>
          <w:t>Table 18: Fossil fuel boiler phase out</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_Toc162535454 \h </w:instrText>
        </w:r>
        <w:r w:rsidR="003E3DB3" w:rsidRPr="003A76F2">
          <w:rPr>
            <w:noProof/>
            <w:webHidden/>
          </w:rPr>
        </w:r>
        <w:r w:rsidR="003E3DB3" w:rsidRPr="003A76F2">
          <w:rPr>
            <w:noProof/>
            <w:webHidden/>
          </w:rPr>
          <w:fldChar w:fldCharType="separate"/>
        </w:r>
        <w:r w:rsidR="00D24A06">
          <w:rPr>
            <w:noProof/>
            <w:webHidden/>
          </w:rPr>
          <w:t>49</w:t>
        </w:r>
        <w:r w:rsidR="003E3DB3" w:rsidRPr="003A76F2">
          <w:rPr>
            <w:noProof/>
            <w:webHidden/>
          </w:rPr>
          <w:fldChar w:fldCharType="end"/>
        </w:r>
      </w:hyperlink>
    </w:p>
    <w:p w14:paraId="1883E2A8" w14:textId="665658A9"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5" w:history="1">
        <w:r w:rsidR="003E3DB3" w:rsidRPr="003A76F2">
          <w:rPr>
            <w:rStyle w:val="Hyperlink"/>
            <w:rFonts w:ascii="Calibri" w:eastAsia="Times New Roman" w:hAnsi="Calibri" w:cs="Times New Roman"/>
            <w:noProof/>
          </w:rPr>
          <w:t>Table 19: Assessment of options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_Toc162535455 \h </w:instrText>
        </w:r>
        <w:r w:rsidR="003E3DB3" w:rsidRPr="003A76F2">
          <w:rPr>
            <w:noProof/>
            <w:webHidden/>
          </w:rPr>
        </w:r>
        <w:r w:rsidR="003E3DB3" w:rsidRPr="003A76F2">
          <w:rPr>
            <w:noProof/>
            <w:webHidden/>
          </w:rPr>
          <w:fldChar w:fldCharType="separate"/>
        </w:r>
        <w:r w:rsidR="00D24A06">
          <w:rPr>
            <w:noProof/>
            <w:webHidden/>
          </w:rPr>
          <w:t>50</w:t>
        </w:r>
        <w:r w:rsidR="003E3DB3" w:rsidRPr="003A76F2">
          <w:rPr>
            <w:noProof/>
            <w:webHidden/>
          </w:rPr>
          <w:fldChar w:fldCharType="end"/>
        </w:r>
      </w:hyperlink>
    </w:p>
    <w:p w14:paraId="169B09A5" w14:textId="655F29B5"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6" w:history="1">
        <w:r w:rsidR="003E3DB3" w:rsidRPr="003A76F2">
          <w:rPr>
            <w:rStyle w:val="Hyperlink"/>
            <w:rFonts w:ascii="Calibri" w:eastAsia="Times New Roman" w:hAnsi="Calibri" w:cs="Times New Roman"/>
            <w:noProof/>
          </w:rPr>
          <w:t>Table 20: Application of Energy Conservation Measures based on building size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_Toc162535456 \h </w:instrText>
        </w:r>
        <w:r w:rsidR="003E3DB3" w:rsidRPr="003A76F2">
          <w:rPr>
            <w:noProof/>
            <w:webHidden/>
          </w:rPr>
        </w:r>
        <w:r w:rsidR="003E3DB3" w:rsidRPr="003A76F2">
          <w:rPr>
            <w:noProof/>
            <w:webHidden/>
          </w:rPr>
          <w:fldChar w:fldCharType="separate"/>
        </w:r>
        <w:r w:rsidR="00D24A06">
          <w:rPr>
            <w:noProof/>
            <w:webHidden/>
          </w:rPr>
          <w:t>59</w:t>
        </w:r>
        <w:r w:rsidR="003E3DB3" w:rsidRPr="003A76F2">
          <w:rPr>
            <w:noProof/>
            <w:webHidden/>
          </w:rPr>
          <w:fldChar w:fldCharType="end"/>
        </w:r>
      </w:hyperlink>
    </w:p>
    <w:p w14:paraId="54CDC4C6" w14:textId="5813F975"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7" w:history="1">
        <w:r w:rsidR="003E3DB3" w:rsidRPr="003A76F2">
          <w:rPr>
            <w:rStyle w:val="Hyperlink"/>
            <w:rFonts w:ascii="Calibri" w:eastAsia="Times New Roman" w:hAnsi="Calibri" w:cs="Times New Roman"/>
            <w:noProof/>
          </w:rPr>
          <w:t>Table 21:  Assumed compliance cost for disclosure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_Toc162535457 \h </w:instrText>
        </w:r>
        <w:r w:rsidR="003E3DB3" w:rsidRPr="003A76F2">
          <w:rPr>
            <w:noProof/>
            <w:webHidden/>
          </w:rPr>
        </w:r>
        <w:r w:rsidR="003E3DB3" w:rsidRPr="003A76F2">
          <w:rPr>
            <w:noProof/>
            <w:webHidden/>
          </w:rPr>
          <w:fldChar w:fldCharType="separate"/>
        </w:r>
        <w:r w:rsidR="00D24A06">
          <w:rPr>
            <w:noProof/>
            <w:webHidden/>
          </w:rPr>
          <w:t>60</w:t>
        </w:r>
        <w:r w:rsidR="003E3DB3" w:rsidRPr="003A76F2">
          <w:rPr>
            <w:noProof/>
            <w:webHidden/>
          </w:rPr>
          <w:fldChar w:fldCharType="end"/>
        </w:r>
      </w:hyperlink>
    </w:p>
    <w:p w14:paraId="7502C4DB" w14:textId="27F07D16"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8" w:history="1">
        <w:r w:rsidR="003E3DB3" w:rsidRPr="003A76F2">
          <w:rPr>
            <w:rStyle w:val="Hyperlink"/>
            <w:rFonts w:ascii="Calibri" w:eastAsia="Times New Roman" w:hAnsi="Calibri" w:cs="Times New Roman"/>
            <w:noProof/>
          </w:rPr>
          <w:t>Table 22: Breakdown of NABERS rating by building size</w:t>
        </w:r>
        <w:r w:rsidR="003E3DB3" w:rsidRPr="003A76F2">
          <w:rPr>
            <w:rStyle w:val="Hyperlink"/>
            <w:rFonts w:ascii="ZWAdobeF" w:eastAsia="Times New Roman" w:hAnsi="ZWAdobeF" w:cs="ZWAdobeF"/>
            <w:noProof/>
          </w:rPr>
          <w:t>161F161F161F161F</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_Toc162535458 \h </w:instrText>
        </w:r>
        <w:r w:rsidR="003E3DB3" w:rsidRPr="003A76F2">
          <w:rPr>
            <w:noProof/>
            <w:webHidden/>
          </w:rPr>
        </w:r>
        <w:r w:rsidR="003E3DB3" w:rsidRPr="003A76F2">
          <w:rPr>
            <w:noProof/>
            <w:webHidden/>
          </w:rPr>
          <w:fldChar w:fldCharType="separate"/>
        </w:r>
        <w:r w:rsidR="00D24A06">
          <w:rPr>
            <w:noProof/>
            <w:webHidden/>
          </w:rPr>
          <w:t>63</w:t>
        </w:r>
        <w:r w:rsidR="003E3DB3" w:rsidRPr="003A76F2">
          <w:rPr>
            <w:noProof/>
            <w:webHidden/>
          </w:rPr>
          <w:fldChar w:fldCharType="end"/>
        </w:r>
      </w:hyperlink>
    </w:p>
    <w:p w14:paraId="0646F91A" w14:textId="7F5BA1CA"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59" w:history="1">
        <w:r w:rsidR="003E3DB3" w:rsidRPr="003A76F2">
          <w:rPr>
            <w:rStyle w:val="Hyperlink"/>
            <w:rFonts w:ascii="Calibri" w:eastAsia="Times New Roman" w:hAnsi="Calibri" w:cs="Times New Roman"/>
            <w:noProof/>
          </w:rPr>
          <w:t>Table 23: Framework of government levers influencing behaviour</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_Toc162535459 \h </w:instrText>
        </w:r>
        <w:r w:rsidR="003E3DB3" w:rsidRPr="003A76F2">
          <w:rPr>
            <w:noProof/>
            <w:webHidden/>
          </w:rPr>
        </w:r>
        <w:r w:rsidR="003E3DB3" w:rsidRPr="003A76F2">
          <w:rPr>
            <w:noProof/>
            <w:webHidden/>
          </w:rPr>
          <w:fldChar w:fldCharType="separate"/>
        </w:r>
        <w:r w:rsidR="00D24A06">
          <w:rPr>
            <w:noProof/>
            <w:webHidden/>
          </w:rPr>
          <w:t>70</w:t>
        </w:r>
        <w:r w:rsidR="003E3DB3" w:rsidRPr="003A76F2">
          <w:rPr>
            <w:noProof/>
            <w:webHidden/>
          </w:rPr>
          <w:fldChar w:fldCharType="end"/>
        </w:r>
      </w:hyperlink>
    </w:p>
    <w:p w14:paraId="6BCF1184" w14:textId="2B40B6B9"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0" w:history="1">
        <w:r w:rsidR="003E3DB3" w:rsidRPr="003A76F2">
          <w:rPr>
            <w:rStyle w:val="Hyperlink"/>
            <w:rFonts w:ascii="Calibri" w:eastAsia="Times New Roman" w:hAnsi="Calibri" w:cs="Times New Roman"/>
            <w:noProof/>
          </w:rPr>
          <w:t>Table 24: Scope 1 Natural Gas Emissions and Scope 2 Emissions by Building Type169F169F</w:t>
        </w:r>
        <w:r w:rsidR="003E3DB3" w:rsidRPr="003A76F2">
          <w:rPr>
            <w:rStyle w:val="Hyperlink"/>
            <w:rFonts w:ascii="ZWAdobeF" w:eastAsia="Times New Roman" w:hAnsi="ZWAdobeF" w:cs="ZWAdobeF"/>
            <w:noProof/>
          </w:rPr>
          <w:t>169F169F169F169F</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_Toc162535460 \h </w:instrText>
        </w:r>
        <w:r w:rsidR="003E3DB3" w:rsidRPr="003A76F2">
          <w:rPr>
            <w:noProof/>
            <w:webHidden/>
          </w:rPr>
        </w:r>
        <w:r w:rsidR="003E3DB3" w:rsidRPr="003A76F2">
          <w:rPr>
            <w:noProof/>
            <w:webHidden/>
          </w:rPr>
          <w:fldChar w:fldCharType="separate"/>
        </w:r>
        <w:r w:rsidR="00D24A06">
          <w:rPr>
            <w:noProof/>
            <w:webHidden/>
          </w:rPr>
          <w:t>72</w:t>
        </w:r>
        <w:r w:rsidR="003E3DB3" w:rsidRPr="003A76F2">
          <w:rPr>
            <w:noProof/>
            <w:webHidden/>
          </w:rPr>
          <w:fldChar w:fldCharType="end"/>
        </w:r>
      </w:hyperlink>
    </w:p>
    <w:p w14:paraId="01DFE234" w14:textId="00A91AA1"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1" w:history="1">
        <w:r w:rsidR="003E3DB3" w:rsidRPr="003A76F2">
          <w:rPr>
            <w:rStyle w:val="Hyperlink"/>
            <w:rFonts w:ascii="Calibri" w:eastAsia="Times New Roman" w:hAnsi="Calibri" w:cs="Times New Roman"/>
            <w:noProof/>
          </w:rPr>
          <w:t>Table 25: FY2021 Non-residential Building Count, Expanded (Strategy Policy Research, 2022)</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_Toc162535461 \h </w:instrText>
        </w:r>
        <w:r w:rsidR="003E3DB3" w:rsidRPr="003A76F2">
          <w:rPr>
            <w:noProof/>
            <w:webHidden/>
          </w:rPr>
        </w:r>
        <w:r w:rsidR="003E3DB3" w:rsidRPr="003A76F2">
          <w:rPr>
            <w:noProof/>
            <w:webHidden/>
          </w:rPr>
          <w:fldChar w:fldCharType="separate"/>
        </w:r>
        <w:r w:rsidR="00D24A06">
          <w:rPr>
            <w:noProof/>
            <w:webHidden/>
          </w:rPr>
          <w:t>75</w:t>
        </w:r>
        <w:r w:rsidR="003E3DB3" w:rsidRPr="003A76F2">
          <w:rPr>
            <w:noProof/>
            <w:webHidden/>
          </w:rPr>
          <w:fldChar w:fldCharType="end"/>
        </w:r>
      </w:hyperlink>
    </w:p>
    <w:p w14:paraId="04F59214" w14:textId="2F1E85F6"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2" w:history="1">
        <w:r w:rsidR="003E3DB3" w:rsidRPr="003A76F2">
          <w:rPr>
            <w:rStyle w:val="Hyperlink"/>
            <w:rFonts w:ascii="Calibri" w:eastAsia="Times New Roman" w:hAnsi="Calibri" w:cs="Times New Roman"/>
            <w:noProof/>
          </w:rPr>
          <w:t>Table 26: Summary of commercial office building count and area (m2) of different datasets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_Toc162535462 \h </w:instrText>
        </w:r>
        <w:r w:rsidR="003E3DB3" w:rsidRPr="003A76F2">
          <w:rPr>
            <w:noProof/>
            <w:webHidden/>
          </w:rPr>
        </w:r>
        <w:r w:rsidR="003E3DB3" w:rsidRPr="003A76F2">
          <w:rPr>
            <w:noProof/>
            <w:webHidden/>
          </w:rPr>
          <w:fldChar w:fldCharType="separate"/>
        </w:r>
        <w:r w:rsidR="00D24A06">
          <w:rPr>
            <w:noProof/>
            <w:webHidden/>
          </w:rPr>
          <w:t>76</w:t>
        </w:r>
        <w:r w:rsidR="003E3DB3" w:rsidRPr="003A76F2">
          <w:rPr>
            <w:noProof/>
            <w:webHidden/>
          </w:rPr>
          <w:fldChar w:fldCharType="end"/>
        </w:r>
      </w:hyperlink>
    </w:p>
    <w:p w14:paraId="5BF1AAAF" w14:textId="1C95CC09"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3" w:history="1">
        <w:r w:rsidR="003E3DB3" w:rsidRPr="003A76F2">
          <w:rPr>
            <w:rStyle w:val="Hyperlink"/>
            <w:rFonts w:ascii="Calibri" w:eastAsia="Times New Roman" w:hAnsi="Calibri" w:cs="Times New Roman"/>
            <w:noProof/>
          </w:rPr>
          <w:t>Table 27: Sectoral heatmap assessment</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_Toc162535463 \h </w:instrText>
        </w:r>
        <w:r w:rsidR="003E3DB3" w:rsidRPr="003A76F2">
          <w:rPr>
            <w:noProof/>
            <w:webHidden/>
          </w:rPr>
        </w:r>
        <w:r w:rsidR="003E3DB3" w:rsidRPr="003A76F2">
          <w:rPr>
            <w:noProof/>
            <w:webHidden/>
          </w:rPr>
          <w:fldChar w:fldCharType="separate"/>
        </w:r>
        <w:r w:rsidR="00D24A06">
          <w:rPr>
            <w:noProof/>
            <w:webHidden/>
          </w:rPr>
          <w:t>78</w:t>
        </w:r>
        <w:r w:rsidR="003E3DB3" w:rsidRPr="003A76F2">
          <w:rPr>
            <w:noProof/>
            <w:webHidden/>
          </w:rPr>
          <w:fldChar w:fldCharType="end"/>
        </w:r>
      </w:hyperlink>
    </w:p>
    <w:p w14:paraId="612DECDB" w14:textId="451398BA"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4" w:history="1">
        <w:r w:rsidR="003E3DB3" w:rsidRPr="003A76F2">
          <w:rPr>
            <w:rStyle w:val="Hyperlink"/>
            <w:rFonts w:ascii="Calibri" w:eastAsia="Times New Roman" w:hAnsi="Calibri" w:cs="Times New Roman"/>
            <w:noProof/>
          </w:rPr>
          <w:t>Table 28: Distribution of buildings in each sector</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_Toc162535464 \h </w:instrText>
        </w:r>
        <w:r w:rsidR="003E3DB3" w:rsidRPr="003A76F2">
          <w:rPr>
            <w:noProof/>
            <w:webHidden/>
          </w:rPr>
        </w:r>
        <w:r w:rsidR="003E3DB3" w:rsidRPr="003A76F2">
          <w:rPr>
            <w:noProof/>
            <w:webHidden/>
          </w:rPr>
          <w:fldChar w:fldCharType="separate"/>
        </w:r>
        <w:r w:rsidR="00D24A06">
          <w:rPr>
            <w:noProof/>
            <w:webHidden/>
          </w:rPr>
          <w:t>82</w:t>
        </w:r>
        <w:r w:rsidR="003E3DB3" w:rsidRPr="003A76F2">
          <w:rPr>
            <w:noProof/>
            <w:webHidden/>
          </w:rPr>
          <w:fldChar w:fldCharType="end"/>
        </w:r>
      </w:hyperlink>
    </w:p>
    <w:p w14:paraId="39E470B0" w14:textId="20BB9206"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5" w:history="1">
        <w:r w:rsidR="003E3DB3" w:rsidRPr="003A76F2">
          <w:rPr>
            <w:rStyle w:val="Hyperlink"/>
            <w:rFonts w:ascii="Calibri" w:eastAsia="Times New Roman" w:hAnsi="Calibri" w:cs="Times New Roman"/>
            <w:noProof/>
          </w:rPr>
          <w:t>Table 29: Australian Energy and Emission Policies and initiatives to influence the commercial built environment</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_Toc162535465 \h </w:instrText>
        </w:r>
        <w:r w:rsidR="003E3DB3" w:rsidRPr="003A76F2">
          <w:rPr>
            <w:noProof/>
            <w:webHidden/>
          </w:rPr>
        </w:r>
        <w:r w:rsidR="003E3DB3" w:rsidRPr="003A76F2">
          <w:rPr>
            <w:noProof/>
            <w:webHidden/>
          </w:rPr>
          <w:fldChar w:fldCharType="separate"/>
        </w:r>
        <w:r w:rsidR="00D24A06">
          <w:rPr>
            <w:noProof/>
            <w:webHidden/>
          </w:rPr>
          <w:t>83</w:t>
        </w:r>
        <w:r w:rsidR="003E3DB3" w:rsidRPr="003A76F2">
          <w:rPr>
            <w:noProof/>
            <w:webHidden/>
          </w:rPr>
          <w:fldChar w:fldCharType="end"/>
        </w:r>
      </w:hyperlink>
    </w:p>
    <w:p w14:paraId="0BC3F5B2" w14:textId="13CA4871"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6" w:history="1">
        <w:r w:rsidR="003E3DB3" w:rsidRPr="003A76F2">
          <w:rPr>
            <w:rStyle w:val="Hyperlink"/>
            <w:rFonts w:ascii="Calibri" w:eastAsia="Times New Roman" w:hAnsi="Calibri" w:cs="Times New Roman"/>
            <w:noProof/>
          </w:rPr>
          <w:t>Table 30: High level findings from international research (focus on commercial buildings)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_Toc162535466 \h </w:instrText>
        </w:r>
        <w:r w:rsidR="003E3DB3" w:rsidRPr="003A76F2">
          <w:rPr>
            <w:noProof/>
            <w:webHidden/>
          </w:rPr>
        </w:r>
        <w:r w:rsidR="003E3DB3" w:rsidRPr="003A76F2">
          <w:rPr>
            <w:noProof/>
            <w:webHidden/>
          </w:rPr>
          <w:fldChar w:fldCharType="separate"/>
        </w:r>
        <w:r w:rsidR="00D24A06">
          <w:rPr>
            <w:noProof/>
            <w:webHidden/>
          </w:rPr>
          <w:t>85</w:t>
        </w:r>
        <w:r w:rsidR="003E3DB3" w:rsidRPr="003A76F2">
          <w:rPr>
            <w:noProof/>
            <w:webHidden/>
          </w:rPr>
          <w:fldChar w:fldCharType="end"/>
        </w:r>
      </w:hyperlink>
    </w:p>
    <w:p w14:paraId="77B55466" w14:textId="762A54D9"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7" w:history="1">
        <w:r w:rsidR="003E3DB3" w:rsidRPr="003A76F2">
          <w:rPr>
            <w:rStyle w:val="Hyperlink"/>
            <w:rFonts w:ascii="Calibri" w:eastAsia="Times New Roman" w:hAnsi="Calibri" w:cs="Times New Roman"/>
            <w:noProof/>
          </w:rPr>
          <w:t>Table 31: Disclosure rating system by jurisdiction including rationale behind implementation</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_Toc162535467 \h </w:instrText>
        </w:r>
        <w:r w:rsidR="003E3DB3" w:rsidRPr="003A76F2">
          <w:rPr>
            <w:noProof/>
            <w:webHidden/>
          </w:rPr>
        </w:r>
        <w:r w:rsidR="003E3DB3" w:rsidRPr="003A76F2">
          <w:rPr>
            <w:noProof/>
            <w:webHidden/>
          </w:rPr>
          <w:fldChar w:fldCharType="separate"/>
        </w:r>
        <w:r w:rsidR="00D24A06">
          <w:rPr>
            <w:noProof/>
            <w:webHidden/>
          </w:rPr>
          <w:t>90</w:t>
        </w:r>
        <w:r w:rsidR="003E3DB3" w:rsidRPr="003A76F2">
          <w:rPr>
            <w:noProof/>
            <w:webHidden/>
          </w:rPr>
          <w:fldChar w:fldCharType="end"/>
        </w:r>
      </w:hyperlink>
    </w:p>
    <w:p w14:paraId="0273C9BD" w14:textId="6CBB50DD"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8" w:history="1">
        <w:r w:rsidR="003E3DB3" w:rsidRPr="003A76F2">
          <w:rPr>
            <w:rStyle w:val="Hyperlink"/>
            <w:rFonts w:ascii="Calibri" w:eastAsia="Times New Roman" w:hAnsi="Calibri" w:cs="Times New Roman"/>
            <w:noProof/>
          </w:rPr>
          <w:t>Table 32: Details of Figure 1 and Figure 24 - High level-roadmap for how CBD program could be expanded between 2025 and 2035</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_Toc162535468 \h </w:instrText>
        </w:r>
        <w:r w:rsidR="003E3DB3" w:rsidRPr="003A76F2">
          <w:rPr>
            <w:noProof/>
            <w:webHidden/>
          </w:rPr>
        </w:r>
        <w:r w:rsidR="003E3DB3" w:rsidRPr="003A76F2">
          <w:rPr>
            <w:noProof/>
            <w:webHidden/>
          </w:rPr>
          <w:fldChar w:fldCharType="separate"/>
        </w:r>
        <w:r w:rsidR="00D24A06">
          <w:rPr>
            <w:noProof/>
            <w:webHidden/>
          </w:rPr>
          <w:t>98</w:t>
        </w:r>
        <w:r w:rsidR="003E3DB3" w:rsidRPr="003A76F2">
          <w:rPr>
            <w:noProof/>
            <w:webHidden/>
          </w:rPr>
          <w:fldChar w:fldCharType="end"/>
        </w:r>
      </w:hyperlink>
    </w:p>
    <w:p w14:paraId="2F0F14BA" w14:textId="2954472A"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69" w:history="1">
        <w:r w:rsidR="003E3DB3" w:rsidRPr="003A76F2">
          <w:rPr>
            <w:rStyle w:val="Hyperlink"/>
            <w:rFonts w:ascii="Calibri" w:eastAsia="Times New Roman" w:hAnsi="Calibri" w:cs="Times New Roman"/>
            <w:noProof/>
          </w:rPr>
          <w:t>Table 33: Details of Figure 3- High level overview of building energy global disclosure requirements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_Toc162535469 \h </w:instrText>
        </w:r>
        <w:r w:rsidR="003E3DB3" w:rsidRPr="003A76F2">
          <w:rPr>
            <w:noProof/>
            <w:webHidden/>
          </w:rPr>
        </w:r>
        <w:r w:rsidR="003E3DB3" w:rsidRPr="003A76F2">
          <w:rPr>
            <w:noProof/>
            <w:webHidden/>
          </w:rPr>
          <w:fldChar w:fldCharType="separate"/>
        </w:r>
        <w:r w:rsidR="00D24A06">
          <w:rPr>
            <w:noProof/>
            <w:webHidden/>
          </w:rPr>
          <w:t>99</w:t>
        </w:r>
        <w:r w:rsidR="003E3DB3" w:rsidRPr="003A76F2">
          <w:rPr>
            <w:noProof/>
            <w:webHidden/>
          </w:rPr>
          <w:fldChar w:fldCharType="end"/>
        </w:r>
      </w:hyperlink>
    </w:p>
    <w:p w14:paraId="709AFED5" w14:textId="6CDD6378"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0" w:history="1">
        <w:r w:rsidR="003E3DB3" w:rsidRPr="003A76F2">
          <w:rPr>
            <w:rStyle w:val="Hyperlink"/>
            <w:rFonts w:ascii="Calibri" w:eastAsia="Times New Roman" w:hAnsi="Calibri" w:cs="Times New Roman"/>
            <w:noProof/>
          </w:rPr>
          <w:t>Table 34: Data for Figure 4 - Net position for the average building covered by Tailored Sectoral Disclosure policy over 20 years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_Toc162535470 \h </w:instrText>
        </w:r>
        <w:r w:rsidR="003E3DB3" w:rsidRPr="003A76F2">
          <w:rPr>
            <w:noProof/>
            <w:webHidden/>
          </w:rPr>
        </w:r>
        <w:r w:rsidR="003E3DB3" w:rsidRPr="003A76F2">
          <w:rPr>
            <w:noProof/>
            <w:webHidden/>
          </w:rPr>
          <w:fldChar w:fldCharType="separate"/>
        </w:r>
        <w:r w:rsidR="00D24A06">
          <w:rPr>
            <w:noProof/>
            <w:webHidden/>
          </w:rPr>
          <w:t>99</w:t>
        </w:r>
        <w:r w:rsidR="003E3DB3" w:rsidRPr="003A76F2">
          <w:rPr>
            <w:noProof/>
            <w:webHidden/>
          </w:rPr>
          <w:fldChar w:fldCharType="end"/>
        </w:r>
      </w:hyperlink>
    </w:p>
    <w:p w14:paraId="052F2B5E" w14:textId="533FDFD4"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1" w:history="1">
        <w:r w:rsidR="003E3DB3" w:rsidRPr="003A76F2">
          <w:rPr>
            <w:rStyle w:val="Hyperlink"/>
            <w:rFonts w:ascii="Calibri" w:eastAsia="Times New Roman" w:hAnsi="Calibri" w:cs="Times New Roman"/>
            <w:noProof/>
          </w:rPr>
          <w:t>Table 35: Data for Figure 5 - 2020 Non-residential Building GFA by Space Use Type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_Toc162535471 \h </w:instrText>
        </w:r>
        <w:r w:rsidR="003E3DB3" w:rsidRPr="003A76F2">
          <w:rPr>
            <w:noProof/>
            <w:webHidden/>
          </w:rPr>
        </w:r>
        <w:r w:rsidR="003E3DB3" w:rsidRPr="003A76F2">
          <w:rPr>
            <w:noProof/>
            <w:webHidden/>
          </w:rPr>
          <w:fldChar w:fldCharType="separate"/>
        </w:r>
        <w:r w:rsidR="00D24A06">
          <w:rPr>
            <w:noProof/>
            <w:webHidden/>
          </w:rPr>
          <w:t>99</w:t>
        </w:r>
        <w:r w:rsidR="003E3DB3" w:rsidRPr="003A76F2">
          <w:rPr>
            <w:noProof/>
            <w:webHidden/>
          </w:rPr>
          <w:fldChar w:fldCharType="end"/>
        </w:r>
      </w:hyperlink>
    </w:p>
    <w:p w14:paraId="7D9F5D88" w14:textId="02D91B1E"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2" w:history="1">
        <w:r w:rsidR="003E3DB3" w:rsidRPr="003A76F2">
          <w:rPr>
            <w:rStyle w:val="Hyperlink"/>
            <w:rFonts w:ascii="Calibri" w:eastAsia="Times New Roman" w:hAnsi="Calibri" w:cs="Times New Roman"/>
            <w:noProof/>
          </w:rPr>
          <w:t>Table 36: Data for Figure 6 - 2020 Non-residential Building Total Energy Consumption by Space Use Type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_Toc162535472 \h </w:instrText>
        </w:r>
        <w:r w:rsidR="003E3DB3" w:rsidRPr="003A76F2">
          <w:rPr>
            <w:noProof/>
            <w:webHidden/>
          </w:rPr>
        </w:r>
        <w:r w:rsidR="003E3DB3" w:rsidRPr="003A76F2">
          <w:rPr>
            <w:noProof/>
            <w:webHidden/>
          </w:rPr>
          <w:fldChar w:fldCharType="separate"/>
        </w:r>
        <w:r w:rsidR="00D24A06">
          <w:rPr>
            <w:noProof/>
            <w:webHidden/>
          </w:rPr>
          <w:t>100</w:t>
        </w:r>
        <w:r w:rsidR="003E3DB3" w:rsidRPr="003A76F2">
          <w:rPr>
            <w:noProof/>
            <w:webHidden/>
          </w:rPr>
          <w:fldChar w:fldCharType="end"/>
        </w:r>
      </w:hyperlink>
    </w:p>
    <w:p w14:paraId="65D426EF" w14:textId="29146713"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3" w:history="1">
        <w:r w:rsidR="003E3DB3" w:rsidRPr="003A76F2">
          <w:rPr>
            <w:rStyle w:val="Hyperlink"/>
            <w:rFonts w:ascii="Calibri" w:eastAsia="Times New Roman" w:hAnsi="Calibri" w:cs="Times New Roman"/>
            <w:noProof/>
          </w:rPr>
          <w:t>Table 37: Details for Figure 7 - Major milestones by state, territory and Australian governments to improve emission profiles</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_Toc162535473 \h </w:instrText>
        </w:r>
        <w:r w:rsidR="003E3DB3" w:rsidRPr="003A76F2">
          <w:rPr>
            <w:noProof/>
            <w:webHidden/>
          </w:rPr>
        </w:r>
        <w:r w:rsidR="003E3DB3" w:rsidRPr="003A76F2">
          <w:rPr>
            <w:noProof/>
            <w:webHidden/>
          </w:rPr>
          <w:fldChar w:fldCharType="separate"/>
        </w:r>
        <w:r w:rsidR="00D24A06">
          <w:rPr>
            <w:noProof/>
            <w:webHidden/>
          </w:rPr>
          <w:t>100</w:t>
        </w:r>
        <w:r w:rsidR="003E3DB3" w:rsidRPr="003A76F2">
          <w:rPr>
            <w:noProof/>
            <w:webHidden/>
          </w:rPr>
          <w:fldChar w:fldCharType="end"/>
        </w:r>
      </w:hyperlink>
    </w:p>
    <w:p w14:paraId="16E69AD5" w14:textId="6DB21B32"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4" w:history="1">
        <w:r w:rsidR="003E3DB3" w:rsidRPr="003A76F2">
          <w:rPr>
            <w:rStyle w:val="Hyperlink"/>
            <w:rFonts w:ascii="Calibri" w:eastAsia="Times New Roman" w:hAnsi="Calibri" w:cs="Times New Roman"/>
            <w:noProof/>
          </w:rPr>
          <w:t>Table 38: Data for Figure 8 - Average Energy Intensity Across for All Non-residential Building Space Use Types and Total Greenhouse Gas Emissions for Non-Residential Building Space Use Types, 2012 to 2020</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_Toc162535474 \h </w:instrText>
        </w:r>
        <w:r w:rsidR="003E3DB3" w:rsidRPr="003A76F2">
          <w:rPr>
            <w:noProof/>
            <w:webHidden/>
          </w:rPr>
        </w:r>
        <w:r w:rsidR="003E3DB3" w:rsidRPr="003A76F2">
          <w:rPr>
            <w:noProof/>
            <w:webHidden/>
          </w:rPr>
          <w:fldChar w:fldCharType="separate"/>
        </w:r>
        <w:r w:rsidR="00D24A06">
          <w:rPr>
            <w:noProof/>
            <w:webHidden/>
          </w:rPr>
          <w:t>101</w:t>
        </w:r>
        <w:r w:rsidR="003E3DB3" w:rsidRPr="003A76F2">
          <w:rPr>
            <w:noProof/>
            <w:webHidden/>
          </w:rPr>
          <w:fldChar w:fldCharType="end"/>
        </w:r>
      </w:hyperlink>
    </w:p>
    <w:p w14:paraId="27CEA875" w14:textId="3B8914A0"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5" w:history="1">
        <w:r w:rsidR="003E3DB3" w:rsidRPr="003A76F2">
          <w:rPr>
            <w:rStyle w:val="Hyperlink"/>
            <w:rFonts w:ascii="Calibri" w:eastAsia="Times New Roman" w:hAnsi="Calibri" w:cs="Times New Roman"/>
            <w:noProof/>
          </w:rPr>
          <w:t>Table 39: Figure 14 - Approximate costs and benefits of Tailored sectorial disclosure policy over 20 years for the average building (Smaller building size assumed)</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_Toc162535475 \h </w:instrText>
        </w:r>
        <w:r w:rsidR="003E3DB3" w:rsidRPr="003A76F2">
          <w:rPr>
            <w:noProof/>
            <w:webHidden/>
          </w:rPr>
        </w:r>
        <w:r w:rsidR="003E3DB3" w:rsidRPr="003A76F2">
          <w:rPr>
            <w:noProof/>
            <w:webHidden/>
          </w:rPr>
          <w:fldChar w:fldCharType="separate"/>
        </w:r>
        <w:r w:rsidR="00D24A06">
          <w:rPr>
            <w:noProof/>
            <w:webHidden/>
          </w:rPr>
          <w:t>102</w:t>
        </w:r>
        <w:r w:rsidR="003E3DB3" w:rsidRPr="003A76F2">
          <w:rPr>
            <w:noProof/>
            <w:webHidden/>
          </w:rPr>
          <w:fldChar w:fldCharType="end"/>
        </w:r>
      </w:hyperlink>
    </w:p>
    <w:p w14:paraId="3E216A7E" w14:textId="4E154738"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6" w:history="1">
        <w:r w:rsidR="003E3DB3" w:rsidRPr="003A76F2">
          <w:rPr>
            <w:rStyle w:val="Hyperlink"/>
            <w:rFonts w:ascii="Calibri" w:eastAsia="Times New Roman" w:hAnsi="Calibri" w:cs="Times New Roman"/>
            <w:noProof/>
          </w:rPr>
          <w:t>Table 40: Figure 15 - Approximate costs and benefits of Tailored sectorial disclosure policy over 20 years for the average building (Larger building size assumed)</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_Toc162535476 \h </w:instrText>
        </w:r>
        <w:r w:rsidR="003E3DB3" w:rsidRPr="003A76F2">
          <w:rPr>
            <w:noProof/>
            <w:webHidden/>
          </w:rPr>
        </w:r>
        <w:r w:rsidR="003E3DB3" w:rsidRPr="003A76F2">
          <w:rPr>
            <w:noProof/>
            <w:webHidden/>
          </w:rPr>
          <w:fldChar w:fldCharType="separate"/>
        </w:r>
        <w:r w:rsidR="00D24A06">
          <w:rPr>
            <w:noProof/>
            <w:webHidden/>
          </w:rPr>
          <w:t>102</w:t>
        </w:r>
        <w:r w:rsidR="003E3DB3" w:rsidRPr="003A76F2">
          <w:rPr>
            <w:noProof/>
            <w:webHidden/>
          </w:rPr>
          <w:fldChar w:fldCharType="end"/>
        </w:r>
      </w:hyperlink>
    </w:p>
    <w:p w14:paraId="22FF4362" w14:textId="1832E9D3"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7" w:history="1">
        <w:r w:rsidR="003E3DB3" w:rsidRPr="003A76F2">
          <w:rPr>
            <w:rStyle w:val="Hyperlink"/>
            <w:rFonts w:ascii="Calibri" w:eastAsia="Times New Roman" w:hAnsi="Calibri" w:cs="Times New Roman"/>
            <w:noProof/>
          </w:rPr>
          <w:t>Table 41: Figure 16 - Approximate costs and benefits of Star-rating MEPS for Offices policy over 20 years for the average building (Smaller building size assumed)</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_Toc162535477 \h </w:instrText>
        </w:r>
        <w:r w:rsidR="003E3DB3" w:rsidRPr="003A76F2">
          <w:rPr>
            <w:noProof/>
            <w:webHidden/>
          </w:rPr>
        </w:r>
        <w:r w:rsidR="003E3DB3" w:rsidRPr="003A76F2">
          <w:rPr>
            <w:noProof/>
            <w:webHidden/>
          </w:rPr>
          <w:fldChar w:fldCharType="separate"/>
        </w:r>
        <w:r w:rsidR="00D24A06">
          <w:rPr>
            <w:noProof/>
            <w:webHidden/>
          </w:rPr>
          <w:t>102</w:t>
        </w:r>
        <w:r w:rsidR="003E3DB3" w:rsidRPr="003A76F2">
          <w:rPr>
            <w:noProof/>
            <w:webHidden/>
          </w:rPr>
          <w:fldChar w:fldCharType="end"/>
        </w:r>
      </w:hyperlink>
    </w:p>
    <w:p w14:paraId="35C8D7C0" w14:textId="7BFF1707"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8" w:history="1">
        <w:r w:rsidR="003E3DB3" w:rsidRPr="003A76F2">
          <w:rPr>
            <w:rStyle w:val="Hyperlink"/>
            <w:rFonts w:ascii="Calibri" w:eastAsia="Times New Roman" w:hAnsi="Calibri" w:cs="Times New Roman"/>
            <w:noProof/>
          </w:rPr>
          <w:t>Table 42: Figure 17 - Approximate costs and benefits of Star-rating MEPS for Offices policy over 20 years for the average building (Larger building size assumed)</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_Toc162535478 \h </w:instrText>
        </w:r>
        <w:r w:rsidR="003E3DB3" w:rsidRPr="003A76F2">
          <w:rPr>
            <w:noProof/>
            <w:webHidden/>
          </w:rPr>
        </w:r>
        <w:r w:rsidR="003E3DB3" w:rsidRPr="003A76F2">
          <w:rPr>
            <w:noProof/>
            <w:webHidden/>
          </w:rPr>
          <w:fldChar w:fldCharType="separate"/>
        </w:r>
        <w:r w:rsidR="00D24A06">
          <w:rPr>
            <w:noProof/>
            <w:webHidden/>
          </w:rPr>
          <w:t>102</w:t>
        </w:r>
        <w:r w:rsidR="003E3DB3" w:rsidRPr="003A76F2">
          <w:rPr>
            <w:noProof/>
            <w:webHidden/>
          </w:rPr>
          <w:fldChar w:fldCharType="end"/>
        </w:r>
      </w:hyperlink>
    </w:p>
    <w:p w14:paraId="7509AFB9" w14:textId="5B503327"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79" w:history="1">
        <w:r w:rsidR="003E3DB3" w:rsidRPr="003A76F2">
          <w:rPr>
            <w:rStyle w:val="Hyperlink"/>
            <w:rFonts w:ascii="Calibri" w:eastAsia="Times New Roman" w:hAnsi="Calibri" w:cs="Times New Roman"/>
            <w:noProof/>
          </w:rPr>
          <w:t>Table 43: Figure 18 - Cost of upgrading NABERS ratings by building size</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_Toc162535479 \h </w:instrText>
        </w:r>
        <w:r w:rsidR="003E3DB3" w:rsidRPr="003A76F2">
          <w:rPr>
            <w:noProof/>
            <w:webHidden/>
          </w:rPr>
        </w:r>
        <w:r w:rsidR="003E3DB3" w:rsidRPr="003A76F2">
          <w:rPr>
            <w:noProof/>
            <w:webHidden/>
          </w:rPr>
          <w:fldChar w:fldCharType="separate"/>
        </w:r>
        <w:r w:rsidR="00D24A06">
          <w:rPr>
            <w:noProof/>
            <w:webHidden/>
          </w:rPr>
          <w:t>103</w:t>
        </w:r>
        <w:r w:rsidR="003E3DB3" w:rsidRPr="003A76F2">
          <w:rPr>
            <w:noProof/>
            <w:webHidden/>
          </w:rPr>
          <w:fldChar w:fldCharType="end"/>
        </w:r>
      </w:hyperlink>
    </w:p>
    <w:p w14:paraId="0FA73748" w14:textId="2D8F2021"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80" w:history="1">
        <w:r w:rsidR="003E3DB3" w:rsidRPr="003A76F2">
          <w:rPr>
            <w:rStyle w:val="Hyperlink"/>
            <w:rFonts w:ascii="Calibri" w:eastAsia="Times New Roman" w:hAnsi="Calibri" w:cs="Times New Roman"/>
            <w:noProof/>
          </w:rPr>
          <w:t>Table 44: Figure 19 - Approximate cost and benefits of scope 1 disclosure policy over 20 years for the average building (Smaller building size assumed)</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_Toc162535480 \h </w:instrText>
        </w:r>
        <w:r w:rsidR="003E3DB3" w:rsidRPr="003A76F2">
          <w:rPr>
            <w:noProof/>
            <w:webHidden/>
          </w:rPr>
        </w:r>
        <w:r w:rsidR="003E3DB3" w:rsidRPr="003A76F2">
          <w:rPr>
            <w:noProof/>
            <w:webHidden/>
          </w:rPr>
          <w:fldChar w:fldCharType="separate"/>
        </w:r>
        <w:r w:rsidR="00D24A06">
          <w:rPr>
            <w:noProof/>
            <w:webHidden/>
          </w:rPr>
          <w:t>103</w:t>
        </w:r>
        <w:r w:rsidR="003E3DB3" w:rsidRPr="003A76F2">
          <w:rPr>
            <w:noProof/>
            <w:webHidden/>
          </w:rPr>
          <w:fldChar w:fldCharType="end"/>
        </w:r>
      </w:hyperlink>
    </w:p>
    <w:p w14:paraId="1D008E5D" w14:textId="64AB96D9" w:rsidR="003E3DB3" w:rsidRPr="003A76F2" w:rsidRDefault="00000000">
      <w:pPr>
        <w:pStyle w:val="TableofFigures"/>
        <w:tabs>
          <w:tab w:val="right" w:leader="dot" w:pos="10194"/>
        </w:tabs>
        <w:rPr>
          <w:rFonts w:asciiTheme="minorHAnsi" w:eastAsiaTheme="minorEastAsia" w:hAnsiTheme="minorHAnsi"/>
          <w:noProof/>
          <w:color w:val="auto"/>
          <w:sz w:val="22"/>
          <w:lang w:eastAsia="en-AU"/>
        </w:rPr>
      </w:pPr>
      <w:hyperlink w:anchor="_Toc162535481" w:history="1">
        <w:r w:rsidR="003E3DB3" w:rsidRPr="003A76F2">
          <w:rPr>
            <w:rStyle w:val="Hyperlink"/>
            <w:rFonts w:ascii="Calibri" w:eastAsia="Times New Roman" w:hAnsi="Calibri" w:cs="Times New Roman"/>
            <w:noProof/>
          </w:rPr>
          <w:t>Table 45: Figure 20 - Approximate cost and benefits of scope 1 disclosure policy over 20 years for the average building (Larger building size assumed)</w:t>
        </w:r>
        <w:r w:rsidR="003E3DB3" w:rsidRPr="003A76F2">
          <w:rPr>
            <w:noProof/>
            <w:webHidden/>
          </w:rPr>
          <w:tab/>
        </w:r>
        <w:r w:rsidR="003E3DB3" w:rsidRPr="003A76F2">
          <w:rPr>
            <w:noProof/>
            <w:webHidden/>
          </w:rPr>
          <w:fldChar w:fldCharType="begin"/>
        </w:r>
        <w:r w:rsidR="003E3DB3" w:rsidRPr="003A76F2">
          <w:rPr>
            <w:noProof/>
            <w:webHidden/>
          </w:rPr>
          <w:instrText xml:space="preserve"> PAGEREF _Toc162535481 \h </w:instrText>
        </w:r>
        <w:r w:rsidR="003E3DB3" w:rsidRPr="003A76F2">
          <w:rPr>
            <w:noProof/>
            <w:webHidden/>
          </w:rPr>
        </w:r>
        <w:r w:rsidR="003E3DB3" w:rsidRPr="003A76F2">
          <w:rPr>
            <w:noProof/>
            <w:webHidden/>
          </w:rPr>
          <w:fldChar w:fldCharType="separate"/>
        </w:r>
        <w:r w:rsidR="00D24A06">
          <w:rPr>
            <w:noProof/>
            <w:webHidden/>
          </w:rPr>
          <w:t>103</w:t>
        </w:r>
        <w:r w:rsidR="003E3DB3" w:rsidRPr="003A76F2">
          <w:rPr>
            <w:noProof/>
            <w:webHidden/>
          </w:rPr>
          <w:fldChar w:fldCharType="end"/>
        </w:r>
      </w:hyperlink>
    </w:p>
    <w:p w14:paraId="43ACA061" w14:textId="454DE19B" w:rsidR="00361B1E" w:rsidRDefault="000D3FBF" w:rsidP="00363321">
      <w:pPr>
        <w:pStyle w:val="BodyText"/>
        <w:spacing w:after="0"/>
        <w:rPr>
          <w:rFonts w:asciiTheme="minorHAnsi" w:hAnsiTheme="minorHAnsi" w:cstheme="minorHAnsi"/>
          <w:b/>
          <w:bCs/>
          <w:color w:val="1E49E2" w:themeColor="accent1"/>
          <w:sz w:val="28"/>
          <w:szCs w:val="32"/>
        </w:rPr>
      </w:pPr>
      <w:r w:rsidRPr="00DB6120">
        <w:rPr>
          <w:rFonts w:asciiTheme="minorHAnsi" w:hAnsiTheme="minorHAnsi" w:cstheme="minorHAnsi"/>
          <w:szCs w:val="20"/>
        </w:rPr>
        <w:fldChar w:fldCharType="end"/>
      </w:r>
    </w:p>
    <w:p w14:paraId="381DCCD5" w14:textId="77777777" w:rsidR="00D819B7" w:rsidRDefault="00D819B7">
      <w:pPr>
        <w:spacing w:before="0" w:after="160" w:line="259" w:lineRule="auto"/>
        <w:rPr>
          <w:rFonts w:asciiTheme="minorHAnsi" w:hAnsiTheme="minorHAnsi" w:cstheme="minorHAnsi"/>
          <w:b/>
          <w:bCs/>
          <w:color w:val="1E49E2" w:themeColor="accent1"/>
          <w:sz w:val="28"/>
          <w:szCs w:val="32"/>
        </w:rPr>
      </w:pPr>
      <w:r>
        <w:rPr>
          <w:rFonts w:asciiTheme="minorHAnsi" w:hAnsiTheme="minorHAnsi" w:cstheme="minorHAnsi"/>
        </w:rPr>
        <w:br w:type="page"/>
      </w:r>
    </w:p>
    <w:p w14:paraId="6B27666E" w14:textId="0B402D7D" w:rsidR="007B37BD" w:rsidRPr="0037036A" w:rsidRDefault="007B37BD" w:rsidP="00363321">
      <w:pPr>
        <w:pStyle w:val="CVName"/>
        <w:spacing w:before="0"/>
        <w:rPr>
          <w:rFonts w:asciiTheme="minorHAnsi" w:hAnsiTheme="minorHAnsi" w:cstheme="minorHAnsi"/>
        </w:rPr>
      </w:pPr>
      <w:r w:rsidRPr="0037036A">
        <w:rPr>
          <w:rFonts w:asciiTheme="minorHAnsi" w:hAnsiTheme="minorHAnsi" w:cstheme="minorHAnsi"/>
        </w:rPr>
        <w:lastRenderedPageBreak/>
        <w:t xml:space="preserve">Index of Figures </w:t>
      </w:r>
    </w:p>
    <w:p w14:paraId="64C37087" w14:textId="5E8A24EA" w:rsidR="00DB6120" w:rsidRPr="00DB6120" w:rsidRDefault="000D3FBF">
      <w:pPr>
        <w:pStyle w:val="TableofFigures"/>
        <w:tabs>
          <w:tab w:val="right" w:leader="dot" w:pos="10194"/>
        </w:tabs>
        <w:rPr>
          <w:rFonts w:ascii="Calibri" w:eastAsiaTheme="minorEastAsia" w:hAnsi="Calibri" w:cs="Calibri"/>
          <w:noProof/>
          <w:color w:val="auto"/>
          <w:sz w:val="22"/>
          <w:lang w:eastAsia="en-AU"/>
        </w:rPr>
      </w:pPr>
      <w:r w:rsidRPr="00DB6120">
        <w:rPr>
          <w:rFonts w:ascii="Calibri" w:hAnsi="Calibri" w:cs="Calibri"/>
          <w:szCs w:val="20"/>
        </w:rPr>
        <w:fldChar w:fldCharType="begin"/>
      </w:r>
      <w:r w:rsidRPr="00DB6120">
        <w:rPr>
          <w:rFonts w:ascii="Calibri" w:hAnsi="Calibri" w:cs="Calibri"/>
          <w:szCs w:val="20"/>
        </w:rPr>
        <w:instrText xml:space="preserve"> TOC \h \z \c "Figure" </w:instrText>
      </w:r>
      <w:r w:rsidRPr="00DB6120">
        <w:rPr>
          <w:rFonts w:ascii="Calibri" w:hAnsi="Calibri" w:cs="Calibri"/>
          <w:szCs w:val="20"/>
        </w:rPr>
        <w:fldChar w:fldCharType="separate"/>
      </w:r>
      <w:hyperlink w:anchor="_Toc157687006" w:history="1">
        <w:r w:rsidR="00DB6120" w:rsidRPr="00DB6120">
          <w:rPr>
            <w:rStyle w:val="Hyperlink"/>
            <w:rFonts w:ascii="Calibri" w:eastAsia="Times New Roman" w:hAnsi="Calibri" w:cs="Calibri"/>
            <w:noProof/>
          </w:rPr>
          <w:t>Figure 1: High level-roadmap for how CBD program could be expanded.</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_Toc157687006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2</w:t>
        </w:r>
        <w:r w:rsidR="00DB6120" w:rsidRPr="00DB6120">
          <w:rPr>
            <w:rFonts w:ascii="Calibri" w:hAnsi="Calibri" w:cs="Calibri"/>
            <w:noProof/>
            <w:webHidden/>
          </w:rPr>
          <w:fldChar w:fldCharType="end"/>
        </w:r>
      </w:hyperlink>
    </w:p>
    <w:p w14:paraId="38C0E4A7" w14:textId="2DFF1E1D"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07" w:history="1">
        <w:r w:rsidR="00DB6120" w:rsidRPr="00DB6120">
          <w:rPr>
            <w:rStyle w:val="Hyperlink"/>
            <w:rFonts w:ascii="Calibri" w:eastAsia="Times New Roman" w:hAnsi="Calibri" w:cs="Calibri"/>
            <w:noProof/>
          </w:rPr>
          <w:t>Figure 2:  Roadmap principles</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_Toc157687007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3</w:t>
        </w:r>
        <w:r w:rsidR="00DB6120" w:rsidRPr="00DB6120">
          <w:rPr>
            <w:rFonts w:ascii="Calibri" w:hAnsi="Calibri" w:cs="Calibri"/>
            <w:noProof/>
            <w:webHidden/>
          </w:rPr>
          <w:fldChar w:fldCharType="end"/>
        </w:r>
      </w:hyperlink>
    </w:p>
    <w:p w14:paraId="5B10ACF0" w14:textId="54C53D5C"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08" w:history="1">
        <w:r w:rsidR="00DB6120" w:rsidRPr="00DB6120">
          <w:rPr>
            <w:rStyle w:val="Hyperlink"/>
            <w:rFonts w:ascii="Calibri" w:eastAsia="Times New Roman" w:hAnsi="Calibri" w:cs="Calibri"/>
            <w:noProof/>
          </w:rPr>
          <w:t>Figure 3:  High level overview of building energy global disclosure requirements</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_Toc157687008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5</w:t>
        </w:r>
        <w:r w:rsidR="00DB6120" w:rsidRPr="00DB6120">
          <w:rPr>
            <w:rFonts w:ascii="Calibri" w:hAnsi="Calibri" w:cs="Calibri"/>
            <w:noProof/>
            <w:webHidden/>
          </w:rPr>
          <w:fldChar w:fldCharType="end"/>
        </w:r>
      </w:hyperlink>
    </w:p>
    <w:p w14:paraId="29C75DF6" w14:textId="1796FB1E"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09" w:history="1">
        <w:r w:rsidR="00DB6120" w:rsidRPr="00DB6120">
          <w:rPr>
            <w:rStyle w:val="Hyperlink"/>
            <w:rFonts w:ascii="Calibri" w:eastAsia="Times New Roman" w:hAnsi="Calibri" w:cs="Calibri"/>
            <w:noProof/>
          </w:rPr>
          <w:t>Figure 4:  Net position for the average building covered by Tailored Sectoral Disclosure policy over 20 years</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_Toc157687009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w:t>
        </w:r>
        <w:r w:rsidR="00DB6120" w:rsidRPr="00DB6120">
          <w:rPr>
            <w:rFonts w:ascii="Calibri" w:hAnsi="Calibri" w:cs="Calibri"/>
            <w:noProof/>
            <w:webHidden/>
          </w:rPr>
          <w:fldChar w:fldCharType="end"/>
        </w:r>
      </w:hyperlink>
    </w:p>
    <w:p w14:paraId="606C79FC" w14:textId="42E20C0B"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0" w:history="1">
        <w:r w:rsidR="00DB6120" w:rsidRPr="00DB6120">
          <w:rPr>
            <w:rStyle w:val="Hyperlink"/>
            <w:rFonts w:ascii="Calibri" w:eastAsia="Times New Roman" w:hAnsi="Calibri" w:cs="Calibri"/>
            <w:noProof/>
          </w:rPr>
          <w:t>Figure 5: 2020 Non-residential Building GFA by Space Use Type</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_Toc157687010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16</w:t>
        </w:r>
        <w:r w:rsidR="00DB6120" w:rsidRPr="00DB6120">
          <w:rPr>
            <w:rFonts w:ascii="Calibri" w:hAnsi="Calibri" w:cs="Calibri"/>
            <w:noProof/>
            <w:webHidden/>
          </w:rPr>
          <w:fldChar w:fldCharType="end"/>
        </w:r>
      </w:hyperlink>
    </w:p>
    <w:p w14:paraId="3C90ADA9" w14:textId="6FB0FD46"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1" w:history="1">
        <w:r w:rsidR="00DB6120" w:rsidRPr="00DB6120">
          <w:rPr>
            <w:rStyle w:val="Hyperlink"/>
            <w:rFonts w:ascii="Calibri" w:eastAsia="Times New Roman" w:hAnsi="Calibri" w:cs="Calibri"/>
            <w:noProof/>
          </w:rPr>
          <w:t>Figure 6: 2020 Non-residential Building Total Energy Consumption by Space Use Type</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_Toc157687011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16</w:t>
        </w:r>
        <w:r w:rsidR="00DB6120" w:rsidRPr="00DB6120">
          <w:rPr>
            <w:rFonts w:ascii="Calibri" w:hAnsi="Calibri" w:cs="Calibri"/>
            <w:noProof/>
            <w:webHidden/>
          </w:rPr>
          <w:fldChar w:fldCharType="end"/>
        </w:r>
      </w:hyperlink>
    </w:p>
    <w:p w14:paraId="15630291" w14:textId="0F122591"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2" w:history="1">
        <w:r w:rsidR="00DB6120" w:rsidRPr="00DB6120">
          <w:rPr>
            <w:rStyle w:val="Hyperlink"/>
            <w:rFonts w:ascii="Calibri" w:eastAsia="Times New Roman" w:hAnsi="Calibri" w:cs="Calibri"/>
            <w:noProof/>
          </w:rPr>
          <w:t>Figure 7: Major milestones by state, territory and Australian governments to improve emission profiles</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_Toc157687012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18</w:t>
        </w:r>
        <w:r w:rsidR="00DB6120" w:rsidRPr="00DB6120">
          <w:rPr>
            <w:rFonts w:ascii="Calibri" w:hAnsi="Calibri" w:cs="Calibri"/>
            <w:noProof/>
            <w:webHidden/>
          </w:rPr>
          <w:fldChar w:fldCharType="end"/>
        </w:r>
      </w:hyperlink>
    </w:p>
    <w:p w14:paraId="126623CF" w14:textId="6A449825"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3" w:history="1">
        <w:r w:rsidR="00DB6120" w:rsidRPr="00DB6120">
          <w:rPr>
            <w:rStyle w:val="Hyperlink"/>
            <w:rFonts w:ascii="Calibri" w:eastAsia="Times New Roman" w:hAnsi="Calibri" w:cs="Calibri"/>
            <w:noProof/>
          </w:rPr>
          <w:t>Figure 8: Average Energy Intensity Across for All Non-residential Building Space Use Types and Total Greenhouse Gas Emissions for Non-Residential Building Space Use Types, 2012 to 2020</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_Toc157687013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20</w:t>
        </w:r>
        <w:r w:rsidR="00DB6120" w:rsidRPr="00DB6120">
          <w:rPr>
            <w:rFonts w:ascii="Calibri" w:hAnsi="Calibri" w:cs="Calibri"/>
            <w:noProof/>
            <w:webHidden/>
          </w:rPr>
          <w:fldChar w:fldCharType="end"/>
        </w:r>
      </w:hyperlink>
    </w:p>
    <w:p w14:paraId="73787957" w14:textId="2C722FCE"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4" w:history="1">
        <w:r w:rsidR="00DB6120" w:rsidRPr="00DB6120">
          <w:rPr>
            <w:rStyle w:val="Hyperlink"/>
            <w:rFonts w:ascii="Calibri" w:eastAsia="Times New Roman" w:hAnsi="Calibri" w:cs="Calibri"/>
            <w:noProof/>
          </w:rPr>
          <w:t>Figure 9: High level overview of building energy global disclosure requirements including year of introduction (from regions of focus in the research)</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_Toc157687014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26</w:t>
        </w:r>
        <w:r w:rsidR="00DB6120" w:rsidRPr="00DB6120">
          <w:rPr>
            <w:rFonts w:ascii="Calibri" w:hAnsi="Calibri" w:cs="Calibri"/>
            <w:noProof/>
            <w:webHidden/>
          </w:rPr>
          <w:fldChar w:fldCharType="end"/>
        </w:r>
      </w:hyperlink>
    </w:p>
    <w:p w14:paraId="6FD3E0D5" w14:textId="3A620124"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5" w:history="1">
        <w:r w:rsidR="00DB6120" w:rsidRPr="00DB6120">
          <w:rPr>
            <w:rStyle w:val="Hyperlink"/>
            <w:rFonts w:ascii="Calibri" w:eastAsia="Times New Roman" w:hAnsi="Calibri" w:cs="Calibri"/>
            <w:noProof/>
          </w:rPr>
          <w:t>Figure 10: Impact of MEPS embedded in framework of practical and financial support to drive renovation</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_Toc157687015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31</w:t>
        </w:r>
        <w:r w:rsidR="00DB6120" w:rsidRPr="00DB6120">
          <w:rPr>
            <w:rFonts w:ascii="Calibri" w:hAnsi="Calibri" w:cs="Calibri"/>
            <w:noProof/>
            <w:webHidden/>
          </w:rPr>
          <w:fldChar w:fldCharType="end"/>
        </w:r>
      </w:hyperlink>
    </w:p>
    <w:p w14:paraId="2E6550AE" w14:textId="16AE984E"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6" w:history="1">
        <w:r w:rsidR="00DB6120" w:rsidRPr="00DB6120">
          <w:rPr>
            <w:rStyle w:val="Hyperlink"/>
            <w:rFonts w:ascii="Calibri" w:eastAsia="Times New Roman" w:hAnsi="Calibri" w:cs="Calibri"/>
            <w:noProof/>
          </w:rPr>
          <w:t>Figure 11: Energy savings from ENERGY STAR scheme by building type (US)</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_Toc157687016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38</w:t>
        </w:r>
        <w:r w:rsidR="00DB6120" w:rsidRPr="00DB6120">
          <w:rPr>
            <w:rFonts w:ascii="Calibri" w:hAnsi="Calibri" w:cs="Calibri"/>
            <w:noProof/>
            <w:webHidden/>
          </w:rPr>
          <w:fldChar w:fldCharType="end"/>
        </w:r>
      </w:hyperlink>
    </w:p>
    <w:p w14:paraId="7FD4DC14" w14:textId="30323EC9"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7" w:history="1">
        <w:r w:rsidR="00DB6120" w:rsidRPr="00DB6120">
          <w:rPr>
            <w:rStyle w:val="Hyperlink"/>
            <w:rFonts w:ascii="Calibri" w:eastAsia="Times New Roman" w:hAnsi="Calibri" w:cs="Calibri"/>
            <w:noProof/>
          </w:rPr>
          <w:t>Figure 12: Other benefits to the ENERGY STAR scheme in the US</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_Toc157687017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39</w:t>
        </w:r>
        <w:r w:rsidR="00DB6120" w:rsidRPr="00DB6120">
          <w:rPr>
            <w:rFonts w:ascii="Calibri" w:hAnsi="Calibri" w:cs="Calibri"/>
            <w:noProof/>
            <w:webHidden/>
          </w:rPr>
          <w:fldChar w:fldCharType="end"/>
        </w:r>
      </w:hyperlink>
    </w:p>
    <w:p w14:paraId="240BE64D" w14:textId="0AC45BC1"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8" w:history="1">
        <w:r w:rsidR="00DB6120" w:rsidRPr="00DB6120">
          <w:rPr>
            <w:rStyle w:val="Hyperlink"/>
            <w:rFonts w:ascii="Calibri" w:eastAsia="Times New Roman" w:hAnsi="Calibri" w:cs="Calibri"/>
            <w:noProof/>
          </w:rPr>
          <w:t>Figure 13: Feasibility assessment approach</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_Toc157687018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56</w:t>
        </w:r>
        <w:r w:rsidR="00DB6120" w:rsidRPr="00DB6120">
          <w:rPr>
            <w:rFonts w:ascii="Calibri" w:hAnsi="Calibri" w:cs="Calibri"/>
            <w:noProof/>
            <w:webHidden/>
          </w:rPr>
          <w:fldChar w:fldCharType="end"/>
        </w:r>
      </w:hyperlink>
    </w:p>
    <w:p w14:paraId="778ED556" w14:textId="77B522D5"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19" w:history="1">
        <w:r w:rsidR="00DB6120" w:rsidRPr="00DB6120">
          <w:rPr>
            <w:rStyle w:val="Hyperlink"/>
            <w:rFonts w:ascii="Calibri" w:eastAsia="Times New Roman" w:hAnsi="Calibri" w:cs="Calibri"/>
            <w:noProof/>
          </w:rPr>
          <w:t>Figure 14: Approximate costs and benefits of Tailored Sectoral Disclosure policy for the average building covered by the policy over 20 years (Smaller building size assumed)</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_Toc157687019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60</w:t>
        </w:r>
        <w:r w:rsidR="00DB6120" w:rsidRPr="00DB6120">
          <w:rPr>
            <w:rFonts w:ascii="Calibri" w:hAnsi="Calibri" w:cs="Calibri"/>
            <w:noProof/>
            <w:webHidden/>
          </w:rPr>
          <w:fldChar w:fldCharType="end"/>
        </w:r>
      </w:hyperlink>
    </w:p>
    <w:p w14:paraId="3D9B3B61" w14:textId="3C29658C"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0" w:history="1">
        <w:r w:rsidR="00DB6120" w:rsidRPr="00DB6120">
          <w:rPr>
            <w:rStyle w:val="Hyperlink"/>
            <w:rFonts w:ascii="Calibri" w:eastAsia="Times New Roman" w:hAnsi="Calibri" w:cs="Calibri"/>
            <w:noProof/>
          </w:rPr>
          <w:t>Figure 15: Approximate costs and benefits of Tailored Sectoral Disclosure policy for the average building covered by the policy over 20 years (Larger building size assumed)</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_Toc157687020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61</w:t>
        </w:r>
        <w:r w:rsidR="00DB6120" w:rsidRPr="00DB6120">
          <w:rPr>
            <w:rFonts w:ascii="Calibri" w:hAnsi="Calibri" w:cs="Calibri"/>
            <w:noProof/>
            <w:webHidden/>
          </w:rPr>
          <w:fldChar w:fldCharType="end"/>
        </w:r>
      </w:hyperlink>
    </w:p>
    <w:p w14:paraId="0741CAE3" w14:textId="21B34472"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1" w:history="1">
        <w:r w:rsidR="00DB6120" w:rsidRPr="00DB6120">
          <w:rPr>
            <w:rStyle w:val="Hyperlink"/>
            <w:rFonts w:ascii="Calibri" w:eastAsia="Times New Roman" w:hAnsi="Calibri" w:cs="Calibri"/>
            <w:noProof/>
          </w:rPr>
          <w:t>Figure 16: Approximate costs and benefits of Star-rating MEPS for Offices policy for the average building covered by the policy over 20 years (Smaller building size assumed)</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_Toc157687021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62</w:t>
        </w:r>
        <w:r w:rsidR="00DB6120" w:rsidRPr="00DB6120">
          <w:rPr>
            <w:rFonts w:ascii="Calibri" w:hAnsi="Calibri" w:cs="Calibri"/>
            <w:noProof/>
            <w:webHidden/>
          </w:rPr>
          <w:fldChar w:fldCharType="end"/>
        </w:r>
      </w:hyperlink>
    </w:p>
    <w:p w14:paraId="0211275B" w14:textId="6CFDF8FA"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2" w:history="1">
        <w:r w:rsidR="00DB6120" w:rsidRPr="00DB6120">
          <w:rPr>
            <w:rStyle w:val="Hyperlink"/>
            <w:rFonts w:ascii="Calibri" w:eastAsia="Times New Roman" w:hAnsi="Calibri" w:cs="Calibri"/>
            <w:noProof/>
          </w:rPr>
          <w:t>Figure 17: Approximate costs and benefits of Star-rating MEPS for Offices policy for the average building covered by the policy over 20 years (Larger building size assumed)</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_Toc157687022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62</w:t>
        </w:r>
        <w:r w:rsidR="00DB6120" w:rsidRPr="00DB6120">
          <w:rPr>
            <w:rFonts w:ascii="Calibri" w:hAnsi="Calibri" w:cs="Calibri"/>
            <w:noProof/>
            <w:webHidden/>
          </w:rPr>
          <w:fldChar w:fldCharType="end"/>
        </w:r>
      </w:hyperlink>
    </w:p>
    <w:p w14:paraId="671F8D12" w14:textId="16222434"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3" w:history="1">
        <w:r w:rsidR="00DB6120" w:rsidRPr="00DB6120">
          <w:rPr>
            <w:rStyle w:val="Hyperlink"/>
            <w:rFonts w:ascii="Calibri" w:eastAsia="Times New Roman" w:hAnsi="Calibri" w:cs="Calibri"/>
            <w:noProof/>
          </w:rPr>
          <w:t>Figure 18: Cost of upgrading NABERS ratings by building size</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_Toc157687023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63</w:t>
        </w:r>
        <w:r w:rsidR="00DB6120" w:rsidRPr="00DB6120">
          <w:rPr>
            <w:rFonts w:ascii="Calibri" w:hAnsi="Calibri" w:cs="Calibri"/>
            <w:noProof/>
            <w:webHidden/>
          </w:rPr>
          <w:fldChar w:fldCharType="end"/>
        </w:r>
      </w:hyperlink>
    </w:p>
    <w:p w14:paraId="4073E287" w14:textId="70FE6B26"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4" w:history="1">
        <w:r w:rsidR="00DB6120" w:rsidRPr="00DB6120">
          <w:rPr>
            <w:rStyle w:val="Hyperlink"/>
            <w:rFonts w:ascii="Calibri" w:eastAsia="Times New Roman" w:hAnsi="Calibri" w:cs="Calibri"/>
            <w:noProof/>
          </w:rPr>
          <w:t>Figure 19: Approximate costs and benefits of Scope 1 disclosure policy for the average building covered by the policy over 20 years (Smaller building size assumed)</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_Toc157687024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64</w:t>
        </w:r>
        <w:r w:rsidR="00DB6120" w:rsidRPr="00DB6120">
          <w:rPr>
            <w:rFonts w:ascii="Calibri" w:hAnsi="Calibri" w:cs="Calibri"/>
            <w:noProof/>
            <w:webHidden/>
          </w:rPr>
          <w:fldChar w:fldCharType="end"/>
        </w:r>
      </w:hyperlink>
    </w:p>
    <w:p w14:paraId="38C6309B" w14:textId="18443411"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5" w:history="1">
        <w:r w:rsidR="00DB6120" w:rsidRPr="00DB6120">
          <w:rPr>
            <w:rStyle w:val="Hyperlink"/>
            <w:rFonts w:ascii="Calibri" w:eastAsia="Times New Roman" w:hAnsi="Calibri" w:cs="Calibri"/>
            <w:noProof/>
          </w:rPr>
          <w:t>Figure 20: Approximate costs and benefits of Scope 1 disclosure policy for the average building covered by the policy over 20 years (Larger building size assumed)</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_Toc157687025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64</w:t>
        </w:r>
        <w:r w:rsidR="00DB6120" w:rsidRPr="00DB6120">
          <w:rPr>
            <w:rFonts w:ascii="Calibri" w:hAnsi="Calibri" w:cs="Calibri"/>
            <w:noProof/>
            <w:webHidden/>
          </w:rPr>
          <w:fldChar w:fldCharType="end"/>
        </w:r>
      </w:hyperlink>
    </w:p>
    <w:p w14:paraId="264382CD" w14:textId="680E82EC"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r:id="rId23" w:anchor="_Toc157687026" w:history="1">
        <w:r w:rsidR="00DB6120" w:rsidRPr="00DB6120">
          <w:rPr>
            <w:rStyle w:val="Hyperlink"/>
            <w:rFonts w:ascii="Calibri" w:eastAsia="Times New Roman" w:hAnsi="Calibri" w:cs="Calibri"/>
            <w:noProof/>
          </w:rPr>
          <w:t>Figure 21: Illustrative NABERS Renewable Energy Indicator</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_Toc157687026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65</w:t>
        </w:r>
        <w:r w:rsidR="00DB6120" w:rsidRPr="00DB6120">
          <w:rPr>
            <w:rFonts w:ascii="Calibri" w:hAnsi="Calibri" w:cs="Calibri"/>
            <w:noProof/>
            <w:webHidden/>
          </w:rPr>
          <w:fldChar w:fldCharType="end"/>
        </w:r>
      </w:hyperlink>
    </w:p>
    <w:p w14:paraId="06FDB9CF" w14:textId="0F117955"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7" w:history="1">
        <w:r w:rsidR="00DB6120" w:rsidRPr="00DB6120">
          <w:rPr>
            <w:rStyle w:val="Hyperlink"/>
            <w:rFonts w:ascii="Calibri" w:eastAsia="Times New Roman" w:hAnsi="Calibri" w:cs="Calibri"/>
            <w:noProof/>
          </w:rPr>
          <w:t>Figure 22: Roadmap principles</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_Toc157687027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66</w:t>
        </w:r>
        <w:r w:rsidR="00DB6120" w:rsidRPr="00DB6120">
          <w:rPr>
            <w:rFonts w:ascii="Calibri" w:hAnsi="Calibri" w:cs="Calibri"/>
            <w:noProof/>
            <w:webHidden/>
          </w:rPr>
          <w:fldChar w:fldCharType="end"/>
        </w:r>
      </w:hyperlink>
    </w:p>
    <w:p w14:paraId="4ECDEAAD" w14:textId="3AFCB1A1"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8" w:history="1">
        <w:r w:rsidR="00DB6120" w:rsidRPr="00DB6120">
          <w:rPr>
            <w:rStyle w:val="Hyperlink"/>
            <w:rFonts w:ascii="Calibri" w:eastAsia="Times New Roman" w:hAnsi="Calibri" w:cs="Calibri"/>
            <w:noProof/>
          </w:rPr>
          <w:t>Figure 23: Adoption curve for regulation</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_Toc157687028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67</w:t>
        </w:r>
        <w:r w:rsidR="00DB6120" w:rsidRPr="00DB6120">
          <w:rPr>
            <w:rFonts w:ascii="Calibri" w:hAnsi="Calibri" w:cs="Calibri"/>
            <w:noProof/>
            <w:webHidden/>
          </w:rPr>
          <w:fldChar w:fldCharType="end"/>
        </w:r>
      </w:hyperlink>
    </w:p>
    <w:p w14:paraId="4CB0DCB1" w14:textId="61FA7BB9"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29" w:history="1">
        <w:r w:rsidR="00DB6120" w:rsidRPr="00DB6120">
          <w:rPr>
            <w:rStyle w:val="Hyperlink"/>
            <w:rFonts w:ascii="Calibri" w:eastAsia="Times New Roman" w:hAnsi="Calibri" w:cs="Calibri"/>
            <w:noProof/>
          </w:rPr>
          <w:t>Figure 24: High-level roadmap for CBD Program expansion</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_Toc157687029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68</w:t>
        </w:r>
        <w:r w:rsidR="00DB6120" w:rsidRPr="00DB6120">
          <w:rPr>
            <w:rFonts w:ascii="Calibri" w:hAnsi="Calibri" w:cs="Calibri"/>
            <w:noProof/>
            <w:webHidden/>
          </w:rPr>
          <w:fldChar w:fldCharType="end"/>
        </w:r>
      </w:hyperlink>
    </w:p>
    <w:p w14:paraId="380F5715" w14:textId="1E8A92DC"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30" w:history="1">
        <w:r w:rsidR="00DB6120" w:rsidRPr="00DB6120">
          <w:rPr>
            <w:rStyle w:val="Hyperlink"/>
            <w:rFonts w:ascii="Calibri" w:eastAsia="Times New Roman" w:hAnsi="Calibri" w:cs="Calibri"/>
            <w:noProof/>
          </w:rPr>
          <w:t>Figure 25: Total current NABERS Ratings, by Premise Type, FY2023, Australia</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_Toc157687030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73</w:t>
        </w:r>
        <w:r w:rsidR="00DB6120" w:rsidRPr="00DB6120">
          <w:rPr>
            <w:rFonts w:ascii="Calibri" w:hAnsi="Calibri" w:cs="Calibri"/>
            <w:noProof/>
            <w:webHidden/>
          </w:rPr>
          <w:fldChar w:fldCharType="end"/>
        </w:r>
      </w:hyperlink>
    </w:p>
    <w:p w14:paraId="3F8C7FDE" w14:textId="7CA56DF1"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31" w:history="1">
        <w:r w:rsidR="00DB6120" w:rsidRPr="00DB6120">
          <w:rPr>
            <w:rStyle w:val="Hyperlink"/>
            <w:rFonts w:ascii="Calibri" w:eastAsia="Times New Roman" w:hAnsi="Calibri" w:cs="Calibri"/>
            <w:noProof/>
          </w:rPr>
          <w:t>Figure 26: Total current NABERS Ratings, Other by Premise Type, FY2023, Australia</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_Toc157687031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73</w:t>
        </w:r>
        <w:r w:rsidR="00DB6120" w:rsidRPr="00DB6120">
          <w:rPr>
            <w:rFonts w:ascii="Calibri" w:hAnsi="Calibri" w:cs="Calibri"/>
            <w:noProof/>
            <w:webHidden/>
          </w:rPr>
          <w:fldChar w:fldCharType="end"/>
        </w:r>
      </w:hyperlink>
    </w:p>
    <w:p w14:paraId="0C124D2E" w14:textId="18715E73"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32" w:history="1">
        <w:r w:rsidR="00DB6120" w:rsidRPr="00DB6120">
          <w:rPr>
            <w:rStyle w:val="Hyperlink"/>
            <w:rFonts w:ascii="Calibri" w:eastAsia="Times New Roman" w:hAnsi="Calibri" w:cs="Calibri"/>
            <w:noProof/>
          </w:rPr>
          <w:t>Figure 27: Number of Individual Buildings Rated, by Rating Type, FY14 to FY20</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_Toc157687032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74</w:t>
        </w:r>
        <w:r w:rsidR="00DB6120" w:rsidRPr="00DB6120">
          <w:rPr>
            <w:rFonts w:ascii="Calibri" w:hAnsi="Calibri" w:cs="Calibri"/>
            <w:noProof/>
            <w:webHidden/>
          </w:rPr>
          <w:fldChar w:fldCharType="end"/>
        </w:r>
      </w:hyperlink>
    </w:p>
    <w:p w14:paraId="352795E8" w14:textId="6DB09B13" w:rsidR="00DB6120" w:rsidRPr="00DB6120" w:rsidRDefault="00000000">
      <w:pPr>
        <w:pStyle w:val="TableofFigures"/>
        <w:tabs>
          <w:tab w:val="right" w:leader="dot" w:pos="10194"/>
        </w:tabs>
        <w:rPr>
          <w:rFonts w:ascii="Calibri" w:eastAsiaTheme="minorEastAsia" w:hAnsi="Calibri" w:cs="Calibri"/>
          <w:noProof/>
          <w:color w:val="auto"/>
          <w:sz w:val="22"/>
          <w:lang w:eastAsia="en-AU"/>
        </w:rPr>
      </w:pPr>
      <w:hyperlink w:anchor="_Toc157687033" w:history="1">
        <w:r w:rsidR="00DB6120" w:rsidRPr="00DB6120">
          <w:rPr>
            <w:rStyle w:val="Hyperlink"/>
            <w:rFonts w:ascii="Calibri" w:eastAsia="Times New Roman" w:hAnsi="Calibri" w:cs="Calibri"/>
            <w:noProof/>
          </w:rPr>
          <w:t>Figure 28: Example of EPCs used in the UK</w:t>
        </w:r>
        <w:r w:rsidR="00DB6120" w:rsidRPr="00DB6120">
          <w:rPr>
            <w:rFonts w:ascii="Calibri" w:hAnsi="Calibri" w:cs="Calibri"/>
            <w:noProof/>
            <w:webHidden/>
          </w:rPr>
          <w:tab/>
        </w:r>
        <w:r w:rsidR="00DB6120" w:rsidRPr="00DB6120">
          <w:rPr>
            <w:rFonts w:ascii="Calibri" w:hAnsi="Calibri" w:cs="Calibri"/>
            <w:noProof/>
            <w:webHidden/>
          </w:rPr>
          <w:fldChar w:fldCharType="begin"/>
        </w:r>
        <w:r w:rsidR="00DB6120" w:rsidRPr="00DB6120">
          <w:rPr>
            <w:rFonts w:ascii="Calibri" w:hAnsi="Calibri" w:cs="Calibri"/>
            <w:noProof/>
            <w:webHidden/>
          </w:rPr>
          <w:instrText xml:space="preserve"> PAGEREF _Toc157687033 \h </w:instrText>
        </w:r>
        <w:r w:rsidR="00DB6120" w:rsidRPr="00DB6120">
          <w:rPr>
            <w:rFonts w:ascii="Calibri" w:hAnsi="Calibri" w:cs="Calibri"/>
            <w:noProof/>
            <w:webHidden/>
          </w:rPr>
        </w:r>
        <w:r w:rsidR="00DB6120" w:rsidRPr="00DB6120">
          <w:rPr>
            <w:rFonts w:ascii="Calibri" w:hAnsi="Calibri" w:cs="Calibri"/>
            <w:noProof/>
            <w:webHidden/>
          </w:rPr>
          <w:fldChar w:fldCharType="separate"/>
        </w:r>
        <w:r w:rsidR="00D24A06">
          <w:rPr>
            <w:rFonts w:ascii="Calibri" w:hAnsi="Calibri" w:cs="Calibri"/>
            <w:noProof/>
            <w:webHidden/>
          </w:rPr>
          <w:t>94</w:t>
        </w:r>
        <w:r w:rsidR="00DB6120" w:rsidRPr="00DB6120">
          <w:rPr>
            <w:rFonts w:ascii="Calibri" w:hAnsi="Calibri" w:cs="Calibri"/>
            <w:noProof/>
            <w:webHidden/>
          </w:rPr>
          <w:fldChar w:fldCharType="end"/>
        </w:r>
      </w:hyperlink>
    </w:p>
    <w:p w14:paraId="021BBD6D" w14:textId="4AAEC7F6" w:rsidR="00C34053" w:rsidRPr="00DB6120" w:rsidRDefault="000D3FBF" w:rsidP="00C34053">
      <w:pPr>
        <w:pStyle w:val="BodyText"/>
        <w:rPr>
          <w:rFonts w:asciiTheme="majorHAnsi" w:hAnsiTheme="majorHAnsi" w:cstheme="majorHAnsi"/>
          <w:sz w:val="16"/>
          <w:szCs w:val="18"/>
        </w:rPr>
      </w:pPr>
      <w:r w:rsidRPr="00DB6120">
        <w:rPr>
          <w:rFonts w:ascii="Calibri" w:hAnsi="Calibri" w:cs="Calibri"/>
          <w:szCs w:val="20"/>
        </w:rPr>
        <w:fldChar w:fldCharType="end"/>
      </w:r>
    </w:p>
    <w:p w14:paraId="7B742F02" w14:textId="77777777" w:rsidR="00EC2EBF" w:rsidRPr="000320E5" w:rsidRDefault="00EC2EBF">
      <w:pPr>
        <w:spacing w:before="0" w:after="160" w:line="259" w:lineRule="auto"/>
        <w:rPr>
          <w:rFonts w:asciiTheme="minorHAnsi" w:hAnsiTheme="minorHAnsi" w:cstheme="minorHAnsi"/>
          <w:sz w:val="16"/>
          <w:szCs w:val="18"/>
        </w:rPr>
      </w:pPr>
      <w:r w:rsidRPr="000320E5">
        <w:rPr>
          <w:rFonts w:asciiTheme="minorHAnsi" w:hAnsiTheme="minorHAnsi" w:cstheme="minorHAnsi"/>
          <w:sz w:val="16"/>
          <w:szCs w:val="18"/>
        </w:rPr>
        <w:br w:type="page"/>
      </w:r>
    </w:p>
    <w:p w14:paraId="50C071C2" w14:textId="5E0722B6" w:rsidR="00C34053" w:rsidRPr="0037036A" w:rsidRDefault="00EC2EBF" w:rsidP="00C34053">
      <w:pPr>
        <w:pStyle w:val="BodyText"/>
        <w:rPr>
          <w:rFonts w:asciiTheme="minorHAnsi" w:hAnsiTheme="minorHAnsi" w:cstheme="minorHAnsi"/>
          <w:b/>
          <w:color w:val="1E49E2" w:themeColor="accent1"/>
          <w:sz w:val="28"/>
          <w:szCs w:val="32"/>
        </w:rPr>
      </w:pPr>
      <w:r w:rsidRPr="0037036A">
        <w:rPr>
          <w:rFonts w:asciiTheme="minorHAnsi" w:hAnsiTheme="minorHAnsi" w:cstheme="minorHAnsi"/>
          <w:b/>
          <w:color w:val="1E49E2" w:themeColor="accent1"/>
          <w:sz w:val="28"/>
          <w:szCs w:val="32"/>
        </w:rPr>
        <w:lastRenderedPageBreak/>
        <w:t>Glossary</w:t>
      </w:r>
      <w:r w:rsidR="00BD4955" w:rsidRPr="0037036A">
        <w:rPr>
          <w:rFonts w:asciiTheme="minorHAnsi" w:hAnsiTheme="minorHAnsi" w:cstheme="minorHAnsi"/>
          <w:b/>
          <w:color w:val="1E49E2" w:themeColor="accent1"/>
          <w:sz w:val="28"/>
          <w:szCs w:val="32"/>
        </w:rPr>
        <w:t xml:space="preserve"> of terms and abbreviations </w:t>
      </w:r>
    </w:p>
    <w:tbl>
      <w:tblPr>
        <w:tblStyle w:val="KPMGTable"/>
        <w:tblW w:w="0" w:type="auto"/>
        <w:tblBorders>
          <w:bottom w:val="none" w:sz="0" w:space="0" w:color="auto"/>
          <w:insideH w:val="none" w:sz="0" w:space="0" w:color="auto"/>
        </w:tblBorders>
        <w:tblLook w:val="04A0" w:firstRow="1" w:lastRow="0" w:firstColumn="1" w:lastColumn="0" w:noHBand="0" w:noVBand="1"/>
      </w:tblPr>
      <w:tblGrid>
        <w:gridCol w:w="2694"/>
        <w:gridCol w:w="7500"/>
      </w:tblGrid>
      <w:tr w:rsidR="00BC627D" w:rsidRPr="00A123C6" w14:paraId="60F9F11A" w14:textId="77777777" w:rsidTr="00E05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33C62A1" w14:textId="77777777" w:rsidR="00EC2EBF" w:rsidRPr="0037036A" w:rsidRDefault="00EC2EBF" w:rsidP="004F42AB">
            <w:pPr>
              <w:spacing w:beforeLines="24" w:before="57" w:afterLines="24" w:after="57"/>
              <w:rPr>
                <w:rFonts w:asciiTheme="minorHAnsi" w:eastAsia="Calibri Light" w:hAnsiTheme="minorHAnsi" w:cstheme="minorHAnsi"/>
                <w:b/>
                <w:color w:val="auto"/>
                <w:szCs w:val="20"/>
                <w:lang w:eastAsia="en-AU"/>
              </w:rPr>
            </w:pPr>
            <w:r w:rsidRPr="0037036A">
              <w:rPr>
                <w:rFonts w:asciiTheme="minorHAnsi" w:eastAsia="Calibri Light" w:hAnsiTheme="minorHAnsi" w:cstheme="minorHAnsi"/>
                <w:b/>
                <w:color w:val="auto"/>
                <w:szCs w:val="20"/>
                <w:lang w:eastAsia="en-AU"/>
              </w:rPr>
              <w:t>Term</w:t>
            </w:r>
          </w:p>
        </w:tc>
        <w:tc>
          <w:tcPr>
            <w:tcW w:w="7500" w:type="dxa"/>
            <w:vAlign w:val="center"/>
          </w:tcPr>
          <w:p w14:paraId="2EA0917B" w14:textId="720BD2C5" w:rsidR="00EC2EBF" w:rsidRPr="0037036A" w:rsidRDefault="00EC2EBF" w:rsidP="004F42AB">
            <w:pPr>
              <w:spacing w:beforeLines="24" w:before="57" w:afterLines="24" w:after="57"/>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b/>
                <w:color w:val="auto"/>
                <w:szCs w:val="20"/>
                <w:lang w:eastAsia="en-AU"/>
              </w:rPr>
            </w:pPr>
            <w:r w:rsidRPr="0037036A">
              <w:rPr>
                <w:rFonts w:asciiTheme="minorHAnsi" w:eastAsia="Calibri Light" w:hAnsiTheme="minorHAnsi" w:cstheme="minorHAnsi"/>
                <w:b/>
                <w:color w:val="auto"/>
                <w:szCs w:val="20"/>
                <w:lang w:eastAsia="en-AU"/>
              </w:rPr>
              <w:t>Definition</w:t>
            </w:r>
          </w:p>
        </w:tc>
      </w:tr>
      <w:tr w:rsidR="00EC2EBF" w:rsidRPr="00A123C6" w14:paraId="65BB3B67"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6FA34EFB"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ACT</w:t>
            </w:r>
          </w:p>
        </w:tc>
        <w:tc>
          <w:tcPr>
            <w:tcW w:w="7500" w:type="dxa"/>
            <w:vAlign w:val="center"/>
          </w:tcPr>
          <w:p w14:paraId="6719D989"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Australian Capital Territory</w:t>
            </w:r>
          </w:p>
        </w:tc>
      </w:tr>
      <w:tr w:rsidR="00EC2EBF" w:rsidRPr="00A123C6" w14:paraId="3B2739A0"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5AE2C811"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BEEC</w:t>
            </w:r>
            <w:proofErr w:type="spellEnd"/>
          </w:p>
        </w:tc>
        <w:tc>
          <w:tcPr>
            <w:tcW w:w="7500" w:type="dxa"/>
            <w:vAlign w:val="center"/>
          </w:tcPr>
          <w:p w14:paraId="4922125C"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Building Energy Efficiency Certificate</w:t>
            </w:r>
          </w:p>
        </w:tc>
      </w:tr>
      <w:tr w:rsidR="00EC2EBF" w:rsidRPr="00A123C6" w14:paraId="2BB62784"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6ADA7FAC"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BEED Act</w:t>
            </w:r>
          </w:p>
        </w:tc>
        <w:tc>
          <w:tcPr>
            <w:tcW w:w="7500" w:type="dxa"/>
            <w:vAlign w:val="center"/>
          </w:tcPr>
          <w:p w14:paraId="5B60CD70"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Building Energy Efficiency Disclosure Act 2010</w:t>
            </w:r>
          </w:p>
        </w:tc>
      </w:tr>
      <w:tr w:rsidR="00EC2EBF" w:rsidRPr="00A123C6" w14:paraId="0A345DAF"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0616C707"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Building Stock</w:t>
            </w:r>
          </w:p>
        </w:tc>
        <w:tc>
          <w:tcPr>
            <w:tcW w:w="7500" w:type="dxa"/>
            <w:vAlign w:val="center"/>
          </w:tcPr>
          <w:p w14:paraId="32DE0361" w14:textId="6402AA43" w:rsidR="00EC2EBF" w:rsidRPr="0037036A" w:rsidRDefault="48CD4E8A"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 xml:space="preserve">Building stock is defined as the collection of physical structures that make up the built environment. The term can refer to either the number of buildings or the total floor area of buildings, categorised by </w:t>
            </w:r>
            <w:r w:rsidR="0009348F" w:rsidRPr="0037036A">
              <w:rPr>
                <w:rFonts w:asciiTheme="minorHAnsi" w:hAnsiTheme="minorHAnsi" w:cstheme="minorHAnsi"/>
                <w:szCs w:val="20"/>
              </w:rPr>
              <w:t xml:space="preserve">building </w:t>
            </w:r>
            <w:r w:rsidRPr="0037036A">
              <w:rPr>
                <w:rFonts w:asciiTheme="minorHAnsi" w:hAnsiTheme="minorHAnsi" w:cstheme="minorHAnsi"/>
                <w:szCs w:val="20"/>
              </w:rPr>
              <w:t xml:space="preserve">type or </w:t>
            </w:r>
            <w:r w:rsidR="1353EC2D" w:rsidRPr="0037036A">
              <w:rPr>
                <w:rFonts w:asciiTheme="minorHAnsi" w:hAnsiTheme="minorHAnsi" w:cstheme="minorHAnsi"/>
                <w:szCs w:val="20"/>
              </w:rPr>
              <w:t>total</w:t>
            </w:r>
            <w:r w:rsidR="1E22C2E8" w:rsidRPr="0037036A">
              <w:rPr>
                <w:rFonts w:asciiTheme="minorHAnsi" w:hAnsiTheme="minorHAnsi" w:cstheme="minorHAnsi"/>
                <w:szCs w:val="20"/>
              </w:rPr>
              <w:t>.</w:t>
            </w:r>
          </w:p>
        </w:tc>
      </w:tr>
      <w:tr w:rsidR="00712D7C" w:rsidRPr="00A123C6" w14:paraId="421665AB"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67EDC3A8" w14:textId="5E8ADC5E" w:rsidR="00712D7C" w:rsidRPr="0037036A" w:rsidRDefault="00712D7C" w:rsidP="004F42AB">
            <w:pPr>
              <w:tabs>
                <w:tab w:val="center" w:pos="1378"/>
              </w:tabs>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CBBS</w:t>
            </w:r>
            <w:proofErr w:type="spellEnd"/>
          </w:p>
        </w:tc>
        <w:tc>
          <w:tcPr>
            <w:tcW w:w="7500" w:type="dxa"/>
            <w:vAlign w:val="center"/>
          </w:tcPr>
          <w:p w14:paraId="277802F6" w14:textId="120A5605" w:rsidR="00712D7C" w:rsidRPr="0037036A" w:rsidRDefault="00712D7C"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Commercial Building Baseline Study</w:t>
            </w:r>
          </w:p>
        </w:tc>
      </w:tr>
      <w:tr w:rsidR="00EC2EBF" w:rsidRPr="00A123C6" w14:paraId="35148125"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15FAB3F4" w14:textId="3BC7203A" w:rsidR="00EC2EBF" w:rsidRPr="0037036A" w:rsidRDefault="00EC2EBF" w:rsidP="004F42AB">
            <w:pPr>
              <w:tabs>
                <w:tab w:val="center" w:pos="1378"/>
              </w:tabs>
              <w:spacing w:beforeLines="24" w:before="57" w:afterLines="24" w:after="57"/>
              <w:rPr>
                <w:rFonts w:asciiTheme="minorHAnsi" w:hAnsiTheme="minorHAnsi" w:cstheme="minorHAnsi"/>
                <w:szCs w:val="20"/>
              </w:rPr>
            </w:pPr>
            <w:r w:rsidRPr="0037036A">
              <w:rPr>
                <w:rFonts w:asciiTheme="minorHAnsi" w:hAnsiTheme="minorHAnsi" w:cstheme="minorHAnsi"/>
                <w:szCs w:val="20"/>
              </w:rPr>
              <w:t>CBD</w:t>
            </w:r>
          </w:p>
        </w:tc>
        <w:tc>
          <w:tcPr>
            <w:tcW w:w="7500" w:type="dxa"/>
            <w:vAlign w:val="center"/>
          </w:tcPr>
          <w:p w14:paraId="4DD66604"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Commercial Building Disclosure</w:t>
            </w:r>
          </w:p>
        </w:tc>
      </w:tr>
      <w:tr w:rsidR="00320704" w:rsidRPr="00A123C6" w14:paraId="282C2E70"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327BC41A" w14:textId="573DEA57" w:rsidR="00320704" w:rsidRPr="0037036A" w:rsidRDefault="00C470A3"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Non-</w:t>
            </w:r>
            <w:r w:rsidR="00F64839" w:rsidRPr="0037036A">
              <w:rPr>
                <w:rFonts w:asciiTheme="minorHAnsi" w:hAnsiTheme="minorHAnsi" w:cstheme="minorHAnsi"/>
                <w:szCs w:val="20"/>
              </w:rPr>
              <w:t>r</w:t>
            </w:r>
            <w:r w:rsidR="008C0D84" w:rsidRPr="0037036A">
              <w:rPr>
                <w:rFonts w:asciiTheme="minorHAnsi" w:hAnsiTheme="minorHAnsi" w:cstheme="minorHAnsi"/>
                <w:szCs w:val="20"/>
              </w:rPr>
              <w:t>esidential</w:t>
            </w:r>
            <w:r w:rsidR="00320704" w:rsidRPr="0037036A">
              <w:rPr>
                <w:rFonts w:asciiTheme="minorHAnsi" w:hAnsiTheme="minorHAnsi" w:cstheme="minorHAnsi"/>
                <w:szCs w:val="20"/>
              </w:rPr>
              <w:t xml:space="preserve"> Buildings</w:t>
            </w:r>
          </w:p>
        </w:tc>
        <w:tc>
          <w:tcPr>
            <w:tcW w:w="7500" w:type="dxa"/>
            <w:vAlign w:val="center"/>
          </w:tcPr>
          <w:p w14:paraId="511EDDB4" w14:textId="1E56DA94" w:rsidR="00320704" w:rsidRPr="0037036A" w:rsidRDefault="006944A6"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C</w:t>
            </w:r>
            <w:r w:rsidR="00B92FFD" w:rsidRPr="0037036A">
              <w:rPr>
                <w:rFonts w:asciiTheme="minorHAnsi" w:hAnsiTheme="minorHAnsi" w:cstheme="minorHAnsi"/>
                <w:szCs w:val="20"/>
              </w:rPr>
              <w:t>ommercial, industrial or government</w:t>
            </w:r>
            <w:r w:rsidR="00DE1D0E" w:rsidRPr="0037036A">
              <w:rPr>
                <w:rFonts w:asciiTheme="minorHAnsi" w:hAnsiTheme="minorHAnsi" w:cstheme="minorHAnsi"/>
                <w:szCs w:val="20"/>
              </w:rPr>
              <w:t xml:space="preserve"> </w:t>
            </w:r>
            <w:r w:rsidRPr="0037036A">
              <w:rPr>
                <w:rFonts w:asciiTheme="minorHAnsi" w:hAnsiTheme="minorHAnsi" w:cstheme="minorHAnsi"/>
                <w:szCs w:val="20"/>
              </w:rPr>
              <w:t>buildings.</w:t>
            </w:r>
          </w:p>
        </w:tc>
      </w:tr>
      <w:tr w:rsidR="00EC2EBF" w:rsidRPr="00A123C6" w14:paraId="72CEB9BB"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6EAB2C2D"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DCCEEW</w:t>
            </w:r>
          </w:p>
        </w:tc>
        <w:tc>
          <w:tcPr>
            <w:tcW w:w="7500" w:type="dxa"/>
            <w:vAlign w:val="center"/>
          </w:tcPr>
          <w:p w14:paraId="37CA9BFB"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Department of Climate Change, Energy, the Environment and Water</w:t>
            </w:r>
          </w:p>
        </w:tc>
      </w:tr>
      <w:tr w:rsidR="00E7394E" w:rsidRPr="00A123C6" w14:paraId="526CE5FF"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099767EE" w14:textId="3E3195A2" w:rsidR="00E7394E" w:rsidRPr="0037036A" w:rsidRDefault="00E7394E"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ECM</w:t>
            </w:r>
          </w:p>
        </w:tc>
        <w:tc>
          <w:tcPr>
            <w:tcW w:w="7500" w:type="dxa"/>
            <w:vAlign w:val="center"/>
          </w:tcPr>
          <w:p w14:paraId="107ACF3C" w14:textId="7852BF9B" w:rsidR="00E7394E" w:rsidRPr="0037036A" w:rsidRDefault="00E7394E"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 xml:space="preserve">Energy </w:t>
            </w:r>
            <w:r w:rsidR="006212AF" w:rsidRPr="0037036A">
              <w:rPr>
                <w:rFonts w:asciiTheme="minorHAnsi" w:hAnsiTheme="minorHAnsi" w:cstheme="minorHAnsi"/>
                <w:szCs w:val="20"/>
              </w:rPr>
              <w:t>Conservation</w:t>
            </w:r>
            <w:r w:rsidRPr="0037036A">
              <w:rPr>
                <w:rFonts w:asciiTheme="minorHAnsi" w:hAnsiTheme="minorHAnsi" w:cstheme="minorHAnsi"/>
                <w:szCs w:val="20"/>
              </w:rPr>
              <w:t xml:space="preserve"> Me</w:t>
            </w:r>
            <w:r w:rsidR="006212AF" w:rsidRPr="0037036A">
              <w:rPr>
                <w:rFonts w:asciiTheme="minorHAnsi" w:hAnsiTheme="minorHAnsi" w:cstheme="minorHAnsi"/>
                <w:szCs w:val="20"/>
              </w:rPr>
              <w:t>asures</w:t>
            </w:r>
          </w:p>
        </w:tc>
      </w:tr>
      <w:tr w:rsidR="00320704" w:rsidRPr="00A123C6" w14:paraId="01002849"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7FB83B0F"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EEIS</w:t>
            </w:r>
          </w:p>
        </w:tc>
        <w:tc>
          <w:tcPr>
            <w:tcW w:w="7500" w:type="dxa"/>
            <w:vAlign w:val="center"/>
          </w:tcPr>
          <w:p w14:paraId="59BE9FAA"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Energy Efficiency Improvement Scheme</w:t>
            </w:r>
          </w:p>
        </w:tc>
      </w:tr>
      <w:tr w:rsidR="00EC2EBF" w:rsidRPr="00A123C6" w14:paraId="434A300E"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7E161EBB"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EEGO</w:t>
            </w:r>
            <w:proofErr w:type="spellEnd"/>
          </w:p>
        </w:tc>
        <w:tc>
          <w:tcPr>
            <w:tcW w:w="7500" w:type="dxa"/>
            <w:vAlign w:val="center"/>
          </w:tcPr>
          <w:p w14:paraId="31A5DE34"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Energy Efficiency in Government Operations</w:t>
            </w:r>
          </w:p>
        </w:tc>
      </w:tr>
      <w:tr w:rsidR="00050A8B" w:rsidRPr="00A123C6" w14:paraId="2236D015"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042CDF71" w14:textId="22614C84" w:rsidR="00050A8B" w:rsidRPr="0037036A" w:rsidRDefault="00050A8B"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EPC</w:t>
            </w:r>
          </w:p>
        </w:tc>
        <w:tc>
          <w:tcPr>
            <w:tcW w:w="7500" w:type="dxa"/>
            <w:vAlign w:val="center"/>
          </w:tcPr>
          <w:p w14:paraId="48849AE3" w14:textId="7C488804" w:rsidR="00050A8B" w:rsidRPr="0037036A" w:rsidRDefault="00050A8B"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Energy Performance</w:t>
            </w:r>
            <w:r w:rsidR="00DB56C0" w:rsidRPr="0037036A">
              <w:rPr>
                <w:rFonts w:asciiTheme="minorHAnsi" w:hAnsiTheme="minorHAnsi" w:cstheme="minorHAnsi"/>
                <w:szCs w:val="20"/>
              </w:rPr>
              <w:t xml:space="preserve"> Certificate</w:t>
            </w:r>
          </w:p>
        </w:tc>
      </w:tr>
      <w:tr w:rsidR="00320704" w:rsidRPr="00A123C6" w14:paraId="77044111"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102267A6"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ERF</w:t>
            </w:r>
          </w:p>
        </w:tc>
        <w:tc>
          <w:tcPr>
            <w:tcW w:w="7500" w:type="dxa"/>
            <w:vAlign w:val="center"/>
          </w:tcPr>
          <w:p w14:paraId="12EF07A0"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Emissions Reduction Fund</w:t>
            </w:r>
          </w:p>
        </w:tc>
      </w:tr>
      <w:tr w:rsidR="00EC2EBF" w:rsidRPr="00A123C6" w14:paraId="491AED77"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79410F00"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EUAs</w:t>
            </w:r>
          </w:p>
        </w:tc>
        <w:tc>
          <w:tcPr>
            <w:tcW w:w="7500" w:type="dxa"/>
            <w:vAlign w:val="center"/>
          </w:tcPr>
          <w:p w14:paraId="4FE96D82"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Environmental Upgrade Agreements</w:t>
            </w:r>
          </w:p>
        </w:tc>
      </w:tr>
      <w:tr w:rsidR="006B47E8" w:rsidRPr="00A123C6" w14:paraId="05566804"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34726335" w14:textId="7BE70063" w:rsidR="006B47E8" w:rsidRPr="0037036A" w:rsidRDefault="006B47E8"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FY</w:t>
            </w:r>
          </w:p>
        </w:tc>
        <w:tc>
          <w:tcPr>
            <w:tcW w:w="7500" w:type="dxa"/>
            <w:vAlign w:val="center"/>
          </w:tcPr>
          <w:p w14:paraId="2354BFFF" w14:textId="545238AE" w:rsidR="006B47E8" w:rsidRPr="0037036A" w:rsidRDefault="006B47E8"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Financial Year (</w:t>
            </w:r>
            <w:r w:rsidR="00611BE8" w:rsidRPr="0037036A">
              <w:rPr>
                <w:rFonts w:asciiTheme="minorHAnsi" w:hAnsiTheme="minorHAnsi" w:cstheme="minorHAnsi"/>
                <w:szCs w:val="20"/>
              </w:rPr>
              <w:t>refers to the year ending on</w:t>
            </w:r>
            <w:r w:rsidRPr="0037036A">
              <w:rPr>
                <w:rFonts w:asciiTheme="minorHAnsi" w:hAnsiTheme="minorHAnsi" w:cstheme="minorHAnsi"/>
                <w:szCs w:val="20"/>
              </w:rPr>
              <w:t xml:space="preserve"> </w:t>
            </w:r>
            <w:r w:rsidR="00611BE8" w:rsidRPr="0037036A">
              <w:rPr>
                <w:rFonts w:asciiTheme="minorHAnsi" w:hAnsiTheme="minorHAnsi" w:cstheme="minorHAnsi"/>
                <w:szCs w:val="20"/>
              </w:rPr>
              <w:t>30</w:t>
            </w:r>
            <w:r w:rsidR="00611BE8" w:rsidRPr="0037036A">
              <w:rPr>
                <w:rFonts w:asciiTheme="minorHAnsi" w:hAnsiTheme="minorHAnsi" w:cstheme="minorHAnsi"/>
                <w:szCs w:val="20"/>
                <w:vertAlign w:val="superscript"/>
              </w:rPr>
              <w:t>th</w:t>
            </w:r>
            <w:r w:rsidR="00611BE8" w:rsidRPr="0037036A">
              <w:rPr>
                <w:rFonts w:asciiTheme="minorHAnsi" w:hAnsiTheme="minorHAnsi" w:cstheme="minorHAnsi"/>
                <w:szCs w:val="20"/>
              </w:rPr>
              <w:t xml:space="preserve"> June)</w:t>
            </w:r>
          </w:p>
        </w:tc>
      </w:tr>
      <w:tr w:rsidR="00835FA8" w:rsidRPr="00A123C6" w14:paraId="01DA642A"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4E7912FF" w14:textId="61B6B6F4" w:rsidR="00835FA8" w:rsidRPr="0037036A" w:rsidRDefault="00835FA8"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GFA</w:t>
            </w:r>
            <w:proofErr w:type="spellEnd"/>
          </w:p>
        </w:tc>
        <w:tc>
          <w:tcPr>
            <w:tcW w:w="7500" w:type="dxa"/>
            <w:vAlign w:val="center"/>
          </w:tcPr>
          <w:p w14:paraId="15DAB18E" w14:textId="7916580F" w:rsidR="00835FA8" w:rsidRPr="0037036A" w:rsidRDefault="00685D12"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Gross floor area. A building's floor area in square metres, typically measured as the entire area inside the external walls on each floor.</w:t>
            </w:r>
          </w:p>
        </w:tc>
      </w:tr>
      <w:tr w:rsidR="00320704" w:rsidRPr="00A123C6" w14:paraId="3751A850"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2914D4E2"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GBCA</w:t>
            </w:r>
            <w:proofErr w:type="spellEnd"/>
          </w:p>
        </w:tc>
        <w:tc>
          <w:tcPr>
            <w:tcW w:w="7500" w:type="dxa"/>
            <w:vAlign w:val="center"/>
          </w:tcPr>
          <w:p w14:paraId="1F37B619"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Green Building Council of Australia</w:t>
            </w:r>
          </w:p>
        </w:tc>
      </w:tr>
      <w:tr w:rsidR="00EC2EBF" w:rsidRPr="00A123C6" w14:paraId="131116AC"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52B2C6A0"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GBF</w:t>
            </w:r>
            <w:proofErr w:type="spellEnd"/>
          </w:p>
        </w:tc>
        <w:tc>
          <w:tcPr>
            <w:tcW w:w="7500" w:type="dxa"/>
            <w:vAlign w:val="center"/>
          </w:tcPr>
          <w:p w14:paraId="2F7ABF7E"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Green Building Fund</w:t>
            </w:r>
          </w:p>
        </w:tc>
      </w:tr>
      <w:tr w:rsidR="00320704" w:rsidRPr="00A123C6" w14:paraId="4F3B472C"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119F8C6B"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GEMS</w:t>
            </w:r>
          </w:p>
        </w:tc>
        <w:tc>
          <w:tcPr>
            <w:tcW w:w="7500" w:type="dxa"/>
            <w:vAlign w:val="center"/>
          </w:tcPr>
          <w:p w14:paraId="30DAA6BC"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Greenhouse and Energy Minimum Standards</w:t>
            </w:r>
          </w:p>
        </w:tc>
      </w:tr>
      <w:tr w:rsidR="00EC2EBF" w:rsidRPr="00A123C6" w14:paraId="7E580534"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30264AC3"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GHG</w:t>
            </w:r>
          </w:p>
        </w:tc>
        <w:tc>
          <w:tcPr>
            <w:tcW w:w="7500" w:type="dxa"/>
            <w:vAlign w:val="center"/>
          </w:tcPr>
          <w:p w14:paraId="480EE445"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Greenhouse gas</w:t>
            </w:r>
          </w:p>
        </w:tc>
      </w:tr>
      <w:tr w:rsidR="00320704" w:rsidRPr="00A123C6" w14:paraId="0A2994B0"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11CC8970"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HVAC</w:t>
            </w:r>
          </w:p>
        </w:tc>
        <w:tc>
          <w:tcPr>
            <w:tcW w:w="7500" w:type="dxa"/>
            <w:vAlign w:val="center"/>
          </w:tcPr>
          <w:p w14:paraId="6EC156BD"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Heating, Ventilation and Air Conditioning</w:t>
            </w:r>
          </w:p>
        </w:tc>
      </w:tr>
      <w:tr w:rsidR="00EC2EBF" w:rsidRPr="00A123C6" w14:paraId="49118630"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7839D982"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MEPS</w:t>
            </w:r>
            <w:proofErr w:type="spellEnd"/>
          </w:p>
        </w:tc>
        <w:tc>
          <w:tcPr>
            <w:tcW w:w="7500" w:type="dxa"/>
            <w:vAlign w:val="center"/>
          </w:tcPr>
          <w:p w14:paraId="5E5A4B8F"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Minimum Energy Performance Standard</w:t>
            </w:r>
          </w:p>
        </w:tc>
      </w:tr>
      <w:tr w:rsidR="00320704" w:rsidRPr="00A123C6" w14:paraId="6AEE2BEC"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4055C617"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NABERS</w:t>
            </w:r>
          </w:p>
        </w:tc>
        <w:tc>
          <w:tcPr>
            <w:tcW w:w="7500" w:type="dxa"/>
            <w:vAlign w:val="center"/>
          </w:tcPr>
          <w:p w14:paraId="359D345A"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National Australian Built Environment Ratings System</w:t>
            </w:r>
          </w:p>
        </w:tc>
      </w:tr>
      <w:tr w:rsidR="00EC2EBF" w:rsidRPr="00A123C6" w14:paraId="325C309C"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4E17E4A9" w14:textId="612C231D"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NCC</w:t>
            </w:r>
            <w:proofErr w:type="spellEnd"/>
          </w:p>
        </w:tc>
        <w:tc>
          <w:tcPr>
            <w:tcW w:w="7500" w:type="dxa"/>
            <w:vAlign w:val="center"/>
          </w:tcPr>
          <w:p w14:paraId="05ABFED7"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National Construction Code</w:t>
            </w:r>
          </w:p>
        </w:tc>
      </w:tr>
      <w:tr w:rsidR="00320704" w:rsidRPr="00A123C6" w14:paraId="07A588E1"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15C1947C"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NEPP</w:t>
            </w:r>
          </w:p>
        </w:tc>
        <w:tc>
          <w:tcPr>
            <w:tcW w:w="7500" w:type="dxa"/>
            <w:vAlign w:val="center"/>
          </w:tcPr>
          <w:p w14:paraId="3E6A1B49"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National Energy Productivity Plan</w:t>
            </w:r>
          </w:p>
        </w:tc>
      </w:tr>
      <w:tr w:rsidR="00EC2EBF" w:rsidRPr="00A123C6" w14:paraId="3D782DDD"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7480CC8B"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NGGI</w:t>
            </w:r>
            <w:proofErr w:type="spellEnd"/>
          </w:p>
        </w:tc>
        <w:tc>
          <w:tcPr>
            <w:tcW w:w="7500" w:type="dxa"/>
            <w:vAlign w:val="center"/>
          </w:tcPr>
          <w:p w14:paraId="0C33E22A" w14:textId="561F47EA" w:rsidR="00EC2EBF" w:rsidRPr="0037036A" w:rsidRDefault="00496458"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National Greenhouse Gas Inventory</w:t>
            </w:r>
          </w:p>
        </w:tc>
      </w:tr>
      <w:tr w:rsidR="00320704" w:rsidRPr="00A123C6" w14:paraId="31DCF074"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46845180"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NSW</w:t>
            </w:r>
          </w:p>
        </w:tc>
        <w:tc>
          <w:tcPr>
            <w:tcW w:w="7500" w:type="dxa"/>
            <w:vAlign w:val="center"/>
          </w:tcPr>
          <w:p w14:paraId="5D3769A6"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New South Wales</w:t>
            </w:r>
          </w:p>
        </w:tc>
      </w:tr>
      <w:tr w:rsidR="00EC2EBF" w:rsidRPr="00A123C6" w14:paraId="7F2DDE29"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0401623E"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PJ</w:t>
            </w:r>
          </w:p>
        </w:tc>
        <w:tc>
          <w:tcPr>
            <w:tcW w:w="7500" w:type="dxa"/>
            <w:vAlign w:val="center"/>
          </w:tcPr>
          <w:p w14:paraId="44229EAB"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Petajoules</w:t>
            </w:r>
          </w:p>
        </w:tc>
      </w:tr>
      <w:tr w:rsidR="00320704" w:rsidRPr="00A123C6" w14:paraId="79AB0647"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1DB0B525"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QLD</w:t>
            </w:r>
          </w:p>
        </w:tc>
        <w:tc>
          <w:tcPr>
            <w:tcW w:w="7500" w:type="dxa"/>
            <w:vAlign w:val="center"/>
          </w:tcPr>
          <w:p w14:paraId="1F2215CC"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Queensland</w:t>
            </w:r>
          </w:p>
        </w:tc>
      </w:tr>
      <w:tr w:rsidR="00A84114" w:rsidRPr="00A123C6" w14:paraId="34A9CD5C"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2B38EA94" w14:textId="479AB5F8" w:rsidR="00A84114" w:rsidRPr="0037036A" w:rsidRDefault="00A84114"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ROI</w:t>
            </w:r>
          </w:p>
        </w:tc>
        <w:tc>
          <w:tcPr>
            <w:tcW w:w="7500" w:type="dxa"/>
            <w:vAlign w:val="center"/>
          </w:tcPr>
          <w:p w14:paraId="418C0BB4" w14:textId="26E7CC91" w:rsidR="00A84114" w:rsidRPr="0037036A" w:rsidRDefault="00A84114"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Return on Investment</w:t>
            </w:r>
          </w:p>
        </w:tc>
      </w:tr>
      <w:tr w:rsidR="00EC2EBF" w:rsidRPr="00A123C6" w14:paraId="4366522C"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311CC376"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SBRC</w:t>
            </w:r>
            <w:proofErr w:type="spellEnd"/>
          </w:p>
        </w:tc>
        <w:tc>
          <w:tcPr>
            <w:tcW w:w="7500" w:type="dxa"/>
            <w:vAlign w:val="center"/>
          </w:tcPr>
          <w:p w14:paraId="37834E79"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Sustainable Buildings Research Centre</w:t>
            </w:r>
          </w:p>
        </w:tc>
      </w:tr>
      <w:tr w:rsidR="00320704" w:rsidRPr="00A123C6" w14:paraId="22B5C59A"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476B3022" w14:textId="77777777" w:rsidR="00EC2EBF" w:rsidRPr="0037036A" w:rsidRDefault="00EC2EBF" w:rsidP="004F42AB">
            <w:pPr>
              <w:spacing w:beforeLines="24" w:before="57" w:afterLines="24" w:after="57"/>
              <w:rPr>
                <w:rFonts w:asciiTheme="minorHAnsi" w:hAnsiTheme="minorHAnsi" w:cstheme="minorHAnsi"/>
                <w:szCs w:val="20"/>
              </w:rPr>
            </w:pPr>
            <w:proofErr w:type="spellStart"/>
            <w:r w:rsidRPr="0037036A">
              <w:rPr>
                <w:rFonts w:asciiTheme="minorHAnsi" w:hAnsiTheme="minorHAnsi" w:cstheme="minorHAnsi"/>
                <w:szCs w:val="20"/>
              </w:rPr>
              <w:t>TLA</w:t>
            </w:r>
            <w:proofErr w:type="spellEnd"/>
          </w:p>
        </w:tc>
        <w:tc>
          <w:tcPr>
            <w:tcW w:w="7500" w:type="dxa"/>
            <w:vAlign w:val="center"/>
          </w:tcPr>
          <w:p w14:paraId="7622737F"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Tenancy Lighting Assessment</w:t>
            </w:r>
          </w:p>
        </w:tc>
      </w:tr>
      <w:tr w:rsidR="00EC2EBF" w:rsidRPr="00A123C6" w14:paraId="47F0EFD5" w14:textId="77777777" w:rsidTr="00E059B9">
        <w:tc>
          <w:tcPr>
            <w:cnfStyle w:val="001000000000" w:firstRow="0" w:lastRow="0" w:firstColumn="1" w:lastColumn="0" w:oddVBand="0" w:evenVBand="0" w:oddHBand="0" w:evenHBand="0" w:firstRowFirstColumn="0" w:firstRowLastColumn="0" w:lastRowFirstColumn="0" w:lastRowLastColumn="0"/>
            <w:tcW w:w="2694" w:type="dxa"/>
            <w:vAlign w:val="center"/>
          </w:tcPr>
          <w:p w14:paraId="326A5F2A" w14:textId="77777777" w:rsidR="00EC2EBF" w:rsidRPr="0037036A" w:rsidRDefault="00EC2EBF" w:rsidP="004F42AB">
            <w:pPr>
              <w:spacing w:beforeLines="24" w:before="57" w:afterLines="24" w:after="57"/>
              <w:rPr>
                <w:rFonts w:asciiTheme="minorHAnsi" w:hAnsiTheme="minorHAnsi" w:cstheme="minorHAnsi"/>
                <w:szCs w:val="20"/>
              </w:rPr>
            </w:pPr>
            <w:r w:rsidRPr="0037036A">
              <w:rPr>
                <w:rFonts w:asciiTheme="minorHAnsi" w:hAnsiTheme="minorHAnsi" w:cstheme="minorHAnsi"/>
                <w:szCs w:val="20"/>
              </w:rPr>
              <w:t>VIC</w:t>
            </w:r>
          </w:p>
        </w:tc>
        <w:tc>
          <w:tcPr>
            <w:tcW w:w="7500" w:type="dxa"/>
            <w:vAlign w:val="center"/>
          </w:tcPr>
          <w:p w14:paraId="35D1AD45" w14:textId="77777777" w:rsidR="00EC2EBF" w:rsidRPr="0037036A" w:rsidRDefault="00EC2EBF" w:rsidP="004F42AB">
            <w:pPr>
              <w:spacing w:beforeLines="24" w:before="57" w:afterLines="24" w:after="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7036A">
              <w:rPr>
                <w:rFonts w:asciiTheme="minorHAnsi" w:hAnsiTheme="minorHAnsi" w:cstheme="minorHAnsi"/>
                <w:szCs w:val="20"/>
              </w:rPr>
              <w:t>Victoria</w:t>
            </w:r>
          </w:p>
        </w:tc>
      </w:tr>
    </w:tbl>
    <w:p w14:paraId="3686B24E" w14:textId="77777777" w:rsidR="008064A4" w:rsidRPr="0037036A" w:rsidRDefault="008064A4" w:rsidP="00C34053">
      <w:pPr>
        <w:pStyle w:val="BodyText"/>
        <w:rPr>
          <w:rFonts w:asciiTheme="minorHAnsi" w:hAnsiTheme="minorHAnsi" w:cstheme="minorHAnsi"/>
        </w:rPr>
      </w:pPr>
    </w:p>
    <w:p w14:paraId="64D83EC6" w14:textId="72129F9F" w:rsidR="002D77E4" w:rsidRDefault="008064A4" w:rsidP="002D77E4">
      <w:pPr>
        <w:pStyle w:val="CVName"/>
        <w:rPr>
          <w:rFonts w:asciiTheme="minorHAnsi" w:hAnsiTheme="minorHAnsi" w:cstheme="minorHAnsi"/>
        </w:rPr>
      </w:pPr>
      <w:bookmarkStart w:id="16" w:name="_Toc132295350"/>
      <w:bookmarkStart w:id="17" w:name="_Toc132295395"/>
      <w:r w:rsidRPr="0037036A">
        <w:rPr>
          <w:rFonts w:asciiTheme="minorHAnsi" w:hAnsiTheme="minorHAnsi" w:cstheme="minorHAnsi"/>
        </w:rPr>
        <w:lastRenderedPageBreak/>
        <w:t>Disclaimer</w:t>
      </w:r>
      <w:bookmarkEnd w:id="16"/>
      <w:bookmarkEnd w:id="17"/>
      <w:r w:rsidRPr="0037036A">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9493"/>
      </w:tblGrid>
      <w:tr w:rsidR="00E078AE" w14:paraId="1E3A7F74" w14:textId="77777777" w:rsidTr="00E078AE">
        <w:tc>
          <w:tcPr>
            <w:tcW w:w="9493" w:type="dxa"/>
          </w:tcPr>
          <w:p w14:paraId="5E2559B8" w14:textId="77777777" w:rsidR="00E078AE" w:rsidRPr="00D44FE5" w:rsidRDefault="00E078AE" w:rsidP="00E078AE">
            <w:pPr>
              <w:rPr>
                <w:rFonts w:asciiTheme="minorHAnsi" w:hAnsiTheme="minorHAnsi" w:cstheme="minorHAnsi"/>
                <w:b/>
              </w:rPr>
            </w:pPr>
            <w:r w:rsidRPr="00D44FE5">
              <w:rPr>
                <w:rFonts w:asciiTheme="minorHAnsi" w:hAnsiTheme="minorHAnsi" w:cstheme="minorHAnsi"/>
                <w:b/>
              </w:rPr>
              <w:t>General Disclaimer</w:t>
            </w:r>
          </w:p>
          <w:p w14:paraId="59EFC581" w14:textId="77777777" w:rsidR="00E078AE" w:rsidRPr="00D44FE5" w:rsidRDefault="00E078AE" w:rsidP="00E078AE">
            <w:pPr>
              <w:rPr>
                <w:rFonts w:asciiTheme="minorHAnsi" w:hAnsiTheme="minorHAnsi" w:cstheme="minorHAnsi"/>
              </w:rPr>
            </w:pPr>
            <w:r w:rsidRPr="00D44FE5">
              <w:rPr>
                <w:rFonts w:asciiTheme="minorHAnsi" w:hAnsiTheme="minorHAnsi" w:cstheme="minorHAnsi"/>
              </w:rPr>
              <w:t xml:space="preserve">The information contained herein is of a general nature and is not intended to address the circumstances of any </w:t>
            </w:r>
            <w:proofErr w:type="gramStart"/>
            <w:r w:rsidRPr="00D44FE5">
              <w:rPr>
                <w:rFonts w:asciiTheme="minorHAnsi" w:hAnsiTheme="minorHAnsi" w:cstheme="minorHAnsi"/>
              </w:rPr>
              <w:t>particular individual</w:t>
            </w:r>
            <w:proofErr w:type="gramEnd"/>
            <w:r w:rsidRPr="00D44FE5">
              <w:rPr>
                <w:rFonts w:asciiTheme="minorHAnsi" w:hAnsiTheme="minorHAnsi" w:cstheme="minorHAnsi"/>
              </w:rPr>
              <w:t xml:space="preserve"> or entity.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w:t>
            </w:r>
            <w:proofErr w:type="gramStart"/>
            <w:r w:rsidRPr="00D44FE5">
              <w:rPr>
                <w:rFonts w:asciiTheme="minorHAnsi" w:hAnsiTheme="minorHAnsi" w:cstheme="minorHAnsi"/>
              </w:rPr>
              <w:t>particular situation</w:t>
            </w:r>
            <w:proofErr w:type="gramEnd"/>
            <w:r w:rsidRPr="00D44FE5">
              <w:rPr>
                <w:rFonts w:asciiTheme="minorHAnsi" w:hAnsiTheme="minorHAnsi" w:cstheme="minorHAnsi"/>
              </w:rPr>
              <w:t>.</w:t>
            </w:r>
          </w:p>
          <w:p w14:paraId="5E78C1A6" w14:textId="77777777" w:rsidR="00E078AE" w:rsidRPr="00D44FE5" w:rsidRDefault="00E078AE" w:rsidP="00E078AE">
            <w:pPr>
              <w:rPr>
                <w:rFonts w:asciiTheme="minorHAnsi" w:hAnsiTheme="minorHAnsi" w:cstheme="minorHAnsi"/>
                <w:b/>
              </w:rPr>
            </w:pPr>
            <w:r w:rsidRPr="00D44FE5">
              <w:rPr>
                <w:rFonts w:asciiTheme="minorHAnsi" w:hAnsiTheme="minorHAnsi" w:cstheme="minorHAnsi"/>
                <w:b/>
              </w:rPr>
              <w:t>Inherent Limitations</w:t>
            </w:r>
          </w:p>
          <w:p w14:paraId="59A9EAB3" w14:textId="77777777" w:rsidR="00E078AE" w:rsidRPr="00D44FE5" w:rsidRDefault="00E078AE" w:rsidP="00E078AE">
            <w:pPr>
              <w:rPr>
                <w:rFonts w:asciiTheme="minorHAnsi" w:hAnsiTheme="minorHAnsi" w:cstheme="minorHAnsi"/>
              </w:rPr>
            </w:pPr>
            <w:r w:rsidRPr="00D44FE5">
              <w:rPr>
                <w:rFonts w:asciiTheme="minorHAnsi" w:hAnsiTheme="minorHAnsi" w:cstheme="minorHAnsi"/>
              </w:rPr>
              <w:t xml:space="preserve">This report has been prepared as outlined with the Department of Climate Change, Energy, the Environment and Water, in the scope section of the engagement letter dated 15 March 2023.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14:paraId="669DB65B" w14:textId="77777777" w:rsidR="00E078AE" w:rsidRPr="00D44FE5" w:rsidRDefault="00E078AE" w:rsidP="00E078AE">
            <w:pPr>
              <w:rPr>
                <w:rFonts w:asciiTheme="minorHAnsi" w:hAnsiTheme="minorHAnsi" w:cstheme="minorHAnsi"/>
              </w:rPr>
            </w:pPr>
            <w:r w:rsidRPr="00D44FE5">
              <w:rPr>
                <w:rFonts w:asciiTheme="minorHAnsi" w:hAnsiTheme="minorHAnsi" w:cstheme="minorHAnsi"/>
              </w:rPr>
              <w:t>No warranty of completeness, accuracy or reliability is given in relation to the statements and representations made by, and the information and documentation provided by the Department of Climate Change, Energy, the Environment and Water stakeholders consulted as part of the process.</w:t>
            </w:r>
          </w:p>
          <w:p w14:paraId="4B69BF63" w14:textId="77777777" w:rsidR="00E078AE" w:rsidRPr="00D44FE5" w:rsidRDefault="00E078AE" w:rsidP="00E078AE">
            <w:pPr>
              <w:rPr>
                <w:rFonts w:asciiTheme="minorHAnsi" w:hAnsiTheme="minorHAnsi" w:cstheme="minorHAnsi"/>
              </w:rPr>
            </w:pPr>
            <w:r w:rsidRPr="00D44FE5">
              <w:rPr>
                <w:rFonts w:asciiTheme="minorHAnsi" w:hAnsiTheme="minorHAnsi" w:cstheme="minorHAnsi"/>
              </w:rPr>
              <w:t>KPMG have indicated within this report the sources of the information provided. We have not sought to independently verify those sources unless otherwise noted within the report.</w:t>
            </w:r>
          </w:p>
          <w:p w14:paraId="32E01C3F" w14:textId="77777777" w:rsidR="00E078AE" w:rsidRPr="00D44FE5" w:rsidRDefault="00E078AE" w:rsidP="00E078AE">
            <w:pPr>
              <w:rPr>
                <w:rFonts w:asciiTheme="minorHAnsi" w:hAnsiTheme="minorHAnsi" w:cstheme="minorHAnsi"/>
              </w:rPr>
            </w:pPr>
            <w:r w:rsidRPr="00D44FE5">
              <w:rPr>
                <w:rFonts w:asciiTheme="minorHAnsi" w:hAnsiTheme="minorHAnsi" w:cstheme="minorHAnsi"/>
              </w:rPr>
              <w:t>KPMG is under no obligation in any circumstance to update this report, in either oral or written form, for events occurring after the report has been issued in final form.</w:t>
            </w:r>
          </w:p>
          <w:p w14:paraId="6E6E72E4" w14:textId="7FE82E35" w:rsidR="007A26D4" w:rsidRPr="007A26D4" w:rsidRDefault="00E078AE" w:rsidP="007A26D4">
            <w:pPr>
              <w:rPr>
                <w:rFonts w:asciiTheme="minorHAnsi" w:hAnsiTheme="minorHAnsi" w:cstheme="minorHAnsi"/>
              </w:rPr>
            </w:pPr>
            <w:r w:rsidRPr="00D44FE5">
              <w:rPr>
                <w:rFonts w:asciiTheme="minorHAnsi" w:hAnsiTheme="minorHAnsi" w:cstheme="minorHAnsi"/>
              </w:rPr>
              <w:t>The findings in this report have been formed on the above basis.</w:t>
            </w:r>
          </w:p>
        </w:tc>
      </w:tr>
    </w:tbl>
    <w:p w14:paraId="6978CBCE" w14:textId="77777777" w:rsidR="00917F35" w:rsidRPr="0037036A" w:rsidRDefault="00917F35" w:rsidP="002D77E4">
      <w:pPr>
        <w:pStyle w:val="CVName"/>
        <w:rPr>
          <w:rFonts w:asciiTheme="minorHAnsi" w:hAnsiTheme="minorHAnsi" w:cstheme="minorHAnsi"/>
        </w:rPr>
      </w:pPr>
    </w:p>
    <w:p w14:paraId="53D080D4" w14:textId="68FDBE27" w:rsidR="009F0A26" w:rsidRPr="0037036A" w:rsidRDefault="009F0A26">
      <w:pPr>
        <w:spacing w:before="0" w:after="160" w:line="259" w:lineRule="auto"/>
        <w:rPr>
          <w:rFonts w:asciiTheme="minorHAnsi" w:hAnsiTheme="minorHAnsi" w:cstheme="minorHAnsi"/>
        </w:rPr>
      </w:pPr>
    </w:p>
    <w:p w14:paraId="510B156B" w14:textId="59A1F072" w:rsidR="007E1839" w:rsidRPr="0037036A" w:rsidRDefault="009F0A26" w:rsidP="009F0A26">
      <w:pPr>
        <w:pStyle w:val="CVName"/>
        <w:rPr>
          <w:rFonts w:asciiTheme="minorHAnsi" w:hAnsiTheme="minorHAnsi" w:cstheme="minorHAnsi"/>
        </w:rPr>
      </w:pPr>
      <w:r w:rsidRPr="0037036A">
        <w:rPr>
          <w:rFonts w:asciiTheme="minorHAnsi" w:hAnsiTheme="minorHAnsi" w:cstheme="minorHAnsi"/>
        </w:rPr>
        <w:t xml:space="preserve">Acknowledgment of Aboriginal and Torres Strait Islander communities </w:t>
      </w:r>
    </w:p>
    <w:tbl>
      <w:tblPr>
        <w:tblStyle w:val="TableGrid"/>
        <w:tblW w:w="0" w:type="auto"/>
        <w:tblLook w:val="04A0" w:firstRow="1" w:lastRow="0" w:firstColumn="1" w:lastColumn="0" w:noHBand="0" w:noVBand="1"/>
      </w:tblPr>
      <w:tblGrid>
        <w:gridCol w:w="9493"/>
      </w:tblGrid>
      <w:tr w:rsidR="00E078AE" w14:paraId="37268F7E" w14:textId="77777777" w:rsidTr="00E078AE">
        <w:tc>
          <w:tcPr>
            <w:tcW w:w="9493" w:type="dxa"/>
            <w:shd w:val="clear" w:color="auto" w:fill="00338D" w:themeFill="text2"/>
          </w:tcPr>
          <w:p w14:paraId="625AC95E" w14:textId="77777777" w:rsidR="00E078AE" w:rsidRPr="00D44FE5" w:rsidRDefault="00E078AE" w:rsidP="00E078AE">
            <w:pPr>
              <w:rPr>
                <w:rFonts w:asciiTheme="minorHAnsi" w:hAnsiTheme="minorHAnsi" w:cstheme="minorHAnsi"/>
                <w:color w:val="FFFFFF" w:themeColor="background1"/>
              </w:rPr>
            </w:pPr>
            <w:r w:rsidRPr="00D44FE5">
              <w:rPr>
                <w:rFonts w:asciiTheme="minorHAnsi" w:hAnsiTheme="minorHAnsi" w:cstheme="minorHAnsi"/>
                <w:color w:val="FFFFFF" w:themeColor="background1"/>
              </w:rPr>
              <w:t xml:space="preserve">KPMG acknowledges Aboriginal and Torres Strait Islander peoples as the First Peoples of Australia. We pay our respects to Elders past, present, and future as the Traditional Custodians of the land, </w:t>
            </w:r>
            <w:proofErr w:type="gramStart"/>
            <w:r w:rsidRPr="00D44FE5">
              <w:rPr>
                <w:rFonts w:asciiTheme="minorHAnsi" w:hAnsiTheme="minorHAnsi" w:cstheme="minorHAnsi"/>
                <w:color w:val="FFFFFF" w:themeColor="background1"/>
              </w:rPr>
              <w:t>water</w:t>
            </w:r>
            <w:proofErr w:type="gramEnd"/>
            <w:r w:rsidRPr="00D44FE5">
              <w:rPr>
                <w:rFonts w:asciiTheme="minorHAnsi" w:hAnsiTheme="minorHAnsi" w:cstheme="minorHAnsi"/>
                <w:color w:val="FFFFFF" w:themeColor="background1"/>
              </w:rPr>
              <w:t xml:space="preserve"> and skies of where we work.</w:t>
            </w:r>
          </w:p>
          <w:p w14:paraId="4FEC144F" w14:textId="77777777" w:rsidR="00E078AE" w:rsidRPr="00D44FE5" w:rsidRDefault="00E078AE" w:rsidP="00E078AE">
            <w:pPr>
              <w:rPr>
                <w:rFonts w:asciiTheme="minorHAnsi" w:hAnsiTheme="minorHAnsi" w:cstheme="minorHAnsi"/>
                <w:color w:val="FFFFFF" w:themeColor="background1"/>
              </w:rPr>
            </w:pPr>
            <w:r w:rsidRPr="00D44FE5">
              <w:rPr>
                <w:rFonts w:asciiTheme="minorHAnsi" w:hAnsiTheme="minorHAnsi" w:cstheme="minorHAnsi"/>
                <w:color w:val="FFFFFF" w:themeColor="background1"/>
              </w:rPr>
              <w:t xml:space="preserve">At KPMG, our future is one where all Australians are united by a shared, honest, and complete understanding of our past, present, and future. We are committed to making this future a reality. Our story celebrates and acknowledges that the cultures, histories, rights, and voices of Aboriginal and Torres Strait Islander People are heard, understood, respected, and celebrated. </w:t>
            </w:r>
          </w:p>
          <w:p w14:paraId="2ED3E986" w14:textId="77777777" w:rsidR="00E078AE" w:rsidRPr="00D44FE5" w:rsidRDefault="00E078AE" w:rsidP="00E078AE">
            <w:pPr>
              <w:rPr>
                <w:rFonts w:asciiTheme="minorHAnsi" w:hAnsiTheme="minorHAnsi" w:cstheme="minorHAnsi"/>
                <w:color w:val="FFFFFF" w:themeColor="background1"/>
              </w:rPr>
            </w:pPr>
            <w:r w:rsidRPr="00D44FE5">
              <w:rPr>
                <w:rFonts w:asciiTheme="minorHAnsi" w:hAnsiTheme="minorHAnsi" w:cstheme="minorHAnsi"/>
                <w:color w:val="FFFFFF" w:themeColor="background1"/>
              </w:rPr>
              <w:t xml:space="preserve">Australia’s First Peoples continue to hold distinctive cultural, spiritual, </w:t>
            </w:r>
            <w:proofErr w:type="gramStart"/>
            <w:r w:rsidRPr="00D44FE5">
              <w:rPr>
                <w:rFonts w:asciiTheme="minorHAnsi" w:hAnsiTheme="minorHAnsi" w:cstheme="minorHAnsi"/>
                <w:color w:val="FFFFFF" w:themeColor="background1"/>
              </w:rPr>
              <w:t>physical</w:t>
            </w:r>
            <w:proofErr w:type="gramEnd"/>
            <w:r w:rsidRPr="00D44FE5">
              <w:rPr>
                <w:rFonts w:asciiTheme="minorHAnsi" w:hAnsiTheme="minorHAnsi" w:cstheme="minorHAnsi"/>
                <w:color w:val="FFFFFF" w:themeColor="background1"/>
              </w:rPr>
              <w:t xml:space="preserve"> and economical relationships with their land, water and skies. We take our obligations to the land and environments in which we operate seriously. </w:t>
            </w:r>
          </w:p>
          <w:p w14:paraId="241AE742" w14:textId="7A780542" w:rsidR="00E078AE" w:rsidRDefault="00E078AE" w:rsidP="005148D9">
            <w:pPr>
              <w:rPr>
                <w:rFonts w:asciiTheme="minorHAnsi" w:hAnsiTheme="minorHAnsi" w:cstheme="minorHAnsi"/>
              </w:rPr>
            </w:pPr>
            <w:r w:rsidRPr="00D44FE5">
              <w:rPr>
                <w:rFonts w:asciiTheme="minorHAnsi" w:hAnsiTheme="minorHAnsi" w:cstheme="minorHAnsi"/>
                <w:color w:val="FFFFFF" w:themeColor="background1"/>
              </w:rPr>
              <w:t xml:space="preserve">We look forward to making our contribution towards a new future for Aboriginal and Torres Strait Islander peoples so that they can chart a strong future for themselves, their </w:t>
            </w:r>
            <w:proofErr w:type="gramStart"/>
            <w:r w:rsidRPr="00D44FE5">
              <w:rPr>
                <w:rFonts w:asciiTheme="minorHAnsi" w:hAnsiTheme="minorHAnsi" w:cstheme="minorHAnsi"/>
                <w:color w:val="FFFFFF" w:themeColor="background1"/>
              </w:rPr>
              <w:t>families</w:t>
            </w:r>
            <w:proofErr w:type="gramEnd"/>
            <w:r w:rsidRPr="00D44FE5">
              <w:rPr>
                <w:rFonts w:asciiTheme="minorHAnsi" w:hAnsiTheme="minorHAnsi" w:cstheme="minorHAnsi"/>
                <w:color w:val="FFFFFF" w:themeColor="background1"/>
              </w:rPr>
              <w:t xml:space="preserve"> and communities. We believe we can achieve much more together than we can apar</w:t>
            </w:r>
            <w:r>
              <w:rPr>
                <w:rFonts w:asciiTheme="minorHAnsi" w:hAnsiTheme="minorHAnsi" w:cstheme="minorHAnsi"/>
                <w:color w:val="FFFFFF" w:themeColor="background1"/>
              </w:rPr>
              <w:t>t.</w:t>
            </w:r>
          </w:p>
        </w:tc>
      </w:tr>
    </w:tbl>
    <w:p w14:paraId="5DE689A3" w14:textId="77777777" w:rsidR="007A26D4" w:rsidRDefault="007A26D4" w:rsidP="007A26D4">
      <w:pPr>
        <w:pStyle w:val="Header"/>
        <w:rPr>
          <w:color w:val="auto"/>
        </w:rPr>
      </w:pPr>
    </w:p>
    <w:p w14:paraId="29240EE4" w14:textId="77777777" w:rsidR="007A26D4" w:rsidRDefault="007A26D4" w:rsidP="007A26D4">
      <w:pPr>
        <w:pStyle w:val="Header"/>
        <w:rPr>
          <w:color w:val="auto"/>
        </w:rPr>
      </w:pPr>
    </w:p>
    <w:p w14:paraId="51167F36" w14:textId="77777777" w:rsidR="007A26D4" w:rsidRDefault="007A26D4" w:rsidP="007A26D4">
      <w:pPr>
        <w:pStyle w:val="Header"/>
        <w:rPr>
          <w:color w:val="auto"/>
        </w:rPr>
      </w:pPr>
    </w:p>
    <w:p w14:paraId="09419ADF" w14:textId="675C0AC8" w:rsidR="007A26D4" w:rsidRPr="00C652C6" w:rsidRDefault="007A26D4" w:rsidP="007A26D4">
      <w:pPr>
        <w:pStyle w:val="Header"/>
        <w:rPr>
          <w:color w:val="auto"/>
        </w:rPr>
      </w:pPr>
      <w:r w:rsidRPr="00C652C6">
        <w:rPr>
          <w:color w:val="auto"/>
        </w:rPr>
        <w:t xml:space="preserve">©2023 KPMG, an Australian </w:t>
      </w:r>
      <w:proofErr w:type="gramStart"/>
      <w:r w:rsidRPr="00C652C6">
        <w:rPr>
          <w:color w:val="auto"/>
        </w:rPr>
        <w:t>partnership</w:t>
      </w:r>
      <w:proofErr w:type="gramEnd"/>
      <w:r w:rsidRPr="00C652C6">
        <w:rPr>
          <w:color w:val="auto"/>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p>
    <w:p w14:paraId="34DF1AFA" w14:textId="77777777" w:rsidR="007A26D4" w:rsidRPr="00C652C6" w:rsidRDefault="007A26D4" w:rsidP="007A26D4">
      <w:pPr>
        <w:pStyle w:val="Footer"/>
        <w:spacing w:after="0"/>
        <w:rPr>
          <w:b/>
          <w:bCs/>
          <w:color w:val="auto"/>
        </w:rPr>
      </w:pPr>
      <w:r w:rsidRPr="00C652C6">
        <w:rPr>
          <w:b/>
          <w:bCs/>
          <w:color w:val="auto"/>
        </w:rPr>
        <w:t>Document Classification: KPMG Confidential</w:t>
      </w:r>
    </w:p>
    <w:p w14:paraId="53271C58" w14:textId="6E1ACAF9" w:rsidR="007A26D4" w:rsidRDefault="007A26D4" w:rsidP="007A26D4">
      <w:pPr>
        <w:pStyle w:val="Header"/>
        <w:rPr>
          <w:color w:val="auto"/>
        </w:rPr>
      </w:pPr>
      <w:r w:rsidRPr="00C652C6">
        <w:rPr>
          <w:color w:val="auto"/>
        </w:rPr>
        <w:t>Liability limited by a scheme approved under Professional Standards Legislation.</w:t>
      </w:r>
    </w:p>
    <w:p w14:paraId="5CC0B9D4" w14:textId="1947C86E" w:rsidR="0060019B" w:rsidRPr="0037036A" w:rsidRDefault="0060019B" w:rsidP="009F0A26">
      <w:pPr>
        <w:pStyle w:val="CVName"/>
        <w:rPr>
          <w:rFonts w:asciiTheme="minorHAnsi" w:hAnsiTheme="minorHAnsi" w:cstheme="minorHAnsi"/>
        </w:rPr>
      </w:pPr>
    </w:p>
    <w:p w14:paraId="03A3D750" w14:textId="4D76ACAB" w:rsidR="008064A4" w:rsidRPr="0037036A" w:rsidRDefault="008064A4" w:rsidP="009F0A26">
      <w:pPr>
        <w:pStyle w:val="CVName"/>
        <w:rPr>
          <w:rFonts w:asciiTheme="minorHAnsi" w:eastAsiaTheme="majorEastAsia" w:hAnsiTheme="minorHAnsi" w:cstheme="minorHAnsi"/>
          <w:b w:val="0"/>
          <w:sz w:val="32"/>
          <w:szCs w:val="26"/>
        </w:rPr>
      </w:pPr>
      <w:r w:rsidRPr="0037036A">
        <w:rPr>
          <w:rFonts w:asciiTheme="minorHAnsi" w:hAnsiTheme="minorHAnsi" w:cstheme="minorHAnsi"/>
        </w:rPr>
        <w:br w:type="page"/>
      </w:r>
    </w:p>
    <w:p w14:paraId="7A377753" w14:textId="13765E02" w:rsidR="004D5C1E" w:rsidRPr="00F81ADB" w:rsidRDefault="00116AE1" w:rsidP="00214D42">
      <w:pPr>
        <w:pStyle w:val="Heading1"/>
        <w:rPr>
          <w:rFonts w:cstheme="minorHAnsi"/>
        </w:rPr>
      </w:pPr>
      <w:bookmarkStart w:id="18" w:name="_Toc132295353"/>
      <w:bookmarkStart w:id="19" w:name="_Toc132295398"/>
      <w:bookmarkStart w:id="20" w:name="_Toc133844009"/>
      <w:bookmarkStart w:id="21" w:name="_Toc136286353"/>
      <w:bookmarkStart w:id="22" w:name="_Toc154059357"/>
      <w:bookmarkStart w:id="23" w:name="_Introduction"/>
      <w:bookmarkEnd w:id="23"/>
      <w:r w:rsidRPr="00F81ADB">
        <w:rPr>
          <w:rFonts w:cstheme="minorHAnsi"/>
        </w:rPr>
        <w:lastRenderedPageBreak/>
        <w:t>Introduction</w:t>
      </w:r>
      <w:bookmarkEnd w:id="18"/>
      <w:bookmarkEnd w:id="19"/>
      <w:bookmarkEnd w:id="20"/>
      <w:bookmarkEnd w:id="21"/>
      <w:bookmarkEnd w:id="22"/>
    </w:p>
    <w:p w14:paraId="62D3BEE9" w14:textId="2F92746E" w:rsidR="00AB3BAA" w:rsidRPr="00F81ADB" w:rsidRDefault="00E96D92" w:rsidP="00214D42">
      <w:pPr>
        <w:pStyle w:val="Heading2"/>
        <w:rPr>
          <w:rFonts w:cstheme="minorHAnsi"/>
        </w:rPr>
      </w:pPr>
      <w:bookmarkStart w:id="24" w:name="_Toc133844010"/>
      <w:bookmarkStart w:id="25" w:name="_Toc136286354"/>
      <w:bookmarkStart w:id="26" w:name="_Toc154059358"/>
      <w:r w:rsidRPr="00F81ADB">
        <w:rPr>
          <w:rFonts w:cstheme="minorHAnsi"/>
        </w:rPr>
        <w:t>Purpose and Scope</w:t>
      </w:r>
      <w:bookmarkEnd w:id="24"/>
      <w:bookmarkEnd w:id="25"/>
      <w:bookmarkEnd w:id="26"/>
      <w:r w:rsidRPr="00F81ADB">
        <w:rPr>
          <w:rFonts w:cstheme="minorHAnsi"/>
        </w:rPr>
        <w:t xml:space="preserve"> </w:t>
      </w:r>
    </w:p>
    <w:p w14:paraId="27F9AD06" w14:textId="02318E01" w:rsidR="009207D3" w:rsidRDefault="009207D3" w:rsidP="009207D3">
      <w:pPr>
        <w:pStyle w:val="BodyBullet"/>
        <w:rPr>
          <w:rFonts w:cstheme="minorHAnsi"/>
        </w:rPr>
      </w:pPr>
      <w:r w:rsidRPr="00F81ADB">
        <w:rPr>
          <w:rFonts w:cstheme="minorHAnsi"/>
        </w:rPr>
        <w:t>The Australian Government has set ambitious legislative targets to reduce emissions across the economy by 43 per cent by 2030 and reach net zero by 2050. To achieve these commitments</w:t>
      </w:r>
      <w:r>
        <w:rPr>
          <w:rFonts w:cstheme="minorHAnsi"/>
        </w:rPr>
        <w:t xml:space="preserve"> all </w:t>
      </w:r>
      <w:r w:rsidRPr="00F81ADB">
        <w:rPr>
          <w:rFonts w:cstheme="minorHAnsi"/>
        </w:rPr>
        <w:t>sector</w:t>
      </w:r>
      <w:r>
        <w:rPr>
          <w:rFonts w:cstheme="minorHAnsi"/>
        </w:rPr>
        <w:t xml:space="preserve">s must have credible emissions reduction pathways, and </w:t>
      </w:r>
      <w:r w:rsidRPr="00F81ADB">
        <w:rPr>
          <w:rFonts w:cstheme="minorHAnsi"/>
        </w:rPr>
        <w:t>the built environment sector</w:t>
      </w:r>
      <w:r>
        <w:rPr>
          <w:rFonts w:cstheme="minorHAnsi"/>
        </w:rPr>
        <w:t xml:space="preserve"> </w:t>
      </w:r>
      <w:proofErr w:type="gramStart"/>
      <w:r>
        <w:rPr>
          <w:rFonts w:cstheme="minorHAnsi"/>
        </w:rPr>
        <w:t>has the opportunity to</w:t>
      </w:r>
      <w:proofErr w:type="gramEnd"/>
      <w:r>
        <w:rPr>
          <w:rFonts w:cstheme="minorHAnsi"/>
        </w:rPr>
        <w:t xml:space="preserve"> make a strong contribution that builds over time</w:t>
      </w:r>
      <w:r w:rsidRPr="00F81ADB">
        <w:rPr>
          <w:rFonts w:cstheme="minorHAnsi"/>
        </w:rPr>
        <w:t xml:space="preserve">. Reducing energy consumption from this sector </w:t>
      </w:r>
      <w:r>
        <w:rPr>
          <w:rFonts w:cstheme="minorHAnsi"/>
        </w:rPr>
        <w:t>can</w:t>
      </w:r>
      <w:r w:rsidRPr="00F81ADB">
        <w:rPr>
          <w:rFonts w:cstheme="minorHAnsi"/>
        </w:rPr>
        <w:t xml:space="preserve"> </w:t>
      </w:r>
      <w:r>
        <w:rPr>
          <w:rFonts w:cstheme="minorHAnsi"/>
        </w:rPr>
        <w:t>limit the network infrastructure build, improve grid reliability and stability</w:t>
      </w:r>
      <w:r w:rsidRPr="00F81ADB">
        <w:rPr>
          <w:rFonts w:cstheme="minorHAnsi"/>
        </w:rPr>
        <w:t xml:space="preserve">, which could enable lower cost electrification of other parts of the economy. Energy efficiency measures also generally having short payback periods, </w:t>
      </w:r>
      <w:r>
        <w:rPr>
          <w:rFonts w:cstheme="minorHAnsi"/>
        </w:rPr>
        <w:t>meaning these measures can contribute to emissions and energy affordability objectives if properly designed.</w:t>
      </w:r>
      <w:r w:rsidRPr="00F81ADB">
        <w:rPr>
          <w:rFonts w:cstheme="minorHAnsi"/>
        </w:rPr>
        <w:t xml:space="preserve"> </w:t>
      </w:r>
    </w:p>
    <w:p w14:paraId="0C33E35E" w14:textId="47A2ECAD" w:rsidR="003F3418" w:rsidRPr="00F81ADB" w:rsidRDefault="00670135" w:rsidP="005C4BB3">
      <w:pPr>
        <w:pStyle w:val="BodyBullet"/>
        <w:rPr>
          <w:rFonts w:cstheme="minorHAnsi"/>
        </w:rPr>
      </w:pPr>
      <w:r w:rsidRPr="00F81ADB">
        <w:rPr>
          <w:rFonts w:cstheme="minorHAnsi"/>
        </w:rPr>
        <w:t>The Department of Climate Change, Energy, the Environment and Water (</w:t>
      </w:r>
      <w:r w:rsidR="002674D2" w:rsidRPr="00F81ADB">
        <w:rPr>
          <w:rFonts w:cstheme="minorHAnsi"/>
          <w:b/>
        </w:rPr>
        <w:t>DCCEEW</w:t>
      </w:r>
      <w:r w:rsidRPr="00F81ADB">
        <w:rPr>
          <w:rFonts w:cstheme="minorHAnsi"/>
        </w:rPr>
        <w:t>)</w:t>
      </w:r>
      <w:r w:rsidR="002674D2" w:rsidRPr="00F81ADB">
        <w:rPr>
          <w:rFonts w:cstheme="minorHAnsi"/>
        </w:rPr>
        <w:t xml:space="preserve"> </w:t>
      </w:r>
      <w:r w:rsidR="002165BC" w:rsidRPr="00F81ADB">
        <w:rPr>
          <w:rFonts w:cstheme="minorHAnsi"/>
        </w:rPr>
        <w:t>engaged</w:t>
      </w:r>
      <w:r w:rsidR="00C53952" w:rsidRPr="00F81ADB">
        <w:rPr>
          <w:rFonts w:cstheme="minorHAnsi"/>
        </w:rPr>
        <w:t xml:space="preserve"> KPMG to explore </w:t>
      </w:r>
      <w:r w:rsidR="00DB1C5C" w:rsidRPr="00F81ADB">
        <w:rPr>
          <w:rFonts w:cstheme="minorHAnsi"/>
        </w:rPr>
        <w:t xml:space="preserve">options for how the </w:t>
      </w:r>
      <w:r w:rsidRPr="00F81ADB">
        <w:rPr>
          <w:rFonts w:cstheme="minorHAnsi"/>
        </w:rPr>
        <w:t>Commercial Building Disclosure (</w:t>
      </w:r>
      <w:r w:rsidRPr="00F81ADB">
        <w:rPr>
          <w:rFonts w:cstheme="minorHAnsi"/>
          <w:b/>
        </w:rPr>
        <w:t>CBD</w:t>
      </w:r>
      <w:r w:rsidRPr="00F81ADB">
        <w:rPr>
          <w:rFonts w:cstheme="minorHAnsi"/>
        </w:rPr>
        <w:t xml:space="preserve">) </w:t>
      </w:r>
      <w:r w:rsidR="004416DC" w:rsidRPr="00F81ADB">
        <w:rPr>
          <w:rFonts w:cstheme="minorHAnsi"/>
        </w:rPr>
        <w:t xml:space="preserve">program could be expanded. This </w:t>
      </w:r>
      <w:r w:rsidR="00927322" w:rsidRPr="00F81ADB">
        <w:rPr>
          <w:rFonts w:cstheme="minorHAnsi"/>
        </w:rPr>
        <w:t>includes expanding</w:t>
      </w:r>
      <w:r w:rsidR="004416DC" w:rsidRPr="00F81ADB">
        <w:rPr>
          <w:rFonts w:cstheme="minorHAnsi"/>
        </w:rPr>
        <w:t xml:space="preserve"> </w:t>
      </w:r>
      <w:r w:rsidR="00DB1C5C" w:rsidRPr="00F81ADB">
        <w:rPr>
          <w:rFonts w:cstheme="minorHAnsi"/>
        </w:rPr>
        <w:t xml:space="preserve">mandatory disclosure of energy ratings </w:t>
      </w:r>
      <w:r w:rsidR="0071679E" w:rsidRPr="00F81ADB">
        <w:rPr>
          <w:rFonts w:cstheme="minorHAnsi"/>
        </w:rPr>
        <w:t>to include</w:t>
      </w:r>
      <w:r w:rsidR="00E47073" w:rsidRPr="00F81ADB">
        <w:rPr>
          <w:rFonts w:cstheme="minorHAnsi"/>
        </w:rPr>
        <w:t xml:space="preserve"> all </w:t>
      </w:r>
      <w:r w:rsidR="00690F13" w:rsidRPr="00F81ADB">
        <w:rPr>
          <w:rFonts w:cstheme="minorHAnsi"/>
        </w:rPr>
        <w:t xml:space="preserve">categories of </w:t>
      </w:r>
      <w:r w:rsidR="00E47073" w:rsidRPr="00F81ADB">
        <w:rPr>
          <w:rFonts w:cstheme="minorHAnsi"/>
        </w:rPr>
        <w:t>commercial buildings in Australia</w:t>
      </w:r>
      <w:r w:rsidR="004416DC" w:rsidRPr="00F81ADB">
        <w:rPr>
          <w:rFonts w:cstheme="minorHAnsi"/>
        </w:rPr>
        <w:t xml:space="preserve">, and if </w:t>
      </w:r>
      <w:r w:rsidR="00927322" w:rsidRPr="00F81ADB">
        <w:rPr>
          <w:rFonts w:cstheme="minorHAnsi"/>
        </w:rPr>
        <w:t xml:space="preserve">there is the opportunity to introduce </w:t>
      </w:r>
      <w:r w:rsidR="003F3418" w:rsidRPr="00F81ADB">
        <w:rPr>
          <w:rFonts w:cstheme="minorHAnsi"/>
        </w:rPr>
        <w:t>minimum energy performance standards (</w:t>
      </w:r>
      <w:proofErr w:type="spellStart"/>
      <w:r w:rsidR="003F3418" w:rsidRPr="00F81ADB">
        <w:rPr>
          <w:rFonts w:cstheme="minorHAnsi"/>
          <w:b/>
        </w:rPr>
        <w:t>MEPS</w:t>
      </w:r>
      <w:proofErr w:type="spellEnd"/>
      <w:r w:rsidR="003F3418" w:rsidRPr="00F81ADB">
        <w:rPr>
          <w:rFonts w:cstheme="minorHAnsi"/>
        </w:rPr>
        <w:t>).</w:t>
      </w:r>
      <w:r w:rsidR="00B61907" w:rsidRPr="00F81ADB">
        <w:rPr>
          <w:rFonts w:cstheme="minorHAnsi"/>
        </w:rPr>
        <w:t xml:space="preserve"> The project </w:t>
      </w:r>
      <w:r w:rsidR="00D85C8F" w:rsidRPr="00F81ADB">
        <w:rPr>
          <w:rFonts w:cstheme="minorHAnsi"/>
        </w:rPr>
        <w:t xml:space="preserve">involves </w:t>
      </w:r>
      <w:r w:rsidR="00765E13" w:rsidRPr="00F81ADB">
        <w:rPr>
          <w:rFonts w:cstheme="minorHAnsi"/>
        </w:rPr>
        <w:t>background research from Australia and internationally</w:t>
      </w:r>
      <w:r w:rsidR="005A253B" w:rsidRPr="00F81ADB">
        <w:rPr>
          <w:rFonts w:cstheme="minorHAnsi"/>
        </w:rPr>
        <w:t xml:space="preserve"> on </w:t>
      </w:r>
      <w:r w:rsidR="006506E4" w:rsidRPr="00F81ADB">
        <w:rPr>
          <w:rFonts w:cstheme="minorHAnsi"/>
        </w:rPr>
        <w:t xml:space="preserve">disclosure of </w:t>
      </w:r>
      <w:r w:rsidR="005A253B" w:rsidRPr="00F81ADB">
        <w:rPr>
          <w:rFonts w:cstheme="minorHAnsi"/>
        </w:rPr>
        <w:t>building energy efficiency scheme</w:t>
      </w:r>
      <w:r w:rsidR="006506E4" w:rsidRPr="00F81ADB">
        <w:rPr>
          <w:rFonts w:cstheme="minorHAnsi"/>
        </w:rPr>
        <w:t xml:space="preserve">s, </w:t>
      </w:r>
      <w:r w:rsidR="00281CAB" w:rsidRPr="00F81ADB">
        <w:rPr>
          <w:rFonts w:cstheme="minorHAnsi"/>
        </w:rPr>
        <w:t xml:space="preserve">and assessment of </w:t>
      </w:r>
      <w:r w:rsidR="00850355" w:rsidRPr="00F81ADB">
        <w:rPr>
          <w:rFonts w:cstheme="minorHAnsi"/>
        </w:rPr>
        <w:t>options for expand</w:t>
      </w:r>
      <w:r w:rsidR="00281CAB" w:rsidRPr="00F81ADB">
        <w:rPr>
          <w:rFonts w:cstheme="minorHAnsi"/>
        </w:rPr>
        <w:t>ing</w:t>
      </w:r>
      <w:r w:rsidR="00850355" w:rsidRPr="00F81ADB">
        <w:rPr>
          <w:rFonts w:cstheme="minorHAnsi"/>
        </w:rPr>
        <w:t xml:space="preserve"> </w:t>
      </w:r>
      <w:r w:rsidR="00281CAB" w:rsidRPr="00F81ADB">
        <w:rPr>
          <w:rFonts w:cstheme="minorHAnsi"/>
        </w:rPr>
        <w:t xml:space="preserve">the CBD program in Australia. </w:t>
      </w:r>
    </w:p>
    <w:p w14:paraId="50835159" w14:textId="20DBEC1F" w:rsidR="00D646CB" w:rsidRPr="00F81ADB" w:rsidRDefault="008D118B" w:rsidP="005C4BB3">
      <w:pPr>
        <w:pStyle w:val="BodyBullet"/>
        <w:rPr>
          <w:rFonts w:cstheme="minorHAnsi"/>
        </w:rPr>
      </w:pPr>
      <w:r w:rsidRPr="00F81ADB">
        <w:rPr>
          <w:rFonts w:cstheme="minorHAnsi"/>
        </w:rPr>
        <w:t>This</w:t>
      </w:r>
      <w:r w:rsidR="002075E6" w:rsidRPr="00F81ADB">
        <w:rPr>
          <w:rFonts w:cstheme="minorHAnsi"/>
        </w:rPr>
        <w:t xml:space="preserve"> Report</w:t>
      </w:r>
      <w:r w:rsidR="00DF3063" w:rsidRPr="00F81ADB">
        <w:rPr>
          <w:rFonts w:cstheme="minorHAnsi"/>
        </w:rPr>
        <w:t xml:space="preserve"> summarise</w:t>
      </w:r>
      <w:r w:rsidRPr="00F81ADB">
        <w:rPr>
          <w:rFonts w:cstheme="minorHAnsi"/>
        </w:rPr>
        <w:t>s</w:t>
      </w:r>
      <w:r w:rsidR="00A155D7" w:rsidRPr="00F81ADB">
        <w:rPr>
          <w:rFonts w:cstheme="minorHAnsi"/>
        </w:rPr>
        <w:t xml:space="preserve"> findings from</w:t>
      </w:r>
      <w:r w:rsidR="00DF3063" w:rsidRPr="00F81ADB">
        <w:rPr>
          <w:rFonts w:cstheme="minorHAnsi"/>
        </w:rPr>
        <w:t xml:space="preserve"> </w:t>
      </w:r>
      <w:r w:rsidR="000A4D93" w:rsidRPr="00F81ADB">
        <w:rPr>
          <w:rFonts w:cstheme="minorHAnsi"/>
        </w:rPr>
        <w:t xml:space="preserve">Australian and international </w:t>
      </w:r>
      <w:r w:rsidR="00AE1054" w:rsidRPr="00F81ADB">
        <w:rPr>
          <w:rFonts w:cstheme="minorHAnsi"/>
        </w:rPr>
        <w:t xml:space="preserve">building </w:t>
      </w:r>
      <w:r w:rsidR="00A155D7" w:rsidRPr="00F81ADB">
        <w:rPr>
          <w:rFonts w:cstheme="minorHAnsi"/>
        </w:rPr>
        <w:t>research</w:t>
      </w:r>
      <w:r w:rsidR="00647915" w:rsidRPr="00F81ADB">
        <w:rPr>
          <w:rFonts w:cstheme="minorHAnsi"/>
        </w:rPr>
        <w:t>, identifies</w:t>
      </w:r>
      <w:r w:rsidR="007F7AED" w:rsidRPr="00F81ADB">
        <w:rPr>
          <w:rFonts w:cstheme="minorHAnsi"/>
        </w:rPr>
        <w:t xml:space="preserve"> a long list of policy options for Australia and</w:t>
      </w:r>
      <w:r w:rsidR="009C5DBF" w:rsidRPr="00F81ADB">
        <w:rPr>
          <w:rFonts w:cstheme="minorHAnsi"/>
        </w:rPr>
        <w:t xml:space="preserve"> presents a feasibility assessment of the three most prospective policies</w:t>
      </w:r>
      <w:r w:rsidR="000A4D93" w:rsidRPr="00F81ADB">
        <w:rPr>
          <w:rFonts w:cstheme="minorHAnsi"/>
        </w:rPr>
        <w:t>.</w:t>
      </w:r>
      <w:r w:rsidR="009C5DBF" w:rsidRPr="00F81ADB">
        <w:rPr>
          <w:rFonts w:cstheme="minorHAnsi"/>
        </w:rPr>
        <w:t xml:space="preserve"> Finally, the report concludes with </w:t>
      </w:r>
      <w:r w:rsidR="00EB6797" w:rsidRPr="00F81ADB">
        <w:rPr>
          <w:rFonts w:cstheme="minorHAnsi"/>
        </w:rPr>
        <w:t xml:space="preserve">a view of the potential roadmap to progress and implement the policies </w:t>
      </w:r>
      <w:r w:rsidR="007B538A" w:rsidRPr="00F81ADB">
        <w:rPr>
          <w:rFonts w:cstheme="minorHAnsi"/>
        </w:rPr>
        <w:t>over the next decade.</w:t>
      </w:r>
    </w:p>
    <w:p w14:paraId="7D1E2188" w14:textId="4BCC8368" w:rsidR="0064367B" w:rsidRPr="00F81ADB" w:rsidRDefault="0064367B" w:rsidP="00214D42">
      <w:pPr>
        <w:pStyle w:val="Heading2"/>
        <w:rPr>
          <w:rFonts w:cstheme="minorHAnsi"/>
        </w:rPr>
      </w:pPr>
      <w:bookmarkStart w:id="27" w:name="_Toc136286355"/>
      <w:bookmarkStart w:id="28" w:name="_Toc154059359"/>
      <w:r w:rsidRPr="00F81ADB">
        <w:rPr>
          <w:rFonts w:cstheme="minorHAnsi"/>
        </w:rPr>
        <w:t>CBD program</w:t>
      </w:r>
      <w:bookmarkEnd w:id="27"/>
      <w:bookmarkEnd w:id="28"/>
      <w:r w:rsidR="006D5E54" w:rsidRPr="00F81ADB">
        <w:rPr>
          <w:rFonts w:cstheme="minorHAnsi"/>
        </w:rPr>
        <w:t xml:space="preserve"> </w:t>
      </w:r>
    </w:p>
    <w:p w14:paraId="455A79B0" w14:textId="617AB4E3" w:rsidR="006D5E54" w:rsidRPr="00F81ADB" w:rsidRDefault="006D5E54" w:rsidP="006D5E54">
      <w:pPr>
        <w:pStyle w:val="BodyBullet"/>
        <w:rPr>
          <w:rFonts w:cstheme="minorHAnsi"/>
        </w:rPr>
      </w:pPr>
      <w:r w:rsidRPr="00F81ADB">
        <w:rPr>
          <w:rFonts w:cstheme="minorHAnsi"/>
        </w:rPr>
        <w:t xml:space="preserve">The decarbonisation journey of office buildings in Australia began in 1999 with the </w:t>
      </w:r>
      <w:r w:rsidR="000C66C4" w:rsidRPr="00F81ADB">
        <w:rPr>
          <w:rFonts w:cstheme="minorHAnsi"/>
        </w:rPr>
        <w:t xml:space="preserve">introduction of the voluntary rating scheme </w:t>
      </w:r>
      <w:r w:rsidRPr="00F81ADB">
        <w:rPr>
          <w:rFonts w:cstheme="minorHAnsi"/>
        </w:rPr>
        <w:t>National Australian Built Environment Rating System (</w:t>
      </w:r>
      <w:r w:rsidRPr="00F81ADB">
        <w:rPr>
          <w:rFonts w:cstheme="minorHAnsi"/>
          <w:b/>
        </w:rPr>
        <w:t>NABERS</w:t>
      </w:r>
      <w:r w:rsidRPr="00F81ADB">
        <w:rPr>
          <w:rFonts w:cstheme="minorHAnsi"/>
        </w:rPr>
        <w:t>)</w:t>
      </w:r>
      <w:r w:rsidR="0058330D" w:rsidRPr="00F81ADB">
        <w:rPr>
          <w:rFonts w:cstheme="minorHAnsi"/>
        </w:rPr>
        <w:t xml:space="preserve">. </w:t>
      </w:r>
      <w:r w:rsidR="00FE262D" w:rsidRPr="00F81ADB">
        <w:rPr>
          <w:rFonts w:cstheme="minorHAnsi"/>
        </w:rPr>
        <w:t>Decarbonisation</w:t>
      </w:r>
      <w:r w:rsidRPr="00F81ADB">
        <w:rPr>
          <w:rFonts w:cstheme="minorHAnsi"/>
        </w:rPr>
        <w:t xml:space="preserve"> accelerated with the introduction of the </w:t>
      </w:r>
      <w:r w:rsidRPr="00974776">
        <w:rPr>
          <w:rFonts w:cstheme="minorHAnsi"/>
          <w:i/>
          <w:iCs/>
        </w:rPr>
        <w:t>Building Energy Efficiency Disclosure Act 2010</w:t>
      </w:r>
      <w:r w:rsidRPr="00F81ADB">
        <w:rPr>
          <w:rFonts w:cstheme="minorHAnsi"/>
        </w:rPr>
        <w:t xml:space="preserve"> (</w:t>
      </w:r>
      <w:r w:rsidRPr="00F81ADB">
        <w:rPr>
          <w:rFonts w:cstheme="minorHAnsi"/>
          <w:b/>
        </w:rPr>
        <w:t>BEED Act</w:t>
      </w:r>
      <w:r w:rsidRPr="00F81ADB">
        <w:rPr>
          <w:rFonts w:cstheme="minorHAnsi"/>
        </w:rPr>
        <w:t>)</w:t>
      </w:r>
      <w:r w:rsidR="004F09D9" w:rsidRPr="00F81ADB">
        <w:rPr>
          <w:rFonts w:cstheme="minorHAnsi"/>
        </w:rPr>
        <w:t xml:space="preserve">. This </w:t>
      </w:r>
      <w:r w:rsidR="0099787A" w:rsidRPr="00F81ADB">
        <w:rPr>
          <w:rFonts w:cstheme="minorHAnsi"/>
        </w:rPr>
        <w:t xml:space="preserve">established the </w:t>
      </w:r>
      <w:r w:rsidRPr="00F81ADB">
        <w:rPr>
          <w:rFonts w:cstheme="minorHAnsi"/>
        </w:rPr>
        <w:t>CBD Program to improve building energy efficiency and reduce GHG emissions. The CBD Program mandates owners of</w:t>
      </w:r>
      <w:r w:rsidRPr="00F81ADB" w:rsidDel="00511F24">
        <w:rPr>
          <w:rFonts w:cstheme="minorHAnsi"/>
        </w:rPr>
        <w:t xml:space="preserve"> </w:t>
      </w:r>
      <w:r w:rsidRPr="00F81ADB">
        <w:rPr>
          <w:rFonts w:cstheme="minorHAnsi"/>
        </w:rPr>
        <w:t>commercial office spaces greater than 1000</w:t>
      </w:r>
      <w:r w:rsidR="0099787A" w:rsidRPr="00F81ADB">
        <w:rPr>
          <w:rFonts w:cstheme="minorHAnsi"/>
        </w:rPr>
        <w:t xml:space="preserve"> square metres </w:t>
      </w:r>
      <w:r w:rsidRPr="00F81ADB">
        <w:rPr>
          <w:rFonts w:cstheme="minorHAnsi"/>
        </w:rPr>
        <w:t xml:space="preserve">to disclose the </w:t>
      </w:r>
      <w:r w:rsidR="00BB4BDE" w:rsidRPr="00F81ADB">
        <w:rPr>
          <w:rFonts w:cstheme="minorHAnsi"/>
        </w:rPr>
        <w:t xml:space="preserve">NABERS </w:t>
      </w:r>
      <w:r w:rsidR="003B5F10" w:rsidRPr="00F81ADB">
        <w:rPr>
          <w:rFonts w:cstheme="minorHAnsi"/>
        </w:rPr>
        <w:t xml:space="preserve">star rating </w:t>
      </w:r>
      <w:r w:rsidR="00924074" w:rsidRPr="00F81ADB">
        <w:rPr>
          <w:rFonts w:cstheme="minorHAnsi"/>
        </w:rPr>
        <w:t>(without green</w:t>
      </w:r>
      <w:r w:rsidR="008D1C55" w:rsidRPr="00F81ADB">
        <w:rPr>
          <w:rFonts w:cstheme="minorHAnsi"/>
        </w:rPr>
        <w:t xml:space="preserve"> </w:t>
      </w:r>
      <w:r w:rsidR="00924074" w:rsidRPr="00F81ADB">
        <w:rPr>
          <w:rFonts w:cstheme="minorHAnsi"/>
        </w:rPr>
        <w:t xml:space="preserve">power) </w:t>
      </w:r>
      <w:r w:rsidR="008D1C55" w:rsidRPr="00F81ADB">
        <w:rPr>
          <w:rFonts w:cstheme="minorHAnsi"/>
        </w:rPr>
        <w:t>o</w:t>
      </w:r>
      <w:r w:rsidR="00565794" w:rsidRPr="00F81ADB">
        <w:rPr>
          <w:rFonts w:cstheme="minorHAnsi"/>
        </w:rPr>
        <w:t xml:space="preserve">n advertising </w:t>
      </w:r>
      <w:r w:rsidRPr="00F81ADB">
        <w:rPr>
          <w:rFonts w:cstheme="minorHAnsi"/>
        </w:rPr>
        <w:t xml:space="preserve">and </w:t>
      </w:r>
      <w:r w:rsidR="00565794" w:rsidRPr="00F81ADB">
        <w:rPr>
          <w:rFonts w:cstheme="minorHAnsi"/>
        </w:rPr>
        <w:t>provide a</w:t>
      </w:r>
      <w:r w:rsidR="000605D1" w:rsidRPr="00F81ADB">
        <w:rPr>
          <w:rFonts w:cstheme="minorHAnsi"/>
        </w:rPr>
        <w:t xml:space="preserve"> </w:t>
      </w:r>
      <w:r w:rsidR="000605D1" w:rsidRPr="00F81ADB">
        <w:rPr>
          <w:rFonts w:cstheme="minorHAnsi"/>
          <w:szCs w:val="20"/>
        </w:rPr>
        <w:t>Building Energy Efficiency Certificate (</w:t>
      </w:r>
      <w:proofErr w:type="spellStart"/>
      <w:r w:rsidR="000605D1" w:rsidRPr="00F81ADB">
        <w:rPr>
          <w:rFonts w:cstheme="minorHAnsi"/>
          <w:b/>
          <w:szCs w:val="20"/>
        </w:rPr>
        <w:t>BEEC</w:t>
      </w:r>
      <w:proofErr w:type="spellEnd"/>
      <w:r w:rsidR="000605D1" w:rsidRPr="00F81ADB">
        <w:rPr>
          <w:rFonts w:cstheme="minorHAnsi"/>
          <w:szCs w:val="20"/>
        </w:rPr>
        <w:t>)</w:t>
      </w:r>
      <w:r w:rsidR="00565794" w:rsidRPr="00F81ADB">
        <w:rPr>
          <w:rFonts w:cstheme="minorHAnsi"/>
        </w:rPr>
        <w:t xml:space="preserve"> </w:t>
      </w:r>
      <w:r w:rsidR="00924074" w:rsidRPr="00F81ADB">
        <w:rPr>
          <w:rFonts w:cstheme="minorHAnsi"/>
        </w:rPr>
        <w:t xml:space="preserve">which includes a NABERS certificate and </w:t>
      </w:r>
      <w:r w:rsidRPr="00F81ADB">
        <w:rPr>
          <w:rFonts w:cstheme="minorHAnsi"/>
        </w:rPr>
        <w:t>tenancy lighting assessment (</w:t>
      </w:r>
      <w:proofErr w:type="spellStart"/>
      <w:r w:rsidRPr="00F81ADB">
        <w:rPr>
          <w:rFonts w:cstheme="minorHAnsi"/>
          <w:b/>
        </w:rPr>
        <w:t>TLA</w:t>
      </w:r>
      <w:proofErr w:type="spellEnd"/>
      <w:r w:rsidRPr="00F81ADB">
        <w:rPr>
          <w:rFonts w:cstheme="minorHAnsi"/>
        </w:rPr>
        <w:t xml:space="preserve">) </w:t>
      </w:r>
      <w:r w:rsidR="006431DC" w:rsidRPr="00F81ADB">
        <w:rPr>
          <w:rFonts w:cstheme="minorHAnsi"/>
        </w:rPr>
        <w:t xml:space="preserve">upon </w:t>
      </w:r>
      <w:r w:rsidRPr="00F81ADB">
        <w:rPr>
          <w:rFonts w:cstheme="minorHAnsi"/>
        </w:rPr>
        <w:t xml:space="preserve">sale, </w:t>
      </w:r>
      <w:proofErr w:type="gramStart"/>
      <w:r w:rsidRPr="00F81ADB">
        <w:rPr>
          <w:rFonts w:cstheme="minorHAnsi"/>
        </w:rPr>
        <w:t>lease</w:t>
      </w:r>
      <w:proofErr w:type="gramEnd"/>
      <w:r w:rsidRPr="00F81ADB">
        <w:rPr>
          <w:rFonts w:cstheme="minorHAnsi"/>
        </w:rPr>
        <w:t xml:space="preserve"> or sublease</w:t>
      </w:r>
      <w:r w:rsidR="00F23591" w:rsidRPr="00F81ADB">
        <w:rPr>
          <w:rFonts w:cstheme="minorHAnsi"/>
        </w:rPr>
        <w:t xml:space="preserve">. </w:t>
      </w:r>
    </w:p>
    <w:p w14:paraId="52D9B1F0" w14:textId="311C283E" w:rsidR="00C24E50" w:rsidRPr="00F81ADB" w:rsidRDefault="00D90C19" w:rsidP="005C4BB3">
      <w:pPr>
        <w:pStyle w:val="BodyBullet"/>
        <w:rPr>
          <w:rFonts w:cstheme="minorHAnsi"/>
        </w:rPr>
      </w:pPr>
      <w:r w:rsidRPr="00F81ADB">
        <w:rPr>
          <w:rFonts w:cstheme="minorHAnsi"/>
        </w:rPr>
        <w:t>From 2011 to 2019</w:t>
      </w:r>
      <w:r w:rsidR="00965FD9" w:rsidRPr="00F81ADB">
        <w:rPr>
          <w:rFonts w:cstheme="minorHAnsi"/>
        </w:rPr>
        <w:t xml:space="preserve"> the CBD program </w:t>
      </w:r>
      <w:r w:rsidR="0058425A" w:rsidRPr="00F81ADB">
        <w:rPr>
          <w:rFonts w:cstheme="minorHAnsi"/>
        </w:rPr>
        <w:t>reduce</w:t>
      </w:r>
      <w:r w:rsidR="00337C8A" w:rsidRPr="00F81ADB">
        <w:rPr>
          <w:rFonts w:cstheme="minorHAnsi"/>
        </w:rPr>
        <w:t>d</w:t>
      </w:r>
      <w:r w:rsidR="00965FD9" w:rsidRPr="00F81ADB">
        <w:rPr>
          <w:rFonts w:cstheme="minorHAnsi"/>
        </w:rPr>
        <w:t xml:space="preserve"> energy intensity </w:t>
      </w:r>
      <w:r w:rsidR="00F90001" w:rsidRPr="00F81ADB">
        <w:rPr>
          <w:rFonts w:cstheme="minorHAnsi"/>
        </w:rPr>
        <w:t>(</w:t>
      </w:r>
      <w:r w:rsidR="00FB0D36" w:rsidRPr="00F81ADB">
        <w:rPr>
          <w:rFonts w:cstheme="minorHAnsi"/>
        </w:rPr>
        <w:t>MJ</w:t>
      </w:r>
      <w:r w:rsidR="00F90001" w:rsidRPr="00F81ADB">
        <w:rPr>
          <w:rFonts w:cstheme="minorHAnsi"/>
        </w:rPr>
        <w:t>/m</w:t>
      </w:r>
      <w:r w:rsidR="00F90001" w:rsidRPr="006A2F31">
        <w:rPr>
          <w:rFonts w:cstheme="minorHAnsi"/>
          <w:vertAlign w:val="superscript"/>
        </w:rPr>
        <w:t>2</w:t>
      </w:r>
      <w:r w:rsidR="00F90001" w:rsidRPr="00F81ADB">
        <w:rPr>
          <w:rFonts w:cstheme="minorHAnsi"/>
        </w:rPr>
        <w:t>)</w:t>
      </w:r>
      <w:r w:rsidR="00965FD9" w:rsidRPr="00F81ADB">
        <w:rPr>
          <w:rFonts w:cstheme="minorHAnsi"/>
        </w:rPr>
        <w:t xml:space="preserve"> of </w:t>
      </w:r>
      <w:r w:rsidR="00464458" w:rsidRPr="00F81ADB">
        <w:rPr>
          <w:rFonts w:cstheme="minorHAnsi"/>
        </w:rPr>
        <w:t xml:space="preserve">participating </w:t>
      </w:r>
      <w:r w:rsidR="00965FD9" w:rsidRPr="00F81ADB">
        <w:rPr>
          <w:rFonts w:cstheme="minorHAnsi"/>
        </w:rPr>
        <w:t xml:space="preserve">commercial </w:t>
      </w:r>
      <w:r w:rsidR="00940B45" w:rsidRPr="00F81ADB">
        <w:rPr>
          <w:rFonts w:cstheme="minorHAnsi"/>
        </w:rPr>
        <w:t>office</w:t>
      </w:r>
      <w:r w:rsidR="00965FD9" w:rsidRPr="00F81ADB">
        <w:rPr>
          <w:rFonts w:cstheme="minorHAnsi"/>
        </w:rPr>
        <w:t xml:space="preserve"> buildings by </w:t>
      </w:r>
      <w:r w:rsidR="00607ABA" w:rsidRPr="00F81ADB">
        <w:rPr>
          <w:rFonts w:cstheme="minorHAnsi"/>
        </w:rPr>
        <w:t>27</w:t>
      </w:r>
      <w:r w:rsidR="00375A38" w:rsidRPr="00F81ADB">
        <w:rPr>
          <w:rFonts w:cstheme="minorHAnsi"/>
        </w:rPr>
        <w:t xml:space="preserve"> </w:t>
      </w:r>
      <w:r w:rsidR="001655E9" w:rsidRPr="00F81ADB">
        <w:rPr>
          <w:rFonts w:cstheme="minorHAnsi"/>
        </w:rPr>
        <w:t>per cent</w:t>
      </w:r>
      <w:r w:rsidR="008D158B" w:rsidRPr="00F81ADB">
        <w:rPr>
          <w:rFonts w:cstheme="minorHAnsi"/>
        </w:rPr>
        <w:t xml:space="preserve"> </w:t>
      </w:r>
      <w:r w:rsidR="00960220" w:rsidRPr="00F81ADB">
        <w:rPr>
          <w:rFonts w:cstheme="minorHAnsi"/>
        </w:rPr>
        <w:t xml:space="preserve">and </w:t>
      </w:r>
      <w:r w:rsidR="00974B48" w:rsidRPr="00F81ADB">
        <w:rPr>
          <w:rFonts w:cstheme="minorHAnsi"/>
        </w:rPr>
        <w:t>lowered</w:t>
      </w:r>
      <w:r w:rsidR="00960220" w:rsidRPr="00F81ADB">
        <w:rPr>
          <w:rFonts w:cstheme="minorHAnsi"/>
        </w:rPr>
        <w:t xml:space="preserve"> energy bills by </w:t>
      </w:r>
      <w:r w:rsidR="008D158B" w:rsidRPr="00F81ADB">
        <w:rPr>
          <w:rFonts w:cstheme="minorHAnsi"/>
        </w:rPr>
        <w:t>$82M</w:t>
      </w:r>
      <w:r w:rsidR="00927288" w:rsidRPr="00F81ADB">
        <w:rPr>
          <w:rFonts w:cstheme="minorHAnsi"/>
          <w:color w:val="auto"/>
          <w:sz w:val="2"/>
          <w:szCs w:val="2"/>
        </w:rPr>
        <w:t>F</w:t>
      </w:r>
      <w:r w:rsidR="001E7BA0" w:rsidRPr="00F81ADB">
        <w:rPr>
          <w:rFonts w:cstheme="minorHAnsi"/>
          <w:color w:val="auto"/>
          <w:sz w:val="2"/>
          <w:szCs w:val="2"/>
        </w:rPr>
        <w:t>0F</w:t>
      </w:r>
      <w:r w:rsidR="00723239">
        <w:rPr>
          <w:rFonts w:ascii="ZWAdobeF" w:hAnsi="ZWAdobeF" w:cs="ZWAdobeF"/>
          <w:color w:val="auto"/>
          <w:sz w:val="2"/>
          <w:szCs w:val="2"/>
        </w:rPr>
        <w:t>0F</w:t>
      </w:r>
      <w:r w:rsidR="00190E80">
        <w:rPr>
          <w:rFonts w:ascii="ZWAdobeF" w:hAnsi="ZWAdobeF" w:cs="ZWAdobeF"/>
          <w:color w:val="auto"/>
          <w:sz w:val="2"/>
          <w:szCs w:val="2"/>
        </w:rPr>
        <w:t>0F</w:t>
      </w:r>
      <w:r w:rsidR="00E94853">
        <w:rPr>
          <w:rFonts w:ascii="ZWAdobeF" w:hAnsi="ZWAdobeF" w:cs="ZWAdobeF"/>
          <w:color w:val="auto"/>
          <w:sz w:val="2"/>
          <w:szCs w:val="2"/>
        </w:rPr>
        <w:t>0F</w:t>
      </w:r>
      <w:r w:rsidR="00F73A23">
        <w:rPr>
          <w:rFonts w:ascii="ZWAdobeF" w:hAnsi="ZWAdobeF" w:cs="ZWAdobeF"/>
          <w:color w:val="auto"/>
          <w:sz w:val="2"/>
          <w:szCs w:val="2"/>
        </w:rPr>
        <w:t>0F</w:t>
      </w:r>
      <w:r w:rsidR="00294984">
        <w:rPr>
          <w:rFonts w:ascii="ZWAdobeF" w:hAnsi="ZWAdobeF" w:cs="ZWAdobeF"/>
          <w:color w:val="auto"/>
          <w:sz w:val="2"/>
          <w:szCs w:val="2"/>
        </w:rPr>
        <w:t>0F</w:t>
      </w:r>
      <w:r w:rsidR="00413811">
        <w:rPr>
          <w:rFonts w:ascii="ZWAdobeF" w:hAnsi="ZWAdobeF" w:cs="ZWAdobeF"/>
          <w:color w:val="auto"/>
          <w:sz w:val="2"/>
          <w:szCs w:val="2"/>
        </w:rPr>
        <w:t>0F</w:t>
      </w:r>
      <w:r w:rsidR="002C327C">
        <w:rPr>
          <w:rFonts w:ascii="ZWAdobeF" w:hAnsi="ZWAdobeF" w:cs="ZWAdobeF"/>
          <w:color w:val="auto"/>
          <w:sz w:val="2"/>
          <w:szCs w:val="2"/>
        </w:rPr>
        <w:t>0F</w:t>
      </w:r>
      <w:r w:rsidR="00D24A06">
        <w:rPr>
          <w:rFonts w:ascii="ZWAdobeF" w:hAnsi="ZWAdobeF" w:cs="ZWAdobeF"/>
          <w:color w:val="auto"/>
          <w:sz w:val="2"/>
          <w:szCs w:val="2"/>
        </w:rPr>
        <w:t>0F</w:t>
      </w:r>
      <w:r w:rsidR="009532EF" w:rsidRPr="00F81ADB">
        <w:rPr>
          <w:rStyle w:val="FootnoteReference"/>
          <w:rFonts w:cstheme="minorHAnsi"/>
        </w:rPr>
        <w:footnoteReference w:id="2"/>
      </w:r>
      <w:r w:rsidR="006710E3" w:rsidRPr="00F81ADB">
        <w:rPr>
          <w:rFonts w:cstheme="minorHAnsi"/>
        </w:rPr>
        <w:t xml:space="preserve"> </w:t>
      </w:r>
      <w:r w:rsidR="00F97430" w:rsidRPr="00F81ADB">
        <w:rPr>
          <w:rFonts w:cstheme="minorHAnsi"/>
        </w:rPr>
        <w:t>Commercial</w:t>
      </w:r>
      <w:r w:rsidR="005C0E6A" w:rsidRPr="00F81ADB">
        <w:rPr>
          <w:rFonts w:cstheme="minorHAnsi"/>
        </w:rPr>
        <w:t xml:space="preserve"> office buildings </w:t>
      </w:r>
      <w:r w:rsidR="00BD1C50" w:rsidRPr="00F81ADB">
        <w:rPr>
          <w:rFonts w:cstheme="minorHAnsi"/>
        </w:rPr>
        <w:t>(Class 5)</w:t>
      </w:r>
      <w:r w:rsidR="00723239">
        <w:rPr>
          <w:rFonts w:ascii="ZWAdobeF" w:hAnsi="ZWAdobeF" w:cs="ZWAdobeF"/>
          <w:color w:val="auto"/>
          <w:sz w:val="2"/>
          <w:szCs w:val="2"/>
        </w:rPr>
        <w:t>1F</w:t>
      </w:r>
      <w:r w:rsidR="00190E80">
        <w:rPr>
          <w:rFonts w:ascii="ZWAdobeF" w:hAnsi="ZWAdobeF" w:cs="ZWAdobeF"/>
          <w:color w:val="auto"/>
          <w:sz w:val="2"/>
          <w:szCs w:val="2"/>
        </w:rPr>
        <w:t>1F</w:t>
      </w:r>
      <w:r w:rsidR="00E94853">
        <w:rPr>
          <w:rFonts w:ascii="ZWAdobeF" w:hAnsi="ZWAdobeF" w:cs="ZWAdobeF"/>
          <w:color w:val="auto"/>
          <w:sz w:val="2"/>
          <w:szCs w:val="2"/>
        </w:rPr>
        <w:t>1F</w:t>
      </w:r>
      <w:r w:rsidR="00F73A23">
        <w:rPr>
          <w:rFonts w:ascii="ZWAdobeF" w:hAnsi="ZWAdobeF" w:cs="ZWAdobeF"/>
          <w:color w:val="auto"/>
          <w:sz w:val="2"/>
          <w:szCs w:val="2"/>
        </w:rPr>
        <w:t>1F</w:t>
      </w:r>
      <w:r w:rsidR="00626378">
        <w:rPr>
          <w:rFonts w:ascii="ZWAdobeF" w:hAnsi="ZWAdobeF" w:cs="ZWAdobeF"/>
          <w:color w:val="auto"/>
          <w:sz w:val="2"/>
          <w:szCs w:val="2"/>
        </w:rPr>
        <w:t>1F</w:t>
      </w:r>
      <w:r w:rsidR="00413811">
        <w:rPr>
          <w:rFonts w:ascii="ZWAdobeF" w:hAnsi="ZWAdobeF" w:cs="ZWAdobeF"/>
          <w:color w:val="auto"/>
          <w:sz w:val="2"/>
          <w:szCs w:val="2"/>
        </w:rPr>
        <w:t>1F</w:t>
      </w:r>
      <w:r w:rsidR="002C327C">
        <w:rPr>
          <w:rFonts w:ascii="ZWAdobeF" w:hAnsi="ZWAdobeF" w:cs="ZWAdobeF"/>
          <w:color w:val="auto"/>
          <w:sz w:val="2"/>
          <w:szCs w:val="2"/>
        </w:rPr>
        <w:t>1F</w:t>
      </w:r>
      <w:r w:rsidR="00D24A06">
        <w:rPr>
          <w:rFonts w:ascii="ZWAdobeF" w:hAnsi="ZWAdobeF" w:cs="ZWAdobeF"/>
          <w:color w:val="auto"/>
          <w:sz w:val="2"/>
          <w:szCs w:val="2"/>
        </w:rPr>
        <w:t>1F</w:t>
      </w:r>
      <w:r w:rsidR="001E1C0B" w:rsidRPr="00F81ADB">
        <w:rPr>
          <w:rStyle w:val="FootnoteReference"/>
          <w:rFonts w:cstheme="minorHAnsi"/>
        </w:rPr>
        <w:footnoteReference w:id="3"/>
      </w:r>
      <w:r w:rsidR="00BD1C50" w:rsidRPr="00F81ADB">
        <w:rPr>
          <w:rFonts w:cstheme="minorHAnsi"/>
        </w:rPr>
        <w:t xml:space="preserve"> </w:t>
      </w:r>
      <w:r w:rsidR="005C0E6A" w:rsidRPr="00F81ADB">
        <w:rPr>
          <w:rFonts w:cstheme="minorHAnsi"/>
        </w:rPr>
        <w:t>account for 1</w:t>
      </w:r>
      <w:r w:rsidR="006F4B7A" w:rsidRPr="00F81ADB">
        <w:rPr>
          <w:rFonts w:cstheme="minorHAnsi"/>
        </w:rPr>
        <w:t>6</w:t>
      </w:r>
      <w:r w:rsidR="00940B45" w:rsidRPr="00F81ADB">
        <w:rPr>
          <w:rFonts w:cstheme="minorHAnsi"/>
        </w:rPr>
        <w:t xml:space="preserve"> </w:t>
      </w:r>
      <w:r w:rsidR="001655E9" w:rsidRPr="00F81ADB">
        <w:rPr>
          <w:rFonts w:cstheme="minorHAnsi"/>
        </w:rPr>
        <w:t>per cent</w:t>
      </w:r>
      <w:r w:rsidR="00723239">
        <w:rPr>
          <w:rFonts w:ascii="ZWAdobeF" w:hAnsi="ZWAdobeF" w:cs="ZWAdobeF"/>
          <w:color w:val="auto"/>
          <w:sz w:val="2"/>
          <w:szCs w:val="2"/>
        </w:rPr>
        <w:t>2F</w:t>
      </w:r>
      <w:r w:rsidR="00190E80">
        <w:rPr>
          <w:rFonts w:ascii="ZWAdobeF" w:hAnsi="ZWAdobeF" w:cs="ZWAdobeF"/>
          <w:color w:val="auto"/>
          <w:sz w:val="2"/>
          <w:szCs w:val="2"/>
        </w:rPr>
        <w:t>2F</w:t>
      </w:r>
      <w:r w:rsidR="00E94853">
        <w:rPr>
          <w:rFonts w:ascii="ZWAdobeF" w:hAnsi="ZWAdobeF" w:cs="ZWAdobeF"/>
          <w:color w:val="auto"/>
          <w:sz w:val="2"/>
          <w:szCs w:val="2"/>
        </w:rPr>
        <w:t>2F</w:t>
      </w:r>
      <w:r w:rsidR="00F73A23">
        <w:rPr>
          <w:rFonts w:ascii="ZWAdobeF" w:hAnsi="ZWAdobeF" w:cs="ZWAdobeF"/>
          <w:color w:val="auto"/>
          <w:sz w:val="2"/>
          <w:szCs w:val="2"/>
        </w:rPr>
        <w:t>2F</w:t>
      </w:r>
      <w:r w:rsidR="00626378">
        <w:rPr>
          <w:rFonts w:ascii="ZWAdobeF" w:hAnsi="ZWAdobeF" w:cs="ZWAdobeF"/>
          <w:color w:val="auto"/>
          <w:sz w:val="2"/>
          <w:szCs w:val="2"/>
        </w:rPr>
        <w:t>2F</w:t>
      </w:r>
      <w:r w:rsidR="00413811">
        <w:rPr>
          <w:rFonts w:ascii="ZWAdobeF" w:hAnsi="ZWAdobeF" w:cs="ZWAdobeF"/>
          <w:color w:val="auto"/>
          <w:sz w:val="2"/>
          <w:szCs w:val="2"/>
        </w:rPr>
        <w:t>2F</w:t>
      </w:r>
      <w:r w:rsidR="002C327C">
        <w:rPr>
          <w:rFonts w:ascii="ZWAdobeF" w:hAnsi="ZWAdobeF" w:cs="ZWAdobeF"/>
          <w:color w:val="auto"/>
          <w:sz w:val="2"/>
          <w:szCs w:val="2"/>
        </w:rPr>
        <w:t>2F</w:t>
      </w:r>
      <w:r w:rsidR="00D24A06">
        <w:rPr>
          <w:rFonts w:ascii="ZWAdobeF" w:hAnsi="ZWAdobeF" w:cs="ZWAdobeF"/>
          <w:color w:val="auto"/>
          <w:sz w:val="2"/>
          <w:szCs w:val="2"/>
        </w:rPr>
        <w:t>2F</w:t>
      </w:r>
      <w:r w:rsidR="0092787E" w:rsidRPr="00F81ADB">
        <w:rPr>
          <w:rStyle w:val="FootnoteReference"/>
          <w:rFonts w:cstheme="minorHAnsi"/>
        </w:rPr>
        <w:footnoteReference w:id="4"/>
      </w:r>
      <w:r w:rsidR="005C0E6A" w:rsidRPr="00F81ADB">
        <w:rPr>
          <w:rFonts w:cstheme="minorHAnsi"/>
        </w:rPr>
        <w:t xml:space="preserve"> of </w:t>
      </w:r>
      <w:r w:rsidR="00940B45" w:rsidRPr="00F81ADB">
        <w:rPr>
          <w:rFonts w:cstheme="minorHAnsi"/>
        </w:rPr>
        <w:t xml:space="preserve">the </w:t>
      </w:r>
      <w:r w:rsidR="00FF01CD" w:rsidRPr="00F81ADB">
        <w:rPr>
          <w:rFonts w:cstheme="minorHAnsi"/>
        </w:rPr>
        <w:t>non-residential buildings stock</w:t>
      </w:r>
      <w:r w:rsidR="00D13CDA" w:rsidRPr="00F81ADB">
        <w:rPr>
          <w:rFonts w:cstheme="minorHAnsi"/>
        </w:rPr>
        <w:t xml:space="preserve"> and</w:t>
      </w:r>
      <w:r w:rsidR="00271155" w:rsidRPr="00F81ADB">
        <w:rPr>
          <w:rFonts w:cstheme="minorHAnsi"/>
        </w:rPr>
        <w:t xml:space="preserve"> </w:t>
      </w:r>
      <w:r w:rsidR="001E1C0B" w:rsidRPr="00F81ADB">
        <w:rPr>
          <w:rFonts w:cstheme="minorHAnsi"/>
        </w:rPr>
        <w:t xml:space="preserve">a </w:t>
      </w:r>
      <w:r w:rsidR="008958C5" w:rsidRPr="00F81ADB">
        <w:rPr>
          <w:rFonts w:cstheme="minorHAnsi"/>
        </w:rPr>
        <w:t>fifth o</w:t>
      </w:r>
      <w:r w:rsidR="003055D5" w:rsidRPr="00F81ADB">
        <w:rPr>
          <w:rFonts w:cstheme="minorHAnsi"/>
        </w:rPr>
        <w:t>f</w:t>
      </w:r>
      <w:r w:rsidR="0086424D" w:rsidRPr="00F81ADB">
        <w:rPr>
          <w:rFonts w:cstheme="minorHAnsi"/>
        </w:rPr>
        <w:t xml:space="preserve"> </w:t>
      </w:r>
      <w:r w:rsidR="00043FF5" w:rsidRPr="00F81ADB">
        <w:rPr>
          <w:rFonts w:cstheme="minorHAnsi"/>
        </w:rPr>
        <w:t xml:space="preserve">the </w:t>
      </w:r>
      <w:r w:rsidR="005E4BD7" w:rsidRPr="00F81ADB">
        <w:rPr>
          <w:rFonts w:cstheme="minorHAnsi"/>
        </w:rPr>
        <w:t>total commercial building secto</w:t>
      </w:r>
      <w:r w:rsidR="009A5F19" w:rsidRPr="00F81ADB">
        <w:rPr>
          <w:rFonts w:cstheme="minorHAnsi"/>
        </w:rPr>
        <w:t>r</w:t>
      </w:r>
      <w:r w:rsidR="00DA3FAA" w:rsidRPr="00F81ADB">
        <w:rPr>
          <w:rFonts w:cstheme="minorHAnsi"/>
        </w:rPr>
        <w:t xml:space="preserve"> greenhouse gas emissions</w:t>
      </w:r>
      <w:r w:rsidR="005C0E6A" w:rsidRPr="00F81ADB">
        <w:rPr>
          <w:rFonts w:cstheme="minorHAnsi"/>
        </w:rPr>
        <w:t xml:space="preserve">, </w:t>
      </w:r>
      <w:r w:rsidR="00335CA3" w:rsidRPr="00F81ADB">
        <w:rPr>
          <w:rFonts w:cstheme="minorHAnsi"/>
        </w:rPr>
        <w:t xml:space="preserve">raising the question of whether </w:t>
      </w:r>
      <w:r w:rsidR="007F67BB" w:rsidRPr="00F81ADB">
        <w:rPr>
          <w:rFonts w:cstheme="minorHAnsi"/>
        </w:rPr>
        <w:t xml:space="preserve">cost effective benefits can be </w:t>
      </w:r>
      <w:r w:rsidR="00A27721" w:rsidRPr="00F81ADB">
        <w:rPr>
          <w:rFonts w:cstheme="minorHAnsi"/>
        </w:rPr>
        <w:t xml:space="preserve">secured </w:t>
      </w:r>
      <w:r w:rsidR="005C0E6A" w:rsidRPr="00F81ADB">
        <w:rPr>
          <w:rFonts w:cstheme="minorHAnsi"/>
        </w:rPr>
        <w:t>by expanding into other sectors</w:t>
      </w:r>
      <w:r w:rsidR="001E1C0B" w:rsidRPr="00F81ADB">
        <w:rPr>
          <w:rFonts w:cstheme="minorHAnsi"/>
        </w:rPr>
        <w:t xml:space="preserve"> and building classes (Class 3</w:t>
      </w:r>
      <w:r w:rsidR="00AB696A" w:rsidRPr="00F81ADB">
        <w:rPr>
          <w:rFonts w:cstheme="minorHAnsi"/>
        </w:rPr>
        <w:t>, 6, 8 and 9)</w:t>
      </w:r>
      <w:r w:rsidR="005C0E6A" w:rsidRPr="00F81ADB">
        <w:rPr>
          <w:rFonts w:cstheme="minorHAnsi"/>
        </w:rPr>
        <w:t>.</w:t>
      </w:r>
    </w:p>
    <w:p w14:paraId="70A45B54" w14:textId="2040A2B3" w:rsidR="001054DA" w:rsidRPr="00F81ADB" w:rsidRDefault="001054DA" w:rsidP="00163176">
      <w:pPr>
        <w:pStyle w:val="BodyBullet"/>
        <w:rPr>
          <w:rFonts w:cstheme="minorHAnsi"/>
        </w:rPr>
      </w:pPr>
      <w:r w:rsidRPr="00F81ADB">
        <w:rPr>
          <w:rFonts w:cstheme="minorHAnsi"/>
        </w:rPr>
        <w:t xml:space="preserve">The Australian Government’s landmark </w:t>
      </w:r>
      <w:r w:rsidRPr="00974776">
        <w:rPr>
          <w:rFonts w:cstheme="minorHAnsi"/>
          <w:i/>
          <w:iCs/>
        </w:rPr>
        <w:t xml:space="preserve">Climate Change </w:t>
      </w:r>
      <w:r w:rsidR="006F0EC7" w:rsidRPr="00974776">
        <w:rPr>
          <w:rFonts w:cstheme="minorHAnsi"/>
          <w:i/>
          <w:iCs/>
        </w:rPr>
        <w:t>Act</w:t>
      </w:r>
      <w:r w:rsidRPr="00974776">
        <w:rPr>
          <w:rFonts w:cstheme="minorHAnsi"/>
          <w:i/>
          <w:iCs/>
        </w:rPr>
        <w:t xml:space="preserve"> </w:t>
      </w:r>
      <w:r w:rsidR="00AB472F" w:rsidRPr="00974776">
        <w:rPr>
          <w:rFonts w:cstheme="minorHAnsi"/>
          <w:i/>
          <w:iCs/>
        </w:rPr>
        <w:t>2022</w:t>
      </w:r>
      <w:r w:rsidR="00BB3C74" w:rsidRPr="00F81ADB">
        <w:rPr>
          <w:rFonts w:cstheme="minorHAnsi"/>
        </w:rPr>
        <w:t xml:space="preserve"> and Climate Change </w:t>
      </w:r>
      <w:r w:rsidR="00EE6C15" w:rsidRPr="00F81ADB">
        <w:rPr>
          <w:rFonts w:cstheme="minorHAnsi"/>
        </w:rPr>
        <w:t>(Consequential Amendments) Bill 2022</w:t>
      </w:r>
      <w:r w:rsidR="00723239">
        <w:rPr>
          <w:rFonts w:ascii="ZWAdobeF" w:hAnsi="ZWAdobeF" w:cs="ZWAdobeF"/>
          <w:color w:val="auto"/>
          <w:sz w:val="2"/>
          <w:szCs w:val="2"/>
        </w:rPr>
        <w:t>3F</w:t>
      </w:r>
      <w:r w:rsidR="00190E80">
        <w:rPr>
          <w:rFonts w:ascii="ZWAdobeF" w:hAnsi="ZWAdobeF" w:cs="ZWAdobeF"/>
          <w:color w:val="auto"/>
          <w:sz w:val="2"/>
          <w:szCs w:val="2"/>
        </w:rPr>
        <w:t>3F</w:t>
      </w:r>
      <w:r w:rsidR="00E94853">
        <w:rPr>
          <w:rFonts w:ascii="ZWAdobeF" w:hAnsi="ZWAdobeF" w:cs="ZWAdobeF"/>
          <w:color w:val="auto"/>
          <w:sz w:val="2"/>
          <w:szCs w:val="2"/>
        </w:rPr>
        <w:t>3F</w:t>
      </w:r>
      <w:r w:rsidR="00F73A23">
        <w:rPr>
          <w:rFonts w:ascii="ZWAdobeF" w:hAnsi="ZWAdobeF" w:cs="ZWAdobeF"/>
          <w:color w:val="auto"/>
          <w:sz w:val="2"/>
          <w:szCs w:val="2"/>
        </w:rPr>
        <w:t>3F</w:t>
      </w:r>
      <w:r w:rsidR="00626378">
        <w:rPr>
          <w:rFonts w:ascii="ZWAdobeF" w:hAnsi="ZWAdobeF" w:cs="ZWAdobeF"/>
          <w:color w:val="auto"/>
          <w:sz w:val="2"/>
          <w:szCs w:val="2"/>
        </w:rPr>
        <w:t>3F</w:t>
      </w:r>
      <w:r w:rsidR="00413811">
        <w:rPr>
          <w:rFonts w:ascii="ZWAdobeF" w:hAnsi="ZWAdobeF" w:cs="ZWAdobeF"/>
          <w:color w:val="auto"/>
          <w:sz w:val="2"/>
          <w:szCs w:val="2"/>
        </w:rPr>
        <w:t>3F</w:t>
      </w:r>
      <w:r w:rsidR="002C327C">
        <w:rPr>
          <w:rFonts w:ascii="ZWAdobeF" w:hAnsi="ZWAdobeF" w:cs="ZWAdobeF"/>
          <w:color w:val="auto"/>
          <w:sz w:val="2"/>
          <w:szCs w:val="2"/>
        </w:rPr>
        <w:t>3F</w:t>
      </w:r>
      <w:r w:rsidR="00D24A06">
        <w:rPr>
          <w:rFonts w:ascii="ZWAdobeF" w:hAnsi="ZWAdobeF" w:cs="ZWAdobeF"/>
          <w:color w:val="auto"/>
          <w:sz w:val="2"/>
          <w:szCs w:val="2"/>
        </w:rPr>
        <w:t>3F</w:t>
      </w:r>
      <w:r w:rsidR="00272A00" w:rsidRPr="00F81ADB">
        <w:rPr>
          <w:rStyle w:val="FootnoteReference"/>
          <w:rFonts w:cstheme="minorHAnsi"/>
        </w:rPr>
        <w:footnoteReference w:id="5"/>
      </w:r>
      <w:r w:rsidRPr="00F81ADB">
        <w:rPr>
          <w:rFonts w:cstheme="minorHAnsi"/>
        </w:rPr>
        <w:t xml:space="preserve"> ha</w:t>
      </w:r>
      <w:r w:rsidR="005F10D5" w:rsidRPr="00F81ADB">
        <w:rPr>
          <w:rFonts w:cstheme="minorHAnsi"/>
        </w:rPr>
        <w:t>s</w:t>
      </w:r>
      <w:r w:rsidRPr="00F81ADB">
        <w:rPr>
          <w:rFonts w:cstheme="minorHAnsi"/>
        </w:rPr>
        <w:t xml:space="preserve"> legislated emission reduction targets of 43 per cent by 2030 and net zero emissions by 2050.</w:t>
      </w:r>
      <w:r w:rsidR="00B41597" w:rsidRPr="00F81ADB">
        <w:rPr>
          <w:rFonts w:cstheme="minorHAnsi"/>
        </w:rPr>
        <w:t xml:space="preserve"> </w:t>
      </w:r>
      <w:r w:rsidR="003C66B4" w:rsidRPr="00F81ADB">
        <w:rPr>
          <w:rFonts w:cstheme="minorHAnsi"/>
        </w:rPr>
        <w:t>Th</w:t>
      </w:r>
      <w:r w:rsidR="009A7C82" w:rsidRPr="00F81ADB">
        <w:rPr>
          <w:rFonts w:cstheme="minorHAnsi"/>
        </w:rPr>
        <w:t xml:space="preserve">e </w:t>
      </w:r>
      <w:r w:rsidR="00A17ABA" w:rsidRPr="00F81ADB">
        <w:rPr>
          <w:rFonts w:cstheme="minorHAnsi"/>
        </w:rPr>
        <w:t xml:space="preserve">legislation </w:t>
      </w:r>
      <w:r w:rsidR="00B41597" w:rsidRPr="00F81ADB">
        <w:rPr>
          <w:rFonts w:cstheme="minorHAnsi"/>
        </w:rPr>
        <w:t xml:space="preserve">may provide additional regulatory levers and raises questions about whether </w:t>
      </w:r>
      <w:r w:rsidR="00691F7C" w:rsidRPr="00F81ADB">
        <w:rPr>
          <w:rFonts w:cstheme="minorHAnsi"/>
        </w:rPr>
        <w:t xml:space="preserve">the </w:t>
      </w:r>
      <w:r w:rsidR="00425A33" w:rsidRPr="00F81ADB">
        <w:rPr>
          <w:rFonts w:cstheme="minorHAnsi"/>
        </w:rPr>
        <w:t xml:space="preserve">explicit focus on emissions </w:t>
      </w:r>
      <w:r w:rsidR="009E6FE9" w:rsidRPr="00F81ADB">
        <w:rPr>
          <w:rFonts w:cstheme="minorHAnsi"/>
        </w:rPr>
        <w:t xml:space="preserve">and a legislated pathway to net zero </w:t>
      </w:r>
      <w:r w:rsidR="00425A33" w:rsidRPr="00F81ADB">
        <w:rPr>
          <w:rFonts w:cstheme="minorHAnsi"/>
        </w:rPr>
        <w:t xml:space="preserve">also </w:t>
      </w:r>
      <w:r w:rsidR="004853A9" w:rsidRPr="00F81ADB">
        <w:rPr>
          <w:rFonts w:cstheme="minorHAnsi"/>
        </w:rPr>
        <w:t xml:space="preserve">warrants changes in </w:t>
      </w:r>
      <w:r w:rsidR="0082138C" w:rsidRPr="00F81ADB">
        <w:rPr>
          <w:rFonts w:cstheme="minorHAnsi"/>
        </w:rPr>
        <w:t xml:space="preserve">policy approaches. </w:t>
      </w:r>
      <w:r w:rsidR="003B4861" w:rsidRPr="00F81ADB">
        <w:rPr>
          <w:rFonts w:cstheme="minorHAnsi"/>
        </w:rPr>
        <w:t>O</w:t>
      </w:r>
      <w:r w:rsidRPr="00F81ADB">
        <w:rPr>
          <w:rFonts w:cstheme="minorHAnsi"/>
        </w:rPr>
        <w:t>pportunit</w:t>
      </w:r>
      <w:r w:rsidR="003B4861" w:rsidRPr="00F81ADB">
        <w:rPr>
          <w:rFonts w:cstheme="minorHAnsi"/>
        </w:rPr>
        <w:t>ies</w:t>
      </w:r>
      <w:r w:rsidRPr="00F81ADB">
        <w:rPr>
          <w:rFonts w:cstheme="minorHAnsi"/>
        </w:rPr>
        <w:t xml:space="preserve"> for expansion and improvements in </w:t>
      </w:r>
      <w:r w:rsidR="008404DE" w:rsidRPr="00F81ADB">
        <w:rPr>
          <w:rFonts w:cstheme="minorHAnsi"/>
        </w:rPr>
        <w:t xml:space="preserve">disclosure and other regulation </w:t>
      </w:r>
      <w:r w:rsidR="00663C97" w:rsidRPr="00F81ADB">
        <w:rPr>
          <w:rFonts w:cstheme="minorHAnsi"/>
        </w:rPr>
        <w:t xml:space="preserve">should be </w:t>
      </w:r>
      <w:r w:rsidRPr="00F81ADB">
        <w:rPr>
          <w:rFonts w:cstheme="minorHAnsi"/>
        </w:rPr>
        <w:t xml:space="preserve">considered </w:t>
      </w:r>
      <w:r w:rsidR="00663C97" w:rsidRPr="00F81ADB">
        <w:rPr>
          <w:rFonts w:cstheme="minorHAnsi"/>
        </w:rPr>
        <w:t xml:space="preserve">as Australia </w:t>
      </w:r>
      <w:r w:rsidR="003E01F9" w:rsidRPr="00F81ADB">
        <w:rPr>
          <w:rFonts w:cstheme="minorHAnsi"/>
        </w:rPr>
        <w:t>explores</w:t>
      </w:r>
      <w:r w:rsidR="00663C97" w:rsidRPr="00F81ADB">
        <w:rPr>
          <w:rFonts w:cstheme="minorHAnsi"/>
        </w:rPr>
        <w:t xml:space="preserve"> ways to </w:t>
      </w:r>
      <w:r w:rsidRPr="00F81ADB">
        <w:rPr>
          <w:rFonts w:cstheme="minorHAnsi"/>
        </w:rPr>
        <w:t>reduce GHG emissions and mitigate climate change.</w:t>
      </w:r>
    </w:p>
    <w:p w14:paraId="3794D03B" w14:textId="743B6080" w:rsidR="00E02D80" w:rsidRPr="00F81ADB" w:rsidRDefault="005E5CDA" w:rsidP="00214D42">
      <w:pPr>
        <w:pStyle w:val="Heading2"/>
        <w:rPr>
          <w:rFonts w:cstheme="minorHAnsi"/>
        </w:rPr>
      </w:pPr>
      <w:bookmarkStart w:id="29" w:name="_Toc132295378"/>
      <w:bookmarkStart w:id="30" w:name="_Toc132295409"/>
      <w:bookmarkStart w:id="31" w:name="_Toc133844011"/>
      <w:bookmarkStart w:id="32" w:name="_Toc136286356"/>
      <w:bookmarkStart w:id="33" w:name="_Toc154059360"/>
      <w:r w:rsidRPr="00F81ADB">
        <w:rPr>
          <w:rFonts w:cstheme="minorHAnsi"/>
        </w:rPr>
        <w:t xml:space="preserve">Policy approaches to improving building energy and emissions </w:t>
      </w:r>
      <w:proofErr w:type="gramStart"/>
      <w:r w:rsidRPr="00F81ADB">
        <w:rPr>
          <w:rFonts w:cstheme="minorHAnsi"/>
        </w:rPr>
        <w:t>performance</w:t>
      </w:r>
      <w:bookmarkEnd w:id="29"/>
      <w:bookmarkEnd w:id="30"/>
      <w:bookmarkEnd w:id="31"/>
      <w:bookmarkEnd w:id="32"/>
      <w:bookmarkEnd w:id="33"/>
      <w:proofErr w:type="gramEnd"/>
    </w:p>
    <w:p w14:paraId="63052D1D" w14:textId="70272294" w:rsidR="00E02D80" w:rsidRPr="00F81ADB" w:rsidRDefault="00E02D80" w:rsidP="006D5E54">
      <w:pPr>
        <w:pStyle w:val="BodyBullet"/>
        <w:rPr>
          <w:rFonts w:cstheme="minorHAnsi"/>
        </w:rPr>
      </w:pPr>
      <w:r w:rsidRPr="00F81ADB">
        <w:rPr>
          <w:rFonts w:cstheme="minorHAnsi"/>
        </w:rPr>
        <w:t xml:space="preserve">There are </w:t>
      </w:r>
      <w:r w:rsidR="00821112" w:rsidRPr="00F81ADB">
        <w:rPr>
          <w:rFonts w:cstheme="minorHAnsi"/>
        </w:rPr>
        <w:t>several</w:t>
      </w:r>
      <w:r w:rsidRPr="00F81ADB">
        <w:rPr>
          <w:rFonts w:cstheme="minorHAnsi"/>
        </w:rPr>
        <w:t xml:space="preserve"> policy levers</w:t>
      </w:r>
      <w:r w:rsidR="007D345F" w:rsidRPr="00F81ADB">
        <w:rPr>
          <w:rFonts w:cstheme="minorHAnsi"/>
        </w:rPr>
        <w:t xml:space="preserve"> available to </w:t>
      </w:r>
      <w:r w:rsidRPr="00F81ADB">
        <w:rPr>
          <w:rFonts w:cstheme="minorHAnsi"/>
        </w:rPr>
        <w:t>influence</w:t>
      </w:r>
      <w:r w:rsidR="00280D5F" w:rsidRPr="00F81ADB">
        <w:rPr>
          <w:rFonts w:cstheme="minorHAnsi"/>
        </w:rPr>
        <w:t xml:space="preserve"> energy and emissions performance</w:t>
      </w:r>
      <w:r w:rsidR="00BC6807" w:rsidRPr="00F81ADB">
        <w:rPr>
          <w:rFonts w:cstheme="minorHAnsi"/>
        </w:rPr>
        <w:t xml:space="preserve">. Examples include </w:t>
      </w:r>
      <w:r w:rsidR="00F77145" w:rsidRPr="00F81ADB">
        <w:rPr>
          <w:rFonts w:cstheme="minorHAnsi"/>
        </w:rPr>
        <w:t>incentives</w:t>
      </w:r>
      <w:r w:rsidR="003C3DF5" w:rsidRPr="00F81ADB">
        <w:rPr>
          <w:rFonts w:cstheme="minorHAnsi"/>
        </w:rPr>
        <w:t xml:space="preserve"> for owners to purchase more energy efficient equipment and lighting, government procurement</w:t>
      </w:r>
      <w:r w:rsidR="0040775D" w:rsidRPr="00F81ADB">
        <w:rPr>
          <w:rFonts w:cstheme="minorHAnsi"/>
        </w:rPr>
        <w:t xml:space="preserve">, mandatory disclosure of </w:t>
      </w:r>
      <w:r w:rsidR="009D2AA5" w:rsidRPr="00F81ADB">
        <w:rPr>
          <w:rFonts w:cstheme="minorHAnsi"/>
        </w:rPr>
        <w:t xml:space="preserve">energy performance (current </w:t>
      </w:r>
      <w:r w:rsidR="00535B75" w:rsidRPr="00F81ADB">
        <w:rPr>
          <w:rFonts w:cstheme="minorHAnsi"/>
        </w:rPr>
        <w:t>program</w:t>
      </w:r>
      <w:r w:rsidR="009D2AA5" w:rsidRPr="00F81ADB">
        <w:rPr>
          <w:rFonts w:cstheme="minorHAnsi"/>
        </w:rPr>
        <w:t xml:space="preserve">), </w:t>
      </w:r>
      <w:r w:rsidR="00535B75" w:rsidRPr="00F81ADB">
        <w:rPr>
          <w:rFonts w:cstheme="minorHAnsi"/>
        </w:rPr>
        <w:t xml:space="preserve">and </w:t>
      </w:r>
      <w:r w:rsidR="0090025B" w:rsidRPr="00F81ADB">
        <w:rPr>
          <w:rFonts w:cstheme="minorHAnsi"/>
        </w:rPr>
        <w:t>minimum energy performance standards</w:t>
      </w:r>
      <w:r w:rsidR="00000F20" w:rsidRPr="00F81ADB">
        <w:rPr>
          <w:rFonts w:cstheme="minorHAnsi"/>
        </w:rPr>
        <w:t xml:space="preserve"> (for example lighting </w:t>
      </w:r>
      <w:r w:rsidR="00A37982" w:rsidRPr="00F81ADB">
        <w:rPr>
          <w:rFonts w:cstheme="minorHAnsi"/>
        </w:rPr>
        <w:t>efficiency requirements)</w:t>
      </w:r>
      <w:r w:rsidR="005A1DBC" w:rsidRPr="00F81ADB">
        <w:rPr>
          <w:rFonts w:cstheme="minorHAnsi"/>
        </w:rPr>
        <w:t>.</w:t>
      </w:r>
      <w:r w:rsidR="00074CB0" w:rsidRPr="00F81ADB">
        <w:rPr>
          <w:rFonts w:cstheme="minorHAnsi"/>
        </w:rPr>
        <w:t xml:space="preserve"> </w:t>
      </w:r>
      <w:r w:rsidR="005A1DBC" w:rsidRPr="00F81ADB">
        <w:rPr>
          <w:rFonts w:cstheme="minorHAnsi"/>
        </w:rPr>
        <w:t>These can involve different aggregate benefits and costs, and distributional and timing impacts on owners, tenants, other market participants and final consumers. Ideally, policies will promote significant change (reduced energy and emissions) with minimal impact on building owners and/or tenants – and different levers will bring different trade-offs.</w:t>
      </w:r>
      <w:r w:rsidRPr="00F81ADB">
        <w:rPr>
          <w:rFonts w:cstheme="minorHAnsi"/>
        </w:rPr>
        <w:fldChar w:fldCharType="begin" w:fldLock="1"/>
      </w:r>
      <w:r w:rsidRPr="00F81ADB">
        <w:rPr>
          <w:rFonts w:cstheme="minorHAnsi"/>
        </w:rPr>
        <w:instrText xml:space="preserve"> REF _Ref132381466 \h </w:instrText>
      </w:r>
      <w:r w:rsidR="00F01ABB" w:rsidRPr="00F81ADB">
        <w:rPr>
          <w:rFonts w:cstheme="minorHAnsi"/>
        </w:rPr>
        <w:instrText xml:space="preserve"> \* MERGEFORMAT </w:instrText>
      </w:r>
      <w:r w:rsidRPr="00F81ADB">
        <w:rPr>
          <w:rFonts w:cstheme="minorHAnsi"/>
        </w:rPr>
      </w:r>
      <w:r w:rsidR="00000000">
        <w:rPr>
          <w:rFonts w:cstheme="minorHAnsi"/>
        </w:rPr>
        <w:fldChar w:fldCharType="separate"/>
      </w:r>
      <w:r w:rsidRPr="00F81ADB">
        <w:rPr>
          <w:rFonts w:cstheme="minorHAnsi"/>
        </w:rPr>
        <w:fldChar w:fldCharType="end"/>
      </w:r>
      <w:r w:rsidR="00E85053">
        <w:rPr>
          <w:rFonts w:cstheme="minorHAnsi"/>
        </w:rPr>
        <w:t xml:space="preserve"> Tables</w:t>
      </w:r>
      <w:r w:rsidR="003127A2" w:rsidRPr="00F81ADB">
        <w:rPr>
          <w:rFonts w:cstheme="minorHAnsi"/>
        </w:rPr>
        <w:t xml:space="preserve"> in the Appendices provides further detail</w:t>
      </w:r>
      <w:r w:rsidR="006C0A49" w:rsidRPr="00F81ADB">
        <w:rPr>
          <w:rFonts w:cstheme="minorHAnsi"/>
        </w:rPr>
        <w:t xml:space="preserve"> on the policy approaches</w:t>
      </w:r>
      <w:r w:rsidRPr="00F81ADB">
        <w:rPr>
          <w:rFonts w:cstheme="minorHAnsi"/>
        </w:rPr>
        <w:t>.</w:t>
      </w:r>
      <w:r w:rsidR="00382C45" w:rsidRPr="00F81ADB">
        <w:rPr>
          <w:rFonts w:cstheme="minorHAnsi"/>
        </w:rPr>
        <w:t xml:space="preserve"> </w:t>
      </w:r>
    </w:p>
    <w:p w14:paraId="3C481426" w14:textId="6793EFE0" w:rsidR="004E61CB" w:rsidRDefault="004E61CB" w:rsidP="00214D42">
      <w:pPr>
        <w:pStyle w:val="Heading1"/>
      </w:pPr>
      <w:bookmarkStart w:id="34" w:name="_Toc132295356"/>
      <w:bookmarkStart w:id="35" w:name="_Toc132295401"/>
      <w:bookmarkStart w:id="36" w:name="_Toc132451317"/>
      <w:bookmarkStart w:id="37" w:name="_Toc133844012"/>
      <w:bookmarkStart w:id="38" w:name="_Toc136286357"/>
      <w:bookmarkStart w:id="39" w:name="_Toc154059361"/>
      <w:r w:rsidRPr="00D55641">
        <w:rPr>
          <w:rStyle w:val="Heading1Char"/>
        </w:rPr>
        <w:lastRenderedPageBreak/>
        <w:t>Australian</w:t>
      </w:r>
      <w:r w:rsidRPr="004E61CB">
        <w:rPr>
          <w:rStyle w:val="Heading1Char"/>
        </w:rPr>
        <w:t xml:space="preserve"> Policies and Standards</w:t>
      </w:r>
      <w:bookmarkEnd w:id="34"/>
      <w:bookmarkEnd w:id="35"/>
      <w:bookmarkEnd w:id="36"/>
      <w:bookmarkEnd w:id="37"/>
      <w:bookmarkEnd w:id="38"/>
      <w:bookmarkEnd w:id="39"/>
      <w:r w:rsidRPr="004E61CB">
        <w:t xml:space="preserve"> </w:t>
      </w:r>
    </w:p>
    <w:p w14:paraId="13120993" w14:textId="6AAE6E23" w:rsidR="00350C3F" w:rsidRPr="00F81ADB" w:rsidRDefault="00EC035B" w:rsidP="00214D42">
      <w:pPr>
        <w:pStyle w:val="Heading2"/>
        <w:rPr>
          <w:rFonts w:cstheme="minorHAnsi"/>
        </w:rPr>
      </w:pPr>
      <w:bookmarkStart w:id="40" w:name="_Toc132295357"/>
      <w:bookmarkStart w:id="41" w:name="_Toc132295402"/>
      <w:bookmarkStart w:id="42" w:name="_Toc133844013"/>
      <w:bookmarkStart w:id="43" w:name="_Toc136286358"/>
      <w:bookmarkStart w:id="44" w:name="_Toc154059362"/>
      <w:r w:rsidRPr="00F81ADB">
        <w:rPr>
          <w:rFonts w:cstheme="minorHAnsi"/>
        </w:rPr>
        <w:t>E</w:t>
      </w:r>
      <w:r w:rsidR="001409FE" w:rsidRPr="00F81ADB">
        <w:rPr>
          <w:rFonts w:cstheme="minorHAnsi"/>
        </w:rPr>
        <w:t>nergy</w:t>
      </w:r>
      <w:r w:rsidR="006208A0" w:rsidRPr="00F81ADB" w:rsidDel="00EC035B">
        <w:rPr>
          <w:rFonts w:cstheme="minorHAnsi"/>
        </w:rPr>
        <w:t xml:space="preserve"> </w:t>
      </w:r>
      <w:r w:rsidR="004E61CB" w:rsidRPr="00F81ADB">
        <w:rPr>
          <w:rFonts w:cstheme="minorHAnsi"/>
        </w:rPr>
        <w:t xml:space="preserve">performance </w:t>
      </w:r>
      <w:r w:rsidR="004E61CB" w:rsidRPr="00F81ADB" w:rsidDel="003E0841">
        <w:rPr>
          <w:rFonts w:cstheme="minorHAnsi"/>
        </w:rPr>
        <w:t>of</w:t>
      </w:r>
      <w:r w:rsidR="004E61CB" w:rsidRPr="00F81ADB">
        <w:rPr>
          <w:rFonts w:cstheme="minorHAnsi"/>
        </w:rPr>
        <w:t xml:space="preserve"> Australia’s </w:t>
      </w:r>
      <w:r w:rsidR="00461E02" w:rsidRPr="00F81ADB">
        <w:rPr>
          <w:rFonts w:cstheme="minorHAnsi"/>
        </w:rPr>
        <w:t xml:space="preserve">non-residential </w:t>
      </w:r>
      <w:r w:rsidR="004E61CB" w:rsidRPr="00F81ADB">
        <w:rPr>
          <w:rFonts w:cstheme="minorHAnsi"/>
        </w:rPr>
        <w:t>building sto</w:t>
      </w:r>
      <w:r w:rsidR="0027469F" w:rsidRPr="00F81ADB">
        <w:rPr>
          <w:rFonts w:cstheme="minorHAnsi"/>
        </w:rPr>
        <w:t>ck</w:t>
      </w:r>
      <w:r w:rsidR="00723239">
        <w:rPr>
          <w:rFonts w:ascii="ZWAdobeF" w:hAnsi="ZWAdobeF" w:cs="ZWAdobeF"/>
          <w:b w:val="0"/>
          <w:color w:val="auto"/>
          <w:sz w:val="2"/>
          <w:szCs w:val="2"/>
        </w:rPr>
        <w:t>4F</w:t>
      </w:r>
      <w:r w:rsidR="00190E80">
        <w:rPr>
          <w:rFonts w:ascii="ZWAdobeF" w:hAnsi="ZWAdobeF" w:cs="ZWAdobeF"/>
          <w:b w:val="0"/>
          <w:color w:val="auto"/>
          <w:sz w:val="2"/>
          <w:szCs w:val="2"/>
        </w:rPr>
        <w:t>4F</w:t>
      </w:r>
      <w:r w:rsidR="00E94853">
        <w:rPr>
          <w:rFonts w:ascii="ZWAdobeF" w:hAnsi="ZWAdobeF" w:cs="ZWAdobeF"/>
          <w:b w:val="0"/>
          <w:color w:val="auto"/>
          <w:sz w:val="2"/>
          <w:szCs w:val="2"/>
        </w:rPr>
        <w:t>4F</w:t>
      </w:r>
      <w:r w:rsidR="00F73A23">
        <w:rPr>
          <w:rFonts w:ascii="ZWAdobeF" w:hAnsi="ZWAdobeF" w:cs="ZWAdobeF"/>
          <w:b w:val="0"/>
          <w:color w:val="auto"/>
          <w:sz w:val="2"/>
          <w:szCs w:val="2"/>
        </w:rPr>
        <w:t>4F</w:t>
      </w:r>
      <w:bookmarkEnd w:id="40"/>
      <w:bookmarkEnd w:id="41"/>
      <w:bookmarkEnd w:id="42"/>
      <w:bookmarkEnd w:id="43"/>
      <w:r w:rsidR="00626378">
        <w:rPr>
          <w:rFonts w:ascii="ZWAdobeF" w:hAnsi="ZWAdobeF" w:cs="ZWAdobeF"/>
          <w:b w:val="0"/>
          <w:color w:val="auto"/>
          <w:sz w:val="2"/>
          <w:szCs w:val="2"/>
        </w:rPr>
        <w:t>4F</w:t>
      </w:r>
      <w:r w:rsidR="00413811">
        <w:rPr>
          <w:rFonts w:ascii="ZWAdobeF" w:hAnsi="ZWAdobeF" w:cs="ZWAdobeF"/>
          <w:b w:val="0"/>
          <w:color w:val="auto"/>
          <w:sz w:val="2"/>
          <w:szCs w:val="2"/>
        </w:rPr>
        <w:t>4F</w:t>
      </w:r>
      <w:r w:rsidR="002C327C">
        <w:rPr>
          <w:rFonts w:ascii="ZWAdobeF" w:hAnsi="ZWAdobeF" w:cs="ZWAdobeF"/>
          <w:b w:val="0"/>
          <w:color w:val="auto"/>
          <w:sz w:val="2"/>
          <w:szCs w:val="2"/>
        </w:rPr>
        <w:t>4F</w:t>
      </w:r>
      <w:r w:rsidR="00D24A06">
        <w:rPr>
          <w:rFonts w:ascii="ZWAdobeF" w:hAnsi="ZWAdobeF" w:cs="ZWAdobeF"/>
          <w:b w:val="0"/>
          <w:color w:val="auto"/>
          <w:sz w:val="2"/>
          <w:szCs w:val="2"/>
        </w:rPr>
        <w:t>4F</w:t>
      </w:r>
      <w:r w:rsidR="00E3781A" w:rsidRPr="00F81ADB">
        <w:rPr>
          <w:rStyle w:val="FootnoteReference"/>
          <w:rFonts w:cstheme="minorHAnsi"/>
        </w:rPr>
        <w:footnoteReference w:id="6"/>
      </w:r>
      <w:bookmarkEnd w:id="44"/>
    </w:p>
    <w:p w14:paraId="145CF301" w14:textId="40C42F00" w:rsidR="00E70091" w:rsidRPr="00F81ADB" w:rsidRDefault="00D40D90" w:rsidP="009E2EA1">
      <w:pPr>
        <w:pStyle w:val="BodyBullet"/>
        <w:rPr>
          <w:rFonts w:cstheme="minorHAnsi"/>
        </w:rPr>
      </w:pPr>
      <w:r w:rsidRPr="00F81ADB">
        <w:rPr>
          <w:rFonts w:cstheme="minorHAnsi"/>
        </w:rPr>
        <w:t xml:space="preserve">The </w:t>
      </w:r>
      <w:r w:rsidR="007C6B6D" w:rsidRPr="00F81ADB">
        <w:rPr>
          <w:rFonts w:cstheme="minorHAnsi"/>
        </w:rPr>
        <w:t xml:space="preserve">energy </w:t>
      </w:r>
      <w:r w:rsidRPr="00F81ADB">
        <w:rPr>
          <w:rFonts w:cstheme="minorHAnsi"/>
        </w:rPr>
        <w:t>performance of Australia</w:t>
      </w:r>
      <w:r w:rsidR="00DC7CD4" w:rsidRPr="00F81ADB">
        <w:rPr>
          <w:rFonts w:cstheme="minorHAnsi"/>
        </w:rPr>
        <w:t>’</w:t>
      </w:r>
      <w:r w:rsidRPr="00F81ADB">
        <w:rPr>
          <w:rFonts w:cstheme="minorHAnsi"/>
        </w:rPr>
        <w:t xml:space="preserve">s </w:t>
      </w:r>
      <w:r w:rsidR="00E601EC" w:rsidRPr="00F81ADB">
        <w:rPr>
          <w:rFonts w:cstheme="minorHAnsi"/>
        </w:rPr>
        <w:t>non</w:t>
      </w:r>
      <w:r w:rsidR="007C6B6D" w:rsidRPr="00F81ADB">
        <w:rPr>
          <w:rFonts w:cstheme="minorHAnsi"/>
        </w:rPr>
        <w:t xml:space="preserve">-residential </w:t>
      </w:r>
      <w:r w:rsidRPr="00F81ADB">
        <w:rPr>
          <w:rFonts w:cstheme="minorHAnsi"/>
        </w:rPr>
        <w:t xml:space="preserve">building stock varies </w:t>
      </w:r>
      <w:r w:rsidR="00142397" w:rsidRPr="00F81ADB">
        <w:rPr>
          <w:rFonts w:cstheme="minorHAnsi"/>
        </w:rPr>
        <w:t>according to</w:t>
      </w:r>
      <w:r w:rsidRPr="00F81ADB">
        <w:rPr>
          <w:rFonts w:cstheme="minorHAnsi"/>
        </w:rPr>
        <w:t xml:space="preserve"> age, location, and building type</w:t>
      </w:r>
      <w:r w:rsidR="007C6B6D" w:rsidRPr="00F81ADB">
        <w:rPr>
          <w:rFonts w:cstheme="minorHAnsi"/>
        </w:rPr>
        <w:t xml:space="preserve"> </w:t>
      </w:r>
      <w:r w:rsidR="00D266A7" w:rsidRPr="00F81ADB">
        <w:rPr>
          <w:rFonts w:cstheme="minorHAnsi"/>
        </w:rPr>
        <w:t xml:space="preserve">with the </w:t>
      </w:r>
      <w:r w:rsidR="007C6B6D" w:rsidRPr="00F81ADB">
        <w:rPr>
          <w:rFonts w:cstheme="minorHAnsi"/>
        </w:rPr>
        <w:t>energy consumption from electricity and gas</w:t>
      </w:r>
      <w:r w:rsidR="00D266A7" w:rsidRPr="00F81ADB">
        <w:rPr>
          <w:rFonts w:cstheme="minorHAnsi"/>
        </w:rPr>
        <w:t xml:space="preserve"> </w:t>
      </w:r>
      <w:r w:rsidR="005A6B5B" w:rsidRPr="00F81ADB">
        <w:rPr>
          <w:rFonts w:cstheme="minorHAnsi"/>
        </w:rPr>
        <w:t>account</w:t>
      </w:r>
      <w:r w:rsidR="00D266A7" w:rsidRPr="00F81ADB">
        <w:rPr>
          <w:rFonts w:cstheme="minorHAnsi"/>
        </w:rPr>
        <w:t>ing</w:t>
      </w:r>
      <w:r w:rsidR="005A6B5B" w:rsidRPr="00F81ADB">
        <w:rPr>
          <w:rFonts w:cstheme="minorHAnsi"/>
        </w:rPr>
        <w:t xml:space="preserve"> </w:t>
      </w:r>
      <w:r w:rsidR="00CB3277" w:rsidRPr="00F81ADB">
        <w:rPr>
          <w:rFonts w:cstheme="minorHAnsi"/>
        </w:rPr>
        <w:t xml:space="preserve">for </w:t>
      </w:r>
      <w:r w:rsidR="007C6B6D" w:rsidRPr="00F81ADB">
        <w:rPr>
          <w:rFonts w:cstheme="minorHAnsi"/>
        </w:rPr>
        <w:t xml:space="preserve">9.4 per cent of Australia’s total emissions </w:t>
      </w:r>
      <w:r w:rsidR="003573C4" w:rsidRPr="00F81ADB">
        <w:rPr>
          <w:rFonts w:cstheme="minorHAnsi"/>
        </w:rPr>
        <w:t>(</w:t>
      </w:r>
      <w:r w:rsidR="000F5734" w:rsidRPr="00F81ADB">
        <w:rPr>
          <w:rFonts w:cstheme="minorHAnsi"/>
        </w:rPr>
        <w:t>in FY2020</w:t>
      </w:r>
      <w:r w:rsidR="00486D94" w:rsidRPr="00F81ADB">
        <w:rPr>
          <w:rFonts w:cstheme="minorHAnsi"/>
        </w:rPr>
        <w:t>)</w:t>
      </w:r>
      <w:r w:rsidR="00723239">
        <w:rPr>
          <w:rFonts w:ascii="ZWAdobeF" w:hAnsi="ZWAdobeF" w:cs="ZWAdobeF"/>
          <w:color w:val="auto"/>
          <w:sz w:val="2"/>
          <w:szCs w:val="2"/>
        </w:rPr>
        <w:t>5F</w:t>
      </w:r>
      <w:r w:rsidR="00EE36E3">
        <w:rPr>
          <w:rFonts w:ascii="ZWAdobeF" w:hAnsi="ZWAdobeF" w:cs="ZWAdobeF"/>
          <w:color w:val="auto"/>
          <w:sz w:val="2"/>
          <w:szCs w:val="2"/>
        </w:rPr>
        <w:t>5F</w:t>
      </w:r>
      <w:r w:rsidR="00E94853">
        <w:rPr>
          <w:rFonts w:ascii="ZWAdobeF" w:hAnsi="ZWAdobeF" w:cs="ZWAdobeF"/>
          <w:color w:val="auto"/>
          <w:sz w:val="2"/>
          <w:szCs w:val="2"/>
        </w:rPr>
        <w:t>5F</w:t>
      </w:r>
      <w:r w:rsidR="00F73A23">
        <w:rPr>
          <w:rFonts w:ascii="ZWAdobeF" w:hAnsi="ZWAdobeF" w:cs="ZWAdobeF"/>
          <w:color w:val="auto"/>
          <w:sz w:val="2"/>
          <w:szCs w:val="2"/>
        </w:rPr>
        <w:t>5F</w:t>
      </w:r>
      <w:r w:rsidR="00626378">
        <w:rPr>
          <w:rFonts w:ascii="ZWAdobeF" w:hAnsi="ZWAdobeF" w:cs="ZWAdobeF"/>
          <w:color w:val="auto"/>
          <w:sz w:val="2"/>
          <w:szCs w:val="2"/>
        </w:rPr>
        <w:t>5F</w:t>
      </w:r>
      <w:r w:rsidR="00413811">
        <w:rPr>
          <w:rFonts w:ascii="ZWAdobeF" w:hAnsi="ZWAdobeF" w:cs="ZWAdobeF"/>
          <w:color w:val="auto"/>
          <w:sz w:val="2"/>
          <w:szCs w:val="2"/>
        </w:rPr>
        <w:t>5F</w:t>
      </w:r>
      <w:r w:rsidR="002C327C">
        <w:rPr>
          <w:rFonts w:ascii="ZWAdobeF" w:hAnsi="ZWAdobeF" w:cs="ZWAdobeF"/>
          <w:color w:val="auto"/>
          <w:sz w:val="2"/>
          <w:szCs w:val="2"/>
        </w:rPr>
        <w:t>5F</w:t>
      </w:r>
      <w:r w:rsidR="00D24A06">
        <w:rPr>
          <w:rFonts w:ascii="ZWAdobeF" w:hAnsi="ZWAdobeF" w:cs="ZWAdobeF"/>
          <w:color w:val="auto"/>
          <w:sz w:val="2"/>
          <w:szCs w:val="2"/>
        </w:rPr>
        <w:t>5F</w:t>
      </w:r>
      <w:r w:rsidR="00862A45" w:rsidRPr="00F81ADB">
        <w:rPr>
          <w:rStyle w:val="FootnoteReference"/>
          <w:rFonts w:cstheme="minorHAnsi"/>
        </w:rPr>
        <w:footnoteReference w:id="7"/>
      </w:r>
      <w:r w:rsidR="00E70091" w:rsidRPr="00F81ADB">
        <w:rPr>
          <w:rFonts w:cstheme="minorHAnsi"/>
        </w:rPr>
        <w:t>.</w:t>
      </w:r>
    </w:p>
    <w:p w14:paraId="642CD67B" w14:textId="414BD743" w:rsidR="00621ADB" w:rsidRPr="00F81ADB" w:rsidRDefault="006C5E15" w:rsidP="00A123F1">
      <w:pPr>
        <w:pStyle w:val="BodyBullet"/>
        <w:rPr>
          <w:rFonts w:cstheme="minorHAnsi"/>
        </w:rPr>
      </w:pPr>
      <w:r w:rsidRPr="00F81ADB">
        <w:rPr>
          <w:rFonts w:cstheme="minorHAnsi"/>
        </w:rPr>
        <w:t>Improving energy</w:t>
      </w:r>
      <w:r w:rsidR="00514AAD" w:rsidRPr="00F81ADB">
        <w:rPr>
          <w:rFonts w:cstheme="minorHAnsi"/>
        </w:rPr>
        <w:t xml:space="preserve"> </w:t>
      </w:r>
      <w:r w:rsidRPr="00F81ADB">
        <w:rPr>
          <w:rFonts w:cstheme="minorHAnsi"/>
        </w:rPr>
        <w:t xml:space="preserve">efficiency </w:t>
      </w:r>
      <w:r w:rsidR="002827A4" w:rsidRPr="00F81ADB">
        <w:rPr>
          <w:rFonts w:cstheme="minorHAnsi"/>
        </w:rPr>
        <w:t xml:space="preserve">and </w:t>
      </w:r>
      <w:r w:rsidR="00ED47B3" w:rsidRPr="00F81ADB">
        <w:rPr>
          <w:rFonts w:cstheme="minorHAnsi"/>
        </w:rPr>
        <w:t>implementing</w:t>
      </w:r>
      <w:r w:rsidR="002827A4" w:rsidRPr="00F81ADB">
        <w:rPr>
          <w:rFonts w:cstheme="minorHAnsi"/>
        </w:rPr>
        <w:t xml:space="preserve"> new technolog</w:t>
      </w:r>
      <w:r w:rsidR="00494EDD" w:rsidRPr="00F81ADB">
        <w:rPr>
          <w:rFonts w:cstheme="minorHAnsi"/>
        </w:rPr>
        <w:t>ies</w:t>
      </w:r>
      <w:r w:rsidR="002827A4" w:rsidRPr="00F81ADB">
        <w:rPr>
          <w:rFonts w:cstheme="minorHAnsi"/>
        </w:rPr>
        <w:t xml:space="preserve"> </w:t>
      </w:r>
      <w:r w:rsidR="00CE3C8A" w:rsidRPr="00F81ADB">
        <w:rPr>
          <w:rFonts w:cstheme="minorHAnsi"/>
        </w:rPr>
        <w:t xml:space="preserve">in </w:t>
      </w:r>
      <w:r w:rsidR="002827A4" w:rsidRPr="00F81ADB">
        <w:rPr>
          <w:rFonts w:cstheme="minorHAnsi"/>
        </w:rPr>
        <w:t>building</w:t>
      </w:r>
      <w:r w:rsidR="00CE3C8A" w:rsidRPr="00F81ADB">
        <w:rPr>
          <w:rFonts w:cstheme="minorHAnsi"/>
        </w:rPr>
        <w:t>s</w:t>
      </w:r>
      <w:r w:rsidR="002827A4" w:rsidRPr="00F81ADB">
        <w:rPr>
          <w:rFonts w:cstheme="minorHAnsi"/>
        </w:rPr>
        <w:t xml:space="preserve"> </w:t>
      </w:r>
      <w:r w:rsidR="0033544A" w:rsidRPr="00F81ADB">
        <w:rPr>
          <w:rFonts w:cstheme="minorHAnsi"/>
        </w:rPr>
        <w:t xml:space="preserve">has many benefits that will </w:t>
      </w:r>
      <w:r w:rsidR="00343E28" w:rsidRPr="00F81ADB">
        <w:rPr>
          <w:rFonts w:cstheme="minorHAnsi"/>
        </w:rPr>
        <w:t xml:space="preserve">drive buildings towards electrification and </w:t>
      </w:r>
      <w:r w:rsidR="00956873" w:rsidRPr="00F81ADB">
        <w:rPr>
          <w:rFonts w:cstheme="minorHAnsi"/>
        </w:rPr>
        <w:t xml:space="preserve">is an essential step to achieve </w:t>
      </w:r>
      <w:r w:rsidR="0078313C" w:rsidRPr="00F81ADB">
        <w:rPr>
          <w:rFonts w:cstheme="minorHAnsi"/>
        </w:rPr>
        <w:t xml:space="preserve">Net Zero </w:t>
      </w:r>
      <w:r w:rsidR="00956873" w:rsidRPr="00F81ADB">
        <w:rPr>
          <w:rFonts w:cstheme="minorHAnsi"/>
        </w:rPr>
        <w:t>2050</w:t>
      </w:r>
      <w:r w:rsidR="0078313C" w:rsidRPr="00F81ADB">
        <w:rPr>
          <w:rFonts w:cstheme="minorHAnsi"/>
        </w:rPr>
        <w:t xml:space="preserve">. </w:t>
      </w:r>
      <w:r w:rsidR="0067601E" w:rsidRPr="00F81ADB">
        <w:rPr>
          <w:rFonts w:cstheme="minorHAnsi"/>
        </w:rPr>
        <w:t>Energy efficiency results in reduced demand on the electricity network and therefore enhanced energy security and affordability</w:t>
      </w:r>
      <w:r w:rsidR="006368A1" w:rsidRPr="00F81ADB">
        <w:rPr>
          <w:rFonts w:cstheme="minorHAnsi"/>
        </w:rPr>
        <w:t xml:space="preserve"> for the network</w:t>
      </w:r>
      <w:r w:rsidR="0067601E" w:rsidRPr="00F81ADB">
        <w:rPr>
          <w:rFonts w:cstheme="minorHAnsi"/>
        </w:rPr>
        <w:t>, while also benefitting</w:t>
      </w:r>
      <w:r w:rsidR="0099779E" w:rsidRPr="00F81ADB">
        <w:rPr>
          <w:rFonts w:cstheme="minorHAnsi"/>
        </w:rPr>
        <w:t xml:space="preserve"> the facility</w:t>
      </w:r>
      <w:r w:rsidR="0067601E" w:rsidRPr="00F81ADB">
        <w:rPr>
          <w:rFonts w:cstheme="minorHAnsi"/>
        </w:rPr>
        <w:t xml:space="preserve"> behind the meter (</w:t>
      </w:r>
      <w:proofErr w:type="spellStart"/>
      <w:r w:rsidR="0067601E" w:rsidRPr="00F81ADB">
        <w:rPr>
          <w:rFonts w:cstheme="minorHAnsi"/>
          <w:b/>
        </w:rPr>
        <w:t>BTM</w:t>
      </w:r>
      <w:proofErr w:type="spellEnd"/>
      <w:r w:rsidR="0067601E" w:rsidRPr="00F81ADB">
        <w:rPr>
          <w:rFonts w:cstheme="minorHAnsi"/>
        </w:rPr>
        <w:t>)</w:t>
      </w:r>
      <w:r w:rsidR="00A772BC" w:rsidRPr="00F81ADB">
        <w:rPr>
          <w:rFonts w:cstheme="minorHAnsi"/>
        </w:rPr>
        <w:t xml:space="preserve"> </w:t>
      </w:r>
      <w:r w:rsidR="006368A1" w:rsidRPr="00F81ADB">
        <w:rPr>
          <w:rFonts w:cstheme="minorHAnsi"/>
        </w:rPr>
        <w:t xml:space="preserve">with </w:t>
      </w:r>
      <w:r w:rsidR="00476266" w:rsidRPr="00F81ADB">
        <w:rPr>
          <w:rFonts w:cstheme="minorHAnsi"/>
        </w:rPr>
        <w:t>improved occupant comfort and health</w:t>
      </w:r>
      <w:r w:rsidR="006368A1" w:rsidRPr="00F81ADB">
        <w:rPr>
          <w:rFonts w:cstheme="minorHAnsi"/>
        </w:rPr>
        <w:t xml:space="preserve">, reduced site operational expenses </w:t>
      </w:r>
      <w:r w:rsidR="00C10EB0" w:rsidRPr="00F81ADB">
        <w:rPr>
          <w:rFonts w:cstheme="minorHAnsi"/>
        </w:rPr>
        <w:t>and</w:t>
      </w:r>
      <w:r w:rsidR="006368A1" w:rsidRPr="00F81ADB">
        <w:rPr>
          <w:rFonts w:cstheme="minorHAnsi"/>
        </w:rPr>
        <w:t xml:space="preserve"> carbon emissions</w:t>
      </w:r>
      <w:r w:rsidR="00C10EB0" w:rsidRPr="00F81ADB">
        <w:rPr>
          <w:rFonts w:cstheme="minorHAnsi"/>
        </w:rPr>
        <w:t>.</w:t>
      </w:r>
      <w:r w:rsidR="00723239">
        <w:rPr>
          <w:rFonts w:ascii="ZWAdobeF" w:hAnsi="ZWAdobeF" w:cs="ZWAdobeF"/>
          <w:color w:val="auto"/>
          <w:sz w:val="2"/>
          <w:szCs w:val="2"/>
        </w:rPr>
        <w:t>6F</w:t>
      </w:r>
      <w:r w:rsidR="00EE36E3">
        <w:rPr>
          <w:rFonts w:ascii="ZWAdobeF" w:hAnsi="ZWAdobeF" w:cs="ZWAdobeF"/>
          <w:color w:val="auto"/>
          <w:sz w:val="2"/>
          <w:szCs w:val="2"/>
        </w:rPr>
        <w:t>6F</w:t>
      </w:r>
      <w:r w:rsidR="00E94853">
        <w:rPr>
          <w:rFonts w:ascii="ZWAdobeF" w:hAnsi="ZWAdobeF" w:cs="ZWAdobeF"/>
          <w:color w:val="auto"/>
          <w:sz w:val="2"/>
          <w:szCs w:val="2"/>
        </w:rPr>
        <w:t>6F</w:t>
      </w:r>
      <w:r w:rsidR="00F73A23">
        <w:rPr>
          <w:rFonts w:ascii="ZWAdobeF" w:hAnsi="ZWAdobeF" w:cs="ZWAdobeF"/>
          <w:color w:val="auto"/>
          <w:sz w:val="2"/>
          <w:szCs w:val="2"/>
        </w:rPr>
        <w:t>6F</w:t>
      </w:r>
      <w:r w:rsidR="00626378">
        <w:rPr>
          <w:rFonts w:ascii="ZWAdobeF" w:hAnsi="ZWAdobeF" w:cs="ZWAdobeF"/>
          <w:color w:val="auto"/>
          <w:sz w:val="2"/>
          <w:szCs w:val="2"/>
        </w:rPr>
        <w:t>6F</w:t>
      </w:r>
      <w:r w:rsidR="00413811">
        <w:rPr>
          <w:rFonts w:ascii="ZWAdobeF" w:hAnsi="ZWAdobeF" w:cs="ZWAdobeF"/>
          <w:color w:val="auto"/>
          <w:sz w:val="2"/>
          <w:szCs w:val="2"/>
        </w:rPr>
        <w:t>6F</w:t>
      </w:r>
      <w:r w:rsidR="002C327C">
        <w:rPr>
          <w:rFonts w:ascii="ZWAdobeF" w:hAnsi="ZWAdobeF" w:cs="ZWAdobeF"/>
          <w:color w:val="auto"/>
          <w:sz w:val="2"/>
          <w:szCs w:val="2"/>
        </w:rPr>
        <w:t>6F</w:t>
      </w:r>
      <w:r w:rsidR="00D24A06">
        <w:rPr>
          <w:rFonts w:ascii="ZWAdobeF" w:hAnsi="ZWAdobeF" w:cs="ZWAdobeF"/>
          <w:color w:val="auto"/>
          <w:sz w:val="2"/>
          <w:szCs w:val="2"/>
        </w:rPr>
        <w:t>6F</w:t>
      </w:r>
      <w:r w:rsidR="00476266" w:rsidRPr="00F81ADB">
        <w:rPr>
          <w:rStyle w:val="FootnoteReference"/>
          <w:rFonts w:cstheme="minorHAnsi"/>
        </w:rPr>
        <w:footnoteReference w:id="8"/>
      </w:r>
      <w:r w:rsidR="00DF502F" w:rsidRPr="00F81ADB">
        <w:rPr>
          <w:rFonts w:cstheme="minorHAnsi"/>
          <w:color w:val="auto"/>
          <w:sz w:val="2"/>
          <w:szCs w:val="2"/>
        </w:rPr>
        <w:t xml:space="preserve">  </w:t>
      </w:r>
      <w:r w:rsidR="00C10EB0" w:rsidRPr="00F81ADB">
        <w:rPr>
          <w:rFonts w:cstheme="minorHAnsi"/>
          <w:color w:val="auto"/>
          <w:sz w:val="2"/>
          <w:szCs w:val="2"/>
        </w:rPr>
        <w:t xml:space="preserve">  </w:t>
      </w:r>
      <w:r w:rsidR="00ED47B3" w:rsidRPr="00F81ADB">
        <w:rPr>
          <w:rFonts w:cstheme="minorHAnsi"/>
        </w:rPr>
        <w:t>Additionally, by electrifying</w:t>
      </w:r>
      <w:r w:rsidR="00625BBC" w:rsidRPr="00F81ADB">
        <w:rPr>
          <w:rFonts w:cstheme="minorHAnsi"/>
        </w:rPr>
        <w:t xml:space="preserve"> building services such as</w:t>
      </w:r>
      <w:r w:rsidR="00ED47B3" w:rsidRPr="00F81ADB">
        <w:rPr>
          <w:rFonts w:cstheme="minorHAnsi"/>
        </w:rPr>
        <w:t xml:space="preserve"> </w:t>
      </w:r>
      <w:r w:rsidR="00B5590C" w:rsidRPr="00F81ADB">
        <w:rPr>
          <w:rFonts w:cstheme="minorHAnsi"/>
        </w:rPr>
        <w:t xml:space="preserve">space </w:t>
      </w:r>
      <w:r w:rsidR="00ED47B3" w:rsidRPr="00F81ADB">
        <w:rPr>
          <w:rFonts w:cstheme="minorHAnsi"/>
        </w:rPr>
        <w:t xml:space="preserve">heating and domestic hot water </w:t>
      </w:r>
      <w:r w:rsidR="001B52B1" w:rsidRPr="00F81ADB">
        <w:rPr>
          <w:rFonts w:cstheme="minorHAnsi"/>
        </w:rPr>
        <w:t>(</w:t>
      </w:r>
      <w:proofErr w:type="spellStart"/>
      <w:r w:rsidR="001B52B1" w:rsidRPr="00F81ADB">
        <w:rPr>
          <w:rFonts w:cstheme="minorHAnsi"/>
          <w:b/>
        </w:rPr>
        <w:t>DHW</w:t>
      </w:r>
      <w:proofErr w:type="spellEnd"/>
      <w:r w:rsidR="001B52B1" w:rsidRPr="00F81ADB">
        <w:rPr>
          <w:rFonts w:cstheme="minorHAnsi"/>
        </w:rPr>
        <w:t xml:space="preserve">) </w:t>
      </w:r>
      <w:r w:rsidR="000D4545" w:rsidRPr="00F81ADB">
        <w:rPr>
          <w:rFonts w:cstheme="minorHAnsi"/>
        </w:rPr>
        <w:t xml:space="preserve">it </w:t>
      </w:r>
      <w:r w:rsidR="00625BBC" w:rsidRPr="00F81ADB">
        <w:rPr>
          <w:rFonts w:cstheme="minorHAnsi"/>
        </w:rPr>
        <w:t>positions</w:t>
      </w:r>
      <w:r w:rsidR="001B52B1" w:rsidRPr="00F81ADB">
        <w:rPr>
          <w:rFonts w:cstheme="minorHAnsi"/>
        </w:rPr>
        <w:t xml:space="preserve"> the facility </w:t>
      </w:r>
      <w:r w:rsidR="006056B7" w:rsidRPr="00F81ADB">
        <w:rPr>
          <w:rFonts w:cstheme="minorHAnsi"/>
        </w:rPr>
        <w:t xml:space="preserve">to be </w:t>
      </w:r>
      <w:r w:rsidR="00645466" w:rsidRPr="00F81ADB">
        <w:rPr>
          <w:rFonts w:cstheme="minorHAnsi"/>
        </w:rPr>
        <w:t>net zero ready</w:t>
      </w:r>
      <w:r w:rsidR="00ED47B3" w:rsidRPr="00F81ADB">
        <w:rPr>
          <w:rFonts w:cstheme="minorHAnsi"/>
        </w:rPr>
        <w:t xml:space="preserve">. </w:t>
      </w:r>
    </w:p>
    <w:p w14:paraId="591ABE81" w14:textId="2B376418" w:rsidR="009A46C5" w:rsidRPr="00F81ADB" w:rsidRDefault="007051D2" w:rsidP="00E3781A">
      <w:pPr>
        <w:pStyle w:val="BodyBullet"/>
        <w:rPr>
          <w:rFonts w:cstheme="minorHAnsi"/>
        </w:rPr>
      </w:pPr>
      <w:r w:rsidRPr="00F81ADB">
        <w:rPr>
          <w:rFonts w:cstheme="minorHAnsi"/>
        </w:rPr>
        <w:t xml:space="preserve">The Australian </w:t>
      </w:r>
      <w:r w:rsidR="00DC7CD4" w:rsidRPr="00F81ADB">
        <w:rPr>
          <w:rFonts w:cstheme="minorHAnsi"/>
        </w:rPr>
        <w:t>g</w:t>
      </w:r>
      <w:r w:rsidRPr="00F81ADB">
        <w:rPr>
          <w:rFonts w:cstheme="minorHAnsi"/>
        </w:rPr>
        <w:t xml:space="preserve">overnment supports the development of </w:t>
      </w:r>
      <w:r w:rsidR="00B15BA2" w:rsidRPr="00F81ADB">
        <w:rPr>
          <w:rFonts w:cstheme="minorHAnsi"/>
        </w:rPr>
        <w:t xml:space="preserve">legislative Acts, </w:t>
      </w:r>
      <w:r w:rsidRPr="00F81ADB">
        <w:rPr>
          <w:rFonts w:cstheme="minorHAnsi"/>
        </w:rPr>
        <w:t>standards, program</w:t>
      </w:r>
      <w:r w:rsidR="00C4339D" w:rsidRPr="00F81ADB">
        <w:rPr>
          <w:rFonts w:cstheme="minorHAnsi"/>
        </w:rPr>
        <w:t>s</w:t>
      </w:r>
      <w:r w:rsidRPr="00F81ADB">
        <w:rPr>
          <w:rFonts w:cstheme="minorHAnsi"/>
        </w:rPr>
        <w:t>, and other novel approaches to improving energy efficiency in commercial, residential, and government buildings</w:t>
      </w:r>
      <w:r w:rsidR="00B15BA2" w:rsidRPr="00F81ADB">
        <w:rPr>
          <w:rFonts w:cstheme="minorHAnsi"/>
        </w:rPr>
        <w:t xml:space="preserve"> </w:t>
      </w:r>
      <w:r w:rsidR="00E32403" w:rsidRPr="00F81ADB">
        <w:rPr>
          <w:rFonts w:cstheme="minorHAnsi"/>
        </w:rPr>
        <w:t xml:space="preserve">(a full list of </w:t>
      </w:r>
      <w:r w:rsidR="00B85342" w:rsidRPr="00F81ADB">
        <w:rPr>
          <w:rFonts w:cstheme="minorHAnsi"/>
        </w:rPr>
        <w:t>initiatives</w:t>
      </w:r>
      <w:r w:rsidR="00E32403" w:rsidRPr="00F81ADB">
        <w:rPr>
          <w:rFonts w:cstheme="minorHAnsi"/>
        </w:rPr>
        <w:t xml:space="preserve"> are detailed in </w:t>
      </w:r>
      <w:r w:rsidR="00B85342" w:rsidRPr="00F81ADB">
        <w:rPr>
          <w:rFonts w:cstheme="minorHAnsi"/>
        </w:rPr>
        <w:fldChar w:fldCharType="begin" w:fldLock="1"/>
      </w:r>
      <w:r w:rsidR="00B85342" w:rsidRPr="00F81ADB">
        <w:rPr>
          <w:rFonts w:cstheme="minorHAnsi"/>
        </w:rPr>
        <w:instrText xml:space="preserve"> REF _Ref147338146 \h </w:instrText>
      </w:r>
      <w:r w:rsidR="000C274B">
        <w:rPr>
          <w:rFonts w:cstheme="minorHAnsi"/>
        </w:rPr>
        <w:instrText xml:space="preserve"> \* MERGEFORMAT</w:instrText>
      </w:r>
      <w:r w:rsidR="000C274B" w:rsidRPr="000218FB">
        <w:rPr>
          <w:rFonts w:cstheme="minorHAnsi"/>
        </w:rPr>
        <w:instrText xml:space="preserve"> </w:instrText>
      </w:r>
      <w:r w:rsidR="00B85342" w:rsidRPr="00F81ADB">
        <w:rPr>
          <w:rFonts w:cstheme="minorHAnsi"/>
        </w:rPr>
      </w:r>
      <w:r w:rsidR="00B85342" w:rsidRPr="00F81ADB">
        <w:rPr>
          <w:rFonts w:cstheme="minorHAnsi"/>
        </w:rPr>
        <w:fldChar w:fldCharType="separate"/>
      </w:r>
      <w:r w:rsidR="00B85342" w:rsidRPr="00F81ADB">
        <w:rPr>
          <w:rFonts w:cstheme="minorHAnsi"/>
          <w:lang w:val="en-GB"/>
        </w:rPr>
        <w:t>Appendix 8: Australian relevant policies and initiatives</w:t>
      </w:r>
      <w:r w:rsidR="00B85342" w:rsidRPr="00F81ADB">
        <w:rPr>
          <w:rFonts w:cstheme="minorHAnsi"/>
        </w:rPr>
        <w:fldChar w:fldCharType="end"/>
      </w:r>
      <w:r w:rsidR="00B85342" w:rsidRPr="00F81ADB">
        <w:rPr>
          <w:rFonts w:cstheme="minorHAnsi"/>
        </w:rPr>
        <w:t>)</w:t>
      </w:r>
      <w:r w:rsidRPr="00F81ADB">
        <w:rPr>
          <w:rFonts w:cstheme="minorHAnsi"/>
        </w:rPr>
        <w:t>.</w:t>
      </w:r>
      <w:r w:rsidR="004F54D3" w:rsidRPr="00F81ADB">
        <w:rPr>
          <w:rFonts w:cstheme="minorHAnsi"/>
        </w:rPr>
        <w:t xml:space="preserve"> </w:t>
      </w:r>
      <w:r w:rsidR="00833ABD" w:rsidRPr="00F81ADB">
        <w:rPr>
          <w:rFonts w:cstheme="minorHAnsi"/>
        </w:rPr>
        <w:t xml:space="preserve">Establishing a thorough understanding of the existing </w:t>
      </w:r>
      <w:r w:rsidR="009800B1" w:rsidRPr="00F81ADB">
        <w:rPr>
          <w:rFonts w:cstheme="minorHAnsi"/>
        </w:rPr>
        <w:t>non-residential</w:t>
      </w:r>
      <w:r w:rsidR="00833ABD" w:rsidRPr="00F81ADB">
        <w:rPr>
          <w:rFonts w:cstheme="minorHAnsi"/>
        </w:rPr>
        <w:t xml:space="preserve"> building stock and their energy efficiency performance is particularly valuable as it forms the basis to explore the possible improvements that could be made through the introduction of new or expanded policies.</w:t>
      </w:r>
      <w:bookmarkStart w:id="45" w:name="_Toc132295358"/>
    </w:p>
    <w:p w14:paraId="29DE4025" w14:textId="55F75BDC" w:rsidR="0017739D" w:rsidRPr="00354977" w:rsidRDefault="000E621F" w:rsidP="00214D42">
      <w:pPr>
        <w:pStyle w:val="Heading3"/>
        <w:rPr>
          <w:rFonts w:asciiTheme="minorHAnsi" w:hAnsiTheme="minorHAnsi" w:cstheme="minorHAnsi"/>
        </w:rPr>
      </w:pPr>
      <w:bookmarkStart w:id="46" w:name="_Toc132380883"/>
      <w:bookmarkStart w:id="47" w:name="_Toc133844014"/>
      <w:bookmarkStart w:id="48" w:name="_Toc136286359"/>
      <w:r w:rsidRPr="00354977">
        <w:rPr>
          <w:rFonts w:asciiTheme="minorHAnsi" w:hAnsiTheme="minorHAnsi" w:cstheme="minorHAnsi"/>
        </w:rPr>
        <w:t xml:space="preserve">Breakdown of </w:t>
      </w:r>
      <w:bookmarkEnd w:id="45"/>
      <w:r w:rsidR="00C5378C" w:rsidRPr="00354977">
        <w:rPr>
          <w:rFonts w:asciiTheme="minorHAnsi" w:hAnsiTheme="minorHAnsi" w:cstheme="minorHAnsi"/>
        </w:rPr>
        <w:t>B</w:t>
      </w:r>
      <w:r w:rsidRPr="00354977">
        <w:rPr>
          <w:rFonts w:asciiTheme="minorHAnsi" w:hAnsiTheme="minorHAnsi" w:cstheme="minorHAnsi"/>
        </w:rPr>
        <w:t xml:space="preserve">uilding </w:t>
      </w:r>
      <w:r w:rsidR="00C5378C" w:rsidRPr="00354977">
        <w:rPr>
          <w:rFonts w:asciiTheme="minorHAnsi" w:hAnsiTheme="minorHAnsi" w:cstheme="minorHAnsi"/>
        </w:rPr>
        <w:t>T</w:t>
      </w:r>
      <w:r w:rsidRPr="00354977">
        <w:rPr>
          <w:rFonts w:asciiTheme="minorHAnsi" w:hAnsiTheme="minorHAnsi" w:cstheme="minorHAnsi"/>
        </w:rPr>
        <w:t>ypes</w:t>
      </w:r>
      <w:bookmarkEnd w:id="46"/>
      <w:bookmarkEnd w:id="47"/>
      <w:bookmarkEnd w:id="48"/>
    </w:p>
    <w:p w14:paraId="1289FCAC" w14:textId="158DEB07" w:rsidR="00CA5159" w:rsidRPr="00F81ADB" w:rsidRDefault="00D4035C" w:rsidP="00D12E89">
      <w:pPr>
        <w:pStyle w:val="BodyBullet"/>
        <w:rPr>
          <w:rFonts w:cstheme="minorHAnsi"/>
        </w:rPr>
      </w:pPr>
      <w:r w:rsidRPr="00F81ADB">
        <w:rPr>
          <w:rFonts w:cstheme="minorHAnsi"/>
        </w:rPr>
        <w:t xml:space="preserve">In </w:t>
      </w:r>
      <w:r w:rsidR="00AB0E72" w:rsidRPr="00F81ADB">
        <w:rPr>
          <w:rFonts w:cstheme="minorHAnsi"/>
        </w:rPr>
        <w:t>FY</w:t>
      </w:r>
      <w:r w:rsidR="006B47E8" w:rsidRPr="00F81ADB">
        <w:rPr>
          <w:rFonts w:cstheme="minorHAnsi"/>
        </w:rPr>
        <w:t xml:space="preserve"> </w:t>
      </w:r>
      <w:r w:rsidR="004921FD" w:rsidRPr="00F81ADB">
        <w:rPr>
          <w:rFonts w:cstheme="minorHAnsi"/>
        </w:rPr>
        <w:t>202</w:t>
      </w:r>
      <w:r w:rsidR="004E6819" w:rsidRPr="00F81ADB">
        <w:rPr>
          <w:rFonts w:cstheme="minorHAnsi"/>
        </w:rPr>
        <w:t>0</w:t>
      </w:r>
      <w:r w:rsidR="00DA5A34" w:rsidRPr="00F81ADB">
        <w:rPr>
          <w:rFonts w:cstheme="minorHAnsi"/>
        </w:rPr>
        <w:t xml:space="preserve"> there</w:t>
      </w:r>
      <w:r w:rsidR="004921FD" w:rsidRPr="00F81ADB">
        <w:rPr>
          <w:rFonts w:cstheme="minorHAnsi"/>
        </w:rPr>
        <w:t xml:space="preserve"> were</w:t>
      </w:r>
      <w:r w:rsidR="00DA5A34" w:rsidRPr="00F81ADB">
        <w:rPr>
          <w:rFonts w:cstheme="minorHAnsi"/>
        </w:rPr>
        <w:t xml:space="preserve"> </w:t>
      </w:r>
      <w:r w:rsidR="008459FD" w:rsidRPr="00F81ADB">
        <w:rPr>
          <w:rFonts w:cstheme="minorHAnsi"/>
        </w:rPr>
        <w:t xml:space="preserve">approximately </w:t>
      </w:r>
      <w:r w:rsidR="00DA5A34" w:rsidRPr="00F81ADB">
        <w:rPr>
          <w:rFonts w:cstheme="minorHAnsi"/>
        </w:rPr>
        <w:t>1</w:t>
      </w:r>
      <w:r w:rsidR="00CC332B" w:rsidRPr="00F81ADB">
        <w:rPr>
          <w:rFonts w:cstheme="minorHAnsi"/>
        </w:rPr>
        <w:t xml:space="preserve">.04 </w:t>
      </w:r>
      <w:r w:rsidR="004E1971" w:rsidRPr="00F81ADB">
        <w:rPr>
          <w:rFonts w:cstheme="minorHAnsi"/>
        </w:rPr>
        <w:t>million</w:t>
      </w:r>
      <w:r w:rsidR="003B7E2D" w:rsidRPr="00F81ADB">
        <w:rPr>
          <w:rFonts w:cstheme="minorHAnsi"/>
        </w:rPr>
        <w:t xml:space="preserve"> </w:t>
      </w:r>
      <w:r w:rsidR="00F9292F" w:rsidRPr="00F81ADB">
        <w:rPr>
          <w:rFonts w:cstheme="minorHAnsi"/>
        </w:rPr>
        <w:t>non-residential buildings</w:t>
      </w:r>
      <w:r w:rsidR="00E04FC9" w:rsidRPr="00F81ADB">
        <w:rPr>
          <w:rFonts w:cstheme="minorHAnsi"/>
        </w:rPr>
        <w:t xml:space="preserve"> in Austra</w:t>
      </w:r>
      <w:r w:rsidR="00F14E91" w:rsidRPr="00F81ADB">
        <w:rPr>
          <w:rFonts w:cstheme="minorHAnsi"/>
        </w:rPr>
        <w:t>lia</w:t>
      </w:r>
      <w:r w:rsidR="00ED22A7" w:rsidRPr="00F81ADB">
        <w:rPr>
          <w:rFonts w:cstheme="minorHAnsi"/>
        </w:rPr>
        <w:t xml:space="preserve"> </w:t>
      </w:r>
      <w:r w:rsidR="00315435" w:rsidRPr="00F81ADB">
        <w:rPr>
          <w:rFonts w:cstheme="minorHAnsi"/>
        </w:rPr>
        <w:t xml:space="preserve">containing </w:t>
      </w:r>
      <w:r w:rsidR="0055530E" w:rsidRPr="00F81ADB">
        <w:rPr>
          <w:rFonts w:cstheme="minorHAnsi"/>
        </w:rPr>
        <w:t>830 million square metres</w:t>
      </w:r>
      <w:r w:rsidR="00ED22A7" w:rsidRPr="00F81ADB">
        <w:rPr>
          <w:rFonts w:cstheme="minorHAnsi"/>
        </w:rPr>
        <w:t xml:space="preserve"> </w:t>
      </w:r>
      <w:r w:rsidR="00F07FA9" w:rsidRPr="00F81ADB">
        <w:rPr>
          <w:rFonts w:cstheme="minorHAnsi"/>
        </w:rPr>
        <w:t>of</w:t>
      </w:r>
      <w:r w:rsidR="004D3571" w:rsidRPr="00F81ADB">
        <w:rPr>
          <w:rFonts w:cstheme="minorHAnsi"/>
        </w:rPr>
        <w:t xml:space="preserve"> gross floor area</w:t>
      </w:r>
      <w:r w:rsidR="00CA5159" w:rsidRPr="00F81ADB">
        <w:rPr>
          <w:rFonts w:cstheme="minorHAnsi"/>
        </w:rPr>
        <w:t xml:space="preserve"> (</w:t>
      </w:r>
      <w:proofErr w:type="spellStart"/>
      <w:r w:rsidR="00CA5159" w:rsidRPr="00F81ADB">
        <w:rPr>
          <w:rFonts w:cstheme="minorHAnsi"/>
          <w:b/>
        </w:rPr>
        <w:t>GFA</w:t>
      </w:r>
      <w:proofErr w:type="spellEnd"/>
      <w:r w:rsidR="00CA5159" w:rsidRPr="00F81ADB">
        <w:rPr>
          <w:rFonts w:cstheme="minorHAnsi"/>
        </w:rPr>
        <w:t>)</w:t>
      </w:r>
      <w:r w:rsidR="00A9127D" w:rsidRPr="00F81ADB">
        <w:rPr>
          <w:rFonts w:cstheme="minorHAnsi"/>
        </w:rPr>
        <w:t xml:space="preserve"> an</w:t>
      </w:r>
      <w:r w:rsidR="00620B8E" w:rsidRPr="00F81ADB">
        <w:rPr>
          <w:rFonts w:cstheme="minorHAnsi"/>
        </w:rPr>
        <w:t xml:space="preserve">d growing at a rate of </w:t>
      </w:r>
      <w:r w:rsidR="00A9127D" w:rsidRPr="00F81ADB">
        <w:rPr>
          <w:rFonts w:cstheme="minorHAnsi"/>
        </w:rPr>
        <w:t>2 per cent growth per annum</w:t>
      </w:r>
      <w:r w:rsidR="00723239">
        <w:rPr>
          <w:rFonts w:ascii="ZWAdobeF" w:hAnsi="ZWAdobeF" w:cs="ZWAdobeF"/>
          <w:color w:val="auto"/>
          <w:sz w:val="2"/>
          <w:szCs w:val="2"/>
        </w:rPr>
        <w:t>7F</w:t>
      </w:r>
      <w:r w:rsidR="00EE36E3">
        <w:rPr>
          <w:rFonts w:ascii="ZWAdobeF" w:hAnsi="ZWAdobeF" w:cs="ZWAdobeF"/>
          <w:color w:val="auto"/>
          <w:sz w:val="2"/>
          <w:szCs w:val="2"/>
        </w:rPr>
        <w:t>7F</w:t>
      </w:r>
      <w:r w:rsidR="00E94853">
        <w:rPr>
          <w:rFonts w:ascii="ZWAdobeF" w:hAnsi="ZWAdobeF" w:cs="ZWAdobeF"/>
          <w:color w:val="auto"/>
          <w:sz w:val="2"/>
          <w:szCs w:val="2"/>
        </w:rPr>
        <w:t>7F</w:t>
      </w:r>
      <w:r w:rsidR="00F73A23">
        <w:rPr>
          <w:rFonts w:ascii="ZWAdobeF" w:hAnsi="ZWAdobeF" w:cs="ZWAdobeF"/>
          <w:color w:val="auto"/>
          <w:sz w:val="2"/>
          <w:szCs w:val="2"/>
        </w:rPr>
        <w:t>7F</w:t>
      </w:r>
      <w:r w:rsidR="00626378">
        <w:rPr>
          <w:rFonts w:ascii="ZWAdobeF" w:hAnsi="ZWAdobeF" w:cs="ZWAdobeF"/>
          <w:color w:val="auto"/>
          <w:sz w:val="2"/>
          <w:szCs w:val="2"/>
        </w:rPr>
        <w:t>7F</w:t>
      </w:r>
      <w:r w:rsidR="00413811">
        <w:rPr>
          <w:rFonts w:ascii="ZWAdobeF" w:hAnsi="ZWAdobeF" w:cs="ZWAdobeF"/>
          <w:color w:val="auto"/>
          <w:sz w:val="2"/>
          <w:szCs w:val="2"/>
        </w:rPr>
        <w:t>7F</w:t>
      </w:r>
      <w:r w:rsidR="002C327C">
        <w:rPr>
          <w:rFonts w:ascii="ZWAdobeF" w:hAnsi="ZWAdobeF" w:cs="ZWAdobeF"/>
          <w:color w:val="auto"/>
          <w:sz w:val="2"/>
          <w:szCs w:val="2"/>
        </w:rPr>
        <w:t>7F</w:t>
      </w:r>
      <w:r w:rsidR="00D24A06">
        <w:rPr>
          <w:rFonts w:ascii="ZWAdobeF" w:hAnsi="ZWAdobeF" w:cs="ZWAdobeF"/>
          <w:color w:val="auto"/>
          <w:sz w:val="2"/>
          <w:szCs w:val="2"/>
        </w:rPr>
        <w:t>7F</w:t>
      </w:r>
      <w:r w:rsidR="00A9127D" w:rsidRPr="00F81ADB">
        <w:rPr>
          <w:rStyle w:val="FootnoteReference"/>
          <w:rFonts w:cstheme="minorHAnsi"/>
        </w:rPr>
        <w:footnoteReference w:id="9"/>
      </w:r>
      <w:r w:rsidR="00A9127D" w:rsidRPr="00F81ADB">
        <w:rPr>
          <w:rFonts w:cstheme="minorHAnsi"/>
        </w:rPr>
        <w:t xml:space="preserve"> </w:t>
      </w:r>
      <w:r w:rsidR="00D272F2" w:rsidRPr="00F81ADB">
        <w:rPr>
          <w:rFonts w:cstheme="minorHAnsi"/>
        </w:rPr>
        <w:t xml:space="preserve">Data from the </w:t>
      </w:r>
      <w:r w:rsidR="00F34CB3" w:rsidRPr="00F81ADB">
        <w:rPr>
          <w:rFonts w:cstheme="minorHAnsi"/>
        </w:rPr>
        <w:t>Commercial Buildings Baseline Study (</w:t>
      </w:r>
      <w:proofErr w:type="spellStart"/>
      <w:r w:rsidR="00F34CB3" w:rsidRPr="00F81ADB">
        <w:rPr>
          <w:rFonts w:cstheme="minorHAnsi"/>
          <w:b/>
        </w:rPr>
        <w:t>CBBS</w:t>
      </w:r>
      <w:proofErr w:type="spellEnd"/>
      <w:r w:rsidR="00F34CB3" w:rsidRPr="00F81ADB">
        <w:rPr>
          <w:rFonts w:cstheme="minorHAnsi"/>
        </w:rPr>
        <w:t xml:space="preserve">) </w:t>
      </w:r>
      <w:r w:rsidR="00D272F2" w:rsidRPr="00F81ADB">
        <w:rPr>
          <w:rFonts w:cstheme="minorHAnsi"/>
        </w:rPr>
        <w:t>shows that in 2020 the</w:t>
      </w:r>
      <w:r w:rsidR="00AA2B24" w:rsidRPr="00F81ADB">
        <w:rPr>
          <w:rFonts w:cstheme="minorHAnsi"/>
        </w:rPr>
        <w:t xml:space="preserve"> </w:t>
      </w:r>
      <w:r w:rsidR="000C4851" w:rsidRPr="00F81ADB">
        <w:rPr>
          <w:rFonts w:cstheme="minorHAnsi"/>
        </w:rPr>
        <w:t>most common</w:t>
      </w:r>
      <w:r w:rsidR="00402C0F" w:rsidRPr="00F81ADB">
        <w:rPr>
          <w:rFonts w:cstheme="minorHAnsi"/>
        </w:rPr>
        <w:t xml:space="preserve"> purposes </w:t>
      </w:r>
      <w:r w:rsidR="00F55677" w:rsidRPr="00F81ADB">
        <w:rPr>
          <w:rFonts w:cstheme="minorHAnsi"/>
        </w:rPr>
        <w:t>for the</w:t>
      </w:r>
      <w:r w:rsidR="00402C0F" w:rsidRPr="00F81ADB">
        <w:rPr>
          <w:rFonts w:cstheme="minorHAnsi"/>
        </w:rPr>
        <w:t xml:space="preserve"> non-residential building</w:t>
      </w:r>
      <w:r w:rsidR="00B95BE3" w:rsidRPr="00F81ADB">
        <w:rPr>
          <w:rFonts w:cstheme="minorHAnsi"/>
        </w:rPr>
        <w:t xml:space="preserve"> </w:t>
      </w:r>
      <w:r w:rsidR="00620B8E" w:rsidRPr="00F81ADB">
        <w:rPr>
          <w:rFonts w:cstheme="minorHAnsi"/>
        </w:rPr>
        <w:t>stock</w:t>
      </w:r>
      <w:r w:rsidR="000C4851" w:rsidRPr="00F81ADB">
        <w:rPr>
          <w:rFonts w:cstheme="minorHAnsi"/>
        </w:rPr>
        <w:t xml:space="preserve"> </w:t>
      </w:r>
      <w:r w:rsidR="00F55677" w:rsidRPr="00F81ADB">
        <w:rPr>
          <w:rFonts w:cstheme="minorHAnsi"/>
        </w:rPr>
        <w:t>were</w:t>
      </w:r>
      <w:r w:rsidR="00402C0F" w:rsidRPr="00F81ADB">
        <w:rPr>
          <w:rFonts w:cstheme="minorHAnsi"/>
        </w:rPr>
        <w:t xml:space="preserve"> </w:t>
      </w:r>
      <w:r w:rsidR="00862C8A" w:rsidRPr="00F81ADB">
        <w:rPr>
          <w:rFonts w:cstheme="minorHAnsi"/>
        </w:rPr>
        <w:t>c</w:t>
      </w:r>
      <w:r w:rsidR="006F08CC" w:rsidRPr="00F81ADB">
        <w:rPr>
          <w:rFonts w:cstheme="minorHAnsi"/>
        </w:rPr>
        <w:t xml:space="preserve">ommercial offices </w:t>
      </w:r>
      <w:r w:rsidR="00CA5159" w:rsidRPr="00F81ADB">
        <w:rPr>
          <w:rFonts w:cstheme="minorHAnsi"/>
        </w:rPr>
        <w:t>(16</w:t>
      </w:r>
      <w:r w:rsidR="008924DD" w:rsidRPr="00F81ADB">
        <w:rPr>
          <w:rFonts w:cstheme="minorHAnsi"/>
        </w:rPr>
        <w:t xml:space="preserve"> per cent</w:t>
      </w:r>
      <w:r w:rsidR="00CA5159" w:rsidRPr="00F81ADB">
        <w:rPr>
          <w:rFonts w:cstheme="minorHAnsi"/>
        </w:rPr>
        <w:t>) and warehouses (16</w:t>
      </w:r>
      <w:r w:rsidR="008924DD" w:rsidRPr="00F81ADB">
        <w:rPr>
          <w:rFonts w:cstheme="minorHAnsi"/>
        </w:rPr>
        <w:t xml:space="preserve"> per cent</w:t>
      </w:r>
      <w:r w:rsidR="00CA5159" w:rsidRPr="00F81ADB">
        <w:rPr>
          <w:rFonts w:cstheme="minorHAnsi"/>
        </w:rPr>
        <w:t>)</w:t>
      </w:r>
      <w:r w:rsidR="00F55677" w:rsidRPr="00F81ADB">
        <w:rPr>
          <w:rFonts w:cstheme="minorHAnsi"/>
        </w:rPr>
        <w:t>,</w:t>
      </w:r>
      <w:r w:rsidR="00CA5159" w:rsidRPr="00F81ADB">
        <w:rPr>
          <w:rFonts w:cstheme="minorHAnsi"/>
        </w:rPr>
        <w:t xml:space="preserve"> </w:t>
      </w:r>
      <w:r w:rsidR="0048423F" w:rsidRPr="00F81ADB">
        <w:rPr>
          <w:rFonts w:cstheme="minorHAnsi"/>
        </w:rPr>
        <w:t xml:space="preserve">each having a </w:t>
      </w:r>
      <w:proofErr w:type="spellStart"/>
      <w:r w:rsidR="0048423F" w:rsidRPr="00F81ADB">
        <w:rPr>
          <w:rFonts w:cstheme="minorHAnsi"/>
        </w:rPr>
        <w:t>GFA</w:t>
      </w:r>
      <w:proofErr w:type="spellEnd"/>
      <w:r w:rsidR="0048423F" w:rsidRPr="00F81ADB">
        <w:rPr>
          <w:rFonts w:cstheme="minorHAnsi"/>
        </w:rPr>
        <w:t xml:space="preserve"> of 19</w:t>
      </w:r>
      <w:r w:rsidR="008924DD" w:rsidRPr="00F81ADB">
        <w:rPr>
          <w:rFonts w:cstheme="minorHAnsi"/>
        </w:rPr>
        <w:t xml:space="preserve"> per cent</w:t>
      </w:r>
      <w:r w:rsidR="0048423F" w:rsidRPr="00F81ADB">
        <w:rPr>
          <w:rFonts w:cstheme="minorHAnsi"/>
        </w:rPr>
        <w:t xml:space="preserve"> and 17</w:t>
      </w:r>
      <w:r w:rsidR="008924DD" w:rsidRPr="00F81ADB">
        <w:rPr>
          <w:rFonts w:cstheme="minorHAnsi"/>
        </w:rPr>
        <w:t xml:space="preserve"> per cent</w:t>
      </w:r>
      <w:r w:rsidR="00BA63A3" w:rsidRPr="00F81ADB">
        <w:rPr>
          <w:rFonts w:cstheme="minorHAnsi"/>
        </w:rPr>
        <w:t>,</w:t>
      </w:r>
      <w:r w:rsidR="0048423F" w:rsidRPr="00F81ADB">
        <w:rPr>
          <w:rFonts w:cstheme="minorHAnsi"/>
        </w:rPr>
        <w:t xml:space="preserve"> respectively</w:t>
      </w:r>
      <w:r w:rsidR="0030276F" w:rsidRPr="00F81ADB">
        <w:rPr>
          <w:rFonts w:cstheme="minorHAnsi"/>
        </w:rPr>
        <w:t>, with hotels</w:t>
      </w:r>
      <w:r w:rsidR="00047523" w:rsidRPr="00F81ADB">
        <w:rPr>
          <w:rFonts w:cstheme="minorHAnsi"/>
        </w:rPr>
        <w:t xml:space="preserve">, </w:t>
      </w:r>
      <w:r w:rsidR="0022072A" w:rsidRPr="00F81ADB">
        <w:rPr>
          <w:rFonts w:cstheme="minorHAnsi"/>
        </w:rPr>
        <w:t xml:space="preserve">transport, </w:t>
      </w:r>
      <w:r w:rsidR="00047523" w:rsidRPr="00F81ADB">
        <w:rPr>
          <w:rFonts w:cstheme="minorHAnsi"/>
        </w:rPr>
        <w:t>retail</w:t>
      </w:r>
      <w:r w:rsidR="00C13704" w:rsidRPr="00F81ADB">
        <w:rPr>
          <w:rFonts w:cstheme="minorHAnsi"/>
        </w:rPr>
        <w:t xml:space="preserve"> and factories </w:t>
      </w:r>
      <w:r w:rsidR="009C62E5" w:rsidRPr="00F81ADB">
        <w:rPr>
          <w:rFonts w:cstheme="minorHAnsi"/>
        </w:rPr>
        <w:t>also being major</w:t>
      </w:r>
      <w:r w:rsidR="002010D8" w:rsidRPr="00F81ADB">
        <w:rPr>
          <w:rFonts w:cstheme="minorHAnsi"/>
        </w:rPr>
        <w:t xml:space="preserve"> categories</w:t>
      </w:r>
      <w:r w:rsidR="00702C08" w:rsidRPr="00F81ADB">
        <w:rPr>
          <w:rFonts w:cstheme="minorHAnsi"/>
        </w:rPr>
        <w:t>.</w:t>
      </w:r>
      <w:r w:rsidR="00AA2DF5">
        <w:rPr>
          <w:rFonts w:cstheme="minorHAnsi"/>
        </w:rPr>
        <w:t xml:space="preserve"> </w:t>
      </w:r>
      <w:r w:rsidR="005916CB">
        <w:rPr>
          <w:rFonts w:cstheme="minorHAnsi"/>
        </w:rPr>
        <w:fldChar w:fldCharType="begin" w:fldLock="1"/>
      </w:r>
      <w:r w:rsidR="005916CB">
        <w:rPr>
          <w:rFonts w:cstheme="minorHAnsi"/>
        </w:rPr>
        <w:instrText xml:space="preserve"> REF _Ref136423104 \h </w:instrText>
      </w:r>
      <w:r w:rsidR="005916CB">
        <w:rPr>
          <w:rFonts w:cstheme="minorHAnsi"/>
        </w:rPr>
      </w:r>
      <w:r w:rsidR="005916CB">
        <w:rPr>
          <w:rFonts w:cstheme="minorHAnsi"/>
        </w:rPr>
        <w:fldChar w:fldCharType="separate"/>
      </w:r>
      <w:r w:rsidR="005916CB" w:rsidRPr="00354977">
        <w:rPr>
          <w:rFonts w:cstheme="minorHAnsi"/>
        </w:rPr>
        <w:t xml:space="preserve">Figure </w:t>
      </w:r>
      <w:r w:rsidR="005916CB">
        <w:rPr>
          <w:rFonts w:cstheme="minorHAnsi"/>
          <w:noProof/>
        </w:rPr>
        <w:t>5</w:t>
      </w:r>
      <w:r w:rsidR="005916CB">
        <w:rPr>
          <w:rFonts w:cstheme="minorHAnsi"/>
        </w:rPr>
        <w:fldChar w:fldCharType="end"/>
      </w:r>
      <w:r w:rsidR="005916CB">
        <w:rPr>
          <w:rFonts w:cstheme="minorHAnsi"/>
        </w:rPr>
        <w:t xml:space="preserve"> </w:t>
      </w:r>
      <w:r w:rsidR="00FF2EBD" w:rsidRPr="00F81ADB">
        <w:rPr>
          <w:rFonts w:cstheme="minorHAnsi"/>
        </w:rPr>
        <w:t xml:space="preserve">overleaf </w:t>
      </w:r>
      <w:r w:rsidR="00702C08" w:rsidRPr="00F81ADB">
        <w:rPr>
          <w:rFonts w:cstheme="minorHAnsi"/>
        </w:rPr>
        <w:t xml:space="preserve">provides a breakdown of </w:t>
      </w:r>
      <w:r w:rsidR="00F42808" w:rsidRPr="00F81ADB">
        <w:rPr>
          <w:rFonts w:cstheme="minorHAnsi"/>
        </w:rPr>
        <w:t xml:space="preserve">building types by count and </w:t>
      </w:r>
      <w:proofErr w:type="spellStart"/>
      <w:r w:rsidR="00F42808" w:rsidRPr="00F81ADB">
        <w:rPr>
          <w:rFonts w:cstheme="minorHAnsi"/>
        </w:rPr>
        <w:t>GFA</w:t>
      </w:r>
      <w:proofErr w:type="spellEnd"/>
      <w:r w:rsidR="00F55677" w:rsidRPr="00F81ADB">
        <w:rPr>
          <w:rFonts w:cstheme="minorHAnsi"/>
        </w:rPr>
        <w:t xml:space="preserve"> in 2020</w:t>
      </w:r>
      <w:r w:rsidR="00F42808" w:rsidRPr="00F81ADB">
        <w:rPr>
          <w:rFonts w:cstheme="minorHAnsi"/>
        </w:rPr>
        <w:t>.</w:t>
      </w:r>
      <w:r w:rsidR="005A4987" w:rsidRPr="00F81ADB">
        <w:rPr>
          <w:rFonts w:cstheme="minorHAnsi"/>
        </w:rPr>
        <w:t xml:space="preserve"> </w:t>
      </w:r>
    </w:p>
    <w:p w14:paraId="44050922" w14:textId="77777777" w:rsidR="00FF2EBD" w:rsidRPr="00354977" w:rsidRDefault="00FF2EBD" w:rsidP="00214D42">
      <w:pPr>
        <w:pStyle w:val="Heading3"/>
        <w:rPr>
          <w:rFonts w:asciiTheme="minorHAnsi" w:hAnsiTheme="minorHAnsi" w:cstheme="minorHAnsi"/>
        </w:rPr>
      </w:pPr>
      <w:bookmarkStart w:id="49" w:name="_Toc132380884"/>
      <w:bookmarkStart w:id="50" w:name="_Toc133844015"/>
      <w:bookmarkStart w:id="51" w:name="_Toc136286360"/>
      <w:r w:rsidRPr="00354977">
        <w:rPr>
          <w:rFonts w:asciiTheme="minorHAnsi" w:hAnsiTheme="minorHAnsi" w:cstheme="minorHAnsi"/>
        </w:rPr>
        <w:t>Operational Energy Consumption</w:t>
      </w:r>
      <w:bookmarkEnd w:id="49"/>
      <w:bookmarkEnd w:id="50"/>
      <w:bookmarkEnd w:id="51"/>
      <w:r w:rsidRPr="00354977">
        <w:rPr>
          <w:rFonts w:asciiTheme="minorHAnsi" w:hAnsiTheme="minorHAnsi" w:cstheme="minorHAnsi"/>
        </w:rPr>
        <w:tab/>
      </w:r>
    </w:p>
    <w:p w14:paraId="73C1A614" w14:textId="007E1C2D" w:rsidR="00FF2EBD" w:rsidRPr="00F81ADB" w:rsidRDefault="00FF2EBD" w:rsidP="00FF2EBD">
      <w:pPr>
        <w:pStyle w:val="BodyBullet"/>
        <w:rPr>
          <w:rFonts w:cstheme="minorHAnsi"/>
        </w:rPr>
      </w:pPr>
      <w:r w:rsidRPr="00F81ADB">
        <w:rPr>
          <w:rFonts w:cstheme="minorHAnsi"/>
        </w:rPr>
        <w:t>In FY</w:t>
      </w:r>
      <w:r w:rsidR="00DC7CD4" w:rsidRPr="00F81ADB">
        <w:rPr>
          <w:rFonts w:cstheme="minorHAnsi"/>
        </w:rPr>
        <w:t xml:space="preserve"> </w:t>
      </w:r>
      <w:r w:rsidRPr="00F81ADB">
        <w:rPr>
          <w:rFonts w:cstheme="minorHAnsi"/>
        </w:rPr>
        <w:t>2020 the total non-residential building energy use was 267 petajoules (</w:t>
      </w:r>
      <w:r w:rsidRPr="00F81ADB">
        <w:rPr>
          <w:rFonts w:cstheme="minorHAnsi"/>
          <w:b/>
        </w:rPr>
        <w:t>PJ</w:t>
      </w:r>
      <w:r w:rsidRPr="00F81ADB">
        <w:rPr>
          <w:rFonts w:cstheme="minorHAnsi"/>
        </w:rPr>
        <w:t>), including 227 PJ of electricity (85 per cent) and 40 PJ of gas (15 per cent).</w:t>
      </w:r>
      <w:r w:rsidR="00723239">
        <w:rPr>
          <w:rFonts w:ascii="ZWAdobeF" w:hAnsi="ZWAdobeF" w:cs="ZWAdobeF"/>
          <w:color w:val="auto"/>
          <w:sz w:val="2"/>
          <w:szCs w:val="2"/>
        </w:rPr>
        <w:t>8F</w:t>
      </w:r>
      <w:r w:rsidR="00EE36E3">
        <w:rPr>
          <w:rFonts w:ascii="ZWAdobeF" w:hAnsi="ZWAdobeF" w:cs="ZWAdobeF"/>
          <w:color w:val="auto"/>
          <w:sz w:val="2"/>
          <w:szCs w:val="2"/>
        </w:rPr>
        <w:t>8F</w:t>
      </w:r>
      <w:r w:rsidR="00E94853">
        <w:rPr>
          <w:rFonts w:ascii="ZWAdobeF" w:hAnsi="ZWAdobeF" w:cs="ZWAdobeF"/>
          <w:color w:val="auto"/>
          <w:sz w:val="2"/>
          <w:szCs w:val="2"/>
        </w:rPr>
        <w:t>8F</w:t>
      </w:r>
      <w:r w:rsidR="00F73A23">
        <w:rPr>
          <w:rFonts w:ascii="ZWAdobeF" w:hAnsi="ZWAdobeF" w:cs="ZWAdobeF"/>
          <w:color w:val="auto"/>
          <w:sz w:val="2"/>
          <w:szCs w:val="2"/>
        </w:rPr>
        <w:t>8F</w:t>
      </w:r>
      <w:r w:rsidR="00626378">
        <w:rPr>
          <w:rFonts w:ascii="ZWAdobeF" w:hAnsi="ZWAdobeF" w:cs="ZWAdobeF"/>
          <w:color w:val="auto"/>
          <w:sz w:val="2"/>
          <w:szCs w:val="2"/>
        </w:rPr>
        <w:t>8F</w:t>
      </w:r>
      <w:r w:rsidR="00413811">
        <w:rPr>
          <w:rFonts w:ascii="ZWAdobeF" w:hAnsi="ZWAdobeF" w:cs="ZWAdobeF"/>
          <w:color w:val="auto"/>
          <w:sz w:val="2"/>
          <w:szCs w:val="2"/>
        </w:rPr>
        <w:t>8F</w:t>
      </w:r>
      <w:r w:rsidR="002C327C">
        <w:rPr>
          <w:rFonts w:ascii="ZWAdobeF" w:hAnsi="ZWAdobeF" w:cs="ZWAdobeF"/>
          <w:color w:val="auto"/>
          <w:sz w:val="2"/>
          <w:szCs w:val="2"/>
        </w:rPr>
        <w:t>8F</w:t>
      </w:r>
      <w:r w:rsidR="00D24A06">
        <w:rPr>
          <w:rFonts w:ascii="ZWAdobeF" w:hAnsi="ZWAdobeF" w:cs="ZWAdobeF"/>
          <w:color w:val="auto"/>
          <w:sz w:val="2"/>
          <w:szCs w:val="2"/>
        </w:rPr>
        <w:t>8F</w:t>
      </w:r>
      <w:r w:rsidRPr="00F81ADB">
        <w:rPr>
          <w:rStyle w:val="FootnoteReference"/>
          <w:rFonts w:cstheme="minorHAnsi"/>
        </w:rPr>
        <w:footnoteReference w:id="10"/>
      </w:r>
      <w:r w:rsidRPr="00F81ADB">
        <w:rPr>
          <w:rFonts w:cstheme="minorHAnsi"/>
        </w:rPr>
        <w:t xml:space="preserve"> Data from the </w:t>
      </w:r>
      <w:proofErr w:type="spellStart"/>
      <w:r w:rsidRPr="00F81ADB">
        <w:rPr>
          <w:rFonts w:cstheme="minorHAnsi"/>
        </w:rPr>
        <w:t>CBBS</w:t>
      </w:r>
      <w:proofErr w:type="spellEnd"/>
      <w:r w:rsidRPr="00F81ADB">
        <w:rPr>
          <w:rFonts w:cstheme="minorHAnsi"/>
        </w:rPr>
        <w:t xml:space="preserve"> shows that in 2020 Australia’s non-residential building stock accounted for 23.8 per cent of Australia’s total electricity consumption. Key findings show that within commercial buildings, electricity accounts for 85 per cent of total energy end-use consumption, the majority of which is attributed to HVAC (60 per cent) and lighting (10 per cent). Gas consumption is responsible for 15 per cent of total energy end-use consumption and is primarily used for space heating (12 per cent) and domestic hot water (3 per cent).</w:t>
      </w:r>
      <w:r w:rsidR="00A51CB1" w:rsidRPr="00F81ADB">
        <w:rPr>
          <w:rFonts w:cstheme="minorHAnsi"/>
        </w:rPr>
        <w:t xml:space="preserve"> </w:t>
      </w:r>
      <w:r w:rsidR="0045199A">
        <w:rPr>
          <w:rFonts w:cstheme="minorHAnsi"/>
        </w:rPr>
        <w:fldChar w:fldCharType="begin" w:fldLock="1"/>
      </w:r>
      <w:r w:rsidR="0045199A">
        <w:rPr>
          <w:rFonts w:cstheme="minorHAnsi"/>
        </w:rPr>
        <w:instrText xml:space="preserve"> REF _Ref148522520 \h </w:instrText>
      </w:r>
      <w:r w:rsidR="0045199A">
        <w:rPr>
          <w:rFonts w:cstheme="minorHAnsi"/>
        </w:rPr>
      </w:r>
      <w:r w:rsidR="0045199A">
        <w:rPr>
          <w:rFonts w:cstheme="minorHAnsi"/>
        </w:rPr>
        <w:fldChar w:fldCharType="separate"/>
      </w:r>
      <w:r w:rsidR="0045199A" w:rsidRPr="00354977">
        <w:rPr>
          <w:rFonts w:cstheme="minorHAnsi"/>
        </w:rPr>
        <w:t xml:space="preserve">Figure </w:t>
      </w:r>
      <w:r w:rsidR="0045199A">
        <w:rPr>
          <w:rFonts w:cstheme="minorHAnsi"/>
          <w:noProof/>
        </w:rPr>
        <w:t>6</w:t>
      </w:r>
      <w:r w:rsidR="0045199A">
        <w:rPr>
          <w:rFonts w:cstheme="minorHAnsi"/>
        </w:rPr>
        <w:fldChar w:fldCharType="end"/>
      </w:r>
      <w:r w:rsidR="0045199A">
        <w:rPr>
          <w:rFonts w:cstheme="minorHAnsi"/>
        </w:rPr>
        <w:t xml:space="preserve"> </w:t>
      </w:r>
      <w:r w:rsidR="007F0886">
        <w:rPr>
          <w:rFonts w:cstheme="minorHAnsi"/>
        </w:rPr>
        <w:t>o</w:t>
      </w:r>
      <w:r w:rsidRPr="00F81ADB">
        <w:rPr>
          <w:rFonts w:cstheme="minorHAnsi"/>
        </w:rPr>
        <w:t xml:space="preserve">verleaf displays the comparison between electricity consumption and gas consumption across non-residential building stock by </w:t>
      </w:r>
      <w:proofErr w:type="spellStart"/>
      <w:r w:rsidRPr="00F81ADB">
        <w:rPr>
          <w:rFonts w:cstheme="minorHAnsi"/>
        </w:rPr>
        <w:t>GFA</w:t>
      </w:r>
      <w:proofErr w:type="spellEnd"/>
      <w:r w:rsidRPr="00F81ADB">
        <w:rPr>
          <w:rFonts w:cstheme="minorHAnsi"/>
        </w:rPr>
        <w:t xml:space="preserve"> in 2020. The distribution of electricity and gas consumption was typically the same for each space use type, with offices consuming the most energy (26 to 27 per cent), followed by retail (17 per cent), short term accommodation (15 per cent) and entertainment (9 per cent) buildings. </w:t>
      </w:r>
    </w:p>
    <w:p w14:paraId="58370B92" w14:textId="7D8815D6" w:rsidR="00EE7C1B" w:rsidRPr="00354977" w:rsidRDefault="00EE7C1B" w:rsidP="00214D42">
      <w:pPr>
        <w:pStyle w:val="Heading3"/>
        <w:rPr>
          <w:rFonts w:asciiTheme="minorHAnsi" w:hAnsiTheme="minorHAnsi" w:cstheme="minorHAnsi"/>
        </w:rPr>
      </w:pPr>
      <w:r w:rsidRPr="00354977">
        <w:rPr>
          <w:rFonts w:asciiTheme="minorHAnsi" w:hAnsiTheme="minorHAnsi" w:cstheme="minorHAnsi"/>
        </w:rPr>
        <w:t>Emissions</w:t>
      </w:r>
    </w:p>
    <w:p w14:paraId="52C3BDC6" w14:textId="010B9968" w:rsidR="00EE7C1B" w:rsidRPr="00F81ADB" w:rsidRDefault="00EE7C1B" w:rsidP="00EE7C1B">
      <w:pPr>
        <w:pStyle w:val="BodyBullet"/>
        <w:rPr>
          <w:rFonts w:cstheme="minorHAnsi"/>
        </w:rPr>
      </w:pPr>
      <w:r w:rsidRPr="00F81ADB">
        <w:rPr>
          <w:rFonts w:cstheme="minorHAnsi"/>
        </w:rPr>
        <w:t>By applying the national scope 2 emissions factor for electricity and the national scope 1 emissions factor for gas</w:t>
      </w:r>
      <w:r w:rsidRPr="00F81ADB">
        <w:rPr>
          <w:rFonts w:cstheme="minorHAnsi"/>
          <w:color w:val="auto"/>
          <w:sz w:val="2"/>
          <w:szCs w:val="2"/>
        </w:rPr>
        <w:t>1</w:t>
      </w:r>
      <w:r w:rsidR="00723239">
        <w:rPr>
          <w:rFonts w:ascii="ZWAdobeF" w:hAnsi="ZWAdobeF" w:cs="ZWAdobeF"/>
          <w:color w:val="auto"/>
          <w:sz w:val="2"/>
          <w:szCs w:val="2"/>
        </w:rPr>
        <w:t>9F</w:t>
      </w:r>
      <w:r w:rsidR="00EE36E3">
        <w:rPr>
          <w:rFonts w:ascii="ZWAdobeF" w:hAnsi="ZWAdobeF" w:cs="ZWAdobeF"/>
          <w:color w:val="auto"/>
          <w:sz w:val="2"/>
          <w:szCs w:val="2"/>
        </w:rPr>
        <w:t>9F</w:t>
      </w:r>
      <w:r w:rsidR="00E94853">
        <w:rPr>
          <w:rFonts w:ascii="ZWAdobeF" w:hAnsi="ZWAdobeF" w:cs="ZWAdobeF"/>
          <w:color w:val="auto"/>
          <w:sz w:val="2"/>
          <w:szCs w:val="2"/>
        </w:rPr>
        <w:t>9F</w:t>
      </w:r>
      <w:r w:rsidR="00F73A23">
        <w:rPr>
          <w:rFonts w:ascii="ZWAdobeF" w:hAnsi="ZWAdobeF" w:cs="ZWAdobeF"/>
          <w:color w:val="auto"/>
          <w:sz w:val="2"/>
          <w:szCs w:val="2"/>
        </w:rPr>
        <w:t>9F</w:t>
      </w:r>
      <w:r w:rsidR="00626378">
        <w:rPr>
          <w:rFonts w:ascii="ZWAdobeF" w:hAnsi="ZWAdobeF" w:cs="ZWAdobeF"/>
          <w:color w:val="auto"/>
          <w:sz w:val="2"/>
          <w:szCs w:val="2"/>
        </w:rPr>
        <w:t>9F</w:t>
      </w:r>
      <w:r w:rsidR="00413811">
        <w:rPr>
          <w:rFonts w:ascii="ZWAdobeF" w:hAnsi="ZWAdobeF" w:cs="ZWAdobeF"/>
          <w:color w:val="auto"/>
          <w:sz w:val="2"/>
          <w:szCs w:val="2"/>
        </w:rPr>
        <w:t>9F</w:t>
      </w:r>
      <w:r w:rsidR="002C327C">
        <w:rPr>
          <w:rFonts w:ascii="ZWAdobeF" w:hAnsi="ZWAdobeF" w:cs="ZWAdobeF"/>
          <w:color w:val="auto"/>
          <w:sz w:val="2"/>
          <w:szCs w:val="2"/>
        </w:rPr>
        <w:t>9F</w:t>
      </w:r>
      <w:r w:rsidR="00D24A06">
        <w:rPr>
          <w:rFonts w:ascii="ZWAdobeF" w:hAnsi="ZWAdobeF" w:cs="ZWAdobeF"/>
          <w:color w:val="auto"/>
          <w:sz w:val="2"/>
          <w:szCs w:val="2"/>
        </w:rPr>
        <w:t>9F</w:t>
      </w:r>
      <w:r w:rsidRPr="00F81ADB">
        <w:rPr>
          <w:rStyle w:val="FootnoteReference"/>
          <w:rFonts w:cstheme="minorHAnsi"/>
        </w:rPr>
        <w:footnoteReference w:id="11"/>
      </w:r>
      <w:r w:rsidRPr="00F81ADB">
        <w:rPr>
          <w:rFonts w:cstheme="minorHAnsi"/>
        </w:rPr>
        <w:t xml:space="preserve"> against the 2020 non-residential building energy consumption data </w:t>
      </w:r>
      <w:r w:rsidR="00C06E38" w:rsidRPr="00F81ADB">
        <w:rPr>
          <w:rFonts w:cstheme="minorHAnsi"/>
        </w:rPr>
        <w:t>(</w:t>
      </w:r>
      <w:r w:rsidRPr="00F81ADB">
        <w:rPr>
          <w:rFonts w:cstheme="minorHAnsi"/>
        </w:rPr>
        <w:t xml:space="preserve">summarised in </w:t>
      </w:r>
      <w:r w:rsidR="00C06E38" w:rsidRPr="00F81ADB">
        <w:rPr>
          <w:rFonts w:cstheme="minorHAnsi"/>
        </w:rPr>
        <w:t>Appendices)</w:t>
      </w:r>
      <w:r w:rsidRPr="00F81ADB">
        <w:rPr>
          <w:rFonts w:cstheme="minorHAnsi"/>
        </w:rPr>
        <w:t xml:space="preserve">, it is calculated that building end-uses of energy are responsible for </w:t>
      </w:r>
      <w:r w:rsidR="00EA4AC4" w:rsidRPr="00F81ADB">
        <w:rPr>
          <w:rFonts w:cstheme="minorHAnsi"/>
        </w:rPr>
        <w:t>45</w:t>
      </w:r>
      <w:r w:rsidRPr="00F81ADB">
        <w:rPr>
          <w:rFonts w:cstheme="minorHAnsi"/>
        </w:rPr>
        <w:t xml:space="preserve"> Mt CO</w:t>
      </w:r>
      <w:r w:rsidRPr="00F81ADB">
        <w:rPr>
          <w:rFonts w:cstheme="minorHAnsi"/>
          <w:vertAlign w:val="subscript"/>
        </w:rPr>
        <w:t>2</w:t>
      </w:r>
      <w:r w:rsidRPr="00F81ADB">
        <w:rPr>
          <w:rFonts w:cstheme="minorHAnsi"/>
        </w:rPr>
        <w:t xml:space="preserve">-e. </w:t>
      </w:r>
    </w:p>
    <w:p w14:paraId="189FC2E8" w14:textId="77777777" w:rsidR="00FF2EBD" w:rsidRDefault="00FF2EBD" w:rsidP="00D12E89">
      <w:pPr>
        <w:pStyle w:val="BodyBullet"/>
        <w:rPr>
          <w:rFonts w:cstheme="minorHAnsi"/>
        </w:rPr>
      </w:pPr>
    </w:p>
    <w:p w14:paraId="5F9B7BD3" w14:textId="382FA4BA" w:rsidR="00E806CC" w:rsidRPr="008400E1" w:rsidRDefault="00E806CC" w:rsidP="00E806CC">
      <w:pPr>
        <w:pStyle w:val="Caption"/>
        <w:jc w:val="center"/>
        <w:rPr>
          <w:rFonts w:ascii="Calibri" w:eastAsia="Times New Roman" w:hAnsi="Calibri" w:cs="Times New Roman"/>
          <w:b/>
          <w:bCs/>
          <w:i w:val="0"/>
          <w:iCs w:val="0"/>
          <w:color w:val="auto"/>
          <w:sz w:val="24"/>
        </w:rPr>
      </w:pPr>
      <w:bookmarkStart w:id="52" w:name="_Ref132619855"/>
      <w:bookmarkStart w:id="53" w:name="_Ref136423104"/>
      <w:bookmarkStart w:id="54" w:name="_Toc157687010"/>
      <w:r w:rsidRPr="008400E1">
        <w:rPr>
          <w:rFonts w:ascii="Calibri" w:eastAsia="Times New Roman" w:hAnsi="Calibri" w:cs="Times New Roman"/>
          <w:b/>
          <w:bCs/>
          <w:i w:val="0"/>
          <w:iCs w:val="0"/>
          <w:color w:val="auto"/>
          <w:sz w:val="24"/>
        </w:rPr>
        <w:lastRenderedPageBreak/>
        <w:t xml:space="preserve">Figure </w:t>
      </w:r>
      <w:bookmarkEnd w:id="52"/>
      <w:r w:rsidRPr="008400E1">
        <w:rPr>
          <w:rFonts w:ascii="Calibri" w:eastAsia="Times New Roman" w:hAnsi="Calibri" w:cs="Times New Roman"/>
          <w:b/>
          <w:bCs/>
          <w:i w:val="0"/>
          <w:iCs w:val="0"/>
          <w:color w:val="auto"/>
          <w:sz w:val="24"/>
        </w:rPr>
        <w:fldChar w:fldCharType="begin"/>
      </w:r>
      <w:r w:rsidRPr="008400E1">
        <w:rPr>
          <w:rFonts w:ascii="Calibri" w:eastAsia="Times New Roman" w:hAnsi="Calibri" w:cs="Times New Roman"/>
          <w:b/>
          <w:bCs/>
          <w:i w:val="0"/>
          <w:iCs w:val="0"/>
          <w:color w:val="auto"/>
          <w:sz w:val="24"/>
        </w:rPr>
        <w:instrText xml:space="preserve"> SEQ Figure \* ARABIC </w:instrText>
      </w:r>
      <w:r w:rsidRPr="008400E1">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5</w:t>
      </w:r>
      <w:r w:rsidRPr="008400E1">
        <w:rPr>
          <w:rFonts w:ascii="Calibri" w:eastAsia="Times New Roman" w:hAnsi="Calibri" w:cs="Times New Roman"/>
          <w:b/>
          <w:bCs/>
          <w:i w:val="0"/>
          <w:iCs w:val="0"/>
          <w:color w:val="auto"/>
          <w:sz w:val="24"/>
        </w:rPr>
        <w:fldChar w:fldCharType="end"/>
      </w:r>
      <w:bookmarkEnd w:id="53"/>
      <w:r w:rsidRPr="008400E1">
        <w:rPr>
          <w:rFonts w:ascii="Calibri" w:eastAsia="Times New Roman" w:hAnsi="Calibri" w:cs="Times New Roman"/>
          <w:b/>
          <w:bCs/>
          <w:i w:val="0"/>
          <w:iCs w:val="0"/>
          <w:color w:val="auto"/>
          <w:sz w:val="24"/>
        </w:rPr>
        <w:t xml:space="preserve">: 2020 Non-residential Building </w:t>
      </w:r>
      <w:proofErr w:type="spellStart"/>
      <w:r w:rsidRPr="008400E1">
        <w:rPr>
          <w:rFonts w:ascii="Calibri" w:eastAsia="Times New Roman" w:hAnsi="Calibri" w:cs="Times New Roman"/>
          <w:b/>
          <w:bCs/>
          <w:i w:val="0"/>
          <w:iCs w:val="0"/>
          <w:color w:val="auto"/>
          <w:sz w:val="24"/>
        </w:rPr>
        <w:t>GFA</w:t>
      </w:r>
      <w:proofErr w:type="spellEnd"/>
      <w:r w:rsidRPr="008400E1">
        <w:rPr>
          <w:rFonts w:ascii="Calibri" w:eastAsia="Times New Roman" w:hAnsi="Calibri" w:cs="Times New Roman"/>
          <w:b/>
          <w:bCs/>
          <w:i w:val="0"/>
          <w:iCs w:val="0"/>
          <w:color w:val="auto"/>
          <w:sz w:val="24"/>
        </w:rPr>
        <w:t xml:space="preserve"> by Space Use Type</w:t>
      </w:r>
      <w:bookmarkEnd w:id="54"/>
    </w:p>
    <w:p w14:paraId="382CD713" w14:textId="29FA35BD" w:rsidR="000F04BD" w:rsidRDefault="00DA7890" w:rsidP="000F04BD">
      <w:pPr>
        <w:pStyle w:val="BodyText"/>
        <w:keepNext/>
        <w:jc w:val="center"/>
        <w:rPr>
          <w:rFonts w:asciiTheme="minorHAnsi" w:hAnsiTheme="minorHAnsi" w:cstheme="minorHAnsi"/>
        </w:rPr>
      </w:pPr>
      <w:r>
        <w:rPr>
          <w:rFonts w:asciiTheme="minorHAnsi" w:hAnsiTheme="minorHAnsi" w:cstheme="minorHAnsi"/>
          <w:noProof/>
        </w:rPr>
        <w:drawing>
          <wp:inline distT="0" distB="0" distL="0" distR="0" wp14:anchorId="2461CB93" wp14:editId="68725978">
            <wp:extent cx="4172621" cy="3985404"/>
            <wp:effectExtent l="0" t="0" r="0" b="0"/>
            <wp:docPr id="1837010248" name="Picture 1837010248" descr="Pie chart depicting the percentage of GFA used by each space use type. Full data for graph is presented in Appendix 11, table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10248" name="Picture 1837010248" descr="Pie chart depicting the percentage of GFA used by each space use type. Full data for graph is presented in Appendix 11, table 35. "/>
                    <pic:cNvPicPr>
                      <a:picLocks noChangeAspect="1" noChangeArrowheads="1"/>
                    </pic:cNvPicPr>
                  </pic:nvPicPr>
                  <pic:blipFill rotWithShape="1">
                    <a:blip r:embed="rId24">
                      <a:extLst>
                        <a:ext uri="{28A0092B-C50C-407E-A947-70E740481C1C}">
                          <a14:useLocalDpi xmlns:a14="http://schemas.microsoft.com/office/drawing/2010/main" val="0"/>
                        </a:ext>
                      </a:extLst>
                    </a:blip>
                    <a:srcRect l="6604" r="43369" b="9114"/>
                    <a:stretch/>
                  </pic:blipFill>
                  <pic:spPr bwMode="auto">
                    <a:xfrm>
                      <a:off x="0" y="0"/>
                      <a:ext cx="4186655" cy="3998808"/>
                    </a:xfrm>
                    <a:prstGeom prst="rect">
                      <a:avLst/>
                    </a:prstGeom>
                    <a:noFill/>
                    <a:ln>
                      <a:noFill/>
                    </a:ln>
                    <a:extLst>
                      <a:ext uri="{53640926-AAD7-44D8-BBD7-CCE9431645EC}">
                        <a14:shadowObscured xmlns:a14="http://schemas.microsoft.com/office/drawing/2010/main"/>
                      </a:ext>
                    </a:extLst>
                  </pic:spPr>
                </pic:pic>
              </a:graphicData>
            </a:graphic>
          </wp:inline>
        </w:drawing>
      </w:r>
    </w:p>
    <w:bookmarkStart w:id="55" w:name="_Ref157675667"/>
    <w:bookmarkStart w:id="56" w:name="_Toc157687011"/>
    <w:p w14:paraId="327D4836" w14:textId="3E0CB33D" w:rsidR="00A24C9B" w:rsidRDefault="00A24C9B" w:rsidP="00E806CC">
      <w:pPr>
        <w:pStyle w:val="Caption"/>
        <w:jc w:val="center"/>
        <w:rPr>
          <w:rFonts w:ascii="Calibri" w:eastAsia="Times New Roman" w:hAnsi="Calibri" w:cs="Times New Roman"/>
          <w:b/>
          <w:bCs/>
          <w:i w:val="0"/>
          <w:iCs w:val="0"/>
          <w:color w:val="auto"/>
          <w:sz w:val="24"/>
        </w:rPr>
      </w:pPr>
      <w:r>
        <w:rPr>
          <w:rFonts w:asciiTheme="minorHAnsi" w:hAnsiTheme="minorHAnsi" w:cstheme="minorHAnsi"/>
        </w:rPr>
        <w:fldChar w:fldCharType="begin"/>
      </w:r>
      <w:r w:rsidR="0065049A">
        <w:rPr>
          <w:rFonts w:asciiTheme="minorHAnsi" w:hAnsiTheme="minorHAnsi" w:cstheme="minorHAnsi"/>
        </w:rPr>
        <w:instrText>HYPERLINK  \l "_Table_35:_Data"</w:instrText>
      </w:r>
      <w:r w:rsidR="0065049A">
        <w:rPr>
          <w:rFonts w:asciiTheme="minorHAnsi" w:hAnsiTheme="minorHAnsi" w:cstheme="minorHAnsi"/>
        </w:rPr>
      </w:r>
      <w:r>
        <w:rPr>
          <w:rFonts w:asciiTheme="minorHAnsi" w:hAnsiTheme="minorHAnsi" w:cstheme="minorHAnsi"/>
        </w:rPr>
        <w:fldChar w:fldCharType="separate"/>
      </w:r>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sidR="00507CDC">
        <w:rPr>
          <w:rStyle w:val="Hyperlink"/>
          <w:rFonts w:asciiTheme="minorHAnsi" w:hAnsiTheme="minorHAnsi" w:cstheme="minorHAnsi"/>
        </w:rPr>
        <w:t>5</w:t>
      </w:r>
      <w:r>
        <w:rPr>
          <w:rStyle w:val="Hyperlink"/>
          <w:rFonts w:asciiTheme="minorHAnsi" w:hAnsiTheme="minorHAnsi" w:cstheme="minorHAnsi"/>
        </w:rPr>
        <w:t xml:space="preserve"> [Appendix 11 Table 3</w:t>
      </w:r>
      <w:r>
        <w:rPr>
          <w:rStyle w:val="Hyperlink"/>
          <w:rFonts w:asciiTheme="minorHAnsi" w:hAnsiTheme="minorHAnsi" w:cstheme="minorHAnsi"/>
        </w:rPr>
        <w:t>5</w:t>
      </w:r>
      <w:r>
        <w:rPr>
          <w:rStyle w:val="Hyperlink"/>
          <w:rFonts w:asciiTheme="minorHAnsi" w:hAnsiTheme="minorHAnsi" w:cstheme="minorHAnsi"/>
        </w:rPr>
        <w:t>]</w:t>
      </w:r>
      <w:r w:rsidRPr="00171C8F">
        <w:rPr>
          <w:rStyle w:val="Hyperlink"/>
          <w:rFonts w:asciiTheme="minorHAnsi" w:hAnsiTheme="minorHAnsi" w:cstheme="minorHAnsi"/>
        </w:rPr>
        <w:t xml:space="preserve">. </w:t>
      </w:r>
      <w:r>
        <w:rPr>
          <w:rFonts w:asciiTheme="minorHAnsi" w:hAnsiTheme="minorHAnsi" w:cstheme="minorHAnsi"/>
        </w:rPr>
        <w:fldChar w:fldCharType="end"/>
      </w:r>
    </w:p>
    <w:p w14:paraId="64E09363" w14:textId="0E8A7882" w:rsidR="0065049A" w:rsidRDefault="0065049A">
      <w:pPr>
        <w:spacing w:before="0" w:after="160" w:line="259" w:lineRule="auto"/>
        <w:rPr>
          <w:rFonts w:ascii="Calibri" w:eastAsia="Times New Roman" w:hAnsi="Calibri" w:cs="Times New Roman"/>
          <w:b/>
          <w:bCs/>
          <w:color w:val="auto"/>
          <w:sz w:val="24"/>
          <w:szCs w:val="18"/>
        </w:rPr>
      </w:pPr>
      <w:r>
        <w:rPr>
          <w:rFonts w:ascii="Calibri" w:eastAsia="Times New Roman" w:hAnsi="Calibri" w:cs="Times New Roman"/>
          <w:b/>
          <w:bCs/>
          <w:i/>
          <w:iCs/>
          <w:color w:val="auto"/>
          <w:sz w:val="24"/>
        </w:rPr>
        <w:br w:type="page"/>
      </w:r>
    </w:p>
    <w:p w14:paraId="30D276B2" w14:textId="0B48047B" w:rsidR="00E806CC" w:rsidRPr="008400E1" w:rsidRDefault="00E806CC" w:rsidP="00E806CC">
      <w:pPr>
        <w:pStyle w:val="Caption"/>
        <w:jc w:val="center"/>
        <w:rPr>
          <w:rFonts w:ascii="Calibri" w:eastAsia="Times New Roman" w:hAnsi="Calibri" w:cs="Times New Roman"/>
          <w:b/>
          <w:bCs/>
          <w:i w:val="0"/>
          <w:iCs w:val="0"/>
          <w:color w:val="auto"/>
          <w:sz w:val="24"/>
        </w:rPr>
      </w:pPr>
      <w:r w:rsidRPr="008400E1">
        <w:rPr>
          <w:rFonts w:ascii="Calibri" w:eastAsia="Times New Roman" w:hAnsi="Calibri" w:cs="Times New Roman"/>
          <w:b/>
          <w:bCs/>
          <w:i w:val="0"/>
          <w:iCs w:val="0"/>
          <w:color w:val="auto"/>
          <w:sz w:val="24"/>
        </w:rPr>
        <w:lastRenderedPageBreak/>
        <w:t xml:space="preserve">Figure </w:t>
      </w:r>
      <w:r w:rsidRPr="008400E1">
        <w:rPr>
          <w:rFonts w:ascii="Calibri" w:eastAsia="Times New Roman" w:hAnsi="Calibri" w:cs="Times New Roman"/>
          <w:b/>
          <w:bCs/>
          <w:i w:val="0"/>
          <w:iCs w:val="0"/>
          <w:color w:val="auto"/>
          <w:sz w:val="24"/>
        </w:rPr>
        <w:fldChar w:fldCharType="begin"/>
      </w:r>
      <w:r w:rsidRPr="008400E1">
        <w:rPr>
          <w:rFonts w:ascii="Calibri" w:eastAsia="Times New Roman" w:hAnsi="Calibri" w:cs="Times New Roman"/>
          <w:b/>
          <w:bCs/>
          <w:i w:val="0"/>
          <w:iCs w:val="0"/>
          <w:color w:val="auto"/>
          <w:sz w:val="24"/>
        </w:rPr>
        <w:instrText xml:space="preserve"> SEQ Figure \* ARABIC </w:instrText>
      </w:r>
      <w:r w:rsidRPr="008400E1">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6</w:t>
      </w:r>
      <w:r w:rsidRPr="008400E1">
        <w:rPr>
          <w:rFonts w:ascii="Calibri" w:eastAsia="Times New Roman" w:hAnsi="Calibri" w:cs="Times New Roman"/>
          <w:b/>
          <w:bCs/>
          <w:i w:val="0"/>
          <w:iCs w:val="0"/>
          <w:color w:val="auto"/>
          <w:sz w:val="24"/>
        </w:rPr>
        <w:fldChar w:fldCharType="end"/>
      </w:r>
      <w:bookmarkEnd w:id="55"/>
      <w:r w:rsidRPr="008400E1">
        <w:rPr>
          <w:rFonts w:ascii="Calibri" w:eastAsia="Times New Roman" w:hAnsi="Calibri" w:cs="Times New Roman"/>
          <w:b/>
          <w:bCs/>
          <w:i w:val="0"/>
          <w:iCs w:val="0"/>
          <w:color w:val="auto"/>
          <w:sz w:val="24"/>
        </w:rPr>
        <w:t>: 2020 Non-residential Building Total Energy</w:t>
      </w:r>
      <w:r w:rsidRPr="008400E1" w:rsidDel="00B3690D">
        <w:rPr>
          <w:rFonts w:ascii="Calibri" w:eastAsia="Times New Roman" w:hAnsi="Calibri" w:cs="Times New Roman"/>
          <w:b/>
          <w:bCs/>
          <w:i w:val="0"/>
          <w:iCs w:val="0"/>
          <w:color w:val="auto"/>
          <w:sz w:val="24"/>
        </w:rPr>
        <w:t xml:space="preserve"> </w:t>
      </w:r>
      <w:r w:rsidRPr="008400E1">
        <w:rPr>
          <w:rFonts w:ascii="Calibri" w:eastAsia="Times New Roman" w:hAnsi="Calibri" w:cs="Times New Roman"/>
          <w:b/>
          <w:bCs/>
          <w:i w:val="0"/>
          <w:iCs w:val="0"/>
          <w:color w:val="auto"/>
          <w:sz w:val="24"/>
        </w:rPr>
        <w:t>Consumption by Space Use Type</w:t>
      </w:r>
      <w:r w:rsidR="00F73A23">
        <w:rPr>
          <w:rFonts w:ascii="ZWAdobeF" w:eastAsia="Times New Roman" w:hAnsi="ZWAdobeF" w:cs="ZWAdobeF"/>
          <w:bCs/>
          <w:i w:val="0"/>
          <w:iCs w:val="0"/>
          <w:color w:val="auto"/>
          <w:sz w:val="2"/>
          <w:szCs w:val="2"/>
        </w:rPr>
        <w:t>10F</w:t>
      </w:r>
      <w:r w:rsidR="00626378">
        <w:rPr>
          <w:rFonts w:ascii="ZWAdobeF" w:eastAsia="Times New Roman" w:hAnsi="ZWAdobeF" w:cs="ZWAdobeF"/>
          <w:bCs/>
          <w:i w:val="0"/>
          <w:iCs w:val="0"/>
          <w:color w:val="auto"/>
          <w:sz w:val="2"/>
          <w:szCs w:val="2"/>
        </w:rPr>
        <w:t>10F</w:t>
      </w:r>
      <w:r w:rsidR="00413811">
        <w:rPr>
          <w:rFonts w:ascii="ZWAdobeF" w:eastAsia="Times New Roman" w:hAnsi="ZWAdobeF" w:cs="ZWAdobeF"/>
          <w:bCs/>
          <w:i w:val="0"/>
          <w:iCs w:val="0"/>
          <w:color w:val="auto"/>
          <w:sz w:val="2"/>
          <w:szCs w:val="2"/>
        </w:rPr>
        <w:t>10F</w:t>
      </w:r>
      <w:r w:rsidR="002C327C">
        <w:rPr>
          <w:rFonts w:ascii="ZWAdobeF" w:eastAsia="Times New Roman" w:hAnsi="ZWAdobeF" w:cs="ZWAdobeF"/>
          <w:bCs/>
          <w:i w:val="0"/>
          <w:iCs w:val="0"/>
          <w:color w:val="auto"/>
          <w:sz w:val="2"/>
          <w:szCs w:val="2"/>
        </w:rPr>
        <w:t>10F</w:t>
      </w:r>
      <w:r w:rsidR="00D24A06">
        <w:rPr>
          <w:rFonts w:ascii="ZWAdobeF" w:eastAsia="Times New Roman" w:hAnsi="ZWAdobeF" w:cs="ZWAdobeF"/>
          <w:bCs/>
          <w:i w:val="0"/>
          <w:iCs w:val="0"/>
          <w:color w:val="auto"/>
          <w:sz w:val="2"/>
          <w:szCs w:val="2"/>
        </w:rPr>
        <w:t>10F</w:t>
      </w:r>
      <w:r w:rsidR="006254EF">
        <w:rPr>
          <w:rStyle w:val="FootnoteReference"/>
          <w:rFonts w:ascii="Calibri" w:eastAsia="Times New Roman" w:hAnsi="Calibri" w:cs="Times New Roman"/>
          <w:b/>
          <w:bCs/>
          <w:i w:val="0"/>
          <w:iCs w:val="0"/>
          <w:color w:val="auto"/>
          <w:sz w:val="24"/>
        </w:rPr>
        <w:footnoteReference w:id="12"/>
      </w:r>
      <w:bookmarkEnd w:id="56"/>
    </w:p>
    <w:p w14:paraId="29BF4748" w14:textId="7EEC6E52" w:rsidR="004939C3" w:rsidRPr="00354977" w:rsidRDefault="00D95618" w:rsidP="004939C3">
      <w:pPr>
        <w:pStyle w:val="BodyText"/>
        <w:keepNext/>
        <w:jc w:val="center"/>
        <w:rPr>
          <w:rFonts w:asciiTheme="minorHAnsi" w:hAnsiTheme="minorHAnsi" w:cstheme="minorHAnsi"/>
        </w:rPr>
      </w:pPr>
      <w:r>
        <w:rPr>
          <w:rFonts w:asciiTheme="minorHAnsi" w:hAnsiTheme="minorHAnsi" w:cstheme="minorHAnsi"/>
          <w:noProof/>
        </w:rPr>
        <w:drawing>
          <wp:inline distT="0" distB="0" distL="0" distR="0" wp14:anchorId="02B88BA8" wp14:editId="4C66154B">
            <wp:extent cx="5520667" cy="3554083"/>
            <wp:effectExtent l="0" t="0" r="0" b="0"/>
            <wp:docPr id="1837010247" name="Picture 1837010247" descr="Pie chart depicting the Total Energy Consumption used by each space use type. Full data for graph is presented in Appendix 11, tabl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10247" name="Picture 1837010247" descr="Pie chart depicting the Total Energy Consumption used by each space use type. Full data for graph is presented in Appendix 11, table 36."/>
                    <pic:cNvPicPr>
                      <a:picLocks noChangeAspect="1" noChangeArrowheads="1"/>
                    </pic:cNvPicPr>
                  </pic:nvPicPr>
                  <pic:blipFill rotWithShape="1">
                    <a:blip r:embed="rId25">
                      <a:extLst>
                        <a:ext uri="{28A0092B-C50C-407E-A947-70E740481C1C}">
                          <a14:useLocalDpi xmlns:a14="http://schemas.microsoft.com/office/drawing/2010/main" val="0"/>
                        </a:ext>
                      </a:extLst>
                    </a:blip>
                    <a:srcRect l="9714" r="20377" b="15623"/>
                    <a:stretch/>
                  </pic:blipFill>
                  <pic:spPr bwMode="auto">
                    <a:xfrm>
                      <a:off x="0" y="0"/>
                      <a:ext cx="5556533" cy="3577173"/>
                    </a:xfrm>
                    <a:prstGeom prst="rect">
                      <a:avLst/>
                    </a:prstGeom>
                    <a:noFill/>
                    <a:ln>
                      <a:noFill/>
                    </a:ln>
                    <a:extLst>
                      <a:ext uri="{53640926-AAD7-44D8-BBD7-CCE9431645EC}">
                        <a14:shadowObscured xmlns:a14="http://schemas.microsoft.com/office/drawing/2010/main"/>
                      </a:ext>
                    </a:extLst>
                  </pic:spPr>
                </pic:pic>
              </a:graphicData>
            </a:graphic>
          </wp:inline>
        </w:drawing>
      </w:r>
    </w:p>
    <w:p w14:paraId="68725AC4" w14:textId="79A224AA" w:rsidR="0065049A" w:rsidRDefault="0065049A" w:rsidP="0065049A">
      <w:pPr>
        <w:pStyle w:val="Caption"/>
        <w:jc w:val="center"/>
        <w:rPr>
          <w:rFonts w:ascii="Calibri" w:eastAsia="Times New Roman" w:hAnsi="Calibri" w:cs="Times New Roman"/>
          <w:b/>
          <w:bCs/>
          <w:i w:val="0"/>
          <w:iCs w:val="0"/>
          <w:color w:val="auto"/>
          <w:sz w:val="24"/>
        </w:rPr>
      </w:pPr>
      <w:hyperlink w:anchor="_Table_36:_Data"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sidR="00507CDC">
          <w:rPr>
            <w:rStyle w:val="Hyperlink"/>
            <w:rFonts w:asciiTheme="minorHAnsi" w:hAnsiTheme="minorHAnsi" w:cstheme="minorHAnsi"/>
          </w:rPr>
          <w:t>6</w:t>
        </w:r>
        <w:r>
          <w:rPr>
            <w:rStyle w:val="Hyperlink"/>
            <w:rFonts w:asciiTheme="minorHAnsi" w:hAnsiTheme="minorHAnsi" w:cstheme="minorHAnsi"/>
          </w:rPr>
          <w:t xml:space="preserve"> [Appendix 11 Table 3</w:t>
        </w:r>
        <w:r w:rsidR="00507CDC">
          <w:rPr>
            <w:rStyle w:val="Hyperlink"/>
            <w:rFonts w:asciiTheme="minorHAnsi" w:hAnsiTheme="minorHAnsi" w:cstheme="minorHAnsi"/>
          </w:rPr>
          <w:t>6</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0212756B" w14:textId="55E4B7C7" w:rsidR="000F04BD" w:rsidRPr="00354977" w:rsidRDefault="000F04BD" w:rsidP="00773BEE">
      <w:pPr>
        <w:pStyle w:val="Caption"/>
        <w:rPr>
          <w:rFonts w:asciiTheme="minorHAnsi" w:hAnsiTheme="minorHAnsi" w:cstheme="minorHAnsi"/>
        </w:rPr>
      </w:pPr>
    </w:p>
    <w:p w14:paraId="399FD2BB" w14:textId="191FB38F" w:rsidR="00CE7AB8" w:rsidRPr="00F81ADB" w:rsidRDefault="00A27BEE" w:rsidP="00214D42">
      <w:pPr>
        <w:pStyle w:val="Heading2"/>
        <w:rPr>
          <w:rFonts w:cstheme="minorHAnsi"/>
        </w:rPr>
      </w:pPr>
      <w:bookmarkStart w:id="57" w:name="_Toc132295361"/>
      <w:bookmarkStart w:id="58" w:name="_Toc132295403"/>
      <w:bookmarkStart w:id="59" w:name="_Toc133844017"/>
      <w:bookmarkStart w:id="60" w:name="_Toc136286362"/>
      <w:bookmarkStart w:id="61" w:name="_Toc154059363"/>
      <w:r w:rsidRPr="00F81ADB">
        <w:rPr>
          <w:rFonts w:cstheme="minorHAnsi"/>
        </w:rPr>
        <w:t xml:space="preserve">Energy </w:t>
      </w:r>
      <w:r w:rsidR="00111B63" w:rsidRPr="00F81ADB">
        <w:rPr>
          <w:rFonts w:cstheme="minorHAnsi"/>
        </w:rPr>
        <w:t>Effici</w:t>
      </w:r>
      <w:r w:rsidR="00057118" w:rsidRPr="00F81ADB">
        <w:rPr>
          <w:rFonts w:cstheme="minorHAnsi"/>
        </w:rPr>
        <w:t xml:space="preserve">ency </w:t>
      </w:r>
      <w:r w:rsidRPr="00F81ADB">
        <w:rPr>
          <w:rFonts w:cstheme="minorHAnsi"/>
        </w:rPr>
        <w:t xml:space="preserve">and emissions regulation relating to </w:t>
      </w:r>
      <w:r w:rsidR="00D73FA5" w:rsidRPr="00F81ADB">
        <w:rPr>
          <w:rFonts w:cstheme="minorHAnsi"/>
        </w:rPr>
        <w:t>c</w:t>
      </w:r>
      <w:r w:rsidR="001A20F0" w:rsidRPr="00F81ADB">
        <w:rPr>
          <w:rFonts w:cstheme="minorHAnsi"/>
        </w:rPr>
        <w:t xml:space="preserve">ommercial </w:t>
      </w:r>
      <w:proofErr w:type="gramStart"/>
      <w:r w:rsidR="00D73FA5" w:rsidRPr="00F81ADB">
        <w:rPr>
          <w:rFonts w:cstheme="minorHAnsi"/>
        </w:rPr>
        <w:t>b</w:t>
      </w:r>
      <w:r w:rsidR="001A20F0" w:rsidRPr="00F81ADB">
        <w:rPr>
          <w:rFonts w:cstheme="minorHAnsi"/>
        </w:rPr>
        <w:t>uildings</w:t>
      </w:r>
      <w:bookmarkEnd w:id="57"/>
      <w:bookmarkEnd w:id="58"/>
      <w:bookmarkEnd w:id="59"/>
      <w:bookmarkEnd w:id="60"/>
      <w:bookmarkEnd w:id="61"/>
      <w:proofErr w:type="gramEnd"/>
    </w:p>
    <w:p w14:paraId="6979F04D" w14:textId="2D88F568" w:rsidR="009749AB" w:rsidRPr="00354977" w:rsidRDefault="0082165C" w:rsidP="004332C7">
      <w:pPr>
        <w:pStyle w:val="BodyText"/>
        <w:jc w:val="both"/>
        <w:rPr>
          <w:rFonts w:asciiTheme="minorHAnsi" w:hAnsiTheme="minorHAnsi" w:cstheme="minorHAnsi"/>
        </w:rPr>
      </w:pPr>
      <w:r w:rsidRPr="00354977">
        <w:rPr>
          <w:rFonts w:asciiTheme="minorHAnsi" w:hAnsiTheme="minorHAnsi" w:cstheme="minorHAnsi"/>
        </w:rPr>
        <w:t>Federal</w:t>
      </w:r>
      <w:r w:rsidR="0080617E" w:rsidRPr="00354977">
        <w:rPr>
          <w:rFonts w:asciiTheme="minorHAnsi" w:hAnsiTheme="minorHAnsi" w:cstheme="minorHAnsi"/>
        </w:rPr>
        <w:t xml:space="preserve">, state and territory </w:t>
      </w:r>
      <w:r w:rsidRPr="00354977">
        <w:rPr>
          <w:rFonts w:asciiTheme="minorHAnsi" w:hAnsiTheme="minorHAnsi" w:cstheme="minorHAnsi"/>
        </w:rPr>
        <w:t>governments have a range of existing policies to improve energy performance in commercial building</w:t>
      </w:r>
      <w:r w:rsidRPr="00354977" w:rsidDel="00917BD2">
        <w:rPr>
          <w:rFonts w:asciiTheme="minorHAnsi" w:hAnsiTheme="minorHAnsi" w:cstheme="minorHAnsi"/>
        </w:rPr>
        <w:t>s</w:t>
      </w:r>
      <w:r w:rsidR="004C6FCB" w:rsidRPr="00354977" w:rsidDel="00917BD2">
        <w:rPr>
          <w:rFonts w:asciiTheme="minorHAnsi" w:hAnsiTheme="minorHAnsi" w:cstheme="minorHAnsi"/>
        </w:rPr>
        <w:t>.</w:t>
      </w:r>
      <w:r w:rsidR="00917BD2" w:rsidRPr="00354977">
        <w:rPr>
          <w:rFonts w:asciiTheme="minorHAnsi" w:hAnsiTheme="minorHAnsi" w:cstheme="minorHAnsi"/>
        </w:rPr>
        <w:t xml:space="preserve"> </w:t>
      </w:r>
      <w:r w:rsidR="00833527" w:rsidRPr="00354977">
        <w:rPr>
          <w:rFonts w:asciiTheme="minorHAnsi" w:hAnsiTheme="minorHAnsi" w:cstheme="minorHAnsi"/>
        </w:rPr>
        <w:t xml:space="preserve">The </w:t>
      </w:r>
      <w:r w:rsidR="00E10302" w:rsidRPr="00354977">
        <w:rPr>
          <w:rFonts w:asciiTheme="minorHAnsi" w:hAnsiTheme="minorHAnsi" w:cstheme="minorHAnsi"/>
        </w:rPr>
        <w:t>polic</w:t>
      </w:r>
      <w:r w:rsidR="00833527" w:rsidRPr="00354977">
        <w:rPr>
          <w:rFonts w:asciiTheme="minorHAnsi" w:hAnsiTheme="minorHAnsi" w:cstheme="minorHAnsi"/>
        </w:rPr>
        <w:t xml:space="preserve">ies </w:t>
      </w:r>
      <w:r w:rsidR="00E10302" w:rsidRPr="00354977">
        <w:rPr>
          <w:rFonts w:asciiTheme="minorHAnsi" w:hAnsiTheme="minorHAnsi" w:cstheme="minorHAnsi"/>
        </w:rPr>
        <w:t>and regulations</w:t>
      </w:r>
      <w:r w:rsidR="00531521" w:rsidRPr="00354977">
        <w:rPr>
          <w:rFonts w:asciiTheme="minorHAnsi" w:hAnsiTheme="minorHAnsi" w:cstheme="minorHAnsi"/>
        </w:rPr>
        <w:t xml:space="preserve"> </w:t>
      </w:r>
      <w:r w:rsidR="00D05AE9" w:rsidRPr="00354977">
        <w:rPr>
          <w:rFonts w:asciiTheme="minorHAnsi" w:hAnsiTheme="minorHAnsi" w:cstheme="minorHAnsi"/>
        </w:rPr>
        <w:t>(</w:t>
      </w:r>
      <w:r w:rsidR="00A53A15" w:rsidRPr="00474079">
        <w:rPr>
          <w:rFonts w:asciiTheme="minorHAnsi" w:hAnsiTheme="minorHAnsi" w:cstheme="minorHAnsi"/>
        </w:rPr>
        <w:fldChar w:fldCharType="begin" w:fldLock="1"/>
      </w:r>
      <w:r w:rsidR="00A53A15" w:rsidRPr="00474079">
        <w:rPr>
          <w:rFonts w:asciiTheme="minorHAnsi" w:hAnsiTheme="minorHAnsi" w:cstheme="minorHAnsi"/>
        </w:rPr>
        <w:instrText xml:space="preserve"> REF _Ref136285319 \h </w:instrText>
      </w:r>
      <w:r w:rsidR="00474079">
        <w:rPr>
          <w:rFonts w:asciiTheme="minorHAnsi" w:hAnsiTheme="minorHAnsi" w:cstheme="minorHAnsi"/>
        </w:rPr>
        <w:instrText xml:space="preserve"> \* MERGEFORMAT </w:instrText>
      </w:r>
      <w:r w:rsidR="00A53A15" w:rsidRPr="00474079">
        <w:rPr>
          <w:rFonts w:asciiTheme="minorHAnsi" w:hAnsiTheme="minorHAnsi" w:cstheme="minorHAnsi"/>
        </w:rPr>
      </w:r>
      <w:r w:rsidR="00A53A15" w:rsidRPr="00474079">
        <w:rPr>
          <w:rFonts w:asciiTheme="minorHAnsi" w:hAnsiTheme="minorHAnsi" w:cstheme="minorHAnsi"/>
        </w:rPr>
        <w:fldChar w:fldCharType="separate"/>
      </w:r>
      <w:r w:rsidR="00A53A15" w:rsidRPr="00474079">
        <w:rPr>
          <w:rFonts w:asciiTheme="minorHAnsi" w:hAnsiTheme="minorHAnsi" w:cstheme="minorHAnsi"/>
        </w:rPr>
        <w:t xml:space="preserve">Table </w:t>
      </w:r>
      <w:r w:rsidR="00A53A15" w:rsidRPr="00474079">
        <w:rPr>
          <w:rFonts w:asciiTheme="minorHAnsi" w:hAnsiTheme="minorHAnsi" w:cstheme="minorHAnsi"/>
          <w:noProof/>
        </w:rPr>
        <w:t>3</w:t>
      </w:r>
      <w:r w:rsidR="00A53A15" w:rsidRPr="00474079">
        <w:rPr>
          <w:rFonts w:asciiTheme="minorHAnsi" w:hAnsiTheme="minorHAnsi" w:cstheme="minorHAnsi"/>
        </w:rPr>
        <w:fldChar w:fldCharType="end"/>
      </w:r>
      <w:r w:rsidR="00A53A15">
        <w:rPr>
          <w:rFonts w:asciiTheme="minorHAnsi" w:hAnsiTheme="minorHAnsi" w:cstheme="minorHAnsi"/>
        </w:rPr>
        <w:t xml:space="preserve"> </w:t>
      </w:r>
      <w:r w:rsidR="007E65E2" w:rsidRPr="00354977">
        <w:rPr>
          <w:rFonts w:asciiTheme="minorHAnsi" w:hAnsiTheme="minorHAnsi" w:cstheme="minorHAnsi"/>
        </w:rPr>
        <w:t xml:space="preserve">below </w:t>
      </w:r>
      <w:r w:rsidR="005751DD" w:rsidRPr="00354977">
        <w:rPr>
          <w:rFonts w:asciiTheme="minorHAnsi" w:hAnsiTheme="minorHAnsi" w:cstheme="minorHAnsi"/>
        </w:rPr>
        <w:t>and</w:t>
      </w:r>
      <w:r w:rsidR="00A53A15">
        <w:rPr>
          <w:rFonts w:asciiTheme="minorHAnsi" w:hAnsiTheme="minorHAnsi" w:cstheme="minorHAnsi"/>
        </w:rPr>
        <w:t xml:space="preserve"> tables </w:t>
      </w:r>
      <w:r w:rsidR="007E65E2" w:rsidRPr="00354977">
        <w:rPr>
          <w:rFonts w:asciiTheme="minorHAnsi" w:hAnsiTheme="minorHAnsi" w:cstheme="minorHAnsi"/>
        </w:rPr>
        <w:t xml:space="preserve">in </w:t>
      </w:r>
      <w:r w:rsidR="00A53A15">
        <w:rPr>
          <w:rFonts w:asciiTheme="minorHAnsi" w:hAnsiTheme="minorHAnsi" w:cstheme="minorHAnsi"/>
        </w:rPr>
        <w:t xml:space="preserve">the </w:t>
      </w:r>
      <w:r w:rsidR="007E65E2" w:rsidRPr="00354977">
        <w:rPr>
          <w:rFonts w:asciiTheme="minorHAnsi" w:hAnsiTheme="minorHAnsi" w:cstheme="minorHAnsi"/>
        </w:rPr>
        <w:t>Appendices for further detail</w:t>
      </w:r>
      <w:r w:rsidR="005751DD" w:rsidRPr="00354977">
        <w:rPr>
          <w:rFonts w:asciiTheme="minorHAnsi" w:hAnsiTheme="minorHAnsi" w:cstheme="minorHAnsi"/>
        </w:rPr>
        <w:t xml:space="preserve">) </w:t>
      </w:r>
      <w:r w:rsidR="00AA5006" w:rsidRPr="00354977">
        <w:rPr>
          <w:rFonts w:asciiTheme="minorHAnsi" w:hAnsiTheme="minorHAnsi" w:cstheme="minorHAnsi"/>
        </w:rPr>
        <w:t>improve the</w:t>
      </w:r>
      <w:r w:rsidR="00531521" w:rsidRPr="00354977">
        <w:rPr>
          <w:rFonts w:asciiTheme="minorHAnsi" w:hAnsiTheme="minorHAnsi" w:cstheme="minorHAnsi"/>
        </w:rPr>
        <w:t xml:space="preserve"> attributes of the building during the design and construction phase</w:t>
      </w:r>
      <w:r w:rsidR="00AA5006" w:rsidRPr="00354977">
        <w:rPr>
          <w:rFonts w:asciiTheme="minorHAnsi" w:hAnsiTheme="minorHAnsi" w:cstheme="minorHAnsi"/>
        </w:rPr>
        <w:t>,</w:t>
      </w:r>
      <w:r w:rsidR="00531521" w:rsidRPr="00354977">
        <w:rPr>
          <w:rFonts w:asciiTheme="minorHAnsi" w:hAnsiTheme="minorHAnsi" w:cstheme="minorHAnsi"/>
        </w:rPr>
        <w:t xml:space="preserve"> or the </w:t>
      </w:r>
      <w:r w:rsidR="00AE4CBB" w:rsidRPr="00354977">
        <w:rPr>
          <w:rFonts w:asciiTheme="minorHAnsi" w:hAnsiTheme="minorHAnsi" w:cstheme="minorHAnsi"/>
        </w:rPr>
        <w:t xml:space="preserve">energy and emissions </w:t>
      </w:r>
      <w:r w:rsidR="00531521" w:rsidRPr="00354977">
        <w:rPr>
          <w:rFonts w:asciiTheme="minorHAnsi" w:hAnsiTheme="minorHAnsi" w:cstheme="minorHAnsi"/>
        </w:rPr>
        <w:t>performance of the building during the operational phase.</w:t>
      </w:r>
      <w:r w:rsidR="00E10302" w:rsidRPr="00354977">
        <w:rPr>
          <w:rFonts w:asciiTheme="minorHAnsi" w:hAnsiTheme="minorHAnsi" w:cstheme="minorHAnsi"/>
        </w:rPr>
        <w:t xml:space="preserve"> By assigning policies into </w:t>
      </w:r>
      <w:r w:rsidR="00531521" w:rsidRPr="00354977">
        <w:rPr>
          <w:rFonts w:asciiTheme="minorHAnsi" w:hAnsiTheme="minorHAnsi" w:cstheme="minorHAnsi"/>
        </w:rPr>
        <w:t xml:space="preserve">these </w:t>
      </w:r>
      <w:r w:rsidR="00E10302" w:rsidRPr="00354977">
        <w:rPr>
          <w:rFonts w:asciiTheme="minorHAnsi" w:hAnsiTheme="minorHAnsi" w:cstheme="minorHAnsi"/>
        </w:rPr>
        <w:t xml:space="preserve">phases, policymakers can target their efforts to ensure energy efficiency is considered at every stage of the building lifecycle. </w:t>
      </w:r>
      <w:r w:rsidR="0080617E" w:rsidRPr="00354977">
        <w:rPr>
          <w:rFonts w:asciiTheme="minorHAnsi" w:hAnsiTheme="minorHAnsi" w:cstheme="minorHAnsi"/>
        </w:rPr>
        <w:t xml:space="preserve">In addition to Federal government </w:t>
      </w:r>
      <w:r w:rsidR="001C1750" w:rsidRPr="00354977">
        <w:rPr>
          <w:rFonts w:asciiTheme="minorHAnsi" w:hAnsiTheme="minorHAnsi" w:cstheme="minorHAnsi"/>
        </w:rPr>
        <w:t>initiatives</w:t>
      </w:r>
      <w:r w:rsidR="0080617E" w:rsidRPr="00354977">
        <w:rPr>
          <w:rFonts w:asciiTheme="minorHAnsi" w:hAnsiTheme="minorHAnsi" w:cstheme="minorHAnsi"/>
        </w:rPr>
        <w:t xml:space="preserve"> </w:t>
      </w:r>
      <w:r w:rsidR="001C1750" w:rsidRPr="00354977">
        <w:rPr>
          <w:rFonts w:asciiTheme="minorHAnsi" w:hAnsiTheme="minorHAnsi" w:cstheme="minorHAnsi"/>
        </w:rPr>
        <w:t>each state and territory government</w:t>
      </w:r>
      <w:r w:rsidR="0080617E" w:rsidRPr="00354977">
        <w:rPr>
          <w:rFonts w:asciiTheme="minorHAnsi" w:hAnsiTheme="minorHAnsi" w:cstheme="minorHAnsi"/>
        </w:rPr>
        <w:t xml:space="preserve"> has </w:t>
      </w:r>
      <w:r w:rsidR="00BE6FD5" w:rsidRPr="00354977">
        <w:rPr>
          <w:rFonts w:asciiTheme="minorHAnsi" w:hAnsiTheme="minorHAnsi" w:cstheme="minorHAnsi"/>
        </w:rPr>
        <w:t>their</w:t>
      </w:r>
      <w:r w:rsidR="0080617E" w:rsidRPr="00354977">
        <w:rPr>
          <w:rFonts w:asciiTheme="minorHAnsi" w:hAnsiTheme="minorHAnsi" w:cstheme="minorHAnsi"/>
        </w:rPr>
        <w:t xml:space="preserve"> own policies and incentives to </w:t>
      </w:r>
      <w:r w:rsidR="00BE6FD5" w:rsidRPr="00354977">
        <w:rPr>
          <w:rFonts w:asciiTheme="minorHAnsi" w:hAnsiTheme="minorHAnsi" w:cstheme="minorHAnsi"/>
        </w:rPr>
        <w:t>facilitate change in the commercial building sector</w:t>
      </w:r>
      <w:r w:rsidR="0080617E" w:rsidRPr="00354977">
        <w:rPr>
          <w:rFonts w:asciiTheme="minorHAnsi" w:hAnsiTheme="minorHAnsi" w:cstheme="minorHAnsi"/>
        </w:rPr>
        <w:t xml:space="preserve">. </w:t>
      </w:r>
    </w:p>
    <w:p w14:paraId="396A7513" w14:textId="26BFD1E8" w:rsidR="00E5336E" w:rsidRPr="00354977" w:rsidRDefault="00043BFA" w:rsidP="000815D9">
      <w:pPr>
        <w:pStyle w:val="BodyText"/>
        <w:jc w:val="both"/>
        <w:rPr>
          <w:rFonts w:asciiTheme="minorHAnsi" w:hAnsiTheme="minorHAnsi" w:cstheme="minorHAnsi"/>
          <w:color w:val="auto"/>
          <w:sz w:val="2"/>
          <w:szCs w:val="2"/>
        </w:rPr>
      </w:pPr>
      <w:r w:rsidRPr="00354977">
        <w:rPr>
          <w:rFonts w:asciiTheme="minorHAnsi" w:hAnsiTheme="minorHAnsi" w:cstheme="minorHAnsi"/>
        </w:rPr>
        <w:t>To date</w:t>
      </w:r>
      <w:r w:rsidR="004F441D" w:rsidRPr="00354977">
        <w:rPr>
          <w:rFonts w:asciiTheme="minorHAnsi" w:hAnsiTheme="minorHAnsi" w:cstheme="minorHAnsi"/>
        </w:rPr>
        <w:t>,</w:t>
      </w:r>
      <w:r w:rsidRPr="00354977">
        <w:rPr>
          <w:rFonts w:asciiTheme="minorHAnsi" w:hAnsiTheme="minorHAnsi" w:cstheme="minorHAnsi"/>
        </w:rPr>
        <w:t xml:space="preserve"> </w:t>
      </w:r>
      <w:r w:rsidR="007652FE" w:rsidRPr="00354977">
        <w:rPr>
          <w:rFonts w:asciiTheme="minorHAnsi" w:hAnsiTheme="minorHAnsi" w:cstheme="minorHAnsi"/>
        </w:rPr>
        <w:t xml:space="preserve">the Commonwealth Government has primarily focused on </w:t>
      </w:r>
      <w:r w:rsidR="000810CE" w:rsidRPr="00354977">
        <w:rPr>
          <w:rFonts w:asciiTheme="minorHAnsi" w:hAnsiTheme="minorHAnsi" w:cstheme="minorHAnsi"/>
        </w:rPr>
        <w:t xml:space="preserve">intervening through </w:t>
      </w:r>
      <w:r w:rsidR="006E3008" w:rsidRPr="00354977">
        <w:rPr>
          <w:rFonts w:asciiTheme="minorHAnsi" w:hAnsiTheme="minorHAnsi" w:cstheme="minorHAnsi"/>
        </w:rPr>
        <w:t>mandatory</w:t>
      </w:r>
      <w:r w:rsidR="000810CE" w:rsidRPr="00354977">
        <w:rPr>
          <w:rFonts w:asciiTheme="minorHAnsi" w:hAnsiTheme="minorHAnsi" w:cstheme="minorHAnsi"/>
        </w:rPr>
        <w:t xml:space="preserve"> disclosure </w:t>
      </w:r>
      <w:r w:rsidR="00427239" w:rsidRPr="00354977">
        <w:rPr>
          <w:rFonts w:asciiTheme="minorHAnsi" w:hAnsiTheme="minorHAnsi" w:cstheme="minorHAnsi"/>
        </w:rPr>
        <w:t>requirements on large commercial</w:t>
      </w:r>
      <w:r w:rsidR="00D81472" w:rsidRPr="00354977">
        <w:rPr>
          <w:rFonts w:asciiTheme="minorHAnsi" w:hAnsiTheme="minorHAnsi" w:cstheme="minorHAnsi"/>
        </w:rPr>
        <w:t xml:space="preserve"> office</w:t>
      </w:r>
      <w:r w:rsidR="00427239" w:rsidRPr="00354977">
        <w:rPr>
          <w:rFonts w:asciiTheme="minorHAnsi" w:hAnsiTheme="minorHAnsi" w:cstheme="minorHAnsi"/>
        </w:rPr>
        <w:t xml:space="preserve"> </w:t>
      </w:r>
      <w:r w:rsidR="009E2EAA" w:rsidRPr="00354977">
        <w:rPr>
          <w:rFonts w:asciiTheme="minorHAnsi" w:hAnsiTheme="minorHAnsi" w:cstheme="minorHAnsi"/>
        </w:rPr>
        <w:t xml:space="preserve">buildings, with </w:t>
      </w:r>
      <w:r w:rsidR="004F441D" w:rsidRPr="00354977">
        <w:rPr>
          <w:rFonts w:asciiTheme="minorHAnsi" w:hAnsiTheme="minorHAnsi" w:cstheme="minorHAnsi"/>
        </w:rPr>
        <w:t xml:space="preserve">some </w:t>
      </w:r>
      <w:r w:rsidR="00AE43ED" w:rsidRPr="00354977">
        <w:rPr>
          <w:rFonts w:asciiTheme="minorHAnsi" w:hAnsiTheme="minorHAnsi" w:cstheme="minorHAnsi"/>
        </w:rPr>
        <w:t xml:space="preserve">additional </w:t>
      </w:r>
      <w:r w:rsidR="00AD0DFA" w:rsidRPr="00354977">
        <w:rPr>
          <w:rFonts w:asciiTheme="minorHAnsi" w:hAnsiTheme="minorHAnsi" w:cstheme="minorHAnsi"/>
        </w:rPr>
        <w:t>complementary</w:t>
      </w:r>
      <w:r w:rsidR="00427239" w:rsidRPr="00354977">
        <w:rPr>
          <w:rFonts w:asciiTheme="minorHAnsi" w:hAnsiTheme="minorHAnsi" w:cstheme="minorHAnsi"/>
        </w:rPr>
        <w:t xml:space="preserve"> </w:t>
      </w:r>
      <w:r w:rsidR="005F2222" w:rsidRPr="00354977">
        <w:rPr>
          <w:rFonts w:asciiTheme="minorHAnsi" w:hAnsiTheme="minorHAnsi" w:cstheme="minorHAnsi"/>
        </w:rPr>
        <w:t xml:space="preserve">mandatory </w:t>
      </w:r>
      <w:r w:rsidR="004109A1" w:rsidRPr="00354977">
        <w:rPr>
          <w:rFonts w:asciiTheme="minorHAnsi" w:hAnsiTheme="minorHAnsi" w:cstheme="minorHAnsi"/>
        </w:rPr>
        <w:t xml:space="preserve">energy performance standards on </w:t>
      </w:r>
      <w:r w:rsidR="004F7A96" w:rsidRPr="00354977">
        <w:rPr>
          <w:rFonts w:asciiTheme="minorHAnsi" w:hAnsiTheme="minorHAnsi" w:cstheme="minorHAnsi"/>
        </w:rPr>
        <w:t>certain appliances</w:t>
      </w:r>
      <w:r w:rsidR="00AD0DFA" w:rsidRPr="00354977">
        <w:rPr>
          <w:rFonts w:asciiTheme="minorHAnsi" w:hAnsiTheme="minorHAnsi" w:cstheme="minorHAnsi"/>
        </w:rPr>
        <w:t xml:space="preserve"> used across all building types</w:t>
      </w:r>
      <w:r w:rsidR="004F7A96" w:rsidRPr="00354977">
        <w:rPr>
          <w:rFonts w:asciiTheme="minorHAnsi" w:hAnsiTheme="minorHAnsi" w:cstheme="minorHAnsi"/>
        </w:rPr>
        <w:t xml:space="preserve">. </w:t>
      </w:r>
      <w:r w:rsidR="001C020C" w:rsidRPr="00354977">
        <w:rPr>
          <w:rFonts w:asciiTheme="minorHAnsi" w:hAnsiTheme="minorHAnsi" w:cstheme="minorHAnsi"/>
        </w:rPr>
        <w:t xml:space="preserve">Mandatory disclosure </w:t>
      </w:r>
      <w:r w:rsidR="00447170" w:rsidRPr="00354977">
        <w:rPr>
          <w:rFonts w:asciiTheme="minorHAnsi" w:hAnsiTheme="minorHAnsi" w:cstheme="minorHAnsi"/>
        </w:rPr>
        <w:t xml:space="preserve">for commercial buildings has </w:t>
      </w:r>
      <w:r w:rsidR="003E0E56" w:rsidRPr="00354977">
        <w:rPr>
          <w:rFonts w:asciiTheme="minorHAnsi" w:hAnsiTheme="minorHAnsi" w:cstheme="minorHAnsi"/>
        </w:rPr>
        <w:t>evol</w:t>
      </w:r>
      <w:r w:rsidR="006A3B95" w:rsidRPr="00354977">
        <w:rPr>
          <w:rFonts w:asciiTheme="minorHAnsi" w:hAnsiTheme="minorHAnsi" w:cstheme="minorHAnsi"/>
        </w:rPr>
        <w:t>ve</w:t>
      </w:r>
      <w:r w:rsidR="00447170" w:rsidRPr="00354977">
        <w:rPr>
          <w:rFonts w:asciiTheme="minorHAnsi" w:hAnsiTheme="minorHAnsi" w:cstheme="minorHAnsi"/>
        </w:rPr>
        <w:t xml:space="preserve">d </w:t>
      </w:r>
      <w:r w:rsidR="003E0E56" w:rsidRPr="00354977">
        <w:rPr>
          <w:rFonts w:asciiTheme="minorHAnsi" w:hAnsiTheme="minorHAnsi" w:cstheme="minorHAnsi"/>
        </w:rPr>
        <w:t>over time</w:t>
      </w:r>
      <w:r w:rsidR="006A3B95" w:rsidRPr="00354977">
        <w:rPr>
          <w:rFonts w:asciiTheme="minorHAnsi" w:hAnsiTheme="minorHAnsi" w:cstheme="minorHAnsi"/>
        </w:rPr>
        <w:t xml:space="preserve"> </w:t>
      </w:r>
      <w:r w:rsidR="00FC5910" w:rsidRPr="00354977">
        <w:rPr>
          <w:rFonts w:asciiTheme="minorHAnsi" w:hAnsiTheme="minorHAnsi" w:cstheme="minorHAnsi"/>
        </w:rPr>
        <w:t xml:space="preserve">and started from a </w:t>
      </w:r>
      <w:r w:rsidR="006A3B95" w:rsidRPr="00354977">
        <w:rPr>
          <w:rFonts w:asciiTheme="minorHAnsi" w:hAnsiTheme="minorHAnsi" w:cstheme="minorHAnsi"/>
        </w:rPr>
        <w:t>voluntary disclosure</w:t>
      </w:r>
      <w:r w:rsidR="00FC5910" w:rsidRPr="00354977">
        <w:rPr>
          <w:rFonts w:asciiTheme="minorHAnsi" w:hAnsiTheme="minorHAnsi" w:cstheme="minorHAnsi"/>
        </w:rPr>
        <w:t xml:space="preserve"> program</w:t>
      </w:r>
      <w:r w:rsidR="003E0E56" w:rsidRPr="00354977">
        <w:rPr>
          <w:rFonts w:asciiTheme="minorHAnsi" w:hAnsiTheme="minorHAnsi" w:cstheme="minorHAnsi"/>
        </w:rPr>
        <w:t xml:space="preserve">. </w:t>
      </w:r>
      <w:r w:rsidR="00DC7300" w:rsidRPr="00354977">
        <w:rPr>
          <w:rFonts w:asciiTheme="minorHAnsi" w:hAnsiTheme="minorHAnsi" w:cstheme="minorHAnsi"/>
        </w:rPr>
        <w:t>One often unrecognised instrument</w:t>
      </w:r>
      <w:r w:rsidR="00EB22E2" w:rsidRPr="00354977">
        <w:rPr>
          <w:rFonts w:asciiTheme="minorHAnsi" w:hAnsiTheme="minorHAnsi" w:cstheme="minorHAnsi"/>
        </w:rPr>
        <w:t xml:space="preserve"> </w:t>
      </w:r>
      <w:r w:rsidR="00DC7300" w:rsidRPr="00354977">
        <w:rPr>
          <w:rFonts w:asciiTheme="minorHAnsi" w:hAnsiTheme="minorHAnsi" w:cstheme="minorHAnsi"/>
        </w:rPr>
        <w:t xml:space="preserve">that has progressed </w:t>
      </w:r>
      <w:r w:rsidR="006602E0" w:rsidRPr="00354977">
        <w:rPr>
          <w:rFonts w:asciiTheme="minorHAnsi" w:hAnsiTheme="minorHAnsi" w:cstheme="minorHAnsi"/>
        </w:rPr>
        <w:t>policy on disclosure is the Government’s own procurement</w:t>
      </w:r>
      <w:r w:rsidR="004A65BF" w:rsidRPr="00354977">
        <w:rPr>
          <w:rFonts w:asciiTheme="minorHAnsi" w:hAnsiTheme="minorHAnsi" w:cstheme="minorHAnsi"/>
        </w:rPr>
        <w:t xml:space="preserve"> requirements</w:t>
      </w:r>
      <w:r w:rsidR="006602E0" w:rsidRPr="00354977">
        <w:rPr>
          <w:rFonts w:asciiTheme="minorHAnsi" w:hAnsiTheme="minorHAnsi" w:cstheme="minorHAnsi"/>
        </w:rPr>
        <w:t xml:space="preserve"> and incentives around </w:t>
      </w:r>
      <w:r w:rsidR="00E5336E" w:rsidRPr="00354977">
        <w:rPr>
          <w:rFonts w:asciiTheme="minorHAnsi" w:hAnsiTheme="minorHAnsi" w:cstheme="minorHAnsi"/>
        </w:rPr>
        <w:t>building energy efficiency</w:t>
      </w:r>
      <w:r w:rsidR="004A65BF" w:rsidRPr="00354977">
        <w:rPr>
          <w:rFonts w:asciiTheme="minorHAnsi" w:hAnsiTheme="minorHAnsi" w:cstheme="minorHAnsi"/>
        </w:rPr>
        <w:t xml:space="preserve">, which has </w:t>
      </w:r>
      <w:r w:rsidR="00387CF1" w:rsidRPr="00354977">
        <w:rPr>
          <w:rFonts w:asciiTheme="minorHAnsi" w:hAnsiTheme="minorHAnsi" w:cstheme="minorHAnsi"/>
        </w:rPr>
        <w:t xml:space="preserve">been the precursor to </w:t>
      </w:r>
      <w:r w:rsidR="004A65BF" w:rsidRPr="00354977">
        <w:rPr>
          <w:rFonts w:asciiTheme="minorHAnsi" w:hAnsiTheme="minorHAnsi" w:cstheme="minorHAnsi"/>
        </w:rPr>
        <w:t>broader economy wide regulations</w:t>
      </w:r>
      <w:r w:rsidR="00720B0C" w:rsidRPr="00354977">
        <w:rPr>
          <w:rFonts w:asciiTheme="minorHAnsi" w:hAnsiTheme="minorHAnsi" w:cstheme="minorHAnsi"/>
        </w:rPr>
        <w:t xml:space="preserve"> and has </w:t>
      </w:r>
      <w:r w:rsidR="001258E7" w:rsidRPr="00354977">
        <w:rPr>
          <w:rFonts w:asciiTheme="minorHAnsi" w:hAnsiTheme="minorHAnsi" w:cstheme="minorHAnsi"/>
        </w:rPr>
        <w:t xml:space="preserve">helped set industry standards for </w:t>
      </w:r>
      <w:r w:rsidR="001146E3" w:rsidRPr="00354977">
        <w:rPr>
          <w:rFonts w:asciiTheme="minorHAnsi" w:hAnsiTheme="minorHAnsi" w:cstheme="minorHAnsi"/>
        </w:rPr>
        <w:t>high quality buildings</w:t>
      </w:r>
      <w:r w:rsidR="004A65BF" w:rsidRPr="00354977">
        <w:rPr>
          <w:rFonts w:asciiTheme="minorHAnsi" w:hAnsiTheme="minorHAnsi" w:cstheme="minorHAnsi"/>
        </w:rPr>
        <w:t>, as illustrated i</w:t>
      </w:r>
      <w:r w:rsidR="00A53A15">
        <w:rPr>
          <w:rFonts w:asciiTheme="minorHAnsi" w:hAnsiTheme="minorHAnsi" w:cstheme="minorHAnsi"/>
        </w:rPr>
        <w:t xml:space="preserve">n </w:t>
      </w:r>
      <w:r w:rsidR="00D54591">
        <w:rPr>
          <w:rFonts w:asciiTheme="minorHAnsi" w:hAnsiTheme="minorHAnsi" w:cstheme="minorHAnsi"/>
        </w:rPr>
        <w:fldChar w:fldCharType="begin" w:fldLock="1"/>
      </w:r>
      <w:r w:rsidR="00D54591">
        <w:rPr>
          <w:rFonts w:asciiTheme="minorHAnsi" w:hAnsiTheme="minorHAnsi" w:cstheme="minorHAnsi"/>
        </w:rPr>
        <w:instrText xml:space="preserve"> REF _Ref148522592 \h </w:instrText>
      </w:r>
      <w:r w:rsidR="00D54591">
        <w:rPr>
          <w:rFonts w:asciiTheme="minorHAnsi" w:hAnsiTheme="minorHAnsi" w:cstheme="minorHAnsi"/>
        </w:rPr>
      </w:r>
      <w:r w:rsidR="00D54591">
        <w:rPr>
          <w:rFonts w:asciiTheme="minorHAnsi" w:hAnsiTheme="minorHAnsi" w:cstheme="minorHAnsi"/>
        </w:rPr>
        <w:fldChar w:fldCharType="separate"/>
      </w:r>
      <w:r w:rsidR="00D54591" w:rsidRPr="00354977">
        <w:rPr>
          <w:rFonts w:asciiTheme="minorHAnsi" w:hAnsiTheme="minorHAnsi" w:cstheme="minorHAnsi"/>
        </w:rPr>
        <w:t xml:space="preserve">Figure </w:t>
      </w:r>
      <w:r w:rsidR="00D54591">
        <w:rPr>
          <w:rFonts w:asciiTheme="minorHAnsi" w:hAnsiTheme="minorHAnsi" w:cstheme="minorHAnsi"/>
          <w:noProof/>
        </w:rPr>
        <w:t>7</w:t>
      </w:r>
      <w:r w:rsidR="00D54591">
        <w:rPr>
          <w:rFonts w:asciiTheme="minorHAnsi" w:hAnsiTheme="minorHAnsi" w:cstheme="minorHAnsi"/>
        </w:rPr>
        <w:fldChar w:fldCharType="end"/>
      </w:r>
      <w:r w:rsidR="00D54591">
        <w:rPr>
          <w:rFonts w:asciiTheme="minorHAnsi" w:hAnsiTheme="minorHAnsi" w:cstheme="minorHAnsi"/>
        </w:rPr>
        <w:t xml:space="preserve"> </w:t>
      </w:r>
      <w:r w:rsidR="00E060F0" w:rsidRPr="00354977">
        <w:rPr>
          <w:rFonts w:asciiTheme="minorHAnsi" w:hAnsiTheme="minorHAnsi" w:cstheme="minorHAnsi"/>
        </w:rPr>
        <w:t>overleaf</w:t>
      </w:r>
      <w:r w:rsidR="007B4608" w:rsidRPr="00354977">
        <w:rPr>
          <w:rFonts w:asciiTheme="minorHAnsi" w:hAnsiTheme="minorHAnsi" w:cstheme="minorHAnsi"/>
        </w:rPr>
        <w:t>.</w:t>
      </w:r>
      <w:r w:rsidR="00635AD2" w:rsidRPr="00354977">
        <w:rPr>
          <w:rFonts w:asciiTheme="minorHAnsi" w:hAnsiTheme="minorHAnsi" w:cstheme="minorHAnsi"/>
        </w:rPr>
        <w:t xml:space="preserve"> This Figure also </w:t>
      </w:r>
      <w:r w:rsidR="00D8492A" w:rsidRPr="00354977">
        <w:rPr>
          <w:rFonts w:asciiTheme="minorHAnsi" w:hAnsiTheme="minorHAnsi" w:cstheme="minorHAnsi"/>
        </w:rPr>
        <w:t xml:space="preserve">shows the latest thinking around energy performance, with </w:t>
      </w:r>
      <w:r w:rsidR="00E36922" w:rsidRPr="00354977">
        <w:rPr>
          <w:rFonts w:asciiTheme="minorHAnsi" w:hAnsiTheme="minorHAnsi" w:cstheme="minorHAnsi"/>
        </w:rPr>
        <w:t xml:space="preserve">the development of a National Energy Performance Strategy underway. This will </w:t>
      </w:r>
      <w:r w:rsidR="009E648D" w:rsidRPr="00354977">
        <w:rPr>
          <w:rFonts w:asciiTheme="minorHAnsi" w:hAnsiTheme="minorHAnsi" w:cstheme="minorHAnsi"/>
        </w:rPr>
        <w:t>focus on improving energy efficiency, load shifting, fuel switching and behaviour change</w:t>
      </w:r>
      <w:r w:rsidR="00354DCD" w:rsidRPr="00354977">
        <w:rPr>
          <w:rFonts w:asciiTheme="minorHAnsi" w:hAnsiTheme="minorHAnsi" w:cstheme="minorHAnsi"/>
        </w:rPr>
        <w:t>, result</w:t>
      </w:r>
      <w:r w:rsidR="0009790E" w:rsidRPr="00354977">
        <w:rPr>
          <w:rFonts w:asciiTheme="minorHAnsi" w:hAnsiTheme="minorHAnsi" w:cstheme="minorHAnsi"/>
        </w:rPr>
        <w:t>ing in</w:t>
      </w:r>
      <w:r w:rsidR="00354DCD" w:rsidRPr="00354977">
        <w:rPr>
          <w:rFonts w:asciiTheme="minorHAnsi" w:hAnsiTheme="minorHAnsi" w:cstheme="minorHAnsi"/>
        </w:rPr>
        <w:t xml:space="preserve"> better energy </w:t>
      </w:r>
      <w:r w:rsidR="00E311D2" w:rsidRPr="00354977">
        <w:rPr>
          <w:rFonts w:asciiTheme="minorHAnsi" w:hAnsiTheme="minorHAnsi" w:cstheme="minorHAnsi"/>
        </w:rPr>
        <w:t>performance</w:t>
      </w:r>
      <w:r w:rsidR="00F71011" w:rsidRPr="00354977">
        <w:rPr>
          <w:rFonts w:asciiTheme="minorHAnsi" w:hAnsiTheme="minorHAnsi" w:cstheme="minorHAnsi"/>
        </w:rPr>
        <w:t xml:space="preserve"> including in the commercial </w:t>
      </w:r>
      <w:r w:rsidR="00E36922" w:rsidRPr="00354977">
        <w:rPr>
          <w:rFonts w:asciiTheme="minorHAnsi" w:hAnsiTheme="minorHAnsi" w:cstheme="minorHAnsi"/>
        </w:rPr>
        <w:t>building secto</w:t>
      </w:r>
      <w:r w:rsidR="00C11FB8" w:rsidRPr="00354977">
        <w:rPr>
          <w:rFonts w:asciiTheme="minorHAnsi" w:hAnsiTheme="minorHAnsi" w:cstheme="minorHAnsi"/>
        </w:rPr>
        <w:t>r</w:t>
      </w:r>
      <w:r w:rsidR="00723239">
        <w:rPr>
          <w:rFonts w:ascii="ZWAdobeF" w:hAnsi="ZWAdobeF" w:cs="ZWAdobeF"/>
          <w:color w:val="auto"/>
          <w:sz w:val="2"/>
          <w:szCs w:val="2"/>
        </w:rPr>
        <w:t>11F</w:t>
      </w:r>
      <w:r w:rsidR="00EE36E3">
        <w:rPr>
          <w:rFonts w:ascii="ZWAdobeF" w:hAnsi="ZWAdobeF" w:cs="ZWAdobeF"/>
          <w:color w:val="auto"/>
          <w:sz w:val="2"/>
          <w:szCs w:val="2"/>
        </w:rPr>
        <w:t>11F</w:t>
      </w:r>
      <w:r w:rsidR="00E94853">
        <w:rPr>
          <w:rFonts w:ascii="ZWAdobeF" w:hAnsi="ZWAdobeF" w:cs="ZWAdobeF"/>
          <w:color w:val="auto"/>
          <w:sz w:val="2"/>
          <w:szCs w:val="2"/>
        </w:rPr>
        <w:t>11F</w:t>
      </w:r>
      <w:r w:rsidR="00F73A23">
        <w:rPr>
          <w:rFonts w:ascii="ZWAdobeF" w:hAnsi="ZWAdobeF" w:cs="ZWAdobeF"/>
          <w:color w:val="auto"/>
          <w:sz w:val="2"/>
          <w:szCs w:val="2"/>
        </w:rPr>
        <w:t>11F</w:t>
      </w:r>
      <w:r w:rsidR="00626378">
        <w:rPr>
          <w:rFonts w:ascii="ZWAdobeF" w:hAnsi="ZWAdobeF" w:cs="ZWAdobeF"/>
          <w:color w:val="auto"/>
          <w:sz w:val="2"/>
          <w:szCs w:val="2"/>
        </w:rPr>
        <w:t>11F</w:t>
      </w:r>
      <w:r w:rsidR="00413811">
        <w:rPr>
          <w:rFonts w:ascii="ZWAdobeF" w:hAnsi="ZWAdobeF" w:cs="ZWAdobeF"/>
          <w:color w:val="auto"/>
          <w:sz w:val="2"/>
          <w:szCs w:val="2"/>
        </w:rPr>
        <w:t>11F</w:t>
      </w:r>
      <w:r w:rsidR="002C327C">
        <w:rPr>
          <w:rFonts w:ascii="ZWAdobeF" w:hAnsi="ZWAdobeF" w:cs="ZWAdobeF"/>
          <w:color w:val="auto"/>
          <w:sz w:val="2"/>
          <w:szCs w:val="2"/>
        </w:rPr>
        <w:t>11F</w:t>
      </w:r>
      <w:r w:rsidR="00D24A06">
        <w:rPr>
          <w:rFonts w:ascii="ZWAdobeF" w:hAnsi="ZWAdobeF" w:cs="ZWAdobeF"/>
          <w:color w:val="auto"/>
          <w:sz w:val="2"/>
          <w:szCs w:val="2"/>
        </w:rPr>
        <w:t>11F</w:t>
      </w:r>
      <w:r w:rsidR="0009790E" w:rsidRPr="00354977">
        <w:rPr>
          <w:rStyle w:val="FootnoteReference"/>
          <w:rFonts w:asciiTheme="minorHAnsi" w:hAnsiTheme="minorHAnsi" w:cstheme="minorHAnsi"/>
        </w:rPr>
        <w:footnoteReference w:id="13"/>
      </w:r>
      <w:r w:rsidR="00C11FB8" w:rsidRPr="00354977">
        <w:rPr>
          <w:rFonts w:asciiTheme="minorHAnsi" w:hAnsiTheme="minorHAnsi" w:cstheme="minorHAnsi"/>
        </w:rPr>
        <w:t xml:space="preserve"> Additionally, in July 2023 </w:t>
      </w:r>
      <w:r w:rsidR="00F317A0" w:rsidRPr="00354977">
        <w:rPr>
          <w:rFonts w:asciiTheme="minorHAnsi" w:hAnsiTheme="minorHAnsi" w:cstheme="minorHAnsi"/>
        </w:rPr>
        <w:t xml:space="preserve">the Commonwealth Government </w:t>
      </w:r>
      <w:r w:rsidR="009A2198" w:rsidRPr="00354977">
        <w:rPr>
          <w:rFonts w:asciiTheme="minorHAnsi" w:hAnsiTheme="minorHAnsi" w:cstheme="minorHAnsi"/>
        </w:rPr>
        <w:t xml:space="preserve">requested the Climate Change Authority to review potential technology transition and emissions pathways for </w:t>
      </w:r>
      <w:proofErr w:type="gramStart"/>
      <w:r w:rsidR="009A2198" w:rsidRPr="00354977">
        <w:rPr>
          <w:rFonts w:asciiTheme="minorHAnsi" w:hAnsiTheme="minorHAnsi" w:cstheme="minorHAnsi"/>
        </w:rPr>
        <w:t>a number of</w:t>
      </w:r>
      <w:proofErr w:type="gramEnd"/>
      <w:r w:rsidR="009A2198" w:rsidRPr="00354977">
        <w:rPr>
          <w:rFonts w:asciiTheme="minorHAnsi" w:hAnsiTheme="minorHAnsi" w:cstheme="minorHAnsi"/>
        </w:rPr>
        <w:t xml:space="preserve"> sectors, including</w:t>
      </w:r>
      <w:r w:rsidR="00593F95" w:rsidRPr="00354977">
        <w:rPr>
          <w:rFonts w:asciiTheme="minorHAnsi" w:hAnsiTheme="minorHAnsi" w:cstheme="minorHAnsi"/>
        </w:rPr>
        <w:t xml:space="preserve"> </w:t>
      </w:r>
      <w:r w:rsidR="009A2198" w:rsidRPr="00354977">
        <w:rPr>
          <w:rFonts w:asciiTheme="minorHAnsi" w:hAnsiTheme="minorHAnsi" w:cstheme="minorHAnsi"/>
        </w:rPr>
        <w:t>for the built environment</w:t>
      </w:r>
      <w:r w:rsidR="00593F95" w:rsidRPr="00354977">
        <w:rPr>
          <w:rFonts w:asciiTheme="minorHAnsi" w:hAnsiTheme="minorHAnsi" w:cstheme="minorHAnsi"/>
        </w:rPr>
        <w:t xml:space="preserve">. This pathway will also play an important role in framing the necessary changes required </w:t>
      </w:r>
      <w:r w:rsidR="006E3323" w:rsidRPr="00354977">
        <w:rPr>
          <w:rFonts w:asciiTheme="minorHAnsi" w:hAnsiTheme="minorHAnsi" w:cstheme="minorHAnsi"/>
        </w:rPr>
        <w:t>to dri</w:t>
      </w:r>
      <w:r w:rsidR="0031089A" w:rsidRPr="00354977">
        <w:rPr>
          <w:rFonts w:asciiTheme="minorHAnsi" w:hAnsiTheme="minorHAnsi" w:cstheme="minorHAnsi"/>
        </w:rPr>
        <w:t>ve decarbonisation and energy efficiency in the sector in the progress to net zero.</w:t>
      </w:r>
      <w:r w:rsidR="00E311D2" w:rsidRPr="00354977">
        <w:rPr>
          <w:rFonts w:asciiTheme="minorHAnsi" w:hAnsiTheme="minorHAnsi" w:cstheme="minorHAnsi"/>
        </w:rPr>
        <w:t xml:space="preserve"> </w:t>
      </w:r>
      <w:r w:rsidR="00E060F0" w:rsidRPr="00354977">
        <w:rPr>
          <w:rFonts w:asciiTheme="minorHAnsi" w:hAnsiTheme="minorHAnsi" w:cstheme="minorHAnsi"/>
        </w:rPr>
        <w:t xml:space="preserve">The International Energy Agency also </w:t>
      </w:r>
      <w:r w:rsidR="005F58E8" w:rsidRPr="00354977">
        <w:rPr>
          <w:rFonts w:asciiTheme="minorHAnsi" w:hAnsiTheme="minorHAnsi" w:cstheme="minorHAnsi"/>
        </w:rPr>
        <w:t xml:space="preserve">recommends Australia </w:t>
      </w:r>
      <w:r w:rsidR="00816A52" w:rsidRPr="00354977">
        <w:rPr>
          <w:rFonts w:asciiTheme="minorHAnsi" w:hAnsiTheme="minorHAnsi" w:cstheme="minorHAnsi"/>
        </w:rPr>
        <w:t xml:space="preserve">focus on </w:t>
      </w:r>
      <w:r w:rsidR="005F58E8" w:rsidRPr="00354977">
        <w:rPr>
          <w:rFonts w:asciiTheme="minorHAnsi" w:hAnsiTheme="minorHAnsi" w:cstheme="minorHAnsi"/>
        </w:rPr>
        <w:t xml:space="preserve">energy </w:t>
      </w:r>
      <w:r w:rsidR="00816A52" w:rsidRPr="00354977">
        <w:rPr>
          <w:rFonts w:asciiTheme="minorHAnsi" w:hAnsiTheme="minorHAnsi" w:cstheme="minorHAnsi"/>
        </w:rPr>
        <w:t>efficiency as part of the transition towards net zero, recommending government introduce specific energy efficiency and savings targets and support programme</w:t>
      </w:r>
      <w:r w:rsidR="005E0AD6" w:rsidRPr="00354977">
        <w:rPr>
          <w:rFonts w:asciiTheme="minorHAnsi" w:hAnsiTheme="minorHAnsi" w:cstheme="minorHAnsi"/>
        </w:rPr>
        <w:t>s.</w:t>
      </w:r>
      <w:r w:rsidR="00723239">
        <w:rPr>
          <w:rFonts w:ascii="ZWAdobeF" w:hAnsi="ZWAdobeF" w:cs="ZWAdobeF"/>
          <w:color w:val="auto"/>
          <w:sz w:val="2"/>
          <w:szCs w:val="2"/>
        </w:rPr>
        <w:t>12F</w:t>
      </w:r>
      <w:r w:rsidR="00EE36E3">
        <w:rPr>
          <w:rFonts w:ascii="ZWAdobeF" w:hAnsi="ZWAdobeF" w:cs="ZWAdobeF"/>
          <w:color w:val="auto"/>
          <w:sz w:val="2"/>
          <w:szCs w:val="2"/>
        </w:rPr>
        <w:t>12F</w:t>
      </w:r>
      <w:r w:rsidR="00E94853">
        <w:rPr>
          <w:rFonts w:ascii="ZWAdobeF" w:hAnsi="ZWAdobeF" w:cs="ZWAdobeF"/>
          <w:color w:val="auto"/>
          <w:sz w:val="2"/>
          <w:szCs w:val="2"/>
        </w:rPr>
        <w:t>12F</w:t>
      </w:r>
      <w:r w:rsidR="00F73A23">
        <w:rPr>
          <w:rFonts w:ascii="ZWAdobeF" w:hAnsi="ZWAdobeF" w:cs="ZWAdobeF"/>
          <w:color w:val="auto"/>
          <w:sz w:val="2"/>
          <w:szCs w:val="2"/>
        </w:rPr>
        <w:t>12F</w:t>
      </w:r>
      <w:r w:rsidR="00626378">
        <w:rPr>
          <w:rFonts w:ascii="ZWAdobeF" w:hAnsi="ZWAdobeF" w:cs="ZWAdobeF"/>
          <w:color w:val="auto"/>
          <w:sz w:val="2"/>
          <w:szCs w:val="2"/>
        </w:rPr>
        <w:t>12F</w:t>
      </w:r>
      <w:r w:rsidR="00413811">
        <w:rPr>
          <w:rFonts w:ascii="ZWAdobeF" w:hAnsi="ZWAdobeF" w:cs="ZWAdobeF"/>
          <w:color w:val="auto"/>
          <w:sz w:val="2"/>
          <w:szCs w:val="2"/>
        </w:rPr>
        <w:t>12F</w:t>
      </w:r>
      <w:r w:rsidR="002C327C">
        <w:rPr>
          <w:rFonts w:ascii="ZWAdobeF" w:hAnsi="ZWAdobeF" w:cs="ZWAdobeF"/>
          <w:color w:val="auto"/>
          <w:sz w:val="2"/>
          <w:szCs w:val="2"/>
        </w:rPr>
        <w:t>12F</w:t>
      </w:r>
      <w:r w:rsidR="00D24A06">
        <w:rPr>
          <w:rFonts w:ascii="ZWAdobeF" w:hAnsi="ZWAdobeF" w:cs="ZWAdobeF"/>
          <w:color w:val="auto"/>
          <w:sz w:val="2"/>
          <w:szCs w:val="2"/>
        </w:rPr>
        <w:t>12F</w:t>
      </w:r>
      <w:r w:rsidR="00816A52" w:rsidRPr="00354977">
        <w:rPr>
          <w:rStyle w:val="FootnoteReference"/>
          <w:rFonts w:asciiTheme="minorHAnsi" w:hAnsiTheme="minorHAnsi" w:cstheme="minorHAnsi"/>
        </w:rPr>
        <w:footnoteReference w:id="14"/>
      </w:r>
    </w:p>
    <w:p w14:paraId="43E2B56E" w14:textId="30FDAAB7" w:rsidR="006B5186" w:rsidRPr="004E3937" w:rsidRDefault="006B5186" w:rsidP="004E3937">
      <w:pPr>
        <w:pStyle w:val="Caption"/>
        <w:keepNext/>
        <w:spacing w:after="120"/>
        <w:rPr>
          <w:rFonts w:ascii="Calibri" w:eastAsia="Times New Roman" w:hAnsi="Calibri" w:cs="Times New Roman"/>
          <w:b/>
          <w:bCs/>
          <w:i w:val="0"/>
          <w:iCs w:val="0"/>
          <w:color w:val="auto"/>
          <w:sz w:val="24"/>
        </w:rPr>
      </w:pPr>
      <w:bookmarkStart w:id="62" w:name="_Ref136285319"/>
      <w:bookmarkStart w:id="63" w:name="_Toc162535439"/>
      <w:r w:rsidRPr="004E3937">
        <w:rPr>
          <w:rFonts w:ascii="Calibri" w:eastAsia="Times New Roman" w:hAnsi="Calibri" w:cs="Times New Roman"/>
          <w:b/>
          <w:bCs/>
          <w:i w:val="0"/>
          <w:iCs w:val="0"/>
          <w:color w:val="auto"/>
          <w:sz w:val="24"/>
        </w:rPr>
        <w:lastRenderedPageBreak/>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3</w:t>
      </w:r>
      <w:r w:rsidRPr="004E3937">
        <w:rPr>
          <w:rFonts w:ascii="Calibri" w:eastAsia="Times New Roman" w:hAnsi="Calibri" w:cs="Times New Roman"/>
          <w:b/>
          <w:bCs/>
          <w:i w:val="0"/>
          <w:iCs w:val="0"/>
          <w:color w:val="auto"/>
          <w:sz w:val="24"/>
        </w:rPr>
        <w:fldChar w:fldCharType="end"/>
      </w:r>
      <w:bookmarkEnd w:id="62"/>
      <w:r w:rsidRPr="004E3937">
        <w:rPr>
          <w:rFonts w:ascii="Calibri" w:eastAsia="Times New Roman" w:hAnsi="Calibri" w:cs="Times New Roman"/>
          <w:b/>
          <w:bCs/>
          <w:i w:val="0"/>
          <w:iCs w:val="0"/>
          <w:color w:val="auto"/>
          <w:sz w:val="24"/>
        </w:rPr>
        <w:t xml:space="preserve">: Australian policies and initiatives influencing the building </w:t>
      </w:r>
      <w:proofErr w:type="gramStart"/>
      <w:r w:rsidRPr="004E3937">
        <w:rPr>
          <w:rFonts w:ascii="Calibri" w:eastAsia="Times New Roman" w:hAnsi="Calibri" w:cs="Times New Roman"/>
          <w:b/>
          <w:bCs/>
          <w:i w:val="0"/>
          <w:iCs w:val="0"/>
          <w:color w:val="auto"/>
          <w:sz w:val="24"/>
        </w:rPr>
        <w:t>sector</w:t>
      </w:r>
      <w:bookmarkEnd w:id="63"/>
      <w:proofErr w:type="gramEnd"/>
    </w:p>
    <w:tbl>
      <w:tblPr>
        <w:tblStyle w:val="GridTable4-Accent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6804"/>
      </w:tblGrid>
      <w:tr w:rsidR="006B5186" w:rsidRPr="0075743F" w14:paraId="246ECA8C" w14:textId="77777777" w:rsidTr="00221C41">
        <w:trPr>
          <w:cnfStyle w:val="100000000000" w:firstRow="1" w:lastRow="0" w:firstColumn="0" w:lastColumn="0" w:oddVBand="0" w:evenVBand="0" w:oddHBand="0" w:evenHBand="0" w:firstRowFirstColumn="0" w:firstRowLastColumn="0" w:lastRowFirstColumn="0" w:lastRowLastColumn="0"/>
          <w:cantSplit/>
          <w:trHeight w:val="389"/>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6B570AA9" w14:textId="27E4701C" w:rsidR="006B5186" w:rsidRPr="000E7BE6" w:rsidRDefault="006B5186">
            <w:pPr>
              <w:spacing w:before="0" w:after="0"/>
              <w:jc w:val="center"/>
              <w:rPr>
                <w:rFonts w:asciiTheme="minorHAnsi" w:hAnsiTheme="minorHAnsi" w:cstheme="minorHAnsi"/>
                <w:szCs w:val="20"/>
              </w:rPr>
            </w:pPr>
            <w:r w:rsidRPr="000E7BE6">
              <w:rPr>
                <w:rFonts w:asciiTheme="minorHAnsi" w:hAnsiTheme="minorHAnsi" w:cstheme="minorHAnsi"/>
                <w:szCs w:val="20"/>
              </w:rPr>
              <w:t>Performance or attribute based</w:t>
            </w:r>
            <w:r w:rsidR="00723239" w:rsidRPr="000E7BE6">
              <w:rPr>
                <w:rFonts w:ascii="ZWAdobeF" w:hAnsi="ZWAdobeF" w:cs="ZWAdobeF"/>
                <w:b w:val="0"/>
                <w:sz w:val="2"/>
                <w:szCs w:val="2"/>
              </w:rPr>
              <w:t>13F</w:t>
            </w:r>
            <w:r w:rsidR="00EE36E3" w:rsidRPr="000E7BE6">
              <w:rPr>
                <w:rFonts w:ascii="ZWAdobeF" w:hAnsi="ZWAdobeF" w:cs="ZWAdobeF"/>
                <w:b w:val="0"/>
                <w:sz w:val="2"/>
                <w:szCs w:val="2"/>
              </w:rPr>
              <w:t>13F</w:t>
            </w:r>
            <w:r w:rsidR="00E94853" w:rsidRPr="000E7BE6">
              <w:rPr>
                <w:rFonts w:ascii="ZWAdobeF" w:hAnsi="ZWAdobeF" w:cs="ZWAdobeF"/>
                <w:b w:val="0"/>
                <w:sz w:val="2"/>
                <w:szCs w:val="2"/>
              </w:rPr>
              <w:t>13F</w:t>
            </w:r>
            <w:r w:rsidR="00F73A23" w:rsidRPr="000E7BE6">
              <w:rPr>
                <w:rFonts w:ascii="ZWAdobeF" w:hAnsi="ZWAdobeF" w:cs="ZWAdobeF"/>
                <w:b w:val="0"/>
                <w:sz w:val="2"/>
                <w:szCs w:val="2"/>
              </w:rPr>
              <w:t>13F</w:t>
            </w:r>
            <w:r w:rsidR="00626378">
              <w:rPr>
                <w:rFonts w:ascii="ZWAdobeF" w:hAnsi="ZWAdobeF" w:cs="ZWAdobeF"/>
                <w:b w:val="0"/>
                <w:color w:val="auto"/>
                <w:sz w:val="2"/>
                <w:szCs w:val="2"/>
              </w:rPr>
              <w:t>13F</w:t>
            </w:r>
            <w:r w:rsidR="00413811">
              <w:rPr>
                <w:rFonts w:ascii="ZWAdobeF" w:hAnsi="ZWAdobeF" w:cs="ZWAdobeF"/>
                <w:b w:val="0"/>
                <w:color w:val="auto"/>
                <w:sz w:val="2"/>
                <w:szCs w:val="2"/>
              </w:rPr>
              <w:t>13F</w:t>
            </w:r>
            <w:r w:rsidR="002C327C">
              <w:rPr>
                <w:rFonts w:ascii="ZWAdobeF" w:hAnsi="ZWAdobeF" w:cs="ZWAdobeF"/>
                <w:b w:val="0"/>
                <w:color w:val="auto"/>
                <w:sz w:val="2"/>
                <w:szCs w:val="2"/>
              </w:rPr>
              <w:t>13F</w:t>
            </w:r>
            <w:r w:rsidR="00D24A06">
              <w:rPr>
                <w:rFonts w:ascii="ZWAdobeF" w:hAnsi="ZWAdobeF" w:cs="ZWAdobeF"/>
                <w:b w:val="0"/>
                <w:color w:val="auto"/>
                <w:sz w:val="2"/>
                <w:szCs w:val="2"/>
              </w:rPr>
              <w:t>13F</w:t>
            </w:r>
            <w:r w:rsidRPr="000E7BE6">
              <w:rPr>
                <w:rStyle w:val="FootnoteReference"/>
                <w:rFonts w:asciiTheme="minorHAnsi" w:hAnsiTheme="minorHAnsi" w:cstheme="minorHAnsi"/>
                <w:szCs w:val="20"/>
              </w:rPr>
              <w:footnoteReference w:id="15"/>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540DD19" w14:textId="77777777" w:rsidR="006B5186" w:rsidRPr="000E7BE6" w:rsidRDefault="006B518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0E7BE6">
              <w:rPr>
                <w:rFonts w:asciiTheme="minorHAnsi" w:hAnsiTheme="minorHAnsi" w:cstheme="minorHAnsi"/>
                <w:szCs w:val="20"/>
              </w:rPr>
              <w:t>Policy or Initiative to influence change</w:t>
            </w:r>
          </w:p>
        </w:tc>
      </w:tr>
      <w:tr w:rsidR="006B5186" w:rsidRPr="0075743F" w14:paraId="6D5A45F2" w14:textId="77777777" w:rsidTr="00221C41">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vAlign w:val="center"/>
          </w:tcPr>
          <w:p w14:paraId="495D14C1" w14:textId="77777777" w:rsidR="006B5186" w:rsidRPr="00354977" w:rsidRDefault="006B5186">
            <w:pPr>
              <w:jc w:val="center"/>
              <w:rPr>
                <w:rFonts w:asciiTheme="minorHAnsi" w:hAnsiTheme="minorHAnsi" w:cstheme="minorHAnsi"/>
                <w:b w:val="0"/>
                <w:szCs w:val="20"/>
              </w:rPr>
            </w:pPr>
            <w:r w:rsidRPr="00354977">
              <w:rPr>
                <w:rFonts w:asciiTheme="minorHAnsi" w:hAnsiTheme="minorHAnsi" w:cstheme="minorHAnsi"/>
                <w:szCs w:val="20"/>
              </w:rPr>
              <w:t xml:space="preserve">Performance based </w:t>
            </w:r>
          </w:p>
        </w:tc>
        <w:tc>
          <w:tcPr>
            <w:tcW w:w="6804" w:type="dxa"/>
            <w:tcBorders>
              <w:top w:val="single" w:sz="4" w:space="0" w:color="auto"/>
            </w:tcBorders>
            <w:vAlign w:val="center"/>
          </w:tcPr>
          <w:p w14:paraId="12F21D49" w14:textId="77777777" w:rsidR="006B5186" w:rsidRPr="00A7426B" w:rsidRDefault="006B518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rPr>
            </w:pPr>
            <w:r w:rsidRPr="00A7426B">
              <w:rPr>
                <w:rFonts w:asciiTheme="minorHAnsi" w:hAnsiTheme="minorHAnsi" w:cstheme="minorHAnsi"/>
                <w:color w:val="000000"/>
                <w:szCs w:val="20"/>
              </w:rPr>
              <w:t>National Greenhouse and Energy Reporting Act 2007 (</w:t>
            </w:r>
            <w:proofErr w:type="spellStart"/>
            <w:r w:rsidRPr="00A7426B">
              <w:rPr>
                <w:rFonts w:asciiTheme="minorHAnsi" w:hAnsiTheme="minorHAnsi" w:cstheme="minorHAnsi"/>
                <w:color w:val="000000"/>
                <w:szCs w:val="20"/>
              </w:rPr>
              <w:t>NGERS</w:t>
            </w:r>
            <w:proofErr w:type="spellEnd"/>
            <w:r w:rsidRPr="00A7426B">
              <w:rPr>
                <w:rFonts w:asciiTheme="minorHAnsi" w:hAnsiTheme="minorHAnsi" w:cstheme="minorHAnsi"/>
                <w:color w:val="000000"/>
                <w:szCs w:val="20"/>
              </w:rPr>
              <w:t>)</w:t>
            </w:r>
          </w:p>
        </w:tc>
      </w:tr>
      <w:tr w:rsidR="006B5186" w:rsidRPr="0075743F" w14:paraId="408B87F9" w14:textId="77777777" w:rsidTr="00A7426B">
        <w:trPr>
          <w:cantSplit/>
          <w:trHeight w:val="340"/>
        </w:trPr>
        <w:tc>
          <w:tcPr>
            <w:cnfStyle w:val="001000000000" w:firstRow="0" w:lastRow="0" w:firstColumn="1" w:lastColumn="0" w:oddVBand="0" w:evenVBand="0" w:oddHBand="0" w:evenHBand="0" w:firstRowFirstColumn="0" w:firstRowLastColumn="0" w:lastRowFirstColumn="0" w:lastRowLastColumn="0"/>
            <w:tcW w:w="3397" w:type="dxa"/>
            <w:shd w:val="clear" w:color="auto" w:fill="D1DAF9" w:themeFill="accent1" w:themeFillTint="33"/>
            <w:vAlign w:val="center"/>
          </w:tcPr>
          <w:p w14:paraId="3B3A393E" w14:textId="5055735B" w:rsidR="006B5186" w:rsidRPr="00354977" w:rsidRDefault="002A5F6A">
            <w:pPr>
              <w:jc w:val="center"/>
              <w:rPr>
                <w:rFonts w:asciiTheme="minorHAnsi" w:hAnsiTheme="minorHAnsi" w:cstheme="minorHAnsi"/>
                <w:b w:val="0"/>
                <w:szCs w:val="20"/>
              </w:rPr>
            </w:pPr>
            <w:r w:rsidRPr="00354977">
              <w:rPr>
                <w:rFonts w:asciiTheme="minorHAnsi" w:hAnsiTheme="minorHAnsi" w:cstheme="minorHAnsi"/>
                <w:szCs w:val="20"/>
              </w:rPr>
              <w:t>Performance based</w:t>
            </w:r>
          </w:p>
        </w:tc>
        <w:tc>
          <w:tcPr>
            <w:tcW w:w="6804" w:type="dxa"/>
            <w:shd w:val="clear" w:color="auto" w:fill="D1DAF9" w:themeFill="accent1" w:themeFillTint="33"/>
            <w:vAlign w:val="center"/>
          </w:tcPr>
          <w:p w14:paraId="43B2E1C1" w14:textId="77777777" w:rsidR="006B5186" w:rsidRPr="00354977" w:rsidRDefault="006B518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54977">
              <w:rPr>
                <w:rFonts w:asciiTheme="minorHAnsi" w:hAnsiTheme="minorHAnsi" w:cstheme="minorHAnsi"/>
                <w:szCs w:val="20"/>
              </w:rPr>
              <w:t>Building Energy Efficiency Certificate (BEED Act 2010)</w:t>
            </w:r>
          </w:p>
        </w:tc>
      </w:tr>
      <w:tr w:rsidR="006B5186" w:rsidRPr="0075743F" w14:paraId="534A67F3" w14:textId="77777777" w:rsidTr="000E7BE6">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3EC33A6" w14:textId="79374AB7" w:rsidR="006B5186" w:rsidRPr="00354977" w:rsidRDefault="002A5F6A">
            <w:pPr>
              <w:spacing w:before="0" w:after="0"/>
              <w:jc w:val="center"/>
              <w:rPr>
                <w:rFonts w:asciiTheme="minorHAnsi" w:hAnsiTheme="minorHAnsi" w:cstheme="minorHAnsi"/>
                <w:b w:val="0"/>
                <w:szCs w:val="20"/>
              </w:rPr>
            </w:pPr>
            <w:r w:rsidRPr="00354977">
              <w:rPr>
                <w:rFonts w:asciiTheme="minorHAnsi" w:hAnsiTheme="minorHAnsi" w:cstheme="minorHAnsi"/>
                <w:szCs w:val="20"/>
              </w:rPr>
              <w:t>Performance based</w:t>
            </w:r>
          </w:p>
        </w:tc>
        <w:tc>
          <w:tcPr>
            <w:tcW w:w="6804" w:type="dxa"/>
            <w:vAlign w:val="center"/>
            <w:hideMark/>
          </w:tcPr>
          <w:p w14:paraId="57863920" w14:textId="77777777" w:rsidR="006B5186" w:rsidRPr="00354977" w:rsidRDefault="006B518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54977">
              <w:rPr>
                <w:rFonts w:asciiTheme="minorHAnsi" w:hAnsiTheme="minorHAnsi" w:cstheme="minorHAnsi"/>
                <w:szCs w:val="20"/>
              </w:rPr>
              <w:t>National Australian Built Environment Rating System (NABERS)</w:t>
            </w:r>
          </w:p>
        </w:tc>
      </w:tr>
      <w:tr w:rsidR="006B5186" w:rsidRPr="0075743F" w14:paraId="030B5C6D" w14:textId="77777777" w:rsidTr="00A7426B">
        <w:trPr>
          <w:cantSplit/>
          <w:trHeight w:val="340"/>
        </w:trPr>
        <w:tc>
          <w:tcPr>
            <w:cnfStyle w:val="001000000000" w:firstRow="0" w:lastRow="0" w:firstColumn="1" w:lastColumn="0" w:oddVBand="0" w:evenVBand="0" w:oddHBand="0" w:evenHBand="0" w:firstRowFirstColumn="0" w:firstRowLastColumn="0" w:lastRowFirstColumn="0" w:lastRowLastColumn="0"/>
            <w:tcW w:w="3397" w:type="dxa"/>
            <w:shd w:val="clear" w:color="auto" w:fill="D1DAF9" w:themeFill="accent1" w:themeFillTint="33"/>
            <w:vAlign w:val="center"/>
          </w:tcPr>
          <w:p w14:paraId="6882C19F" w14:textId="593A3475" w:rsidR="006B5186" w:rsidRPr="00354977" w:rsidRDefault="002A5F6A">
            <w:pPr>
              <w:spacing w:before="0" w:after="0"/>
              <w:jc w:val="center"/>
              <w:rPr>
                <w:rFonts w:asciiTheme="minorHAnsi" w:hAnsiTheme="minorHAnsi" w:cstheme="minorHAnsi"/>
                <w:b w:val="0"/>
                <w:szCs w:val="20"/>
              </w:rPr>
            </w:pPr>
            <w:r w:rsidRPr="00354977">
              <w:rPr>
                <w:rFonts w:asciiTheme="minorHAnsi" w:hAnsiTheme="minorHAnsi" w:cstheme="minorHAnsi"/>
                <w:szCs w:val="20"/>
              </w:rPr>
              <w:t>Performance based</w:t>
            </w:r>
          </w:p>
        </w:tc>
        <w:tc>
          <w:tcPr>
            <w:tcW w:w="6804" w:type="dxa"/>
            <w:shd w:val="clear" w:color="auto" w:fill="D1DAF9" w:themeFill="accent1" w:themeFillTint="33"/>
            <w:vAlign w:val="center"/>
          </w:tcPr>
          <w:p w14:paraId="7B4AE3A0" w14:textId="77777777" w:rsidR="006B5186" w:rsidRPr="00354977" w:rsidRDefault="006B518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54977">
              <w:rPr>
                <w:rFonts w:asciiTheme="minorHAnsi" w:hAnsiTheme="minorHAnsi" w:cstheme="minorHAnsi"/>
                <w:szCs w:val="20"/>
              </w:rPr>
              <w:t>Climate Active Carbon Neutral Buildings</w:t>
            </w:r>
          </w:p>
        </w:tc>
      </w:tr>
      <w:tr w:rsidR="006B5186" w:rsidRPr="0075743F" w14:paraId="1600C0AD" w14:textId="77777777" w:rsidTr="000E7BE6">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5E57944" w14:textId="6429D7B3" w:rsidR="006B5186" w:rsidRPr="00354977" w:rsidRDefault="002A5F6A">
            <w:pPr>
              <w:spacing w:before="0" w:after="0"/>
              <w:jc w:val="center"/>
              <w:rPr>
                <w:rFonts w:asciiTheme="minorHAnsi" w:hAnsiTheme="minorHAnsi" w:cstheme="minorHAnsi"/>
                <w:b w:val="0"/>
                <w:szCs w:val="20"/>
              </w:rPr>
            </w:pPr>
            <w:r w:rsidRPr="00354977">
              <w:rPr>
                <w:rFonts w:asciiTheme="minorHAnsi" w:hAnsiTheme="minorHAnsi" w:cstheme="minorHAnsi"/>
                <w:szCs w:val="20"/>
              </w:rPr>
              <w:t>Performance based</w:t>
            </w:r>
          </w:p>
        </w:tc>
        <w:tc>
          <w:tcPr>
            <w:tcW w:w="6804" w:type="dxa"/>
            <w:vAlign w:val="center"/>
          </w:tcPr>
          <w:p w14:paraId="2F6A2456" w14:textId="77777777" w:rsidR="006B5186" w:rsidRPr="00354977" w:rsidRDefault="006B518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354977">
              <w:rPr>
                <w:rFonts w:asciiTheme="minorHAnsi" w:hAnsiTheme="minorHAnsi" w:cstheme="minorHAnsi"/>
                <w:szCs w:val="20"/>
              </w:rPr>
              <w:t xml:space="preserve">Greenhouse and Energy Minimum Standards Act 2012 (GEMS Act) </w:t>
            </w:r>
          </w:p>
        </w:tc>
      </w:tr>
      <w:tr w:rsidR="006B5186" w:rsidRPr="0075743F" w14:paraId="65901C9A" w14:textId="77777777" w:rsidTr="00221C41">
        <w:trPr>
          <w:cantSplit/>
          <w:trHeight w:val="340"/>
        </w:trPr>
        <w:tc>
          <w:tcPr>
            <w:cnfStyle w:val="001000000000" w:firstRow="0" w:lastRow="0" w:firstColumn="1" w:lastColumn="0" w:oddVBand="0" w:evenVBand="0" w:oddHBand="0" w:evenHBand="0" w:firstRowFirstColumn="0" w:firstRowLastColumn="0" w:lastRowFirstColumn="0" w:lastRowLastColumn="0"/>
            <w:tcW w:w="3397" w:type="dxa"/>
            <w:shd w:val="clear" w:color="auto" w:fill="D1DAF9" w:themeFill="accent1" w:themeFillTint="33"/>
            <w:vAlign w:val="center"/>
          </w:tcPr>
          <w:p w14:paraId="35EC60A0" w14:textId="77777777" w:rsidR="006B5186" w:rsidRPr="00354977" w:rsidRDefault="006B5186">
            <w:pPr>
              <w:spacing w:before="0" w:after="0"/>
              <w:jc w:val="center"/>
              <w:rPr>
                <w:rFonts w:asciiTheme="minorHAnsi" w:hAnsiTheme="minorHAnsi" w:cstheme="minorHAnsi"/>
                <w:b w:val="0"/>
                <w:szCs w:val="20"/>
              </w:rPr>
            </w:pPr>
            <w:r w:rsidRPr="00354977">
              <w:rPr>
                <w:rFonts w:asciiTheme="minorHAnsi" w:hAnsiTheme="minorHAnsi" w:cstheme="minorHAnsi"/>
                <w:szCs w:val="20"/>
              </w:rPr>
              <w:t xml:space="preserve">Attribute based </w:t>
            </w:r>
          </w:p>
        </w:tc>
        <w:tc>
          <w:tcPr>
            <w:tcW w:w="6804" w:type="dxa"/>
            <w:shd w:val="clear" w:color="auto" w:fill="D1DAF9" w:themeFill="accent1" w:themeFillTint="33"/>
            <w:vAlign w:val="center"/>
            <w:hideMark/>
          </w:tcPr>
          <w:p w14:paraId="4843A14F" w14:textId="77777777" w:rsidR="006B5186" w:rsidRPr="00354977" w:rsidRDefault="006B5186">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54977">
              <w:rPr>
                <w:rFonts w:asciiTheme="minorHAnsi" w:hAnsiTheme="minorHAnsi" w:cstheme="minorHAnsi"/>
                <w:szCs w:val="20"/>
              </w:rPr>
              <w:t>National Construction Code (</w:t>
            </w:r>
            <w:proofErr w:type="spellStart"/>
            <w:r w:rsidRPr="00354977">
              <w:rPr>
                <w:rFonts w:asciiTheme="minorHAnsi" w:hAnsiTheme="minorHAnsi" w:cstheme="minorHAnsi"/>
                <w:szCs w:val="20"/>
              </w:rPr>
              <w:t>NCC</w:t>
            </w:r>
            <w:proofErr w:type="spellEnd"/>
            <w:r w:rsidRPr="00354977">
              <w:rPr>
                <w:rFonts w:asciiTheme="minorHAnsi" w:hAnsiTheme="minorHAnsi" w:cstheme="minorHAnsi"/>
                <w:szCs w:val="20"/>
              </w:rPr>
              <w:t>)</w:t>
            </w:r>
          </w:p>
        </w:tc>
      </w:tr>
      <w:tr w:rsidR="006B5186" w:rsidRPr="0075743F" w14:paraId="0CF12179" w14:textId="77777777" w:rsidTr="00221C41">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4A63608" w14:textId="024B3456" w:rsidR="006B5186" w:rsidRPr="00354977" w:rsidRDefault="00D10E11" w:rsidP="00D10E11">
            <w:pPr>
              <w:spacing w:before="0" w:after="0"/>
              <w:jc w:val="center"/>
              <w:rPr>
                <w:rFonts w:asciiTheme="minorHAnsi" w:hAnsiTheme="minorHAnsi" w:cstheme="minorHAnsi"/>
                <w:szCs w:val="20"/>
              </w:rPr>
            </w:pPr>
            <w:r w:rsidRPr="00354977">
              <w:rPr>
                <w:rFonts w:asciiTheme="minorHAnsi" w:hAnsiTheme="minorHAnsi" w:cstheme="minorHAnsi"/>
                <w:szCs w:val="20"/>
              </w:rPr>
              <w:t>Attribute based</w:t>
            </w:r>
          </w:p>
        </w:tc>
        <w:tc>
          <w:tcPr>
            <w:tcW w:w="6804" w:type="dxa"/>
            <w:vAlign w:val="center"/>
          </w:tcPr>
          <w:p w14:paraId="5773B4EF" w14:textId="77777777" w:rsidR="006B5186" w:rsidRPr="00354977" w:rsidRDefault="006B5186">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54977">
              <w:rPr>
                <w:rFonts w:asciiTheme="minorHAnsi" w:hAnsiTheme="minorHAnsi" w:cstheme="minorHAnsi"/>
                <w:szCs w:val="20"/>
              </w:rPr>
              <w:t>Green Star and Green Building Council of Australia (</w:t>
            </w:r>
            <w:proofErr w:type="spellStart"/>
            <w:r w:rsidRPr="00354977">
              <w:rPr>
                <w:rFonts w:asciiTheme="minorHAnsi" w:hAnsiTheme="minorHAnsi" w:cstheme="minorHAnsi"/>
                <w:szCs w:val="20"/>
              </w:rPr>
              <w:t>GBCA</w:t>
            </w:r>
            <w:proofErr w:type="spellEnd"/>
            <w:r w:rsidRPr="00354977">
              <w:rPr>
                <w:rFonts w:asciiTheme="minorHAnsi" w:hAnsiTheme="minorHAnsi" w:cstheme="minorHAnsi"/>
                <w:szCs w:val="20"/>
              </w:rPr>
              <w:t>).</w:t>
            </w:r>
          </w:p>
        </w:tc>
      </w:tr>
    </w:tbl>
    <w:p w14:paraId="32D22070" w14:textId="77777777" w:rsidR="00E12AFF" w:rsidRPr="00354977" w:rsidRDefault="00E12AFF" w:rsidP="000815D9">
      <w:pPr>
        <w:pStyle w:val="BodyText"/>
        <w:jc w:val="both"/>
        <w:rPr>
          <w:rFonts w:asciiTheme="minorHAnsi" w:hAnsiTheme="minorHAnsi" w:cstheme="minorHAnsi"/>
        </w:rPr>
      </w:pPr>
    </w:p>
    <w:p w14:paraId="33C5BA50" w14:textId="330496B4" w:rsidR="00E12AFF" w:rsidRPr="00354977" w:rsidRDefault="003A5C30" w:rsidP="001D6FCF">
      <w:pPr>
        <w:pStyle w:val="Heading3"/>
        <w:rPr>
          <w:rFonts w:asciiTheme="minorHAnsi" w:hAnsiTheme="minorHAnsi" w:cstheme="minorHAnsi"/>
        </w:rPr>
      </w:pPr>
      <w:r w:rsidRPr="00354977">
        <w:rPr>
          <w:rFonts w:asciiTheme="minorHAnsi" w:hAnsiTheme="minorHAnsi" w:cstheme="minorHAnsi"/>
        </w:rPr>
        <w:t xml:space="preserve">Energy efficiency </w:t>
      </w:r>
      <w:r w:rsidR="00016392">
        <w:rPr>
          <w:rFonts w:asciiTheme="minorHAnsi" w:hAnsiTheme="minorHAnsi" w:cstheme="minorHAnsi"/>
        </w:rPr>
        <w:t>reducing network electricity</w:t>
      </w:r>
      <w:r w:rsidR="00113190">
        <w:rPr>
          <w:rFonts w:asciiTheme="minorHAnsi" w:hAnsiTheme="minorHAnsi" w:cstheme="minorHAnsi"/>
        </w:rPr>
        <w:t xml:space="preserve"> </w:t>
      </w:r>
      <w:proofErr w:type="gramStart"/>
      <w:r w:rsidR="00A076AF" w:rsidRPr="00354977">
        <w:rPr>
          <w:rFonts w:asciiTheme="minorHAnsi" w:hAnsiTheme="minorHAnsi" w:cstheme="minorHAnsi"/>
        </w:rPr>
        <w:t>demand</w:t>
      </w:r>
      <w:proofErr w:type="gramEnd"/>
      <w:r w:rsidR="00A076AF" w:rsidRPr="00354977">
        <w:rPr>
          <w:rFonts w:asciiTheme="minorHAnsi" w:hAnsiTheme="minorHAnsi" w:cstheme="minorHAnsi"/>
        </w:rPr>
        <w:t xml:space="preserve"> </w:t>
      </w:r>
    </w:p>
    <w:p w14:paraId="1902461B" w14:textId="100347FE" w:rsidR="00177F5E" w:rsidRPr="00354977" w:rsidRDefault="00C255A8" w:rsidP="00B47834">
      <w:pPr>
        <w:pStyle w:val="BodyText"/>
        <w:rPr>
          <w:rFonts w:asciiTheme="minorHAnsi" w:hAnsiTheme="minorHAnsi" w:cstheme="minorHAnsi"/>
        </w:rPr>
      </w:pPr>
      <w:r w:rsidRPr="00354977">
        <w:rPr>
          <w:rFonts w:asciiTheme="minorHAnsi" w:hAnsiTheme="minorHAnsi" w:cstheme="minorHAnsi"/>
        </w:rPr>
        <w:t xml:space="preserve">As </w:t>
      </w:r>
      <w:r w:rsidR="00003EAA" w:rsidRPr="00354977">
        <w:rPr>
          <w:rFonts w:asciiTheme="minorHAnsi" w:hAnsiTheme="minorHAnsi" w:cstheme="minorHAnsi"/>
        </w:rPr>
        <w:t xml:space="preserve">the nation </w:t>
      </w:r>
      <w:r w:rsidR="00A53B59" w:rsidRPr="00354977">
        <w:rPr>
          <w:rFonts w:asciiTheme="minorHAnsi" w:hAnsiTheme="minorHAnsi" w:cstheme="minorHAnsi"/>
        </w:rPr>
        <w:t>transitions away from fossil fuels</w:t>
      </w:r>
      <w:r w:rsidR="003A5C30" w:rsidRPr="00354977">
        <w:rPr>
          <w:rFonts w:asciiTheme="minorHAnsi" w:hAnsiTheme="minorHAnsi" w:cstheme="minorHAnsi"/>
        </w:rPr>
        <w:t xml:space="preserve"> and</w:t>
      </w:r>
      <w:r w:rsidR="00A53B59" w:rsidRPr="00354977">
        <w:rPr>
          <w:rFonts w:asciiTheme="minorHAnsi" w:hAnsiTheme="minorHAnsi" w:cstheme="minorHAnsi"/>
        </w:rPr>
        <w:t xml:space="preserve"> </w:t>
      </w:r>
      <w:r w:rsidR="00003EAA" w:rsidRPr="00354977">
        <w:rPr>
          <w:rFonts w:asciiTheme="minorHAnsi" w:hAnsiTheme="minorHAnsi" w:cstheme="minorHAnsi"/>
        </w:rPr>
        <w:t xml:space="preserve">towards an electrified </w:t>
      </w:r>
      <w:r w:rsidR="00A53B59" w:rsidRPr="00354977">
        <w:rPr>
          <w:rFonts w:asciiTheme="minorHAnsi" w:hAnsiTheme="minorHAnsi" w:cstheme="minorHAnsi"/>
        </w:rPr>
        <w:t>future</w:t>
      </w:r>
      <w:r w:rsidR="000B29F0" w:rsidRPr="00354977">
        <w:rPr>
          <w:rFonts w:asciiTheme="minorHAnsi" w:hAnsiTheme="minorHAnsi" w:cstheme="minorHAnsi"/>
        </w:rPr>
        <w:t xml:space="preserve"> there will be</w:t>
      </w:r>
      <w:r w:rsidR="00637047" w:rsidRPr="00354977">
        <w:rPr>
          <w:rFonts w:asciiTheme="minorHAnsi" w:hAnsiTheme="minorHAnsi" w:cstheme="minorHAnsi"/>
        </w:rPr>
        <w:t xml:space="preserve"> a</w:t>
      </w:r>
      <w:r w:rsidR="000B29F0" w:rsidRPr="00354977">
        <w:rPr>
          <w:rFonts w:asciiTheme="minorHAnsi" w:hAnsiTheme="minorHAnsi" w:cstheme="minorHAnsi"/>
        </w:rPr>
        <w:t xml:space="preserve"> significant</w:t>
      </w:r>
      <w:r w:rsidR="00A53B59" w:rsidRPr="00354977">
        <w:rPr>
          <w:rFonts w:asciiTheme="minorHAnsi" w:hAnsiTheme="minorHAnsi" w:cstheme="minorHAnsi"/>
        </w:rPr>
        <w:t xml:space="preserve"> </w:t>
      </w:r>
      <w:r w:rsidR="000B29F0" w:rsidRPr="00354977">
        <w:rPr>
          <w:rFonts w:asciiTheme="minorHAnsi" w:hAnsiTheme="minorHAnsi" w:cstheme="minorHAnsi"/>
        </w:rPr>
        <w:t xml:space="preserve">increase in </w:t>
      </w:r>
      <w:r w:rsidR="0074702E" w:rsidRPr="00354977">
        <w:rPr>
          <w:rFonts w:asciiTheme="minorHAnsi" w:hAnsiTheme="minorHAnsi" w:cstheme="minorHAnsi"/>
        </w:rPr>
        <w:t xml:space="preserve">electricity demand caused </w:t>
      </w:r>
      <w:r w:rsidR="000F7FF0" w:rsidRPr="00354977">
        <w:rPr>
          <w:rFonts w:asciiTheme="minorHAnsi" w:hAnsiTheme="minorHAnsi" w:cstheme="minorHAnsi"/>
        </w:rPr>
        <w:t>by the rise of electric vehicles (</w:t>
      </w:r>
      <w:r w:rsidR="000F7FF0" w:rsidRPr="00354977">
        <w:rPr>
          <w:rFonts w:asciiTheme="minorHAnsi" w:hAnsiTheme="minorHAnsi" w:cstheme="minorHAnsi"/>
          <w:b/>
        </w:rPr>
        <w:t>EV</w:t>
      </w:r>
      <w:r w:rsidR="000F7FF0" w:rsidRPr="00354977">
        <w:rPr>
          <w:rFonts w:asciiTheme="minorHAnsi" w:hAnsiTheme="minorHAnsi" w:cstheme="minorHAnsi"/>
        </w:rPr>
        <w:t>)</w:t>
      </w:r>
      <w:r w:rsidR="000B29F0" w:rsidRPr="00354977">
        <w:rPr>
          <w:rFonts w:asciiTheme="minorHAnsi" w:hAnsiTheme="minorHAnsi" w:cstheme="minorHAnsi"/>
        </w:rPr>
        <w:t xml:space="preserve"> </w:t>
      </w:r>
      <w:r w:rsidR="002C0A9E" w:rsidRPr="00354977">
        <w:rPr>
          <w:rFonts w:asciiTheme="minorHAnsi" w:hAnsiTheme="minorHAnsi" w:cstheme="minorHAnsi"/>
        </w:rPr>
        <w:t xml:space="preserve">and </w:t>
      </w:r>
      <w:r w:rsidR="00747ECE" w:rsidRPr="00354977">
        <w:rPr>
          <w:rFonts w:asciiTheme="minorHAnsi" w:hAnsiTheme="minorHAnsi" w:cstheme="minorHAnsi"/>
        </w:rPr>
        <w:t>electrification</w:t>
      </w:r>
      <w:r w:rsidR="0041472C" w:rsidRPr="00354977">
        <w:rPr>
          <w:rFonts w:asciiTheme="minorHAnsi" w:hAnsiTheme="minorHAnsi" w:cstheme="minorHAnsi"/>
        </w:rPr>
        <w:t xml:space="preserve"> </w:t>
      </w:r>
      <w:r w:rsidR="00503354" w:rsidRPr="00354977">
        <w:rPr>
          <w:rFonts w:asciiTheme="minorHAnsi" w:hAnsiTheme="minorHAnsi" w:cstheme="minorHAnsi"/>
        </w:rPr>
        <w:t xml:space="preserve">of </w:t>
      </w:r>
      <w:r w:rsidR="00747ECE" w:rsidRPr="00354977">
        <w:rPr>
          <w:rFonts w:asciiTheme="minorHAnsi" w:hAnsiTheme="minorHAnsi" w:cstheme="minorHAnsi"/>
        </w:rPr>
        <w:t xml:space="preserve">traditional gas </w:t>
      </w:r>
      <w:r w:rsidR="00503354" w:rsidRPr="00354977">
        <w:rPr>
          <w:rFonts w:asciiTheme="minorHAnsi" w:hAnsiTheme="minorHAnsi" w:cstheme="minorHAnsi"/>
        </w:rPr>
        <w:t>space heating</w:t>
      </w:r>
      <w:r w:rsidR="00A511AE" w:rsidRPr="00354977">
        <w:rPr>
          <w:rFonts w:asciiTheme="minorHAnsi" w:hAnsiTheme="minorHAnsi" w:cstheme="minorHAnsi"/>
        </w:rPr>
        <w:t xml:space="preserve"> and </w:t>
      </w:r>
      <w:proofErr w:type="spellStart"/>
      <w:r w:rsidR="008160C3" w:rsidRPr="00354977">
        <w:rPr>
          <w:rFonts w:asciiTheme="minorHAnsi" w:hAnsiTheme="minorHAnsi" w:cstheme="minorHAnsi"/>
        </w:rPr>
        <w:t>DHW</w:t>
      </w:r>
      <w:proofErr w:type="spellEnd"/>
      <w:r w:rsidR="008160C3" w:rsidRPr="00354977">
        <w:rPr>
          <w:rFonts w:asciiTheme="minorHAnsi" w:hAnsiTheme="minorHAnsi" w:cstheme="minorHAnsi"/>
        </w:rPr>
        <w:t xml:space="preserve"> </w:t>
      </w:r>
      <w:r w:rsidR="00747ECE" w:rsidRPr="00354977">
        <w:rPr>
          <w:rFonts w:asciiTheme="minorHAnsi" w:hAnsiTheme="minorHAnsi" w:cstheme="minorHAnsi"/>
        </w:rPr>
        <w:t xml:space="preserve">assets </w:t>
      </w:r>
      <w:r w:rsidR="005B2564" w:rsidRPr="00354977">
        <w:rPr>
          <w:rFonts w:asciiTheme="minorHAnsi" w:hAnsiTheme="minorHAnsi" w:cstheme="minorHAnsi"/>
        </w:rPr>
        <w:t xml:space="preserve">in </w:t>
      </w:r>
      <w:r w:rsidR="00450125" w:rsidRPr="00354977">
        <w:rPr>
          <w:rFonts w:asciiTheme="minorHAnsi" w:hAnsiTheme="minorHAnsi" w:cstheme="minorHAnsi"/>
        </w:rPr>
        <w:t>residential and non-residential building stock.</w:t>
      </w:r>
      <w:r w:rsidR="004D4484" w:rsidRPr="00354977">
        <w:rPr>
          <w:rFonts w:asciiTheme="minorHAnsi" w:hAnsiTheme="minorHAnsi" w:cstheme="minorHAnsi"/>
        </w:rPr>
        <w:t xml:space="preserve"> To meet this </w:t>
      </w:r>
      <w:r w:rsidR="002801F8" w:rsidRPr="00354977">
        <w:rPr>
          <w:rFonts w:asciiTheme="minorHAnsi" w:hAnsiTheme="minorHAnsi" w:cstheme="minorHAnsi"/>
        </w:rPr>
        <w:t xml:space="preserve">increased </w:t>
      </w:r>
      <w:r w:rsidR="004D4484" w:rsidRPr="00354977">
        <w:rPr>
          <w:rFonts w:asciiTheme="minorHAnsi" w:hAnsiTheme="minorHAnsi" w:cstheme="minorHAnsi"/>
        </w:rPr>
        <w:t>demand</w:t>
      </w:r>
      <w:r w:rsidR="00B54BCC" w:rsidRPr="00354977">
        <w:rPr>
          <w:rFonts w:asciiTheme="minorHAnsi" w:hAnsiTheme="minorHAnsi" w:cstheme="minorHAnsi"/>
        </w:rPr>
        <w:t xml:space="preserve"> </w:t>
      </w:r>
      <w:r w:rsidR="00A94177" w:rsidRPr="00354977">
        <w:rPr>
          <w:rFonts w:asciiTheme="minorHAnsi" w:hAnsiTheme="minorHAnsi" w:cstheme="minorHAnsi"/>
        </w:rPr>
        <w:t xml:space="preserve">the </w:t>
      </w:r>
      <w:r w:rsidR="004E3DEF" w:rsidRPr="00354977">
        <w:rPr>
          <w:rFonts w:asciiTheme="minorHAnsi" w:hAnsiTheme="minorHAnsi" w:cstheme="minorHAnsi"/>
        </w:rPr>
        <w:t xml:space="preserve">electricity </w:t>
      </w:r>
      <w:r w:rsidR="00C67DA4">
        <w:rPr>
          <w:rFonts w:asciiTheme="minorHAnsi" w:hAnsiTheme="minorHAnsi" w:cstheme="minorHAnsi"/>
        </w:rPr>
        <w:t>grid</w:t>
      </w:r>
      <w:r w:rsidR="004E3DEF" w:rsidRPr="00354977">
        <w:rPr>
          <w:rFonts w:asciiTheme="minorHAnsi" w:hAnsiTheme="minorHAnsi" w:cstheme="minorHAnsi"/>
        </w:rPr>
        <w:t xml:space="preserve"> will be required to </w:t>
      </w:r>
      <w:r w:rsidR="00DA2E8F" w:rsidRPr="00354977">
        <w:rPr>
          <w:rFonts w:asciiTheme="minorHAnsi" w:hAnsiTheme="minorHAnsi" w:cstheme="minorHAnsi"/>
        </w:rPr>
        <w:t>up</w:t>
      </w:r>
      <w:r w:rsidR="008A33DD" w:rsidRPr="00354977">
        <w:rPr>
          <w:rFonts w:asciiTheme="minorHAnsi" w:hAnsiTheme="minorHAnsi" w:cstheme="minorHAnsi"/>
        </w:rPr>
        <w:t>grade the</w:t>
      </w:r>
      <w:r w:rsidR="007D290B" w:rsidRPr="00354977">
        <w:rPr>
          <w:rFonts w:asciiTheme="minorHAnsi" w:hAnsiTheme="minorHAnsi" w:cstheme="minorHAnsi"/>
        </w:rPr>
        <w:t xml:space="preserve"> network</w:t>
      </w:r>
      <w:r w:rsidR="008A33DD" w:rsidRPr="00354977">
        <w:rPr>
          <w:rFonts w:asciiTheme="minorHAnsi" w:hAnsiTheme="minorHAnsi" w:cstheme="minorHAnsi"/>
        </w:rPr>
        <w:t xml:space="preserve"> capacity </w:t>
      </w:r>
      <w:r w:rsidR="00D86895" w:rsidRPr="00354977">
        <w:rPr>
          <w:rFonts w:asciiTheme="minorHAnsi" w:hAnsiTheme="minorHAnsi" w:cstheme="minorHAnsi"/>
        </w:rPr>
        <w:t>with more transmission towers, poles</w:t>
      </w:r>
      <w:r w:rsidR="00C110ED" w:rsidRPr="00354977">
        <w:rPr>
          <w:rFonts w:asciiTheme="minorHAnsi" w:hAnsiTheme="minorHAnsi" w:cstheme="minorHAnsi"/>
        </w:rPr>
        <w:t xml:space="preserve">, </w:t>
      </w:r>
      <w:proofErr w:type="gramStart"/>
      <w:r w:rsidR="00D86895" w:rsidRPr="00354977">
        <w:rPr>
          <w:rFonts w:asciiTheme="minorHAnsi" w:hAnsiTheme="minorHAnsi" w:cstheme="minorHAnsi"/>
        </w:rPr>
        <w:t>wires</w:t>
      </w:r>
      <w:proofErr w:type="gramEnd"/>
      <w:r w:rsidR="00D86895" w:rsidRPr="00354977">
        <w:rPr>
          <w:rFonts w:asciiTheme="minorHAnsi" w:hAnsiTheme="minorHAnsi" w:cstheme="minorHAnsi"/>
        </w:rPr>
        <w:t xml:space="preserve"> and substations</w:t>
      </w:r>
      <w:r w:rsidR="00FE4A22" w:rsidRPr="00354977">
        <w:rPr>
          <w:rFonts w:asciiTheme="minorHAnsi" w:hAnsiTheme="minorHAnsi" w:cstheme="minorHAnsi"/>
        </w:rPr>
        <w:t>.</w:t>
      </w:r>
      <w:r w:rsidR="00C110ED" w:rsidRPr="00354977">
        <w:rPr>
          <w:rFonts w:asciiTheme="minorHAnsi" w:hAnsiTheme="minorHAnsi" w:cstheme="minorHAnsi"/>
        </w:rPr>
        <w:t xml:space="preserve"> The expense, </w:t>
      </w:r>
      <w:proofErr w:type="gramStart"/>
      <w:r w:rsidR="00C110ED" w:rsidRPr="00354977">
        <w:rPr>
          <w:rFonts w:asciiTheme="minorHAnsi" w:hAnsiTheme="minorHAnsi" w:cstheme="minorHAnsi"/>
        </w:rPr>
        <w:t>time</w:t>
      </w:r>
      <w:proofErr w:type="gramEnd"/>
      <w:r w:rsidR="00C110ED" w:rsidRPr="00354977">
        <w:rPr>
          <w:rFonts w:asciiTheme="minorHAnsi" w:hAnsiTheme="minorHAnsi" w:cstheme="minorHAnsi"/>
        </w:rPr>
        <w:t xml:space="preserve"> and effort it takes to build transmission line infrastructure </w:t>
      </w:r>
      <w:r w:rsidR="00052685" w:rsidRPr="00354977">
        <w:rPr>
          <w:rFonts w:asciiTheme="minorHAnsi" w:hAnsiTheme="minorHAnsi" w:cstheme="minorHAnsi"/>
        </w:rPr>
        <w:t>can</w:t>
      </w:r>
      <w:r w:rsidR="00402017" w:rsidRPr="00354977">
        <w:rPr>
          <w:rFonts w:asciiTheme="minorHAnsi" w:hAnsiTheme="minorHAnsi" w:cstheme="minorHAnsi"/>
        </w:rPr>
        <w:t xml:space="preserve"> cause substantial</w:t>
      </w:r>
      <w:r w:rsidR="00052685" w:rsidRPr="00354977">
        <w:rPr>
          <w:rFonts w:asciiTheme="minorHAnsi" w:hAnsiTheme="minorHAnsi" w:cstheme="minorHAnsi"/>
        </w:rPr>
        <w:t xml:space="preserve"> </w:t>
      </w:r>
      <w:r w:rsidR="002250A5" w:rsidRPr="00354977">
        <w:rPr>
          <w:rFonts w:asciiTheme="minorHAnsi" w:hAnsiTheme="minorHAnsi" w:cstheme="minorHAnsi"/>
        </w:rPr>
        <w:t>delay</w:t>
      </w:r>
      <w:r w:rsidR="00402017" w:rsidRPr="00354977">
        <w:rPr>
          <w:rFonts w:asciiTheme="minorHAnsi" w:hAnsiTheme="minorHAnsi" w:cstheme="minorHAnsi"/>
        </w:rPr>
        <w:t xml:space="preserve">s to </w:t>
      </w:r>
      <w:r w:rsidR="00874FB2" w:rsidRPr="00354977">
        <w:rPr>
          <w:rFonts w:asciiTheme="minorHAnsi" w:hAnsiTheme="minorHAnsi" w:cstheme="minorHAnsi"/>
        </w:rPr>
        <w:t>capital upgrade work</w:t>
      </w:r>
      <w:r w:rsidR="00402017" w:rsidRPr="00354977">
        <w:rPr>
          <w:rFonts w:asciiTheme="minorHAnsi" w:hAnsiTheme="minorHAnsi" w:cstheme="minorHAnsi"/>
        </w:rPr>
        <w:t xml:space="preserve">s </w:t>
      </w:r>
      <w:r w:rsidR="00480240" w:rsidRPr="00354977">
        <w:rPr>
          <w:rFonts w:asciiTheme="minorHAnsi" w:hAnsiTheme="minorHAnsi" w:cstheme="minorHAnsi"/>
        </w:rPr>
        <w:t>and</w:t>
      </w:r>
      <w:r w:rsidR="004E3DEF" w:rsidRPr="00354977">
        <w:rPr>
          <w:rFonts w:asciiTheme="minorHAnsi" w:hAnsiTheme="minorHAnsi" w:cstheme="minorHAnsi"/>
        </w:rPr>
        <w:t xml:space="preserve"> </w:t>
      </w:r>
      <w:proofErr w:type="spellStart"/>
      <w:r w:rsidR="00B54BCC" w:rsidRPr="00354977">
        <w:rPr>
          <w:rFonts w:asciiTheme="minorHAnsi" w:hAnsiTheme="minorHAnsi" w:cstheme="minorHAnsi"/>
        </w:rPr>
        <w:t>BTM</w:t>
      </w:r>
      <w:proofErr w:type="spellEnd"/>
      <w:r w:rsidR="00B54BCC" w:rsidRPr="00354977">
        <w:rPr>
          <w:rFonts w:asciiTheme="minorHAnsi" w:hAnsiTheme="minorHAnsi" w:cstheme="minorHAnsi"/>
        </w:rPr>
        <w:t xml:space="preserve"> </w:t>
      </w:r>
      <w:r w:rsidR="00F67111" w:rsidRPr="00354977">
        <w:rPr>
          <w:rFonts w:asciiTheme="minorHAnsi" w:hAnsiTheme="minorHAnsi" w:cstheme="minorHAnsi"/>
        </w:rPr>
        <w:t xml:space="preserve">generation </w:t>
      </w:r>
      <w:r w:rsidR="00782176" w:rsidRPr="00354977">
        <w:rPr>
          <w:rFonts w:asciiTheme="minorHAnsi" w:hAnsiTheme="minorHAnsi" w:cstheme="minorHAnsi"/>
        </w:rPr>
        <w:t xml:space="preserve">combined with </w:t>
      </w:r>
      <w:r w:rsidR="00F67111" w:rsidRPr="00354977">
        <w:rPr>
          <w:rFonts w:asciiTheme="minorHAnsi" w:hAnsiTheme="minorHAnsi" w:cstheme="minorHAnsi"/>
        </w:rPr>
        <w:t>e</w:t>
      </w:r>
      <w:r w:rsidR="00B54BCC" w:rsidRPr="00354977">
        <w:rPr>
          <w:rFonts w:asciiTheme="minorHAnsi" w:hAnsiTheme="minorHAnsi" w:cstheme="minorHAnsi"/>
        </w:rPr>
        <w:t xml:space="preserve">nergy efficiency is </w:t>
      </w:r>
      <w:r w:rsidR="006B5186" w:rsidRPr="00354977">
        <w:rPr>
          <w:rFonts w:asciiTheme="minorHAnsi" w:hAnsiTheme="minorHAnsi" w:cstheme="minorHAnsi"/>
        </w:rPr>
        <w:t>the best method for</w:t>
      </w:r>
      <w:r w:rsidR="009840BA" w:rsidRPr="00354977">
        <w:rPr>
          <w:rFonts w:asciiTheme="minorHAnsi" w:hAnsiTheme="minorHAnsi" w:cstheme="minorHAnsi"/>
        </w:rPr>
        <w:t xml:space="preserve"> </w:t>
      </w:r>
      <w:r w:rsidR="0068567E" w:rsidRPr="00354977">
        <w:rPr>
          <w:rFonts w:asciiTheme="minorHAnsi" w:hAnsiTheme="minorHAnsi" w:cstheme="minorHAnsi"/>
        </w:rPr>
        <w:t>reducing the need</w:t>
      </w:r>
      <w:r w:rsidR="007E152B" w:rsidRPr="00354977">
        <w:rPr>
          <w:rFonts w:asciiTheme="minorHAnsi" w:hAnsiTheme="minorHAnsi" w:cstheme="minorHAnsi"/>
        </w:rPr>
        <w:t xml:space="preserve"> for network infrastr</w:t>
      </w:r>
      <w:r w:rsidR="009833DE" w:rsidRPr="00354977">
        <w:rPr>
          <w:rFonts w:asciiTheme="minorHAnsi" w:hAnsiTheme="minorHAnsi" w:cstheme="minorHAnsi"/>
        </w:rPr>
        <w:t>u</w:t>
      </w:r>
      <w:r w:rsidR="007E152B" w:rsidRPr="00354977">
        <w:rPr>
          <w:rFonts w:asciiTheme="minorHAnsi" w:hAnsiTheme="minorHAnsi" w:cstheme="minorHAnsi"/>
        </w:rPr>
        <w:t>cture upgrades</w:t>
      </w:r>
      <w:r w:rsidR="009833DE" w:rsidRPr="00354977">
        <w:rPr>
          <w:rFonts w:asciiTheme="minorHAnsi" w:hAnsiTheme="minorHAnsi" w:cstheme="minorHAnsi"/>
        </w:rPr>
        <w:t>, alleviating the grid of additional loads and for organisations to progress ahead with their own sustainability agendas.</w:t>
      </w:r>
      <w:r w:rsidR="0002105D" w:rsidRPr="00354977">
        <w:rPr>
          <w:rFonts w:asciiTheme="minorHAnsi" w:hAnsiTheme="minorHAnsi" w:cstheme="minorHAnsi"/>
        </w:rPr>
        <w:t xml:space="preserve"> </w:t>
      </w:r>
    </w:p>
    <w:p w14:paraId="7DC9E672" w14:textId="77777777" w:rsidR="00177F5E" w:rsidRPr="00354977" w:rsidRDefault="00177F5E" w:rsidP="00B47834">
      <w:pPr>
        <w:pStyle w:val="BodyText"/>
        <w:rPr>
          <w:rFonts w:asciiTheme="minorHAnsi" w:hAnsiTheme="minorHAnsi" w:cstheme="minorHAnsi"/>
        </w:rPr>
      </w:pPr>
    </w:p>
    <w:p w14:paraId="5D15E333" w14:textId="77777777" w:rsidR="00411E50" w:rsidRDefault="00411E50" w:rsidP="00411E50">
      <w:pPr>
        <w:pStyle w:val="Caption"/>
        <w:rPr>
          <w:rFonts w:asciiTheme="minorHAnsi" w:hAnsiTheme="minorHAnsi" w:cstheme="minorHAnsi"/>
        </w:rPr>
      </w:pPr>
      <w:bookmarkStart w:id="64" w:name="_Ref148522592"/>
    </w:p>
    <w:p w14:paraId="5843D482" w14:textId="4F9B5CCF" w:rsidR="000815D9" w:rsidRPr="00080D86" w:rsidRDefault="00411E50" w:rsidP="00080D86">
      <w:pPr>
        <w:pStyle w:val="Caption"/>
        <w:keepNext/>
        <w:spacing w:after="120"/>
        <w:rPr>
          <w:rFonts w:ascii="Calibri" w:eastAsia="Times New Roman" w:hAnsi="Calibri" w:cs="Times New Roman"/>
          <w:b/>
          <w:bCs/>
          <w:i w:val="0"/>
          <w:iCs w:val="0"/>
          <w:color w:val="auto"/>
          <w:sz w:val="24"/>
        </w:rPr>
      </w:pPr>
      <w:bookmarkStart w:id="65" w:name="_Ref157675682"/>
      <w:bookmarkStart w:id="66" w:name="_Toc157687012"/>
      <w:bookmarkStart w:id="67" w:name="_Hlk154052678"/>
      <w:r w:rsidRPr="00080D86">
        <w:rPr>
          <w:rFonts w:ascii="Calibri" w:eastAsia="Times New Roman" w:hAnsi="Calibri" w:cs="Times New Roman"/>
          <w:b/>
          <w:bCs/>
          <w:i w:val="0"/>
          <w:iCs w:val="0"/>
          <w:color w:val="auto"/>
          <w:sz w:val="24"/>
        </w:rPr>
        <w:t xml:space="preserve">Figure </w:t>
      </w:r>
      <w:r w:rsidRPr="00080D86">
        <w:rPr>
          <w:rFonts w:ascii="Calibri" w:eastAsia="Times New Roman" w:hAnsi="Calibri" w:cs="Times New Roman"/>
          <w:b/>
          <w:bCs/>
          <w:i w:val="0"/>
          <w:iCs w:val="0"/>
          <w:color w:val="auto"/>
          <w:sz w:val="24"/>
        </w:rPr>
        <w:fldChar w:fldCharType="begin"/>
      </w:r>
      <w:r w:rsidRPr="00080D86">
        <w:rPr>
          <w:rFonts w:ascii="Calibri" w:eastAsia="Times New Roman" w:hAnsi="Calibri" w:cs="Times New Roman"/>
          <w:b/>
          <w:bCs/>
          <w:i w:val="0"/>
          <w:iCs w:val="0"/>
          <w:color w:val="auto"/>
          <w:sz w:val="24"/>
        </w:rPr>
        <w:instrText xml:space="preserve"> SEQ Figure \* ARABIC </w:instrText>
      </w:r>
      <w:r w:rsidRPr="00080D8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7</w:t>
      </w:r>
      <w:r w:rsidRPr="00080D86">
        <w:rPr>
          <w:rFonts w:ascii="Calibri" w:eastAsia="Times New Roman" w:hAnsi="Calibri" w:cs="Times New Roman"/>
          <w:b/>
          <w:bCs/>
          <w:i w:val="0"/>
          <w:iCs w:val="0"/>
          <w:color w:val="auto"/>
          <w:sz w:val="24"/>
        </w:rPr>
        <w:fldChar w:fldCharType="end"/>
      </w:r>
      <w:bookmarkEnd w:id="64"/>
      <w:bookmarkEnd w:id="65"/>
      <w:r w:rsidRPr="00080D86">
        <w:rPr>
          <w:rFonts w:ascii="Calibri" w:eastAsia="Times New Roman" w:hAnsi="Calibri" w:cs="Times New Roman"/>
          <w:b/>
          <w:bCs/>
          <w:i w:val="0"/>
          <w:iCs w:val="0"/>
          <w:color w:val="auto"/>
          <w:sz w:val="24"/>
        </w:rPr>
        <w:t xml:space="preserve">: Major milestones by state, territory and Australian governments to improve emission </w:t>
      </w:r>
      <w:proofErr w:type="gramStart"/>
      <w:r w:rsidRPr="00080D86">
        <w:rPr>
          <w:rFonts w:ascii="Calibri" w:eastAsia="Times New Roman" w:hAnsi="Calibri" w:cs="Times New Roman"/>
          <w:b/>
          <w:bCs/>
          <w:i w:val="0"/>
          <w:iCs w:val="0"/>
          <w:color w:val="auto"/>
          <w:sz w:val="24"/>
        </w:rPr>
        <w:t>profiles</w:t>
      </w:r>
      <w:bookmarkEnd w:id="66"/>
      <w:proofErr w:type="gramEnd"/>
      <w:r w:rsidR="000815D9" w:rsidRPr="00080D86">
        <w:rPr>
          <w:rFonts w:ascii="Calibri" w:eastAsia="Times New Roman" w:hAnsi="Calibri" w:cs="Times New Roman"/>
          <w:b/>
          <w:bCs/>
          <w:i w:val="0"/>
          <w:iCs w:val="0"/>
          <w:color w:val="auto"/>
          <w:sz w:val="24"/>
        </w:rPr>
        <w:t>  </w:t>
      </w:r>
    </w:p>
    <w:p w14:paraId="4575BF1F" w14:textId="79D4933E" w:rsidR="0040122E" w:rsidRDefault="00714F28" w:rsidP="00583255">
      <w:pPr>
        <w:pStyle w:val="Caption"/>
        <w:rPr>
          <w:rFonts w:asciiTheme="minorHAnsi" w:hAnsiTheme="minorHAnsi" w:cstheme="minorHAnsi"/>
        </w:rPr>
      </w:pPr>
      <w:bookmarkStart w:id="68" w:name="_Ref133820718"/>
      <w:bookmarkStart w:id="69" w:name="_Ref136359648"/>
      <w:bookmarkEnd w:id="67"/>
      <w:r>
        <w:rPr>
          <w:rFonts w:asciiTheme="minorHAnsi" w:hAnsiTheme="minorHAnsi" w:cstheme="minorHAnsi"/>
          <w:noProof/>
        </w:rPr>
        <w:drawing>
          <wp:inline distT="0" distB="0" distL="0" distR="0" wp14:anchorId="4BEE325F" wp14:editId="38867DB4">
            <wp:extent cx="6401782" cy="3086401"/>
            <wp:effectExtent l="0" t="0" r="0" b="0"/>
            <wp:docPr id="1837010249" name="Picture 1837010249" descr="Timeline depicting the major milestone the state, territory and Australian governments have undergone to improve emission profiles. See Appendix 11, table 37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10249" name="Picture 1837010249" descr="Timeline depicting the major milestone the state, territory and Australian governments have undergone to improve emission profiles. See Appendix 11, table 37 for detai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8427" cy="3094426"/>
                    </a:xfrm>
                    <a:prstGeom prst="rect">
                      <a:avLst/>
                    </a:prstGeom>
                    <a:noFill/>
                  </pic:spPr>
                </pic:pic>
              </a:graphicData>
            </a:graphic>
          </wp:inline>
        </w:drawing>
      </w:r>
    </w:p>
    <w:p w14:paraId="4F6A9810" w14:textId="6F676EE4" w:rsidR="001F44D1" w:rsidRDefault="001F44D1" w:rsidP="001F44D1">
      <w:pPr>
        <w:pStyle w:val="Caption"/>
        <w:jc w:val="center"/>
        <w:rPr>
          <w:rFonts w:ascii="Calibri" w:eastAsia="Times New Roman" w:hAnsi="Calibri" w:cs="Times New Roman"/>
          <w:b/>
          <w:bCs/>
          <w:i w:val="0"/>
          <w:iCs w:val="0"/>
          <w:color w:val="auto"/>
          <w:sz w:val="24"/>
        </w:rPr>
      </w:pPr>
      <w:hyperlink w:anchor="_Table_37:_Details"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7</w:t>
        </w:r>
        <w:r>
          <w:rPr>
            <w:rStyle w:val="Hyperlink"/>
            <w:rFonts w:asciiTheme="minorHAnsi" w:hAnsiTheme="minorHAnsi" w:cstheme="minorHAnsi"/>
          </w:rPr>
          <w:t xml:space="preserve"> [Appendix 11 Table 3</w:t>
        </w:r>
        <w:r>
          <w:rPr>
            <w:rStyle w:val="Hyperlink"/>
            <w:rFonts w:asciiTheme="minorHAnsi" w:hAnsiTheme="minorHAnsi" w:cstheme="minorHAnsi"/>
          </w:rPr>
          <w:t>7</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1AFF4E46" w14:textId="77777777" w:rsidR="001F44D1" w:rsidRPr="001F44D1" w:rsidRDefault="001F44D1" w:rsidP="001F44D1"/>
    <w:p w14:paraId="7C980C7D" w14:textId="6372CC04" w:rsidR="00FF03A1" w:rsidRPr="00F81ADB" w:rsidRDefault="002E2830" w:rsidP="00214D42">
      <w:pPr>
        <w:pStyle w:val="Heading2"/>
        <w:rPr>
          <w:rFonts w:cstheme="minorHAnsi"/>
        </w:rPr>
      </w:pPr>
      <w:bookmarkStart w:id="70" w:name="_Toc133844018"/>
      <w:bookmarkStart w:id="71" w:name="_Toc136286363"/>
      <w:bookmarkStart w:id="72" w:name="_Toc154059364"/>
      <w:bookmarkStart w:id="73" w:name="_Toc132295368"/>
      <w:bookmarkStart w:id="74" w:name="_Toc132295405"/>
      <w:bookmarkEnd w:id="68"/>
      <w:bookmarkEnd w:id="69"/>
      <w:r w:rsidRPr="00F81ADB">
        <w:rPr>
          <w:rFonts w:cstheme="minorHAnsi"/>
        </w:rPr>
        <w:lastRenderedPageBreak/>
        <w:t>Other Policies Affecting Building Performance</w:t>
      </w:r>
      <w:bookmarkEnd w:id="70"/>
      <w:bookmarkEnd w:id="71"/>
      <w:bookmarkEnd w:id="72"/>
      <w:r w:rsidRPr="00F81ADB">
        <w:rPr>
          <w:rFonts w:cstheme="minorHAnsi"/>
        </w:rPr>
        <w:t xml:space="preserve"> </w:t>
      </w:r>
      <w:bookmarkEnd w:id="73"/>
      <w:bookmarkEnd w:id="74"/>
    </w:p>
    <w:p w14:paraId="302CDF04" w14:textId="392A3290" w:rsidR="00DF6A49" w:rsidRPr="00354977" w:rsidRDefault="00DF6A49" w:rsidP="00214D42">
      <w:pPr>
        <w:pStyle w:val="Heading3"/>
        <w:rPr>
          <w:rFonts w:asciiTheme="minorHAnsi" w:hAnsiTheme="minorHAnsi" w:cstheme="minorHAnsi"/>
        </w:rPr>
      </w:pPr>
      <w:bookmarkStart w:id="75" w:name="_Toc132295371"/>
      <w:bookmarkStart w:id="76" w:name="_Toc132380896"/>
      <w:bookmarkStart w:id="77" w:name="_Toc133844019"/>
      <w:bookmarkStart w:id="78" w:name="_Toc136286364"/>
      <w:bookmarkStart w:id="79" w:name="_Toc132295369"/>
      <w:r w:rsidRPr="00354977">
        <w:rPr>
          <w:rFonts w:asciiTheme="minorHAnsi" w:hAnsiTheme="minorHAnsi" w:cstheme="minorHAnsi"/>
        </w:rPr>
        <w:t>Incentive Schemes</w:t>
      </w:r>
      <w:bookmarkEnd w:id="75"/>
      <w:bookmarkEnd w:id="76"/>
      <w:bookmarkEnd w:id="77"/>
      <w:bookmarkEnd w:id="78"/>
    </w:p>
    <w:p w14:paraId="447457DF" w14:textId="19FA6F77" w:rsidR="00DF6A49" w:rsidRPr="00354977" w:rsidRDefault="009E07E6" w:rsidP="004332C7">
      <w:pPr>
        <w:jc w:val="both"/>
        <w:rPr>
          <w:rFonts w:asciiTheme="minorHAnsi" w:hAnsiTheme="minorHAnsi" w:cstheme="minorHAnsi"/>
        </w:rPr>
      </w:pPr>
      <w:r w:rsidRPr="00354977">
        <w:rPr>
          <w:rFonts w:asciiTheme="minorHAnsi" w:hAnsiTheme="minorHAnsi" w:cstheme="minorHAnsi"/>
        </w:rPr>
        <w:t>I</w:t>
      </w:r>
      <w:r w:rsidR="00DF6A49" w:rsidRPr="00354977">
        <w:rPr>
          <w:rFonts w:asciiTheme="minorHAnsi" w:hAnsiTheme="minorHAnsi" w:cstheme="minorHAnsi"/>
        </w:rPr>
        <w:t>ncentive schemes</w:t>
      </w:r>
      <w:r w:rsidR="00C57E84" w:rsidRPr="00354977">
        <w:rPr>
          <w:rFonts w:asciiTheme="minorHAnsi" w:hAnsiTheme="minorHAnsi" w:cstheme="minorHAnsi"/>
        </w:rPr>
        <w:t xml:space="preserve">, </w:t>
      </w:r>
      <w:r w:rsidR="00DF6A49" w:rsidRPr="00354977">
        <w:rPr>
          <w:rFonts w:asciiTheme="minorHAnsi" w:hAnsiTheme="minorHAnsi" w:cstheme="minorHAnsi"/>
        </w:rPr>
        <w:t>grant</w:t>
      </w:r>
      <w:r w:rsidR="00C57E84" w:rsidRPr="00354977">
        <w:rPr>
          <w:rFonts w:asciiTheme="minorHAnsi" w:hAnsiTheme="minorHAnsi" w:cstheme="minorHAnsi"/>
        </w:rPr>
        <w:t>s</w:t>
      </w:r>
      <w:r w:rsidR="00DF6A49" w:rsidRPr="00354977">
        <w:rPr>
          <w:rFonts w:asciiTheme="minorHAnsi" w:hAnsiTheme="minorHAnsi" w:cstheme="minorHAnsi"/>
        </w:rPr>
        <w:t xml:space="preserve"> and loan programs aim to encourage investment in energy efficiency measures</w:t>
      </w:r>
      <w:r w:rsidR="00073981" w:rsidRPr="00354977">
        <w:rPr>
          <w:rFonts w:asciiTheme="minorHAnsi" w:hAnsiTheme="minorHAnsi" w:cstheme="minorHAnsi"/>
        </w:rPr>
        <w:t xml:space="preserve">, including for </w:t>
      </w:r>
      <w:r w:rsidR="003C1E5F" w:rsidRPr="00354977">
        <w:rPr>
          <w:rFonts w:asciiTheme="minorHAnsi" w:hAnsiTheme="minorHAnsi" w:cstheme="minorHAnsi"/>
        </w:rPr>
        <w:t>commercial buildings</w:t>
      </w:r>
      <w:r w:rsidR="00DF6A49" w:rsidRPr="00354977">
        <w:rPr>
          <w:rFonts w:asciiTheme="minorHAnsi" w:hAnsiTheme="minorHAnsi" w:cstheme="minorHAnsi"/>
        </w:rPr>
        <w:t xml:space="preserve">. </w:t>
      </w:r>
      <w:r w:rsidR="00E078BA" w:rsidRPr="00354977">
        <w:rPr>
          <w:rFonts w:asciiTheme="minorHAnsi" w:hAnsiTheme="minorHAnsi" w:cstheme="minorHAnsi"/>
        </w:rPr>
        <w:t xml:space="preserve">While </w:t>
      </w:r>
      <w:r w:rsidR="00861C53" w:rsidRPr="00354977">
        <w:rPr>
          <w:rFonts w:asciiTheme="minorHAnsi" w:hAnsiTheme="minorHAnsi" w:cstheme="minorHAnsi"/>
        </w:rPr>
        <w:t xml:space="preserve">beyond the direct </w:t>
      </w:r>
      <w:r w:rsidR="00E078BA" w:rsidRPr="00354977">
        <w:rPr>
          <w:rFonts w:asciiTheme="minorHAnsi" w:hAnsiTheme="minorHAnsi" w:cstheme="minorHAnsi"/>
        </w:rPr>
        <w:t xml:space="preserve">scope </w:t>
      </w:r>
      <w:r w:rsidR="00861C53" w:rsidRPr="00354977">
        <w:rPr>
          <w:rFonts w:asciiTheme="minorHAnsi" w:hAnsiTheme="minorHAnsi" w:cstheme="minorHAnsi"/>
        </w:rPr>
        <w:t xml:space="preserve">of </w:t>
      </w:r>
      <w:r w:rsidR="00E078BA" w:rsidRPr="00354977">
        <w:rPr>
          <w:rFonts w:asciiTheme="minorHAnsi" w:hAnsiTheme="minorHAnsi" w:cstheme="minorHAnsi"/>
        </w:rPr>
        <w:t xml:space="preserve">this report, they provide important complements to regulatory interventions and </w:t>
      </w:r>
      <w:r w:rsidR="00DF6A49" w:rsidRPr="00354977">
        <w:rPr>
          <w:rFonts w:asciiTheme="minorHAnsi" w:hAnsiTheme="minorHAnsi" w:cstheme="minorHAnsi"/>
        </w:rPr>
        <w:t>include:</w:t>
      </w:r>
    </w:p>
    <w:p w14:paraId="52CB7F1D" w14:textId="77777777" w:rsidR="00DF6A49" w:rsidRPr="00354977" w:rsidRDefault="00DF6A49" w:rsidP="00214D42">
      <w:pPr>
        <w:pStyle w:val="BodyText"/>
        <w:numPr>
          <w:ilvl w:val="0"/>
          <w:numId w:val="8"/>
        </w:numPr>
        <w:jc w:val="both"/>
        <w:rPr>
          <w:rFonts w:asciiTheme="minorHAnsi" w:hAnsiTheme="minorHAnsi" w:cstheme="minorHAnsi"/>
        </w:rPr>
      </w:pPr>
      <w:r w:rsidRPr="00354977">
        <w:rPr>
          <w:rFonts w:asciiTheme="minorHAnsi" w:hAnsiTheme="minorHAnsi" w:cstheme="minorHAnsi"/>
          <w:i/>
        </w:rPr>
        <w:t>Low-interest loans for commercial energy efficiency upgrades</w:t>
      </w:r>
      <w:r w:rsidRPr="00354977">
        <w:rPr>
          <w:rFonts w:asciiTheme="minorHAnsi" w:hAnsiTheme="minorHAnsi" w:cstheme="minorHAnsi"/>
        </w:rPr>
        <w:t>: Several states such as Victoria, New South Wales, and Queensland offer low-interest loans to commercial building owners who want to upgrade their buildings with energy-efficient technologies such as solar panels, lighting, and insulation.</w:t>
      </w:r>
    </w:p>
    <w:p w14:paraId="0160A6BC" w14:textId="1AD8F563" w:rsidR="00DF6A49" w:rsidRPr="00354977" w:rsidRDefault="00733035" w:rsidP="00214D42">
      <w:pPr>
        <w:pStyle w:val="BodyText"/>
        <w:numPr>
          <w:ilvl w:val="0"/>
          <w:numId w:val="8"/>
        </w:numPr>
        <w:jc w:val="both"/>
        <w:rPr>
          <w:rFonts w:asciiTheme="minorHAnsi" w:hAnsiTheme="minorHAnsi" w:cstheme="minorHAnsi"/>
        </w:rPr>
      </w:pPr>
      <w:r w:rsidRPr="00354977">
        <w:rPr>
          <w:rFonts w:asciiTheme="minorHAnsi" w:hAnsiTheme="minorHAnsi" w:cstheme="minorHAnsi"/>
          <w:i/>
        </w:rPr>
        <w:t>White certificate schemes</w:t>
      </w:r>
      <w:r w:rsidR="008A1D28" w:rsidRPr="00354977">
        <w:rPr>
          <w:rFonts w:asciiTheme="minorHAnsi" w:hAnsiTheme="minorHAnsi" w:cstheme="minorHAnsi"/>
        </w:rPr>
        <w:t>:</w:t>
      </w:r>
      <w:r w:rsidR="00B100DE" w:rsidRPr="00354977">
        <w:rPr>
          <w:rFonts w:asciiTheme="minorHAnsi" w:hAnsiTheme="minorHAnsi" w:cstheme="minorHAnsi"/>
        </w:rPr>
        <w:t xml:space="preserve"> </w:t>
      </w:r>
      <w:r w:rsidR="00905CA9" w:rsidRPr="00354977">
        <w:rPr>
          <w:rFonts w:asciiTheme="minorHAnsi" w:hAnsiTheme="minorHAnsi" w:cstheme="minorHAnsi"/>
        </w:rPr>
        <w:t xml:space="preserve">several </w:t>
      </w:r>
      <w:r w:rsidR="008A1D28" w:rsidRPr="00354977">
        <w:rPr>
          <w:rFonts w:asciiTheme="minorHAnsi" w:hAnsiTheme="minorHAnsi" w:cstheme="minorHAnsi"/>
        </w:rPr>
        <w:t>S</w:t>
      </w:r>
      <w:r w:rsidR="00905CA9" w:rsidRPr="00354977">
        <w:rPr>
          <w:rFonts w:asciiTheme="minorHAnsi" w:hAnsiTheme="minorHAnsi" w:cstheme="minorHAnsi"/>
        </w:rPr>
        <w:t xml:space="preserve">tate governments have </w:t>
      </w:r>
      <w:r w:rsidR="00A25748" w:rsidRPr="00354977">
        <w:rPr>
          <w:rFonts w:asciiTheme="minorHAnsi" w:hAnsiTheme="minorHAnsi" w:cstheme="minorHAnsi"/>
        </w:rPr>
        <w:t xml:space="preserve">‘white certificate’ schemes to </w:t>
      </w:r>
      <w:r w:rsidR="004028B5" w:rsidRPr="00354977">
        <w:rPr>
          <w:rFonts w:asciiTheme="minorHAnsi" w:hAnsiTheme="minorHAnsi" w:cstheme="minorHAnsi"/>
        </w:rPr>
        <w:t xml:space="preserve">incentivise greater </w:t>
      </w:r>
      <w:r w:rsidR="0015616E" w:rsidRPr="00354977">
        <w:rPr>
          <w:rFonts w:asciiTheme="minorHAnsi" w:hAnsiTheme="minorHAnsi" w:cstheme="minorHAnsi"/>
        </w:rPr>
        <w:t xml:space="preserve">energy </w:t>
      </w:r>
      <w:r w:rsidR="003B081C" w:rsidRPr="00354977">
        <w:rPr>
          <w:rFonts w:asciiTheme="minorHAnsi" w:hAnsiTheme="minorHAnsi" w:cstheme="minorHAnsi"/>
        </w:rPr>
        <w:t>efficiency</w:t>
      </w:r>
      <w:r w:rsidR="0015616E" w:rsidRPr="00354977">
        <w:rPr>
          <w:rFonts w:asciiTheme="minorHAnsi" w:hAnsiTheme="minorHAnsi" w:cstheme="minorHAnsi"/>
        </w:rPr>
        <w:t xml:space="preserve"> activities. While there is a large focus on residential activities under these schemes, some commercial buildings are applicable for </w:t>
      </w:r>
      <w:r w:rsidR="00C34D2C" w:rsidRPr="00354977">
        <w:rPr>
          <w:rFonts w:asciiTheme="minorHAnsi" w:hAnsiTheme="minorHAnsi" w:cstheme="minorHAnsi"/>
        </w:rPr>
        <w:t xml:space="preserve">funding. </w:t>
      </w:r>
      <w:r w:rsidR="00E5326C" w:rsidRPr="00354977">
        <w:rPr>
          <w:rFonts w:asciiTheme="minorHAnsi" w:hAnsiTheme="minorHAnsi" w:cstheme="minorHAnsi"/>
        </w:rPr>
        <w:t xml:space="preserve">Some of these schemes include the </w:t>
      </w:r>
      <w:r w:rsidR="00CE2151" w:rsidRPr="00354977">
        <w:rPr>
          <w:rFonts w:asciiTheme="minorHAnsi" w:hAnsiTheme="minorHAnsi" w:cstheme="minorHAnsi"/>
        </w:rPr>
        <w:t xml:space="preserve">NSW </w:t>
      </w:r>
      <w:r w:rsidR="00CE2151" w:rsidRPr="00354977">
        <w:rPr>
          <w:rFonts w:asciiTheme="minorHAnsi" w:hAnsiTheme="minorHAnsi" w:cstheme="minorHAnsi"/>
          <w:i/>
        </w:rPr>
        <w:t>Energy Savings Scheme</w:t>
      </w:r>
      <w:r w:rsidR="00CE2151" w:rsidRPr="00354977">
        <w:rPr>
          <w:rFonts w:asciiTheme="minorHAnsi" w:hAnsiTheme="minorHAnsi" w:cstheme="minorHAnsi"/>
        </w:rPr>
        <w:t xml:space="preserve"> (</w:t>
      </w:r>
      <w:r w:rsidR="004332E7" w:rsidRPr="00354977">
        <w:rPr>
          <w:rFonts w:asciiTheme="minorHAnsi" w:hAnsiTheme="minorHAnsi" w:cstheme="minorHAnsi"/>
        </w:rPr>
        <w:t xml:space="preserve">soon to be </w:t>
      </w:r>
      <w:r w:rsidR="00D53587" w:rsidRPr="00354977">
        <w:rPr>
          <w:rFonts w:asciiTheme="minorHAnsi" w:hAnsiTheme="minorHAnsi" w:cstheme="minorHAnsi"/>
        </w:rPr>
        <w:t>turned into the Energy Security Safeguard Sch</w:t>
      </w:r>
      <w:r w:rsidR="007809B9" w:rsidRPr="00354977">
        <w:rPr>
          <w:rFonts w:asciiTheme="minorHAnsi" w:hAnsiTheme="minorHAnsi" w:cstheme="minorHAnsi"/>
        </w:rPr>
        <w:t>e</w:t>
      </w:r>
      <w:r w:rsidR="00D53587" w:rsidRPr="00354977">
        <w:rPr>
          <w:rFonts w:asciiTheme="minorHAnsi" w:hAnsiTheme="minorHAnsi" w:cstheme="minorHAnsi"/>
        </w:rPr>
        <w:t>me)</w:t>
      </w:r>
      <w:r w:rsidR="002B639E" w:rsidRPr="00354977">
        <w:rPr>
          <w:rFonts w:asciiTheme="minorHAnsi" w:hAnsiTheme="minorHAnsi" w:cstheme="minorHAnsi"/>
        </w:rPr>
        <w:t>, the ACT</w:t>
      </w:r>
      <w:r w:rsidR="00DF6A49" w:rsidRPr="00354977">
        <w:rPr>
          <w:rFonts w:asciiTheme="minorHAnsi" w:hAnsiTheme="minorHAnsi" w:cstheme="minorHAnsi"/>
        </w:rPr>
        <w:t xml:space="preserve"> </w:t>
      </w:r>
      <w:r w:rsidR="00DF6A49" w:rsidRPr="00354977">
        <w:rPr>
          <w:rFonts w:asciiTheme="minorHAnsi" w:hAnsiTheme="minorHAnsi" w:cstheme="minorHAnsi"/>
          <w:i/>
        </w:rPr>
        <w:t>Energy Efficiency Improvement Scheme</w:t>
      </w:r>
      <w:r w:rsidR="007A228A" w:rsidRPr="00354977">
        <w:rPr>
          <w:rFonts w:asciiTheme="minorHAnsi" w:hAnsiTheme="minorHAnsi" w:cstheme="minorHAnsi"/>
        </w:rPr>
        <w:t xml:space="preserve">, the </w:t>
      </w:r>
      <w:r w:rsidR="007A228A" w:rsidRPr="00354977">
        <w:rPr>
          <w:rFonts w:asciiTheme="minorHAnsi" w:hAnsiTheme="minorHAnsi" w:cstheme="minorHAnsi"/>
          <w:i/>
        </w:rPr>
        <w:t>Victoria</w:t>
      </w:r>
      <w:r w:rsidR="00B9118C" w:rsidRPr="00354977">
        <w:rPr>
          <w:rFonts w:asciiTheme="minorHAnsi" w:hAnsiTheme="minorHAnsi" w:cstheme="minorHAnsi"/>
          <w:i/>
        </w:rPr>
        <w:t>n</w:t>
      </w:r>
      <w:r w:rsidR="007A228A" w:rsidRPr="00354977">
        <w:rPr>
          <w:rFonts w:asciiTheme="minorHAnsi" w:hAnsiTheme="minorHAnsi" w:cstheme="minorHAnsi"/>
          <w:i/>
        </w:rPr>
        <w:t xml:space="preserve"> Energy Upgrade</w:t>
      </w:r>
      <w:r w:rsidR="007A228A" w:rsidRPr="00354977">
        <w:rPr>
          <w:rFonts w:asciiTheme="minorHAnsi" w:hAnsiTheme="minorHAnsi" w:cstheme="minorHAnsi"/>
        </w:rPr>
        <w:t xml:space="preserve"> </w:t>
      </w:r>
      <w:r w:rsidR="00AD2873" w:rsidRPr="00354977">
        <w:rPr>
          <w:rFonts w:asciiTheme="minorHAnsi" w:hAnsiTheme="minorHAnsi" w:cstheme="minorHAnsi"/>
        </w:rPr>
        <w:t xml:space="preserve">program, and the former </w:t>
      </w:r>
      <w:r w:rsidR="003E6B66" w:rsidRPr="00354977">
        <w:rPr>
          <w:rFonts w:asciiTheme="minorHAnsi" w:hAnsiTheme="minorHAnsi" w:cstheme="minorHAnsi"/>
        </w:rPr>
        <w:t xml:space="preserve">South Australian </w:t>
      </w:r>
      <w:r w:rsidR="00630C85" w:rsidRPr="00354977">
        <w:rPr>
          <w:rFonts w:asciiTheme="minorHAnsi" w:hAnsiTheme="minorHAnsi" w:cstheme="minorHAnsi"/>
        </w:rPr>
        <w:t>Retailer Energy Efficiency Scheme (REES).</w:t>
      </w:r>
    </w:p>
    <w:p w14:paraId="73E931AB" w14:textId="3AB6B0E7" w:rsidR="00DF6A49" w:rsidRPr="00354977" w:rsidRDefault="00782678" w:rsidP="00214D42">
      <w:pPr>
        <w:pStyle w:val="BodyText"/>
        <w:numPr>
          <w:ilvl w:val="0"/>
          <w:numId w:val="8"/>
        </w:numPr>
        <w:jc w:val="both"/>
        <w:rPr>
          <w:rFonts w:asciiTheme="minorHAnsi" w:hAnsiTheme="minorHAnsi" w:cstheme="minorHAnsi"/>
        </w:rPr>
      </w:pPr>
      <w:r w:rsidRPr="00354977">
        <w:rPr>
          <w:rFonts w:asciiTheme="minorHAnsi" w:hAnsiTheme="minorHAnsi" w:cstheme="minorHAnsi"/>
          <w:i/>
        </w:rPr>
        <w:t>Environmental Upgrade Agreements Across Australia</w:t>
      </w:r>
      <w:r w:rsidRPr="00354977" w:rsidDel="00782678">
        <w:rPr>
          <w:rFonts w:asciiTheme="minorHAnsi" w:hAnsiTheme="minorHAnsi" w:cstheme="minorHAnsi"/>
          <w:i/>
        </w:rPr>
        <w:t xml:space="preserve"> </w:t>
      </w:r>
      <w:r w:rsidR="00C84131" w:rsidRPr="00354977">
        <w:rPr>
          <w:rFonts w:asciiTheme="minorHAnsi" w:hAnsiTheme="minorHAnsi" w:cstheme="minorHAnsi"/>
        </w:rPr>
        <w:t xml:space="preserve">is led by the </w:t>
      </w:r>
      <w:r w:rsidR="00DF6A49" w:rsidRPr="00354977">
        <w:rPr>
          <w:rFonts w:asciiTheme="minorHAnsi" w:hAnsiTheme="minorHAnsi" w:cstheme="minorHAnsi"/>
        </w:rPr>
        <w:t>Sustainable Melbourne Fund</w:t>
      </w:r>
      <w:r w:rsidR="003D47EA" w:rsidRPr="00354977">
        <w:rPr>
          <w:rFonts w:asciiTheme="minorHAnsi" w:hAnsiTheme="minorHAnsi" w:cstheme="minorHAnsi"/>
        </w:rPr>
        <w:t xml:space="preserve"> and</w:t>
      </w:r>
      <w:r w:rsidR="00154480" w:rsidRPr="00354977">
        <w:rPr>
          <w:rFonts w:asciiTheme="minorHAnsi" w:hAnsiTheme="minorHAnsi" w:cstheme="minorHAnsi"/>
        </w:rPr>
        <w:t xml:space="preserve"> funded by ARENA. </w:t>
      </w:r>
      <w:r w:rsidR="0074603B" w:rsidRPr="00354977">
        <w:rPr>
          <w:rFonts w:asciiTheme="minorHAnsi" w:hAnsiTheme="minorHAnsi" w:cstheme="minorHAnsi"/>
        </w:rPr>
        <w:t>The program will see the Better Building Finance program expand into NSW and SA to assist councils and businesses become more sustainable.</w:t>
      </w:r>
      <w:r w:rsidR="003D47EA" w:rsidRPr="00354977">
        <w:rPr>
          <w:rFonts w:asciiTheme="minorHAnsi" w:hAnsiTheme="minorHAnsi" w:cstheme="minorHAnsi"/>
        </w:rPr>
        <w:t xml:space="preserve"> </w:t>
      </w:r>
      <w:r w:rsidR="00DF6A49" w:rsidRPr="00354977">
        <w:rPr>
          <w:rFonts w:asciiTheme="minorHAnsi" w:hAnsiTheme="minorHAnsi" w:cstheme="minorHAnsi"/>
        </w:rPr>
        <w:t>The</w:t>
      </w:r>
      <w:r w:rsidR="0074603B" w:rsidRPr="00354977">
        <w:rPr>
          <w:rFonts w:asciiTheme="minorHAnsi" w:hAnsiTheme="minorHAnsi" w:cstheme="minorHAnsi"/>
        </w:rPr>
        <w:t xml:space="preserve"> initiative </w:t>
      </w:r>
      <w:r w:rsidR="00373556" w:rsidRPr="00354977">
        <w:rPr>
          <w:rFonts w:asciiTheme="minorHAnsi" w:hAnsiTheme="minorHAnsi" w:cstheme="minorHAnsi"/>
        </w:rPr>
        <w:t>involves</w:t>
      </w:r>
      <w:r w:rsidR="00DF6A49" w:rsidRPr="00354977">
        <w:rPr>
          <w:rFonts w:asciiTheme="minorHAnsi" w:hAnsiTheme="minorHAnsi" w:cstheme="minorHAnsi"/>
        </w:rPr>
        <w:t xml:space="preserve"> financing </w:t>
      </w:r>
      <w:r w:rsidR="00373556" w:rsidRPr="00354977">
        <w:rPr>
          <w:rFonts w:asciiTheme="minorHAnsi" w:hAnsiTheme="minorHAnsi" w:cstheme="minorHAnsi"/>
        </w:rPr>
        <w:t xml:space="preserve">projects to improve the energy efficiency of buildings and reduce their carbon footprint and borrowed funds are </w:t>
      </w:r>
      <w:r w:rsidR="00F75CA1" w:rsidRPr="00354977">
        <w:rPr>
          <w:rFonts w:asciiTheme="minorHAnsi" w:hAnsiTheme="minorHAnsi" w:cstheme="minorHAnsi"/>
        </w:rPr>
        <w:t>repaid</w:t>
      </w:r>
      <w:r w:rsidR="00DF6A49" w:rsidRPr="00354977">
        <w:rPr>
          <w:rFonts w:asciiTheme="minorHAnsi" w:hAnsiTheme="minorHAnsi" w:cstheme="minorHAnsi"/>
        </w:rPr>
        <w:t xml:space="preserve"> </w:t>
      </w:r>
      <w:r w:rsidR="00443A42" w:rsidRPr="00354977">
        <w:rPr>
          <w:rFonts w:asciiTheme="minorHAnsi" w:hAnsiTheme="minorHAnsi" w:cstheme="minorHAnsi"/>
        </w:rPr>
        <w:t xml:space="preserve">via </w:t>
      </w:r>
      <w:r w:rsidR="00DF6A49" w:rsidRPr="00354977">
        <w:rPr>
          <w:rFonts w:asciiTheme="minorHAnsi" w:hAnsiTheme="minorHAnsi" w:cstheme="minorHAnsi"/>
        </w:rPr>
        <w:t>council rates.</w:t>
      </w:r>
    </w:p>
    <w:p w14:paraId="54234FE0" w14:textId="4A3E6592" w:rsidR="00DF6A49" w:rsidRPr="00354977" w:rsidRDefault="00DF6A49" w:rsidP="00214D42">
      <w:pPr>
        <w:pStyle w:val="BodyText"/>
        <w:numPr>
          <w:ilvl w:val="0"/>
          <w:numId w:val="8"/>
        </w:numPr>
        <w:jc w:val="both"/>
        <w:rPr>
          <w:rFonts w:asciiTheme="minorHAnsi" w:hAnsiTheme="minorHAnsi" w:cstheme="minorHAnsi"/>
        </w:rPr>
      </w:pPr>
      <w:r w:rsidRPr="00354977">
        <w:rPr>
          <w:rFonts w:asciiTheme="minorHAnsi" w:hAnsiTheme="minorHAnsi" w:cstheme="minorHAnsi"/>
          <w:i/>
        </w:rPr>
        <w:t>NSW and VIC – Environmental Upgrade Agreements</w:t>
      </w:r>
      <w:r w:rsidRPr="00354977">
        <w:rPr>
          <w:rFonts w:asciiTheme="minorHAnsi" w:hAnsiTheme="minorHAnsi" w:cstheme="minorHAnsi"/>
        </w:rPr>
        <w:t xml:space="preserve"> (EUAs): EUAs are a financing mechanism that allows building owners to borrow money from a lender to finance energy efficiency upgrades and renewable energy installations. The loan is repaid through the building owner's council rates. Several Australian </w:t>
      </w:r>
      <w:r w:rsidR="00D11851" w:rsidRPr="00354977">
        <w:rPr>
          <w:rFonts w:asciiTheme="minorHAnsi" w:hAnsiTheme="minorHAnsi" w:cstheme="minorHAnsi"/>
        </w:rPr>
        <w:t>S</w:t>
      </w:r>
      <w:r w:rsidRPr="00354977">
        <w:rPr>
          <w:rFonts w:asciiTheme="minorHAnsi" w:hAnsiTheme="minorHAnsi" w:cstheme="minorHAnsi"/>
        </w:rPr>
        <w:t>tates, including NSW and VIC, have legislation in place that allows for the use of EUAs.</w:t>
      </w:r>
    </w:p>
    <w:p w14:paraId="74EAC718" w14:textId="77777777" w:rsidR="00DF6A49" w:rsidRPr="00354977" w:rsidRDefault="00DF6A49" w:rsidP="00214D42">
      <w:pPr>
        <w:pStyle w:val="BodyText"/>
        <w:numPr>
          <w:ilvl w:val="0"/>
          <w:numId w:val="8"/>
        </w:numPr>
        <w:jc w:val="both"/>
        <w:rPr>
          <w:rFonts w:asciiTheme="minorHAnsi" w:hAnsiTheme="minorHAnsi" w:cstheme="minorHAnsi"/>
        </w:rPr>
      </w:pPr>
      <w:r w:rsidRPr="00354977">
        <w:rPr>
          <w:rFonts w:asciiTheme="minorHAnsi" w:hAnsiTheme="minorHAnsi" w:cstheme="minorHAnsi"/>
          <w:i/>
        </w:rPr>
        <w:t>Queensland (Brisbane City Council) - Building Upgrade Finance</w:t>
      </w:r>
      <w:r w:rsidRPr="00354977">
        <w:rPr>
          <w:rFonts w:asciiTheme="minorHAnsi" w:hAnsiTheme="minorHAnsi" w:cstheme="minorHAnsi"/>
        </w:rPr>
        <w:t>: This program provides financing for energy efficiency upgrades and renewable energy installations in commercial buildings in Brisbane. The financing is repaid through council rates and is available to building owners, tenants, and property developers.</w:t>
      </w:r>
    </w:p>
    <w:p w14:paraId="32E30F11" w14:textId="783BA274" w:rsidR="009E7FF6" w:rsidRPr="00354977" w:rsidRDefault="004118ED" w:rsidP="00214D42">
      <w:pPr>
        <w:pStyle w:val="Heading3"/>
        <w:rPr>
          <w:rFonts w:asciiTheme="minorHAnsi" w:hAnsiTheme="minorHAnsi" w:cstheme="minorHAnsi"/>
        </w:rPr>
      </w:pPr>
      <w:bookmarkStart w:id="80" w:name="_Toc133844020"/>
      <w:bookmarkStart w:id="81" w:name="_Toc136286365"/>
      <w:r w:rsidRPr="00354977">
        <w:rPr>
          <w:rFonts w:asciiTheme="minorHAnsi" w:hAnsiTheme="minorHAnsi" w:cstheme="minorHAnsi"/>
        </w:rPr>
        <w:t>Commonwealth</w:t>
      </w:r>
      <w:r w:rsidR="009A0359" w:rsidRPr="00354977">
        <w:rPr>
          <w:rFonts w:asciiTheme="minorHAnsi" w:hAnsiTheme="minorHAnsi" w:cstheme="minorHAnsi"/>
        </w:rPr>
        <w:t xml:space="preserve"> Government</w:t>
      </w:r>
      <w:r w:rsidR="007743FA" w:rsidRPr="00354977">
        <w:rPr>
          <w:rFonts w:asciiTheme="minorHAnsi" w:hAnsiTheme="minorHAnsi" w:cstheme="minorHAnsi"/>
        </w:rPr>
        <w:t xml:space="preserve"> </w:t>
      </w:r>
      <w:r w:rsidR="008C5C6C" w:rsidRPr="00354977">
        <w:rPr>
          <w:rFonts w:asciiTheme="minorHAnsi" w:hAnsiTheme="minorHAnsi" w:cstheme="minorHAnsi"/>
        </w:rPr>
        <w:t xml:space="preserve">energy and </w:t>
      </w:r>
      <w:r w:rsidR="007743FA" w:rsidRPr="00354977">
        <w:rPr>
          <w:rFonts w:asciiTheme="minorHAnsi" w:hAnsiTheme="minorHAnsi" w:cstheme="minorHAnsi"/>
        </w:rPr>
        <w:t xml:space="preserve">emission </w:t>
      </w:r>
      <w:r w:rsidR="008C5C6C" w:rsidRPr="00354977">
        <w:rPr>
          <w:rFonts w:asciiTheme="minorHAnsi" w:hAnsiTheme="minorHAnsi" w:cstheme="minorHAnsi"/>
        </w:rPr>
        <w:t>objectives</w:t>
      </w:r>
      <w:bookmarkEnd w:id="80"/>
      <w:bookmarkEnd w:id="81"/>
    </w:p>
    <w:p w14:paraId="16A99A80" w14:textId="01ADB48F" w:rsidR="0094497B" w:rsidRPr="00800821" w:rsidRDefault="00C869AF" w:rsidP="00354977">
      <w:pPr>
        <w:pStyle w:val="BodyBullet"/>
      </w:pPr>
      <w:r>
        <w:t xml:space="preserve">In 2022 the Commonwealth released </w:t>
      </w:r>
      <w:r w:rsidR="00832125">
        <w:t>the</w:t>
      </w:r>
      <w:r>
        <w:t xml:space="preserve"> Australian Public Service (APS)</w:t>
      </w:r>
      <w:r w:rsidR="0078081B" w:rsidRPr="002358F6">
        <w:t xml:space="preserve"> Net Zero 2030 </w:t>
      </w:r>
      <w:r w:rsidR="00C02D43">
        <w:t>policy</w:t>
      </w:r>
      <w:r w:rsidR="0078081B" w:rsidRPr="002358F6">
        <w:t xml:space="preserve"> to reduce its </w:t>
      </w:r>
      <w:r w:rsidR="0078081B">
        <w:t>greenhouse</w:t>
      </w:r>
      <w:r w:rsidR="0078081B" w:rsidRPr="002358F6">
        <w:t xml:space="preserve"> gas emissions to zero by 2030 and to report on its emissions transparently beginning in the second half of 2023. </w:t>
      </w:r>
      <w:r w:rsidR="00651A76">
        <w:t>T</w:t>
      </w:r>
      <w:r w:rsidR="00342E80">
        <w:t>his commitment</w:t>
      </w:r>
      <w:r w:rsidR="00651A76">
        <w:t xml:space="preserve"> positions</w:t>
      </w:r>
      <w:r w:rsidR="00342E80">
        <w:t xml:space="preserve"> the Commonwealth with other state and territory government commitments for their respective emissions</w:t>
      </w:r>
      <w:r w:rsidR="0078081B" w:rsidRPr="00615002">
        <w:t xml:space="preserve"> and will contribute to achiev</w:t>
      </w:r>
      <w:r w:rsidR="0012304B">
        <w:t>ing</w:t>
      </w:r>
      <w:r w:rsidR="0078081B" w:rsidRPr="00615002">
        <w:t xml:space="preserve"> Australia’s Paris Agreement targets</w:t>
      </w:r>
      <w:r w:rsidR="0078081B">
        <w:t>.</w:t>
      </w:r>
      <w:r w:rsidR="00227EC2">
        <w:t xml:space="preserve"> </w:t>
      </w:r>
      <w:r w:rsidR="00F53005">
        <w:t>The APS Net Zero identifies the Government’s commitment to updating guidance for new leases starting in 2023</w:t>
      </w:r>
      <w:bookmarkEnd w:id="79"/>
      <w:r w:rsidR="00710913">
        <w:t xml:space="preserve"> to </w:t>
      </w:r>
      <w:r w:rsidR="00246406">
        <w:t>minimise</w:t>
      </w:r>
      <w:r w:rsidR="00A22C76">
        <w:t xml:space="preserve"> </w:t>
      </w:r>
      <w:r w:rsidR="00B05D89">
        <w:t xml:space="preserve">building </w:t>
      </w:r>
      <w:r w:rsidR="00246406">
        <w:t>emissions</w:t>
      </w:r>
      <w:r w:rsidR="00F53005">
        <w:t>.</w:t>
      </w:r>
      <w:r w:rsidR="00723239">
        <w:rPr>
          <w:rFonts w:ascii="ZWAdobeF" w:hAnsi="ZWAdobeF" w:cs="ZWAdobeF"/>
          <w:color w:val="auto"/>
          <w:sz w:val="2"/>
          <w:szCs w:val="2"/>
        </w:rPr>
        <w:t>14F</w:t>
      </w:r>
      <w:r w:rsidR="00EE36E3">
        <w:rPr>
          <w:rFonts w:ascii="ZWAdobeF" w:hAnsi="ZWAdobeF" w:cs="ZWAdobeF"/>
          <w:color w:val="auto"/>
          <w:sz w:val="2"/>
          <w:szCs w:val="2"/>
        </w:rPr>
        <w:t>14F</w:t>
      </w:r>
      <w:r w:rsidR="00E94853">
        <w:rPr>
          <w:rFonts w:ascii="ZWAdobeF" w:hAnsi="ZWAdobeF" w:cs="ZWAdobeF"/>
          <w:color w:val="auto"/>
          <w:sz w:val="2"/>
          <w:szCs w:val="2"/>
        </w:rPr>
        <w:t>14F</w:t>
      </w:r>
      <w:r w:rsidR="00F73A23">
        <w:rPr>
          <w:rFonts w:ascii="ZWAdobeF" w:hAnsi="ZWAdobeF" w:cs="ZWAdobeF"/>
          <w:color w:val="auto"/>
          <w:sz w:val="2"/>
          <w:szCs w:val="2"/>
        </w:rPr>
        <w:t>14F</w:t>
      </w:r>
      <w:r w:rsidR="00626378">
        <w:rPr>
          <w:rFonts w:ascii="ZWAdobeF" w:hAnsi="ZWAdobeF" w:cs="ZWAdobeF"/>
          <w:color w:val="auto"/>
          <w:sz w:val="2"/>
          <w:szCs w:val="2"/>
        </w:rPr>
        <w:t>14F</w:t>
      </w:r>
      <w:r w:rsidR="00413811">
        <w:rPr>
          <w:rFonts w:ascii="ZWAdobeF" w:hAnsi="ZWAdobeF" w:cs="ZWAdobeF"/>
          <w:color w:val="auto"/>
          <w:sz w:val="2"/>
          <w:szCs w:val="2"/>
        </w:rPr>
        <w:t>14F</w:t>
      </w:r>
      <w:r w:rsidR="002C327C">
        <w:rPr>
          <w:rFonts w:ascii="ZWAdobeF" w:hAnsi="ZWAdobeF" w:cs="ZWAdobeF"/>
          <w:color w:val="auto"/>
          <w:sz w:val="2"/>
          <w:szCs w:val="2"/>
        </w:rPr>
        <w:t>14F</w:t>
      </w:r>
      <w:r w:rsidR="00D24A06">
        <w:rPr>
          <w:rFonts w:ascii="ZWAdobeF" w:hAnsi="ZWAdobeF" w:cs="ZWAdobeF"/>
          <w:color w:val="auto"/>
          <w:sz w:val="2"/>
          <w:szCs w:val="2"/>
        </w:rPr>
        <w:t>14F</w:t>
      </w:r>
      <w:r w:rsidR="00F53005" w:rsidRPr="00F81ADB">
        <w:rPr>
          <w:rStyle w:val="FootnoteReference"/>
          <w:rFonts w:cstheme="minorHAnsi"/>
        </w:rPr>
        <w:footnoteReference w:id="16"/>
      </w:r>
    </w:p>
    <w:p w14:paraId="28B1382D" w14:textId="036E3B4A" w:rsidR="001C32A6" w:rsidRPr="00354977" w:rsidRDefault="005270F2" w:rsidP="004F3252">
      <w:pPr>
        <w:pStyle w:val="TableHeading"/>
        <w:rPr>
          <w:rFonts w:asciiTheme="minorHAnsi" w:hAnsiTheme="minorHAnsi" w:cstheme="minorHAnsi"/>
        </w:rPr>
      </w:pPr>
      <w:r w:rsidRPr="00354977">
        <w:rPr>
          <w:rFonts w:asciiTheme="minorHAnsi" w:hAnsiTheme="minorHAnsi" w:cstheme="minorHAnsi"/>
        </w:rPr>
        <w:t>Energy Efficiency in Government Operations</w:t>
      </w:r>
    </w:p>
    <w:p w14:paraId="0F85F49B" w14:textId="7FF48DA0" w:rsidR="000E3EC0" w:rsidRPr="00354977" w:rsidRDefault="00E836DF" w:rsidP="00E836DF">
      <w:pPr>
        <w:rPr>
          <w:rFonts w:asciiTheme="minorHAnsi" w:hAnsiTheme="minorHAnsi" w:cstheme="minorHAnsi"/>
        </w:rPr>
      </w:pPr>
      <w:r w:rsidRPr="00354977">
        <w:rPr>
          <w:rFonts w:asciiTheme="minorHAnsi" w:hAnsiTheme="minorHAnsi" w:cstheme="minorHAnsi"/>
        </w:rPr>
        <w:t>The Energy Efficiency in Government Operations (</w:t>
      </w:r>
      <w:proofErr w:type="spellStart"/>
      <w:r w:rsidRPr="00354977">
        <w:rPr>
          <w:rFonts w:asciiTheme="minorHAnsi" w:hAnsiTheme="minorHAnsi" w:cstheme="minorHAnsi"/>
        </w:rPr>
        <w:t>EEGO</w:t>
      </w:r>
      <w:proofErr w:type="spellEnd"/>
      <w:r w:rsidRPr="00354977">
        <w:rPr>
          <w:rFonts w:asciiTheme="minorHAnsi" w:hAnsiTheme="minorHAnsi" w:cstheme="minorHAnsi"/>
        </w:rPr>
        <w:t>) Policy establishes energy intensity targets and Minimum Energy Performance Standards (</w:t>
      </w:r>
      <w:proofErr w:type="spellStart"/>
      <w:r w:rsidRPr="00354977">
        <w:rPr>
          <w:rFonts w:asciiTheme="minorHAnsi" w:hAnsiTheme="minorHAnsi" w:cstheme="minorHAnsi"/>
        </w:rPr>
        <w:t>MEPS</w:t>
      </w:r>
      <w:proofErr w:type="spellEnd"/>
      <w:r w:rsidRPr="00354977">
        <w:rPr>
          <w:rFonts w:asciiTheme="minorHAnsi" w:hAnsiTheme="minorHAnsi" w:cstheme="minorHAnsi"/>
        </w:rPr>
        <w:t>) for government departments and agencies. It ensures consistent improvement in energy performance and considers energy use in building procurement or leasing.</w:t>
      </w:r>
      <w:r w:rsidR="00723239">
        <w:rPr>
          <w:rFonts w:ascii="ZWAdobeF" w:hAnsi="ZWAdobeF" w:cs="ZWAdobeF"/>
          <w:color w:val="auto"/>
          <w:sz w:val="2"/>
          <w:szCs w:val="2"/>
        </w:rPr>
        <w:t>15F</w:t>
      </w:r>
      <w:r w:rsidR="00EE36E3">
        <w:rPr>
          <w:rFonts w:ascii="ZWAdobeF" w:hAnsi="ZWAdobeF" w:cs="ZWAdobeF"/>
          <w:color w:val="auto"/>
          <w:sz w:val="2"/>
          <w:szCs w:val="2"/>
        </w:rPr>
        <w:t>15F</w:t>
      </w:r>
      <w:r w:rsidR="00E94853">
        <w:rPr>
          <w:rFonts w:ascii="ZWAdobeF" w:hAnsi="ZWAdobeF" w:cs="ZWAdobeF"/>
          <w:color w:val="auto"/>
          <w:sz w:val="2"/>
          <w:szCs w:val="2"/>
        </w:rPr>
        <w:t>15F</w:t>
      </w:r>
      <w:r w:rsidR="00F73A23">
        <w:rPr>
          <w:rFonts w:ascii="ZWAdobeF" w:hAnsi="ZWAdobeF" w:cs="ZWAdobeF"/>
          <w:color w:val="auto"/>
          <w:sz w:val="2"/>
          <w:szCs w:val="2"/>
        </w:rPr>
        <w:t>15F</w:t>
      </w:r>
      <w:r w:rsidR="00626378">
        <w:rPr>
          <w:rFonts w:ascii="ZWAdobeF" w:hAnsi="ZWAdobeF" w:cs="ZWAdobeF"/>
          <w:color w:val="auto"/>
          <w:sz w:val="2"/>
          <w:szCs w:val="2"/>
        </w:rPr>
        <w:t>15F</w:t>
      </w:r>
      <w:r w:rsidR="00413811">
        <w:rPr>
          <w:rFonts w:ascii="ZWAdobeF" w:hAnsi="ZWAdobeF" w:cs="ZWAdobeF"/>
          <w:color w:val="auto"/>
          <w:sz w:val="2"/>
          <w:szCs w:val="2"/>
        </w:rPr>
        <w:t>15F</w:t>
      </w:r>
      <w:r w:rsidR="002C327C">
        <w:rPr>
          <w:rFonts w:ascii="ZWAdobeF" w:hAnsi="ZWAdobeF" w:cs="ZWAdobeF"/>
          <w:color w:val="auto"/>
          <w:sz w:val="2"/>
          <w:szCs w:val="2"/>
        </w:rPr>
        <w:t>15F</w:t>
      </w:r>
      <w:r w:rsidR="00D24A06">
        <w:rPr>
          <w:rFonts w:ascii="ZWAdobeF" w:hAnsi="ZWAdobeF" w:cs="ZWAdobeF"/>
          <w:color w:val="auto"/>
          <w:sz w:val="2"/>
          <w:szCs w:val="2"/>
        </w:rPr>
        <w:t>15F</w:t>
      </w:r>
      <w:r w:rsidR="00FC19F4" w:rsidRPr="00354977">
        <w:rPr>
          <w:rStyle w:val="FootnoteReference"/>
          <w:rFonts w:asciiTheme="minorHAnsi" w:hAnsiTheme="minorHAnsi" w:cstheme="minorHAnsi"/>
        </w:rPr>
        <w:footnoteReference w:id="17"/>
      </w:r>
      <w:r w:rsidRPr="00354977">
        <w:rPr>
          <w:rFonts w:asciiTheme="minorHAnsi" w:hAnsiTheme="minorHAnsi" w:cstheme="minorHAnsi"/>
        </w:rPr>
        <w:t xml:space="preserve"> Commonwealth agencies receiving over 50% funding from the Commonwealth must comply. </w:t>
      </w:r>
    </w:p>
    <w:p w14:paraId="6939F0EB" w14:textId="63EA3A1C" w:rsidR="00E836DF" w:rsidRDefault="000242BC" w:rsidP="00E836DF">
      <w:pPr>
        <w:rPr>
          <w:rFonts w:asciiTheme="minorHAnsi" w:hAnsiTheme="minorHAnsi" w:cstheme="minorHAnsi"/>
        </w:rPr>
      </w:pPr>
      <w:r w:rsidRPr="00354977">
        <w:rPr>
          <w:rFonts w:asciiTheme="minorHAnsi" w:hAnsiTheme="minorHAnsi" w:cstheme="minorHAnsi"/>
        </w:rPr>
        <w:t xml:space="preserve">At the time of the </w:t>
      </w:r>
      <w:proofErr w:type="spellStart"/>
      <w:r w:rsidRPr="00354977">
        <w:rPr>
          <w:rFonts w:asciiTheme="minorHAnsi" w:hAnsiTheme="minorHAnsi" w:cstheme="minorHAnsi"/>
        </w:rPr>
        <w:t>EEGO</w:t>
      </w:r>
      <w:proofErr w:type="spellEnd"/>
      <w:r w:rsidRPr="00354977">
        <w:rPr>
          <w:rFonts w:asciiTheme="minorHAnsi" w:hAnsiTheme="minorHAnsi" w:cstheme="minorHAnsi"/>
        </w:rPr>
        <w:t xml:space="preserve"> publication in 2007, the policy mandated </w:t>
      </w:r>
      <w:r w:rsidR="00E836DF" w:rsidRPr="00354977">
        <w:rPr>
          <w:rFonts w:asciiTheme="minorHAnsi" w:hAnsiTheme="minorHAnsi" w:cstheme="minorHAnsi"/>
        </w:rPr>
        <w:t>a minimum 4.5-star NABERS rating for leased government buildings</w:t>
      </w:r>
      <w:r w:rsidRPr="00354977">
        <w:rPr>
          <w:rFonts w:asciiTheme="minorHAnsi" w:hAnsiTheme="minorHAnsi" w:cstheme="minorHAnsi"/>
        </w:rPr>
        <w:t xml:space="preserve">. Since June 2011, </w:t>
      </w:r>
      <w:r w:rsidR="002A2BAC" w:rsidRPr="00354977">
        <w:rPr>
          <w:rFonts w:asciiTheme="minorHAnsi" w:hAnsiTheme="minorHAnsi" w:cstheme="minorHAnsi"/>
        </w:rPr>
        <w:t>new</w:t>
      </w:r>
      <w:r w:rsidR="00E836DF" w:rsidRPr="00354977">
        <w:rPr>
          <w:rFonts w:asciiTheme="minorHAnsi" w:hAnsiTheme="minorHAnsi" w:cstheme="minorHAnsi"/>
        </w:rPr>
        <w:t xml:space="preserve"> energy intensity targets </w:t>
      </w:r>
      <w:r w:rsidR="002A2BAC" w:rsidRPr="00354977">
        <w:rPr>
          <w:rFonts w:asciiTheme="minorHAnsi" w:hAnsiTheme="minorHAnsi" w:cstheme="minorHAnsi"/>
        </w:rPr>
        <w:t xml:space="preserve">have been </w:t>
      </w:r>
      <w:r w:rsidR="00E836DF" w:rsidRPr="00354977">
        <w:rPr>
          <w:rFonts w:asciiTheme="minorHAnsi" w:hAnsiTheme="minorHAnsi" w:cstheme="minorHAnsi"/>
        </w:rPr>
        <w:t xml:space="preserve">set for tenant light and power and central </w:t>
      </w:r>
      <w:proofErr w:type="spellStart"/>
      <w:r w:rsidR="00E836DF" w:rsidRPr="00354977">
        <w:rPr>
          <w:rFonts w:asciiTheme="minorHAnsi" w:hAnsiTheme="minorHAnsi" w:cstheme="minorHAnsi"/>
        </w:rPr>
        <w:t>services</w:t>
      </w:r>
      <w:r w:rsidR="005E0AD6" w:rsidRPr="00354977">
        <w:rPr>
          <w:rFonts w:asciiTheme="minorHAnsi" w:hAnsiTheme="minorHAnsi" w:cstheme="minorHAnsi"/>
        </w:rPr>
        <w:t>.</w:t>
      </w:r>
      <w:r w:rsidR="00723239">
        <w:rPr>
          <w:rFonts w:ascii="ZWAdobeF" w:hAnsi="ZWAdobeF" w:cs="ZWAdobeF"/>
          <w:color w:val="auto"/>
          <w:sz w:val="2"/>
          <w:szCs w:val="2"/>
        </w:rPr>
        <w:t>16F</w:t>
      </w:r>
      <w:r w:rsidR="00EE36E3">
        <w:rPr>
          <w:rFonts w:ascii="ZWAdobeF" w:hAnsi="ZWAdobeF" w:cs="ZWAdobeF"/>
          <w:color w:val="auto"/>
          <w:sz w:val="2"/>
          <w:szCs w:val="2"/>
        </w:rPr>
        <w:t>16F</w:t>
      </w:r>
      <w:r w:rsidR="00E94853">
        <w:rPr>
          <w:rFonts w:ascii="ZWAdobeF" w:hAnsi="ZWAdobeF" w:cs="ZWAdobeF"/>
          <w:color w:val="auto"/>
          <w:sz w:val="2"/>
          <w:szCs w:val="2"/>
        </w:rPr>
        <w:t>16F</w:t>
      </w:r>
      <w:r w:rsidR="00F73A23">
        <w:rPr>
          <w:rFonts w:ascii="ZWAdobeF" w:hAnsi="ZWAdobeF" w:cs="ZWAdobeF"/>
          <w:color w:val="auto"/>
          <w:sz w:val="2"/>
          <w:szCs w:val="2"/>
        </w:rPr>
        <w:t>16F</w:t>
      </w:r>
      <w:r w:rsidR="00626378">
        <w:rPr>
          <w:rFonts w:ascii="ZWAdobeF" w:hAnsi="ZWAdobeF" w:cs="ZWAdobeF"/>
          <w:color w:val="auto"/>
          <w:sz w:val="2"/>
          <w:szCs w:val="2"/>
        </w:rPr>
        <w:t>16F</w:t>
      </w:r>
      <w:r w:rsidR="00413811">
        <w:rPr>
          <w:rFonts w:ascii="ZWAdobeF" w:hAnsi="ZWAdobeF" w:cs="ZWAdobeF"/>
          <w:color w:val="auto"/>
          <w:sz w:val="2"/>
          <w:szCs w:val="2"/>
        </w:rPr>
        <w:t>16F</w:t>
      </w:r>
      <w:r w:rsidR="002C327C">
        <w:rPr>
          <w:rFonts w:ascii="ZWAdobeF" w:hAnsi="ZWAdobeF" w:cs="ZWAdobeF"/>
          <w:color w:val="auto"/>
          <w:sz w:val="2"/>
          <w:szCs w:val="2"/>
        </w:rPr>
        <w:t>16F</w:t>
      </w:r>
      <w:r w:rsidR="00D24A06">
        <w:rPr>
          <w:rFonts w:ascii="ZWAdobeF" w:hAnsi="ZWAdobeF" w:cs="ZWAdobeF"/>
          <w:color w:val="auto"/>
          <w:sz w:val="2"/>
          <w:szCs w:val="2"/>
        </w:rPr>
        <w:t>16F</w:t>
      </w:r>
      <w:proofErr w:type="spellEnd"/>
      <w:r w:rsidR="006E0547" w:rsidRPr="00354977">
        <w:rPr>
          <w:rStyle w:val="FootnoteReference"/>
          <w:rFonts w:asciiTheme="minorHAnsi" w:hAnsiTheme="minorHAnsi" w:cstheme="minorHAnsi"/>
        </w:rPr>
        <w:footnoteReference w:id="18"/>
      </w:r>
      <w:r w:rsidR="00E836DF" w:rsidRPr="00354977">
        <w:rPr>
          <w:rFonts w:asciiTheme="minorHAnsi" w:hAnsiTheme="minorHAnsi" w:cstheme="minorHAnsi"/>
        </w:rPr>
        <w:t xml:space="preserve"> </w:t>
      </w:r>
      <w:proofErr w:type="spellStart"/>
      <w:r w:rsidR="00E836DF" w:rsidRPr="00354977">
        <w:rPr>
          <w:rFonts w:asciiTheme="minorHAnsi" w:hAnsiTheme="minorHAnsi" w:cstheme="minorHAnsi"/>
        </w:rPr>
        <w:t>MEPS</w:t>
      </w:r>
      <w:proofErr w:type="spellEnd"/>
      <w:r w:rsidR="00E836DF" w:rsidRPr="00354977">
        <w:rPr>
          <w:rFonts w:asciiTheme="minorHAnsi" w:hAnsiTheme="minorHAnsi" w:cstheme="minorHAnsi"/>
        </w:rPr>
        <w:t xml:space="preserve"> apply to new buildings, majorly refurbished buildings, and leased buildings for over 2 years.</w:t>
      </w:r>
    </w:p>
    <w:p w14:paraId="4C7E838F" w14:textId="6A955223" w:rsidR="00D51603" w:rsidRPr="00A53A15" w:rsidRDefault="00A53A15" w:rsidP="00246326">
      <w:pPr>
        <w:spacing w:after="120"/>
        <w:jc w:val="both"/>
        <w:rPr>
          <w:rFonts w:asciiTheme="minorHAnsi" w:hAnsiTheme="minorHAnsi" w:cstheme="minorHAnsi"/>
          <w:i/>
          <w:color w:val="00338D" w:themeColor="text2"/>
          <w:sz w:val="18"/>
          <w:szCs w:val="18"/>
        </w:rPr>
      </w:pPr>
      <w:r w:rsidRPr="00A53A15">
        <w:rPr>
          <w:rFonts w:asciiTheme="minorHAnsi" w:hAnsiTheme="minorHAnsi" w:cstheme="minorHAnsi"/>
        </w:rPr>
        <w:fldChar w:fldCharType="begin" w:fldLock="1"/>
      </w:r>
      <w:r w:rsidRPr="00A53A15">
        <w:rPr>
          <w:rFonts w:asciiTheme="minorHAnsi" w:hAnsiTheme="minorHAnsi" w:cstheme="minorHAnsi"/>
        </w:rPr>
        <w:instrText xml:space="preserve"> REF _Ref148522623 \h </w:instrText>
      </w:r>
      <w:r>
        <w:rPr>
          <w:rFonts w:asciiTheme="minorHAnsi" w:hAnsiTheme="minorHAnsi" w:cstheme="minorHAnsi"/>
        </w:rPr>
        <w:instrText xml:space="preserve"> \* MERGEFORMAT </w:instrText>
      </w:r>
      <w:r w:rsidRPr="00A53A15">
        <w:rPr>
          <w:rFonts w:asciiTheme="minorHAnsi" w:hAnsiTheme="minorHAnsi" w:cstheme="minorHAnsi"/>
        </w:rPr>
      </w:r>
      <w:r w:rsidRPr="00A53A15">
        <w:rPr>
          <w:rFonts w:asciiTheme="minorHAnsi" w:hAnsiTheme="minorHAnsi" w:cstheme="minorHAnsi"/>
        </w:rPr>
        <w:fldChar w:fldCharType="separate"/>
      </w:r>
      <w:r w:rsidRPr="00A53A15">
        <w:rPr>
          <w:rFonts w:asciiTheme="minorHAnsi" w:hAnsiTheme="minorHAnsi" w:cstheme="minorHAnsi"/>
        </w:rPr>
        <w:t xml:space="preserve">Table </w:t>
      </w:r>
      <w:r w:rsidRPr="00A53A15">
        <w:rPr>
          <w:rFonts w:asciiTheme="minorHAnsi" w:hAnsiTheme="minorHAnsi" w:cstheme="minorHAnsi"/>
          <w:noProof/>
        </w:rPr>
        <w:t>4</w:t>
      </w:r>
      <w:r w:rsidRPr="00A53A15">
        <w:rPr>
          <w:rFonts w:asciiTheme="minorHAnsi" w:hAnsiTheme="minorHAnsi" w:cstheme="minorHAnsi"/>
        </w:rPr>
        <w:fldChar w:fldCharType="end"/>
      </w:r>
      <w:r w:rsidRPr="00A53A15">
        <w:rPr>
          <w:rFonts w:asciiTheme="minorHAnsi" w:hAnsiTheme="minorHAnsi" w:cstheme="minorHAnsi"/>
        </w:rPr>
        <w:t xml:space="preserve"> and </w:t>
      </w:r>
      <w:r w:rsidRPr="00A53A15">
        <w:rPr>
          <w:rFonts w:asciiTheme="minorHAnsi" w:hAnsiTheme="minorHAnsi" w:cstheme="minorHAnsi"/>
        </w:rPr>
        <w:fldChar w:fldCharType="begin" w:fldLock="1"/>
      </w:r>
      <w:r w:rsidRPr="00A53A15">
        <w:rPr>
          <w:rFonts w:asciiTheme="minorHAnsi" w:hAnsiTheme="minorHAnsi" w:cstheme="minorHAnsi"/>
        </w:rPr>
        <w:instrText xml:space="preserve"> REF _Ref133431001 \h </w:instrText>
      </w:r>
      <w:r>
        <w:rPr>
          <w:rFonts w:asciiTheme="minorHAnsi" w:hAnsiTheme="minorHAnsi" w:cstheme="minorHAnsi"/>
        </w:rPr>
        <w:instrText xml:space="preserve"> \* MERGEFORMAT </w:instrText>
      </w:r>
      <w:r w:rsidRPr="00A53A15">
        <w:rPr>
          <w:rFonts w:asciiTheme="minorHAnsi" w:hAnsiTheme="minorHAnsi" w:cstheme="minorHAnsi"/>
        </w:rPr>
      </w:r>
      <w:r w:rsidRPr="00A53A15">
        <w:rPr>
          <w:rFonts w:asciiTheme="minorHAnsi" w:hAnsiTheme="minorHAnsi" w:cstheme="minorHAnsi"/>
        </w:rPr>
        <w:fldChar w:fldCharType="separate"/>
      </w:r>
      <w:r w:rsidRPr="00A53A15">
        <w:rPr>
          <w:rFonts w:asciiTheme="minorHAnsi" w:hAnsiTheme="minorHAnsi" w:cstheme="minorHAnsi"/>
        </w:rPr>
        <w:t xml:space="preserve">Table </w:t>
      </w:r>
      <w:r w:rsidRPr="00A53A15">
        <w:rPr>
          <w:rFonts w:asciiTheme="minorHAnsi" w:hAnsiTheme="minorHAnsi" w:cstheme="minorHAnsi"/>
          <w:noProof/>
        </w:rPr>
        <w:t>5</w:t>
      </w:r>
      <w:r w:rsidRPr="00A53A15">
        <w:rPr>
          <w:rFonts w:asciiTheme="minorHAnsi" w:hAnsiTheme="minorHAnsi" w:cstheme="minorHAnsi"/>
        </w:rPr>
        <w:fldChar w:fldCharType="end"/>
      </w:r>
      <w:r w:rsidRPr="00A53A15">
        <w:rPr>
          <w:rFonts w:asciiTheme="minorHAnsi" w:hAnsiTheme="minorHAnsi" w:cstheme="minorHAnsi"/>
        </w:rPr>
        <w:t xml:space="preserve"> </w:t>
      </w:r>
      <w:r w:rsidR="00E53839" w:rsidRPr="00A53A15">
        <w:rPr>
          <w:rFonts w:asciiTheme="minorHAnsi" w:hAnsiTheme="minorHAnsi" w:cstheme="minorHAnsi"/>
        </w:rPr>
        <w:t>translates</w:t>
      </w:r>
      <w:r w:rsidR="008D2C4F" w:rsidRPr="00A53A15">
        <w:rPr>
          <w:rFonts w:asciiTheme="minorHAnsi" w:hAnsiTheme="minorHAnsi" w:cstheme="minorHAnsi"/>
        </w:rPr>
        <w:t xml:space="preserve"> the </w:t>
      </w:r>
      <w:proofErr w:type="spellStart"/>
      <w:r w:rsidR="00CC2F72" w:rsidRPr="00A53A15">
        <w:rPr>
          <w:rFonts w:asciiTheme="minorHAnsi" w:hAnsiTheme="minorHAnsi" w:cstheme="minorHAnsi"/>
        </w:rPr>
        <w:t>MEPS</w:t>
      </w:r>
      <w:proofErr w:type="spellEnd"/>
      <w:r w:rsidR="0085654E" w:rsidRPr="00A53A15">
        <w:rPr>
          <w:rFonts w:asciiTheme="minorHAnsi" w:hAnsiTheme="minorHAnsi" w:cstheme="minorHAnsi"/>
        </w:rPr>
        <w:t xml:space="preserve"> </w:t>
      </w:r>
      <w:r w:rsidR="00E53839" w:rsidRPr="00A53A15">
        <w:rPr>
          <w:rFonts w:asciiTheme="minorHAnsi" w:hAnsiTheme="minorHAnsi" w:cstheme="minorHAnsi"/>
        </w:rPr>
        <w:t xml:space="preserve">in the </w:t>
      </w:r>
      <w:proofErr w:type="spellStart"/>
      <w:r w:rsidR="00E53839" w:rsidRPr="00A53A15">
        <w:rPr>
          <w:rFonts w:asciiTheme="minorHAnsi" w:hAnsiTheme="minorHAnsi" w:cstheme="minorHAnsi"/>
        </w:rPr>
        <w:t>EEGO</w:t>
      </w:r>
      <w:proofErr w:type="spellEnd"/>
      <w:r w:rsidR="00E53839" w:rsidRPr="00A53A15">
        <w:rPr>
          <w:rFonts w:asciiTheme="minorHAnsi" w:hAnsiTheme="minorHAnsi" w:cstheme="minorHAnsi"/>
        </w:rPr>
        <w:t xml:space="preserve"> </w:t>
      </w:r>
      <w:r w:rsidR="00AA1454" w:rsidRPr="00A53A15">
        <w:rPr>
          <w:rFonts w:asciiTheme="minorHAnsi" w:hAnsiTheme="minorHAnsi" w:cstheme="minorHAnsi"/>
        </w:rPr>
        <w:t>P</w:t>
      </w:r>
      <w:r w:rsidR="005270F2" w:rsidRPr="00A53A15">
        <w:rPr>
          <w:rFonts w:asciiTheme="minorHAnsi" w:hAnsiTheme="minorHAnsi" w:cstheme="minorHAnsi"/>
        </w:rPr>
        <w:t>olicy</w:t>
      </w:r>
      <w:r w:rsidR="00E53839" w:rsidRPr="00A53A15">
        <w:rPr>
          <w:rFonts w:asciiTheme="minorHAnsi" w:hAnsiTheme="minorHAnsi" w:cstheme="minorHAnsi"/>
        </w:rPr>
        <w:t xml:space="preserve"> (2007) to </w:t>
      </w:r>
      <w:proofErr w:type="spellStart"/>
      <w:r w:rsidR="00CC2F72" w:rsidRPr="00A53A15">
        <w:rPr>
          <w:rFonts w:asciiTheme="minorHAnsi" w:hAnsiTheme="minorHAnsi" w:cstheme="minorHAnsi"/>
        </w:rPr>
        <w:t>MEPS</w:t>
      </w:r>
      <w:proofErr w:type="spellEnd"/>
      <w:r w:rsidR="00CC2F72" w:rsidRPr="00A53A15">
        <w:rPr>
          <w:rFonts w:asciiTheme="minorHAnsi" w:hAnsiTheme="minorHAnsi" w:cstheme="minorHAnsi"/>
        </w:rPr>
        <w:t xml:space="preserve"> as measured by current</w:t>
      </w:r>
      <w:r w:rsidR="00AF6FC5" w:rsidRPr="00A53A15">
        <w:rPr>
          <w:rFonts w:asciiTheme="minorHAnsi" w:hAnsiTheme="minorHAnsi" w:cstheme="minorHAnsi"/>
        </w:rPr>
        <w:t xml:space="preserve"> NABERS ratings</w:t>
      </w:r>
      <w:r w:rsidR="004B7730" w:rsidRPr="00A53A15">
        <w:rPr>
          <w:rFonts w:asciiTheme="minorHAnsi" w:hAnsiTheme="minorHAnsi" w:cstheme="minorHAnsi"/>
        </w:rPr>
        <w:t xml:space="preserve"> available.</w:t>
      </w:r>
      <w:bookmarkStart w:id="82" w:name="_Ref132226120"/>
      <w:bookmarkStart w:id="83" w:name="_Ref132226114"/>
      <w:r w:rsidR="00246326" w:rsidRPr="00A53A15">
        <w:rPr>
          <w:rFonts w:asciiTheme="minorHAnsi" w:hAnsiTheme="minorHAnsi" w:cstheme="minorHAnsi"/>
        </w:rPr>
        <w:t xml:space="preserve"> </w:t>
      </w:r>
    </w:p>
    <w:p w14:paraId="01E241B1" w14:textId="6BCD9120" w:rsidR="008744B0" w:rsidRPr="00155DF7" w:rsidRDefault="008744B0" w:rsidP="004E3937">
      <w:pPr>
        <w:pStyle w:val="Caption"/>
        <w:keepNext/>
        <w:spacing w:after="120"/>
        <w:rPr>
          <w:rFonts w:ascii="Calibri" w:eastAsia="Times New Roman" w:hAnsi="Calibri" w:cs="Times New Roman"/>
          <w:b/>
          <w:i w:val="0"/>
          <w:color w:val="auto"/>
          <w:sz w:val="24"/>
          <w:vertAlign w:val="superscript"/>
        </w:rPr>
      </w:pPr>
      <w:bookmarkStart w:id="84" w:name="_Ref148522623"/>
      <w:bookmarkStart w:id="85" w:name="_Toc162535440"/>
      <w:r w:rsidRPr="004E3937">
        <w:rPr>
          <w:rFonts w:ascii="Calibri" w:eastAsia="Times New Roman" w:hAnsi="Calibri" w:cs="Times New Roman"/>
          <w:b/>
          <w:bCs/>
          <w:i w:val="0"/>
          <w:iCs w:val="0"/>
          <w:color w:val="auto"/>
          <w:sz w:val="24"/>
        </w:rPr>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4</w:t>
      </w:r>
      <w:r w:rsidRPr="004E3937">
        <w:rPr>
          <w:rFonts w:ascii="Calibri" w:eastAsia="Times New Roman" w:hAnsi="Calibri" w:cs="Times New Roman"/>
          <w:b/>
          <w:bCs/>
          <w:i w:val="0"/>
          <w:iCs w:val="0"/>
          <w:color w:val="auto"/>
          <w:sz w:val="24"/>
        </w:rPr>
        <w:fldChar w:fldCharType="end"/>
      </w:r>
      <w:bookmarkEnd w:id="82"/>
      <w:bookmarkEnd w:id="84"/>
      <w:r w:rsidR="00191D9E" w:rsidRPr="004E3937">
        <w:rPr>
          <w:rFonts w:ascii="Calibri" w:eastAsia="Times New Roman" w:hAnsi="Calibri" w:cs="Times New Roman"/>
          <w:b/>
          <w:bCs/>
          <w:i w:val="0"/>
          <w:iCs w:val="0"/>
          <w:color w:val="auto"/>
          <w:sz w:val="24"/>
        </w:rPr>
        <w:t>:</w:t>
      </w:r>
      <w:r w:rsidRPr="004E3937">
        <w:rPr>
          <w:rFonts w:ascii="Calibri" w:eastAsia="Times New Roman" w:hAnsi="Calibri" w:cs="Times New Roman"/>
          <w:b/>
          <w:bCs/>
          <w:i w:val="0"/>
          <w:iCs w:val="0"/>
          <w:color w:val="auto"/>
          <w:sz w:val="24"/>
        </w:rPr>
        <w:t xml:space="preserve"> Minimum Energy Performance Standards </w:t>
      </w:r>
      <w:r w:rsidR="008D2C4F" w:rsidRPr="004E3937">
        <w:rPr>
          <w:rFonts w:ascii="Calibri" w:eastAsia="Times New Roman" w:hAnsi="Calibri" w:cs="Times New Roman"/>
          <w:b/>
          <w:bCs/>
          <w:i w:val="0"/>
          <w:iCs w:val="0"/>
          <w:color w:val="auto"/>
          <w:sz w:val="24"/>
        </w:rPr>
        <w:t>for Government Buildings &gt; 2</w:t>
      </w:r>
      <w:r w:rsidR="00FB30A5" w:rsidRPr="004E3937">
        <w:rPr>
          <w:rFonts w:ascii="Calibri" w:eastAsia="Times New Roman" w:hAnsi="Calibri" w:cs="Times New Roman"/>
          <w:b/>
          <w:bCs/>
          <w:i w:val="0"/>
          <w:iCs w:val="0"/>
          <w:color w:val="auto"/>
          <w:sz w:val="24"/>
        </w:rPr>
        <w:t>,</w:t>
      </w:r>
      <w:r w:rsidR="008D2C4F" w:rsidRPr="004E3937">
        <w:rPr>
          <w:rFonts w:ascii="Calibri" w:eastAsia="Times New Roman" w:hAnsi="Calibri" w:cs="Times New Roman"/>
          <w:b/>
          <w:bCs/>
          <w:i w:val="0"/>
          <w:iCs w:val="0"/>
          <w:color w:val="auto"/>
          <w:sz w:val="24"/>
        </w:rPr>
        <w:t>000 m</w:t>
      </w:r>
      <w:r w:rsidR="008D2C4F" w:rsidRPr="00AD496D">
        <w:rPr>
          <w:rFonts w:ascii="Calibri" w:eastAsia="Times New Roman" w:hAnsi="Calibri" w:cs="Times New Roman"/>
          <w:b/>
          <w:bCs/>
          <w:i w:val="0"/>
          <w:iCs w:val="0"/>
          <w:color w:val="auto"/>
          <w:sz w:val="24"/>
          <w:vertAlign w:val="superscript"/>
        </w:rPr>
        <w:t>2</w:t>
      </w:r>
      <w:r w:rsidRPr="004E3937">
        <w:rPr>
          <w:rFonts w:ascii="Calibri" w:eastAsia="Times New Roman" w:hAnsi="Calibri" w:cs="Times New Roman"/>
          <w:b/>
          <w:bCs/>
          <w:i w:val="0"/>
          <w:iCs w:val="0"/>
          <w:color w:val="auto"/>
          <w:sz w:val="24"/>
        </w:rPr>
        <w:t xml:space="preserve"> </w:t>
      </w:r>
      <w:bookmarkEnd w:id="83"/>
      <w:r w:rsidR="00EE36E3" w:rsidRPr="00155DF7">
        <w:rPr>
          <w:rFonts w:ascii="Calibri" w:eastAsia="Times New Roman" w:hAnsi="Calibri" w:cs="Times New Roman"/>
          <w:b/>
          <w:bCs/>
          <w:i w:val="0"/>
          <w:iCs w:val="0"/>
          <w:color w:val="auto"/>
          <w:sz w:val="24"/>
          <w:vertAlign w:val="superscript"/>
        </w:rPr>
        <w:t>17</w:t>
      </w:r>
      <w:r w:rsidR="00155DF7" w:rsidRPr="00155DF7">
        <w:rPr>
          <w:rFonts w:ascii="Calibri" w:eastAsia="Times New Roman" w:hAnsi="Calibri" w:cs="Times New Roman"/>
          <w:b/>
          <w:bCs/>
          <w:i w:val="0"/>
          <w:iCs w:val="0"/>
          <w:color w:val="auto"/>
          <w:sz w:val="24"/>
          <w:vertAlign w:val="superscript"/>
        </w:rPr>
        <w:t>,</w:t>
      </w:r>
      <w:r w:rsidR="00F73A23" w:rsidRPr="00155DF7">
        <w:rPr>
          <w:rFonts w:ascii="ZWAdobeF" w:eastAsia="Times New Roman" w:hAnsi="ZWAdobeF" w:cs="ZWAdobeF"/>
          <w:bCs/>
          <w:i w:val="0"/>
          <w:iCs w:val="0"/>
          <w:color w:val="auto"/>
          <w:sz w:val="2"/>
          <w:szCs w:val="2"/>
          <w:vertAlign w:val="superscript"/>
        </w:rPr>
        <w:t>17F</w:t>
      </w:r>
      <w:r w:rsidR="00626378">
        <w:rPr>
          <w:rFonts w:ascii="ZWAdobeF" w:eastAsia="Times New Roman" w:hAnsi="ZWAdobeF" w:cs="ZWAdobeF"/>
          <w:bCs/>
          <w:i w:val="0"/>
          <w:iCs w:val="0"/>
          <w:color w:val="auto"/>
          <w:sz w:val="2"/>
          <w:szCs w:val="2"/>
        </w:rPr>
        <w:t>17F</w:t>
      </w:r>
      <w:r w:rsidR="00413811">
        <w:rPr>
          <w:rFonts w:ascii="ZWAdobeF" w:eastAsia="Times New Roman" w:hAnsi="ZWAdobeF" w:cs="ZWAdobeF"/>
          <w:bCs/>
          <w:i w:val="0"/>
          <w:iCs w:val="0"/>
          <w:color w:val="auto"/>
          <w:sz w:val="2"/>
          <w:szCs w:val="2"/>
        </w:rPr>
        <w:t>17F</w:t>
      </w:r>
      <w:r w:rsidR="002C327C">
        <w:rPr>
          <w:rFonts w:ascii="ZWAdobeF" w:eastAsia="Times New Roman" w:hAnsi="ZWAdobeF" w:cs="ZWAdobeF"/>
          <w:bCs/>
          <w:i w:val="0"/>
          <w:iCs w:val="0"/>
          <w:color w:val="auto"/>
          <w:sz w:val="2"/>
          <w:szCs w:val="2"/>
        </w:rPr>
        <w:t>17F</w:t>
      </w:r>
      <w:r w:rsidR="00D24A06">
        <w:rPr>
          <w:rFonts w:ascii="ZWAdobeF" w:eastAsia="Times New Roman" w:hAnsi="ZWAdobeF" w:cs="ZWAdobeF"/>
          <w:bCs/>
          <w:i w:val="0"/>
          <w:iCs w:val="0"/>
          <w:color w:val="auto"/>
          <w:sz w:val="2"/>
          <w:szCs w:val="2"/>
        </w:rPr>
        <w:t>17F</w:t>
      </w:r>
      <w:r w:rsidR="00911955" w:rsidRPr="00155DF7">
        <w:rPr>
          <w:rFonts w:ascii="Calibri" w:eastAsia="Times New Roman" w:hAnsi="Calibri" w:cs="Times New Roman"/>
          <w:b/>
          <w:i w:val="0"/>
          <w:color w:val="auto"/>
          <w:sz w:val="24"/>
          <w:vertAlign w:val="superscript"/>
        </w:rPr>
        <w:footnoteReference w:id="19"/>
      </w:r>
      <w:bookmarkEnd w:id="85"/>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3408"/>
        <w:gridCol w:w="2819"/>
        <w:gridCol w:w="2879"/>
      </w:tblGrid>
      <w:tr w:rsidR="00AB3A90" w14:paraId="3BFFB053" w14:textId="64D4436B" w:rsidTr="00DB2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12" w:space="0" w:color="auto"/>
            </w:tcBorders>
            <w:shd w:val="clear" w:color="auto" w:fill="auto"/>
            <w:vAlign w:val="center"/>
          </w:tcPr>
          <w:p w14:paraId="35991643" w14:textId="611AAE17" w:rsidR="00AB3A90" w:rsidRPr="00D10E11" w:rsidRDefault="00AB3A90">
            <w:pPr>
              <w:spacing w:before="0" w:after="0"/>
              <w:jc w:val="center"/>
              <w:rPr>
                <w:rFonts w:asciiTheme="minorHAnsi" w:hAnsiTheme="minorHAnsi" w:cstheme="minorHAnsi"/>
                <w:sz w:val="18"/>
                <w:szCs w:val="18"/>
              </w:rPr>
            </w:pPr>
          </w:p>
        </w:tc>
        <w:tc>
          <w:tcPr>
            <w:tcW w:w="0" w:type="auto"/>
            <w:tcBorders>
              <w:top w:val="single" w:sz="4" w:space="0" w:color="auto"/>
              <w:bottom w:val="single" w:sz="12" w:space="0" w:color="auto"/>
            </w:tcBorders>
            <w:shd w:val="clear" w:color="auto" w:fill="auto"/>
            <w:vAlign w:val="center"/>
          </w:tcPr>
          <w:p w14:paraId="4CF7CF72" w14:textId="170F6C6F" w:rsidR="00AB3A90" w:rsidRPr="00D10E11" w:rsidRDefault="005270F2" w:rsidP="005C64A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0E11">
              <w:rPr>
                <w:rFonts w:asciiTheme="minorHAnsi" w:hAnsiTheme="minorHAnsi" w:cstheme="minorHAnsi"/>
                <w:sz w:val="18"/>
                <w:szCs w:val="18"/>
              </w:rPr>
              <w:t>100</w:t>
            </w:r>
            <w:r w:rsidR="00507E75" w:rsidRPr="00D10E11">
              <w:rPr>
                <w:rFonts w:asciiTheme="minorHAnsi" w:hAnsiTheme="minorHAnsi" w:cstheme="minorHAnsi"/>
                <w:sz w:val="18"/>
                <w:szCs w:val="18"/>
              </w:rPr>
              <w:t xml:space="preserve"> </w:t>
            </w:r>
            <w:r w:rsidRPr="00D10E11">
              <w:rPr>
                <w:rFonts w:asciiTheme="minorHAnsi" w:hAnsiTheme="minorHAnsi" w:cstheme="minorHAnsi"/>
                <w:sz w:val="18"/>
                <w:szCs w:val="18"/>
              </w:rPr>
              <w:t>per</w:t>
            </w:r>
            <w:r w:rsidR="001655E9" w:rsidRPr="00D10E11">
              <w:rPr>
                <w:rFonts w:asciiTheme="minorHAnsi" w:hAnsiTheme="minorHAnsi" w:cstheme="minorHAnsi"/>
                <w:sz w:val="18"/>
                <w:szCs w:val="18"/>
              </w:rPr>
              <w:t xml:space="preserve"> cent</w:t>
            </w:r>
            <w:r w:rsidR="00AB3A90" w:rsidRPr="00D10E11">
              <w:rPr>
                <w:rFonts w:asciiTheme="minorHAnsi" w:hAnsiTheme="minorHAnsi" w:cstheme="minorHAnsi"/>
                <w:sz w:val="18"/>
                <w:szCs w:val="18"/>
              </w:rPr>
              <w:t xml:space="preserve"> of total building area</w:t>
            </w:r>
          </w:p>
        </w:tc>
        <w:tc>
          <w:tcPr>
            <w:tcW w:w="0" w:type="auto"/>
            <w:tcBorders>
              <w:top w:val="single" w:sz="4" w:space="0" w:color="auto"/>
              <w:bottom w:val="single" w:sz="12" w:space="0" w:color="auto"/>
            </w:tcBorders>
            <w:shd w:val="clear" w:color="auto" w:fill="auto"/>
            <w:vAlign w:val="center"/>
          </w:tcPr>
          <w:p w14:paraId="59DE30B7" w14:textId="64909161" w:rsidR="00AB3A90" w:rsidRPr="00D10E11" w:rsidRDefault="005270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0E11">
              <w:rPr>
                <w:rFonts w:asciiTheme="minorHAnsi" w:hAnsiTheme="minorHAnsi" w:cstheme="minorHAnsi"/>
                <w:sz w:val="18"/>
                <w:szCs w:val="18"/>
              </w:rPr>
              <w:t>50</w:t>
            </w:r>
            <w:r w:rsidR="00507E75" w:rsidRPr="00D10E11">
              <w:rPr>
                <w:rFonts w:asciiTheme="minorHAnsi" w:hAnsiTheme="minorHAnsi" w:cstheme="minorHAnsi"/>
                <w:sz w:val="18"/>
                <w:szCs w:val="18"/>
              </w:rPr>
              <w:t xml:space="preserve"> </w:t>
            </w:r>
            <w:r w:rsidRPr="00D10E11">
              <w:rPr>
                <w:rFonts w:asciiTheme="minorHAnsi" w:hAnsiTheme="minorHAnsi" w:cstheme="minorHAnsi"/>
                <w:sz w:val="18"/>
                <w:szCs w:val="18"/>
              </w:rPr>
              <w:t>per</w:t>
            </w:r>
            <w:r w:rsidR="001655E9" w:rsidRPr="00D10E11">
              <w:rPr>
                <w:rFonts w:asciiTheme="minorHAnsi" w:hAnsiTheme="minorHAnsi" w:cstheme="minorHAnsi"/>
                <w:sz w:val="18"/>
                <w:szCs w:val="18"/>
              </w:rPr>
              <w:t xml:space="preserve"> cent</w:t>
            </w:r>
            <w:r w:rsidR="00AB3A90" w:rsidRPr="00D10E11">
              <w:rPr>
                <w:rFonts w:asciiTheme="minorHAnsi" w:hAnsiTheme="minorHAnsi" w:cstheme="minorHAnsi"/>
                <w:sz w:val="18"/>
                <w:szCs w:val="18"/>
              </w:rPr>
              <w:t xml:space="preserve"> </w:t>
            </w:r>
            <w:r w:rsidR="00DE3062" w:rsidRPr="00D10E11">
              <w:rPr>
                <w:rFonts w:asciiTheme="minorHAnsi" w:hAnsiTheme="minorHAnsi" w:cstheme="minorHAnsi"/>
                <w:sz w:val="18"/>
                <w:szCs w:val="18"/>
              </w:rPr>
              <w:t xml:space="preserve">to </w:t>
            </w:r>
            <w:r w:rsidRPr="00D10E11">
              <w:rPr>
                <w:rFonts w:asciiTheme="minorHAnsi" w:hAnsiTheme="minorHAnsi" w:cstheme="minorHAnsi"/>
                <w:sz w:val="18"/>
                <w:szCs w:val="18"/>
              </w:rPr>
              <w:t>99</w:t>
            </w:r>
            <w:r w:rsidR="00507E75" w:rsidRPr="00D10E11">
              <w:rPr>
                <w:rFonts w:asciiTheme="minorHAnsi" w:hAnsiTheme="minorHAnsi" w:cstheme="minorHAnsi"/>
                <w:sz w:val="18"/>
                <w:szCs w:val="18"/>
              </w:rPr>
              <w:t xml:space="preserve"> </w:t>
            </w:r>
            <w:r w:rsidRPr="00D10E11">
              <w:rPr>
                <w:rFonts w:asciiTheme="minorHAnsi" w:hAnsiTheme="minorHAnsi" w:cstheme="minorHAnsi"/>
                <w:sz w:val="18"/>
                <w:szCs w:val="18"/>
              </w:rPr>
              <w:t>per</w:t>
            </w:r>
            <w:r w:rsidR="001655E9" w:rsidRPr="00D10E11">
              <w:rPr>
                <w:rFonts w:asciiTheme="minorHAnsi" w:hAnsiTheme="minorHAnsi" w:cstheme="minorHAnsi"/>
                <w:sz w:val="18"/>
                <w:szCs w:val="18"/>
              </w:rPr>
              <w:t xml:space="preserve"> cent</w:t>
            </w:r>
            <w:r w:rsidR="00DE3062" w:rsidRPr="00D10E11">
              <w:rPr>
                <w:rFonts w:asciiTheme="minorHAnsi" w:hAnsiTheme="minorHAnsi" w:cstheme="minorHAnsi"/>
                <w:sz w:val="18"/>
                <w:szCs w:val="18"/>
              </w:rPr>
              <w:t xml:space="preserve"> </w:t>
            </w:r>
            <w:r w:rsidR="00AB3A90" w:rsidRPr="00D10E11">
              <w:rPr>
                <w:rFonts w:asciiTheme="minorHAnsi" w:hAnsiTheme="minorHAnsi" w:cstheme="minorHAnsi"/>
                <w:sz w:val="18"/>
                <w:szCs w:val="18"/>
              </w:rPr>
              <w:t>of total building area</w:t>
            </w:r>
          </w:p>
        </w:tc>
        <w:tc>
          <w:tcPr>
            <w:tcW w:w="0" w:type="auto"/>
            <w:tcBorders>
              <w:top w:val="single" w:sz="4" w:space="0" w:color="auto"/>
              <w:bottom w:val="single" w:sz="12" w:space="0" w:color="auto"/>
              <w:right w:val="single" w:sz="4" w:space="0" w:color="auto"/>
            </w:tcBorders>
            <w:shd w:val="clear" w:color="auto" w:fill="auto"/>
            <w:vAlign w:val="center"/>
          </w:tcPr>
          <w:p w14:paraId="2DF3CEB6" w14:textId="3BC58B51" w:rsidR="00DE3062" w:rsidRPr="00D10E11" w:rsidRDefault="00DE3062" w:rsidP="00DE306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0E11">
              <w:rPr>
                <w:rFonts w:asciiTheme="minorHAnsi" w:hAnsiTheme="minorHAnsi" w:cstheme="minorHAnsi"/>
                <w:sz w:val="18"/>
                <w:szCs w:val="18"/>
              </w:rPr>
              <w:t xml:space="preserve">&lt; </w:t>
            </w:r>
            <w:r w:rsidR="005270F2" w:rsidRPr="00D10E11">
              <w:rPr>
                <w:rFonts w:asciiTheme="minorHAnsi" w:hAnsiTheme="minorHAnsi" w:cstheme="minorHAnsi"/>
                <w:sz w:val="18"/>
                <w:szCs w:val="18"/>
              </w:rPr>
              <w:t>50</w:t>
            </w:r>
            <w:r w:rsidR="00507E75" w:rsidRPr="00D10E11">
              <w:rPr>
                <w:rFonts w:asciiTheme="minorHAnsi" w:hAnsiTheme="minorHAnsi" w:cstheme="minorHAnsi"/>
                <w:sz w:val="18"/>
                <w:szCs w:val="18"/>
              </w:rPr>
              <w:t xml:space="preserve"> </w:t>
            </w:r>
            <w:r w:rsidR="005270F2" w:rsidRPr="00D10E11">
              <w:rPr>
                <w:rFonts w:asciiTheme="minorHAnsi" w:hAnsiTheme="minorHAnsi" w:cstheme="minorHAnsi"/>
                <w:sz w:val="18"/>
                <w:szCs w:val="18"/>
              </w:rPr>
              <w:t>per</w:t>
            </w:r>
            <w:r w:rsidR="001655E9" w:rsidRPr="00D10E11">
              <w:rPr>
                <w:rFonts w:asciiTheme="minorHAnsi" w:hAnsiTheme="minorHAnsi" w:cstheme="minorHAnsi"/>
                <w:sz w:val="18"/>
                <w:szCs w:val="18"/>
              </w:rPr>
              <w:t xml:space="preserve"> cent</w:t>
            </w:r>
            <w:r w:rsidRPr="00D10E11">
              <w:rPr>
                <w:rFonts w:asciiTheme="minorHAnsi" w:hAnsiTheme="minorHAnsi" w:cstheme="minorHAnsi"/>
                <w:sz w:val="18"/>
                <w:szCs w:val="18"/>
              </w:rPr>
              <w:t xml:space="preserve"> of total building area</w:t>
            </w:r>
          </w:p>
        </w:tc>
      </w:tr>
      <w:tr w:rsidR="00AB3A90" w14:paraId="50C30E67" w14:textId="77777777" w:rsidTr="00DB2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auto"/>
            <w:vAlign w:val="center"/>
            <w:hideMark/>
          </w:tcPr>
          <w:p w14:paraId="5B1C43CE" w14:textId="77777777" w:rsidR="00AB3A90" w:rsidRPr="00354977" w:rsidRDefault="00AB3A90" w:rsidP="009E0ACA">
            <w:pPr>
              <w:jc w:val="center"/>
              <w:rPr>
                <w:rFonts w:asciiTheme="minorHAnsi" w:hAnsiTheme="minorHAnsi" w:cstheme="minorHAnsi"/>
                <w:b w:val="0"/>
                <w:color w:val="212529"/>
                <w:sz w:val="18"/>
                <w:szCs w:val="18"/>
              </w:rPr>
            </w:pPr>
            <w:r w:rsidRPr="00354977">
              <w:rPr>
                <w:rFonts w:asciiTheme="minorHAnsi" w:hAnsiTheme="minorHAnsi" w:cstheme="minorHAnsi"/>
                <w:color w:val="212529"/>
                <w:sz w:val="18"/>
                <w:szCs w:val="18"/>
              </w:rPr>
              <w:lastRenderedPageBreak/>
              <w:t>Base building</w:t>
            </w:r>
          </w:p>
        </w:tc>
        <w:tc>
          <w:tcPr>
            <w:tcW w:w="0" w:type="auto"/>
            <w:tcBorders>
              <w:top w:val="single" w:sz="12" w:space="0" w:color="auto"/>
            </w:tcBorders>
            <w:shd w:val="clear" w:color="auto" w:fill="auto"/>
            <w:vAlign w:val="center"/>
            <w:hideMark/>
          </w:tcPr>
          <w:p w14:paraId="66622600" w14:textId="77777777" w:rsidR="00AB3A90" w:rsidRPr="00354977" w:rsidRDefault="00AB3A90" w:rsidP="009E0A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&gt;= 4.5 stars NABERS Energy, or equivalent, level of energy efficiency for whole building</w:t>
            </w:r>
          </w:p>
        </w:tc>
        <w:tc>
          <w:tcPr>
            <w:tcW w:w="0" w:type="auto"/>
            <w:tcBorders>
              <w:top w:val="single" w:sz="12" w:space="0" w:color="auto"/>
            </w:tcBorders>
            <w:shd w:val="clear" w:color="auto" w:fill="auto"/>
            <w:vAlign w:val="center"/>
            <w:hideMark/>
          </w:tcPr>
          <w:p w14:paraId="5E58CAFB" w14:textId="77777777" w:rsidR="00AB3A90" w:rsidRPr="00354977" w:rsidRDefault="00AB3A90" w:rsidP="009E0A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&gt;= 4.5 stars NABERS Energy, or equivalent, level of energy efficiency</w:t>
            </w:r>
          </w:p>
        </w:tc>
        <w:tc>
          <w:tcPr>
            <w:tcW w:w="0" w:type="auto"/>
            <w:tcBorders>
              <w:top w:val="single" w:sz="12" w:space="0" w:color="auto"/>
            </w:tcBorders>
            <w:shd w:val="clear" w:color="auto" w:fill="auto"/>
            <w:vAlign w:val="center"/>
          </w:tcPr>
          <w:p w14:paraId="21F5657B" w14:textId="52FD5D5E" w:rsidR="00DE3062" w:rsidRPr="00354977" w:rsidRDefault="00DE3062" w:rsidP="009E0A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No requirement</w:t>
            </w:r>
          </w:p>
        </w:tc>
      </w:tr>
      <w:tr w:rsidR="00AB3A90" w14:paraId="513917FA" w14:textId="77777777" w:rsidTr="001E56A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660C69E5" w14:textId="77777777" w:rsidR="00AB3A90" w:rsidRPr="00354977" w:rsidRDefault="00AB3A90" w:rsidP="009E0ACA">
            <w:pPr>
              <w:jc w:val="center"/>
              <w:rPr>
                <w:rFonts w:asciiTheme="minorHAnsi" w:hAnsiTheme="minorHAnsi" w:cstheme="minorHAnsi"/>
                <w:color w:val="212529"/>
                <w:sz w:val="18"/>
                <w:szCs w:val="18"/>
              </w:rPr>
            </w:pPr>
            <w:r w:rsidRPr="00354977">
              <w:rPr>
                <w:rFonts w:asciiTheme="minorHAnsi" w:hAnsiTheme="minorHAnsi" w:cstheme="minorHAnsi"/>
                <w:color w:val="212529"/>
                <w:sz w:val="18"/>
                <w:szCs w:val="18"/>
              </w:rPr>
              <w:t>Tenanted area</w:t>
            </w:r>
          </w:p>
        </w:tc>
        <w:tc>
          <w:tcPr>
            <w:tcW w:w="0" w:type="auto"/>
            <w:shd w:val="clear" w:color="auto" w:fill="auto"/>
            <w:vAlign w:val="center"/>
            <w:hideMark/>
          </w:tcPr>
          <w:p w14:paraId="0547664A" w14:textId="77777777" w:rsidR="00AB3A90" w:rsidRPr="00354977" w:rsidRDefault="00AB3A90" w:rsidP="009E0A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&gt;= 4.5 stars NABERS Energy, or equivalent, level of energy efficiency for whole building</w:t>
            </w:r>
          </w:p>
        </w:tc>
        <w:tc>
          <w:tcPr>
            <w:tcW w:w="0" w:type="auto"/>
            <w:shd w:val="clear" w:color="auto" w:fill="auto"/>
            <w:vAlign w:val="center"/>
            <w:hideMark/>
          </w:tcPr>
          <w:p w14:paraId="1F2BCE2C" w14:textId="77777777" w:rsidR="00AB3A90" w:rsidRPr="00354977" w:rsidRDefault="00AB3A90" w:rsidP="009E0A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&gt;= 4.5 stars NABERS Energy, or equivalent, level of energy efficiency</w:t>
            </w:r>
          </w:p>
        </w:tc>
        <w:tc>
          <w:tcPr>
            <w:tcW w:w="0" w:type="auto"/>
            <w:shd w:val="clear" w:color="auto" w:fill="auto"/>
            <w:vAlign w:val="center"/>
          </w:tcPr>
          <w:p w14:paraId="04BEADF3" w14:textId="5CF3B098" w:rsidR="00DE3062" w:rsidRPr="00354977" w:rsidRDefault="00DE3062" w:rsidP="009E0A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&gt;= 4.5 stars NABERS Energy, or equivalent, level of energy efficiency</w:t>
            </w:r>
          </w:p>
        </w:tc>
      </w:tr>
      <w:tr w:rsidR="00AB3A90" w14:paraId="009A4AC9" w14:textId="77777777" w:rsidTr="001E5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1659B9E6" w14:textId="77777777" w:rsidR="00AB3A90" w:rsidRPr="00354977" w:rsidRDefault="00AB3A90" w:rsidP="009E0ACA">
            <w:pPr>
              <w:jc w:val="center"/>
              <w:rPr>
                <w:rFonts w:asciiTheme="minorHAnsi" w:hAnsiTheme="minorHAnsi" w:cstheme="minorHAnsi"/>
                <w:color w:val="212529"/>
                <w:sz w:val="18"/>
                <w:szCs w:val="18"/>
              </w:rPr>
            </w:pPr>
            <w:r w:rsidRPr="00354977">
              <w:rPr>
                <w:rFonts w:asciiTheme="minorHAnsi" w:hAnsiTheme="minorHAnsi" w:cstheme="minorHAnsi"/>
                <w:color w:val="212529"/>
                <w:sz w:val="18"/>
                <w:szCs w:val="18"/>
              </w:rPr>
              <w:t>Lease</w:t>
            </w:r>
          </w:p>
        </w:tc>
        <w:tc>
          <w:tcPr>
            <w:tcW w:w="0" w:type="auto"/>
            <w:shd w:val="clear" w:color="auto" w:fill="auto"/>
            <w:vAlign w:val="center"/>
            <w:hideMark/>
          </w:tcPr>
          <w:p w14:paraId="0B3D6B7F" w14:textId="77777777" w:rsidR="00AB3A90" w:rsidRPr="00354977" w:rsidRDefault="00AB3A90" w:rsidP="009E0A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To include a Green Lease Schedule</w:t>
            </w:r>
          </w:p>
        </w:tc>
        <w:tc>
          <w:tcPr>
            <w:tcW w:w="0" w:type="auto"/>
            <w:shd w:val="clear" w:color="auto" w:fill="auto"/>
            <w:vAlign w:val="center"/>
            <w:hideMark/>
          </w:tcPr>
          <w:p w14:paraId="4E51B0CA" w14:textId="77777777" w:rsidR="00AB3A90" w:rsidRPr="00354977" w:rsidRDefault="00AB3A90" w:rsidP="009E0A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To include a Green Lease Schedule</w:t>
            </w:r>
          </w:p>
        </w:tc>
        <w:tc>
          <w:tcPr>
            <w:tcW w:w="0" w:type="auto"/>
            <w:shd w:val="clear" w:color="auto" w:fill="auto"/>
            <w:vAlign w:val="center"/>
          </w:tcPr>
          <w:p w14:paraId="194446C6" w14:textId="0BCAA212" w:rsidR="00DE3062" w:rsidRPr="00354977" w:rsidRDefault="00DE3062" w:rsidP="009E0A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212529"/>
                <w:sz w:val="18"/>
                <w:szCs w:val="18"/>
              </w:rPr>
            </w:pPr>
            <w:r w:rsidRPr="00354977">
              <w:rPr>
                <w:rFonts w:asciiTheme="minorHAnsi" w:hAnsiTheme="minorHAnsi" w:cstheme="minorHAnsi"/>
                <w:color w:val="212529"/>
                <w:sz w:val="18"/>
                <w:szCs w:val="18"/>
              </w:rPr>
              <w:t>To include a Green Lease Schedule</w:t>
            </w:r>
          </w:p>
        </w:tc>
      </w:tr>
    </w:tbl>
    <w:p w14:paraId="577BAE7B" w14:textId="77777777" w:rsidR="00AB276E" w:rsidRPr="00354977" w:rsidRDefault="00AB276E" w:rsidP="0041084B">
      <w:pPr>
        <w:pStyle w:val="Caption"/>
        <w:keepNext/>
        <w:rPr>
          <w:rFonts w:asciiTheme="minorHAnsi" w:hAnsiTheme="minorHAnsi" w:cstheme="minorHAnsi"/>
        </w:rPr>
      </w:pPr>
      <w:bookmarkStart w:id="86" w:name="_Ref132226132"/>
      <w:bookmarkStart w:id="87" w:name="_Ref132291288"/>
    </w:p>
    <w:p w14:paraId="1E5A615A" w14:textId="0FDECEA5" w:rsidR="001C3021" w:rsidRPr="004E3937" w:rsidRDefault="001C3021" w:rsidP="004E3937">
      <w:pPr>
        <w:pStyle w:val="Caption"/>
        <w:keepNext/>
        <w:spacing w:after="120"/>
        <w:rPr>
          <w:rFonts w:ascii="Calibri" w:eastAsia="Times New Roman" w:hAnsi="Calibri" w:cs="Times New Roman"/>
          <w:b/>
          <w:bCs/>
          <w:i w:val="0"/>
          <w:iCs w:val="0"/>
          <w:color w:val="auto"/>
          <w:sz w:val="24"/>
        </w:rPr>
      </w:pPr>
      <w:bookmarkStart w:id="88" w:name="_Ref133431001"/>
      <w:bookmarkStart w:id="89" w:name="_Toc162535441"/>
      <w:r w:rsidRPr="004E3937">
        <w:rPr>
          <w:rFonts w:ascii="Calibri" w:eastAsia="Times New Roman" w:hAnsi="Calibri" w:cs="Times New Roman"/>
          <w:b/>
          <w:bCs/>
          <w:i w:val="0"/>
          <w:iCs w:val="0"/>
          <w:color w:val="auto"/>
          <w:sz w:val="24"/>
        </w:rPr>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5</w:t>
      </w:r>
      <w:r w:rsidRPr="004E3937">
        <w:rPr>
          <w:rFonts w:ascii="Calibri" w:eastAsia="Times New Roman" w:hAnsi="Calibri" w:cs="Times New Roman"/>
          <w:b/>
          <w:bCs/>
          <w:i w:val="0"/>
          <w:iCs w:val="0"/>
          <w:color w:val="auto"/>
          <w:sz w:val="24"/>
        </w:rPr>
        <w:fldChar w:fldCharType="end"/>
      </w:r>
      <w:bookmarkEnd w:id="86"/>
      <w:bookmarkEnd w:id="88"/>
      <w:r w:rsidR="00191D9E" w:rsidRPr="004E3937">
        <w:rPr>
          <w:rFonts w:ascii="Calibri" w:eastAsia="Times New Roman" w:hAnsi="Calibri" w:cs="Times New Roman"/>
          <w:b/>
          <w:bCs/>
          <w:i w:val="0"/>
          <w:iCs w:val="0"/>
          <w:color w:val="auto"/>
          <w:sz w:val="24"/>
        </w:rPr>
        <w:t>:</w:t>
      </w:r>
      <w:r w:rsidRPr="004E3937">
        <w:rPr>
          <w:rFonts w:ascii="Calibri" w:eastAsia="Times New Roman" w:hAnsi="Calibri" w:cs="Times New Roman"/>
          <w:b/>
          <w:bCs/>
          <w:i w:val="0"/>
          <w:iCs w:val="0"/>
          <w:color w:val="auto"/>
          <w:sz w:val="24"/>
        </w:rPr>
        <w:t xml:space="preserve"> Minimum Energy Performance Standards for Government Buildings &lt; 2</w:t>
      </w:r>
      <w:r w:rsidR="00FB30A5" w:rsidRPr="004E3937">
        <w:rPr>
          <w:rFonts w:ascii="Calibri" w:eastAsia="Times New Roman" w:hAnsi="Calibri" w:cs="Times New Roman"/>
          <w:b/>
          <w:bCs/>
          <w:i w:val="0"/>
          <w:iCs w:val="0"/>
          <w:color w:val="auto"/>
          <w:sz w:val="24"/>
        </w:rPr>
        <w:t>,</w:t>
      </w:r>
      <w:r w:rsidRPr="004E3937">
        <w:rPr>
          <w:rFonts w:ascii="Calibri" w:eastAsia="Times New Roman" w:hAnsi="Calibri" w:cs="Times New Roman"/>
          <w:b/>
          <w:bCs/>
          <w:i w:val="0"/>
          <w:iCs w:val="0"/>
          <w:color w:val="auto"/>
          <w:sz w:val="24"/>
        </w:rPr>
        <w:t>000 m</w:t>
      </w:r>
      <w:r w:rsidRPr="00AD496D">
        <w:rPr>
          <w:rFonts w:ascii="Calibri" w:eastAsia="Times New Roman" w:hAnsi="Calibri" w:cs="Times New Roman"/>
          <w:b/>
          <w:bCs/>
          <w:i w:val="0"/>
          <w:iCs w:val="0"/>
          <w:color w:val="auto"/>
          <w:sz w:val="24"/>
          <w:vertAlign w:val="superscript"/>
        </w:rPr>
        <w:t>2</w:t>
      </w:r>
      <w:r w:rsidRPr="004E3937">
        <w:rPr>
          <w:rFonts w:ascii="Calibri" w:eastAsia="Times New Roman" w:hAnsi="Calibri" w:cs="Times New Roman"/>
          <w:b/>
          <w:bCs/>
          <w:i w:val="0"/>
          <w:iCs w:val="0"/>
          <w:color w:val="auto"/>
          <w:sz w:val="24"/>
        </w:rPr>
        <w:t xml:space="preserve"> </w:t>
      </w:r>
      <w:bookmarkEnd w:id="87"/>
      <w:r w:rsidR="00EE36E3" w:rsidRPr="00155DF7">
        <w:rPr>
          <w:rFonts w:ascii="Calibri" w:eastAsia="Times New Roman" w:hAnsi="Calibri" w:cs="Times New Roman"/>
          <w:b/>
          <w:bCs/>
          <w:i w:val="0"/>
          <w:iCs w:val="0"/>
          <w:color w:val="auto"/>
          <w:sz w:val="24"/>
          <w:vertAlign w:val="superscript"/>
        </w:rPr>
        <w:t>18</w:t>
      </w:r>
      <w:r w:rsidR="00155DF7" w:rsidRPr="00155DF7">
        <w:rPr>
          <w:rFonts w:ascii="Calibri" w:eastAsia="Times New Roman" w:hAnsi="Calibri" w:cs="Times New Roman"/>
          <w:b/>
          <w:bCs/>
          <w:i w:val="0"/>
          <w:iCs w:val="0"/>
          <w:color w:val="auto"/>
          <w:sz w:val="24"/>
          <w:vertAlign w:val="superscript"/>
        </w:rPr>
        <w:t>,</w:t>
      </w:r>
      <w:r w:rsidR="00F73A23" w:rsidRPr="00155DF7">
        <w:rPr>
          <w:rFonts w:ascii="ZWAdobeF" w:eastAsia="Times New Roman" w:hAnsi="ZWAdobeF" w:cs="ZWAdobeF"/>
          <w:bCs/>
          <w:i w:val="0"/>
          <w:iCs w:val="0"/>
          <w:color w:val="auto"/>
          <w:sz w:val="2"/>
          <w:szCs w:val="2"/>
          <w:vertAlign w:val="superscript"/>
        </w:rPr>
        <w:t>18F</w:t>
      </w:r>
      <w:r w:rsidR="00626378">
        <w:rPr>
          <w:rFonts w:ascii="ZWAdobeF" w:eastAsia="Times New Roman" w:hAnsi="ZWAdobeF" w:cs="ZWAdobeF"/>
          <w:bCs/>
          <w:i w:val="0"/>
          <w:iCs w:val="0"/>
          <w:color w:val="auto"/>
          <w:sz w:val="2"/>
          <w:szCs w:val="2"/>
        </w:rPr>
        <w:t>18F</w:t>
      </w:r>
      <w:r w:rsidR="00413811">
        <w:rPr>
          <w:rFonts w:ascii="ZWAdobeF" w:eastAsia="Times New Roman" w:hAnsi="ZWAdobeF" w:cs="ZWAdobeF"/>
          <w:bCs/>
          <w:i w:val="0"/>
          <w:iCs w:val="0"/>
          <w:color w:val="auto"/>
          <w:sz w:val="2"/>
          <w:szCs w:val="2"/>
        </w:rPr>
        <w:t>18F</w:t>
      </w:r>
      <w:r w:rsidR="002C327C">
        <w:rPr>
          <w:rFonts w:ascii="ZWAdobeF" w:eastAsia="Times New Roman" w:hAnsi="ZWAdobeF" w:cs="ZWAdobeF"/>
          <w:bCs/>
          <w:i w:val="0"/>
          <w:iCs w:val="0"/>
          <w:color w:val="auto"/>
          <w:sz w:val="2"/>
          <w:szCs w:val="2"/>
        </w:rPr>
        <w:t>18F</w:t>
      </w:r>
      <w:r w:rsidR="00D24A06">
        <w:rPr>
          <w:rFonts w:ascii="ZWAdobeF" w:eastAsia="Times New Roman" w:hAnsi="ZWAdobeF" w:cs="ZWAdobeF"/>
          <w:bCs/>
          <w:i w:val="0"/>
          <w:iCs w:val="0"/>
          <w:color w:val="auto"/>
          <w:sz w:val="2"/>
          <w:szCs w:val="2"/>
        </w:rPr>
        <w:t>18F</w:t>
      </w:r>
      <w:r w:rsidR="00911955" w:rsidRPr="00155DF7">
        <w:rPr>
          <w:rFonts w:ascii="Calibri" w:eastAsia="Times New Roman" w:hAnsi="Calibri" w:cs="Times New Roman"/>
          <w:b/>
          <w:i w:val="0"/>
          <w:color w:val="auto"/>
          <w:sz w:val="24"/>
          <w:vertAlign w:val="superscript"/>
        </w:rPr>
        <w:footnoteReference w:id="20"/>
      </w:r>
      <w:bookmarkEnd w:id="89"/>
    </w:p>
    <w:tbl>
      <w:tblPr>
        <w:tblStyle w:val="GridTable6Colorful-Accent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764"/>
      </w:tblGrid>
      <w:tr w:rsidR="005604EC" w:rsidRPr="009E0ACA" w14:paraId="28A2F276" w14:textId="77777777" w:rsidTr="00DB2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shd w:val="clear" w:color="auto" w:fill="auto"/>
            <w:vAlign w:val="center"/>
          </w:tcPr>
          <w:p w14:paraId="1DC58EFC" w14:textId="0C3AC124" w:rsidR="005604EC" w:rsidRPr="00354977" w:rsidRDefault="006D1C51" w:rsidP="009E0ACA">
            <w:pPr>
              <w:spacing w:after="120"/>
              <w:jc w:val="center"/>
              <w:rPr>
                <w:rFonts w:asciiTheme="minorHAnsi" w:hAnsiTheme="minorHAnsi" w:cstheme="minorHAnsi"/>
                <w:color w:val="auto"/>
                <w:sz w:val="18"/>
                <w:szCs w:val="18"/>
              </w:rPr>
            </w:pPr>
            <w:r>
              <w:rPr>
                <w:rFonts w:asciiTheme="minorHAnsi" w:hAnsiTheme="minorHAnsi" w:cstheme="minorHAnsi"/>
                <w:color w:val="auto"/>
                <w:sz w:val="18"/>
                <w:szCs w:val="18"/>
              </w:rPr>
              <w:t>Space</w:t>
            </w:r>
          </w:p>
        </w:tc>
        <w:tc>
          <w:tcPr>
            <w:tcW w:w="8764" w:type="dxa"/>
            <w:tcBorders>
              <w:bottom w:val="single" w:sz="12" w:space="0" w:color="auto"/>
            </w:tcBorders>
            <w:shd w:val="clear" w:color="auto" w:fill="auto"/>
            <w:vAlign w:val="center"/>
          </w:tcPr>
          <w:p w14:paraId="3F0B1EA2" w14:textId="5C2278A5" w:rsidR="005604EC" w:rsidRPr="001A3638" w:rsidRDefault="008E6DD9" w:rsidP="009E0ACA">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A3638">
              <w:rPr>
                <w:rFonts w:asciiTheme="minorHAnsi" w:hAnsiTheme="minorHAnsi" w:cstheme="minorHAnsi"/>
                <w:sz w:val="18"/>
                <w:szCs w:val="18"/>
              </w:rPr>
              <w:t>Requirement</w:t>
            </w:r>
            <w:r w:rsidR="001A3638">
              <w:rPr>
                <w:rFonts w:asciiTheme="minorHAnsi" w:hAnsiTheme="minorHAnsi" w:cstheme="minorHAnsi"/>
                <w:sz w:val="18"/>
                <w:szCs w:val="18"/>
              </w:rPr>
              <w:t>s</w:t>
            </w:r>
          </w:p>
        </w:tc>
      </w:tr>
      <w:tr w:rsidR="009E0ACA" w:rsidRPr="009E0ACA" w14:paraId="44D87F42" w14:textId="77777777" w:rsidTr="00DB2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shd w:val="clear" w:color="auto" w:fill="auto"/>
            <w:vAlign w:val="center"/>
            <w:hideMark/>
          </w:tcPr>
          <w:p w14:paraId="69438883" w14:textId="77777777" w:rsidR="009E0ACA" w:rsidRPr="00354977" w:rsidRDefault="009E0ACA" w:rsidP="009E0ACA">
            <w:pPr>
              <w:spacing w:after="120"/>
              <w:jc w:val="center"/>
              <w:rPr>
                <w:rFonts w:asciiTheme="minorHAnsi" w:hAnsiTheme="minorHAnsi" w:cstheme="minorHAnsi"/>
                <w:color w:val="auto"/>
                <w:sz w:val="18"/>
                <w:szCs w:val="18"/>
              </w:rPr>
            </w:pPr>
            <w:r w:rsidRPr="00354977">
              <w:rPr>
                <w:rFonts w:asciiTheme="minorHAnsi" w:hAnsiTheme="minorHAnsi" w:cstheme="minorHAnsi"/>
                <w:color w:val="auto"/>
                <w:sz w:val="18"/>
                <w:szCs w:val="18"/>
              </w:rPr>
              <w:t>Base building</w:t>
            </w:r>
          </w:p>
        </w:tc>
        <w:tc>
          <w:tcPr>
            <w:tcW w:w="8764" w:type="dxa"/>
            <w:tcBorders>
              <w:top w:val="single" w:sz="12" w:space="0" w:color="auto"/>
            </w:tcBorders>
            <w:shd w:val="clear" w:color="auto" w:fill="auto"/>
            <w:vAlign w:val="center"/>
            <w:hideMark/>
          </w:tcPr>
          <w:p w14:paraId="5ED8F915" w14:textId="77777777" w:rsidR="009E0ACA" w:rsidRPr="00354977" w:rsidRDefault="009E0ACA" w:rsidP="009E0AC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54977">
              <w:rPr>
                <w:rFonts w:asciiTheme="minorHAnsi" w:hAnsiTheme="minorHAnsi" w:cstheme="minorHAnsi"/>
                <w:sz w:val="18"/>
                <w:szCs w:val="18"/>
              </w:rPr>
              <w:t>No requirement</w:t>
            </w:r>
          </w:p>
        </w:tc>
      </w:tr>
      <w:tr w:rsidR="009E0ACA" w:rsidRPr="009E0ACA" w14:paraId="433A5F24" w14:textId="77777777" w:rsidTr="00DB2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4096DEA5" w14:textId="77777777" w:rsidR="009E0ACA" w:rsidRPr="00354977" w:rsidRDefault="009E0ACA" w:rsidP="009E0ACA">
            <w:pPr>
              <w:spacing w:after="120"/>
              <w:jc w:val="center"/>
              <w:rPr>
                <w:rFonts w:asciiTheme="minorHAnsi" w:hAnsiTheme="minorHAnsi" w:cstheme="minorHAnsi"/>
                <w:color w:val="auto"/>
                <w:sz w:val="18"/>
                <w:szCs w:val="18"/>
              </w:rPr>
            </w:pPr>
            <w:r w:rsidRPr="00354977">
              <w:rPr>
                <w:rFonts w:asciiTheme="minorHAnsi" w:hAnsiTheme="minorHAnsi" w:cstheme="minorHAnsi"/>
                <w:color w:val="auto"/>
                <w:sz w:val="18"/>
                <w:szCs w:val="18"/>
              </w:rPr>
              <w:t>Tenanted area</w:t>
            </w:r>
          </w:p>
        </w:tc>
        <w:tc>
          <w:tcPr>
            <w:tcW w:w="8764" w:type="dxa"/>
            <w:shd w:val="clear" w:color="auto" w:fill="auto"/>
            <w:vAlign w:val="center"/>
            <w:hideMark/>
          </w:tcPr>
          <w:p w14:paraId="76E82758" w14:textId="77777777" w:rsidR="009E0ACA" w:rsidRPr="00354977" w:rsidRDefault="009E0ACA" w:rsidP="009E0AC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54977">
              <w:rPr>
                <w:rFonts w:asciiTheme="minorHAnsi" w:hAnsiTheme="minorHAnsi" w:cstheme="minorHAnsi"/>
                <w:sz w:val="18"/>
                <w:szCs w:val="18"/>
              </w:rPr>
              <w:t>Separate digital metering and max 8W/m</w:t>
            </w:r>
            <w:r w:rsidRPr="00354977">
              <w:rPr>
                <w:rFonts w:asciiTheme="minorHAnsi" w:hAnsiTheme="minorHAnsi" w:cstheme="minorHAnsi"/>
                <w:sz w:val="18"/>
                <w:szCs w:val="18"/>
                <w:vertAlign w:val="superscript"/>
              </w:rPr>
              <w:t>2</w:t>
            </w:r>
            <w:r w:rsidRPr="00354977">
              <w:rPr>
                <w:rFonts w:asciiTheme="minorHAnsi" w:hAnsiTheme="minorHAnsi" w:cstheme="minorHAnsi"/>
                <w:sz w:val="18"/>
                <w:szCs w:val="18"/>
              </w:rPr>
              <w:t xml:space="preserve"> for lighting</w:t>
            </w:r>
          </w:p>
        </w:tc>
      </w:tr>
      <w:tr w:rsidR="009E0ACA" w:rsidRPr="009E0ACA" w14:paraId="219BFE35" w14:textId="77777777" w:rsidTr="00DB2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3160D1CE" w14:textId="77777777" w:rsidR="009E0ACA" w:rsidRPr="00354977" w:rsidRDefault="009E0ACA" w:rsidP="009E0ACA">
            <w:pPr>
              <w:spacing w:after="120"/>
              <w:jc w:val="center"/>
              <w:rPr>
                <w:rFonts w:asciiTheme="minorHAnsi" w:hAnsiTheme="minorHAnsi" w:cstheme="minorHAnsi"/>
                <w:color w:val="auto"/>
                <w:sz w:val="18"/>
                <w:szCs w:val="18"/>
              </w:rPr>
            </w:pPr>
            <w:r w:rsidRPr="00354977">
              <w:rPr>
                <w:rFonts w:asciiTheme="minorHAnsi" w:hAnsiTheme="minorHAnsi" w:cstheme="minorHAnsi"/>
                <w:color w:val="auto"/>
                <w:sz w:val="18"/>
                <w:szCs w:val="18"/>
              </w:rPr>
              <w:t>Lease</w:t>
            </w:r>
          </w:p>
        </w:tc>
        <w:tc>
          <w:tcPr>
            <w:tcW w:w="8764" w:type="dxa"/>
            <w:shd w:val="clear" w:color="auto" w:fill="auto"/>
            <w:vAlign w:val="center"/>
            <w:hideMark/>
          </w:tcPr>
          <w:p w14:paraId="6A5D8AA0" w14:textId="77777777" w:rsidR="009E0ACA" w:rsidRPr="00354977" w:rsidRDefault="009E0ACA" w:rsidP="009E0ACA">
            <w:pPr>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54977">
              <w:rPr>
                <w:rFonts w:asciiTheme="minorHAnsi" w:hAnsiTheme="minorHAnsi" w:cstheme="minorHAnsi"/>
                <w:sz w:val="18"/>
                <w:szCs w:val="18"/>
              </w:rPr>
              <w:t>No requirement</w:t>
            </w:r>
          </w:p>
        </w:tc>
      </w:tr>
      <w:tr w:rsidR="009E0ACA" w:rsidRPr="009E0ACA" w14:paraId="0FC177CF" w14:textId="77777777" w:rsidTr="00DB223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14:paraId="7874082C" w14:textId="77777777" w:rsidR="009E0ACA" w:rsidRPr="00354977" w:rsidRDefault="009E0ACA" w:rsidP="009E0ACA">
            <w:pPr>
              <w:spacing w:after="120"/>
              <w:jc w:val="center"/>
              <w:rPr>
                <w:rFonts w:asciiTheme="minorHAnsi" w:hAnsiTheme="minorHAnsi" w:cstheme="minorHAnsi"/>
                <w:color w:val="auto"/>
                <w:sz w:val="18"/>
                <w:szCs w:val="18"/>
              </w:rPr>
            </w:pPr>
            <w:r w:rsidRPr="00354977">
              <w:rPr>
                <w:rFonts w:asciiTheme="minorHAnsi" w:hAnsiTheme="minorHAnsi" w:cstheme="minorHAnsi"/>
                <w:color w:val="auto"/>
                <w:sz w:val="18"/>
                <w:szCs w:val="18"/>
              </w:rPr>
              <w:t>Appliances</w:t>
            </w:r>
          </w:p>
        </w:tc>
        <w:tc>
          <w:tcPr>
            <w:tcW w:w="8764" w:type="dxa"/>
            <w:shd w:val="clear" w:color="auto" w:fill="auto"/>
            <w:vAlign w:val="center"/>
            <w:hideMark/>
          </w:tcPr>
          <w:p w14:paraId="166A86C9" w14:textId="77777777" w:rsidR="009E0ACA" w:rsidRPr="00354977" w:rsidRDefault="009E0ACA" w:rsidP="009E0ACA">
            <w:pPr>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54977">
              <w:rPr>
                <w:rFonts w:asciiTheme="minorHAnsi" w:hAnsiTheme="minorHAnsi" w:cstheme="minorHAnsi"/>
                <w:sz w:val="18"/>
                <w:szCs w:val="18"/>
              </w:rPr>
              <w:t>US EPA 'Energy Star' compliant with power management features enabled at the time of supply</w:t>
            </w:r>
          </w:p>
        </w:tc>
      </w:tr>
    </w:tbl>
    <w:p w14:paraId="452B901B" w14:textId="42A39BAF" w:rsidR="00681052" w:rsidRPr="00354977" w:rsidRDefault="00681052" w:rsidP="00681052">
      <w:pPr>
        <w:pStyle w:val="BodyText"/>
        <w:rPr>
          <w:rFonts w:asciiTheme="minorHAnsi" w:hAnsiTheme="minorHAnsi" w:cstheme="minorHAnsi"/>
        </w:rPr>
      </w:pPr>
    </w:p>
    <w:p w14:paraId="0657AA6F" w14:textId="5956E17A" w:rsidR="006422A1" w:rsidRPr="00354977" w:rsidRDefault="006422A1" w:rsidP="00214D42">
      <w:pPr>
        <w:pStyle w:val="Heading3"/>
        <w:rPr>
          <w:rFonts w:asciiTheme="minorHAnsi" w:hAnsiTheme="minorHAnsi" w:cstheme="minorHAnsi"/>
        </w:rPr>
      </w:pPr>
      <w:r w:rsidRPr="00354977">
        <w:rPr>
          <w:rFonts w:asciiTheme="minorHAnsi" w:hAnsiTheme="minorHAnsi" w:cstheme="minorHAnsi"/>
        </w:rPr>
        <w:t xml:space="preserve">Embodied </w:t>
      </w:r>
      <w:r w:rsidR="005F7D7A" w:rsidRPr="00354977">
        <w:rPr>
          <w:rFonts w:asciiTheme="minorHAnsi" w:hAnsiTheme="minorHAnsi" w:cstheme="minorHAnsi"/>
        </w:rPr>
        <w:t>carbon</w:t>
      </w:r>
    </w:p>
    <w:p w14:paraId="40C392F1" w14:textId="7301CBB8" w:rsidR="00D52A71" w:rsidRPr="002E5993" w:rsidRDefault="006422A1" w:rsidP="006B6BC1">
      <w:pPr>
        <w:spacing w:line="259" w:lineRule="auto"/>
        <w:rPr>
          <w:rFonts w:asciiTheme="minorHAnsi" w:hAnsiTheme="minorHAnsi" w:cstheme="minorHAnsi"/>
        </w:rPr>
      </w:pPr>
      <w:r w:rsidRPr="00354977">
        <w:rPr>
          <w:rFonts w:asciiTheme="minorHAnsi" w:hAnsiTheme="minorHAnsi" w:cstheme="minorHAnsi"/>
        </w:rPr>
        <w:t>Embodied carbon</w:t>
      </w:r>
      <w:r w:rsidRPr="002E5993">
        <w:rPr>
          <w:rFonts w:asciiTheme="minorHAnsi" w:hAnsiTheme="minorHAnsi" w:cstheme="minorHAnsi"/>
        </w:rPr>
        <w:t xml:space="preserve"> </w:t>
      </w:r>
      <w:r w:rsidR="0008413A" w:rsidRPr="002E5993">
        <w:rPr>
          <w:rFonts w:asciiTheme="minorHAnsi" w:hAnsiTheme="minorHAnsi" w:cstheme="minorHAnsi"/>
        </w:rPr>
        <w:t xml:space="preserve">considers the emissions in the materials used to </w:t>
      </w:r>
      <w:r w:rsidR="00FF5A33" w:rsidRPr="002E5993">
        <w:rPr>
          <w:rFonts w:asciiTheme="minorHAnsi" w:hAnsiTheme="minorHAnsi" w:cstheme="minorHAnsi"/>
        </w:rPr>
        <w:t xml:space="preserve">construct </w:t>
      </w:r>
      <w:r w:rsidR="0008413A" w:rsidRPr="002E5993">
        <w:rPr>
          <w:rFonts w:asciiTheme="minorHAnsi" w:hAnsiTheme="minorHAnsi" w:cstheme="minorHAnsi"/>
        </w:rPr>
        <w:t>the building, for example the energy used to extract ore and manufacture and then transport the steel used in the building</w:t>
      </w:r>
      <w:r w:rsidR="00000DFD" w:rsidRPr="002E5993">
        <w:rPr>
          <w:rFonts w:asciiTheme="minorHAnsi" w:hAnsiTheme="minorHAnsi" w:cstheme="minorHAnsi"/>
        </w:rPr>
        <w:t>.</w:t>
      </w:r>
      <w:r w:rsidR="00723239">
        <w:rPr>
          <w:rFonts w:ascii="ZWAdobeF" w:hAnsi="ZWAdobeF" w:cs="ZWAdobeF"/>
          <w:color w:val="auto"/>
          <w:sz w:val="2"/>
          <w:szCs w:val="2"/>
        </w:rPr>
        <w:t>19F</w:t>
      </w:r>
      <w:r w:rsidR="00EE36E3">
        <w:rPr>
          <w:rFonts w:ascii="ZWAdobeF" w:hAnsi="ZWAdobeF" w:cs="ZWAdobeF"/>
          <w:color w:val="auto"/>
          <w:sz w:val="2"/>
          <w:szCs w:val="2"/>
        </w:rPr>
        <w:t>19F</w:t>
      </w:r>
      <w:r w:rsidR="00E94853">
        <w:rPr>
          <w:rFonts w:ascii="ZWAdobeF" w:hAnsi="ZWAdobeF" w:cs="ZWAdobeF"/>
          <w:color w:val="auto"/>
          <w:sz w:val="2"/>
          <w:szCs w:val="2"/>
        </w:rPr>
        <w:t>19F</w:t>
      </w:r>
      <w:r w:rsidR="00F73A23">
        <w:rPr>
          <w:rFonts w:ascii="ZWAdobeF" w:hAnsi="ZWAdobeF" w:cs="ZWAdobeF"/>
          <w:color w:val="auto"/>
          <w:sz w:val="2"/>
          <w:szCs w:val="2"/>
        </w:rPr>
        <w:t>19F</w:t>
      </w:r>
      <w:r w:rsidR="00626378">
        <w:rPr>
          <w:rFonts w:ascii="ZWAdobeF" w:hAnsi="ZWAdobeF" w:cs="ZWAdobeF"/>
          <w:color w:val="auto"/>
          <w:sz w:val="2"/>
          <w:szCs w:val="2"/>
        </w:rPr>
        <w:t>19F</w:t>
      </w:r>
      <w:r w:rsidR="00413811">
        <w:rPr>
          <w:rFonts w:ascii="ZWAdobeF" w:hAnsi="ZWAdobeF" w:cs="ZWAdobeF"/>
          <w:color w:val="auto"/>
          <w:sz w:val="2"/>
          <w:szCs w:val="2"/>
        </w:rPr>
        <w:t>19F</w:t>
      </w:r>
      <w:r w:rsidR="002C327C">
        <w:rPr>
          <w:rFonts w:ascii="ZWAdobeF" w:hAnsi="ZWAdobeF" w:cs="ZWAdobeF"/>
          <w:color w:val="auto"/>
          <w:sz w:val="2"/>
          <w:szCs w:val="2"/>
        </w:rPr>
        <w:t>19F</w:t>
      </w:r>
      <w:r w:rsidR="00D24A06">
        <w:rPr>
          <w:rFonts w:ascii="ZWAdobeF" w:hAnsi="ZWAdobeF" w:cs="ZWAdobeF"/>
          <w:color w:val="auto"/>
          <w:sz w:val="2"/>
          <w:szCs w:val="2"/>
        </w:rPr>
        <w:t>19F</w:t>
      </w:r>
      <w:r w:rsidR="0008413A" w:rsidRPr="002E5993">
        <w:rPr>
          <w:rStyle w:val="FootnoteReference"/>
          <w:rFonts w:asciiTheme="minorHAnsi" w:hAnsiTheme="minorHAnsi" w:cstheme="minorHAnsi"/>
        </w:rPr>
        <w:footnoteReference w:id="21"/>
      </w:r>
      <w:r w:rsidR="0008413A" w:rsidRPr="002E5993">
        <w:rPr>
          <w:rFonts w:asciiTheme="minorHAnsi" w:hAnsiTheme="minorHAnsi" w:cstheme="minorHAnsi"/>
        </w:rPr>
        <w:t xml:space="preserve"> Embodied energy </w:t>
      </w:r>
      <w:r w:rsidRPr="002E5993">
        <w:rPr>
          <w:rFonts w:asciiTheme="minorHAnsi" w:hAnsiTheme="minorHAnsi" w:cstheme="minorHAnsi"/>
        </w:rPr>
        <w:t>is relevant to construction of new buildings and major renovations,</w:t>
      </w:r>
      <w:r w:rsidR="00C04BAA" w:rsidRPr="002E5993">
        <w:rPr>
          <w:rFonts w:asciiTheme="minorHAnsi" w:hAnsiTheme="minorHAnsi" w:cstheme="minorHAnsi"/>
        </w:rPr>
        <w:t xml:space="preserve"> </w:t>
      </w:r>
      <w:r w:rsidRPr="002E5993">
        <w:rPr>
          <w:rFonts w:asciiTheme="minorHAnsi" w:hAnsiTheme="minorHAnsi" w:cstheme="minorHAnsi"/>
        </w:rPr>
        <w:t xml:space="preserve">rather than </w:t>
      </w:r>
      <w:r w:rsidR="002E046F" w:rsidRPr="002E5993">
        <w:rPr>
          <w:rFonts w:asciiTheme="minorHAnsi" w:hAnsiTheme="minorHAnsi" w:cstheme="minorHAnsi"/>
        </w:rPr>
        <w:t xml:space="preserve">the operation of </w:t>
      </w:r>
      <w:r w:rsidRPr="002E5993">
        <w:rPr>
          <w:rFonts w:asciiTheme="minorHAnsi" w:hAnsiTheme="minorHAnsi" w:cstheme="minorHAnsi"/>
        </w:rPr>
        <w:t xml:space="preserve">existing buildings. </w:t>
      </w:r>
      <w:r w:rsidR="00057067" w:rsidRPr="002E5993">
        <w:rPr>
          <w:rFonts w:asciiTheme="minorHAnsi" w:hAnsiTheme="minorHAnsi" w:cstheme="minorHAnsi"/>
        </w:rPr>
        <w:t xml:space="preserve">According to </w:t>
      </w:r>
      <w:r w:rsidR="006C045A" w:rsidRPr="002E5993">
        <w:rPr>
          <w:rFonts w:asciiTheme="minorHAnsi" w:hAnsiTheme="minorHAnsi" w:cstheme="minorHAnsi"/>
        </w:rPr>
        <w:t xml:space="preserve">a </w:t>
      </w:r>
      <w:r w:rsidR="00057067" w:rsidRPr="002E5993">
        <w:rPr>
          <w:rFonts w:asciiTheme="minorHAnsi" w:hAnsiTheme="minorHAnsi" w:cstheme="minorHAnsi"/>
        </w:rPr>
        <w:t>Green Building Council of Australia</w:t>
      </w:r>
      <w:r w:rsidR="006C045A" w:rsidRPr="002E5993">
        <w:rPr>
          <w:rFonts w:asciiTheme="minorHAnsi" w:hAnsiTheme="minorHAnsi" w:cstheme="minorHAnsi"/>
        </w:rPr>
        <w:t xml:space="preserve"> </w:t>
      </w:r>
      <w:r w:rsidR="00057067" w:rsidRPr="002E5993">
        <w:rPr>
          <w:rFonts w:asciiTheme="minorHAnsi" w:hAnsiTheme="minorHAnsi" w:cstheme="minorHAnsi"/>
        </w:rPr>
        <w:t>(</w:t>
      </w:r>
      <w:proofErr w:type="spellStart"/>
      <w:r w:rsidR="00057067" w:rsidRPr="002E5993">
        <w:rPr>
          <w:rFonts w:asciiTheme="minorHAnsi" w:hAnsiTheme="minorHAnsi" w:cstheme="minorHAnsi"/>
          <w:b/>
        </w:rPr>
        <w:t>GBCA</w:t>
      </w:r>
      <w:proofErr w:type="spellEnd"/>
      <w:r w:rsidR="00057067" w:rsidRPr="002E5993">
        <w:rPr>
          <w:rFonts w:asciiTheme="minorHAnsi" w:hAnsiTheme="minorHAnsi" w:cstheme="minorHAnsi"/>
        </w:rPr>
        <w:t xml:space="preserve">) </w:t>
      </w:r>
      <w:r w:rsidR="006C045A" w:rsidRPr="002E5993">
        <w:rPr>
          <w:rFonts w:asciiTheme="minorHAnsi" w:hAnsiTheme="minorHAnsi" w:cstheme="minorHAnsi"/>
        </w:rPr>
        <w:t>report</w:t>
      </w:r>
      <w:r w:rsidR="00057067" w:rsidRPr="002E5993">
        <w:rPr>
          <w:rFonts w:asciiTheme="minorHAnsi" w:hAnsiTheme="minorHAnsi" w:cstheme="minorHAnsi"/>
        </w:rPr>
        <w:t xml:space="preserve">, embodied </w:t>
      </w:r>
      <w:r w:rsidR="006E6349" w:rsidRPr="002E5993">
        <w:rPr>
          <w:rFonts w:asciiTheme="minorHAnsi" w:hAnsiTheme="minorHAnsi" w:cstheme="minorHAnsi"/>
        </w:rPr>
        <w:t xml:space="preserve">carbon </w:t>
      </w:r>
      <w:r w:rsidR="00057067" w:rsidRPr="002E5993">
        <w:rPr>
          <w:rFonts w:asciiTheme="minorHAnsi" w:hAnsiTheme="minorHAnsi" w:cstheme="minorHAnsi"/>
        </w:rPr>
        <w:t>could account for up to 85% of Australia's built environment emissions by 2050, up from 16% in 2019.</w:t>
      </w:r>
      <w:r w:rsidR="00723239">
        <w:rPr>
          <w:rFonts w:ascii="ZWAdobeF" w:hAnsi="ZWAdobeF" w:cs="ZWAdobeF"/>
          <w:color w:val="auto"/>
          <w:sz w:val="2"/>
          <w:szCs w:val="2"/>
        </w:rPr>
        <w:t>20F</w:t>
      </w:r>
      <w:r w:rsidR="00EE36E3">
        <w:rPr>
          <w:rFonts w:ascii="ZWAdobeF" w:hAnsi="ZWAdobeF" w:cs="ZWAdobeF"/>
          <w:color w:val="auto"/>
          <w:sz w:val="2"/>
          <w:szCs w:val="2"/>
        </w:rPr>
        <w:t>20F</w:t>
      </w:r>
      <w:r w:rsidR="00E94853">
        <w:rPr>
          <w:rFonts w:ascii="ZWAdobeF" w:hAnsi="ZWAdobeF" w:cs="ZWAdobeF"/>
          <w:color w:val="auto"/>
          <w:sz w:val="2"/>
          <w:szCs w:val="2"/>
        </w:rPr>
        <w:t>20F</w:t>
      </w:r>
      <w:r w:rsidR="00F73A23">
        <w:rPr>
          <w:rFonts w:ascii="ZWAdobeF" w:hAnsi="ZWAdobeF" w:cs="ZWAdobeF"/>
          <w:color w:val="auto"/>
          <w:sz w:val="2"/>
          <w:szCs w:val="2"/>
        </w:rPr>
        <w:t>20F</w:t>
      </w:r>
      <w:r w:rsidR="00626378">
        <w:rPr>
          <w:rFonts w:ascii="ZWAdobeF" w:hAnsi="ZWAdobeF" w:cs="ZWAdobeF"/>
          <w:color w:val="auto"/>
          <w:sz w:val="2"/>
          <w:szCs w:val="2"/>
        </w:rPr>
        <w:t>20F</w:t>
      </w:r>
      <w:r w:rsidR="00413811">
        <w:rPr>
          <w:rFonts w:ascii="ZWAdobeF" w:hAnsi="ZWAdobeF" w:cs="ZWAdobeF"/>
          <w:color w:val="auto"/>
          <w:sz w:val="2"/>
          <w:szCs w:val="2"/>
        </w:rPr>
        <w:t>20F</w:t>
      </w:r>
      <w:r w:rsidR="002C327C">
        <w:rPr>
          <w:rFonts w:ascii="ZWAdobeF" w:hAnsi="ZWAdobeF" w:cs="ZWAdobeF"/>
          <w:color w:val="auto"/>
          <w:sz w:val="2"/>
          <w:szCs w:val="2"/>
        </w:rPr>
        <w:t>20F</w:t>
      </w:r>
      <w:r w:rsidR="00D24A06">
        <w:rPr>
          <w:rFonts w:ascii="ZWAdobeF" w:hAnsi="ZWAdobeF" w:cs="ZWAdobeF"/>
          <w:color w:val="auto"/>
          <w:sz w:val="2"/>
          <w:szCs w:val="2"/>
        </w:rPr>
        <w:t>20F</w:t>
      </w:r>
      <w:r w:rsidR="00057067" w:rsidRPr="002E5993">
        <w:rPr>
          <w:rStyle w:val="FootnoteReference"/>
          <w:rFonts w:asciiTheme="minorHAnsi" w:hAnsiTheme="minorHAnsi" w:cstheme="minorHAnsi"/>
        </w:rPr>
        <w:footnoteReference w:id="22"/>
      </w:r>
      <w:r w:rsidR="004C1B5E" w:rsidRPr="002E5993">
        <w:rPr>
          <w:rFonts w:asciiTheme="minorHAnsi" w:hAnsiTheme="minorHAnsi" w:cstheme="minorHAnsi"/>
        </w:rPr>
        <w:t xml:space="preserve"> </w:t>
      </w:r>
      <w:r w:rsidR="00D52A71" w:rsidRPr="002E5993">
        <w:rPr>
          <w:rFonts w:asciiTheme="minorHAnsi" w:hAnsiTheme="minorHAnsi" w:cstheme="minorHAnsi"/>
        </w:rPr>
        <w:t xml:space="preserve">In October 2021, NABERS published their </w:t>
      </w:r>
      <w:r w:rsidR="00D52A71" w:rsidRPr="002E5993">
        <w:rPr>
          <w:rFonts w:asciiTheme="minorHAnsi" w:hAnsiTheme="minorHAnsi" w:cstheme="minorHAnsi"/>
          <w:i/>
        </w:rPr>
        <w:t xml:space="preserve">Embodied emissions initiative </w:t>
      </w:r>
      <w:r w:rsidR="00D52A71" w:rsidRPr="002E5993">
        <w:rPr>
          <w:rFonts w:asciiTheme="minorHAnsi" w:hAnsiTheme="minorHAnsi" w:cstheme="minorHAnsi"/>
        </w:rPr>
        <w:t>to develop a world-class framework for measuring, benchmarking, and certifying construction and building material emissions. The framework was intended to be nationally applicable and designed for NABERS integration.</w:t>
      </w:r>
    </w:p>
    <w:p w14:paraId="5EE6CCB3" w14:textId="26F15A24" w:rsidR="005224F1" w:rsidRPr="002E5993" w:rsidRDefault="00D52A71" w:rsidP="00937760">
      <w:pPr>
        <w:spacing w:line="259" w:lineRule="auto"/>
        <w:rPr>
          <w:rFonts w:asciiTheme="minorHAnsi" w:eastAsiaTheme="majorEastAsia" w:hAnsiTheme="minorHAnsi" w:cstheme="minorHAnsi"/>
          <w:b/>
          <w:color w:val="1E49E2" w:themeColor="accent1"/>
          <w:sz w:val="28"/>
          <w:szCs w:val="24"/>
        </w:rPr>
      </w:pPr>
      <w:r w:rsidRPr="002E5993">
        <w:rPr>
          <w:rFonts w:asciiTheme="minorHAnsi" w:hAnsiTheme="minorHAnsi" w:cstheme="minorHAnsi"/>
        </w:rPr>
        <w:t xml:space="preserve">There is currently no consistent method of measuring embodied emissions in Australia. NABERS is working with the </w:t>
      </w:r>
      <w:proofErr w:type="spellStart"/>
      <w:r w:rsidRPr="002E5993">
        <w:rPr>
          <w:rFonts w:asciiTheme="minorHAnsi" w:hAnsiTheme="minorHAnsi" w:cstheme="minorHAnsi"/>
        </w:rPr>
        <w:t>GBCA</w:t>
      </w:r>
      <w:proofErr w:type="spellEnd"/>
      <w:r w:rsidRPr="002E5993">
        <w:rPr>
          <w:rFonts w:asciiTheme="minorHAnsi" w:hAnsiTheme="minorHAnsi" w:cstheme="minorHAnsi"/>
        </w:rPr>
        <w:t>, industry and governments across Australia to better understand the appetite for an embodied emissions standard and NABERS' role in enforcing that standard.</w:t>
      </w:r>
      <w:r w:rsidR="001A44E7" w:rsidRPr="002E5993">
        <w:rPr>
          <w:rFonts w:asciiTheme="minorHAnsi" w:hAnsiTheme="minorHAnsi" w:cstheme="minorHAnsi"/>
        </w:rPr>
        <w:t xml:space="preserve"> </w:t>
      </w:r>
      <w:r w:rsidR="00085A00" w:rsidRPr="002E5993">
        <w:rPr>
          <w:rFonts w:asciiTheme="minorHAnsi" w:hAnsiTheme="minorHAnsi" w:cstheme="minorHAnsi"/>
        </w:rPr>
        <w:t>In NSW a</w:t>
      </w:r>
      <w:r w:rsidR="001A44E7" w:rsidRPr="002E5993">
        <w:rPr>
          <w:rFonts w:asciiTheme="minorHAnsi" w:hAnsiTheme="minorHAnsi" w:cstheme="minorHAnsi"/>
        </w:rPr>
        <w:t xml:space="preserve">s of </w:t>
      </w:r>
      <w:r w:rsidR="004E4D2D" w:rsidRPr="002E5993">
        <w:rPr>
          <w:rFonts w:asciiTheme="minorHAnsi" w:hAnsiTheme="minorHAnsi" w:cstheme="minorHAnsi"/>
        </w:rPr>
        <w:t>1 October 2023,</w:t>
      </w:r>
      <w:r w:rsidR="001A44E7" w:rsidRPr="002E5993">
        <w:rPr>
          <w:rFonts w:asciiTheme="minorHAnsi" w:hAnsiTheme="minorHAnsi" w:cstheme="minorHAnsi"/>
        </w:rPr>
        <w:t xml:space="preserve"> </w:t>
      </w:r>
      <w:r w:rsidR="004669DB" w:rsidRPr="002E5993">
        <w:rPr>
          <w:rFonts w:asciiTheme="minorHAnsi" w:hAnsiTheme="minorHAnsi" w:cstheme="minorHAnsi"/>
        </w:rPr>
        <w:t>the</w:t>
      </w:r>
      <w:r w:rsidR="001A44E7" w:rsidRPr="002E5993">
        <w:rPr>
          <w:rFonts w:asciiTheme="minorHAnsi" w:hAnsiTheme="minorHAnsi" w:cstheme="minorHAnsi"/>
        </w:rPr>
        <w:t xml:space="preserve"> State Environmental Planning Policy (</w:t>
      </w:r>
      <w:r w:rsidR="004669DB" w:rsidRPr="002E5993">
        <w:rPr>
          <w:rFonts w:asciiTheme="minorHAnsi" w:hAnsiTheme="minorHAnsi" w:cstheme="minorHAnsi"/>
          <w:b/>
        </w:rPr>
        <w:t>SEPP</w:t>
      </w:r>
      <w:r w:rsidR="001A44E7" w:rsidRPr="002E5993">
        <w:rPr>
          <w:rFonts w:asciiTheme="minorHAnsi" w:hAnsiTheme="minorHAnsi" w:cstheme="minorHAnsi"/>
        </w:rPr>
        <w:t xml:space="preserve">) </w:t>
      </w:r>
      <w:r w:rsidR="004669DB" w:rsidRPr="002E5993">
        <w:rPr>
          <w:rFonts w:asciiTheme="minorHAnsi" w:hAnsiTheme="minorHAnsi" w:cstheme="minorHAnsi"/>
        </w:rPr>
        <w:t>requires commercial buildings and State significant projects</w:t>
      </w:r>
      <w:r w:rsidR="00F32D04" w:rsidRPr="002E5993">
        <w:rPr>
          <w:rFonts w:asciiTheme="minorHAnsi" w:hAnsiTheme="minorHAnsi" w:cstheme="minorHAnsi"/>
        </w:rPr>
        <w:t xml:space="preserve"> to d</w:t>
      </w:r>
      <w:r w:rsidR="004669DB" w:rsidRPr="002E5993">
        <w:rPr>
          <w:rFonts w:asciiTheme="minorHAnsi" w:eastAsia="Calibri Light" w:hAnsiTheme="minorHAnsi" w:cstheme="minorHAnsi"/>
        </w:rPr>
        <w:t xml:space="preserve">isclose embodied emissions </w:t>
      </w:r>
      <w:r w:rsidR="00687878" w:rsidRPr="002E5993">
        <w:rPr>
          <w:rFonts w:asciiTheme="minorHAnsi" w:eastAsia="Calibri Light" w:hAnsiTheme="minorHAnsi" w:cstheme="minorHAnsi"/>
        </w:rPr>
        <w:t xml:space="preserve">and how these </w:t>
      </w:r>
      <w:r w:rsidR="004669DB" w:rsidRPr="002E5993">
        <w:rPr>
          <w:rFonts w:asciiTheme="minorHAnsi" w:eastAsia="Calibri Light" w:hAnsiTheme="minorHAnsi" w:cstheme="minorHAnsi"/>
        </w:rPr>
        <w:t>were minimised (by re-used or recycled content)</w:t>
      </w:r>
      <w:r w:rsidR="0091564F" w:rsidRPr="002E5993">
        <w:rPr>
          <w:rFonts w:asciiTheme="minorHAnsi" w:eastAsia="Calibri Light" w:hAnsiTheme="minorHAnsi" w:cstheme="minorHAnsi"/>
        </w:rPr>
        <w:t xml:space="preserve"> u</w:t>
      </w:r>
      <w:r w:rsidR="004669DB" w:rsidRPr="002E5993">
        <w:rPr>
          <w:rFonts w:asciiTheme="minorHAnsi" w:eastAsia="Calibri Light" w:hAnsiTheme="minorHAnsi" w:cstheme="minorHAnsi"/>
        </w:rPr>
        <w:t>s</w:t>
      </w:r>
      <w:r w:rsidR="004D478C" w:rsidRPr="002E5993">
        <w:rPr>
          <w:rFonts w:asciiTheme="minorHAnsi" w:eastAsia="Calibri Light" w:hAnsiTheme="minorHAnsi" w:cstheme="minorHAnsi"/>
        </w:rPr>
        <w:t>ing</w:t>
      </w:r>
      <w:r w:rsidR="004669DB" w:rsidRPr="002E5993">
        <w:rPr>
          <w:rFonts w:asciiTheme="minorHAnsi" w:eastAsia="Calibri Light" w:hAnsiTheme="minorHAnsi" w:cstheme="minorHAnsi"/>
        </w:rPr>
        <w:t xml:space="preserve"> </w:t>
      </w:r>
      <w:r w:rsidR="00A66FC0" w:rsidRPr="002E5993">
        <w:rPr>
          <w:rFonts w:asciiTheme="minorHAnsi" w:eastAsia="Calibri Light" w:hAnsiTheme="minorHAnsi" w:cstheme="minorHAnsi"/>
        </w:rPr>
        <w:t>the</w:t>
      </w:r>
      <w:r w:rsidR="004669DB" w:rsidRPr="002E5993">
        <w:rPr>
          <w:rFonts w:asciiTheme="minorHAnsi" w:eastAsia="Calibri Light" w:hAnsiTheme="minorHAnsi" w:cstheme="minorHAnsi"/>
        </w:rPr>
        <w:t xml:space="preserve"> NABERS Disclosure Framework once it is finalise</w:t>
      </w:r>
      <w:r w:rsidR="0091564F" w:rsidRPr="002E5993">
        <w:rPr>
          <w:rFonts w:asciiTheme="minorHAnsi" w:eastAsia="Calibri Light" w:hAnsiTheme="minorHAnsi" w:cstheme="minorHAnsi"/>
        </w:rPr>
        <w:t>d</w:t>
      </w:r>
      <w:r w:rsidR="0056175A" w:rsidRPr="002E5993">
        <w:rPr>
          <w:rFonts w:asciiTheme="minorHAnsi" w:eastAsia="Calibri Light" w:hAnsiTheme="minorHAnsi" w:cstheme="minorHAnsi"/>
        </w:rPr>
        <w:t xml:space="preserve"> to disclose the information</w:t>
      </w:r>
      <w:r w:rsidR="00000DFD" w:rsidRPr="002E5993">
        <w:rPr>
          <w:rFonts w:asciiTheme="minorHAnsi" w:eastAsia="Calibri Light" w:hAnsiTheme="minorHAnsi" w:cstheme="minorHAnsi"/>
        </w:rPr>
        <w:t>.</w:t>
      </w:r>
      <w:r w:rsidR="00723239">
        <w:rPr>
          <w:rFonts w:ascii="ZWAdobeF" w:eastAsia="Calibri Light" w:hAnsi="ZWAdobeF" w:cs="ZWAdobeF"/>
          <w:color w:val="auto"/>
          <w:sz w:val="2"/>
          <w:szCs w:val="2"/>
        </w:rPr>
        <w:t>21F</w:t>
      </w:r>
      <w:r w:rsidR="00EE36E3">
        <w:rPr>
          <w:rFonts w:ascii="ZWAdobeF" w:eastAsia="Calibri Light" w:hAnsi="ZWAdobeF" w:cs="ZWAdobeF"/>
          <w:color w:val="auto"/>
          <w:sz w:val="2"/>
          <w:szCs w:val="2"/>
        </w:rPr>
        <w:t>21F</w:t>
      </w:r>
      <w:r w:rsidR="00E94853">
        <w:rPr>
          <w:rFonts w:ascii="ZWAdobeF" w:eastAsia="Calibri Light" w:hAnsi="ZWAdobeF" w:cs="ZWAdobeF"/>
          <w:color w:val="auto"/>
          <w:sz w:val="2"/>
          <w:szCs w:val="2"/>
        </w:rPr>
        <w:t>21F</w:t>
      </w:r>
      <w:r w:rsidR="00F73A23">
        <w:rPr>
          <w:rFonts w:ascii="ZWAdobeF" w:eastAsia="Calibri Light" w:hAnsi="ZWAdobeF" w:cs="ZWAdobeF"/>
          <w:color w:val="auto"/>
          <w:sz w:val="2"/>
          <w:szCs w:val="2"/>
        </w:rPr>
        <w:t>21F</w:t>
      </w:r>
      <w:r w:rsidR="00626378">
        <w:rPr>
          <w:rFonts w:ascii="ZWAdobeF" w:eastAsia="Calibri Light" w:hAnsi="ZWAdobeF" w:cs="ZWAdobeF"/>
          <w:color w:val="auto"/>
          <w:sz w:val="2"/>
          <w:szCs w:val="2"/>
        </w:rPr>
        <w:t>21F</w:t>
      </w:r>
      <w:r w:rsidR="00413811">
        <w:rPr>
          <w:rFonts w:ascii="ZWAdobeF" w:eastAsia="Calibri Light" w:hAnsi="ZWAdobeF" w:cs="ZWAdobeF"/>
          <w:color w:val="auto"/>
          <w:sz w:val="2"/>
          <w:szCs w:val="2"/>
        </w:rPr>
        <w:t>21F</w:t>
      </w:r>
      <w:r w:rsidR="002C327C">
        <w:rPr>
          <w:rFonts w:ascii="ZWAdobeF" w:eastAsia="Calibri Light" w:hAnsi="ZWAdobeF" w:cs="ZWAdobeF"/>
          <w:color w:val="auto"/>
          <w:sz w:val="2"/>
          <w:szCs w:val="2"/>
        </w:rPr>
        <w:t>21F</w:t>
      </w:r>
      <w:r w:rsidR="00D24A06">
        <w:rPr>
          <w:rFonts w:ascii="ZWAdobeF" w:eastAsia="Calibri Light" w:hAnsi="ZWAdobeF" w:cs="ZWAdobeF"/>
          <w:color w:val="auto"/>
          <w:sz w:val="2"/>
          <w:szCs w:val="2"/>
        </w:rPr>
        <w:t>21F</w:t>
      </w:r>
      <w:r w:rsidR="004D478C" w:rsidRPr="002E5993">
        <w:rPr>
          <w:rStyle w:val="FootnoteReference"/>
          <w:rFonts w:asciiTheme="minorHAnsi" w:eastAsia="Calibri Light" w:hAnsiTheme="minorHAnsi" w:cstheme="minorHAnsi"/>
        </w:rPr>
        <w:footnoteReference w:id="23"/>
      </w:r>
      <w:r w:rsidR="0056175A" w:rsidRPr="002E5993">
        <w:rPr>
          <w:rFonts w:asciiTheme="minorHAnsi" w:eastAsia="Calibri Light" w:hAnsiTheme="minorHAnsi" w:cstheme="minorHAnsi"/>
        </w:rPr>
        <w:t xml:space="preserve"> </w:t>
      </w:r>
      <w:bookmarkStart w:id="90" w:name="_Toc132295372"/>
      <w:bookmarkStart w:id="91" w:name="_Toc132295406"/>
      <w:bookmarkStart w:id="92" w:name="_Toc133844021"/>
      <w:bookmarkStart w:id="93" w:name="_Toc136286366"/>
    </w:p>
    <w:p w14:paraId="0BDEBE24" w14:textId="6B51B48A" w:rsidR="00965907" w:rsidRPr="00F81ADB" w:rsidRDefault="00965907" w:rsidP="00214D42">
      <w:pPr>
        <w:pStyle w:val="Heading2"/>
        <w:rPr>
          <w:rFonts w:cstheme="minorHAnsi"/>
        </w:rPr>
      </w:pPr>
      <w:bookmarkStart w:id="94" w:name="_Toc154059365"/>
      <w:r w:rsidRPr="00F81ADB">
        <w:rPr>
          <w:rFonts w:cstheme="minorHAnsi"/>
        </w:rPr>
        <w:t>Assessment of Existing Non-Residential Buildings policies</w:t>
      </w:r>
      <w:bookmarkEnd w:id="90"/>
      <w:bookmarkEnd w:id="91"/>
      <w:bookmarkEnd w:id="92"/>
      <w:bookmarkEnd w:id="93"/>
      <w:bookmarkEnd w:id="94"/>
    </w:p>
    <w:p w14:paraId="0718B5BB" w14:textId="4C45C9A8" w:rsidR="00C97990" w:rsidRPr="002E5993" w:rsidRDefault="001F7236" w:rsidP="006B6BC1">
      <w:pPr>
        <w:pStyle w:val="BodyText"/>
        <w:spacing w:line="259" w:lineRule="auto"/>
        <w:jc w:val="both"/>
        <w:rPr>
          <w:rFonts w:asciiTheme="minorHAnsi" w:hAnsiTheme="minorHAnsi" w:cstheme="minorHAnsi"/>
        </w:rPr>
      </w:pPr>
      <w:r w:rsidRPr="002E5993">
        <w:rPr>
          <w:rFonts w:asciiTheme="minorHAnsi" w:hAnsiTheme="minorHAnsi" w:cstheme="minorHAnsi"/>
        </w:rPr>
        <w:t xml:space="preserve">There has been </w:t>
      </w:r>
      <w:r w:rsidR="0041003D" w:rsidRPr="002E5993">
        <w:rPr>
          <w:rFonts w:asciiTheme="minorHAnsi" w:hAnsiTheme="minorHAnsi" w:cstheme="minorHAnsi"/>
        </w:rPr>
        <w:t>measurable</w:t>
      </w:r>
      <w:r w:rsidRPr="002E5993">
        <w:rPr>
          <w:rFonts w:asciiTheme="minorHAnsi" w:hAnsiTheme="minorHAnsi" w:cstheme="minorHAnsi"/>
        </w:rPr>
        <w:t xml:space="preserve"> change in the </w:t>
      </w:r>
      <w:r w:rsidR="0041003D" w:rsidRPr="002E5993">
        <w:rPr>
          <w:rFonts w:asciiTheme="minorHAnsi" w:hAnsiTheme="minorHAnsi" w:cstheme="minorHAnsi"/>
        </w:rPr>
        <w:t xml:space="preserve">performance of </w:t>
      </w:r>
      <w:r w:rsidRPr="002E5993">
        <w:rPr>
          <w:rFonts w:asciiTheme="minorHAnsi" w:hAnsiTheme="minorHAnsi" w:cstheme="minorHAnsi"/>
        </w:rPr>
        <w:t xml:space="preserve">non-residential building stock in Australia as a </w:t>
      </w:r>
      <w:r w:rsidR="00C97990" w:rsidRPr="002E5993">
        <w:rPr>
          <w:rFonts w:asciiTheme="minorHAnsi" w:hAnsiTheme="minorHAnsi" w:cstheme="minorHAnsi"/>
        </w:rPr>
        <w:t xml:space="preserve">direct and </w:t>
      </w:r>
      <w:r w:rsidRPr="002E5993">
        <w:rPr>
          <w:rFonts w:asciiTheme="minorHAnsi" w:hAnsiTheme="minorHAnsi" w:cstheme="minorHAnsi"/>
        </w:rPr>
        <w:t xml:space="preserve">result policies identified in this </w:t>
      </w:r>
      <w:r w:rsidR="000F6017" w:rsidRPr="002E5993">
        <w:rPr>
          <w:rFonts w:asciiTheme="minorHAnsi" w:hAnsiTheme="minorHAnsi" w:cstheme="minorHAnsi"/>
        </w:rPr>
        <w:t>r</w:t>
      </w:r>
      <w:r w:rsidRPr="002E5993">
        <w:rPr>
          <w:rFonts w:asciiTheme="minorHAnsi" w:hAnsiTheme="minorHAnsi" w:cstheme="minorHAnsi"/>
        </w:rPr>
        <w:t>eport.</w:t>
      </w:r>
    </w:p>
    <w:p w14:paraId="4AEBF843" w14:textId="636E4102" w:rsidR="001F7236" w:rsidRPr="002E5993" w:rsidRDefault="001F7236" w:rsidP="00214D42">
      <w:pPr>
        <w:pStyle w:val="Heading3"/>
        <w:rPr>
          <w:rFonts w:asciiTheme="minorHAnsi" w:hAnsiTheme="minorHAnsi" w:cstheme="minorHAnsi"/>
        </w:rPr>
      </w:pPr>
      <w:bookmarkStart w:id="95" w:name="_Toc133844022"/>
      <w:bookmarkStart w:id="96" w:name="_Toc136286367"/>
      <w:r w:rsidRPr="002E5993">
        <w:rPr>
          <w:rFonts w:asciiTheme="minorHAnsi" w:hAnsiTheme="minorHAnsi" w:cstheme="minorHAnsi"/>
        </w:rPr>
        <w:t xml:space="preserve">Energy </w:t>
      </w:r>
      <w:r w:rsidR="00BE33F4" w:rsidRPr="002E5993">
        <w:rPr>
          <w:rFonts w:asciiTheme="minorHAnsi" w:hAnsiTheme="minorHAnsi" w:cstheme="minorHAnsi"/>
        </w:rPr>
        <w:t>efficiency improvement</w:t>
      </w:r>
      <w:bookmarkEnd w:id="95"/>
      <w:bookmarkEnd w:id="96"/>
      <w:r w:rsidR="00BE33F4" w:rsidRPr="002E5993">
        <w:rPr>
          <w:rFonts w:asciiTheme="minorHAnsi" w:hAnsiTheme="minorHAnsi" w:cstheme="minorHAnsi"/>
        </w:rPr>
        <w:t xml:space="preserve"> and reduction in greenhouse </w:t>
      </w:r>
      <w:r w:rsidR="00BB499E" w:rsidRPr="002E5993">
        <w:rPr>
          <w:rFonts w:asciiTheme="minorHAnsi" w:hAnsiTheme="minorHAnsi" w:cstheme="minorHAnsi"/>
        </w:rPr>
        <w:t>gas emissions</w:t>
      </w:r>
    </w:p>
    <w:p w14:paraId="556BD03D" w14:textId="0B8C605D" w:rsidR="007A1CB3" w:rsidRDefault="00DF4C2B" w:rsidP="00F52B6F">
      <w:pPr>
        <w:pStyle w:val="BodyText"/>
        <w:rPr>
          <w:rFonts w:asciiTheme="minorHAnsi" w:hAnsiTheme="minorHAnsi" w:cstheme="minorHAnsi"/>
        </w:rPr>
      </w:pPr>
      <w:r w:rsidRPr="002E5993">
        <w:rPr>
          <w:rFonts w:asciiTheme="minorHAnsi" w:hAnsiTheme="minorHAnsi" w:cstheme="minorHAnsi"/>
        </w:rPr>
        <w:t xml:space="preserve">Non-residential buildings have been influenced by the </w:t>
      </w:r>
      <w:r w:rsidR="00D24D3F" w:rsidRPr="002E5993">
        <w:rPr>
          <w:rFonts w:asciiTheme="minorHAnsi" w:hAnsiTheme="minorHAnsi" w:cstheme="minorHAnsi"/>
        </w:rPr>
        <w:t>CBD Program</w:t>
      </w:r>
      <w:r w:rsidR="00C5019E">
        <w:rPr>
          <w:rFonts w:asciiTheme="minorHAnsi" w:hAnsiTheme="minorHAnsi" w:cstheme="minorHAnsi"/>
        </w:rPr>
        <w:t>, NABERS</w:t>
      </w:r>
      <w:r w:rsidR="00074E6B">
        <w:rPr>
          <w:rFonts w:asciiTheme="minorHAnsi" w:hAnsiTheme="minorHAnsi" w:cstheme="minorHAnsi"/>
        </w:rPr>
        <w:t xml:space="preserve">, </w:t>
      </w:r>
      <w:proofErr w:type="spellStart"/>
      <w:r w:rsidR="00074E6B">
        <w:rPr>
          <w:rFonts w:asciiTheme="minorHAnsi" w:hAnsiTheme="minorHAnsi" w:cstheme="minorHAnsi"/>
        </w:rPr>
        <w:t>GreenStar</w:t>
      </w:r>
      <w:proofErr w:type="spellEnd"/>
      <w:r w:rsidR="00074E6B">
        <w:rPr>
          <w:rFonts w:asciiTheme="minorHAnsi" w:hAnsiTheme="minorHAnsi" w:cstheme="minorHAnsi"/>
        </w:rPr>
        <w:t xml:space="preserve"> </w:t>
      </w:r>
      <w:r w:rsidR="00D24D3F" w:rsidRPr="002E5993">
        <w:rPr>
          <w:rFonts w:asciiTheme="minorHAnsi" w:hAnsiTheme="minorHAnsi" w:cstheme="minorHAnsi"/>
        </w:rPr>
        <w:t xml:space="preserve">and Section J of the </w:t>
      </w:r>
      <w:proofErr w:type="spellStart"/>
      <w:r w:rsidR="00D24D3F" w:rsidRPr="002E5993">
        <w:rPr>
          <w:rFonts w:asciiTheme="minorHAnsi" w:hAnsiTheme="minorHAnsi" w:cstheme="minorHAnsi"/>
        </w:rPr>
        <w:t>NCC</w:t>
      </w:r>
      <w:proofErr w:type="spellEnd"/>
      <w:r w:rsidR="00074E6B">
        <w:rPr>
          <w:rFonts w:asciiTheme="minorHAnsi" w:hAnsiTheme="minorHAnsi" w:cstheme="minorHAnsi"/>
        </w:rPr>
        <w:t>, which are collectively de</w:t>
      </w:r>
      <w:r w:rsidR="00C421D7">
        <w:rPr>
          <w:rFonts w:asciiTheme="minorHAnsi" w:hAnsiTheme="minorHAnsi" w:cstheme="minorHAnsi"/>
        </w:rPr>
        <w:t xml:space="preserve">signed to improve </w:t>
      </w:r>
      <w:r w:rsidR="00571281">
        <w:rPr>
          <w:rFonts w:asciiTheme="minorHAnsi" w:hAnsiTheme="minorHAnsi" w:cstheme="minorHAnsi"/>
        </w:rPr>
        <w:t xml:space="preserve">new and </w:t>
      </w:r>
      <w:proofErr w:type="gramStart"/>
      <w:r w:rsidR="00571281">
        <w:rPr>
          <w:rFonts w:asciiTheme="minorHAnsi" w:hAnsiTheme="minorHAnsi" w:cstheme="minorHAnsi"/>
        </w:rPr>
        <w:t xml:space="preserve">existing </w:t>
      </w:r>
      <w:r w:rsidR="00D24D3F" w:rsidRPr="00FD47ED">
        <w:rPr>
          <w:rFonts w:asciiTheme="minorHAnsi" w:hAnsiTheme="minorHAnsi" w:cstheme="minorHAnsi"/>
        </w:rPr>
        <w:t xml:space="preserve"> </w:t>
      </w:r>
      <w:r w:rsidR="005B5C52">
        <w:rPr>
          <w:rFonts w:asciiTheme="minorHAnsi" w:hAnsiTheme="minorHAnsi" w:cstheme="minorHAnsi"/>
        </w:rPr>
        <w:t>building</w:t>
      </w:r>
      <w:proofErr w:type="gramEnd"/>
      <w:r w:rsidR="005B5C52">
        <w:rPr>
          <w:rFonts w:asciiTheme="minorHAnsi" w:hAnsiTheme="minorHAnsi" w:cstheme="minorHAnsi"/>
        </w:rPr>
        <w:t xml:space="preserve"> energy performance</w:t>
      </w:r>
      <w:r w:rsidR="00D24D3F" w:rsidRPr="00FD47ED">
        <w:rPr>
          <w:rFonts w:asciiTheme="minorHAnsi" w:hAnsiTheme="minorHAnsi" w:cstheme="minorHAnsi"/>
        </w:rPr>
        <w:t>.</w:t>
      </w:r>
      <w:r w:rsidRPr="00FD47ED" w:rsidDel="00341D81">
        <w:rPr>
          <w:rFonts w:asciiTheme="minorHAnsi" w:hAnsiTheme="minorHAnsi" w:cstheme="minorHAnsi"/>
        </w:rPr>
        <w:t xml:space="preserve"> </w:t>
      </w:r>
      <w:r w:rsidR="009A10D1" w:rsidRPr="00FD47ED">
        <w:rPr>
          <w:rFonts w:asciiTheme="minorHAnsi" w:hAnsiTheme="minorHAnsi" w:cstheme="minorHAnsi"/>
        </w:rPr>
        <w:t xml:space="preserve">Within the non-residential building stock, </w:t>
      </w:r>
      <w:r w:rsidR="00B919AC" w:rsidRPr="00FD47ED">
        <w:rPr>
          <w:rFonts w:asciiTheme="minorHAnsi" w:hAnsiTheme="minorHAnsi" w:cstheme="minorHAnsi"/>
        </w:rPr>
        <w:t xml:space="preserve">average </w:t>
      </w:r>
      <w:r w:rsidR="00BE33F4" w:rsidRPr="00FD47ED">
        <w:rPr>
          <w:rFonts w:asciiTheme="minorHAnsi" w:hAnsiTheme="minorHAnsi" w:cstheme="minorHAnsi"/>
        </w:rPr>
        <w:t>e</w:t>
      </w:r>
      <w:r w:rsidR="00B919AC" w:rsidRPr="00FD47ED">
        <w:rPr>
          <w:rFonts w:asciiTheme="minorHAnsi" w:hAnsiTheme="minorHAnsi" w:cstheme="minorHAnsi"/>
        </w:rPr>
        <w:t xml:space="preserve">nergy intensity </w:t>
      </w:r>
      <w:r w:rsidR="007F15E4" w:rsidRPr="00FD47ED">
        <w:rPr>
          <w:rFonts w:asciiTheme="minorHAnsi" w:hAnsiTheme="minorHAnsi" w:cstheme="minorHAnsi"/>
        </w:rPr>
        <w:t>has declined 15</w:t>
      </w:r>
      <w:r w:rsidR="00225B2D" w:rsidRPr="00FD47ED">
        <w:rPr>
          <w:rFonts w:asciiTheme="minorHAnsi" w:hAnsiTheme="minorHAnsi" w:cstheme="minorHAnsi"/>
        </w:rPr>
        <w:t xml:space="preserve"> per cent </w:t>
      </w:r>
      <w:r w:rsidR="007F15E4" w:rsidRPr="00FD47ED">
        <w:rPr>
          <w:rFonts w:asciiTheme="minorHAnsi" w:hAnsiTheme="minorHAnsi" w:cstheme="minorHAnsi"/>
        </w:rPr>
        <w:t xml:space="preserve">for </w:t>
      </w:r>
      <w:r w:rsidR="009A10D1" w:rsidRPr="00FD47ED">
        <w:rPr>
          <w:rFonts w:asciiTheme="minorHAnsi" w:hAnsiTheme="minorHAnsi" w:cstheme="minorHAnsi"/>
        </w:rPr>
        <w:t>electricity and 7</w:t>
      </w:r>
      <w:r w:rsidR="00225B2D" w:rsidRPr="00FD47ED">
        <w:rPr>
          <w:rFonts w:asciiTheme="minorHAnsi" w:hAnsiTheme="minorHAnsi" w:cstheme="minorHAnsi"/>
        </w:rPr>
        <w:t xml:space="preserve"> per cent </w:t>
      </w:r>
      <w:r w:rsidR="009A10D1" w:rsidRPr="00FD47ED">
        <w:rPr>
          <w:rFonts w:asciiTheme="minorHAnsi" w:hAnsiTheme="minorHAnsi" w:cstheme="minorHAnsi"/>
        </w:rPr>
        <w:t>for gas since 2012 (</w:t>
      </w:r>
      <w:r w:rsidR="00D54591">
        <w:rPr>
          <w:rFonts w:asciiTheme="minorHAnsi" w:hAnsiTheme="minorHAnsi" w:cstheme="minorHAnsi"/>
        </w:rPr>
        <w:fldChar w:fldCharType="begin" w:fldLock="1"/>
      </w:r>
      <w:r w:rsidR="00D54591">
        <w:rPr>
          <w:rFonts w:asciiTheme="minorHAnsi" w:hAnsiTheme="minorHAnsi" w:cstheme="minorHAnsi"/>
        </w:rPr>
        <w:instrText xml:space="preserve"> REF _Ref137380914 \h </w:instrText>
      </w:r>
      <w:r w:rsidR="00D54591">
        <w:rPr>
          <w:rFonts w:asciiTheme="minorHAnsi" w:hAnsiTheme="minorHAnsi" w:cstheme="minorHAnsi"/>
        </w:rPr>
      </w:r>
      <w:r w:rsidR="00D54591">
        <w:rPr>
          <w:rFonts w:asciiTheme="minorHAnsi" w:hAnsiTheme="minorHAnsi" w:cstheme="minorHAnsi"/>
        </w:rPr>
        <w:fldChar w:fldCharType="separate"/>
      </w:r>
      <w:r w:rsidR="00D54591" w:rsidRPr="00EF32C5">
        <w:rPr>
          <w:rFonts w:asciiTheme="minorHAnsi" w:hAnsiTheme="minorHAnsi" w:cstheme="minorHAnsi"/>
        </w:rPr>
        <w:t xml:space="preserve">Figure </w:t>
      </w:r>
      <w:r w:rsidR="00D54591">
        <w:rPr>
          <w:rFonts w:asciiTheme="minorHAnsi" w:hAnsiTheme="minorHAnsi" w:cstheme="minorHAnsi"/>
          <w:noProof/>
        </w:rPr>
        <w:t>8</w:t>
      </w:r>
      <w:r w:rsidR="00D54591">
        <w:rPr>
          <w:rFonts w:asciiTheme="minorHAnsi" w:hAnsiTheme="minorHAnsi" w:cstheme="minorHAnsi"/>
        </w:rPr>
        <w:fldChar w:fldCharType="end"/>
      </w:r>
      <w:r w:rsidR="009A10D1" w:rsidRPr="00FD47ED">
        <w:rPr>
          <w:rFonts w:asciiTheme="minorHAnsi" w:hAnsiTheme="minorHAnsi" w:cstheme="minorHAnsi"/>
        </w:rPr>
        <w:fldChar w:fldCharType="begin" w:fldLock="1"/>
      </w:r>
      <w:r w:rsidR="009A10D1" w:rsidRPr="00FD47ED">
        <w:rPr>
          <w:rFonts w:asciiTheme="minorHAnsi" w:hAnsiTheme="minorHAnsi" w:cstheme="minorHAnsi"/>
        </w:rPr>
        <w:instrText xml:space="preserve"> REF _Ref137380914 \h </w:instrText>
      </w:r>
      <w:r w:rsidR="000C274B">
        <w:rPr>
          <w:rFonts w:asciiTheme="minorHAnsi" w:hAnsiTheme="minorHAnsi" w:cstheme="minorHAnsi"/>
        </w:rPr>
        <w:instrText xml:space="preserve"> \* MERGEFORMAT </w:instrText>
      </w:r>
      <w:r w:rsidR="009A10D1" w:rsidRPr="00FD47ED">
        <w:rPr>
          <w:rFonts w:asciiTheme="minorHAnsi" w:hAnsiTheme="minorHAnsi" w:cstheme="minorHAnsi"/>
        </w:rPr>
      </w:r>
      <w:r w:rsidR="00000000">
        <w:rPr>
          <w:rFonts w:asciiTheme="minorHAnsi" w:hAnsiTheme="minorHAnsi" w:cstheme="minorHAnsi"/>
        </w:rPr>
        <w:fldChar w:fldCharType="separate"/>
      </w:r>
      <w:r w:rsidR="009A10D1" w:rsidRPr="00FD47ED">
        <w:rPr>
          <w:rFonts w:asciiTheme="minorHAnsi" w:hAnsiTheme="minorHAnsi" w:cstheme="minorHAnsi"/>
        </w:rPr>
        <w:fldChar w:fldCharType="end"/>
      </w:r>
      <w:r w:rsidR="009A10D1" w:rsidRPr="00FD47ED">
        <w:rPr>
          <w:rFonts w:asciiTheme="minorHAnsi" w:hAnsiTheme="minorHAnsi" w:cstheme="minorHAnsi"/>
        </w:rPr>
        <w:fldChar w:fldCharType="begin" w:fldLock="1"/>
      </w:r>
      <w:r w:rsidR="009A10D1" w:rsidRPr="00FD47ED">
        <w:rPr>
          <w:rFonts w:asciiTheme="minorHAnsi" w:hAnsiTheme="minorHAnsi" w:cstheme="minorHAnsi"/>
        </w:rPr>
        <w:instrText xml:space="preserve"> REF _Ref132450231 \h  \* MERGEFORMAT </w:instrText>
      </w:r>
      <w:r w:rsidR="009A10D1" w:rsidRPr="00FD47ED">
        <w:rPr>
          <w:rFonts w:asciiTheme="minorHAnsi" w:hAnsiTheme="minorHAnsi" w:cstheme="minorHAnsi"/>
        </w:rPr>
      </w:r>
      <w:r w:rsidR="00000000">
        <w:rPr>
          <w:rFonts w:asciiTheme="minorHAnsi" w:hAnsiTheme="minorHAnsi" w:cstheme="minorHAnsi"/>
        </w:rPr>
        <w:fldChar w:fldCharType="separate"/>
      </w:r>
      <w:r w:rsidR="009A10D1" w:rsidRPr="00FD47ED">
        <w:rPr>
          <w:rFonts w:asciiTheme="minorHAnsi" w:hAnsiTheme="minorHAnsi" w:cstheme="minorHAnsi"/>
        </w:rPr>
        <w:fldChar w:fldCharType="end"/>
      </w:r>
      <w:r w:rsidR="009A10D1" w:rsidRPr="00FD47ED">
        <w:rPr>
          <w:rFonts w:asciiTheme="minorHAnsi" w:hAnsiTheme="minorHAnsi" w:cstheme="minorHAnsi"/>
        </w:rPr>
        <w:t>)</w:t>
      </w:r>
      <w:r w:rsidR="00342ABF" w:rsidRPr="00FD47ED">
        <w:rPr>
          <w:rFonts w:asciiTheme="minorHAnsi" w:hAnsiTheme="minorHAnsi" w:cstheme="minorHAnsi"/>
        </w:rPr>
        <w:t xml:space="preserve"> </w:t>
      </w:r>
      <w:r w:rsidR="0088691F" w:rsidRPr="00FD47ED">
        <w:rPr>
          <w:rFonts w:asciiTheme="minorHAnsi" w:hAnsiTheme="minorHAnsi" w:cstheme="minorHAnsi"/>
        </w:rPr>
        <w:t>based on 2020 figures</w:t>
      </w:r>
      <w:r w:rsidR="00723239">
        <w:rPr>
          <w:rFonts w:ascii="ZWAdobeF" w:hAnsi="ZWAdobeF" w:cs="ZWAdobeF"/>
          <w:color w:val="auto"/>
          <w:sz w:val="2"/>
          <w:szCs w:val="2"/>
        </w:rPr>
        <w:t>22F</w:t>
      </w:r>
      <w:r w:rsidR="00EE36E3">
        <w:rPr>
          <w:rFonts w:ascii="ZWAdobeF" w:hAnsi="ZWAdobeF" w:cs="ZWAdobeF"/>
          <w:color w:val="auto"/>
          <w:sz w:val="2"/>
          <w:szCs w:val="2"/>
        </w:rPr>
        <w:t>22F</w:t>
      </w:r>
      <w:r w:rsidR="00E94853">
        <w:rPr>
          <w:rFonts w:ascii="ZWAdobeF" w:hAnsi="ZWAdobeF" w:cs="ZWAdobeF"/>
          <w:color w:val="auto"/>
          <w:sz w:val="2"/>
          <w:szCs w:val="2"/>
        </w:rPr>
        <w:t>22F</w:t>
      </w:r>
      <w:r w:rsidR="00F73A23">
        <w:rPr>
          <w:rFonts w:ascii="ZWAdobeF" w:hAnsi="ZWAdobeF" w:cs="ZWAdobeF"/>
          <w:color w:val="auto"/>
          <w:sz w:val="2"/>
          <w:szCs w:val="2"/>
        </w:rPr>
        <w:t>22F</w:t>
      </w:r>
      <w:r w:rsidR="00626378">
        <w:rPr>
          <w:rFonts w:ascii="ZWAdobeF" w:hAnsi="ZWAdobeF" w:cs="ZWAdobeF"/>
          <w:color w:val="auto"/>
          <w:sz w:val="2"/>
          <w:szCs w:val="2"/>
        </w:rPr>
        <w:t>22F</w:t>
      </w:r>
      <w:r w:rsidR="00413811">
        <w:rPr>
          <w:rFonts w:ascii="ZWAdobeF" w:hAnsi="ZWAdobeF" w:cs="ZWAdobeF"/>
          <w:color w:val="auto"/>
          <w:sz w:val="2"/>
          <w:szCs w:val="2"/>
        </w:rPr>
        <w:t>22F</w:t>
      </w:r>
      <w:r w:rsidR="002C327C">
        <w:rPr>
          <w:rFonts w:ascii="ZWAdobeF" w:hAnsi="ZWAdobeF" w:cs="ZWAdobeF"/>
          <w:color w:val="auto"/>
          <w:sz w:val="2"/>
          <w:szCs w:val="2"/>
        </w:rPr>
        <w:t>22F</w:t>
      </w:r>
      <w:r w:rsidR="00D24A06">
        <w:rPr>
          <w:rFonts w:ascii="ZWAdobeF" w:hAnsi="ZWAdobeF" w:cs="ZWAdobeF"/>
          <w:color w:val="auto"/>
          <w:sz w:val="2"/>
          <w:szCs w:val="2"/>
        </w:rPr>
        <w:t>22F</w:t>
      </w:r>
      <w:r w:rsidR="00ED2E48">
        <w:rPr>
          <w:rStyle w:val="FootnoteReference"/>
          <w:rFonts w:asciiTheme="minorHAnsi" w:hAnsiTheme="minorHAnsi" w:cstheme="minorHAnsi"/>
        </w:rPr>
        <w:footnoteReference w:id="24"/>
      </w:r>
      <w:r w:rsidR="0088691F" w:rsidRPr="00FD47ED">
        <w:rPr>
          <w:rFonts w:asciiTheme="minorHAnsi" w:hAnsiTheme="minorHAnsi" w:cstheme="minorHAnsi"/>
        </w:rPr>
        <w:t>.</w:t>
      </w:r>
      <w:r w:rsidR="00B919AC" w:rsidRPr="00FD47ED">
        <w:rPr>
          <w:rFonts w:asciiTheme="minorHAnsi" w:hAnsiTheme="minorHAnsi" w:cstheme="minorHAnsi"/>
        </w:rPr>
        <w:t xml:space="preserve"> </w:t>
      </w:r>
      <w:r w:rsidR="00342ABF" w:rsidRPr="00FD47ED">
        <w:rPr>
          <w:rFonts w:asciiTheme="minorHAnsi" w:hAnsiTheme="minorHAnsi" w:cstheme="minorHAnsi"/>
        </w:rPr>
        <w:t xml:space="preserve">This represents a </w:t>
      </w:r>
      <w:r w:rsidR="00B919AC" w:rsidRPr="00FD47ED">
        <w:rPr>
          <w:rFonts w:asciiTheme="minorHAnsi" w:hAnsiTheme="minorHAnsi" w:cstheme="minorHAnsi"/>
        </w:rPr>
        <w:t>12.6</w:t>
      </w:r>
      <w:r w:rsidR="00F94119" w:rsidRPr="00FD47ED">
        <w:rPr>
          <w:rFonts w:asciiTheme="minorHAnsi" w:hAnsiTheme="minorHAnsi" w:cstheme="minorHAnsi"/>
        </w:rPr>
        <w:t xml:space="preserve"> </w:t>
      </w:r>
      <w:r w:rsidR="00C22375" w:rsidRPr="00FD47ED">
        <w:rPr>
          <w:rFonts w:asciiTheme="minorHAnsi" w:hAnsiTheme="minorHAnsi" w:cstheme="minorHAnsi"/>
        </w:rPr>
        <w:t>per cent</w:t>
      </w:r>
      <w:r w:rsidR="00B919AC" w:rsidRPr="00FD47ED">
        <w:rPr>
          <w:rFonts w:asciiTheme="minorHAnsi" w:hAnsiTheme="minorHAnsi" w:cstheme="minorHAnsi"/>
        </w:rPr>
        <w:t xml:space="preserve"> reduction in </w:t>
      </w:r>
      <w:r w:rsidR="00225B2D" w:rsidRPr="00FD47ED">
        <w:rPr>
          <w:rFonts w:asciiTheme="minorHAnsi" w:hAnsiTheme="minorHAnsi" w:cstheme="minorHAnsi"/>
        </w:rPr>
        <w:t>overall</w:t>
      </w:r>
      <w:r w:rsidR="00B919AC" w:rsidRPr="00FD47ED">
        <w:rPr>
          <w:rFonts w:asciiTheme="minorHAnsi" w:hAnsiTheme="minorHAnsi" w:cstheme="minorHAnsi"/>
        </w:rPr>
        <w:t xml:space="preserve"> energy intensity in non-residential buildings, attributed to energy efficiency policies and increased adoption of renewable energy sources.</w:t>
      </w:r>
      <w:r w:rsidR="00723239">
        <w:rPr>
          <w:rFonts w:ascii="ZWAdobeF" w:hAnsi="ZWAdobeF" w:cs="ZWAdobeF"/>
          <w:color w:val="auto"/>
          <w:sz w:val="2"/>
          <w:szCs w:val="2"/>
        </w:rPr>
        <w:t>23F</w:t>
      </w:r>
      <w:r w:rsidR="00EE36E3">
        <w:rPr>
          <w:rFonts w:ascii="ZWAdobeF" w:hAnsi="ZWAdobeF" w:cs="ZWAdobeF"/>
          <w:color w:val="auto"/>
          <w:sz w:val="2"/>
          <w:szCs w:val="2"/>
        </w:rPr>
        <w:t>23F</w:t>
      </w:r>
      <w:r w:rsidR="00E94853">
        <w:rPr>
          <w:rFonts w:ascii="ZWAdobeF" w:hAnsi="ZWAdobeF" w:cs="ZWAdobeF"/>
          <w:color w:val="auto"/>
          <w:sz w:val="2"/>
          <w:szCs w:val="2"/>
        </w:rPr>
        <w:t>23F</w:t>
      </w:r>
      <w:r w:rsidR="00F73A23">
        <w:rPr>
          <w:rFonts w:ascii="ZWAdobeF" w:hAnsi="ZWAdobeF" w:cs="ZWAdobeF"/>
          <w:color w:val="auto"/>
          <w:sz w:val="2"/>
          <w:szCs w:val="2"/>
        </w:rPr>
        <w:t>23F</w:t>
      </w:r>
      <w:r w:rsidR="00626378">
        <w:rPr>
          <w:rFonts w:ascii="ZWAdobeF" w:hAnsi="ZWAdobeF" w:cs="ZWAdobeF"/>
          <w:color w:val="auto"/>
          <w:sz w:val="2"/>
          <w:szCs w:val="2"/>
        </w:rPr>
        <w:t>23F</w:t>
      </w:r>
      <w:r w:rsidR="00413811">
        <w:rPr>
          <w:rFonts w:ascii="ZWAdobeF" w:hAnsi="ZWAdobeF" w:cs="ZWAdobeF"/>
          <w:color w:val="auto"/>
          <w:sz w:val="2"/>
          <w:szCs w:val="2"/>
        </w:rPr>
        <w:t>23F</w:t>
      </w:r>
      <w:r w:rsidR="002C327C">
        <w:rPr>
          <w:rFonts w:ascii="ZWAdobeF" w:hAnsi="ZWAdobeF" w:cs="ZWAdobeF"/>
          <w:color w:val="auto"/>
          <w:sz w:val="2"/>
          <w:szCs w:val="2"/>
        </w:rPr>
        <w:t>23F</w:t>
      </w:r>
      <w:r w:rsidR="00D24A06">
        <w:rPr>
          <w:rFonts w:ascii="ZWAdobeF" w:hAnsi="ZWAdobeF" w:cs="ZWAdobeF"/>
          <w:color w:val="auto"/>
          <w:sz w:val="2"/>
          <w:szCs w:val="2"/>
        </w:rPr>
        <w:t>23F</w:t>
      </w:r>
      <w:r w:rsidR="00C22375" w:rsidRPr="00FD47ED">
        <w:rPr>
          <w:rStyle w:val="FootnoteReference"/>
          <w:rFonts w:asciiTheme="minorHAnsi" w:hAnsiTheme="minorHAnsi" w:cstheme="minorHAnsi"/>
        </w:rPr>
        <w:footnoteReference w:id="25"/>
      </w:r>
      <w:r w:rsidR="00B919AC" w:rsidRPr="00FD47ED">
        <w:rPr>
          <w:rFonts w:asciiTheme="minorHAnsi" w:hAnsiTheme="minorHAnsi" w:cstheme="minorHAnsi"/>
        </w:rPr>
        <w:t xml:space="preserve"> </w:t>
      </w:r>
    </w:p>
    <w:p w14:paraId="00D387B6" w14:textId="235975A0" w:rsidR="00F52B6F" w:rsidRPr="00FD47ED" w:rsidRDefault="007A1CB3" w:rsidP="00F52B6F">
      <w:pPr>
        <w:pStyle w:val="BodyText"/>
        <w:rPr>
          <w:rFonts w:asciiTheme="minorHAnsi" w:hAnsiTheme="minorHAnsi" w:cstheme="minorHAnsi"/>
          <w:color w:val="auto"/>
          <w:sz w:val="2"/>
          <w:szCs w:val="2"/>
        </w:rPr>
      </w:pPr>
      <w:r>
        <w:rPr>
          <w:rFonts w:asciiTheme="minorHAnsi" w:hAnsiTheme="minorHAnsi" w:cstheme="minorHAnsi"/>
        </w:rPr>
        <w:t>When reviewing NABERS energy intensity data for commercial office buildings there has been a</w:t>
      </w:r>
      <w:r w:rsidR="003A1BEA">
        <w:rPr>
          <w:rFonts w:asciiTheme="minorHAnsi" w:hAnsiTheme="minorHAnsi" w:cstheme="minorHAnsi"/>
        </w:rPr>
        <w:t xml:space="preserve"> 29%</w:t>
      </w:r>
      <w:r>
        <w:rPr>
          <w:rFonts w:asciiTheme="minorHAnsi" w:hAnsiTheme="minorHAnsi" w:cstheme="minorHAnsi"/>
        </w:rPr>
        <w:t xml:space="preserve"> </w:t>
      </w:r>
      <w:r w:rsidR="003A1BEA">
        <w:rPr>
          <w:rFonts w:asciiTheme="minorHAnsi" w:hAnsiTheme="minorHAnsi" w:cstheme="minorHAnsi"/>
        </w:rPr>
        <w:t>reduction in average energy in</w:t>
      </w:r>
      <w:r w:rsidR="004918CF">
        <w:rPr>
          <w:rFonts w:asciiTheme="minorHAnsi" w:hAnsiTheme="minorHAnsi" w:cstheme="minorHAnsi"/>
        </w:rPr>
        <w:t>tensity</w:t>
      </w:r>
      <w:r w:rsidR="00CE6269">
        <w:rPr>
          <w:rFonts w:asciiTheme="minorHAnsi" w:hAnsiTheme="minorHAnsi" w:cstheme="minorHAnsi"/>
        </w:rPr>
        <w:t xml:space="preserve"> (MJ/m</w:t>
      </w:r>
      <w:r w:rsidR="00CE6269" w:rsidRPr="00FD47ED">
        <w:rPr>
          <w:rFonts w:asciiTheme="minorHAnsi" w:hAnsiTheme="minorHAnsi" w:cstheme="minorHAnsi"/>
          <w:vertAlign w:val="superscript"/>
        </w:rPr>
        <w:t>2</w:t>
      </w:r>
      <w:r w:rsidR="00CE6269">
        <w:rPr>
          <w:rFonts w:asciiTheme="minorHAnsi" w:hAnsiTheme="minorHAnsi" w:cstheme="minorHAnsi"/>
        </w:rPr>
        <w:t>)</w:t>
      </w:r>
      <w:r w:rsidR="004918CF">
        <w:rPr>
          <w:rFonts w:asciiTheme="minorHAnsi" w:hAnsiTheme="minorHAnsi" w:cstheme="minorHAnsi"/>
        </w:rPr>
        <w:t xml:space="preserve"> since </w:t>
      </w:r>
      <w:r w:rsidR="003400B1">
        <w:rPr>
          <w:rFonts w:asciiTheme="minorHAnsi" w:hAnsiTheme="minorHAnsi" w:cstheme="minorHAnsi"/>
        </w:rPr>
        <w:t xml:space="preserve">the </w:t>
      </w:r>
      <w:r w:rsidR="00976647">
        <w:rPr>
          <w:rFonts w:asciiTheme="minorHAnsi" w:hAnsiTheme="minorHAnsi" w:cstheme="minorHAnsi"/>
        </w:rPr>
        <w:t>2011 when</w:t>
      </w:r>
      <w:r w:rsidR="00D1041C">
        <w:rPr>
          <w:rFonts w:asciiTheme="minorHAnsi" w:hAnsiTheme="minorHAnsi" w:cstheme="minorHAnsi"/>
        </w:rPr>
        <w:t xml:space="preserve"> mandatory disclosure </w:t>
      </w:r>
      <w:r w:rsidR="00B975D4">
        <w:rPr>
          <w:rFonts w:asciiTheme="minorHAnsi" w:hAnsiTheme="minorHAnsi" w:cstheme="minorHAnsi"/>
        </w:rPr>
        <w:t>was introduced</w:t>
      </w:r>
      <w:r w:rsidR="00CE6269">
        <w:rPr>
          <w:rFonts w:asciiTheme="minorHAnsi" w:hAnsiTheme="minorHAnsi" w:cstheme="minorHAnsi"/>
        </w:rPr>
        <w:t>.</w:t>
      </w:r>
      <w:r w:rsidR="00B919AC">
        <w:rPr>
          <w:rFonts w:asciiTheme="minorHAnsi" w:hAnsiTheme="minorHAnsi" w:cstheme="minorHAnsi"/>
        </w:rPr>
        <w:t xml:space="preserve"> </w:t>
      </w:r>
      <w:r w:rsidR="000B622D">
        <w:rPr>
          <w:rFonts w:asciiTheme="minorHAnsi" w:hAnsiTheme="minorHAnsi" w:cstheme="minorHAnsi"/>
        </w:rPr>
        <w:t>M</w:t>
      </w:r>
      <w:r w:rsidR="00D1041C" w:rsidRPr="00FD47ED">
        <w:rPr>
          <w:rFonts w:asciiTheme="minorHAnsi" w:hAnsiTheme="minorHAnsi" w:cstheme="minorHAnsi"/>
        </w:rPr>
        <w:t>andatory</w:t>
      </w:r>
      <w:r w:rsidR="00B919AC" w:rsidRPr="00FD47ED">
        <w:rPr>
          <w:rFonts w:asciiTheme="minorHAnsi" w:hAnsiTheme="minorHAnsi" w:cstheme="minorHAnsi"/>
        </w:rPr>
        <w:t xml:space="preserve"> disclosure</w:t>
      </w:r>
      <w:r w:rsidR="00B919AC">
        <w:rPr>
          <w:rFonts w:asciiTheme="minorHAnsi" w:hAnsiTheme="minorHAnsi" w:cstheme="minorHAnsi"/>
        </w:rPr>
        <w:t xml:space="preserve"> </w:t>
      </w:r>
      <w:r w:rsidR="006F5797">
        <w:rPr>
          <w:rFonts w:asciiTheme="minorHAnsi" w:hAnsiTheme="minorHAnsi" w:cstheme="minorHAnsi"/>
        </w:rPr>
        <w:t xml:space="preserve">for </w:t>
      </w:r>
      <w:proofErr w:type="gramStart"/>
      <w:r w:rsidR="006F5797">
        <w:rPr>
          <w:rFonts w:asciiTheme="minorHAnsi" w:hAnsiTheme="minorHAnsi" w:cstheme="minorHAnsi"/>
        </w:rPr>
        <w:t xml:space="preserve">performance </w:t>
      </w:r>
      <w:r w:rsidR="006F5797">
        <w:rPr>
          <w:rFonts w:asciiTheme="minorHAnsi" w:hAnsiTheme="minorHAnsi" w:cstheme="minorHAnsi"/>
        </w:rPr>
        <w:lastRenderedPageBreak/>
        <w:t>based</w:t>
      </w:r>
      <w:proofErr w:type="gramEnd"/>
      <w:r w:rsidR="006F5797">
        <w:rPr>
          <w:rFonts w:asciiTheme="minorHAnsi" w:hAnsiTheme="minorHAnsi" w:cstheme="minorHAnsi"/>
        </w:rPr>
        <w:t xml:space="preserve"> </w:t>
      </w:r>
      <w:r w:rsidR="00C24A41">
        <w:rPr>
          <w:rFonts w:asciiTheme="minorHAnsi" w:hAnsiTheme="minorHAnsi" w:cstheme="minorHAnsi"/>
        </w:rPr>
        <w:t xml:space="preserve">energy </w:t>
      </w:r>
      <w:r w:rsidR="00676923">
        <w:rPr>
          <w:rFonts w:asciiTheme="minorHAnsi" w:hAnsiTheme="minorHAnsi" w:cstheme="minorHAnsi"/>
        </w:rPr>
        <w:t>consumption</w:t>
      </w:r>
      <w:r w:rsidR="005B5C52">
        <w:rPr>
          <w:rFonts w:asciiTheme="minorHAnsi" w:hAnsiTheme="minorHAnsi" w:cstheme="minorHAnsi"/>
        </w:rPr>
        <w:t xml:space="preserve"> is showing to</w:t>
      </w:r>
      <w:r w:rsidR="00676923">
        <w:rPr>
          <w:rFonts w:asciiTheme="minorHAnsi" w:hAnsiTheme="minorHAnsi" w:cstheme="minorHAnsi"/>
        </w:rPr>
        <w:t xml:space="preserve"> </w:t>
      </w:r>
      <w:r w:rsidR="005B5C52">
        <w:rPr>
          <w:rFonts w:asciiTheme="minorHAnsi" w:hAnsiTheme="minorHAnsi" w:cstheme="minorHAnsi"/>
        </w:rPr>
        <w:t xml:space="preserve">have </w:t>
      </w:r>
      <w:r w:rsidR="003B0E9E">
        <w:rPr>
          <w:rFonts w:asciiTheme="minorHAnsi" w:hAnsiTheme="minorHAnsi" w:cstheme="minorHAnsi"/>
        </w:rPr>
        <w:t xml:space="preserve">a </w:t>
      </w:r>
      <w:r w:rsidR="00A50101">
        <w:rPr>
          <w:rFonts w:asciiTheme="minorHAnsi" w:hAnsiTheme="minorHAnsi" w:cstheme="minorHAnsi"/>
        </w:rPr>
        <w:t>far</w:t>
      </w:r>
      <w:r w:rsidR="00B919AC">
        <w:rPr>
          <w:rFonts w:asciiTheme="minorHAnsi" w:hAnsiTheme="minorHAnsi" w:cstheme="minorHAnsi"/>
        </w:rPr>
        <w:t xml:space="preserve"> greater impact </w:t>
      </w:r>
      <w:r w:rsidR="00A50101">
        <w:rPr>
          <w:rFonts w:asciiTheme="minorHAnsi" w:hAnsiTheme="minorHAnsi" w:cstheme="minorHAnsi"/>
        </w:rPr>
        <w:t xml:space="preserve">that </w:t>
      </w:r>
      <w:r w:rsidR="00B919AC" w:rsidRPr="00FD47ED">
        <w:rPr>
          <w:rFonts w:asciiTheme="minorHAnsi" w:hAnsiTheme="minorHAnsi" w:cstheme="minorHAnsi"/>
        </w:rPr>
        <w:t xml:space="preserve">voluntary standards as it </w:t>
      </w:r>
      <w:r w:rsidR="000B622D" w:rsidRPr="00FD47ED">
        <w:rPr>
          <w:rFonts w:asciiTheme="minorHAnsi" w:hAnsiTheme="minorHAnsi" w:cstheme="minorHAnsi"/>
        </w:rPr>
        <w:t>targets</w:t>
      </w:r>
      <w:r w:rsidR="00B919AC" w:rsidRPr="00FD47ED">
        <w:rPr>
          <w:rFonts w:asciiTheme="minorHAnsi" w:hAnsiTheme="minorHAnsi" w:cstheme="minorHAnsi"/>
        </w:rPr>
        <w:t xml:space="preserve"> underperforming buildings and had broader industry participation.</w:t>
      </w:r>
      <w:r w:rsidR="00723239">
        <w:rPr>
          <w:rFonts w:ascii="ZWAdobeF" w:hAnsi="ZWAdobeF" w:cs="ZWAdobeF"/>
          <w:color w:val="auto"/>
          <w:sz w:val="2"/>
          <w:szCs w:val="2"/>
        </w:rPr>
        <w:t>24F</w:t>
      </w:r>
      <w:r w:rsidR="00EE36E3">
        <w:rPr>
          <w:rFonts w:ascii="ZWAdobeF" w:hAnsi="ZWAdobeF" w:cs="ZWAdobeF"/>
          <w:color w:val="auto"/>
          <w:sz w:val="2"/>
          <w:szCs w:val="2"/>
        </w:rPr>
        <w:t>24F</w:t>
      </w:r>
      <w:r w:rsidR="00E94853">
        <w:rPr>
          <w:rFonts w:ascii="ZWAdobeF" w:hAnsi="ZWAdobeF" w:cs="ZWAdobeF"/>
          <w:color w:val="auto"/>
          <w:sz w:val="2"/>
          <w:szCs w:val="2"/>
        </w:rPr>
        <w:t>24F</w:t>
      </w:r>
      <w:r w:rsidR="00F73A23">
        <w:rPr>
          <w:rFonts w:ascii="ZWAdobeF" w:hAnsi="ZWAdobeF" w:cs="ZWAdobeF"/>
          <w:color w:val="auto"/>
          <w:sz w:val="2"/>
          <w:szCs w:val="2"/>
        </w:rPr>
        <w:t>24F</w:t>
      </w:r>
      <w:r w:rsidR="00626378">
        <w:rPr>
          <w:rFonts w:ascii="ZWAdobeF" w:hAnsi="ZWAdobeF" w:cs="ZWAdobeF"/>
          <w:color w:val="auto"/>
          <w:sz w:val="2"/>
          <w:szCs w:val="2"/>
        </w:rPr>
        <w:t>24F</w:t>
      </w:r>
      <w:r w:rsidR="00413811">
        <w:rPr>
          <w:rFonts w:ascii="ZWAdobeF" w:hAnsi="ZWAdobeF" w:cs="ZWAdobeF"/>
          <w:color w:val="auto"/>
          <w:sz w:val="2"/>
          <w:szCs w:val="2"/>
        </w:rPr>
        <w:t>24F</w:t>
      </w:r>
      <w:r w:rsidR="002C327C">
        <w:rPr>
          <w:rFonts w:ascii="ZWAdobeF" w:hAnsi="ZWAdobeF" w:cs="ZWAdobeF"/>
          <w:color w:val="auto"/>
          <w:sz w:val="2"/>
          <w:szCs w:val="2"/>
        </w:rPr>
        <w:t>24F</w:t>
      </w:r>
      <w:r w:rsidR="00D24A06">
        <w:rPr>
          <w:rFonts w:ascii="ZWAdobeF" w:hAnsi="ZWAdobeF" w:cs="ZWAdobeF"/>
          <w:color w:val="auto"/>
          <w:sz w:val="2"/>
          <w:szCs w:val="2"/>
        </w:rPr>
        <w:t>24F</w:t>
      </w:r>
      <w:r w:rsidR="00DB59D3" w:rsidRPr="00FD47ED">
        <w:rPr>
          <w:rStyle w:val="FootnoteReference"/>
          <w:rFonts w:asciiTheme="minorHAnsi" w:hAnsiTheme="minorHAnsi" w:cstheme="minorHAnsi"/>
        </w:rPr>
        <w:footnoteReference w:id="26"/>
      </w:r>
    </w:p>
    <w:p w14:paraId="54771C34" w14:textId="3A024A8D" w:rsidR="00BB499E" w:rsidRDefault="00BB499E" w:rsidP="00326626">
      <w:pPr>
        <w:pStyle w:val="BodyText"/>
        <w:tabs>
          <w:tab w:val="left" w:pos="0"/>
        </w:tabs>
        <w:jc w:val="both"/>
        <w:rPr>
          <w:rFonts w:asciiTheme="minorHAnsi" w:hAnsiTheme="minorHAnsi" w:cstheme="minorHAnsi"/>
        </w:rPr>
      </w:pPr>
      <w:r w:rsidRPr="00FD47ED">
        <w:rPr>
          <w:rFonts w:asciiTheme="minorHAnsi" w:hAnsiTheme="minorHAnsi" w:cstheme="minorHAnsi"/>
        </w:rPr>
        <w:t xml:space="preserve">The </w:t>
      </w:r>
      <w:proofErr w:type="spellStart"/>
      <w:r w:rsidR="004B7EF8">
        <w:rPr>
          <w:rFonts w:asciiTheme="minorHAnsi" w:hAnsiTheme="minorHAnsi" w:cstheme="minorHAnsi"/>
        </w:rPr>
        <w:t>CBBS</w:t>
      </w:r>
      <w:proofErr w:type="spellEnd"/>
      <w:r w:rsidR="00A50101">
        <w:rPr>
          <w:rFonts w:asciiTheme="minorHAnsi" w:hAnsiTheme="minorHAnsi" w:cstheme="minorHAnsi"/>
        </w:rPr>
        <w:t xml:space="preserve"> data</w:t>
      </w:r>
      <w:r w:rsidRPr="00FD47ED">
        <w:rPr>
          <w:rFonts w:asciiTheme="minorHAnsi" w:hAnsiTheme="minorHAnsi" w:cstheme="minorHAnsi"/>
        </w:rPr>
        <w:t xml:space="preserve"> found the commercial offices building sector reduced its GHG emissions by 19.2 per cent between 2005 and 2019, while the public government building sector reduced its emissions by 30.5 per cent over the same period. The reduction in GHG emissions is not as strong when exploring all building stock. Taking electricity and gas consumption data from 2012 to 2020</w:t>
      </w:r>
      <w:r w:rsidR="00723239">
        <w:rPr>
          <w:rFonts w:ascii="ZWAdobeF" w:hAnsi="ZWAdobeF" w:cs="ZWAdobeF"/>
          <w:color w:val="auto"/>
          <w:sz w:val="2"/>
          <w:szCs w:val="2"/>
        </w:rPr>
        <w:t>25F</w:t>
      </w:r>
      <w:r w:rsidR="00EE36E3">
        <w:rPr>
          <w:rFonts w:ascii="ZWAdobeF" w:hAnsi="ZWAdobeF" w:cs="ZWAdobeF"/>
          <w:color w:val="auto"/>
          <w:sz w:val="2"/>
          <w:szCs w:val="2"/>
        </w:rPr>
        <w:t>25F</w:t>
      </w:r>
      <w:r w:rsidR="00E94853">
        <w:rPr>
          <w:rFonts w:ascii="ZWAdobeF" w:hAnsi="ZWAdobeF" w:cs="ZWAdobeF"/>
          <w:color w:val="auto"/>
          <w:sz w:val="2"/>
          <w:szCs w:val="2"/>
        </w:rPr>
        <w:t>25F</w:t>
      </w:r>
      <w:r w:rsidR="00F73A23">
        <w:rPr>
          <w:rFonts w:ascii="ZWAdobeF" w:hAnsi="ZWAdobeF" w:cs="ZWAdobeF"/>
          <w:color w:val="auto"/>
          <w:sz w:val="2"/>
          <w:szCs w:val="2"/>
        </w:rPr>
        <w:t>25F</w:t>
      </w:r>
      <w:r w:rsidR="00626378">
        <w:rPr>
          <w:rFonts w:ascii="ZWAdobeF" w:hAnsi="ZWAdobeF" w:cs="ZWAdobeF"/>
          <w:color w:val="auto"/>
          <w:sz w:val="2"/>
          <w:szCs w:val="2"/>
        </w:rPr>
        <w:t>25F</w:t>
      </w:r>
      <w:r w:rsidR="00413811">
        <w:rPr>
          <w:rFonts w:ascii="ZWAdobeF" w:hAnsi="ZWAdobeF" w:cs="ZWAdobeF"/>
          <w:color w:val="auto"/>
          <w:sz w:val="2"/>
          <w:szCs w:val="2"/>
        </w:rPr>
        <w:t>25F</w:t>
      </w:r>
      <w:r w:rsidR="002C327C">
        <w:rPr>
          <w:rFonts w:ascii="ZWAdobeF" w:hAnsi="ZWAdobeF" w:cs="ZWAdobeF"/>
          <w:color w:val="auto"/>
          <w:sz w:val="2"/>
          <w:szCs w:val="2"/>
        </w:rPr>
        <w:t>25F</w:t>
      </w:r>
      <w:r w:rsidR="00D24A06">
        <w:rPr>
          <w:rFonts w:ascii="ZWAdobeF" w:hAnsi="ZWAdobeF" w:cs="ZWAdobeF"/>
          <w:color w:val="auto"/>
          <w:sz w:val="2"/>
          <w:szCs w:val="2"/>
        </w:rPr>
        <w:t>25F</w:t>
      </w:r>
      <w:r w:rsidRPr="00FD47ED">
        <w:rPr>
          <w:rStyle w:val="FootnoteReference"/>
          <w:rFonts w:asciiTheme="minorHAnsi" w:hAnsiTheme="minorHAnsi" w:cstheme="minorHAnsi"/>
        </w:rPr>
        <w:footnoteReference w:id="27"/>
      </w:r>
      <w:r w:rsidRPr="00FD47ED">
        <w:rPr>
          <w:rFonts w:asciiTheme="minorHAnsi" w:hAnsiTheme="minorHAnsi" w:cstheme="minorHAnsi"/>
        </w:rPr>
        <w:t xml:space="preserve"> and applying the emissions factors from National Greenhouse Accounts (</w:t>
      </w:r>
      <w:r w:rsidRPr="00FD47ED">
        <w:rPr>
          <w:rFonts w:asciiTheme="minorHAnsi" w:hAnsiTheme="minorHAnsi" w:cstheme="minorHAnsi"/>
          <w:b/>
        </w:rPr>
        <w:t>NGA</w:t>
      </w:r>
      <w:r w:rsidRPr="00FD47ED">
        <w:rPr>
          <w:rFonts w:asciiTheme="minorHAnsi" w:hAnsiTheme="minorHAnsi" w:cstheme="minorHAnsi"/>
        </w:rPr>
        <w:t xml:space="preserve">) Factors 2022, </w:t>
      </w:r>
      <w:r w:rsidR="00D54591">
        <w:rPr>
          <w:rFonts w:asciiTheme="minorHAnsi" w:hAnsiTheme="minorHAnsi" w:cstheme="minorHAnsi"/>
        </w:rPr>
        <w:fldChar w:fldCharType="begin" w:fldLock="1"/>
      </w:r>
      <w:r w:rsidR="00D54591">
        <w:rPr>
          <w:rFonts w:asciiTheme="minorHAnsi" w:hAnsiTheme="minorHAnsi" w:cstheme="minorHAnsi"/>
        </w:rPr>
        <w:instrText xml:space="preserve"> REF _Ref137380914 \h </w:instrText>
      </w:r>
      <w:r w:rsidR="00D54591">
        <w:rPr>
          <w:rFonts w:asciiTheme="minorHAnsi" w:hAnsiTheme="minorHAnsi" w:cstheme="minorHAnsi"/>
        </w:rPr>
      </w:r>
      <w:r w:rsidR="00D54591">
        <w:rPr>
          <w:rFonts w:asciiTheme="minorHAnsi" w:hAnsiTheme="minorHAnsi" w:cstheme="minorHAnsi"/>
        </w:rPr>
        <w:fldChar w:fldCharType="separate"/>
      </w:r>
      <w:r w:rsidR="00D54591" w:rsidRPr="00EF32C5">
        <w:rPr>
          <w:rFonts w:asciiTheme="minorHAnsi" w:hAnsiTheme="minorHAnsi" w:cstheme="minorHAnsi"/>
        </w:rPr>
        <w:t xml:space="preserve">Figure </w:t>
      </w:r>
      <w:r w:rsidR="00D54591">
        <w:rPr>
          <w:rFonts w:asciiTheme="minorHAnsi" w:hAnsiTheme="minorHAnsi" w:cstheme="minorHAnsi"/>
          <w:noProof/>
        </w:rPr>
        <w:t>8</w:t>
      </w:r>
      <w:r w:rsidR="00D54591">
        <w:rPr>
          <w:rFonts w:asciiTheme="minorHAnsi" w:hAnsiTheme="minorHAnsi" w:cstheme="minorHAnsi"/>
        </w:rPr>
        <w:fldChar w:fldCharType="end"/>
      </w:r>
      <w:r w:rsidR="00A53A15">
        <w:rPr>
          <w:rFonts w:asciiTheme="minorHAnsi" w:hAnsiTheme="minorHAnsi" w:cstheme="minorHAnsi"/>
        </w:rPr>
        <w:t xml:space="preserve"> </w:t>
      </w:r>
      <w:r w:rsidRPr="00FD47ED">
        <w:rPr>
          <w:rFonts w:asciiTheme="minorHAnsi" w:hAnsiTheme="minorHAnsi" w:cstheme="minorHAnsi"/>
        </w:rPr>
        <w:t>illustrates the reduction in GHG emissions across Australia’s non-residential building was only 2.8</w:t>
      </w:r>
      <w:r w:rsidR="00CD49B1" w:rsidRPr="00FD47ED">
        <w:rPr>
          <w:rFonts w:asciiTheme="minorHAnsi" w:hAnsiTheme="minorHAnsi" w:cstheme="minorHAnsi"/>
        </w:rPr>
        <w:t xml:space="preserve"> </w:t>
      </w:r>
      <w:r w:rsidRPr="00FD47ED">
        <w:rPr>
          <w:rFonts w:asciiTheme="minorHAnsi" w:hAnsiTheme="minorHAnsi" w:cstheme="minorHAnsi"/>
        </w:rPr>
        <w:t>per cent. This figure captures the energy efficiency performance of commercial buildings operating under the BEED Act and does not account for growth in the building stock.</w:t>
      </w:r>
    </w:p>
    <w:p w14:paraId="0E574F2C" w14:textId="1B0BA63C" w:rsidR="004279A0" w:rsidRPr="00080D86" w:rsidRDefault="004279A0" w:rsidP="00080D86">
      <w:pPr>
        <w:pStyle w:val="Caption"/>
        <w:keepNext/>
        <w:spacing w:after="120"/>
        <w:jc w:val="center"/>
        <w:rPr>
          <w:rFonts w:ascii="Calibri" w:eastAsia="Times New Roman" w:hAnsi="Calibri" w:cs="Times New Roman"/>
          <w:b/>
          <w:bCs/>
          <w:i w:val="0"/>
          <w:iCs w:val="0"/>
          <w:color w:val="auto"/>
          <w:sz w:val="24"/>
        </w:rPr>
      </w:pPr>
      <w:bookmarkStart w:id="97" w:name="_Ref157675695"/>
      <w:bookmarkStart w:id="98" w:name="_Toc157687013"/>
      <w:r w:rsidRPr="00080D86">
        <w:rPr>
          <w:rFonts w:ascii="Calibri" w:eastAsia="Times New Roman" w:hAnsi="Calibri" w:cs="Times New Roman"/>
          <w:b/>
          <w:bCs/>
          <w:i w:val="0"/>
          <w:iCs w:val="0"/>
          <w:color w:val="auto"/>
          <w:sz w:val="24"/>
        </w:rPr>
        <w:t xml:space="preserve">Figure </w:t>
      </w:r>
      <w:r w:rsidRPr="00080D86">
        <w:rPr>
          <w:rFonts w:ascii="Calibri" w:eastAsia="Times New Roman" w:hAnsi="Calibri" w:cs="Times New Roman"/>
          <w:b/>
          <w:bCs/>
          <w:i w:val="0"/>
          <w:iCs w:val="0"/>
          <w:color w:val="auto"/>
          <w:sz w:val="24"/>
        </w:rPr>
        <w:fldChar w:fldCharType="begin"/>
      </w:r>
      <w:r w:rsidRPr="00080D86">
        <w:rPr>
          <w:rFonts w:ascii="Calibri" w:eastAsia="Times New Roman" w:hAnsi="Calibri" w:cs="Times New Roman"/>
          <w:b/>
          <w:bCs/>
          <w:i w:val="0"/>
          <w:iCs w:val="0"/>
          <w:color w:val="auto"/>
          <w:sz w:val="24"/>
        </w:rPr>
        <w:instrText>SEQ Figure \* ARABIC</w:instrText>
      </w:r>
      <w:r w:rsidRPr="00080D8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8</w:t>
      </w:r>
      <w:r w:rsidRPr="00080D86">
        <w:rPr>
          <w:rFonts w:ascii="Calibri" w:eastAsia="Times New Roman" w:hAnsi="Calibri" w:cs="Times New Roman"/>
          <w:b/>
          <w:bCs/>
          <w:i w:val="0"/>
          <w:iCs w:val="0"/>
          <w:color w:val="auto"/>
          <w:sz w:val="24"/>
        </w:rPr>
        <w:fldChar w:fldCharType="end"/>
      </w:r>
      <w:bookmarkEnd w:id="97"/>
      <w:r w:rsidRPr="00080D86">
        <w:rPr>
          <w:rFonts w:ascii="Calibri" w:eastAsia="Times New Roman" w:hAnsi="Calibri" w:cs="Times New Roman"/>
          <w:b/>
          <w:bCs/>
          <w:i w:val="0"/>
          <w:iCs w:val="0"/>
          <w:color w:val="auto"/>
          <w:sz w:val="24"/>
        </w:rPr>
        <w:t>: Average Energy Intensity Across for All Non-residential Building Space Use Types and Total Greenhouse Gas Emissions for Non-Residential Building Space Use Types, 2012 to 2020</w:t>
      </w:r>
      <w:bookmarkEnd w:id="98"/>
    </w:p>
    <w:p w14:paraId="4A400F62" w14:textId="1AE9567E" w:rsidR="00EA59F9" w:rsidRPr="00EA59F9" w:rsidRDefault="00EA59F9" w:rsidP="00EA59F9">
      <w:r>
        <w:rPr>
          <w:noProof/>
        </w:rPr>
        <w:drawing>
          <wp:inline distT="0" distB="0" distL="0" distR="0" wp14:anchorId="04A7CDDC" wp14:editId="461ECBD9">
            <wp:extent cx="6159791" cy="2205665"/>
            <wp:effectExtent l="0" t="0" r="0" b="4445"/>
            <wp:docPr id="51" name="Picture 51" descr="Total Greenhouse gas emissions and average energy intensity for all Non-residential buildings decreased over time. Data for charts are set out in Appendix 11, Tabl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otal Greenhouse gas emissions and average energy intensity for all Non-residential buildings decreased over time. Data for charts are set out in Appendix 11, Table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9791" cy="2205665"/>
                    </a:xfrm>
                    <a:prstGeom prst="rect">
                      <a:avLst/>
                    </a:prstGeom>
                  </pic:spPr>
                </pic:pic>
              </a:graphicData>
            </a:graphic>
          </wp:inline>
        </w:drawing>
      </w:r>
    </w:p>
    <w:p w14:paraId="637DDC0A" w14:textId="519C2E69" w:rsidR="00524C7F" w:rsidRDefault="00524C7F" w:rsidP="00524C7F">
      <w:pPr>
        <w:pStyle w:val="Caption"/>
        <w:jc w:val="center"/>
        <w:rPr>
          <w:rFonts w:ascii="Calibri" w:eastAsia="Times New Roman" w:hAnsi="Calibri" w:cs="Times New Roman"/>
          <w:b/>
          <w:bCs/>
          <w:i w:val="0"/>
          <w:iCs w:val="0"/>
          <w:color w:val="auto"/>
          <w:sz w:val="24"/>
        </w:rPr>
      </w:pPr>
      <w:hyperlink w:anchor="_Table_38:_Data"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8</w:t>
        </w:r>
        <w:r>
          <w:rPr>
            <w:rStyle w:val="Hyperlink"/>
            <w:rFonts w:asciiTheme="minorHAnsi" w:hAnsiTheme="minorHAnsi" w:cstheme="minorHAnsi"/>
          </w:rPr>
          <w:t xml:space="preserve"> [Appendix 11 Table 3</w:t>
        </w:r>
        <w:r>
          <w:rPr>
            <w:rStyle w:val="Hyperlink"/>
            <w:rFonts w:asciiTheme="minorHAnsi" w:hAnsiTheme="minorHAnsi" w:cstheme="minorHAnsi"/>
          </w:rPr>
          <w:t>8</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6A282630" w14:textId="77777777" w:rsidR="004279A0" w:rsidRDefault="004279A0" w:rsidP="00326626">
      <w:pPr>
        <w:pStyle w:val="BodyText"/>
        <w:tabs>
          <w:tab w:val="left" w:pos="0"/>
        </w:tabs>
        <w:jc w:val="both"/>
        <w:rPr>
          <w:rFonts w:asciiTheme="minorHAnsi" w:hAnsiTheme="minorHAnsi" w:cstheme="minorHAnsi"/>
        </w:rPr>
      </w:pPr>
    </w:p>
    <w:p w14:paraId="4C08D898" w14:textId="1E2B90C7" w:rsidR="004432DF" w:rsidRDefault="00DB34E0" w:rsidP="00EF32C5">
      <w:pPr>
        <w:jc w:val="both"/>
        <w:rPr>
          <w:rFonts w:asciiTheme="minorHAnsi" w:hAnsiTheme="minorHAnsi" w:cstheme="minorHAnsi"/>
        </w:rPr>
      </w:pPr>
      <w:r w:rsidRPr="00EF32C5">
        <w:rPr>
          <w:rFonts w:asciiTheme="minorHAnsi" w:hAnsiTheme="minorHAnsi" w:cstheme="minorHAnsi"/>
        </w:rPr>
        <w:t>To expand emission reduction efforts, Australia should examine international policies for guidance.</w:t>
      </w:r>
      <w:r w:rsidR="00FA778D" w:rsidRPr="00EF32C5">
        <w:rPr>
          <w:rFonts w:asciiTheme="minorHAnsi" w:hAnsiTheme="minorHAnsi" w:cstheme="minorHAnsi"/>
        </w:rPr>
        <w:t xml:space="preserve"> </w:t>
      </w:r>
      <w:r w:rsidR="00672F44" w:rsidRPr="00EF32C5">
        <w:rPr>
          <w:rFonts w:asciiTheme="minorHAnsi" w:hAnsiTheme="minorHAnsi" w:cstheme="minorHAnsi"/>
        </w:rPr>
        <w:t>The following chapter explores the experiences and the policy tools used to achieve emission reductions overseas</w:t>
      </w:r>
      <w:r w:rsidR="0012448D" w:rsidRPr="00EF32C5">
        <w:rPr>
          <w:rFonts w:asciiTheme="minorHAnsi" w:hAnsiTheme="minorHAnsi" w:cstheme="minorHAnsi"/>
        </w:rPr>
        <w:t>.</w:t>
      </w:r>
      <w:r w:rsidR="00D72EF2" w:rsidRPr="00EF32C5">
        <w:rPr>
          <w:rFonts w:asciiTheme="minorHAnsi" w:hAnsiTheme="minorHAnsi" w:cstheme="minorHAnsi"/>
        </w:rPr>
        <w:t xml:space="preserve"> </w:t>
      </w:r>
      <w:bookmarkStart w:id="99" w:name="_Toc132295377"/>
      <w:bookmarkStart w:id="100" w:name="_Toc132295408"/>
      <w:bookmarkStart w:id="101" w:name="_Toc133844024"/>
      <w:bookmarkStart w:id="102" w:name="_Toc136286369"/>
    </w:p>
    <w:p w14:paraId="77693F69" w14:textId="77777777" w:rsidR="00EF32C5" w:rsidRDefault="00EF32C5" w:rsidP="00EF32C5">
      <w:pPr>
        <w:jc w:val="both"/>
        <w:rPr>
          <w:rFonts w:asciiTheme="minorHAnsi" w:eastAsiaTheme="majorEastAsia" w:hAnsiTheme="minorHAnsi" w:cstheme="minorHAnsi"/>
          <w:color w:val="00338D" w:themeColor="text2"/>
          <w:sz w:val="96"/>
          <w:szCs w:val="32"/>
        </w:rPr>
        <w:sectPr w:rsidR="00EF32C5" w:rsidSect="00A77C53">
          <w:pgSz w:w="11906" w:h="16838"/>
          <w:pgMar w:top="851" w:right="851" w:bottom="1418" w:left="851" w:header="567" w:footer="283" w:gutter="0"/>
          <w:pgNumType w:start="8"/>
          <w:cols w:space="708"/>
          <w:docGrid w:linePitch="360"/>
        </w:sectPr>
      </w:pPr>
    </w:p>
    <w:p w14:paraId="29A78EC1" w14:textId="37D9505B" w:rsidR="00E51F60" w:rsidRDefault="00E51F60" w:rsidP="00214D42">
      <w:pPr>
        <w:pStyle w:val="Heading1"/>
      </w:pPr>
      <w:bookmarkStart w:id="103" w:name="_Toc154059366"/>
      <w:r w:rsidRPr="00E51F60">
        <w:lastRenderedPageBreak/>
        <w:t>Trends in Global Energy Regulation for Commercial Buildings</w:t>
      </w:r>
      <w:bookmarkEnd w:id="99"/>
      <w:bookmarkEnd w:id="100"/>
      <w:bookmarkEnd w:id="101"/>
      <w:bookmarkEnd w:id="102"/>
      <w:bookmarkEnd w:id="103"/>
    </w:p>
    <w:p w14:paraId="3679C33B" w14:textId="0F6856ED" w:rsidR="00133B11" w:rsidRPr="00F81ADB" w:rsidRDefault="001F71AD" w:rsidP="00214D42">
      <w:pPr>
        <w:pStyle w:val="Heading2"/>
        <w:rPr>
          <w:rFonts w:cstheme="minorHAnsi"/>
        </w:rPr>
      </w:pPr>
      <w:bookmarkStart w:id="104" w:name="_Toc133844025"/>
      <w:bookmarkStart w:id="105" w:name="_Toc136286370"/>
      <w:bookmarkStart w:id="106" w:name="_Toc154059367"/>
      <w:r w:rsidRPr="00F81ADB">
        <w:rPr>
          <w:rFonts w:cstheme="minorHAnsi"/>
        </w:rPr>
        <w:t>Background and p</w:t>
      </w:r>
      <w:r w:rsidR="00B8574D" w:rsidRPr="00F81ADB">
        <w:rPr>
          <w:rFonts w:cstheme="minorHAnsi"/>
        </w:rPr>
        <w:t>urpose</w:t>
      </w:r>
      <w:r w:rsidRPr="00F81ADB">
        <w:rPr>
          <w:rFonts w:cstheme="minorHAnsi"/>
        </w:rPr>
        <w:t xml:space="preserve"> </w:t>
      </w:r>
      <w:r w:rsidR="001C0DFD" w:rsidRPr="00F81ADB">
        <w:rPr>
          <w:rFonts w:cstheme="minorHAnsi"/>
        </w:rPr>
        <w:t>of the global research</w:t>
      </w:r>
      <w:bookmarkEnd w:id="104"/>
      <w:bookmarkEnd w:id="105"/>
      <w:bookmarkEnd w:id="106"/>
    </w:p>
    <w:p w14:paraId="6FB1BA95" w14:textId="71711F01" w:rsidR="00924935" w:rsidRPr="002E5993" w:rsidRDefault="00924935" w:rsidP="004332C7">
      <w:pPr>
        <w:pStyle w:val="BodyText"/>
        <w:jc w:val="both"/>
        <w:rPr>
          <w:rFonts w:asciiTheme="minorHAnsi" w:hAnsiTheme="minorHAnsi" w:cstheme="minorHAnsi"/>
        </w:rPr>
      </w:pPr>
      <w:r w:rsidRPr="002E5993">
        <w:rPr>
          <w:rFonts w:asciiTheme="minorHAnsi" w:hAnsiTheme="minorHAnsi" w:cstheme="minorHAnsi"/>
        </w:rPr>
        <w:t xml:space="preserve">In 2021, building operations accounted for 30 per cent of global </w:t>
      </w:r>
      <w:r w:rsidR="001D281D" w:rsidRPr="002E5993">
        <w:rPr>
          <w:rFonts w:asciiTheme="minorHAnsi" w:hAnsiTheme="minorHAnsi" w:cstheme="minorHAnsi"/>
        </w:rPr>
        <w:t xml:space="preserve">end-use </w:t>
      </w:r>
      <w:r w:rsidRPr="002E5993">
        <w:rPr>
          <w:rFonts w:asciiTheme="minorHAnsi" w:hAnsiTheme="minorHAnsi" w:cstheme="minorHAnsi"/>
        </w:rPr>
        <w:t>energy consumption and 27 per cent of total energy sector emissions</w:t>
      </w:r>
      <w:r w:rsidR="00723239">
        <w:rPr>
          <w:rFonts w:ascii="ZWAdobeF" w:hAnsi="ZWAdobeF" w:cs="ZWAdobeF"/>
          <w:color w:val="auto"/>
          <w:sz w:val="2"/>
          <w:szCs w:val="2"/>
        </w:rPr>
        <w:t>26F</w:t>
      </w:r>
      <w:r w:rsidR="00EE36E3">
        <w:rPr>
          <w:rFonts w:ascii="ZWAdobeF" w:hAnsi="ZWAdobeF" w:cs="ZWAdobeF"/>
          <w:color w:val="auto"/>
          <w:sz w:val="2"/>
          <w:szCs w:val="2"/>
        </w:rPr>
        <w:t>26F</w:t>
      </w:r>
      <w:r w:rsidR="00E94853">
        <w:rPr>
          <w:rFonts w:ascii="ZWAdobeF" w:hAnsi="ZWAdobeF" w:cs="ZWAdobeF"/>
          <w:color w:val="auto"/>
          <w:sz w:val="2"/>
          <w:szCs w:val="2"/>
        </w:rPr>
        <w:t>26F</w:t>
      </w:r>
      <w:r w:rsidR="00F73A23">
        <w:rPr>
          <w:rFonts w:ascii="ZWAdobeF" w:hAnsi="ZWAdobeF" w:cs="ZWAdobeF"/>
          <w:color w:val="auto"/>
          <w:sz w:val="2"/>
          <w:szCs w:val="2"/>
        </w:rPr>
        <w:t>26F</w:t>
      </w:r>
      <w:bookmarkStart w:id="107" w:name="_Ref132606251"/>
      <w:r w:rsidR="00626378">
        <w:rPr>
          <w:rFonts w:ascii="ZWAdobeF" w:hAnsi="ZWAdobeF" w:cs="ZWAdobeF"/>
          <w:color w:val="auto"/>
          <w:sz w:val="2"/>
          <w:szCs w:val="2"/>
        </w:rPr>
        <w:t>26F</w:t>
      </w:r>
      <w:r w:rsidR="00413811">
        <w:rPr>
          <w:rFonts w:ascii="ZWAdobeF" w:hAnsi="ZWAdobeF" w:cs="ZWAdobeF"/>
          <w:color w:val="auto"/>
          <w:sz w:val="2"/>
          <w:szCs w:val="2"/>
        </w:rPr>
        <w:t>26F</w:t>
      </w:r>
      <w:r w:rsidR="002C327C">
        <w:rPr>
          <w:rFonts w:ascii="ZWAdobeF" w:hAnsi="ZWAdobeF" w:cs="ZWAdobeF"/>
          <w:color w:val="auto"/>
          <w:sz w:val="2"/>
          <w:szCs w:val="2"/>
        </w:rPr>
        <w:t>26F</w:t>
      </w:r>
      <w:r w:rsidR="00D24A06">
        <w:rPr>
          <w:rFonts w:ascii="ZWAdobeF" w:hAnsi="ZWAdobeF" w:cs="ZWAdobeF"/>
          <w:color w:val="auto"/>
          <w:sz w:val="2"/>
          <w:szCs w:val="2"/>
        </w:rPr>
        <w:t>26F</w:t>
      </w:r>
      <w:r w:rsidRPr="002E5993">
        <w:rPr>
          <w:rStyle w:val="FootnoteReference"/>
          <w:rFonts w:asciiTheme="minorHAnsi" w:hAnsiTheme="minorHAnsi" w:cstheme="minorHAnsi"/>
        </w:rPr>
        <w:footnoteReference w:id="28"/>
      </w:r>
      <w:bookmarkEnd w:id="107"/>
      <w:r w:rsidR="00406DBD" w:rsidRPr="002E5993">
        <w:rPr>
          <w:rFonts w:asciiTheme="minorHAnsi" w:hAnsiTheme="minorHAnsi" w:cstheme="minorHAnsi"/>
        </w:rPr>
        <w:t xml:space="preserve"> with a</w:t>
      </w:r>
      <w:r w:rsidRPr="002E5993">
        <w:rPr>
          <w:rFonts w:asciiTheme="minorHAnsi" w:hAnsiTheme="minorHAnsi" w:cstheme="minorHAnsi"/>
        </w:rPr>
        <w:t xml:space="preserve">n additional six per cent of emissions </w:t>
      </w:r>
      <w:r w:rsidR="00406DBD" w:rsidRPr="002E5993">
        <w:rPr>
          <w:rFonts w:asciiTheme="minorHAnsi" w:hAnsiTheme="minorHAnsi" w:cstheme="minorHAnsi"/>
        </w:rPr>
        <w:t>used</w:t>
      </w:r>
      <w:r w:rsidRPr="002E5993">
        <w:rPr>
          <w:rFonts w:asciiTheme="minorHAnsi" w:hAnsiTheme="minorHAnsi" w:cstheme="minorHAnsi"/>
        </w:rPr>
        <w:t xml:space="preserve"> to manufacture cement, steel and aluminium used for buildings construction. The buildings sector therefore accounts for around a third of global energy consumption and emissions (directly and indirectly)</w:t>
      </w:r>
      <w:r w:rsidR="00723239">
        <w:rPr>
          <w:rFonts w:ascii="ZWAdobeF" w:hAnsi="ZWAdobeF" w:cs="ZWAdobeF"/>
          <w:color w:val="auto"/>
          <w:sz w:val="2"/>
          <w:szCs w:val="2"/>
        </w:rPr>
        <w:t>27F</w:t>
      </w:r>
      <w:r w:rsidR="00EE36E3">
        <w:rPr>
          <w:rFonts w:ascii="ZWAdobeF" w:hAnsi="ZWAdobeF" w:cs="ZWAdobeF"/>
          <w:color w:val="auto"/>
          <w:sz w:val="2"/>
          <w:szCs w:val="2"/>
        </w:rPr>
        <w:t>27F</w:t>
      </w:r>
      <w:r w:rsidR="00E94853">
        <w:rPr>
          <w:rFonts w:ascii="ZWAdobeF" w:hAnsi="ZWAdobeF" w:cs="ZWAdobeF"/>
          <w:color w:val="auto"/>
          <w:sz w:val="2"/>
          <w:szCs w:val="2"/>
        </w:rPr>
        <w:t>27F</w:t>
      </w:r>
      <w:r w:rsidR="00F73A23">
        <w:rPr>
          <w:rFonts w:ascii="ZWAdobeF" w:hAnsi="ZWAdobeF" w:cs="ZWAdobeF"/>
          <w:color w:val="auto"/>
          <w:sz w:val="2"/>
          <w:szCs w:val="2"/>
        </w:rPr>
        <w:t>27F</w:t>
      </w:r>
      <w:r w:rsidR="00626378">
        <w:rPr>
          <w:rFonts w:ascii="ZWAdobeF" w:hAnsi="ZWAdobeF" w:cs="ZWAdobeF"/>
          <w:color w:val="auto"/>
          <w:sz w:val="2"/>
          <w:szCs w:val="2"/>
        </w:rPr>
        <w:t>27F</w:t>
      </w:r>
      <w:r w:rsidR="00413811">
        <w:rPr>
          <w:rFonts w:ascii="ZWAdobeF" w:hAnsi="ZWAdobeF" w:cs="ZWAdobeF"/>
          <w:color w:val="auto"/>
          <w:sz w:val="2"/>
          <w:szCs w:val="2"/>
        </w:rPr>
        <w:t>27F</w:t>
      </w:r>
      <w:r w:rsidR="002C327C">
        <w:rPr>
          <w:rFonts w:ascii="ZWAdobeF" w:hAnsi="ZWAdobeF" w:cs="ZWAdobeF"/>
          <w:color w:val="auto"/>
          <w:sz w:val="2"/>
          <w:szCs w:val="2"/>
        </w:rPr>
        <w:t>27F</w:t>
      </w:r>
      <w:r w:rsidR="00D24A06">
        <w:rPr>
          <w:rFonts w:ascii="ZWAdobeF" w:hAnsi="ZWAdobeF" w:cs="ZWAdobeF"/>
          <w:color w:val="auto"/>
          <w:sz w:val="2"/>
          <w:szCs w:val="2"/>
        </w:rPr>
        <w:t>27F</w:t>
      </w:r>
      <w:r w:rsidRPr="002E5993">
        <w:rPr>
          <w:rStyle w:val="FootnoteReference"/>
          <w:rFonts w:asciiTheme="minorHAnsi" w:hAnsiTheme="minorHAnsi" w:cstheme="minorHAnsi"/>
        </w:rPr>
        <w:footnoteReference w:id="29"/>
      </w:r>
      <w:r w:rsidRPr="002E5993">
        <w:rPr>
          <w:rFonts w:asciiTheme="minorHAnsi" w:hAnsiTheme="minorHAnsi" w:cstheme="minorHAnsi"/>
        </w:rPr>
        <w:t>. Around 40</w:t>
      </w:r>
      <w:r w:rsidR="00F3226D" w:rsidRPr="002E5993">
        <w:rPr>
          <w:rFonts w:asciiTheme="minorHAnsi" w:hAnsiTheme="minorHAnsi" w:cstheme="minorHAnsi"/>
        </w:rPr>
        <w:t xml:space="preserve"> </w:t>
      </w:r>
      <w:r w:rsidRPr="002E5993">
        <w:rPr>
          <w:rFonts w:asciiTheme="minorHAnsi" w:hAnsiTheme="minorHAnsi" w:cstheme="minorHAnsi"/>
        </w:rPr>
        <w:t>per cent of global building operational CO</w:t>
      </w:r>
      <w:r w:rsidRPr="002E5993">
        <w:rPr>
          <w:rFonts w:asciiTheme="minorHAnsi" w:hAnsiTheme="minorHAnsi" w:cstheme="minorHAnsi"/>
          <w:vertAlign w:val="subscript"/>
        </w:rPr>
        <w:t>2</w:t>
      </w:r>
      <w:r w:rsidRPr="002E5993">
        <w:rPr>
          <w:rFonts w:asciiTheme="minorHAnsi" w:hAnsiTheme="minorHAnsi" w:cstheme="minorHAnsi"/>
        </w:rPr>
        <w:t xml:space="preserve"> emissions is related to non-residential buildings.  </w:t>
      </w:r>
    </w:p>
    <w:p w14:paraId="21BDC234" w14:textId="1BBF503E" w:rsidR="00133B11" w:rsidRPr="002E5993" w:rsidRDefault="008E71E7" w:rsidP="004332C7">
      <w:pPr>
        <w:pStyle w:val="BodyText"/>
        <w:jc w:val="both"/>
        <w:rPr>
          <w:rFonts w:asciiTheme="minorHAnsi" w:hAnsiTheme="minorHAnsi" w:cstheme="minorHAnsi"/>
        </w:rPr>
      </w:pPr>
      <w:r w:rsidRPr="002E5993">
        <w:rPr>
          <w:rFonts w:asciiTheme="minorHAnsi" w:hAnsiTheme="minorHAnsi" w:cstheme="minorHAnsi"/>
        </w:rPr>
        <w:t xml:space="preserve">This section </w:t>
      </w:r>
      <w:r w:rsidR="00665BA9" w:rsidRPr="002E5993">
        <w:rPr>
          <w:rFonts w:asciiTheme="minorHAnsi" w:hAnsiTheme="minorHAnsi" w:cstheme="minorHAnsi"/>
        </w:rPr>
        <w:t xml:space="preserve">summarises trends in global energy regulation for commercial buildings. </w:t>
      </w:r>
      <w:r w:rsidR="00480B32" w:rsidRPr="002E5993">
        <w:rPr>
          <w:rFonts w:asciiTheme="minorHAnsi" w:hAnsiTheme="minorHAnsi" w:cstheme="minorHAnsi"/>
        </w:rPr>
        <w:t xml:space="preserve">The purpose of the international research is to ensure that recommendations </w:t>
      </w:r>
      <w:r w:rsidR="008712B4" w:rsidRPr="002E5993">
        <w:rPr>
          <w:rFonts w:asciiTheme="minorHAnsi" w:hAnsiTheme="minorHAnsi" w:cstheme="minorHAnsi"/>
        </w:rPr>
        <w:t xml:space="preserve">in the report </w:t>
      </w:r>
      <w:r w:rsidR="00104A1F" w:rsidRPr="002E5993">
        <w:rPr>
          <w:rFonts w:asciiTheme="minorHAnsi" w:hAnsiTheme="minorHAnsi" w:cstheme="minorHAnsi"/>
        </w:rPr>
        <w:t xml:space="preserve">consider </w:t>
      </w:r>
      <w:r w:rsidR="00480B32" w:rsidRPr="002E5993">
        <w:rPr>
          <w:rFonts w:asciiTheme="minorHAnsi" w:hAnsiTheme="minorHAnsi" w:cstheme="minorHAnsi"/>
        </w:rPr>
        <w:t>globally recognised best practice approach</w:t>
      </w:r>
      <w:r w:rsidR="00104A1F" w:rsidRPr="002E5993">
        <w:rPr>
          <w:rFonts w:asciiTheme="minorHAnsi" w:hAnsiTheme="minorHAnsi" w:cstheme="minorHAnsi"/>
        </w:rPr>
        <w:t>es</w:t>
      </w:r>
      <w:r w:rsidR="00480B32" w:rsidRPr="002E5993">
        <w:rPr>
          <w:rFonts w:asciiTheme="minorHAnsi" w:hAnsiTheme="minorHAnsi" w:cstheme="minorHAnsi"/>
        </w:rPr>
        <w:t xml:space="preserve"> to disclosure expansion</w:t>
      </w:r>
      <w:r w:rsidR="007448F4" w:rsidRPr="002E5993">
        <w:rPr>
          <w:rFonts w:asciiTheme="minorHAnsi" w:hAnsiTheme="minorHAnsi" w:cstheme="minorHAnsi"/>
        </w:rPr>
        <w:t xml:space="preserve"> and minimum energy performance standards</w:t>
      </w:r>
      <w:r w:rsidR="00480B32" w:rsidRPr="002E5993">
        <w:rPr>
          <w:rFonts w:asciiTheme="minorHAnsi" w:hAnsiTheme="minorHAnsi" w:cstheme="minorHAnsi"/>
        </w:rPr>
        <w:t>.</w:t>
      </w:r>
      <w:r w:rsidR="00665BA9" w:rsidRPr="002E5993">
        <w:rPr>
          <w:rFonts w:asciiTheme="minorHAnsi" w:hAnsiTheme="minorHAnsi" w:cstheme="minorHAnsi"/>
        </w:rPr>
        <w:t xml:space="preserve"> </w:t>
      </w:r>
      <w:r w:rsidR="00AD0534" w:rsidRPr="002E5993">
        <w:rPr>
          <w:rFonts w:asciiTheme="minorHAnsi" w:hAnsiTheme="minorHAnsi" w:cstheme="minorHAnsi"/>
        </w:rPr>
        <w:t xml:space="preserve">The focus </w:t>
      </w:r>
      <w:r w:rsidR="008429C9" w:rsidRPr="002E5993">
        <w:rPr>
          <w:rFonts w:asciiTheme="minorHAnsi" w:hAnsiTheme="minorHAnsi" w:cstheme="minorHAnsi"/>
        </w:rPr>
        <w:t xml:space="preserve">of the research was on </w:t>
      </w:r>
      <w:r w:rsidR="001959F9" w:rsidRPr="002E5993">
        <w:rPr>
          <w:rFonts w:asciiTheme="minorHAnsi" w:hAnsiTheme="minorHAnsi" w:cstheme="minorHAnsi"/>
        </w:rPr>
        <w:t xml:space="preserve">mechanisms for </w:t>
      </w:r>
      <w:r w:rsidR="005466B7" w:rsidRPr="002E5993">
        <w:rPr>
          <w:rFonts w:asciiTheme="minorHAnsi" w:hAnsiTheme="minorHAnsi" w:cstheme="minorHAnsi"/>
        </w:rPr>
        <w:t xml:space="preserve">commercial building </w:t>
      </w:r>
      <w:r w:rsidR="00A11418" w:rsidRPr="002E5993">
        <w:rPr>
          <w:rFonts w:asciiTheme="minorHAnsi" w:hAnsiTheme="minorHAnsi" w:cstheme="minorHAnsi"/>
        </w:rPr>
        <w:t>disclosure</w:t>
      </w:r>
      <w:r w:rsidR="00A11418" w:rsidRPr="002E5993">
        <w:rPr>
          <w:rFonts w:asciiTheme="minorHAnsi" w:hAnsiTheme="minorHAnsi" w:cstheme="minorHAnsi"/>
          <w:b/>
        </w:rPr>
        <w:t xml:space="preserve"> </w:t>
      </w:r>
      <w:r w:rsidR="00D71D2E" w:rsidRPr="002E5993">
        <w:rPr>
          <w:rFonts w:asciiTheme="minorHAnsi" w:hAnsiTheme="minorHAnsi" w:cstheme="minorHAnsi"/>
          <w:b/>
        </w:rPr>
        <w:t xml:space="preserve">(CBD) </w:t>
      </w:r>
      <w:r w:rsidR="00A11418" w:rsidRPr="002E5993">
        <w:rPr>
          <w:rFonts w:asciiTheme="minorHAnsi" w:hAnsiTheme="minorHAnsi" w:cstheme="minorHAnsi"/>
        </w:rPr>
        <w:t xml:space="preserve">of </w:t>
      </w:r>
      <w:r w:rsidR="001959F9" w:rsidRPr="002E5993">
        <w:rPr>
          <w:rFonts w:asciiTheme="minorHAnsi" w:hAnsiTheme="minorHAnsi" w:cstheme="minorHAnsi"/>
        </w:rPr>
        <w:t xml:space="preserve">building </w:t>
      </w:r>
      <w:r w:rsidR="00A11418" w:rsidRPr="002E5993">
        <w:rPr>
          <w:rFonts w:asciiTheme="minorHAnsi" w:hAnsiTheme="minorHAnsi" w:cstheme="minorHAnsi"/>
        </w:rPr>
        <w:t>energy ratings</w:t>
      </w:r>
      <w:r w:rsidR="00D75EB6" w:rsidRPr="002E5993">
        <w:rPr>
          <w:rFonts w:asciiTheme="minorHAnsi" w:hAnsiTheme="minorHAnsi" w:cstheme="minorHAnsi"/>
        </w:rPr>
        <w:t xml:space="preserve"> </w:t>
      </w:r>
      <w:r w:rsidR="00B34F34" w:rsidRPr="002E5993">
        <w:rPr>
          <w:rFonts w:asciiTheme="minorHAnsi" w:hAnsiTheme="minorHAnsi" w:cstheme="minorHAnsi"/>
        </w:rPr>
        <w:t>and minimum energy performance standards</w:t>
      </w:r>
      <w:r w:rsidR="00B34F34" w:rsidRPr="002E5993">
        <w:rPr>
          <w:rFonts w:asciiTheme="minorHAnsi" w:hAnsiTheme="minorHAnsi" w:cstheme="minorHAnsi"/>
          <w:b/>
        </w:rPr>
        <w:t xml:space="preserve"> (</w:t>
      </w:r>
      <w:proofErr w:type="spellStart"/>
      <w:r w:rsidR="00B34F34" w:rsidRPr="002E5993">
        <w:rPr>
          <w:rFonts w:asciiTheme="minorHAnsi" w:hAnsiTheme="minorHAnsi" w:cstheme="minorHAnsi"/>
          <w:b/>
        </w:rPr>
        <w:t>MEPS</w:t>
      </w:r>
      <w:proofErr w:type="spellEnd"/>
      <w:r w:rsidR="00B34F34" w:rsidRPr="002E5993">
        <w:rPr>
          <w:rFonts w:asciiTheme="minorHAnsi" w:hAnsiTheme="minorHAnsi" w:cstheme="minorHAnsi"/>
          <w:b/>
        </w:rPr>
        <w:t>)</w:t>
      </w:r>
      <w:r w:rsidR="00B34F34" w:rsidRPr="002E5993">
        <w:rPr>
          <w:rFonts w:asciiTheme="minorHAnsi" w:hAnsiTheme="minorHAnsi" w:cstheme="minorHAnsi"/>
        </w:rPr>
        <w:t xml:space="preserve"> </w:t>
      </w:r>
      <w:r w:rsidR="00D75EB6" w:rsidRPr="002E5993">
        <w:rPr>
          <w:rFonts w:asciiTheme="minorHAnsi" w:hAnsiTheme="minorHAnsi" w:cstheme="minorHAnsi"/>
        </w:rPr>
        <w:t>for commercial buildings</w:t>
      </w:r>
      <w:r w:rsidR="00B34F34" w:rsidRPr="002E5993">
        <w:rPr>
          <w:rFonts w:asciiTheme="minorHAnsi" w:hAnsiTheme="minorHAnsi" w:cstheme="minorHAnsi"/>
        </w:rPr>
        <w:t xml:space="preserve">. </w:t>
      </w:r>
      <w:r w:rsidR="00F152EC" w:rsidRPr="002E5993">
        <w:rPr>
          <w:rFonts w:asciiTheme="minorHAnsi" w:hAnsiTheme="minorHAnsi" w:cstheme="minorHAnsi"/>
        </w:rPr>
        <w:t>Our research includ</w:t>
      </w:r>
      <w:r w:rsidR="00035AE5" w:rsidRPr="002E5993">
        <w:rPr>
          <w:rFonts w:asciiTheme="minorHAnsi" w:hAnsiTheme="minorHAnsi" w:cstheme="minorHAnsi"/>
        </w:rPr>
        <w:t>ed both</w:t>
      </w:r>
      <w:r w:rsidR="00F152EC" w:rsidRPr="002E5993">
        <w:rPr>
          <w:rFonts w:asciiTheme="minorHAnsi" w:hAnsiTheme="minorHAnsi" w:cstheme="minorHAnsi"/>
        </w:rPr>
        <w:t xml:space="preserve"> existing and planned</w:t>
      </w:r>
      <w:r w:rsidR="00D75EB6" w:rsidRPr="002E5993">
        <w:rPr>
          <w:rFonts w:asciiTheme="minorHAnsi" w:hAnsiTheme="minorHAnsi" w:cstheme="minorHAnsi"/>
        </w:rPr>
        <w:t xml:space="preserve"> </w:t>
      </w:r>
      <w:r w:rsidR="00887331" w:rsidRPr="002E5993">
        <w:rPr>
          <w:rFonts w:asciiTheme="minorHAnsi" w:hAnsiTheme="minorHAnsi" w:cstheme="minorHAnsi"/>
        </w:rPr>
        <w:t xml:space="preserve">disclosure programs and </w:t>
      </w:r>
      <w:proofErr w:type="spellStart"/>
      <w:r w:rsidR="00887331" w:rsidRPr="002E5993">
        <w:rPr>
          <w:rFonts w:asciiTheme="minorHAnsi" w:hAnsiTheme="minorHAnsi" w:cstheme="minorHAnsi"/>
        </w:rPr>
        <w:t>MEPS</w:t>
      </w:r>
      <w:proofErr w:type="spellEnd"/>
      <w:r w:rsidR="00887331" w:rsidRPr="002E5993">
        <w:rPr>
          <w:rFonts w:asciiTheme="minorHAnsi" w:hAnsiTheme="minorHAnsi" w:cstheme="minorHAnsi"/>
        </w:rPr>
        <w:t xml:space="preserve">. </w:t>
      </w:r>
      <w:r w:rsidR="00AA557F" w:rsidRPr="002E5993">
        <w:rPr>
          <w:rFonts w:asciiTheme="minorHAnsi" w:hAnsiTheme="minorHAnsi" w:cstheme="minorHAnsi"/>
        </w:rPr>
        <w:t xml:space="preserve">Where possible we have highlighted the impact </w:t>
      </w:r>
      <w:r w:rsidR="00BB4FD5" w:rsidRPr="002E5993">
        <w:rPr>
          <w:rFonts w:asciiTheme="minorHAnsi" w:hAnsiTheme="minorHAnsi" w:cstheme="minorHAnsi"/>
        </w:rPr>
        <w:t xml:space="preserve">(actual </w:t>
      </w:r>
      <w:r w:rsidR="008B2BD1" w:rsidRPr="002E5993">
        <w:rPr>
          <w:rFonts w:asciiTheme="minorHAnsi" w:hAnsiTheme="minorHAnsi" w:cstheme="minorHAnsi"/>
        </w:rPr>
        <w:t xml:space="preserve">or </w:t>
      </w:r>
      <w:r w:rsidR="00406DBD" w:rsidRPr="002E5993">
        <w:rPr>
          <w:rFonts w:asciiTheme="minorHAnsi" w:hAnsiTheme="minorHAnsi" w:cstheme="minorHAnsi"/>
        </w:rPr>
        <w:t>predicted</w:t>
      </w:r>
      <w:r w:rsidR="00BB4FD5" w:rsidRPr="002E5993">
        <w:rPr>
          <w:rFonts w:asciiTheme="minorHAnsi" w:hAnsiTheme="minorHAnsi" w:cstheme="minorHAnsi"/>
        </w:rPr>
        <w:t>)</w:t>
      </w:r>
      <w:r w:rsidR="008B2BD1" w:rsidRPr="002E5993">
        <w:rPr>
          <w:rFonts w:asciiTheme="minorHAnsi" w:hAnsiTheme="minorHAnsi" w:cstheme="minorHAnsi"/>
        </w:rPr>
        <w:t xml:space="preserve"> </w:t>
      </w:r>
      <w:r w:rsidR="00AA557F" w:rsidRPr="002E5993">
        <w:rPr>
          <w:rFonts w:asciiTheme="minorHAnsi" w:hAnsiTheme="minorHAnsi" w:cstheme="minorHAnsi"/>
        </w:rPr>
        <w:t xml:space="preserve">of these </w:t>
      </w:r>
      <w:r w:rsidR="001C6C64" w:rsidRPr="002E5993">
        <w:rPr>
          <w:rFonts w:asciiTheme="minorHAnsi" w:hAnsiTheme="minorHAnsi" w:cstheme="minorHAnsi"/>
        </w:rPr>
        <w:t xml:space="preserve">programs and </w:t>
      </w:r>
      <w:proofErr w:type="spellStart"/>
      <w:r w:rsidR="001C6C64" w:rsidRPr="002E5993">
        <w:rPr>
          <w:rFonts w:asciiTheme="minorHAnsi" w:hAnsiTheme="minorHAnsi" w:cstheme="minorHAnsi"/>
        </w:rPr>
        <w:t>MEPS</w:t>
      </w:r>
      <w:proofErr w:type="spellEnd"/>
      <w:r w:rsidR="008B2BD1" w:rsidRPr="002E5993">
        <w:rPr>
          <w:rFonts w:asciiTheme="minorHAnsi" w:hAnsiTheme="minorHAnsi" w:cstheme="minorHAnsi"/>
        </w:rPr>
        <w:t xml:space="preserve">. </w:t>
      </w:r>
      <w:r w:rsidR="00983510" w:rsidRPr="002E5993">
        <w:rPr>
          <w:rFonts w:asciiTheme="minorHAnsi" w:hAnsiTheme="minorHAnsi" w:cstheme="minorHAnsi"/>
        </w:rPr>
        <w:t xml:space="preserve">Our focus was regulation of the </w:t>
      </w:r>
      <w:r w:rsidR="00E116F4" w:rsidRPr="002E5993">
        <w:rPr>
          <w:rFonts w:asciiTheme="minorHAnsi" w:hAnsiTheme="minorHAnsi" w:cstheme="minorHAnsi"/>
        </w:rPr>
        <w:t>current building stock</w:t>
      </w:r>
      <w:r w:rsidR="00983510" w:rsidRPr="002E5993">
        <w:rPr>
          <w:rFonts w:asciiTheme="minorHAnsi" w:hAnsiTheme="minorHAnsi" w:cstheme="minorHAnsi"/>
        </w:rPr>
        <w:t xml:space="preserve">, though we also </w:t>
      </w:r>
      <w:r w:rsidR="000E36F7" w:rsidRPr="002E5993">
        <w:rPr>
          <w:rFonts w:asciiTheme="minorHAnsi" w:hAnsiTheme="minorHAnsi" w:cstheme="minorHAnsi"/>
        </w:rPr>
        <w:t xml:space="preserve">explored the </w:t>
      </w:r>
      <w:r w:rsidR="001500D4" w:rsidRPr="002E5993">
        <w:rPr>
          <w:rFonts w:asciiTheme="minorHAnsi" w:hAnsiTheme="minorHAnsi" w:cstheme="minorHAnsi"/>
        </w:rPr>
        <w:t>policy context</w:t>
      </w:r>
      <w:r w:rsidR="002F2BB7" w:rsidRPr="002E5993">
        <w:rPr>
          <w:rFonts w:asciiTheme="minorHAnsi" w:hAnsiTheme="minorHAnsi" w:cstheme="minorHAnsi"/>
        </w:rPr>
        <w:t xml:space="preserve"> within which this regulation exists, including incentives, procurement</w:t>
      </w:r>
      <w:r w:rsidR="00E80FD9" w:rsidRPr="002E5993">
        <w:rPr>
          <w:rFonts w:asciiTheme="minorHAnsi" w:hAnsiTheme="minorHAnsi" w:cstheme="minorHAnsi"/>
        </w:rPr>
        <w:t xml:space="preserve"> and </w:t>
      </w:r>
      <w:r w:rsidR="002F2BB7" w:rsidRPr="002E5993">
        <w:rPr>
          <w:rFonts w:asciiTheme="minorHAnsi" w:hAnsiTheme="minorHAnsi" w:cstheme="minorHAnsi"/>
        </w:rPr>
        <w:t xml:space="preserve">construction codes governing </w:t>
      </w:r>
      <w:r w:rsidR="00E116F4" w:rsidRPr="002E5993">
        <w:rPr>
          <w:rFonts w:asciiTheme="minorHAnsi" w:hAnsiTheme="minorHAnsi" w:cstheme="minorHAnsi"/>
        </w:rPr>
        <w:t>new buildings</w:t>
      </w:r>
      <w:r w:rsidR="00264006" w:rsidRPr="002E5993">
        <w:rPr>
          <w:rFonts w:asciiTheme="minorHAnsi" w:hAnsiTheme="minorHAnsi" w:cstheme="minorHAnsi"/>
        </w:rPr>
        <w:t xml:space="preserve"> which </w:t>
      </w:r>
      <w:r w:rsidR="001E21DF" w:rsidRPr="002E5993">
        <w:rPr>
          <w:rFonts w:asciiTheme="minorHAnsi" w:hAnsiTheme="minorHAnsi" w:cstheme="minorHAnsi"/>
        </w:rPr>
        <w:t>affect</w:t>
      </w:r>
      <w:r w:rsidR="0029651E" w:rsidRPr="002E5993">
        <w:rPr>
          <w:rFonts w:asciiTheme="minorHAnsi" w:hAnsiTheme="minorHAnsi" w:cstheme="minorHAnsi"/>
        </w:rPr>
        <w:t xml:space="preserve"> and complement </w:t>
      </w:r>
      <w:r w:rsidR="007C7188" w:rsidRPr="002E5993">
        <w:rPr>
          <w:rFonts w:asciiTheme="minorHAnsi" w:hAnsiTheme="minorHAnsi" w:cstheme="minorHAnsi"/>
        </w:rPr>
        <w:t>building regulation</w:t>
      </w:r>
      <w:r w:rsidR="00E116F4" w:rsidRPr="002E5993">
        <w:rPr>
          <w:rFonts w:asciiTheme="minorHAnsi" w:hAnsiTheme="minorHAnsi" w:cstheme="minorHAnsi"/>
        </w:rPr>
        <w:t xml:space="preserve">. </w:t>
      </w:r>
      <w:r w:rsidR="00E80FD9" w:rsidRPr="002E5993">
        <w:rPr>
          <w:rFonts w:asciiTheme="minorHAnsi" w:hAnsiTheme="minorHAnsi" w:cstheme="minorHAnsi"/>
        </w:rPr>
        <w:t xml:space="preserve">The focus was on </w:t>
      </w:r>
      <w:r w:rsidR="005466B7" w:rsidRPr="002E5993">
        <w:rPr>
          <w:rFonts w:asciiTheme="minorHAnsi" w:hAnsiTheme="minorHAnsi" w:cstheme="minorHAnsi"/>
        </w:rPr>
        <w:t xml:space="preserve">CBD and </w:t>
      </w:r>
      <w:proofErr w:type="spellStart"/>
      <w:r w:rsidR="00E80FD9" w:rsidRPr="002E5993">
        <w:rPr>
          <w:rFonts w:asciiTheme="minorHAnsi" w:hAnsiTheme="minorHAnsi" w:cstheme="minorHAnsi"/>
        </w:rPr>
        <w:t>MEPS</w:t>
      </w:r>
      <w:proofErr w:type="spellEnd"/>
      <w:r w:rsidR="00402B86" w:rsidRPr="002E5993">
        <w:rPr>
          <w:rFonts w:asciiTheme="minorHAnsi" w:hAnsiTheme="minorHAnsi" w:cstheme="minorHAnsi"/>
        </w:rPr>
        <w:t xml:space="preserve"> </w:t>
      </w:r>
      <w:r w:rsidR="00B72A59" w:rsidRPr="002E5993">
        <w:rPr>
          <w:rFonts w:asciiTheme="minorHAnsi" w:hAnsiTheme="minorHAnsi" w:cstheme="minorHAnsi"/>
        </w:rPr>
        <w:t xml:space="preserve">because </w:t>
      </w:r>
      <w:proofErr w:type="gramStart"/>
      <w:r w:rsidR="00B72A59" w:rsidRPr="002E5993">
        <w:rPr>
          <w:rFonts w:asciiTheme="minorHAnsi" w:hAnsiTheme="minorHAnsi" w:cstheme="minorHAnsi"/>
        </w:rPr>
        <w:t>the majority of</w:t>
      </w:r>
      <w:proofErr w:type="gramEnd"/>
      <w:r w:rsidR="00B72A59" w:rsidRPr="002E5993">
        <w:rPr>
          <w:rFonts w:asciiTheme="minorHAnsi" w:hAnsiTheme="minorHAnsi" w:cstheme="minorHAnsi"/>
        </w:rPr>
        <w:t xml:space="preserve"> buildings that exist today will still exist in </w:t>
      </w:r>
      <w:r w:rsidR="0036443A" w:rsidRPr="002E5993">
        <w:rPr>
          <w:rFonts w:asciiTheme="minorHAnsi" w:hAnsiTheme="minorHAnsi" w:cstheme="minorHAnsi"/>
        </w:rPr>
        <w:t>2050</w:t>
      </w:r>
      <w:r w:rsidR="00695823" w:rsidRPr="002E5993">
        <w:rPr>
          <w:rFonts w:asciiTheme="minorHAnsi" w:hAnsiTheme="minorHAnsi" w:cstheme="minorHAnsi"/>
        </w:rPr>
        <w:t>.</w:t>
      </w:r>
      <w:r w:rsidR="00723239">
        <w:rPr>
          <w:rFonts w:ascii="ZWAdobeF" w:hAnsi="ZWAdobeF" w:cs="ZWAdobeF"/>
          <w:color w:val="auto"/>
          <w:sz w:val="2"/>
          <w:szCs w:val="2"/>
        </w:rPr>
        <w:t>28F</w:t>
      </w:r>
      <w:r w:rsidR="00EE36E3">
        <w:rPr>
          <w:rFonts w:ascii="ZWAdobeF" w:hAnsi="ZWAdobeF" w:cs="ZWAdobeF"/>
          <w:color w:val="auto"/>
          <w:sz w:val="2"/>
          <w:szCs w:val="2"/>
        </w:rPr>
        <w:t>28F</w:t>
      </w:r>
      <w:r w:rsidR="00E94853">
        <w:rPr>
          <w:rFonts w:ascii="ZWAdobeF" w:hAnsi="ZWAdobeF" w:cs="ZWAdobeF"/>
          <w:color w:val="auto"/>
          <w:sz w:val="2"/>
          <w:szCs w:val="2"/>
        </w:rPr>
        <w:t>28F</w:t>
      </w:r>
      <w:r w:rsidR="00F73A23">
        <w:rPr>
          <w:rFonts w:ascii="ZWAdobeF" w:hAnsi="ZWAdobeF" w:cs="ZWAdobeF"/>
          <w:color w:val="auto"/>
          <w:sz w:val="2"/>
          <w:szCs w:val="2"/>
        </w:rPr>
        <w:t>28F</w:t>
      </w:r>
      <w:r w:rsidR="00626378">
        <w:rPr>
          <w:rFonts w:ascii="ZWAdobeF" w:hAnsi="ZWAdobeF" w:cs="ZWAdobeF"/>
          <w:color w:val="auto"/>
          <w:sz w:val="2"/>
          <w:szCs w:val="2"/>
        </w:rPr>
        <w:t>28F</w:t>
      </w:r>
      <w:r w:rsidR="00413811">
        <w:rPr>
          <w:rFonts w:ascii="ZWAdobeF" w:hAnsi="ZWAdobeF" w:cs="ZWAdobeF"/>
          <w:color w:val="auto"/>
          <w:sz w:val="2"/>
          <w:szCs w:val="2"/>
        </w:rPr>
        <w:t>28F</w:t>
      </w:r>
      <w:r w:rsidR="002C327C">
        <w:rPr>
          <w:rFonts w:ascii="ZWAdobeF" w:hAnsi="ZWAdobeF" w:cs="ZWAdobeF"/>
          <w:color w:val="auto"/>
          <w:sz w:val="2"/>
          <w:szCs w:val="2"/>
        </w:rPr>
        <w:t>28F</w:t>
      </w:r>
      <w:r w:rsidR="00D24A06">
        <w:rPr>
          <w:rFonts w:ascii="ZWAdobeF" w:hAnsi="ZWAdobeF" w:cs="ZWAdobeF"/>
          <w:color w:val="auto"/>
          <w:sz w:val="2"/>
          <w:szCs w:val="2"/>
        </w:rPr>
        <w:t>28F</w:t>
      </w:r>
      <w:r w:rsidR="0036443A" w:rsidRPr="002E5993">
        <w:rPr>
          <w:rStyle w:val="FootnoteReference"/>
          <w:rFonts w:asciiTheme="minorHAnsi" w:hAnsiTheme="minorHAnsi" w:cstheme="minorHAnsi"/>
        </w:rPr>
        <w:footnoteReference w:id="30"/>
      </w:r>
      <w:r w:rsidR="0036443A" w:rsidRPr="002E5993">
        <w:rPr>
          <w:rFonts w:asciiTheme="minorHAnsi" w:hAnsiTheme="minorHAnsi" w:cstheme="minorHAnsi"/>
        </w:rPr>
        <w:t xml:space="preserve"> </w:t>
      </w:r>
      <w:r w:rsidR="00235753" w:rsidRPr="002E5993">
        <w:rPr>
          <w:rFonts w:asciiTheme="minorHAnsi" w:hAnsiTheme="minorHAnsi" w:cstheme="minorHAnsi"/>
        </w:rPr>
        <w:t xml:space="preserve">We also </w:t>
      </w:r>
      <w:r w:rsidR="00635876" w:rsidRPr="002E5993">
        <w:rPr>
          <w:rFonts w:asciiTheme="minorHAnsi" w:hAnsiTheme="minorHAnsi" w:cstheme="minorHAnsi"/>
        </w:rPr>
        <w:t xml:space="preserve">prioritised </w:t>
      </w:r>
      <w:r w:rsidR="00235753" w:rsidRPr="002E5993">
        <w:rPr>
          <w:rFonts w:asciiTheme="minorHAnsi" w:hAnsiTheme="minorHAnsi" w:cstheme="minorHAnsi"/>
        </w:rPr>
        <w:t>m</w:t>
      </w:r>
      <w:r w:rsidR="00690009" w:rsidRPr="002E5993">
        <w:rPr>
          <w:rFonts w:asciiTheme="minorHAnsi" w:hAnsiTheme="minorHAnsi" w:cstheme="minorHAnsi"/>
        </w:rPr>
        <w:t xml:space="preserve">andatory </w:t>
      </w:r>
      <w:r w:rsidR="00682EEF" w:rsidRPr="002E5993">
        <w:rPr>
          <w:rFonts w:asciiTheme="minorHAnsi" w:hAnsiTheme="minorHAnsi" w:cstheme="minorHAnsi"/>
        </w:rPr>
        <w:t xml:space="preserve">disclosure </w:t>
      </w:r>
      <w:r w:rsidR="00097F42" w:rsidRPr="002E5993">
        <w:rPr>
          <w:rFonts w:asciiTheme="minorHAnsi" w:hAnsiTheme="minorHAnsi" w:cstheme="minorHAnsi"/>
        </w:rPr>
        <w:t>schemes</w:t>
      </w:r>
      <w:r w:rsidR="00235753" w:rsidRPr="002E5993">
        <w:rPr>
          <w:rFonts w:asciiTheme="minorHAnsi" w:hAnsiTheme="minorHAnsi" w:cstheme="minorHAnsi"/>
        </w:rPr>
        <w:t xml:space="preserve"> </w:t>
      </w:r>
      <w:r w:rsidR="00635876" w:rsidRPr="002E5993">
        <w:rPr>
          <w:rFonts w:asciiTheme="minorHAnsi" w:hAnsiTheme="minorHAnsi" w:cstheme="minorHAnsi"/>
        </w:rPr>
        <w:t>over</w:t>
      </w:r>
      <w:r w:rsidR="00235753" w:rsidRPr="002E5993">
        <w:rPr>
          <w:rFonts w:asciiTheme="minorHAnsi" w:hAnsiTheme="minorHAnsi" w:cstheme="minorHAnsi"/>
        </w:rPr>
        <w:t xml:space="preserve"> voluntary schemes</w:t>
      </w:r>
      <w:r w:rsidR="00635876" w:rsidRPr="002E5993">
        <w:rPr>
          <w:rFonts w:asciiTheme="minorHAnsi" w:hAnsiTheme="minorHAnsi" w:cstheme="minorHAnsi"/>
        </w:rPr>
        <w:t xml:space="preserve">, although these are still included in the research. </w:t>
      </w:r>
      <w:r w:rsidR="00235753" w:rsidRPr="002E5993">
        <w:rPr>
          <w:rFonts w:asciiTheme="minorHAnsi" w:hAnsiTheme="minorHAnsi" w:cstheme="minorHAnsi"/>
        </w:rPr>
        <w:t xml:space="preserve"> </w:t>
      </w:r>
    </w:p>
    <w:p w14:paraId="2B453C77" w14:textId="215E482C" w:rsidR="00387FE6" w:rsidRPr="002E5993" w:rsidRDefault="00E9463E" w:rsidP="004332C7">
      <w:pPr>
        <w:pStyle w:val="BodyText"/>
        <w:jc w:val="both"/>
        <w:rPr>
          <w:rFonts w:asciiTheme="minorHAnsi" w:hAnsiTheme="minorHAnsi" w:cstheme="minorHAnsi"/>
        </w:rPr>
      </w:pPr>
      <w:r w:rsidRPr="002E5993">
        <w:rPr>
          <w:rFonts w:asciiTheme="minorHAnsi" w:hAnsiTheme="minorHAnsi" w:cstheme="minorHAnsi"/>
        </w:rPr>
        <w:t xml:space="preserve">The research focused on </w:t>
      </w:r>
      <w:r w:rsidR="00BB4FD5" w:rsidRPr="002E5993">
        <w:rPr>
          <w:rFonts w:asciiTheme="minorHAnsi" w:hAnsiTheme="minorHAnsi" w:cstheme="minorHAnsi"/>
        </w:rPr>
        <w:t xml:space="preserve">the below </w:t>
      </w:r>
      <w:r w:rsidRPr="002E5993">
        <w:rPr>
          <w:rFonts w:asciiTheme="minorHAnsi" w:hAnsiTheme="minorHAnsi" w:cstheme="minorHAnsi"/>
        </w:rPr>
        <w:t>countries and regions</w:t>
      </w:r>
      <w:r w:rsidR="00BB4FD5" w:rsidRPr="002E5993">
        <w:rPr>
          <w:rFonts w:asciiTheme="minorHAnsi" w:hAnsiTheme="minorHAnsi" w:cstheme="minorHAnsi"/>
        </w:rPr>
        <w:t>.</w:t>
      </w:r>
      <w:r w:rsidRPr="002E5993">
        <w:rPr>
          <w:rFonts w:asciiTheme="minorHAnsi" w:hAnsiTheme="minorHAnsi" w:cstheme="minorHAnsi"/>
        </w:rPr>
        <w:t xml:space="preserve"> The reason these were chosen was because </w:t>
      </w:r>
      <w:r w:rsidR="00F72BFD" w:rsidRPr="002E5993">
        <w:rPr>
          <w:rFonts w:asciiTheme="minorHAnsi" w:hAnsiTheme="minorHAnsi" w:cstheme="minorHAnsi"/>
        </w:rPr>
        <w:t xml:space="preserve">the project team considered these </w:t>
      </w:r>
      <w:r w:rsidR="00F87E34" w:rsidRPr="002E5993">
        <w:rPr>
          <w:rFonts w:asciiTheme="minorHAnsi" w:hAnsiTheme="minorHAnsi" w:cstheme="minorHAnsi"/>
        </w:rPr>
        <w:t xml:space="preserve">countries and regions </w:t>
      </w:r>
      <w:r w:rsidR="00D032F5" w:rsidRPr="002E5993">
        <w:rPr>
          <w:rFonts w:asciiTheme="minorHAnsi" w:hAnsiTheme="minorHAnsi" w:cstheme="minorHAnsi"/>
        </w:rPr>
        <w:t xml:space="preserve">global leaders in building policy influencing </w:t>
      </w:r>
      <w:r w:rsidR="00F72BFD" w:rsidRPr="002E5993">
        <w:rPr>
          <w:rFonts w:asciiTheme="minorHAnsi" w:hAnsiTheme="minorHAnsi" w:cstheme="minorHAnsi"/>
        </w:rPr>
        <w:t xml:space="preserve">building </w:t>
      </w:r>
      <w:r w:rsidR="00BA46B2" w:rsidRPr="002E5993">
        <w:rPr>
          <w:rFonts w:asciiTheme="minorHAnsi" w:hAnsiTheme="minorHAnsi" w:cstheme="minorHAnsi"/>
        </w:rPr>
        <w:t>energy</w:t>
      </w:r>
      <w:r w:rsidR="00F87E34" w:rsidRPr="002E5993">
        <w:rPr>
          <w:rFonts w:asciiTheme="minorHAnsi" w:hAnsiTheme="minorHAnsi" w:cstheme="minorHAnsi"/>
        </w:rPr>
        <w:t xml:space="preserve"> </w:t>
      </w:r>
      <w:r w:rsidR="00F72BFD" w:rsidRPr="002E5993">
        <w:rPr>
          <w:rFonts w:asciiTheme="minorHAnsi" w:hAnsiTheme="minorHAnsi" w:cstheme="minorHAnsi"/>
        </w:rPr>
        <w:t xml:space="preserve">regulation, </w:t>
      </w:r>
      <w:r w:rsidR="00CE74CD" w:rsidRPr="002E5993">
        <w:rPr>
          <w:rFonts w:asciiTheme="minorHAnsi" w:hAnsiTheme="minorHAnsi" w:cstheme="minorHAnsi"/>
        </w:rPr>
        <w:t xml:space="preserve">and </w:t>
      </w:r>
      <w:r w:rsidR="006B1B46" w:rsidRPr="002E5993">
        <w:rPr>
          <w:rFonts w:asciiTheme="minorHAnsi" w:hAnsiTheme="minorHAnsi" w:cstheme="minorHAnsi"/>
        </w:rPr>
        <w:t xml:space="preserve">the </w:t>
      </w:r>
      <w:r w:rsidR="00E926CF" w:rsidRPr="002E5993">
        <w:rPr>
          <w:rFonts w:asciiTheme="minorHAnsi" w:hAnsiTheme="minorHAnsi" w:cstheme="minorHAnsi"/>
        </w:rPr>
        <w:t xml:space="preserve">regulatory environment is </w:t>
      </w:r>
      <w:proofErr w:type="gramStart"/>
      <w:r w:rsidR="00406DBD" w:rsidRPr="002E5993">
        <w:rPr>
          <w:rFonts w:asciiTheme="minorHAnsi" w:hAnsiTheme="minorHAnsi" w:cstheme="minorHAnsi"/>
        </w:rPr>
        <w:t>similar</w:t>
      </w:r>
      <w:r w:rsidR="00E926CF" w:rsidRPr="002E5993">
        <w:rPr>
          <w:rFonts w:asciiTheme="minorHAnsi" w:hAnsiTheme="minorHAnsi" w:cstheme="minorHAnsi"/>
        </w:rPr>
        <w:t xml:space="preserve"> </w:t>
      </w:r>
      <w:r w:rsidR="00406DBD" w:rsidRPr="002E5993">
        <w:rPr>
          <w:rFonts w:asciiTheme="minorHAnsi" w:hAnsiTheme="minorHAnsi" w:cstheme="minorHAnsi"/>
        </w:rPr>
        <w:t>to</w:t>
      </w:r>
      <w:proofErr w:type="gramEnd"/>
      <w:r w:rsidR="00E926CF" w:rsidRPr="002E5993">
        <w:rPr>
          <w:rFonts w:asciiTheme="minorHAnsi" w:hAnsiTheme="minorHAnsi" w:cstheme="minorHAnsi"/>
        </w:rPr>
        <w:t xml:space="preserve"> Australia</w:t>
      </w:r>
      <w:r w:rsidR="008F7B47" w:rsidRPr="002E5993">
        <w:rPr>
          <w:rFonts w:asciiTheme="minorHAnsi" w:hAnsiTheme="minorHAnsi" w:cstheme="minorHAnsi"/>
        </w:rPr>
        <w:t>’s</w:t>
      </w:r>
      <w:r w:rsidR="00CE74CD" w:rsidRPr="002E5993">
        <w:rPr>
          <w:rFonts w:asciiTheme="minorHAnsi" w:hAnsiTheme="minorHAnsi" w:cstheme="minorHAnsi"/>
        </w:rPr>
        <w:t xml:space="preserve">. </w:t>
      </w:r>
    </w:p>
    <w:p w14:paraId="6EB139E1" w14:textId="77777777" w:rsidR="003834E2" w:rsidRPr="002E5993" w:rsidRDefault="00BD282A" w:rsidP="00133B11">
      <w:pPr>
        <w:pStyle w:val="BodyText"/>
        <w:rPr>
          <w:rFonts w:asciiTheme="minorHAnsi" w:hAnsiTheme="minorHAnsi" w:cstheme="minorHAnsi"/>
          <w:i/>
        </w:rPr>
        <w:sectPr w:rsidR="003834E2" w:rsidRPr="002E5993" w:rsidSect="00A77C53">
          <w:pgSz w:w="11906" w:h="16838"/>
          <w:pgMar w:top="851" w:right="851" w:bottom="1418" w:left="851" w:header="567" w:footer="283" w:gutter="0"/>
          <w:cols w:space="708"/>
          <w:docGrid w:linePitch="360"/>
        </w:sectPr>
      </w:pPr>
      <w:r w:rsidRPr="002E5993">
        <w:rPr>
          <w:rFonts w:asciiTheme="minorHAnsi" w:hAnsiTheme="minorHAnsi" w:cstheme="minorHAnsi"/>
          <w:i/>
        </w:rPr>
        <w:t>Countries and regions focus</w:t>
      </w:r>
      <w:r w:rsidR="001D1BCF" w:rsidRPr="002E5993">
        <w:rPr>
          <w:rFonts w:asciiTheme="minorHAnsi" w:hAnsiTheme="minorHAnsi" w:cstheme="minorHAnsi"/>
          <w:i/>
        </w:rPr>
        <w:t>sed on</w:t>
      </w:r>
      <w:r w:rsidRPr="002E5993">
        <w:rPr>
          <w:rFonts w:asciiTheme="minorHAnsi" w:hAnsiTheme="minorHAnsi" w:cstheme="minorHAnsi"/>
          <w:i/>
        </w:rPr>
        <w:t xml:space="preserve"> in the global research:</w:t>
      </w:r>
      <w:r w:rsidR="00F441D9" w:rsidRPr="002E5993">
        <w:rPr>
          <w:rFonts w:asciiTheme="minorHAnsi" w:hAnsiTheme="minorHAnsi" w:cstheme="minorHAnsi"/>
          <w:i/>
        </w:rPr>
        <w:t xml:space="preserve"> </w:t>
      </w:r>
    </w:p>
    <w:p w14:paraId="3C57196B"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European Union (</w:t>
      </w:r>
      <w:r w:rsidRPr="002E5993">
        <w:rPr>
          <w:rFonts w:asciiTheme="minorHAnsi" w:hAnsiTheme="minorHAnsi" w:cstheme="minorHAnsi"/>
          <w:b/>
        </w:rPr>
        <w:t>EU</w:t>
      </w:r>
      <w:r w:rsidRPr="002E5993">
        <w:rPr>
          <w:rFonts w:asciiTheme="minorHAnsi" w:hAnsiTheme="minorHAnsi" w:cstheme="minorHAnsi"/>
        </w:rPr>
        <w:t>)</w:t>
      </w:r>
    </w:p>
    <w:p w14:paraId="7476E92C"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United Kingdom (</w:t>
      </w:r>
      <w:r w:rsidRPr="002E5993">
        <w:rPr>
          <w:rFonts w:asciiTheme="minorHAnsi" w:hAnsiTheme="minorHAnsi" w:cstheme="minorHAnsi"/>
          <w:b/>
        </w:rPr>
        <w:t>UK</w:t>
      </w:r>
      <w:r w:rsidRPr="002E5993">
        <w:rPr>
          <w:rFonts w:asciiTheme="minorHAnsi" w:hAnsiTheme="minorHAnsi" w:cstheme="minorHAnsi"/>
        </w:rPr>
        <w:t>)</w:t>
      </w:r>
    </w:p>
    <w:p w14:paraId="10DC2BE2"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Netherlands</w:t>
      </w:r>
    </w:p>
    <w:p w14:paraId="698C29FB"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France</w:t>
      </w:r>
    </w:p>
    <w:p w14:paraId="41337AD2"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Germany</w:t>
      </w:r>
    </w:p>
    <w:p w14:paraId="6EFB8EB2"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 xml:space="preserve">Sweden </w:t>
      </w:r>
    </w:p>
    <w:p w14:paraId="439E3CA6"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Norway</w:t>
      </w:r>
    </w:p>
    <w:p w14:paraId="28897B0E"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Denmark</w:t>
      </w:r>
    </w:p>
    <w:p w14:paraId="3D429E41"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Washington DC (US)</w:t>
      </w:r>
    </w:p>
    <w:p w14:paraId="3FBDF91B"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Washington State (US)</w:t>
      </w:r>
    </w:p>
    <w:p w14:paraId="760A644F"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New York State/city (US)</w:t>
      </w:r>
    </w:p>
    <w:p w14:paraId="07B7334C" w14:textId="77777777" w:rsidR="00F441D9" w:rsidRPr="002E5993" w:rsidRDefault="00F441D9" w:rsidP="00214D42">
      <w:pPr>
        <w:pStyle w:val="BodyText"/>
        <w:numPr>
          <w:ilvl w:val="0"/>
          <w:numId w:val="10"/>
        </w:numPr>
        <w:rPr>
          <w:rFonts w:asciiTheme="minorHAnsi" w:hAnsiTheme="minorHAnsi" w:cstheme="minorHAnsi"/>
        </w:rPr>
      </w:pPr>
      <w:r w:rsidRPr="002E5993">
        <w:rPr>
          <w:rFonts w:asciiTheme="minorHAnsi" w:hAnsiTheme="minorHAnsi" w:cstheme="minorHAnsi"/>
        </w:rPr>
        <w:t>California (US)</w:t>
      </w:r>
    </w:p>
    <w:p w14:paraId="647A7532" w14:textId="77777777" w:rsidR="00F441D9" w:rsidRPr="002E5993" w:rsidRDefault="00F441D9" w:rsidP="00214D42">
      <w:pPr>
        <w:pStyle w:val="BodyText"/>
        <w:numPr>
          <w:ilvl w:val="0"/>
          <w:numId w:val="11"/>
        </w:numPr>
        <w:rPr>
          <w:rFonts w:asciiTheme="minorHAnsi" w:hAnsiTheme="minorHAnsi" w:cstheme="minorHAnsi"/>
        </w:rPr>
      </w:pPr>
      <w:r w:rsidRPr="002E5993">
        <w:rPr>
          <w:rFonts w:asciiTheme="minorHAnsi" w:hAnsiTheme="minorHAnsi" w:cstheme="minorHAnsi"/>
        </w:rPr>
        <w:t>Japan</w:t>
      </w:r>
    </w:p>
    <w:p w14:paraId="1C7C1459" w14:textId="77777777" w:rsidR="003834E2" w:rsidRPr="002E5993" w:rsidRDefault="00F441D9" w:rsidP="00214D42">
      <w:pPr>
        <w:pStyle w:val="BodyText"/>
        <w:numPr>
          <w:ilvl w:val="0"/>
          <w:numId w:val="11"/>
        </w:numPr>
        <w:rPr>
          <w:rFonts w:asciiTheme="minorHAnsi" w:hAnsiTheme="minorHAnsi" w:cstheme="minorHAnsi"/>
        </w:rPr>
        <w:sectPr w:rsidR="003834E2" w:rsidRPr="002E5993" w:rsidSect="00A77C53">
          <w:type w:val="continuous"/>
          <w:pgSz w:w="11906" w:h="16838"/>
          <w:pgMar w:top="851" w:right="851" w:bottom="1418" w:left="851" w:header="567" w:footer="283" w:gutter="0"/>
          <w:pgNumType w:start="1"/>
          <w:cols w:num="2" w:space="708"/>
          <w:docGrid w:linePitch="360"/>
        </w:sectPr>
      </w:pPr>
      <w:r w:rsidRPr="002E5993">
        <w:rPr>
          <w:rFonts w:asciiTheme="minorHAnsi" w:hAnsiTheme="minorHAnsi" w:cstheme="minorHAnsi"/>
        </w:rPr>
        <w:t>South Korea.</w:t>
      </w:r>
      <w:r w:rsidR="003834E2" w:rsidRPr="002E5993">
        <w:rPr>
          <w:rFonts w:asciiTheme="minorHAnsi" w:hAnsiTheme="minorHAnsi" w:cstheme="minorHAnsi"/>
        </w:rPr>
        <w:t xml:space="preserve"> </w:t>
      </w:r>
    </w:p>
    <w:p w14:paraId="0AAC2E60" w14:textId="4E89EDFE" w:rsidR="00F441D9" w:rsidRPr="002E5993" w:rsidRDefault="00F441D9" w:rsidP="00214D42">
      <w:pPr>
        <w:pStyle w:val="BodyText"/>
        <w:numPr>
          <w:ilvl w:val="0"/>
          <w:numId w:val="11"/>
        </w:numPr>
        <w:rPr>
          <w:rFonts w:asciiTheme="minorHAnsi" w:hAnsiTheme="minorHAnsi" w:cstheme="minorHAnsi"/>
        </w:rPr>
        <w:sectPr w:rsidR="00F441D9" w:rsidRPr="002E5993" w:rsidSect="00A77C53">
          <w:type w:val="continuous"/>
          <w:pgSz w:w="11906" w:h="16838"/>
          <w:pgMar w:top="851" w:right="851" w:bottom="1418" w:left="851" w:header="567" w:footer="283" w:gutter="0"/>
          <w:pgNumType w:start="1"/>
          <w:cols w:space="708"/>
          <w:docGrid w:linePitch="360"/>
        </w:sectPr>
      </w:pPr>
    </w:p>
    <w:p w14:paraId="05441F05" w14:textId="0831B8C5" w:rsidR="00E8782F" w:rsidRPr="00F81ADB" w:rsidRDefault="000F3364" w:rsidP="00214D42">
      <w:pPr>
        <w:pStyle w:val="Heading2"/>
        <w:rPr>
          <w:rFonts w:cstheme="minorHAnsi"/>
        </w:rPr>
      </w:pPr>
      <w:bookmarkStart w:id="108" w:name="_Toc133844026"/>
      <w:bookmarkStart w:id="109" w:name="_Toc136286371"/>
      <w:bookmarkStart w:id="110" w:name="_Toc154059368"/>
      <w:r w:rsidRPr="00F81ADB">
        <w:rPr>
          <w:rFonts w:cstheme="minorHAnsi"/>
        </w:rPr>
        <w:lastRenderedPageBreak/>
        <w:t>Key highlights from international schemes</w:t>
      </w:r>
      <w:bookmarkEnd w:id="108"/>
      <w:bookmarkEnd w:id="109"/>
      <w:bookmarkEnd w:id="110"/>
    </w:p>
    <w:p w14:paraId="12654B21" w14:textId="47A7F31A" w:rsidR="002454CB" w:rsidRPr="002E5993" w:rsidRDefault="00235882" w:rsidP="004332C7">
      <w:pPr>
        <w:pStyle w:val="BodyText"/>
        <w:jc w:val="both"/>
        <w:rPr>
          <w:rFonts w:asciiTheme="minorHAnsi" w:hAnsiTheme="minorHAnsi" w:cstheme="minorHAnsi"/>
        </w:rPr>
      </w:pPr>
      <w:r w:rsidRPr="002E5993">
        <w:rPr>
          <w:rFonts w:asciiTheme="minorHAnsi" w:hAnsiTheme="minorHAnsi" w:cstheme="minorHAnsi"/>
        </w:rPr>
        <w:t xml:space="preserve">There has been significant </w:t>
      </w:r>
      <w:r w:rsidR="00FE569E" w:rsidRPr="002E5993">
        <w:rPr>
          <w:rFonts w:asciiTheme="minorHAnsi" w:hAnsiTheme="minorHAnsi" w:cstheme="minorHAnsi"/>
        </w:rPr>
        <w:t>progress in recent year</w:t>
      </w:r>
      <w:r w:rsidR="009D7542" w:rsidRPr="002E5993">
        <w:rPr>
          <w:rFonts w:asciiTheme="minorHAnsi" w:hAnsiTheme="minorHAnsi" w:cstheme="minorHAnsi"/>
        </w:rPr>
        <w:t>s</w:t>
      </w:r>
      <w:r w:rsidR="00FE569E" w:rsidRPr="002E5993">
        <w:rPr>
          <w:rFonts w:asciiTheme="minorHAnsi" w:hAnsiTheme="minorHAnsi" w:cstheme="minorHAnsi"/>
        </w:rPr>
        <w:t xml:space="preserve"> </w:t>
      </w:r>
      <w:r w:rsidR="00CD761B" w:rsidRPr="002E5993">
        <w:rPr>
          <w:rFonts w:asciiTheme="minorHAnsi" w:hAnsiTheme="minorHAnsi" w:cstheme="minorHAnsi"/>
        </w:rPr>
        <w:t xml:space="preserve">in improving </w:t>
      </w:r>
      <w:r w:rsidR="00417253" w:rsidRPr="002E5993">
        <w:rPr>
          <w:rFonts w:asciiTheme="minorHAnsi" w:hAnsiTheme="minorHAnsi" w:cstheme="minorHAnsi"/>
        </w:rPr>
        <w:t xml:space="preserve">or planning to improve </w:t>
      </w:r>
      <w:r w:rsidR="00CD761B" w:rsidRPr="002E5993">
        <w:rPr>
          <w:rFonts w:asciiTheme="minorHAnsi" w:hAnsiTheme="minorHAnsi" w:cstheme="minorHAnsi"/>
        </w:rPr>
        <w:t>the energy effic</w:t>
      </w:r>
      <w:r w:rsidR="007F2F47" w:rsidRPr="002E5993">
        <w:rPr>
          <w:rFonts w:asciiTheme="minorHAnsi" w:hAnsiTheme="minorHAnsi" w:cstheme="minorHAnsi"/>
        </w:rPr>
        <w:t>iency of buildings</w:t>
      </w:r>
      <w:r w:rsidR="00C06F92" w:rsidRPr="002E5993">
        <w:rPr>
          <w:rFonts w:asciiTheme="minorHAnsi" w:hAnsiTheme="minorHAnsi" w:cstheme="minorHAnsi"/>
        </w:rPr>
        <w:t xml:space="preserve">. </w:t>
      </w:r>
      <w:r w:rsidR="00465474" w:rsidRPr="002E5993">
        <w:rPr>
          <w:rFonts w:asciiTheme="minorHAnsi" w:hAnsiTheme="minorHAnsi" w:cstheme="minorHAnsi"/>
        </w:rPr>
        <w:t xml:space="preserve">This section </w:t>
      </w:r>
      <w:r w:rsidR="0073433B" w:rsidRPr="002E5993">
        <w:rPr>
          <w:rFonts w:asciiTheme="minorHAnsi" w:hAnsiTheme="minorHAnsi" w:cstheme="minorHAnsi"/>
        </w:rPr>
        <w:t>highlights</w:t>
      </w:r>
      <w:r w:rsidR="00465474" w:rsidRPr="002E5993">
        <w:rPr>
          <w:rFonts w:asciiTheme="minorHAnsi" w:hAnsiTheme="minorHAnsi" w:cstheme="minorHAnsi"/>
        </w:rPr>
        <w:t xml:space="preserve"> the actions </w:t>
      </w:r>
      <w:r w:rsidR="004D60A2" w:rsidRPr="002E5993">
        <w:rPr>
          <w:rFonts w:asciiTheme="minorHAnsi" w:hAnsiTheme="minorHAnsi" w:cstheme="minorHAnsi"/>
        </w:rPr>
        <w:t xml:space="preserve">taken </w:t>
      </w:r>
      <w:r w:rsidR="00C557BB" w:rsidRPr="002E5993">
        <w:rPr>
          <w:rFonts w:asciiTheme="minorHAnsi" w:hAnsiTheme="minorHAnsi" w:cstheme="minorHAnsi"/>
        </w:rPr>
        <w:t>by</w:t>
      </w:r>
      <w:r w:rsidR="00465474" w:rsidRPr="002E5993">
        <w:rPr>
          <w:rFonts w:asciiTheme="minorHAnsi" w:hAnsiTheme="minorHAnsi" w:cstheme="minorHAnsi"/>
        </w:rPr>
        <w:t xml:space="preserve"> countries and regions around the world to </w:t>
      </w:r>
      <w:r w:rsidR="00FE380D" w:rsidRPr="002E5993">
        <w:rPr>
          <w:rFonts w:asciiTheme="minorHAnsi" w:hAnsiTheme="minorHAnsi" w:cstheme="minorHAnsi"/>
        </w:rPr>
        <w:t>improve</w:t>
      </w:r>
      <w:r w:rsidR="00465474" w:rsidRPr="002E5993">
        <w:rPr>
          <w:rFonts w:asciiTheme="minorHAnsi" w:hAnsiTheme="minorHAnsi" w:cstheme="minorHAnsi"/>
        </w:rPr>
        <w:t xml:space="preserve"> </w:t>
      </w:r>
      <w:r w:rsidR="00FE380D" w:rsidRPr="002E5993">
        <w:rPr>
          <w:rFonts w:asciiTheme="minorHAnsi" w:hAnsiTheme="minorHAnsi" w:cstheme="minorHAnsi"/>
        </w:rPr>
        <w:t xml:space="preserve">the environmental impact of </w:t>
      </w:r>
      <w:r w:rsidR="00465474" w:rsidRPr="002E5993">
        <w:rPr>
          <w:rFonts w:asciiTheme="minorHAnsi" w:hAnsiTheme="minorHAnsi" w:cstheme="minorHAnsi"/>
        </w:rPr>
        <w:t>commercial buildings</w:t>
      </w:r>
      <w:r w:rsidR="006E37E1" w:rsidRPr="002E5993">
        <w:rPr>
          <w:rFonts w:asciiTheme="minorHAnsi" w:hAnsiTheme="minorHAnsi" w:cstheme="minorHAnsi"/>
        </w:rPr>
        <w:t xml:space="preserve">, focusing on disclosure </w:t>
      </w:r>
      <w:r w:rsidR="003B189B" w:rsidRPr="002E5993">
        <w:rPr>
          <w:rFonts w:asciiTheme="minorHAnsi" w:hAnsiTheme="minorHAnsi" w:cstheme="minorHAnsi"/>
        </w:rPr>
        <w:t xml:space="preserve">of selected rating systems </w:t>
      </w:r>
      <w:r w:rsidR="006E37E1" w:rsidRPr="002E5993">
        <w:rPr>
          <w:rFonts w:asciiTheme="minorHAnsi" w:hAnsiTheme="minorHAnsi" w:cstheme="minorHAnsi"/>
        </w:rPr>
        <w:t xml:space="preserve">and </w:t>
      </w:r>
      <w:proofErr w:type="spellStart"/>
      <w:r w:rsidR="006E37E1" w:rsidRPr="002E5993">
        <w:rPr>
          <w:rFonts w:asciiTheme="minorHAnsi" w:hAnsiTheme="minorHAnsi" w:cstheme="minorHAnsi"/>
        </w:rPr>
        <w:t>MEPS</w:t>
      </w:r>
      <w:proofErr w:type="spellEnd"/>
      <w:r w:rsidR="0018058E" w:rsidRPr="002E5993">
        <w:rPr>
          <w:rFonts w:asciiTheme="minorHAnsi" w:hAnsiTheme="minorHAnsi" w:cstheme="minorHAnsi"/>
        </w:rPr>
        <w:t>.</w:t>
      </w:r>
      <w:r w:rsidR="00465474" w:rsidRPr="002E5993">
        <w:rPr>
          <w:rFonts w:asciiTheme="minorHAnsi" w:hAnsiTheme="minorHAnsi" w:cstheme="minorHAnsi"/>
        </w:rPr>
        <w:t xml:space="preserve"> </w:t>
      </w:r>
    </w:p>
    <w:p w14:paraId="3E13B33F" w14:textId="22C83DF5" w:rsidR="007D33EE" w:rsidRPr="004E3937" w:rsidRDefault="00410D22" w:rsidP="004E3937">
      <w:pPr>
        <w:pStyle w:val="Caption"/>
        <w:keepNext/>
        <w:spacing w:after="120"/>
        <w:rPr>
          <w:rFonts w:ascii="Calibri" w:eastAsia="Times New Roman" w:hAnsi="Calibri" w:cs="Times New Roman"/>
          <w:b/>
          <w:bCs/>
          <w:i w:val="0"/>
          <w:iCs w:val="0"/>
          <w:color w:val="auto"/>
          <w:sz w:val="24"/>
        </w:rPr>
      </w:pPr>
      <w:bookmarkStart w:id="111" w:name="_Toc162535442"/>
      <w:r w:rsidRPr="004E3937">
        <w:rPr>
          <w:rFonts w:ascii="Calibri" w:eastAsia="Times New Roman" w:hAnsi="Calibri" w:cs="Times New Roman"/>
          <w:b/>
          <w:bCs/>
          <w:i w:val="0"/>
          <w:iCs w:val="0"/>
          <w:color w:val="auto"/>
          <w:sz w:val="24"/>
        </w:rPr>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 xml:space="preserve"> SEQ Table \* ARABIC </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6</w:t>
      </w:r>
      <w:r w:rsidRPr="004E3937">
        <w:rPr>
          <w:rFonts w:ascii="Calibri" w:eastAsia="Times New Roman" w:hAnsi="Calibri" w:cs="Times New Roman"/>
          <w:b/>
          <w:bCs/>
          <w:i w:val="0"/>
          <w:iCs w:val="0"/>
          <w:color w:val="auto"/>
          <w:sz w:val="24"/>
        </w:rPr>
        <w:fldChar w:fldCharType="end"/>
      </w:r>
      <w:r w:rsidRPr="004E3937">
        <w:rPr>
          <w:rFonts w:ascii="Calibri" w:eastAsia="Times New Roman" w:hAnsi="Calibri" w:cs="Times New Roman"/>
          <w:b/>
          <w:bCs/>
          <w:i w:val="0"/>
          <w:iCs w:val="0"/>
          <w:color w:val="auto"/>
          <w:sz w:val="24"/>
        </w:rPr>
        <w:t xml:space="preserve">: Broad trends in the international scan relating to disclosure and </w:t>
      </w:r>
      <w:proofErr w:type="spellStart"/>
      <w:proofErr w:type="gramStart"/>
      <w:r w:rsidR="00DB49B7" w:rsidRPr="004E3937">
        <w:rPr>
          <w:rFonts w:ascii="Calibri" w:eastAsia="Times New Roman" w:hAnsi="Calibri" w:cs="Times New Roman"/>
          <w:b/>
          <w:bCs/>
          <w:i w:val="0"/>
          <w:iCs w:val="0"/>
          <w:color w:val="auto"/>
          <w:sz w:val="24"/>
        </w:rPr>
        <w:t>MEPS</w:t>
      </w:r>
      <w:bookmarkEnd w:id="111"/>
      <w:proofErr w:type="spellEnd"/>
      <w:proofErr w:type="gramEnd"/>
    </w:p>
    <w:tbl>
      <w:tblPr>
        <w:tblStyle w:val="GridTable4-Accent1"/>
        <w:tblW w:w="0" w:type="auto"/>
        <w:tblLook w:val="06A0" w:firstRow="1" w:lastRow="0" w:firstColumn="1" w:lastColumn="0" w:noHBand="1" w:noVBand="1"/>
      </w:tblPr>
      <w:tblGrid>
        <w:gridCol w:w="2062"/>
        <w:gridCol w:w="3745"/>
        <w:gridCol w:w="4387"/>
      </w:tblGrid>
      <w:tr w:rsidR="006B6783" w:rsidRPr="005757F8" w14:paraId="4AD5266D" w14:textId="183B1F8F" w:rsidTr="00A331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12" w:space="0" w:color="auto"/>
              <w:right w:val="single" w:sz="4" w:space="0" w:color="auto"/>
            </w:tcBorders>
            <w:shd w:val="clear" w:color="auto" w:fill="D1DAF9" w:themeFill="accent1" w:themeFillTint="33"/>
          </w:tcPr>
          <w:p w14:paraId="45531CA8" w14:textId="049B5578" w:rsidR="006B6783" w:rsidRPr="00155DF7" w:rsidRDefault="0057049D">
            <w:pPr>
              <w:pStyle w:val="BodyText"/>
              <w:jc w:val="center"/>
              <w:rPr>
                <w:rFonts w:asciiTheme="minorHAnsi" w:hAnsiTheme="minorHAnsi" w:cstheme="minorHAnsi"/>
                <w:sz w:val="24"/>
                <w:szCs w:val="28"/>
              </w:rPr>
            </w:pPr>
            <w:r w:rsidRPr="00155DF7">
              <w:rPr>
                <w:rFonts w:asciiTheme="minorHAnsi" w:hAnsiTheme="minorHAnsi" w:cstheme="minorHAnsi"/>
                <w:sz w:val="24"/>
                <w:szCs w:val="28"/>
              </w:rPr>
              <w:t>Trend</w:t>
            </w:r>
          </w:p>
        </w:tc>
        <w:tc>
          <w:tcPr>
            <w:tcW w:w="3745" w:type="dxa"/>
            <w:tcBorders>
              <w:top w:val="single" w:sz="4" w:space="0" w:color="auto"/>
              <w:left w:val="single" w:sz="4" w:space="0" w:color="auto"/>
              <w:bottom w:val="single" w:sz="12" w:space="0" w:color="auto"/>
              <w:right w:val="single" w:sz="4" w:space="0" w:color="auto"/>
            </w:tcBorders>
            <w:shd w:val="clear" w:color="auto" w:fill="D1DAF9" w:themeFill="accent1" w:themeFillTint="33"/>
          </w:tcPr>
          <w:p w14:paraId="207F3306" w14:textId="0BD79767" w:rsidR="006B6783" w:rsidRPr="00155DF7" w:rsidRDefault="0057049D">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155DF7">
              <w:rPr>
                <w:rFonts w:asciiTheme="minorHAnsi" w:hAnsiTheme="minorHAnsi" w:cstheme="minorHAnsi"/>
                <w:sz w:val="24"/>
                <w:szCs w:val="28"/>
              </w:rPr>
              <w:t>Disclosure</w:t>
            </w:r>
          </w:p>
        </w:tc>
        <w:tc>
          <w:tcPr>
            <w:tcW w:w="4387" w:type="dxa"/>
            <w:tcBorders>
              <w:top w:val="single" w:sz="4" w:space="0" w:color="auto"/>
              <w:left w:val="single" w:sz="4" w:space="0" w:color="auto"/>
              <w:bottom w:val="single" w:sz="12" w:space="0" w:color="auto"/>
              <w:right w:val="single" w:sz="4" w:space="0" w:color="auto"/>
            </w:tcBorders>
            <w:shd w:val="clear" w:color="auto" w:fill="D1DAF9" w:themeFill="accent1" w:themeFillTint="33"/>
          </w:tcPr>
          <w:p w14:paraId="1999224A" w14:textId="1116BF37" w:rsidR="0057049D" w:rsidRPr="00155DF7" w:rsidRDefault="0057049D">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8"/>
              </w:rPr>
            </w:pPr>
            <w:proofErr w:type="spellStart"/>
            <w:r w:rsidRPr="00155DF7">
              <w:rPr>
                <w:rFonts w:asciiTheme="minorHAnsi" w:hAnsiTheme="minorHAnsi" w:cstheme="minorHAnsi"/>
                <w:sz w:val="24"/>
                <w:szCs w:val="28"/>
              </w:rPr>
              <w:t>MEPS</w:t>
            </w:r>
            <w:proofErr w:type="spellEnd"/>
          </w:p>
        </w:tc>
      </w:tr>
      <w:tr w:rsidR="00B80D2A" w14:paraId="1FDE1703" w14:textId="6594AA48" w:rsidTr="00A33176">
        <w:tc>
          <w:tcPr>
            <w:cnfStyle w:val="001000000000" w:firstRow="0" w:lastRow="0" w:firstColumn="1" w:lastColumn="0" w:oddVBand="0" w:evenVBand="0" w:oddHBand="0" w:evenHBand="0" w:firstRowFirstColumn="0" w:firstRowLastColumn="0" w:lastRowFirstColumn="0" w:lastRowLastColumn="0"/>
            <w:tcW w:w="2062" w:type="dxa"/>
            <w:tcBorders>
              <w:top w:val="single" w:sz="12" w:space="0" w:color="auto"/>
              <w:left w:val="single" w:sz="4" w:space="0" w:color="auto"/>
              <w:bottom w:val="single" w:sz="4" w:space="0" w:color="auto"/>
              <w:right w:val="single" w:sz="4" w:space="0" w:color="auto"/>
            </w:tcBorders>
            <w:shd w:val="clear" w:color="auto" w:fill="D1DAF9" w:themeFill="accent1" w:themeFillTint="33"/>
            <w:vAlign w:val="center"/>
          </w:tcPr>
          <w:p w14:paraId="214789A4" w14:textId="0B7E3822" w:rsidR="00B80D2A" w:rsidRPr="002E5993" w:rsidRDefault="006E5C00" w:rsidP="00B80D2A">
            <w:pPr>
              <w:pStyle w:val="BodyText"/>
              <w:jc w:val="center"/>
              <w:rPr>
                <w:rFonts w:asciiTheme="minorHAnsi" w:hAnsiTheme="minorHAnsi" w:cstheme="minorHAnsi"/>
                <w:b w:val="0"/>
              </w:rPr>
            </w:pPr>
            <w:r w:rsidRPr="002E5993">
              <w:rPr>
                <w:rFonts w:asciiTheme="minorHAnsi" w:hAnsiTheme="minorHAnsi" w:cstheme="minorHAnsi"/>
                <w:noProof/>
              </w:rPr>
              <w:drawing>
                <wp:inline distT="0" distB="0" distL="0" distR="0" wp14:anchorId="48C35F81" wp14:editId="5BA030C5">
                  <wp:extent cx="457200" cy="4572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8"/>
                          <a:stretch>
                            <a:fillRect/>
                          </a:stretch>
                        </pic:blipFill>
                        <pic:spPr>
                          <a:xfrm>
                            <a:off x="0" y="0"/>
                            <a:ext cx="457200" cy="457200"/>
                          </a:xfrm>
                          <a:prstGeom prst="rect">
                            <a:avLst/>
                          </a:prstGeom>
                        </pic:spPr>
                      </pic:pic>
                    </a:graphicData>
                  </a:graphic>
                </wp:inline>
              </w:drawing>
            </w:r>
          </w:p>
          <w:p w14:paraId="40CD125D" w14:textId="64895FF4" w:rsidR="00B80D2A" w:rsidRPr="002E5993" w:rsidRDefault="00732100" w:rsidP="00B80D2A">
            <w:pPr>
              <w:pStyle w:val="BodyText"/>
              <w:jc w:val="center"/>
              <w:rPr>
                <w:rFonts w:asciiTheme="minorHAnsi" w:hAnsiTheme="minorHAnsi" w:cstheme="minorHAnsi"/>
              </w:rPr>
            </w:pPr>
            <w:r w:rsidRPr="002E5993">
              <w:rPr>
                <w:rFonts w:asciiTheme="minorHAnsi" w:hAnsiTheme="minorHAnsi" w:cstheme="minorHAnsi"/>
              </w:rPr>
              <w:t>C</w:t>
            </w:r>
            <w:r w:rsidR="0057049D" w:rsidRPr="002E5993">
              <w:rPr>
                <w:rFonts w:asciiTheme="minorHAnsi" w:hAnsiTheme="minorHAnsi" w:cstheme="minorHAnsi"/>
              </w:rPr>
              <w:t>ommon</w:t>
            </w:r>
            <w:r w:rsidR="00BD20E4" w:rsidRPr="002E5993">
              <w:rPr>
                <w:rFonts w:asciiTheme="minorHAnsi" w:hAnsiTheme="minorHAnsi" w:cstheme="minorHAnsi"/>
              </w:rPr>
              <w:t>,</w:t>
            </w:r>
            <w:r w:rsidR="0057049D" w:rsidRPr="002E5993">
              <w:rPr>
                <w:rFonts w:asciiTheme="minorHAnsi" w:hAnsiTheme="minorHAnsi" w:cstheme="minorHAnsi"/>
              </w:rPr>
              <w:t xml:space="preserve"> </w:t>
            </w:r>
            <w:r w:rsidR="00F631B6" w:rsidRPr="002E5993">
              <w:rPr>
                <w:rFonts w:asciiTheme="minorHAnsi" w:hAnsiTheme="minorHAnsi" w:cstheme="minorHAnsi"/>
              </w:rPr>
              <w:t>in place for some time</w:t>
            </w:r>
            <w:r w:rsidR="00BD20E4" w:rsidRPr="002E5993">
              <w:rPr>
                <w:rFonts w:asciiTheme="minorHAnsi" w:hAnsiTheme="minorHAnsi" w:cstheme="minorHAnsi"/>
              </w:rPr>
              <w:t xml:space="preserve"> and </w:t>
            </w:r>
            <w:r w:rsidR="00ED45B8" w:rsidRPr="002E5993">
              <w:rPr>
                <w:rFonts w:asciiTheme="minorHAnsi" w:hAnsiTheme="minorHAnsi" w:cstheme="minorHAnsi"/>
              </w:rPr>
              <w:t>becoming</w:t>
            </w:r>
            <w:r w:rsidR="00BD20E4" w:rsidRPr="002E5993">
              <w:rPr>
                <w:rFonts w:asciiTheme="minorHAnsi" w:hAnsiTheme="minorHAnsi" w:cstheme="minorHAnsi"/>
              </w:rPr>
              <w:t xml:space="preserve"> stricter</w:t>
            </w:r>
          </w:p>
        </w:tc>
        <w:tc>
          <w:tcPr>
            <w:tcW w:w="3745" w:type="dxa"/>
            <w:tcBorders>
              <w:top w:val="single" w:sz="12" w:space="0" w:color="auto"/>
              <w:left w:val="single" w:sz="4" w:space="0" w:color="auto"/>
              <w:bottom w:val="single" w:sz="4" w:space="0" w:color="auto"/>
              <w:right w:val="single" w:sz="4" w:space="0" w:color="auto"/>
            </w:tcBorders>
            <w:vAlign w:val="center"/>
          </w:tcPr>
          <w:p w14:paraId="16463EA6" w14:textId="347CFB0C" w:rsidR="00B80D2A" w:rsidRPr="002E5993" w:rsidRDefault="0019139B" w:rsidP="00B80D2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szCs w:val="20"/>
              </w:rPr>
              <w:t>Like Australia, m</w:t>
            </w:r>
            <w:r w:rsidR="00431D79" w:rsidRPr="002E5993">
              <w:rPr>
                <w:rFonts w:asciiTheme="minorHAnsi" w:hAnsiTheme="minorHAnsi" w:cstheme="minorHAnsi"/>
                <w:szCs w:val="20"/>
              </w:rPr>
              <w:t xml:space="preserve">andatory disclosure </w:t>
            </w:r>
            <w:r w:rsidRPr="002E5993">
              <w:rPr>
                <w:rFonts w:asciiTheme="minorHAnsi" w:hAnsiTheme="minorHAnsi" w:cstheme="minorHAnsi"/>
                <w:szCs w:val="20"/>
              </w:rPr>
              <w:t xml:space="preserve">of building energy efficiency ratings has been in place for some time. The UK for example introduced </w:t>
            </w:r>
            <w:r w:rsidR="003160E2" w:rsidRPr="002E5993">
              <w:rPr>
                <w:rFonts w:asciiTheme="minorHAnsi" w:hAnsiTheme="minorHAnsi" w:cstheme="minorHAnsi"/>
                <w:szCs w:val="20"/>
              </w:rPr>
              <w:t>disclosure of</w:t>
            </w:r>
            <w:r w:rsidR="00431D79" w:rsidRPr="002E5993">
              <w:rPr>
                <w:rFonts w:asciiTheme="minorHAnsi" w:hAnsiTheme="minorHAnsi" w:cstheme="minorHAnsi"/>
                <w:szCs w:val="20"/>
              </w:rPr>
              <w:t xml:space="preserve"> </w:t>
            </w:r>
            <w:r w:rsidR="009B1F1F" w:rsidRPr="002E5993">
              <w:rPr>
                <w:rFonts w:asciiTheme="minorHAnsi" w:hAnsiTheme="minorHAnsi" w:cstheme="minorHAnsi"/>
                <w:szCs w:val="20"/>
              </w:rPr>
              <w:t>E</w:t>
            </w:r>
            <w:r w:rsidR="00431D79" w:rsidRPr="002E5993">
              <w:rPr>
                <w:rFonts w:asciiTheme="minorHAnsi" w:hAnsiTheme="minorHAnsi" w:cstheme="minorHAnsi"/>
                <w:szCs w:val="20"/>
              </w:rPr>
              <w:t xml:space="preserve">nergy </w:t>
            </w:r>
            <w:r w:rsidR="009B1F1F" w:rsidRPr="002E5993">
              <w:rPr>
                <w:rFonts w:asciiTheme="minorHAnsi" w:hAnsiTheme="minorHAnsi" w:cstheme="minorHAnsi"/>
                <w:szCs w:val="20"/>
              </w:rPr>
              <w:t>P</w:t>
            </w:r>
            <w:r w:rsidR="00431D79" w:rsidRPr="002E5993">
              <w:rPr>
                <w:rFonts w:asciiTheme="minorHAnsi" w:hAnsiTheme="minorHAnsi" w:cstheme="minorHAnsi"/>
                <w:szCs w:val="20"/>
              </w:rPr>
              <w:t xml:space="preserve">erformance </w:t>
            </w:r>
            <w:r w:rsidR="009B1F1F" w:rsidRPr="002E5993">
              <w:rPr>
                <w:rFonts w:asciiTheme="minorHAnsi" w:hAnsiTheme="minorHAnsi" w:cstheme="minorHAnsi"/>
                <w:szCs w:val="20"/>
              </w:rPr>
              <w:t>C</w:t>
            </w:r>
            <w:r w:rsidR="00431D79" w:rsidRPr="002E5993">
              <w:rPr>
                <w:rFonts w:asciiTheme="minorHAnsi" w:hAnsiTheme="minorHAnsi" w:cstheme="minorHAnsi"/>
                <w:szCs w:val="20"/>
              </w:rPr>
              <w:t>ertificate</w:t>
            </w:r>
            <w:r w:rsidR="009B1F1F" w:rsidRPr="002E5993">
              <w:rPr>
                <w:rFonts w:asciiTheme="minorHAnsi" w:hAnsiTheme="minorHAnsi" w:cstheme="minorHAnsi"/>
                <w:szCs w:val="20"/>
              </w:rPr>
              <w:t>s</w:t>
            </w:r>
            <w:r w:rsidR="00431D79" w:rsidRPr="002E5993">
              <w:rPr>
                <w:rFonts w:asciiTheme="minorHAnsi" w:hAnsiTheme="minorHAnsi" w:cstheme="minorHAnsi"/>
                <w:szCs w:val="20"/>
              </w:rPr>
              <w:t xml:space="preserve"> </w:t>
            </w:r>
            <w:r w:rsidR="009B1F1F" w:rsidRPr="002E5993">
              <w:rPr>
                <w:rFonts w:asciiTheme="minorHAnsi" w:hAnsiTheme="minorHAnsi" w:cstheme="minorHAnsi"/>
                <w:szCs w:val="20"/>
              </w:rPr>
              <w:t>(</w:t>
            </w:r>
            <w:proofErr w:type="spellStart"/>
            <w:r w:rsidR="009B1F1F" w:rsidRPr="002E5993">
              <w:rPr>
                <w:rFonts w:asciiTheme="minorHAnsi" w:hAnsiTheme="minorHAnsi" w:cstheme="minorHAnsi"/>
                <w:szCs w:val="20"/>
              </w:rPr>
              <w:t>EPCs</w:t>
            </w:r>
            <w:proofErr w:type="spellEnd"/>
            <w:r w:rsidR="009B1F1F" w:rsidRPr="002E5993">
              <w:rPr>
                <w:rFonts w:asciiTheme="minorHAnsi" w:hAnsiTheme="minorHAnsi" w:cstheme="minorHAnsi"/>
                <w:szCs w:val="20"/>
              </w:rPr>
              <w:t>)</w:t>
            </w:r>
            <w:r w:rsidR="00431D79" w:rsidRPr="002E5993">
              <w:rPr>
                <w:rFonts w:asciiTheme="minorHAnsi" w:hAnsiTheme="minorHAnsi" w:cstheme="minorHAnsi"/>
                <w:szCs w:val="20"/>
              </w:rPr>
              <w:t xml:space="preserve"> when </w:t>
            </w:r>
            <w:r w:rsidR="00085674" w:rsidRPr="002E5993">
              <w:rPr>
                <w:rFonts w:asciiTheme="minorHAnsi" w:hAnsiTheme="minorHAnsi" w:cstheme="minorHAnsi"/>
                <w:szCs w:val="20"/>
              </w:rPr>
              <w:t>leasing</w:t>
            </w:r>
            <w:r w:rsidR="00431D79" w:rsidRPr="002E5993">
              <w:rPr>
                <w:rFonts w:asciiTheme="minorHAnsi" w:hAnsiTheme="minorHAnsi" w:cstheme="minorHAnsi"/>
                <w:szCs w:val="20"/>
              </w:rPr>
              <w:t xml:space="preserve"> or selling a</w:t>
            </w:r>
            <w:r w:rsidR="009B1F1F" w:rsidRPr="002E5993">
              <w:rPr>
                <w:rFonts w:asciiTheme="minorHAnsi" w:hAnsiTheme="minorHAnsi" w:cstheme="minorHAnsi"/>
                <w:szCs w:val="20"/>
              </w:rPr>
              <w:t xml:space="preserve"> </w:t>
            </w:r>
            <w:r w:rsidR="00431D79" w:rsidRPr="002E5993">
              <w:rPr>
                <w:rFonts w:asciiTheme="minorHAnsi" w:hAnsiTheme="minorHAnsi" w:cstheme="minorHAnsi"/>
                <w:szCs w:val="20"/>
              </w:rPr>
              <w:t xml:space="preserve">building in </w:t>
            </w:r>
            <w:r w:rsidR="009B1F1F" w:rsidRPr="002E5993">
              <w:rPr>
                <w:rFonts w:asciiTheme="minorHAnsi" w:hAnsiTheme="minorHAnsi" w:cstheme="minorHAnsi"/>
                <w:szCs w:val="20"/>
              </w:rPr>
              <w:t>2008.</w:t>
            </w:r>
            <w:r w:rsidR="00431D79" w:rsidRPr="002E5993">
              <w:rPr>
                <w:rFonts w:asciiTheme="minorHAnsi" w:hAnsiTheme="minorHAnsi" w:cstheme="minorHAnsi"/>
                <w:szCs w:val="20"/>
              </w:rPr>
              <w:t xml:space="preserve"> </w:t>
            </w:r>
            <w:r w:rsidR="00431D79" w:rsidRPr="002E5993">
              <w:rPr>
                <w:rFonts w:asciiTheme="minorHAnsi" w:hAnsiTheme="minorHAnsi" w:cstheme="minorHAnsi"/>
              </w:rPr>
              <w:t>In the US, disclosure policies are in place although not all states have adopted these yet.</w:t>
            </w:r>
            <w:r w:rsidR="00223D60" w:rsidRPr="002E5993">
              <w:rPr>
                <w:rFonts w:asciiTheme="minorHAnsi" w:hAnsiTheme="minorHAnsi" w:cstheme="minorHAnsi"/>
              </w:rPr>
              <w:t xml:space="preserve"> </w:t>
            </w:r>
            <w:r w:rsidR="00B64432" w:rsidRPr="002E5993">
              <w:rPr>
                <w:rFonts w:asciiTheme="minorHAnsi" w:hAnsiTheme="minorHAnsi" w:cstheme="minorHAnsi"/>
              </w:rPr>
              <w:t>Almost al</w:t>
            </w:r>
            <w:r w:rsidR="00223D60" w:rsidRPr="002E5993">
              <w:rPr>
                <w:rFonts w:asciiTheme="minorHAnsi" w:hAnsiTheme="minorHAnsi" w:cstheme="minorHAnsi"/>
              </w:rPr>
              <w:t xml:space="preserve">l </w:t>
            </w:r>
            <w:r w:rsidR="003F1724" w:rsidRPr="002E5993">
              <w:rPr>
                <w:rFonts w:asciiTheme="minorHAnsi" w:hAnsiTheme="minorHAnsi" w:cstheme="minorHAnsi"/>
              </w:rPr>
              <w:t xml:space="preserve">countries and regions </w:t>
            </w:r>
            <w:r w:rsidR="005D0296" w:rsidRPr="002E5993">
              <w:rPr>
                <w:rFonts w:asciiTheme="minorHAnsi" w:hAnsiTheme="minorHAnsi" w:cstheme="minorHAnsi"/>
              </w:rPr>
              <w:t>in the research ha</w:t>
            </w:r>
            <w:r w:rsidR="00C5577B" w:rsidRPr="002E5993">
              <w:rPr>
                <w:rFonts w:asciiTheme="minorHAnsi" w:hAnsiTheme="minorHAnsi" w:cstheme="minorHAnsi"/>
              </w:rPr>
              <w:t>ve</w:t>
            </w:r>
            <w:r w:rsidR="005D0296" w:rsidRPr="002E5993">
              <w:rPr>
                <w:rFonts w:asciiTheme="minorHAnsi" w:hAnsiTheme="minorHAnsi" w:cstheme="minorHAnsi"/>
              </w:rPr>
              <w:t xml:space="preserve"> </w:t>
            </w:r>
            <w:r w:rsidR="00B64432" w:rsidRPr="002E5993">
              <w:rPr>
                <w:rFonts w:asciiTheme="minorHAnsi" w:hAnsiTheme="minorHAnsi" w:cstheme="minorHAnsi"/>
              </w:rPr>
              <w:t>mandatory disclosure requirements</w:t>
            </w:r>
            <w:r w:rsidR="005C211E" w:rsidRPr="002E5993">
              <w:rPr>
                <w:rFonts w:asciiTheme="minorHAnsi" w:hAnsiTheme="minorHAnsi" w:cstheme="minorHAnsi"/>
              </w:rPr>
              <w:t>.</w:t>
            </w:r>
          </w:p>
        </w:tc>
        <w:tc>
          <w:tcPr>
            <w:tcW w:w="4387" w:type="dxa"/>
            <w:tcBorders>
              <w:top w:val="single" w:sz="12" w:space="0" w:color="auto"/>
              <w:left w:val="single" w:sz="4" w:space="0" w:color="auto"/>
              <w:bottom w:val="single" w:sz="4" w:space="0" w:color="auto"/>
              <w:right w:val="single" w:sz="4" w:space="0" w:color="auto"/>
            </w:tcBorders>
            <w:vAlign w:val="center"/>
          </w:tcPr>
          <w:p w14:paraId="1A1225AD" w14:textId="7D66E8CD" w:rsidR="0057049D" w:rsidRPr="002E5993" w:rsidRDefault="00A6316E" w:rsidP="00B80D2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2E5993">
              <w:rPr>
                <w:rFonts w:asciiTheme="minorHAnsi" w:hAnsiTheme="minorHAnsi" w:cstheme="minorHAnsi"/>
                <w:szCs w:val="20"/>
              </w:rPr>
              <w:t xml:space="preserve">Similarly, </w:t>
            </w:r>
            <w:proofErr w:type="spellStart"/>
            <w:r w:rsidRPr="002E5993">
              <w:rPr>
                <w:rFonts w:asciiTheme="minorHAnsi" w:hAnsiTheme="minorHAnsi" w:cstheme="minorHAnsi"/>
                <w:szCs w:val="20"/>
              </w:rPr>
              <w:t>MEPS</w:t>
            </w:r>
            <w:proofErr w:type="spellEnd"/>
            <w:r w:rsidRPr="002E5993">
              <w:rPr>
                <w:rFonts w:asciiTheme="minorHAnsi" w:hAnsiTheme="minorHAnsi" w:cstheme="minorHAnsi"/>
                <w:szCs w:val="20"/>
              </w:rPr>
              <w:t xml:space="preserve"> have been in place for </w:t>
            </w:r>
            <w:r w:rsidR="00591CCB" w:rsidRPr="002E5993">
              <w:rPr>
                <w:rFonts w:asciiTheme="minorHAnsi" w:hAnsiTheme="minorHAnsi" w:cstheme="minorHAnsi"/>
                <w:szCs w:val="20"/>
              </w:rPr>
              <w:t>some time</w:t>
            </w:r>
            <w:r w:rsidR="00AC40F1" w:rsidRPr="002E5993">
              <w:rPr>
                <w:rFonts w:asciiTheme="minorHAnsi" w:hAnsiTheme="minorHAnsi" w:cstheme="minorHAnsi"/>
                <w:szCs w:val="20"/>
              </w:rPr>
              <w:t>. Th</w:t>
            </w:r>
            <w:r w:rsidR="00D813B8" w:rsidRPr="002E5993">
              <w:rPr>
                <w:rFonts w:asciiTheme="minorHAnsi" w:hAnsiTheme="minorHAnsi" w:cstheme="minorHAnsi"/>
                <w:szCs w:val="20"/>
              </w:rPr>
              <w:t xml:space="preserve">e international research suggests these </w:t>
            </w:r>
            <w:r w:rsidR="00AC40F1" w:rsidRPr="002E5993">
              <w:rPr>
                <w:rFonts w:asciiTheme="minorHAnsi" w:hAnsiTheme="minorHAnsi" w:cstheme="minorHAnsi"/>
                <w:szCs w:val="20"/>
              </w:rPr>
              <w:t xml:space="preserve">are becoming </w:t>
            </w:r>
            <w:r w:rsidR="00D813B8" w:rsidRPr="002E5993">
              <w:rPr>
                <w:rFonts w:asciiTheme="minorHAnsi" w:hAnsiTheme="minorHAnsi" w:cstheme="minorHAnsi"/>
                <w:szCs w:val="20"/>
              </w:rPr>
              <w:t xml:space="preserve">stricter. </w:t>
            </w:r>
            <w:r w:rsidR="00C350F1" w:rsidRPr="002E5993">
              <w:rPr>
                <w:rFonts w:asciiTheme="minorHAnsi" w:hAnsiTheme="minorHAnsi" w:cstheme="minorHAnsi"/>
                <w:szCs w:val="20"/>
              </w:rPr>
              <w:t xml:space="preserve">In some countries, </w:t>
            </w:r>
            <w:proofErr w:type="spellStart"/>
            <w:r w:rsidR="00C350F1" w:rsidRPr="002E5993">
              <w:rPr>
                <w:rFonts w:asciiTheme="minorHAnsi" w:hAnsiTheme="minorHAnsi" w:cstheme="minorHAnsi"/>
              </w:rPr>
              <w:t>MEPS</w:t>
            </w:r>
            <w:proofErr w:type="spellEnd"/>
            <w:r w:rsidR="00C350F1" w:rsidRPr="002E5993">
              <w:rPr>
                <w:rFonts w:asciiTheme="minorHAnsi" w:hAnsiTheme="minorHAnsi" w:cstheme="minorHAnsi"/>
              </w:rPr>
              <w:t xml:space="preserve"> were applied to new buildings only. However, countries are s</w:t>
            </w:r>
            <w:r w:rsidR="007C4948" w:rsidRPr="002E5993">
              <w:rPr>
                <w:rFonts w:asciiTheme="minorHAnsi" w:hAnsiTheme="minorHAnsi" w:cstheme="minorHAnsi"/>
              </w:rPr>
              <w:t>tarting to s</w:t>
            </w:r>
            <w:r w:rsidR="00C350F1" w:rsidRPr="002E5993">
              <w:rPr>
                <w:rFonts w:asciiTheme="minorHAnsi" w:hAnsiTheme="minorHAnsi" w:cstheme="minorHAnsi"/>
              </w:rPr>
              <w:t>et</w:t>
            </w:r>
            <w:r w:rsidR="007C4948" w:rsidRPr="002E5993">
              <w:rPr>
                <w:rFonts w:asciiTheme="minorHAnsi" w:hAnsiTheme="minorHAnsi" w:cstheme="minorHAnsi"/>
              </w:rPr>
              <w:t xml:space="preserve"> </w:t>
            </w:r>
            <w:proofErr w:type="spellStart"/>
            <w:r w:rsidR="007C4948" w:rsidRPr="002E5993">
              <w:rPr>
                <w:rFonts w:asciiTheme="minorHAnsi" w:hAnsiTheme="minorHAnsi" w:cstheme="minorHAnsi"/>
              </w:rPr>
              <w:t>MEPS</w:t>
            </w:r>
            <w:proofErr w:type="spellEnd"/>
            <w:r w:rsidR="007C4948" w:rsidRPr="002E5993">
              <w:rPr>
                <w:rFonts w:asciiTheme="minorHAnsi" w:hAnsiTheme="minorHAnsi" w:cstheme="minorHAnsi"/>
              </w:rPr>
              <w:t xml:space="preserve"> </w:t>
            </w:r>
            <w:r w:rsidR="00C350F1" w:rsidRPr="002E5993">
              <w:rPr>
                <w:rFonts w:asciiTheme="minorHAnsi" w:hAnsiTheme="minorHAnsi" w:cstheme="minorHAnsi"/>
              </w:rPr>
              <w:t>for existing buildings (for example</w:t>
            </w:r>
            <w:r w:rsidR="00BB2EEA" w:rsidRPr="002E5993">
              <w:rPr>
                <w:rFonts w:asciiTheme="minorHAnsi" w:hAnsiTheme="minorHAnsi" w:cstheme="minorHAnsi"/>
              </w:rPr>
              <w:t xml:space="preserve">, a </w:t>
            </w:r>
            <w:r w:rsidR="00C350F1" w:rsidRPr="002E5993">
              <w:rPr>
                <w:rFonts w:asciiTheme="minorHAnsi" w:hAnsiTheme="minorHAnsi" w:cstheme="minorHAnsi"/>
              </w:rPr>
              <w:t>minimum EPC rating of ‘E’ in EU from 2030</w:t>
            </w:r>
            <w:r w:rsidR="005419DF" w:rsidRPr="002E5993">
              <w:rPr>
                <w:rFonts w:asciiTheme="minorHAnsi" w:hAnsiTheme="minorHAnsi" w:cstheme="minorHAnsi"/>
              </w:rPr>
              <w:t xml:space="preserve"> while </w:t>
            </w:r>
            <w:r w:rsidR="005419DF" w:rsidRPr="002E5993">
              <w:rPr>
                <w:rFonts w:asciiTheme="minorHAnsi" w:hAnsiTheme="minorHAnsi" w:cstheme="minorHAnsi"/>
                <w:szCs w:val="20"/>
              </w:rPr>
              <w:t>Scotland is requiring an EPC rating of ‘C’ by 2040 in non-residential buildings &gt;1,000 square metres).</w:t>
            </w:r>
            <w:r w:rsidR="008C3D8D" w:rsidRPr="002E5993">
              <w:rPr>
                <w:rFonts w:asciiTheme="minorHAnsi" w:hAnsiTheme="minorHAnsi" w:cstheme="minorHAnsi"/>
                <w:szCs w:val="20"/>
              </w:rPr>
              <w:t xml:space="preserve"> Some countries</w:t>
            </w:r>
            <w:r w:rsidR="00663266" w:rsidRPr="002E5993">
              <w:rPr>
                <w:rFonts w:asciiTheme="minorHAnsi" w:hAnsiTheme="minorHAnsi" w:cstheme="minorHAnsi"/>
                <w:szCs w:val="20"/>
              </w:rPr>
              <w:t xml:space="preserve"> are introducing building plant specific minimum standards or phase outs, </w:t>
            </w:r>
            <w:r w:rsidR="00CF0351" w:rsidRPr="002E5993">
              <w:rPr>
                <w:rFonts w:asciiTheme="minorHAnsi" w:hAnsiTheme="minorHAnsi" w:cstheme="minorHAnsi"/>
                <w:szCs w:val="20"/>
              </w:rPr>
              <w:t>e.g</w:t>
            </w:r>
            <w:r w:rsidR="00AE40A7" w:rsidRPr="002E5993">
              <w:rPr>
                <w:rFonts w:asciiTheme="minorHAnsi" w:hAnsiTheme="minorHAnsi" w:cstheme="minorHAnsi"/>
                <w:szCs w:val="20"/>
              </w:rPr>
              <w:t>.,</w:t>
            </w:r>
            <w:r w:rsidR="00466DB7" w:rsidRPr="002E5993">
              <w:rPr>
                <w:rFonts w:asciiTheme="minorHAnsi" w:hAnsiTheme="minorHAnsi" w:cstheme="minorHAnsi"/>
                <w:szCs w:val="20"/>
              </w:rPr>
              <w:t xml:space="preserve"> prohibiting new or replaced gas boilers or even phasing these out from existing buildings.</w:t>
            </w:r>
            <w:r w:rsidR="00360CBF" w:rsidRPr="002E5993">
              <w:rPr>
                <w:rFonts w:asciiTheme="minorHAnsi" w:hAnsiTheme="minorHAnsi" w:cstheme="minorHAnsi"/>
                <w:szCs w:val="20"/>
              </w:rPr>
              <w:t xml:space="preserve"> There is typically a </w:t>
            </w:r>
            <w:r w:rsidR="00D63CDE" w:rsidRPr="002E5993">
              <w:rPr>
                <w:rFonts w:asciiTheme="minorHAnsi" w:hAnsiTheme="minorHAnsi" w:cstheme="minorHAnsi"/>
                <w:szCs w:val="20"/>
              </w:rPr>
              <w:t>4–10-year</w:t>
            </w:r>
            <w:r w:rsidR="00360CBF" w:rsidRPr="002E5993">
              <w:rPr>
                <w:rFonts w:asciiTheme="minorHAnsi" w:hAnsiTheme="minorHAnsi" w:cstheme="minorHAnsi"/>
                <w:szCs w:val="20"/>
              </w:rPr>
              <w:t xml:space="preserve"> lead time for a </w:t>
            </w:r>
            <w:proofErr w:type="spellStart"/>
            <w:r w:rsidR="00360CBF" w:rsidRPr="002E5993">
              <w:rPr>
                <w:rFonts w:asciiTheme="minorHAnsi" w:hAnsiTheme="minorHAnsi" w:cstheme="minorHAnsi"/>
                <w:szCs w:val="20"/>
              </w:rPr>
              <w:t>MEP</w:t>
            </w:r>
            <w:r w:rsidR="00AE40A7" w:rsidRPr="002E5993">
              <w:rPr>
                <w:rFonts w:asciiTheme="minorHAnsi" w:hAnsiTheme="minorHAnsi" w:cstheme="minorHAnsi"/>
                <w:szCs w:val="20"/>
              </w:rPr>
              <w:t>S</w:t>
            </w:r>
            <w:proofErr w:type="spellEnd"/>
            <w:r w:rsidR="00360CBF" w:rsidRPr="002E5993">
              <w:rPr>
                <w:rFonts w:asciiTheme="minorHAnsi" w:hAnsiTheme="minorHAnsi" w:cstheme="minorHAnsi"/>
                <w:szCs w:val="20"/>
              </w:rPr>
              <w:t xml:space="preserve"> introduction.</w:t>
            </w:r>
          </w:p>
        </w:tc>
      </w:tr>
      <w:tr w:rsidR="002D5CF2" w14:paraId="7A221891" w14:textId="3207F41C" w:rsidTr="00155DF7">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64045831" w14:textId="1A4B8DA8" w:rsidR="00075B35" w:rsidRPr="002E5993" w:rsidRDefault="001353BD" w:rsidP="00B80D2A">
            <w:pPr>
              <w:pStyle w:val="BodyText"/>
              <w:jc w:val="center"/>
              <w:rPr>
                <w:rFonts w:asciiTheme="minorHAnsi" w:hAnsiTheme="minorHAnsi" w:cstheme="minorHAnsi"/>
                <w:b w:val="0"/>
              </w:rPr>
            </w:pPr>
            <w:r w:rsidRPr="002E5993">
              <w:rPr>
                <w:rFonts w:asciiTheme="minorHAnsi" w:hAnsiTheme="minorHAnsi" w:cstheme="minorHAnsi"/>
                <w:noProof/>
              </w:rPr>
              <w:drawing>
                <wp:inline distT="0" distB="0" distL="0" distR="0" wp14:anchorId="5F86165C" wp14:editId="2B7BD540">
                  <wp:extent cx="401782" cy="40806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9"/>
                          <a:stretch>
                            <a:fillRect/>
                          </a:stretch>
                        </pic:blipFill>
                        <pic:spPr>
                          <a:xfrm>
                            <a:off x="0" y="0"/>
                            <a:ext cx="406984" cy="413343"/>
                          </a:xfrm>
                          <a:prstGeom prst="rect">
                            <a:avLst/>
                          </a:prstGeom>
                        </pic:spPr>
                      </pic:pic>
                    </a:graphicData>
                  </a:graphic>
                </wp:inline>
              </w:drawing>
            </w:r>
          </w:p>
          <w:p w14:paraId="72E7043D" w14:textId="5AA76CC3" w:rsidR="002D5CF2" w:rsidRPr="002E5993" w:rsidRDefault="00075B35" w:rsidP="00B80D2A">
            <w:pPr>
              <w:pStyle w:val="BodyText"/>
              <w:jc w:val="center"/>
              <w:rPr>
                <w:rFonts w:asciiTheme="minorHAnsi" w:hAnsiTheme="minorHAnsi" w:cstheme="minorHAnsi"/>
              </w:rPr>
            </w:pPr>
            <w:r w:rsidRPr="002E5993">
              <w:rPr>
                <w:rFonts w:asciiTheme="minorHAnsi" w:hAnsiTheme="minorHAnsi" w:cstheme="minorHAnsi"/>
              </w:rPr>
              <w:t>Target buildings are usually based on size, not building type</w:t>
            </w:r>
            <w:r w:rsidR="002D5CF2" w:rsidRPr="002E5993">
              <w:rPr>
                <w:rFonts w:asciiTheme="minorHAnsi" w:hAnsiTheme="minorHAnsi" w:cstheme="minorHAnsi"/>
              </w:rPr>
              <w:t xml:space="preserve"> </w:t>
            </w:r>
          </w:p>
        </w:tc>
        <w:tc>
          <w:tcPr>
            <w:tcW w:w="3745" w:type="dxa"/>
            <w:tcBorders>
              <w:top w:val="single" w:sz="4" w:space="0" w:color="auto"/>
              <w:left w:val="single" w:sz="4" w:space="0" w:color="auto"/>
              <w:bottom w:val="single" w:sz="4" w:space="0" w:color="auto"/>
              <w:right w:val="single" w:sz="4" w:space="0" w:color="auto"/>
            </w:tcBorders>
            <w:vAlign w:val="center"/>
          </w:tcPr>
          <w:p w14:paraId="239A8662" w14:textId="6B089E0D" w:rsidR="002D5CF2" w:rsidRPr="002E5993" w:rsidRDefault="00943053" w:rsidP="0036227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Most jurisdictions </w:t>
            </w:r>
            <w:r w:rsidR="00771B5A" w:rsidRPr="002E5993">
              <w:rPr>
                <w:rFonts w:asciiTheme="minorHAnsi" w:hAnsiTheme="minorHAnsi" w:cstheme="minorHAnsi"/>
              </w:rPr>
              <w:t xml:space="preserve">introduce mandatory disclosure to larger buildings first, regardless of the type of building it is. </w:t>
            </w:r>
            <w:r w:rsidR="0057049D" w:rsidRPr="002E5993">
              <w:rPr>
                <w:rFonts w:asciiTheme="minorHAnsi" w:hAnsiTheme="minorHAnsi" w:cstheme="minorHAnsi"/>
              </w:rPr>
              <w:t>Government</w:t>
            </w:r>
            <w:r w:rsidR="003E2279" w:rsidRPr="002E5993">
              <w:rPr>
                <w:rFonts w:asciiTheme="minorHAnsi" w:hAnsiTheme="minorHAnsi" w:cstheme="minorHAnsi"/>
              </w:rPr>
              <w:t xml:space="preserve"> or public </w:t>
            </w:r>
            <w:r w:rsidR="0057049D" w:rsidRPr="002E5993">
              <w:rPr>
                <w:rFonts w:asciiTheme="minorHAnsi" w:hAnsiTheme="minorHAnsi" w:cstheme="minorHAnsi"/>
              </w:rPr>
              <w:t xml:space="preserve">buildings </w:t>
            </w:r>
            <w:r w:rsidR="003E2279" w:rsidRPr="002E5993">
              <w:rPr>
                <w:rFonts w:asciiTheme="minorHAnsi" w:hAnsiTheme="minorHAnsi" w:cstheme="minorHAnsi"/>
              </w:rPr>
              <w:t>may be targeted first or have a lower threshold to be included</w:t>
            </w:r>
            <w:r w:rsidR="00026631" w:rsidRPr="002E5993">
              <w:rPr>
                <w:rFonts w:asciiTheme="minorHAnsi" w:hAnsiTheme="minorHAnsi" w:cstheme="minorHAnsi"/>
              </w:rPr>
              <w:t xml:space="preserve">. </w:t>
            </w:r>
            <w:r w:rsidR="00F46F8A" w:rsidRPr="002E5993">
              <w:rPr>
                <w:rFonts w:asciiTheme="minorHAnsi" w:hAnsiTheme="minorHAnsi" w:cstheme="minorHAnsi"/>
              </w:rPr>
              <w:t>If there is a choice of commercial property to include first, offices are</w:t>
            </w:r>
            <w:r w:rsidR="002F497B" w:rsidRPr="002E5993">
              <w:rPr>
                <w:rFonts w:asciiTheme="minorHAnsi" w:hAnsiTheme="minorHAnsi" w:cstheme="minorHAnsi"/>
              </w:rPr>
              <w:t xml:space="preserve"> most common (for disclosure and </w:t>
            </w:r>
            <w:proofErr w:type="spellStart"/>
            <w:r w:rsidR="002F497B" w:rsidRPr="002E5993">
              <w:rPr>
                <w:rFonts w:asciiTheme="minorHAnsi" w:hAnsiTheme="minorHAnsi" w:cstheme="minorHAnsi"/>
              </w:rPr>
              <w:t>MEPS</w:t>
            </w:r>
            <w:proofErr w:type="spellEnd"/>
            <w:r w:rsidR="002F497B" w:rsidRPr="002E5993">
              <w:rPr>
                <w:rFonts w:asciiTheme="minorHAnsi" w:hAnsiTheme="minorHAnsi" w:cstheme="minorHAnsi"/>
              </w:rPr>
              <w:t xml:space="preserve">). </w:t>
            </w:r>
            <w:r w:rsidR="00026631" w:rsidRPr="002E5993">
              <w:rPr>
                <w:rFonts w:asciiTheme="minorHAnsi" w:hAnsiTheme="minorHAnsi" w:cstheme="minorHAnsi"/>
              </w:rPr>
              <w:t xml:space="preserve"> </w:t>
            </w:r>
          </w:p>
        </w:tc>
        <w:tc>
          <w:tcPr>
            <w:tcW w:w="4387" w:type="dxa"/>
            <w:tcBorders>
              <w:top w:val="single" w:sz="4" w:space="0" w:color="auto"/>
              <w:left w:val="single" w:sz="4" w:space="0" w:color="auto"/>
              <w:bottom w:val="single" w:sz="4" w:space="0" w:color="auto"/>
              <w:right w:val="single" w:sz="4" w:space="0" w:color="auto"/>
            </w:tcBorders>
            <w:vAlign w:val="center"/>
          </w:tcPr>
          <w:p w14:paraId="00B4C075" w14:textId="24D6BA9D" w:rsidR="0057049D" w:rsidRPr="002E5993" w:rsidRDefault="0011372B" w:rsidP="0036227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Public buildings</w:t>
            </w:r>
            <w:r w:rsidR="00BB7CCF" w:rsidRPr="002E5993">
              <w:rPr>
                <w:rFonts w:asciiTheme="minorHAnsi" w:hAnsiTheme="minorHAnsi" w:cstheme="minorHAnsi"/>
              </w:rPr>
              <w:t xml:space="preserve"> including offices occupied for public </w:t>
            </w:r>
            <w:r w:rsidR="001D1044" w:rsidRPr="002E5993">
              <w:rPr>
                <w:rFonts w:asciiTheme="minorHAnsi" w:hAnsiTheme="minorHAnsi" w:cstheme="minorHAnsi"/>
              </w:rPr>
              <w:t>authorities</w:t>
            </w:r>
            <w:r w:rsidR="00BB7CCF" w:rsidRPr="002E5993">
              <w:rPr>
                <w:rFonts w:asciiTheme="minorHAnsi" w:hAnsiTheme="minorHAnsi" w:cstheme="minorHAnsi"/>
              </w:rPr>
              <w:t>, hospitals and schools</w:t>
            </w:r>
            <w:r w:rsidRPr="002E5993">
              <w:rPr>
                <w:rFonts w:asciiTheme="minorHAnsi" w:hAnsiTheme="minorHAnsi" w:cstheme="minorHAnsi"/>
              </w:rPr>
              <w:t xml:space="preserve"> are often targeted first or have lower thresholds to be included in the minimum energy standards or reporting requirements. This building stock may be considered ‘lower hanging fruit’ and an opportunity for government agencies to set an example to the private sector.</w:t>
            </w:r>
          </w:p>
        </w:tc>
      </w:tr>
      <w:tr w:rsidR="007923E7" w14:paraId="4E1903F7" w14:textId="7A2937F8" w:rsidTr="00155DF7">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7FB8EF9F" w14:textId="007785AD" w:rsidR="007923E7" w:rsidRPr="002E5993" w:rsidRDefault="00220A96" w:rsidP="00B80D2A">
            <w:pPr>
              <w:pStyle w:val="BodyText"/>
              <w:jc w:val="center"/>
              <w:rPr>
                <w:rFonts w:asciiTheme="minorHAnsi" w:hAnsiTheme="minorHAnsi" w:cstheme="minorHAnsi"/>
                <w:b w:val="0"/>
              </w:rPr>
            </w:pPr>
            <w:r w:rsidRPr="002E5993">
              <w:rPr>
                <w:rFonts w:asciiTheme="minorHAnsi" w:hAnsiTheme="minorHAnsi" w:cstheme="minorHAnsi"/>
                <w:noProof/>
              </w:rPr>
              <w:drawing>
                <wp:inline distT="0" distB="0" distL="0" distR="0" wp14:anchorId="044FFD64" wp14:editId="48B0D05E">
                  <wp:extent cx="457200" cy="4572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0"/>
                          <a:stretch>
                            <a:fillRect/>
                          </a:stretch>
                        </pic:blipFill>
                        <pic:spPr>
                          <a:xfrm>
                            <a:off x="0" y="0"/>
                            <a:ext cx="463256" cy="463256"/>
                          </a:xfrm>
                          <a:prstGeom prst="rect">
                            <a:avLst/>
                          </a:prstGeom>
                        </pic:spPr>
                      </pic:pic>
                    </a:graphicData>
                  </a:graphic>
                </wp:inline>
              </w:drawing>
            </w:r>
          </w:p>
          <w:p w14:paraId="5233EE9C" w14:textId="7D3237AF" w:rsidR="007923E7" w:rsidRPr="002E5993" w:rsidRDefault="007923E7" w:rsidP="00B80D2A">
            <w:pPr>
              <w:pStyle w:val="BodyText"/>
              <w:jc w:val="center"/>
              <w:rPr>
                <w:rFonts w:asciiTheme="minorHAnsi" w:hAnsiTheme="minorHAnsi" w:cstheme="minorHAnsi"/>
              </w:rPr>
            </w:pPr>
            <w:r w:rsidRPr="002E5993">
              <w:rPr>
                <w:rFonts w:asciiTheme="minorHAnsi" w:hAnsiTheme="minorHAnsi" w:cstheme="minorHAnsi"/>
              </w:rPr>
              <w:t>Scaled approach with significant warning</w:t>
            </w:r>
            <w:r w:rsidR="00220A96" w:rsidRPr="002E5993">
              <w:rPr>
                <w:rFonts w:asciiTheme="minorHAnsi" w:hAnsiTheme="minorHAnsi" w:cstheme="minorHAnsi"/>
              </w:rPr>
              <w:t xml:space="preserve"> to </w:t>
            </w:r>
            <w:r w:rsidR="004A053A" w:rsidRPr="002E5993">
              <w:rPr>
                <w:rFonts w:asciiTheme="minorHAnsi" w:hAnsiTheme="minorHAnsi" w:cstheme="minorHAnsi"/>
              </w:rPr>
              <w:t>sector</w:t>
            </w:r>
          </w:p>
        </w:tc>
        <w:tc>
          <w:tcPr>
            <w:tcW w:w="3745" w:type="dxa"/>
            <w:tcBorders>
              <w:top w:val="single" w:sz="4" w:space="0" w:color="auto"/>
              <w:left w:val="single" w:sz="4" w:space="0" w:color="auto"/>
              <w:bottom w:val="single" w:sz="4" w:space="0" w:color="auto"/>
              <w:right w:val="single" w:sz="4" w:space="0" w:color="auto"/>
            </w:tcBorders>
            <w:vAlign w:val="center"/>
          </w:tcPr>
          <w:p w14:paraId="2D55C2A5" w14:textId="75C2AA6B" w:rsidR="007923E7" w:rsidRPr="002E5993" w:rsidRDefault="00E070DE" w:rsidP="0036227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Usually there is significant lead time </w:t>
            </w:r>
            <w:r w:rsidR="005C1825" w:rsidRPr="002E5993">
              <w:rPr>
                <w:rFonts w:asciiTheme="minorHAnsi" w:hAnsiTheme="minorHAnsi" w:cstheme="minorHAnsi"/>
              </w:rPr>
              <w:t xml:space="preserve">(2+ years) </w:t>
            </w:r>
            <w:r w:rsidRPr="002E5993">
              <w:rPr>
                <w:rFonts w:asciiTheme="minorHAnsi" w:hAnsiTheme="minorHAnsi" w:cstheme="minorHAnsi"/>
              </w:rPr>
              <w:t xml:space="preserve">before the introduction of mandatory disclosure. </w:t>
            </w:r>
            <w:r w:rsidR="00DF6615" w:rsidRPr="002E5993">
              <w:rPr>
                <w:rFonts w:asciiTheme="minorHAnsi" w:hAnsiTheme="minorHAnsi" w:cstheme="minorHAnsi"/>
              </w:rPr>
              <w:t>A scaled approach is undertaken, where large buildings are targeted first</w:t>
            </w:r>
            <w:r w:rsidR="00767674" w:rsidRPr="002E5993">
              <w:rPr>
                <w:rFonts w:asciiTheme="minorHAnsi" w:hAnsiTheme="minorHAnsi" w:cstheme="minorHAnsi"/>
              </w:rPr>
              <w:t xml:space="preserve"> </w:t>
            </w:r>
            <w:r w:rsidR="00DF6615" w:rsidRPr="002E5993">
              <w:rPr>
                <w:rFonts w:asciiTheme="minorHAnsi" w:hAnsiTheme="minorHAnsi" w:cstheme="minorHAnsi"/>
              </w:rPr>
              <w:t>and then the threshold for inclusion reduces. This phased approach can be short (</w:t>
            </w:r>
            <w:r w:rsidR="00531B6D" w:rsidRPr="002E5993">
              <w:rPr>
                <w:rFonts w:asciiTheme="minorHAnsi" w:hAnsiTheme="minorHAnsi" w:cstheme="minorHAnsi"/>
              </w:rPr>
              <w:t xml:space="preserve">&lt;1 </w:t>
            </w:r>
            <w:r w:rsidR="00DF6615" w:rsidRPr="002E5993">
              <w:rPr>
                <w:rFonts w:asciiTheme="minorHAnsi" w:hAnsiTheme="minorHAnsi" w:cstheme="minorHAnsi"/>
              </w:rPr>
              <w:t>year) or long (3+ years)</w:t>
            </w:r>
            <w:r w:rsidR="00F015CD" w:rsidRPr="002E5993">
              <w:rPr>
                <w:rFonts w:asciiTheme="minorHAnsi" w:hAnsiTheme="minorHAnsi" w:cstheme="minorHAnsi"/>
              </w:rPr>
              <w:t>.</w:t>
            </w:r>
          </w:p>
        </w:tc>
        <w:tc>
          <w:tcPr>
            <w:tcW w:w="4387" w:type="dxa"/>
            <w:tcBorders>
              <w:top w:val="single" w:sz="4" w:space="0" w:color="auto"/>
              <w:left w:val="single" w:sz="4" w:space="0" w:color="auto"/>
              <w:bottom w:val="single" w:sz="4" w:space="0" w:color="auto"/>
              <w:right w:val="single" w:sz="4" w:space="0" w:color="auto"/>
            </w:tcBorders>
            <w:vAlign w:val="center"/>
          </w:tcPr>
          <w:p w14:paraId="2B5736C5" w14:textId="5FC822F5" w:rsidR="0057049D" w:rsidRPr="002E5993" w:rsidRDefault="007906BF" w:rsidP="0036227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This is in line with the </w:t>
            </w:r>
            <w:r w:rsidR="000244C9" w:rsidRPr="002E5993">
              <w:rPr>
                <w:rFonts w:asciiTheme="minorHAnsi" w:hAnsiTheme="minorHAnsi" w:cstheme="minorHAnsi"/>
              </w:rPr>
              <w:t>comments made under ‘disclosure’</w:t>
            </w:r>
            <w:r w:rsidR="008E3B5F" w:rsidRPr="002E5993">
              <w:rPr>
                <w:rFonts w:asciiTheme="minorHAnsi" w:hAnsiTheme="minorHAnsi" w:cstheme="minorHAnsi"/>
              </w:rPr>
              <w:t xml:space="preserve">, although lead times are typically </w:t>
            </w:r>
            <w:r w:rsidR="008C3D8D" w:rsidRPr="002E5993">
              <w:rPr>
                <w:rFonts w:asciiTheme="minorHAnsi" w:hAnsiTheme="minorHAnsi" w:cstheme="minorHAnsi"/>
              </w:rPr>
              <w:t xml:space="preserve">longer for the introduction of </w:t>
            </w:r>
            <w:proofErr w:type="spellStart"/>
            <w:r w:rsidR="008C3D8D" w:rsidRPr="002E5993">
              <w:rPr>
                <w:rFonts w:asciiTheme="minorHAnsi" w:hAnsiTheme="minorHAnsi" w:cstheme="minorHAnsi"/>
              </w:rPr>
              <w:t>MEPS</w:t>
            </w:r>
            <w:proofErr w:type="spellEnd"/>
            <w:r w:rsidR="008C3D8D" w:rsidRPr="002E5993">
              <w:rPr>
                <w:rFonts w:asciiTheme="minorHAnsi" w:hAnsiTheme="minorHAnsi" w:cstheme="minorHAnsi"/>
              </w:rPr>
              <w:t>.</w:t>
            </w:r>
          </w:p>
        </w:tc>
      </w:tr>
      <w:tr w:rsidR="000244C9" w14:paraId="057307F8" w14:textId="77777777" w:rsidTr="00155DF7">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6ECD403A" w14:textId="77777777" w:rsidR="000244C9" w:rsidRPr="002E5993" w:rsidRDefault="000244C9" w:rsidP="00B80D2A">
            <w:pPr>
              <w:pStyle w:val="BodyText"/>
              <w:jc w:val="center"/>
              <w:rPr>
                <w:rFonts w:asciiTheme="minorHAnsi" w:hAnsiTheme="minorHAnsi" w:cstheme="minorHAnsi"/>
                <w:b w:val="0"/>
              </w:rPr>
            </w:pPr>
            <w:r w:rsidRPr="002E5993">
              <w:rPr>
                <w:rFonts w:asciiTheme="minorHAnsi" w:hAnsiTheme="minorHAnsi" w:cstheme="minorHAnsi"/>
                <w:noProof/>
              </w:rPr>
              <w:drawing>
                <wp:inline distT="0" distB="0" distL="0" distR="0" wp14:anchorId="33E76819" wp14:editId="42367101">
                  <wp:extent cx="499110" cy="49911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31"/>
                          <a:stretch>
                            <a:fillRect/>
                          </a:stretch>
                        </pic:blipFill>
                        <pic:spPr>
                          <a:xfrm>
                            <a:off x="0" y="0"/>
                            <a:ext cx="502172" cy="502172"/>
                          </a:xfrm>
                          <a:prstGeom prst="rect">
                            <a:avLst/>
                          </a:prstGeom>
                        </pic:spPr>
                      </pic:pic>
                    </a:graphicData>
                  </a:graphic>
                </wp:inline>
              </w:drawing>
            </w:r>
            <w:r w:rsidRPr="002E5993">
              <w:rPr>
                <w:rFonts w:asciiTheme="minorHAnsi" w:hAnsiTheme="minorHAnsi" w:cstheme="minorHAnsi"/>
              </w:rPr>
              <w:t xml:space="preserve"> </w:t>
            </w:r>
          </w:p>
          <w:p w14:paraId="66E60769" w14:textId="5A591687" w:rsidR="000244C9" w:rsidRPr="002E5993" w:rsidRDefault="000E3F3A" w:rsidP="00B80D2A">
            <w:pPr>
              <w:pStyle w:val="BodyText"/>
              <w:jc w:val="center"/>
              <w:rPr>
                <w:rFonts w:asciiTheme="minorHAnsi" w:hAnsiTheme="minorHAnsi" w:cstheme="minorHAnsi"/>
              </w:rPr>
            </w:pPr>
            <w:r w:rsidRPr="002E5993">
              <w:rPr>
                <w:rFonts w:asciiTheme="minorHAnsi" w:hAnsiTheme="minorHAnsi" w:cstheme="minorHAnsi"/>
              </w:rPr>
              <w:t xml:space="preserve">Convergence </w:t>
            </w:r>
            <w:r w:rsidR="00A9566E" w:rsidRPr="002E5993">
              <w:rPr>
                <w:rFonts w:asciiTheme="minorHAnsi" w:hAnsiTheme="minorHAnsi" w:cstheme="minorHAnsi"/>
              </w:rPr>
              <w:t>to</w:t>
            </w:r>
            <w:r w:rsidRPr="002E5993">
              <w:rPr>
                <w:rFonts w:asciiTheme="minorHAnsi" w:hAnsiTheme="minorHAnsi" w:cstheme="minorHAnsi"/>
              </w:rPr>
              <w:t xml:space="preserve"> </w:t>
            </w:r>
            <w:r w:rsidR="000244C9" w:rsidRPr="002E5993">
              <w:rPr>
                <w:rFonts w:asciiTheme="minorHAnsi" w:hAnsiTheme="minorHAnsi" w:cstheme="minorHAnsi"/>
              </w:rPr>
              <w:t>performance</w:t>
            </w:r>
            <w:r w:rsidR="00F2237F" w:rsidRPr="002E5993">
              <w:rPr>
                <w:rFonts w:asciiTheme="minorHAnsi" w:hAnsiTheme="minorHAnsi" w:cstheme="minorHAnsi"/>
              </w:rPr>
              <w:t>-</w:t>
            </w:r>
            <w:r w:rsidR="000244C9" w:rsidRPr="002E5993">
              <w:rPr>
                <w:rFonts w:asciiTheme="minorHAnsi" w:hAnsiTheme="minorHAnsi" w:cstheme="minorHAnsi"/>
              </w:rPr>
              <w:t>based</w:t>
            </w:r>
            <w:r w:rsidR="002B7E5E" w:rsidRPr="002E5993">
              <w:rPr>
                <w:rFonts w:asciiTheme="minorHAnsi" w:hAnsiTheme="minorHAnsi" w:cstheme="minorHAnsi"/>
              </w:rPr>
              <w:t xml:space="preserve"> schemes</w:t>
            </w:r>
            <w:r w:rsidR="00376B12" w:rsidRPr="002E5993">
              <w:rPr>
                <w:rFonts w:asciiTheme="minorHAnsi" w:hAnsiTheme="minorHAnsi" w:cstheme="minorHAnsi"/>
              </w:rPr>
              <w:t xml:space="preserve"> and primary energy consumption caps</w:t>
            </w:r>
          </w:p>
        </w:tc>
        <w:tc>
          <w:tcPr>
            <w:tcW w:w="3745" w:type="dxa"/>
            <w:tcBorders>
              <w:top w:val="single" w:sz="4" w:space="0" w:color="auto"/>
              <w:left w:val="single" w:sz="4" w:space="0" w:color="auto"/>
              <w:bottom w:val="single" w:sz="4" w:space="0" w:color="auto"/>
              <w:right w:val="single" w:sz="4" w:space="0" w:color="auto"/>
            </w:tcBorders>
            <w:vAlign w:val="center"/>
          </w:tcPr>
          <w:p w14:paraId="21B738D0" w14:textId="030FB7F3" w:rsidR="000244C9" w:rsidRPr="002E5993" w:rsidRDefault="00F2237F" w:rsidP="0036227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Some countries have always disclosed performance-based schemes whereas others have focused on attribute-based schemes. </w:t>
            </w:r>
            <w:r w:rsidR="004C7C50" w:rsidRPr="002E5993">
              <w:rPr>
                <w:rFonts w:asciiTheme="minorHAnsi" w:hAnsiTheme="minorHAnsi" w:cstheme="minorHAnsi"/>
              </w:rPr>
              <w:t xml:space="preserve">The general momentum </w:t>
            </w:r>
            <w:r w:rsidR="00056C16" w:rsidRPr="002E5993">
              <w:rPr>
                <w:rFonts w:asciiTheme="minorHAnsi" w:hAnsiTheme="minorHAnsi" w:cstheme="minorHAnsi"/>
              </w:rPr>
              <w:t>is</w:t>
            </w:r>
            <w:r w:rsidR="00B06552" w:rsidRPr="002E5993">
              <w:rPr>
                <w:rFonts w:asciiTheme="minorHAnsi" w:hAnsiTheme="minorHAnsi" w:cstheme="minorHAnsi"/>
              </w:rPr>
              <w:t xml:space="preserve"> across </w:t>
            </w:r>
            <w:proofErr w:type="gramStart"/>
            <w:r w:rsidR="00B06552" w:rsidRPr="002E5993">
              <w:rPr>
                <w:rFonts w:asciiTheme="minorHAnsi" w:hAnsiTheme="minorHAnsi" w:cstheme="minorHAnsi"/>
              </w:rPr>
              <w:t>a number of</w:t>
            </w:r>
            <w:proofErr w:type="gramEnd"/>
            <w:r w:rsidR="00B06552" w:rsidRPr="002E5993">
              <w:rPr>
                <w:rFonts w:asciiTheme="minorHAnsi" w:hAnsiTheme="minorHAnsi" w:cstheme="minorHAnsi"/>
              </w:rPr>
              <w:t xml:space="preserve"> countries such as</w:t>
            </w:r>
            <w:r w:rsidR="00B22C8F" w:rsidRPr="002E5993">
              <w:rPr>
                <w:rFonts w:asciiTheme="minorHAnsi" w:hAnsiTheme="minorHAnsi" w:cstheme="minorHAnsi"/>
              </w:rPr>
              <w:t xml:space="preserve"> France and </w:t>
            </w:r>
            <w:r w:rsidR="00B06552" w:rsidRPr="002E5993">
              <w:rPr>
                <w:rFonts w:asciiTheme="minorHAnsi" w:hAnsiTheme="minorHAnsi" w:cstheme="minorHAnsi"/>
              </w:rPr>
              <w:t xml:space="preserve">the </w:t>
            </w:r>
            <w:r w:rsidR="00B22C8F" w:rsidRPr="002E5993">
              <w:rPr>
                <w:rFonts w:asciiTheme="minorHAnsi" w:hAnsiTheme="minorHAnsi" w:cstheme="minorHAnsi"/>
              </w:rPr>
              <w:t xml:space="preserve">UK, </w:t>
            </w:r>
            <w:r w:rsidR="00747723" w:rsidRPr="002E5993">
              <w:rPr>
                <w:rFonts w:asciiTheme="minorHAnsi" w:hAnsiTheme="minorHAnsi" w:cstheme="minorHAnsi"/>
              </w:rPr>
              <w:t xml:space="preserve">show a </w:t>
            </w:r>
            <w:r w:rsidR="00B22C8F" w:rsidRPr="002E5993">
              <w:rPr>
                <w:rFonts w:asciiTheme="minorHAnsi" w:hAnsiTheme="minorHAnsi" w:cstheme="minorHAnsi"/>
              </w:rPr>
              <w:t xml:space="preserve">transitioning towards performance-based schemes while </w:t>
            </w:r>
            <w:r w:rsidR="000E3F3A" w:rsidRPr="002E5993">
              <w:rPr>
                <w:rFonts w:asciiTheme="minorHAnsi" w:hAnsiTheme="minorHAnsi" w:cstheme="minorHAnsi"/>
              </w:rPr>
              <w:t xml:space="preserve">keeping the attribute-based scheme (e.g. the EPC). </w:t>
            </w:r>
          </w:p>
        </w:tc>
        <w:tc>
          <w:tcPr>
            <w:tcW w:w="4387" w:type="dxa"/>
            <w:tcBorders>
              <w:top w:val="single" w:sz="4" w:space="0" w:color="auto"/>
              <w:left w:val="single" w:sz="4" w:space="0" w:color="auto"/>
              <w:bottom w:val="single" w:sz="4" w:space="0" w:color="auto"/>
              <w:right w:val="single" w:sz="4" w:space="0" w:color="auto"/>
            </w:tcBorders>
            <w:vAlign w:val="center"/>
          </w:tcPr>
          <w:p w14:paraId="1DD1C39A" w14:textId="77777777" w:rsidR="000244C9" w:rsidRPr="002E5993" w:rsidRDefault="00B84D78" w:rsidP="000244C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Trends </w:t>
            </w:r>
            <w:r w:rsidR="007D76BD" w:rsidRPr="002E5993">
              <w:rPr>
                <w:rFonts w:asciiTheme="minorHAnsi" w:hAnsiTheme="minorHAnsi" w:cstheme="minorHAnsi"/>
              </w:rPr>
              <w:t>show a</w:t>
            </w:r>
            <w:r w:rsidRPr="002E5993">
              <w:rPr>
                <w:rFonts w:asciiTheme="minorHAnsi" w:hAnsiTheme="minorHAnsi" w:cstheme="minorHAnsi"/>
              </w:rPr>
              <w:t xml:space="preserve"> converg</w:t>
            </w:r>
            <w:r w:rsidR="007D76BD" w:rsidRPr="002E5993">
              <w:rPr>
                <w:rFonts w:asciiTheme="minorHAnsi" w:hAnsiTheme="minorHAnsi" w:cstheme="minorHAnsi"/>
              </w:rPr>
              <w:t>ence in</w:t>
            </w:r>
            <w:r w:rsidR="000244C9" w:rsidRPr="002E5993">
              <w:rPr>
                <w:rFonts w:asciiTheme="minorHAnsi" w:hAnsiTheme="minorHAnsi" w:cstheme="minorHAnsi"/>
              </w:rPr>
              <w:t xml:space="preserve"> attribute-based ratings with performance-based ratings</w:t>
            </w:r>
            <w:r w:rsidR="00430A56" w:rsidRPr="002E5993">
              <w:rPr>
                <w:rFonts w:asciiTheme="minorHAnsi" w:hAnsiTheme="minorHAnsi" w:cstheme="minorHAnsi"/>
              </w:rPr>
              <w:t>. Rather</w:t>
            </w:r>
            <w:r w:rsidR="000244C9" w:rsidRPr="002E5993">
              <w:rPr>
                <w:rFonts w:asciiTheme="minorHAnsi" w:hAnsiTheme="minorHAnsi" w:cstheme="minorHAnsi"/>
              </w:rPr>
              <w:t xml:space="preserve"> than </w:t>
            </w:r>
            <w:r w:rsidR="00430A56" w:rsidRPr="002E5993">
              <w:rPr>
                <w:rFonts w:asciiTheme="minorHAnsi" w:hAnsiTheme="minorHAnsi" w:cstheme="minorHAnsi"/>
              </w:rPr>
              <w:t xml:space="preserve">only </w:t>
            </w:r>
            <w:r w:rsidR="000244C9" w:rsidRPr="002E5993">
              <w:rPr>
                <w:rFonts w:asciiTheme="minorHAnsi" w:hAnsiTheme="minorHAnsi" w:cstheme="minorHAnsi"/>
              </w:rPr>
              <w:t>relying on attributes such as insulation, lighting, and heating</w:t>
            </w:r>
            <w:r w:rsidR="007D76BD" w:rsidRPr="002E5993">
              <w:rPr>
                <w:rFonts w:asciiTheme="minorHAnsi" w:hAnsiTheme="minorHAnsi" w:cstheme="minorHAnsi"/>
              </w:rPr>
              <w:t xml:space="preserve"> which gives a potential energy performance rating, some jurisdictions are </w:t>
            </w:r>
            <w:r w:rsidR="00C05209" w:rsidRPr="002E5993">
              <w:rPr>
                <w:rFonts w:asciiTheme="minorHAnsi" w:hAnsiTheme="minorHAnsi" w:cstheme="minorHAnsi"/>
              </w:rPr>
              <w:t>including actual energy consumption.</w:t>
            </w:r>
            <w:r w:rsidR="000244C9" w:rsidRPr="002E5993">
              <w:rPr>
                <w:rFonts w:asciiTheme="minorHAnsi" w:hAnsiTheme="minorHAnsi" w:cstheme="minorHAnsi"/>
              </w:rPr>
              <w:t xml:space="preserve"> For example, England and Wales will be targeting energy consumption from large commercial buildings (&gt;1,000 square metres)</w:t>
            </w:r>
            <w:r w:rsidR="0002376A" w:rsidRPr="002E5993">
              <w:rPr>
                <w:rFonts w:asciiTheme="minorHAnsi" w:hAnsiTheme="minorHAnsi" w:cstheme="minorHAnsi"/>
              </w:rPr>
              <w:t>, and France has set energy consumption targets for commercial buildings.</w:t>
            </w:r>
            <w:r w:rsidR="00376B12" w:rsidRPr="002E5993">
              <w:rPr>
                <w:rFonts w:asciiTheme="minorHAnsi" w:hAnsiTheme="minorHAnsi" w:cstheme="minorHAnsi"/>
              </w:rPr>
              <w:t xml:space="preserve"> </w:t>
            </w:r>
          </w:p>
          <w:p w14:paraId="0D0B4C19" w14:textId="00803DDF" w:rsidR="000244C9" w:rsidRPr="002E5993" w:rsidRDefault="00376B12" w:rsidP="000244C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Germany, </w:t>
            </w:r>
            <w:proofErr w:type="gramStart"/>
            <w:r w:rsidRPr="002E5993">
              <w:rPr>
                <w:rFonts w:asciiTheme="minorHAnsi" w:hAnsiTheme="minorHAnsi" w:cstheme="minorHAnsi"/>
              </w:rPr>
              <w:t>France</w:t>
            </w:r>
            <w:proofErr w:type="gramEnd"/>
            <w:r w:rsidRPr="002E5993">
              <w:rPr>
                <w:rFonts w:asciiTheme="minorHAnsi" w:hAnsiTheme="minorHAnsi" w:cstheme="minorHAnsi"/>
              </w:rPr>
              <w:t xml:space="preserve"> and the Netherlands use building-based caps on </w:t>
            </w:r>
            <w:r w:rsidR="00487A00" w:rsidRPr="002E5993">
              <w:rPr>
                <w:rFonts w:asciiTheme="minorHAnsi" w:hAnsiTheme="minorHAnsi" w:cstheme="minorHAnsi"/>
              </w:rPr>
              <w:t xml:space="preserve">energy consumption </w:t>
            </w:r>
            <w:r w:rsidR="00DE50F4" w:rsidRPr="002E5993">
              <w:rPr>
                <w:rFonts w:asciiTheme="minorHAnsi" w:hAnsiTheme="minorHAnsi" w:cstheme="minorHAnsi"/>
              </w:rPr>
              <w:t>allowed</w:t>
            </w:r>
            <w:r w:rsidRPr="002E5993">
              <w:rPr>
                <w:rFonts w:asciiTheme="minorHAnsi" w:hAnsiTheme="minorHAnsi" w:cstheme="minorHAnsi"/>
              </w:rPr>
              <w:t xml:space="preserve"> per square metre. </w:t>
            </w:r>
          </w:p>
        </w:tc>
      </w:tr>
      <w:tr w:rsidR="005C211E" w14:paraId="60638483" w14:textId="3EB732F6" w:rsidTr="00155DF7">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519F83DA" w14:textId="2439B1CF" w:rsidR="00F72B46" w:rsidRPr="002E5993" w:rsidRDefault="0057049D" w:rsidP="001009E3">
            <w:pPr>
              <w:pStyle w:val="BodyText"/>
              <w:spacing w:after="0"/>
              <w:jc w:val="center"/>
              <w:rPr>
                <w:rFonts w:asciiTheme="minorHAnsi" w:hAnsiTheme="minorHAnsi" w:cstheme="minorHAnsi"/>
                <w:b w:val="0"/>
              </w:rPr>
            </w:pPr>
            <w:r w:rsidRPr="002E5993">
              <w:rPr>
                <w:rFonts w:asciiTheme="minorHAnsi" w:hAnsiTheme="minorHAnsi" w:cstheme="minorHAnsi"/>
                <w:noProof/>
              </w:rPr>
              <w:lastRenderedPageBreak/>
              <w:drawing>
                <wp:inline distT="0" distB="0" distL="0" distR="0" wp14:anchorId="546729DD" wp14:editId="3D99F873">
                  <wp:extent cx="449811" cy="449811"/>
                  <wp:effectExtent l="0" t="0" r="762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2"/>
                          <a:stretch>
                            <a:fillRect/>
                          </a:stretch>
                        </pic:blipFill>
                        <pic:spPr>
                          <a:xfrm>
                            <a:off x="0" y="0"/>
                            <a:ext cx="455729" cy="455729"/>
                          </a:xfrm>
                          <a:prstGeom prst="rect">
                            <a:avLst/>
                          </a:prstGeom>
                        </pic:spPr>
                      </pic:pic>
                    </a:graphicData>
                  </a:graphic>
                </wp:inline>
              </w:drawing>
            </w:r>
          </w:p>
          <w:p w14:paraId="6FDCD321" w14:textId="68103A75" w:rsidR="005C211E" w:rsidRPr="002E5993" w:rsidRDefault="005C211E" w:rsidP="00B80D2A">
            <w:pPr>
              <w:pStyle w:val="BodyText"/>
              <w:jc w:val="center"/>
              <w:rPr>
                <w:rFonts w:asciiTheme="minorHAnsi" w:hAnsiTheme="minorHAnsi" w:cstheme="minorHAnsi"/>
              </w:rPr>
            </w:pPr>
            <w:r w:rsidRPr="002E5993">
              <w:rPr>
                <w:rFonts w:asciiTheme="minorHAnsi" w:hAnsiTheme="minorHAnsi" w:cstheme="minorHAnsi"/>
              </w:rPr>
              <w:t xml:space="preserve">Disclosure usually required upon </w:t>
            </w:r>
            <w:r w:rsidR="00397A01" w:rsidRPr="002E5993">
              <w:rPr>
                <w:rFonts w:asciiTheme="minorHAnsi" w:hAnsiTheme="minorHAnsi" w:cstheme="minorHAnsi"/>
              </w:rPr>
              <w:t>sale or lease</w:t>
            </w:r>
            <w:r w:rsidR="00B4587F" w:rsidRPr="002E5993">
              <w:rPr>
                <w:rFonts w:asciiTheme="minorHAnsi" w:hAnsiTheme="minorHAnsi" w:cstheme="minorHAnsi"/>
              </w:rPr>
              <w:t>, or major renovation</w:t>
            </w:r>
          </w:p>
        </w:tc>
        <w:tc>
          <w:tcPr>
            <w:tcW w:w="3745" w:type="dxa"/>
            <w:tcBorders>
              <w:top w:val="single" w:sz="4" w:space="0" w:color="auto"/>
              <w:left w:val="single" w:sz="4" w:space="0" w:color="auto"/>
              <w:bottom w:val="single" w:sz="4" w:space="0" w:color="auto"/>
              <w:right w:val="single" w:sz="4" w:space="0" w:color="auto"/>
            </w:tcBorders>
            <w:vAlign w:val="center"/>
          </w:tcPr>
          <w:p w14:paraId="059C833E" w14:textId="3F90ADBB" w:rsidR="005C211E" w:rsidRPr="002E5993" w:rsidRDefault="00630310" w:rsidP="0036227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It is most common to require </w:t>
            </w:r>
            <w:r w:rsidR="000A18B9" w:rsidRPr="002E5993">
              <w:rPr>
                <w:rFonts w:asciiTheme="minorHAnsi" w:hAnsiTheme="minorHAnsi" w:cstheme="minorHAnsi"/>
              </w:rPr>
              <w:t xml:space="preserve">CBD </w:t>
            </w:r>
            <w:r w:rsidR="000777F6" w:rsidRPr="002E5993">
              <w:rPr>
                <w:rFonts w:asciiTheme="minorHAnsi" w:hAnsiTheme="minorHAnsi" w:cstheme="minorHAnsi"/>
              </w:rPr>
              <w:t>upon sale or lease</w:t>
            </w:r>
            <w:r w:rsidR="001D781D" w:rsidRPr="002E5993">
              <w:rPr>
                <w:rFonts w:asciiTheme="minorHAnsi" w:hAnsiTheme="minorHAnsi" w:cstheme="minorHAnsi"/>
              </w:rPr>
              <w:t xml:space="preserve"> of a property</w:t>
            </w:r>
            <w:r w:rsidR="000777F6" w:rsidRPr="002E5993">
              <w:rPr>
                <w:rFonts w:asciiTheme="minorHAnsi" w:hAnsiTheme="minorHAnsi" w:cstheme="minorHAnsi"/>
              </w:rPr>
              <w:t>, or major renovation</w:t>
            </w:r>
            <w:r w:rsidR="001D781D" w:rsidRPr="002E5993">
              <w:rPr>
                <w:rFonts w:asciiTheme="minorHAnsi" w:hAnsiTheme="minorHAnsi" w:cstheme="minorHAnsi"/>
              </w:rPr>
              <w:t xml:space="preserve">. </w:t>
            </w:r>
            <w:r w:rsidR="006F50E2" w:rsidRPr="002E5993">
              <w:rPr>
                <w:rFonts w:asciiTheme="minorHAnsi" w:hAnsiTheme="minorHAnsi" w:cstheme="minorHAnsi"/>
              </w:rPr>
              <w:t xml:space="preserve">This will be valid for a certain time (e.g. 10 years) and in some cases will need to be placed in the foyer or other regularly visited area within the building. </w:t>
            </w:r>
          </w:p>
        </w:tc>
        <w:tc>
          <w:tcPr>
            <w:tcW w:w="4387" w:type="dxa"/>
            <w:tcBorders>
              <w:top w:val="single" w:sz="4" w:space="0" w:color="auto"/>
              <w:left w:val="single" w:sz="4" w:space="0" w:color="auto"/>
              <w:bottom w:val="single" w:sz="4" w:space="0" w:color="auto"/>
              <w:right w:val="single" w:sz="4" w:space="0" w:color="auto"/>
            </w:tcBorders>
            <w:vAlign w:val="center"/>
          </w:tcPr>
          <w:p w14:paraId="021E48FE" w14:textId="6D91BCCE" w:rsidR="0057049D" w:rsidRPr="002E5993" w:rsidRDefault="00F4463F" w:rsidP="0036227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2E5993">
              <w:rPr>
                <w:rFonts w:asciiTheme="minorHAnsi" w:hAnsiTheme="minorHAnsi" w:cstheme="minorHAnsi"/>
              </w:rPr>
              <w:t>MEPS</w:t>
            </w:r>
            <w:proofErr w:type="spellEnd"/>
            <w:r w:rsidRPr="002E5993">
              <w:rPr>
                <w:rFonts w:asciiTheme="minorHAnsi" w:hAnsiTheme="minorHAnsi" w:cstheme="minorHAnsi"/>
              </w:rPr>
              <w:t xml:space="preserve"> are often introduced </w:t>
            </w:r>
            <w:r w:rsidR="001E5F4E" w:rsidRPr="002E5993">
              <w:rPr>
                <w:rFonts w:asciiTheme="minorHAnsi" w:hAnsiTheme="minorHAnsi" w:cstheme="minorHAnsi"/>
              </w:rPr>
              <w:t xml:space="preserve">via </w:t>
            </w:r>
            <w:r w:rsidR="00ED1902" w:rsidRPr="002E5993">
              <w:rPr>
                <w:rFonts w:asciiTheme="minorHAnsi" w:hAnsiTheme="minorHAnsi" w:cstheme="minorHAnsi"/>
              </w:rPr>
              <w:t xml:space="preserve">similar trigger points </w:t>
            </w:r>
            <w:r w:rsidR="006619CD" w:rsidRPr="002E5993">
              <w:rPr>
                <w:rFonts w:asciiTheme="minorHAnsi" w:hAnsiTheme="minorHAnsi" w:cstheme="minorHAnsi"/>
              </w:rPr>
              <w:t xml:space="preserve">to CBD </w:t>
            </w:r>
            <w:r w:rsidR="00ED1902" w:rsidRPr="002E5993">
              <w:rPr>
                <w:rFonts w:asciiTheme="minorHAnsi" w:hAnsiTheme="minorHAnsi" w:cstheme="minorHAnsi"/>
              </w:rPr>
              <w:t>(</w:t>
            </w:r>
            <w:r w:rsidR="00CF0351" w:rsidRPr="002E5993">
              <w:rPr>
                <w:rFonts w:asciiTheme="minorHAnsi" w:hAnsiTheme="minorHAnsi" w:cstheme="minorHAnsi"/>
              </w:rPr>
              <w:t>e.g</w:t>
            </w:r>
            <w:r w:rsidR="00AE40A7" w:rsidRPr="002E5993">
              <w:rPr>
                <w:rFonts w:asciiTheme="minorHAnsi" w:hAnsiTheme="minorHAnsi" w:cstheme="minorHAnsi"/>
              </w:rPr>
              <w:t>.,</w:t>
            </w:r>
            <w:r w:rsidR="00ED1902" w:rsidRPr="002E5993">
              <w:rPr>
                <w:rFonts w:asciiTheme="minorHAnsi" w:hAnsiTheme="minorHAnsi" w:cstheme="minorHAnsi"/>
              </w:rPr>
              <w:t xml:space="preserve"> </w:t>
            </w:r>
            <w:r w:rsidR="006619CD" w:rsidRPr="002E5993">
              <w:rPr>
                <w:rFonts w:asciiTheme="minorHAnsi" w:hAnsiTheme="minorHAnsi" w:cstheme="minorHAnsi"/>
              </w:rPr>
              <w:t xml:space="preserve">minimum ratings required for </w:t>
            </w:r>
            <w:r w:rsidR="00ED1902" w:rsidRPr="002E5993">
              <w:rPr>
                <w:rFonts w:asciiTheme="minorHAnsi" w:hAnsiTheme="minorHAnsi" w:cstheme="minorHAnsi"/>
              </w:rPr>
              <w:t xml:space="preserve">sale or lease of </w:t>
            </w:r>
            <w:r w:rsidR="006619CD" w:rsidRPr="002E5993">
              <w:rPr>
                <w:rFonts w:asciiTheme="minorHAnsi" w:hAnsiTheme="minorHAnsi" w:cstheme="minorHAnsi"/>
              </w:rPr>
              <w:t>a property</w:t>
            </w:r>
            <w:r w:rsidR="002A7455" w:rsidRPr="002E5993">
              <w:rPr>
                <w:rFonts w:asciiTheme="minorHAnsi" w:hAnsiTheme="minorHAnsi" w:cstheme="minorHAnsi"/>
              </w:rPr>
              <w:t xml:space="preserve"> after a certain point). </w:t>
            </w:r>
            <w:proofErr w:type="spellStart"/>
            <w:r w:rsidR="002A7455" w:rsidRPr="002E5993">
              <w:rPr>
                <w:rFonts w:asciiTheme="minorHAnsi" w:hAnsiTheme="minorHAnsi" w:cstheme="minorHAnsi"/>
              </w:rPr>
              <w:t>MEPS</w:t>
            </w:r>
            <w:proofErr w:type="spellEnd"/>
            <w:r w:rsidR="002A7455" w:rsidRPr="002E5993">
              <w:rPr>
                <w:rFonts w:asciiTheme="minorHAnsi" w:hAnsiTheme="minorHAnsi" w:cstheme="minorHAnsi"/>
              </w:rPr>
              <w:t xml:space="preserve"> </w:t>
            </w:r>
            <w:r w:rsidR="002E015B" w:rsidRPr="002E5993">
              <w:rPr>
                <w:rFonts w:asciiTheme="minorHAnsi" w:hAnsiTheme="minorHAnsi" w:cstheme="minorHAnsi"/>
              </w:rPr>
              <w:t xml:space="preserve">on building plants </w:t>
            </w:r>
            <w:proofErr w:type="gramStart"/>
            <w:r w:rsidR="002E015B" w:rsidRPr="002E5993">
              <w:rPr>
                <w:rFonts w:asciiTheme="minorHAnsi" w:hAnsiTheme="minorHAnsi" w:cstheme="minorHAnsi"/>
              </w:rPr>
              <w:t>are</w:t>
            </w:r>
            <w:proofErr w:type="gramEnd"/>
            <w:r w:rsidR="002E015B" w:rsidRPr="002E5993">
              <w:rPr>
                <w:rFonts w:asciiTheme="minorHAnsi" w:hAnsiTheme="minorHAnsi" w:cstheme="minorHAnsi"/>
              </w:rPr>
              <w:t xml:space="preserve"> typically introduced </w:t>
            </w:r>
            <w:r w:rsidR="00DC7EF5" w:rsidRPr="002E5993">
              <w:rPr>
                <w:rFonts w:asciiTheme="minorHAnsi" w:hAnsiTheme="minorHAnsi" w:cstheme="minorHAnsi"/>
              </w:rPr>
              <w:t>via restrictions on</w:t>
            </w:r>
            <w:r w:rsidR="00D8060F" w:rsidRPr="002E5993">
              <w:rPr>
                <w:rFonts w:asciiTheme="minorHAnsi" w:hAnsiTheme="minorHAnsi" w:cstheme="minorHAnsi"/>
              </w:rPr>
              <w:t xml:space="preserve"> new or replacement</w:t>
            </w:r>
            <w:r w:rsidR="007B366C" w:rsidRPr="002E5993">
              <w:rPr>
                <w:rFonts w:asciiTheme="minorHAnsi" w:hAnsiTheme="minorHAnsi" w:cstheme="minorHAnsi"/>
              </w:rPr>
              <w:t xml:space="preserve"> equipment.</w:t>
            </w:r>
          </w:p>
        </w:tc>
      </w:tr>
      <w:tr w:rsidR="00AC248A" w14:paraId="208A67B6" w14:textId="77777777" w:rsidTr="00864FF6">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22C4CE15" w14:textId="02A7393E" w:rsidR="00FF6394" w:rsidRPr="002E5993" w:rsidRDefault="001509E7" w:rsidP="001009E3">
            <w:pPr>
              <w:pStyle w:val="BodyText"/>
              <w:spacing w:after="0"/>
              <w:jc w:val="center"/>
              <w:rPr>
                <w:rFonts w:asciiTheme="minorHAnsi" w:hAnsiTheme="minorHAnsi" w:cstheme="minorHAnsi"/>
                <w:b w:val="0"/>
              </w:rPr>
            </w:pPr>
            <w:r w:rsidRPr="002E5993">
              <w:rPr>
                <w:rFonts w:asciiTheme="minorHAnsi" w:hAnsiTheme="minorHAnsi" w:cstheme="minorHAnsi"/>
                <w:noProof/>
              </w:rPr>
              <w:drawing>
                <wp:inline distT="0" distB="0" distL="0" distR="0" wp14:anchorId="644BA237" wp14:editId="56DD1962">
                  <wp:extent cx="554182" cy="554182"/>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3"/>
                          <a:stretch>
                            <a:fillRect/>
                          </a:stretch>
                        </pic:blipFill>
                        <pic:spPr>
                          <a:xfrm>
                            <a:off x="0" y="0"/>
                            <a:ext cx="558080" cy="558080"/>
                          </a:xfrm>
                          <a:prstGeom prst="rect">
                            <a:avLst/>
                          </a:prstGeom>
                        </pic:spPr>
                      </pic:pic>
                    </a:graphicData>
                  </a:graphic>
                </wp:inline>
              </w:drawing>
            </w:r>
          </w:p>
          <w:p w14:paraId="3DC656D9" w14:textId="51053481" w:rsidR="00AC248A" w:rsidRPr="002E5993" w:rsidRDefault="002F5E46" w:rsidP="00FC4679">
            <w:pPr>
              <w:pStyle w:val="BodyText"/>
              <w:jc w:val="center"/>
              <w:rPr>
                <w:rFonts w:asciiTheme="minorHAnsi" w:hAnsiTheme="minorHAnsi" w:cstheme="minorHAnsi"/>
              </w:rPr>
            </w:pPr>
            <w:r w:rsidRPr="002E5993">
              <w:rPr>
                <w:rFonts w:asciiTheme="minorHAnsi" w:hAnsiTheme="minorHAnsi" w:cstheme="minorHAnsi"/>
              </w:rPr>
              <w:t>Regulation of</w:t>
            </w:r>
            <w:r w:rsidR="00FF6394" w:rsidRPr="002E5993">
              <w:rPr>
                <w:rFonts w:asciiTheme="minorHAnsi" w:hAnsiTheme="minorHAnsi" w:cstheme="minorHAnsi"/>
              </w:rPr>
              <w:t xml:space="preserve"> new builds </w:t>
            </w:r>
            <w:r w:rsidR="00EC34DE" w:rsidRPr="002E5993">
              <w:rPr>
                <w:rFonts w:asciiTheme="minorHAnsi" w:hAnsiTheme="minorHAnsi" w:cstheme="minorHAnsi"/>
              </w:rPr>
              <w:t>and renovations</w:t>
            </w:r>
            <w:r w:rsidRPr="002E5993">
              <w:rPr>
                <w:rFonts w:asciiTheme="minorHAnsi" w:hAnsiTheme="minorHAnsi" w:cstheme="minorHAnsi"/>
              </w:rPr>
              <w:t xml:space="preserve"> </w:t>
            </w:r>
            <w:r w:rsidR="00EC34DE" w:rsidRPr="002E5993">
              <w:rPr>
                <w:rFonts w:asciiTheme="minorHAnsi" w:hAnsiTheme="minorHAnsi" w:cstheme="minorHAnsi"/>
              </w:rPr>
              <w:t>remain</w:t>
            </w:r>
            <w:r w:rsidR="00FF6394" w:rsidRPr="002E5993">
              <w:rPr>
                <w:rFonts w:asciiTheme="minorHAnsi" w:hAnsiTheme="minorHAnsi" w:cstheme="minorHAnsi"/>
              </w:rPr>
              <w:t xml:space="preserve"> important</w:t>
            </w:r>
          </w:p>
        </w:tc>
        <w:tc>
          <w:tcPr>
            <w:tcW w:w="3745" w:type="dxa"/>
            <w:tcBorders>
              <w:top w:val="single" w:sz="4" w:space="0" w:color="auto"/>
              <w:left w:val="single" w:sz="4" w:space="0" w:color="auto"/>
              <w:bottom w:val="single" w:sz="4" w:space="0" w:color="auto"/>
              <w:right w:val="single" w:sz="4" w:space="0" w:color="auto"/>
            </w:tcBorders>
            <w:vAlign w:val="center"/>
          </w:tcPr>
          <w:p w14:paraId="159BFA99" w14:textId="77777777" w:rsidR="00864FF6" w:rsidRPr="002E5993" w:rsidRDefault="00864FF6" w:rsidP="00B10F11">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Japan has focused on new builds and renovations while other jurisdictions may have started focus here and are transitioning to existing builds. Nonetheless, changing building codes to influence new builds is important, and provides a base for performance-based regulation. Tight building standards are generally part of a broad regulatory suite affecting current stock. </w:t>
            </w:r>
          </w:p>
        </w:tc>
        <w:tc>
          <w:tcPr>
            <w:tcW w:w="4387" w:type="dxa"/>
            <w:tcBorders>
              <w:top w:val="single" w:sz="4" w:space="0" w:color="auto"/>
              <w:left w:val="single" w:sz="4" w:space="0" w:color="auto"/>
              <w:bottom w:val="single" w:sz="4" w:space="0" w:color="auto"/>
              <w:right w:val="single" w:sz="4" w:space="0" w:color="auto"/>
            </w:tcBorders>
            <w:vAlign w:val="center"/>
          </w:tcPr>
          <w:p w14:paraId="4BDAB624" w14:textId="3872248E" w:rsidR="00AC248A" w:rsidRPr="002E5993" w:rsidRDefault="00210CA0" w:rsidP="00B10F11">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comment under disclosure applies here. </w:t>
            </w:r>
          </w:p>
        </w:tc>
      </w:tr>
      <w:tr w:rsidR="003A1A4E" w14:paraId="4DCECB39" w14:textId="77777777" w:rsidTr="00155DF7">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18E252A6" w14:textId="77777777" w:rsidR="003A1A4E" w:rsidRPr="002E5993" w:rsidRDefault="003A1A4E" w:rsidP="003A1A4E">
            <w:pPr>
              <w:pStyle w:val="BodyText"/>
              <w:jc w:val="center"/>
              <w:rPr>
                <w:rFonts w:asciiTheme="minorHAnsi" w:hAnsiTheme="minorHAnsi" w:cstheme="minorHAnsi"/>
                <w:b w:val="0"/>
              </w:rPr>
            </w:pPr>
            <w:r w:rsidRPr="002E5993">
              <w:rPr>
                <w:rFonts w:asciiTheme="minorHAnsi" w:hAnsiTheme="minorHAnsi" w:cstheme="minorHAnsi"/>
                <w:noProof/>
              </w:rPr>
              <w:drawing>
                <wp:inline distT="0" distB="0" distL="0" distR="0" wp14:anchorId="5D188E36" wp14:editId="7B23BAFC">
                  <wp:extent cx="464127" cy="464127"/>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34"/>
                          <a:stretch>
                            <a:fillRect/>
                          </a:stretch>
                        </pic:blipFill>
                        <pic:spPr>
                          <a:xfrm>
                            <a:off x="0" y="0"/>
                            <a:ext cx="467656" cy="467656"/>
                          </a:xfrm>
                          <a:prstGeom prst="rect">
                            <a:avLst/>
                          </a:prstGeom>
                        </pic:spPr>
                      </pic:pic>
                    </a:graphicData>
                  </a:graphic>
                </wp:inline>
              </w:drawing>
            </w:r>
          </w:p>
          <w:p w14:paraId="6B837F71" w14:textId="6A87C845" w:rsidR="003A1A4E" w:rsidRPr="002E5993" w:rsidRDefault="003A1A4E" w:rsidP="003A1A4E">
            <w:pPr>
              <w:pStyle w:val="BodyText"/>
              <w:jc w:val="center"/>
              <w:rPr>
                <w:rFonts w:asciiTheme="minorHAnsi" w:hAnsiTheme="minorHAnsi" w:cstheme="minorHAnsi"/>
              </w:rPr>
            </w:pPr>
            <w:r w:rsidRPr="002E5993">
              <w:rPr>
                <w:rFonts w:asciiTheme="minorHAnsi" w:hAnsiTheme="minorHAnsi" w:cstheme="minorHAnsi"/>
              </w:rPr>
              <w:t xml:space="preserve">Energy type </w:t>
            </w:r>
            <w:r w:rsidR="00555B03" w:rsidRPr="002E5993">
              <w:rPr>
                <w:rFonts w:asciiTheme="minorHAnsi" w:hAnsiTheme="minorHAnsi" w:cstheme="minorHAnsi"/>
              </w:rPr>
              <w:t>and scope 1 emissions are</w:t>
            </w:r>
            <w:r w:rsidRPr="002E5993">
              <w:rPr>
                <w:rFonts w:asciiTheme="minorHAnsi" w:hAnsiTheme="minorHAnsi" w:cstheme="minorHAnsi"/>
              </w:rPr>
              <w:t xml:space="preserve"> </w:t>
            </w:r>
            <w:r w:rsidR="00A70FBB" w:rsidRPr="002E5993">
              <w:rPr>
                <w:rFonts w:asciiTheme="minorHAnsi" w:hAnsiTheme="minorHAnsi" w:cstheme="minorHAnsi"/>
              </w:rPr>
              <w:t xml:space="preserve">being explicitly </w:t>
            </w:r>
            <w:r w:rsidR="00CB7363" w:rsidRPr="002E5993">
              <w:rPr>
                <w:rFonts w:asciiTheme="minorHAnsi" w:hAnsiTheme="minorHAnsi" w:cstheme="minorHAnsi"/>
              </w:rPr>
              <w:t>regulated</w:t>
            </w:r>
          </w:p>
        </w:tc>
        <w:tc>
          <w:tcPr>
            <w:tcW w:w="3745" w:type="dxa"/>
            <w:tcBorders>
              <w:top w:val="single" w:sz="4" w:space="0" w:color="auto"/>
              <w:left w:val="single" w:sz="4" w:space="0" w:color="auto"/>
              <w:bottom w:val="single" w:sz="4" w:space="0" w:color="auto"/>
              <w:right w:val="single" w:sz="4" w:space="0" w:color="auto"/>
            </w:tcBorders>
            <w:vAlign w:val="center"/>
          </w:tcPr>
          <w:p w14:paraId="2EBCF542" w14:textId="011B926D" w:rsidR="003A1A4E" w:rsidRPr="002E5993" w:rsidRDefault="00967420" w:rsidP="003A1A4E">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Energy type </w:t>
            </w:r>
            <w:r w:rsidR="00BA2EEB" w:rsidRPr="002E5993">
              <w:rPr>
                <w:rFonts w:asciiTheme="minorHAnsi" w:hAnsiTheme="minorHAnsi" w:cstheme="minorHAnsi"/>
              </w:rPr>
              <w:t xml:space="preserve">that </w:t>
            </w:r>
            <w:r w:rsidRPr="002E5993">
              <w:rPr>
                <w:rFonts w:asciiTheme="minorHAnsi" w:hAnsiTheme="minorHAnsi" w:cstheme="minorHAnsi"/>
              </w:rPr>
              <w:t>power</w:t>
            </w:r>
            <w:r w:rsidR="00BA2EEB" w:rsidRPr="002E5993">
              <w:rPr>
                <w:rFonts w:asciiTheme="minorHAnsi" w:hAnsiTheme="minorHAnsi" w:cstheme="minorHAnsi"/>
              </w:rPr>
              <w:t xml:space="preserve">s </w:t>
            </w:r>
            <w:r w:rsidR="000872AE" w:rsidRPr="002E5993">
              <w:rPr>
                <w:rFonts w:asciiTheme="minorHAnsi" w:hAnsiTheme="minorHAnsi" w:cstheme="minorHAnsi"/>
              </w:rPr>
              <w:t>or heats</w:t>
            </w:r>
            <w:r w:rsidRPr="002E5993">
              <w:rPr>
                <w:rFonts w:asciiTheme="minorHAnsi" w:hAnsiTheme="minorHAnsi" w:cstheme="minorHAnsi"/>
              </w:rPr>
              <w:t xml:space="preserve"> the building is sometimes required to be disclosed</w:t>
            </w:r>
            <w:r w:rsidR="00BB496B" w:rsidRPr="002E5993">
              <w:rPr>
                <w:rFonts w:asciiTheme="minorHAnsi" w:hAnsiTheme="minorHAnsi" w:cstheme="minorHAnsi"/>
              </w:rPr>
              <w:t>.</w:t>
            </w:r>
            <w:r w:rsidRPr="002E5993">
              <w:rPr>
                <w:rFonts w:asciiTheme="minorHAnsi" w:hAnsiTheme="minorHAnsi" w:cstheme="minorHAnsi"/>
              </w:rPr>
              <w:t xml:space="preserve"> </w:t>
            </w:r>
            <w:r w:rsidR="00710DB2" w:rsidRPr="002E5993">
              <w:rPr>
                <w:rFonts w:asciiTheme="minorHAnsi" w:hAnsiTheme="minorHAnsi" w:cstheme="minorHAnsi"/>
              </w:rPr>
              <w:t>Many jurisdictions have set net zero 2050 targets that key actions in the buildings sector will help meet this target.</w:t>
            </w:r>
          </w:p>
        </w:tc>
        <w:tc>
          <w:tcPr>
            <w:tcW w:w="4387" w:type="dxa"/>
            <w:tcBorders>
              <w:top w:val="single" w:sz="4" w:space="0" w:color="auto"/>
              <w:left w:val="single" w:sz="4" w:space="0" w:color="auto"/>
              <w:bottom w:val="single" w:sz="4" w:space="0" w:color="auto"/>
              <w:right w:val="single" w:sz="4" w:space="0" w:color="auto"/>
            </w:tcBorders>
            <w:vAlign w:val="center"/>
          </w:tcPr>
          <w:p w14:paraId="2219AB56" w14:textId="0814D88E" w:rsidR="003A1A4E" w:rsidRPr="002E5993" w:rsidRDefault="002963A8" w:rsidP="003A1A4E">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C</w:t>
            </w:r>
            <w:r w:rsidR="00E06CFD" w:rsidRPr="002E5993">
              <w:rPr>
                <w:rFonts w:asciiTheme="minorHAnsi" w:hAnsiTheme="minorHAnsi" w:cstheme="minorHAnsi"/>
              </w:rPr>
              <w:t xml:space="preserve">ountries including </w:t>
            </w:r>
            <w:r w:rsidR="00C965DC" w:rsidRPr="002E5993">
              <w:rPr>
                <w:rFonts w:asciiTheme="minorHAnsi" w:hAnsiTheme="minorHAnsi" w:cstheme="minorHAnsi"/>
              </w:rPr>
              <w:t>Netherlands</w:t>
            </w:r>
            <w:r w:rsidR="0042170B" w:rsidRPr="002E5993">
              <w:rPr>
                <w:rFonts w:asciiTheme="minorHAnsi" w:hAnsiTheme="minorHAnsi" w:cstheme="minorHAnsi"/>
              </w:rPr>
              <w:t xml:space="preserve">, </w:t>
            </w:r>
            <w:r w:rsidR="00C965DC" w:rsidRPr="002E5993">
              <w:rPr>
                <w:rFonts w:asciiTheme="minorHAnsi" w:hAnsiTheme="minorHAnsi" w:cstheme="minorHAnsi"/>
              </w:rPr>
              <w:t>Germany</w:t>
            </w:r>
            <w:r w:rsidR="00E06CFD" w:rsidRPr="002E5993">
              <w:rPr>
                <w:rFonts w:asciiTheme="minorHAnsi" w:hAnsiTheme="minorHAnsi" w:cstheme="minorHAnsi"/>
              </w:rPr>
              <w:t xml:space="preserve"> and Norway </w:t>
            </w:r>
            <w:r w:rsidR="00967420" w:rsidRPr="002E5993">
              <w:rPr>
                <w:rFonts w:asciiTheme="minorHAnsi" w:hAnsiTheme="minorHAnsi" w:cstheme="minorHAnsi"/>
              </w:rPr>
              <w:t xml:space="preserve">are phasing out fossil fuels to power </w:t>
            </w:r>
            <w:r w:rsidR="00BB496B" w:rsidRPr="002E5993">
              <w:rPr>
                <w:rFonts w:asciiTheme="minorHAnsi" w:hAnsiTheme="minorHAnsi" w:cstheme="minorHAnsi"/>
              </w:rPr>
              <w:t xml:space="preserve">or heat </w:t>
            </w:r>
            <w:r w:rsidR="00967420" w:rsidRPr="002E5993">
              <w:rPr>
                <w:rFonts w:asciiTheme="minorHAnsi" w:hAnsiTheme="minorHAnsi" w:cstheme="minorHAnsi"/>
              </w:rPr>
              <w:t xml:space="preserve">buildings, and some require buildings to be powered by a minimum proportion of renewable energy. </w:t>
            </w:r>
            <w:r w:rsidR="00710DB2" w:rsidRPr="002E5993">
              <w:rPr>
                <w:rFonts w:asciiTheme="minorHAnsi" w:hAnsiTheme="minorHAnsi" w:cstheme="minorHAnsi"/>
              </w:rPr>
              <w:t>Many jurisdictions have set net zero 2050 targets that key actions in the buildings sector will help meet this target.</w:t>
            </w:r>
          </w:p>
        </w:tc>
      </w:tr>
      <w:tr w:rsidR="0061280E" w14:paraId="719C253C" w14:textId="77777777" w:rsidTr="00210CA0">
        <w:trPr>
          <w:trHeight w:val="2308"/>
        </w:trPr>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7BB0664C" w14:textId="77777777" w:rsidR="00DE50F4" w:rsidRPr="002E5993" w:rsidRDefault="00DE50F4" w:rsidP="00DE50F4">
            <w:pPr>
              <w:pStyle w:val="BodyText"/>
              <w:jc w:val="center"/>
              <w:rPr>
                <w:rFonts w:asciiTheme="minorHAnsi" w:hAnsiTheme="minorHAnsi" w:cstheme="minorHAnsi"/>
                <w:b w:val="0"/>
                <w:highlight w:val="yellow"/>
              </w:rPr>
            </w:pPr>
            <w:r w:rsidRPr="002E5993">
              <w:rPr>
                <w:rFonts w:asciiTheme="minorHAnsi" w:hAnsiTheme="minorHAnsi" w:cstheme="minorHAnsi"/>
                <w:noProof/>
              </w:rPr>
              <w:drawing>
                <wp:inline distT="0" distB="0" distL="0" distR="0" wp14:anchorId="010172EC" wp14:editId="24C95574">
                  <wp:extent cx="511266" cy="511266"/>
                  <wp:effectExtent l="0" t="0" r="3175" b="317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868" cy="516868"/>
                          </a:xfrm>
                          <a:prstGeom prst="rect">
                            <a:avLst/>
                          </a:prstGeom>
                          <a:noFill/>
                          <a:ln>
                            <a:noFill/>
                          </a:ln>
                        </pic:spPr>
                      </pic:pic>
                    </a:graphicData>
                  </a:graphic>
                </wp:inline>
              </w:drawing>
            </w:r>
          </w:p>
          <w:p w14:paraId="4E34BD43" w14:textId="135AE7B1" w:rsidR="0061280E" w:rsidRPr="002E5993" w:rsidRDefault="00693121" w:rsidP="0061280E">
            <w:pPr>
              <w:pStyle w:val="BodyText"/>
              <w:jc w:val="center"/>
              <w:rPr>
                <w:rFonts w:asciiTheme="minorHAnsi" w:hAnsiTheme="minorHAnsi" w:cstheme="minorHAnsi"/>
              </w:rPr>
            </w:pPr>
            <w:r w:rsidRPr="002E5993">
              <w:rPr>
                <w:rFonts w:asciiTheme="minorHAnsi" w:hAnsiTheme="minorHAnsi" w:cstheme="minorHAnsi"/>
              </w:rPr>
              <w:t>O</w:t>
            </w:r>
            <w:r w:rsidR="00DE50F4" w:rsidRPr="002E5993">
              <w:rPr>
                <w:rFonts w:asciiTheme="minorHAnsi" w:hAnsiTheme="minorHAnsi" w:cstheme="minorHAnsi"/>
              </w:rPr>
              <w:t xml:space="preserve">ptions for addressing split incentives </w:t>
            </w:r>
            <w:r w:rsidRPr="002E5993">
              <w:rPr>
                <w:rFonts w:asciiTheme="minorHAnsi" w:hAnsiTheme="minorHAnsi" w:cstheme="minorHAnsi"/>
              </w:rPr>
              <w:t xml:space="preserve">exist </w:t>
            </w:r>
            <w:r w:rsidR="00DE50F4" w:rsidRPr="002E5993">
              <w:rPr>
                <w:rFonts w:asciiTheme="minorHAnsi" w:hAnsiTheme="minorHAnsi" w:cstheme="minorHAnsi"/>
              </w:rPr>
              <w:t>although this is an opportunity</w:t>
            </w:r>
          </w:p>
        </w:tc>
        <w:tc>
          <w:tcPr>
            <w:tcW w:w="3745" w:type="dxa"/>
            <w:tcBorders>
              <w:top w:val="single" w:sz="4" w:space="0" w:color="auto"/>
              <w:left w:val="single" w:sz="4" w:space="0" w:color="auto"/>
              <w:bottom w:val="single" w:sz="4" w:space="0" w:color="auto"/>
              <w:right w:val="single" w:sz="4" w:space="0" w:color="auto"/>
            </w:tcBorders>
            <w:vAlign w:val="center"/>
          </w:tcPr>
          <w:p w14:paraId="05EC8FAA" w14:textId="77777777" w:rsidR="00210CA0" w:rsidRPr="002E5993" w:rsidRDefault="00210CA0" w:rsidP="0061280E">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There are considerations on options to amend the balance of responsibility for energy efficiency between building tenants and building owners, to ensure both are motivated to make positive changes. This can be through lease agreements and on-bill finance for example. There is the opportunity to explore other ideas in this area.  </w:t>
            </w:r>
          </w:p>
        </w:tc>
        <w:tc>
          <w:tcPr>
            <w:tcW w:w="4387" w:type="dxa"/>
            <w:tcBorders>
              <w:top w:val="single" w:sz="4" w:space="0" w:color="auto"/>
              <w:left w:val="single" w:sz="4" w:space="0" w:color="auto"/>
              <w:bottom w:val="single" w:sz="4" w:space="0" w:color="auto"/>
              <w:right w:val="single" w:sz="4" w:space="0" w:color="auto"/>
            </w:tcBorders>
            <w:vAlign w:val="center"/>
          </w:tcPr>
          <w:p w14:paraId="3521ED5F" w14:textId="75B38BDB" w:rsidR="0061280E" w:rsidRPr="002E5993" w:rsidRDefault="00210CA0" w:rsidP="0061280E">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comment under disclosure applies here.</w:t>
            </w:r>
          </w:p>
        </w:tc>
      </w:tr>
      <w:tr w:rsidR="004932DA" w14:paraId="619F8322" w14:textId="77777777" w:rsidTr="00210CA0">
        <w:tc>
          <w:tcPr>
            <w:cnfStyle w:val="001000000000" w:firstRow="0" w:lastRow="0" w:firstColumn="1" w:lastColumn="0" w:oddVBand="0" w:evenVBand="0" w:oddHBand="0" w:evenHBand="0" w:firstRowFirstColumn="0" w:firstRowLastColumn="0" w:lastRowFirstColumn="0" w:lastRowLastColumn="0"/>
            <w:tcW w:w="2062"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tcPr>
          <w:p w14:paraId="05B5ABBD" w14:textId="77777777" w:rsidR="004932DA" w:rsidRPr="002E5993" w:rsidRDefault="004932DA" w:rsidP="001009E3">
            <w:pPr>
              <w:pStyle w:val="BodyText"/>
              <w:spacing w:after="0"/>
              <w:jc w:val="center"/>
              <w:rPr>
                <w:rFonts w:asciiTheme="minorHAnsi" w:hAnsiTheme="minorHAnsi" w:cstheme="minorHAnsi"/>
                <w:b w:val="0"/>
              </w:rPr>
            </w:pPr>
            <w:r w:rsidRPr="002E5993">
              <w:rPr>
                <w:rFonts w:asciiTheme="minorHAnsi" w:hAnsiTheme="minorHAnsi" w:cstheme="minorHAnsi"/>
                <w:noProof/>
              </w:rPr>
              <w:drawing>
                <wp:inline distT="0" distB="0" distL="0" distR="0" wp14:anchorId="3D979A38" wp14:editId="35D49C8C">
                  <wp:extent cx="468086" cy="468086"/>
                  <wp:effectExtent l="0" t="0" r="8255"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739" cy="476739"/>
                          </a:xfrm>
                          <a:prstGeom prst="rect">
                            <a:avLst/>
                          </a:prstGeom>
                          <a:noFill/>
                          <a:ln>
                            <a:noFill/>
                          </a:ln>
                        </pic:spPr>
                      </pic:pic>
                    </a:graphicData>
                  </a:graphic>
                </wp:inline>
              </w:drawing>
            </w:r>
          </w:p>
          <w:p w14:paraId="4CBBA0E7" w14:textId="258A16C0" w:rsidR="004932DA" w:rsidRPr="002E5993" w:rsidRDefault="004932DA" w:rsidP="004932DA">
            <w:pPr>
              <w:pStyle w:val="BodyText"/>
              <w:jc w:val="center"/>
              <w:rPr>
                <w:rFonts w:asciiTheme="minorHAnsi" w:hAnsiTheme="minorHAnsi" w:cstheme="minorHAnsi"/>
              </w:rPr>
            </w:pPr>
            <w:r w:rsidRPr="002E5993">
              <w:rPr>
                <w:rFonts w:asciiTheme="minorHAnsi" w:hAnsiTheme="minorHAnsi" w:cstheme="minorHAnsi"/>
              </w:rPr>
              <w:t>Fees for non-compliance are common</w:t>
            </w:r>
          </w:p>
        </w:tc>
        <w:tc>
          <w:tcPr>
            <w:tcW w:w="3745" w:type="dxa"/>
            <w:tcBorders>
              <w:top w:val="single" w:sz="4" w:space="0" w:color="auto"/>
              <w:left w:val="single" w:sz="4" w:space="0" w:color="auto"/>
              <w:bottom w:val="single" w:sz="4" w:space="0" w:color="auto"/>
              <w:right w:val="single" w:sz="4" w:space="0" w:color="auto"/>
            </w:tcBorders>
            <w:vAlign w:val="center"/>
          </w:tcPr>
          <w:p w14:paraId="07C17AFD" w14:textId="15761D23" w:rsidR="00210CA0" w:rsidRPr="002E5993" w:rsidRDefault="00210CA0" w:rsidP="004932DA">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E5993">
              <w:rPr>
                <w:rFonts w:asciiTheme="minorHAnsi" w:hAnsiTheme="minorHAnsi" w:cstheme="minorHAnsi"/>
              </w:rPr>
              <w:t xml:space="preserve">It is common across most jurisdictions to introduce fines for non-compliance with building standards. This is often in a </w:t>
            </w:r>
            <w:r w:rsidRPr="002E5993">
              <w:rPr>
                <w:rFonts w:asciiTheme="minorHAnsi" w:hAnsiTheme="minorHAnsi" w:cstheme="minorHAnsi"/>
                <w:i/>
              </w:rPr>
              <w:t>‘$ per square metre’</w:t>
            </w:r>
            <w:r w:rsidRPr="002E5993">
              <w:rPr>
                <w:rFonts w:asciiTheme="minorHAnsi" w:hAnsiTheme="minorHAnsi" w:cstheme="minorHAnsi"/>
              </w:rPr>
              <w:t xml:space="preserve"> value and usually it is a one-off payment for each compliance period. For example, in Washington DC the fee is $10 per square foot up to $7.5M USD for one building. In this example the maximum penalty is high to ensure non-compliance is not a cost-effective option.</w:t>
            </w:r>
            <w:r>
              <w:rPr>
                <w:rFonts w:ascii="ZWAdobeF" w:hAnsi="ZWAdobeF" w:cs="ZWAdobeF"/>
                <w:color w:val="auto"/>
                <w:sz w:val="2"/>
                <w:szCs w:val="2"/>
              </w:rPr>
              <w:t>29F29F29F29F</w:t>
            </w:r>
            <w:r w:rsidR="00626378">
              <w:rPr>
                <w:rFonts w:ascii="ZWAdobeF" w:hAnsi="ZWAdobeF" w:cs="ZWAdobeF"/>
                <w:color w:val="auto"/>
                <w:sz w:val="2"/>
                <w:szCs w:val="2"/>
              </w:rPr>
              <w:t>29F</w:t>
            </w:r>
            <w:r w:rsidR="00413811">
              <w:rPr>
                <w:rFonts w:ascii="ZWAdobeF" w:hAnsi="ZWAdobeF" w:cs="ZWAdobeF"/>
                <w:color w:val="auto"/>
                <w:sz w:val="2"/>
                <w:szCs w:val="2"/>
              </w:rPr>
              <w:t>29F</w:t>
            </w:r>
            <w:r w:rsidR="002C327C">
              <w:rPr>
                <w:rFonts w:ascii="ZWAdobeF" w:hAnsi="ZWAdobeF" w:cs="ZWAdobeF"/>
                <w:color w:val="auto"/>
                <w:sz w:val="2"/>
                <w:szCs w:val="2"/>
              </w:rPr>
              <w:t>29F</w:t>
            </w:r>
            <w:r w:rsidR="00D24A06">
              <w:rPr>
                <w:rFonts w:ascii="ZWAdobeF" w:hAnsi="ZWAdobeF" w:cs="ZWAdobeF"/>
                <w:color w:val="auto"/>
                <w:sz w:val="2"/>
                <w:szCs w:val="2"/>
              </w:rPr>
              <w:t>29F</w:t>
            </w:r>
            <w:r w:rsidRPr="002E5993">
              <w:rPr>
                <w:rStyle w:val="FootnoteReference"/>
                <w:rFonts w:asciiTheme="minorHAnsi" w:hAnsiTheme="minorHAnsi" w:cstheme="minorHAnsi"/>
              </w:rPr>
              <w:footnoteReference w:id="31"/>
            </w:r>
            <w:r w:rsidRPr="002E5993">
              <w:rPr>
                <w:rFonts w:asciiTheme="minorHAnsi" w:hAnsiTheme="minorHAnsi" w:cstheme="minorHAnsi"/>
              </w:rPr>
              <w:t xml:space="preserve"> </w:t>
            </w:r>
          </w:p>
        </w:tc>
        <w:tc>
          <w:tcPr>
            <w:tcW w:w="4387" w:type="dxa"/>
            <w:tcBorders>
              <w:top w:val="single" w:sz="4" w:space="0" w:color="auto"/>
              <w:left w:val="single" w:sz="4" w:space="0" w:color="auto"/>
              <w:bottom w:val="single" w:sz="4" w:space="0" w:color="auto"/>
              <w:right w:val="single" w:sz="4" w:space="0" w:color="auto"/>
            </w:tcBorders>
            <w:vAlign w:val="center"/>
          </w:tcPr>
          <w:p w14:paraId="2BD33B87" w14:textId="2B2E79F0" w:rsidR="004932DA" w:rsidRPr="002E5993" w:rsidRDefault="00210CA0" w:rsidP="004932DA">
            <w:pPr>
              <w:pStyle w:val="Comment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The comment under disclosure applies here.</w:t>
            </w:r>
          </w:p>
        </w:tc>
      </w:tr>
    </w:tbl>
    <w:p w14:paraId="325DBACE" w14:textId="0583FAE7" w:rsidR="009500BB" w:rsidRPr="002E5993" w:rsidRDefault="009500BB" w:rsidP="009500BB">
      <w:pPr>
        <w:pStyle w:val="BodyText"/>
        <w:spacing w:before="200"/>
        <w:rPr>
          <w:rFonts w:asciiTheme="minorHAnsi" w:hAnsiTheme="minorHAnsi" w:cstheme="minorHAnsi"/>
        </w:rPr>
      </w:pPr>
      <w:r w:rsidRPr="002E5993">
        <w:rPr>
          <w:rFonts w:asciiTheme="minorHAnsi" w:hAnsiTheme="minorHAnsi" w:cstheme="minorHAnsi"/>
        </w:rPr>
        <w:t xml:space="preserve">The research highlights several related trends in the construction industry. One important trend is the focus on </w:t>
      </w:r>
      <w:r w:rsidRPr="002E5993">
        <w:rPr>
          <w:rFonts w:asciiTheme="minorHAnsi" w:hAnsiTheme="minorHAnsi" w:cstheme="minorHAnsi"/>
          <w:b/>
        </w:rPr>
        <w:t>embodied energy</w:t>
      </w:r>
      <w:r w:rsidRPr="002E5993">
        <w:rPr>
          <w:rFonts w:asciiTheme="minorHAnsi" w:hAnsiTheme="minorHAnsi" w:cstheme="minorHAnsi"/>
        </w:rPr>
        <w:t xml:space="preserve">, which have a direct impact on new building projects and contribute to reducing carbon emissions. This trend emphasizes understanding the environmental life cycle of a building, affecting both current buildings and future requirements. Various countries, such as the Netherlands, Finland, Sweden, the US, and Canada, have implemented policies and standards to limit embodied carbon emissions in new buildings. The UK is also considering legislation to incorporate the cost of carbon in construction. </w:t>
      </w:r>
    </w:p>
    <w:p w14:paraId="57092A01" w14:textId="77777777" w:rsidR="00C851A4" w:rsidRPr="002E5993" w:rsidRDefault="009500BB" w:rsidP="00386C2C">
      <w:pPr>
        <w:pStyle w:val="BodyText"/>
        <w:spacing w:before="200"/>
        <w:rPr>
          <w:rFonts w:asciiTheme="minorHAnsi" w:hAnsiTheme="minorHAnsi" w:cstheme="minorHAnsi"/>
        </w:rPr>
      </w:pPr>
      <w:r w:rsidRPr="002E5993">
        <w:rPr>
          <w:rFonts w:asciiTheme="minorHAnsi" w:hAnsiTheme="minorHAnsi" w:cstheme="minorHAnsi"/>
        </w:rPr>
        <w:lastRenderedPageBreak/>
        <w:t xml:space="preserve">Another emerging consideration is the </w:t>
      </w:r>
      <w:r w:rsidRPr="002E5993">
        <w:rPr>
          <w:rFonts w:asciiTheme="minorHAnsi" w:hAnsiTheme="minorHAnsi" w:cstheme="minorHAnsi"/>
          <w:b/>
        </w:rPr>
        <w:t>circular economy in the built environment</w:t>
      </w:r>
      <w:r w:rsidRPr="002E5993">
        <w:rPr>
          <w:rFonts w:asciiTheme="minorHAnsi" w:hAnsiTheme="minorHAnsi" w:cstheme="minorHAnsi"/>
        </w:rPr>
        <w:t>, which promotes sustainable practices like designing for longevity, reusing materials, and recycling. National initiatives and strategies, such as the Circular Economy Action Plan, address the construction and lifecycle aspects of buildings. Additionally, there is a growing emphasis on incorporating on-site renewables and provisions for electric vehicles and bicycles in commercial buildings.</w:t>
      </w:r>
    </w:p>
    <w:p w14:paraId="1AF9ECD8" w14:textId="4823ADF8" w:rsidR="00F5737E" w:rsidRPr="00F81ADB" w:rsidRDefault="00D64B47" w:rsidP="00214D42">
      <w:pPr>
        <w:pStyle w:val="Heading2"/>
        <w:rPr>
          <w:rFonts w:cstheme="minorHAnsi"/>
        </w:rPr>
      </w:pPr>
      <w:bookmarkStart w:id="112" w:name="_Toc133844027"/>
      <w:bookmarkStart w:id="113" w:name="_Toc136286372"/>
      <w:bookmarkStart w:id="114" w:name="_Toc154059369"/>
      <w:r w:rsidRPr="00F81ADB">
        <w:rPr>
          <w:rFonts w:cstheme="minorHAnsi"/>
        </w:rPr>
        <w:t>Approaches to disclosure</w:t>
      </w:r>
      <w:bookmarkEnd w:id="112"/>
      <w:bookmarkEnd w:id="113"/>
      <w:bookmarkEnd w:id="114"/>
    </w:p>
    <w:p w14:paraId="1A8B8702" w14:textId="4DECF8DE" w:rsidR="00F10442" w:rsidRPr="002E5993" w:rsidRDefault="00F10442" w:rsidP="00214D42">
      <w:pPr>
        <w:pStyle w:val="Heading3"/>
        <w:rPr>
          <w:rFonts w:asciiTheme="minorHAnsi" w:hAnsiTheme="minorHAnsi" w:cstheme="minorHAnsi"/>
        </w:rPr>
      </w:pPr>
      <w:bookmarkStart w:id="115" w:name="_Toc133844028"/>
      <w:bookmarkStart w:id="116" w:name="_Toc136286373"/>
      <w:r w:rsidRPr="002E5993">
        <w:rPr>
          <w:rFonts w:asciiTheme="minorHAnsi" w:hAnsiTheme="minorHAnsi" w:cstheme="minorHAnsi"/>
        </w:rPr>
        <w:t>Trends in energy disclosure overseas</w:t>
      </w:r>
      <w:bookmarkEnd w:id="115"/>
      <w:bookmarkEnd w:id="116"/>
    </w:p>
    <w:p w14:paraId="3C86E15B" w14:textId="6F488D8C" w:rsidR="00586CB5" w:rsidRPr="002E5993" w:rsidRDefault="00586CB5" w:rsidP="00586CB5">
      <w:pPr>
        <w:pStyle w:val="BodyText"/>
        <w:jc w:val="both"/>
        <w:rPr>
          <w:rFonts w:asciiTheme="minorHAnsi" w:hAnsiTheme="minorHAnsi" w:cstheme="minorHAnsi"/>
        </w:rPr>
      </w:pPr>
      <w:r w:rsidRPr="002E5993">
        <w:rPr>
          <w:rFonts w:asciiTheme="minorHAnsi" w:hAnsiTheme="minorHAnsi" w:cstheme="minorHAnsi"/>
        </w:rPr>
        <w:t>Building energy disclosure refers to the periodic reporting or public notification of a building energy rating scheme. Scheme examples include ENERGY STAR in the US, and Energy Performance Certificates (EPC) in Europ</w:t>
      </w:r>
      <w:r w:rsidR="00BB1A03" w:rsidRPr="002E5993">
        <w:rPr>
          <w:rFonts w:asciiTheme="minorHAnsi" w:hAnsiTheme="minorHAnsi" w:cstheme="minorHAnsi"/>
        </w:rPr>
        <w:t>e</w:t>
      </w:r>
      <w:r w:rsidRPr="002E5993">
        <w:rPr>
          <w:rFonts w:asciiTheme="minorHAnsi" w:hAnsiTheme="minorHAnsi" w:cstheme="minorHAnsi"/>
        </w:rPr>
        <w:t>. This disclosure often takes place at time of sale or lease of property, but sometimes occurs after other trigger events, such as poor energy efficiency performance or non-compliance with regulation</w:t>
      </w:r>
      <w:r w:rsidR="00274741" w:rsidRPr="002E5993">
        <w:rPr>
          <w:rFonts w:asciiTheme="minorHAnsi" w:hAnsiTheme="minorHAnsi" w:cstheme="minorHAnsi"/>
        </w:rPr>
        <w:t>.</w:t>
      </w:r>
      <w:r w:rsidR="00723239">
        <w:rPr>
          <w:rFonts w:ascii="ZWAdobeF" w:hAnsi="ZWAdobeF" w:cs="ZWAdobeF"/>
          <w:color w:val="auto"/>
          <w:sz w:val="2"/>
          <w:szCs w:val="2"/>
        </w:rPr>
        <w:t>30F</w:t>
      </w:r>
      <w:r w:rsidR="00EE36E3">
        <w:rPr>
          <w:rFonts w:ascii="ZWAdobeF" w:hAnsi="ZWAdobeF" w:cs="ZWAdobeF"/>
          <w:color w:val="auto"/>
          <w:sz w:val="2"/>
          <w:szCs w:val="2"/>
        </w:rPr>
        <w:t>30F</w:t>
      </w:r>
      <w:r w:rsidR="00E94853">
        <w:rPr>
          <w:rFonts w:ascii="ZWAdobeF" w:hAnsi="ZWAdobeF" w:cs="ZWAdobeF"/>
          <w:color w:val="auto"/>
          <w:sz w:val="2"/>
          <w:szCs w:val="2"/>
        </w:rPr>
        <w:t>30F</w:t>
      </w:r>
      <w:r w:rsidR="00F73A23">
        <w:rPr>
          <w:rFonts w:ascii="ZWAdobeF" w:hAnsi="ZWAdobeF" w:cs="ZWAdobeF"/>
          <w:color w:val="auto"/>
          <w:sz w:val="2"/>
          <w:szCs w:val="2"/>
        </w:rPr>
        <w:t>30F</w:t>
      </w:r>
      <w:r w:rsidR="00626378">
        <w:rPr>
          <w:rFonts w:ascii="ZWAdobeF" w:hAnsi="ZWAdobeF" w:cs="ZWAdobeF"/>
          <w:color w:val="auto"/>
          <w:sz w:val="2"/>
          <w:szCs w:val="2"/>
        </w:rPr>
        <w:t>30F</w:t>
      </w:r>
      <w:r w:rsidR="00413811">
        <w:rPr>
          <w:rFonts w:ascii="ZWAdobeF" w:hAnsi="ZWAdobeF" w:cs="ZWAdobeF"/>
          <w:color w:val="auto"/>
          <w:sz w:val="2"/>
          <w:szCs w:val="2"/>
        </w:rPr>
        <w:t>30F</w:t>
      </w:r>
      <w:r w:rsidR="002C327C">
        <w:rPr>
          <w:rFonts w:ascii="ZWAdobeF" w:hAnsi="ZWAdobeF" w:cs="ZWAdobeF"/>
          <w:color w:val="auto"/>
          <w:sz w:val="2"/>
          <w:szCs w:val="2"/>
        </w:rPr>
        <w:t>30F</w:t>
      </w:r>
      <w:r w:rsidR="00D24A06">
        <w:rPr>
          <w:rFonts w:ascii="ZWAdobeF" w:hAnsi="ZWAdobeF" w:cs="ZWAdobeF"/>
          <w:color w:val="auto"/>
          <w:sz w:val="2"/>
          <w:szCs w:val="2"/>
        </w:rPr>
        <w:t>30F</w:t>
      </w:r>
      <w:r w:rsidRPr="002E5993">
        <w:rPr>
          <w:rStyle w:val="FootnoteReference"/>
          <w:rFonts w:asciiTheme="minorHAnsi" w:hAnsiTheme="minorHAnsi" w:cstheme="minorHAnsi"/>
        </w:rPr>
        <w:footnoteReference w:id="32"/>
      </w:r>
      <w:r w:rsidRPr="002E5993">
        <w:rPr>
          <w:rFonts w:asciiTheme="minorHAnsi" w:hAnsiTheme="minorHAnsi" w:cstheme="minorHAnsi"/>
        </w:rPr>
        <w:t xml:space="preserve"> </w:t>
      </w:r>
      <w:r w:rsidR="008B3D6A" w:rsidRPr="002E5993">
        <w:rPr>
          <w:rFonts w:asciiTheme="minorHAnsi" w:hAnsiTheme="minorHAnsi" w:cstheme="minorHAnsi"/>
        </w:rPr>
        <w:t xml:space="preserve">There are also </w:t>
      </w:r>
      <w:proofErr w:type="gramStart"/>
      <w:r w:rsidR="00A022E6" w:rsidRPr="002E5993">
        <w:rPr>
          <w:rFonts w:asciiTheme="minorHAnsi" w:hAnsiTheme="minorHAnsi" w:cstheme="minorHAnsi"/>
        </w:rPr>
        <w:t>a number of</w:t>
      </w:r>
      <w:proofErr w:type="gramEnd"/>
      <w:r w:rsidR="008B3D6A" w:rsidRPr="002E5993">
        <w:rPr>
          <w:rFonts w:asciiTheme="minorHAnsi" w:hAnsiTheme="minorHAnsi" w:cstheme="minorHAnsi"/>
        </w:rPr>
        <w:t xml:space="preserve"> examples of continuous </w:t>
      </w:r>
      <w:r w:rsidR="00A52D6B" w:rsidRPr="002E5993">
        <w:rPr>
          <w:rFonts w:asciiTheme="minorHAnsi" w:hAnsiTheme="minorHAnsi" w:cstheme="minorHAnsi"/>
        </w:rPr>
        <w:t>disclosure such as the French</w:t>
      </w:r>
      <w:r w:rsidR="00D76CCC" w:rsidRPr="002E5993">
        <w:rPr>
          <w:rFonts w:asciiTheme="minorHAnsi" w:hAnsiTheme="minorHAnsi" w:cstheme="minorHAnsi"/>
        </w:rPr>
        <w:t xml:space="preserve"> </w:t>
      </w:r>
      <w:r w:rsidR="00ED63BB" w:rsidRPr="002E5993">
        <w:rPr>
          <w:rFonts w:asciiTheme="minorHAnsi" w:hAnsiTheme="minorHAnsi" w:cstheme="minorHAnsi"/>
        </w:rPr>
        <w:t>Government</w:t>
      </w:r>
      <w:r w:rsidR="00A02116" w:rsidRPr="002E5993">
        <w:rPr>
          <w:rFonts w:asciiTheme="minorHAnsi" w:hAnsiTheme="minorHAnsi" w:cstheme="minorHAnsi"/>
        </w:rPr>
        <w:t xml:space="preserve">’s Diagnostic de Performance </w:t>
      </w:r>
      <w:proofErr w:type="spellStart"/>
      <w:r w:rsidR="00A02116" w:rsidRPr="002E5993">
        <w:rPr>
          <w:rFonts w:asciiTheme="minorHAnsi" w:hAnsiTheme="minorHAnsi" w:cstheme="minorHAnsi"/>
        </w:rPr>
        <w:t>Energetique</w:t>
      </w:r>
      <w:proofErr w:type="spellEnd"/>
      <w:r w:rsidR="0053605E" w:rsidRPr="002E5993">
        <w:rPr>
          <w:rFonts w:asciiTheme="minorHAnsi" w:hAnsiTheme="minorHAnsi" w:cstheme="minorHAnsi"/>
        </w:rPr>
        <w:t xml:space="preserve"> </w:t>
      </w:r>
      <w:r w:rsidR="002F5C3D" w:rsidRPr="002E5993">
        <w:rPr>
          <w:rFonts w:asciiTheme="minorHAnsi" w:hAnsiTheme="minorHAnsi" w:cstheme="minorHAnsi"/>
        </w:rPr>
        <w:t xml:space="preserve">program </w:t>
      </w:r>
      <w:r w:rsidR="00A52D6B" w:rsidRPr="002E5993">
        <w:rPr>
          <w:rFonts w:asciiTheme="minorHAnsi" w:hAnsiTheme="minorHAnsi" w:cstheme="minorHAnsi"/>
        </w:rPr>
        <w:t xml:space="preserve">where building owners </w:t>
      </w:r>
      <w:r w:rsidR="0053605E" w:rsidRPr="002E5993">
        <w:rPr>
          <w:rFonts w:asciiTheme="minorHAnsi" w:hAnsiTheme="minorHAnsi" w:cstheme="minorHAnsi"/>
        </w:rPr>
        <w:t xml:space="preserve">must </w:t>
      </w:r>
      <w:r w:rsidR="00275203" w:rsidRPr="002E5993">
        <w:rPr>
          <w:rFonts w:asciiTheme="minorHAnsi" w:hAnsiTheme="minorHAnsi" w:cstheme="minorHAnsi"/>
        </w:rPr>
        <w:t>provide</w:t>
      </w:r>
      <w:r w:rsidR="00A52D6B" w:rsidRPr="002E5993">
        <w:rPr>
          <w:rFonts w:asciiTheme="minorHAnsi" w:hAnsiTheme="minorHAnsi" w:cstheme="minorHAnsi"/>
        </w:rPr>
        <w:t xml:space="preserve"> energy data</w:t>
      </w:r>
      <w:r w:rsidR="0053605E" w:rsidRPr="002E5993">
        <w:rPr>
          <w:rFonts w:asciiTheme="minorHAnsi" w:hAnsiTheme="minorHAnsi" w:cstheme="minorHAnsi"/>
        </w:rPr>
        <w:t xml:space="preserve"> </w:t>
      </w:r>
      <w:r w:rsidR="00EB7F72" w:rsidRPr="002E5993">
        <w:rPr>
          <w:rFonts w:asciiTheme="minorHAnsi" w:hAnsiTheme="minorHAnsi" w:cstheme="minorHAnsi"/>
        </w:rPr>
        <w:t>from</w:t>
      </w:r>
      <w:r w:rsidR="00A52D6B" w:rsidRPr="002E5993">
        <w:rPr>
          <w:rFonts w:asciiTheme="minorHAnsi" w:hAnsiTheme="minorHAnsi" w:cstheme="minorHAnsi"/>
        </w:rPr>
        <w:t xml:space="preserve"> their buildings including yearly consumption</w:t>
      </w:r>
      <w:r w:rsidR="001F1703" w:rsidRPr="002E5993">
        <w:rPr>
          <w:rFonts w:asciiTheme="minorHAnsi" w:hAnsiTheme="minorHAnsi" w:cstheme="minorHAnsi"/>
        </w:rPr>
        <w:t xml:space="preserve">. </w:t>
      </w:r>
      <w:r w:rsidRPr="002E5993">
        <w:rPr>
          <w:rFonts w:asciiTheme="minorHAnsi" w:hAnsiTheme="minorHAnsi" w:cstheme="minorHAnsi"/>
        </w:rPr>
        <w:t xml:space="preserve">Policies that require or recommend disclosure using a common building energy measure allow consumers to make informed decisions on whether to purchase/lease the property. </w:t>
      </w:r>
    </w:p>
    <w:p w14:paraId="1DE4A792" w14:textId="4D6B18CA" w:rsidR="00BD6260" w:rsidRPr="002E5993" w:rsidRDefault="00586CB5" w:rsidP="00E07C7A">
      <w:pPr>
        <w:pStyle w:val="BodyText"/>
        <w:jc w:val="both"/>
        <w:rPr>
          <w:rFonts w:asciiTheme="minorHAnsi" w:hAnsiTheme="minorHAnsi" w:cstheme="minorHAnsi"/>
        </w:rPr>
      </w:pPr>
      <w:r w:rsidRPr="002E5993">
        <w:rPr>
          <w:rStyle w:val="CVHeadingChar"/>
          <w:rFonts w:asciiTheme="minorHAnsi" w:hAnsiTheme="minorHAnsi" w:cstheme="minorHAnsi"/>
          <w:b w:val="0"/>
          <w:color w:val="auto"/>
        </w:rPr>
        <w:t>Mandatory and voluntary building energy disclosure schemes have been in place in many countries and regions for some time (e.g</w:t>
      </w:r>
      <w:r w:rsidR="00CA56E5" w:rsidRPr="002E5993">
        <w:rPr>
          <w:rStyle w:val="CVHeadingChar"/>
          <w:rFonts w:asciiTheme="minorHAnsi" w:hAnsiTheme="minorHAnsi" w:cstheme="minorHAnsi"/>
          <w:b w:val="0"/>
          <w:color w:val="auto"/>
        </w:rPr>
        <w:t>.,</w:t>
      </w:r>
      <w:r w:rsidRPr="002E5993">
        <w:rPr>
          <w:rStyle w:val="CVHeadingChar"/>
          <w:rFonts w:asciiTheme="minorHAnsi" w:hAnsiTheme="minorHAnsi" w:cstheme="minorHAnsi"/>
          <w:b w:val="0"/>
          <w:color w:val="auto"/>
        </w:rPr>
        <w:t xml:space="preserve"> </w:t>
      </w:r>
      <w:proofErr w:type="spellStart"/>
      <w:r w:rsidRPr="002E5993">
        <w:rPr>
          <w:rStyle w:val="CVHeadingChar"/>
          <w:rFonts w:asciiTheme="minorHAnsi" w:hAnsiTheme="minorHAnsi" w:cstheme="minorHAnsi"/>
          <w:b w:val="0"/>
          <w:color w:val="auto"/>
        </w:rPr>
        <w:t>EPCs</w:t>
      </w:r>
      <w:proofErr w:type="spellEnd"/>
      <w:r w:rsidRPr="002E5993">
        <w:rPr>
          <w:rStyle w:val="CVHeadingChar"/>
          <w:rFonts w:asciiTheme="minorHAnsi" w:hAnsiTheme="minorHAnsi" w:cstheme="minorHAnsi"/>
          <w:b w:val="0"/>
          <w:color w:val="auto"/>
        </w:rPr>
        <w:t xml:space="preserve"> have been in place since 2007 in the UK</w:t>
      </w:r>
      <w:r w:rsidR="00275203" w:rsidRPr="002E5993">
        <w:rPr>
          <w:rStyle w:val="CVHeadingChar"/>
          <w:rFonts w:asciiTheme="minorHAnsi" w:hAnsiTheme="minorHAnsi" w:cstheme="minorHAnsi"/>
          <w:b w:val="0"/>
          <w:color w:val="auto"/>
        </w:rPr>
        <w:t>).</w:t>
      </w:r>
      <w:r w:rsidR="00723239">
        <w:rPr>
          <w:rStyle w:val="CVHeadingChar"/>
          <w:rFonts w:ascii="ZWAdobeF" w:hAnsi="ZWAdobeF" w:cs="ZWAdobeF"/>
          <w:b w:val="0"/>
          <w:color w:val="auto"/>
          <w:sz w:val="2"/>
          <w:szCs w:val="2"/>
        </w:rPr>
        <w:t>31F</w:t>
      </w:r>
      <w:r w:rsidR="00EE36E3">
        <w:rPr>
          <w:rStyle w:val="CVHeadingChar"/>
          <w:rFonts w:ascii="ZWAdobeF" w:hAnsi="ZWAdobeF" w:cs="ZWAdobeF"/>
          <w:b w:val="0"/>
          <w:color w:val="auto"/>
          <w:sz w:val="2"/>
          <w:szCs w:val="2"/>
        </w:rPr>
        <w:t>31F</w:t>
      </w:r>
      <w:r w:rsidR="00E94853">
        <w:rPr>
          <w:rStyle w:val="CVHeadingChar"/>
          <w:rFonts w:ascii="ZWAdobeF" w:hAnsi="ZWAdobeF" w:cs="ZWAdobeF"/>
          <w:b w:val="0"/>
          <w:color w:val="auto"/>
          <w:sz w:val="2"/>
          <w:szCs w:val="2"/>
        </w:rPr>
        <w:t>31F</w:t>
      </w:r>
      <w:r w:rsidR="00F73A23">
        <w:rPr>
          <w:rStyle w:val="CVHeadingChar"/>
          <w:rFonts w:ascii="ZWAdobeF" w:hAnsi="ZWAdobeF" w:cs="ZWAdobeF"/>
          <w:b w:val="0"/>
          <w:color w:val="auto"/>
          <w:sz w:val="2"/>
          <w:szCs w:val="2"/>
        </w:rPr>
        <w:t>31F</w:t>
      </w:r>
      <w:r w:rsidR="00626378">
        <w:rPr>
          <w:rStyle w:val="CVHeadingChar"/>
          <w:rFonts w:ascii="ZWAdobeF" w:hAnsi="ZWAdobeF" w:cs="ZWAdobeF"/>
          <w:b w:val="0"/>
          <w:color w:val="auto"/>
          <w:sz w:val="2"/>
          <w:szCs w:val="2"/>
        </w:rPr>
        <w:t>31F</w:t>
      </w:r>
      <w:r w:rsidR="00413811">
        <w:rPr>
          <w:rStyle w:val="CVHeadingChar"/>
          <w:rFonts w:ascii="ZWAdobeF" w:hAnsi="ZWAdobeF" w:cs="ZWAdobeF"/>
          <w:b w:val="0"/>
          <w:color w:val="auto"/>
          <w:sz w:val="2"/>
          <w:szCs w:val="2"/>
        </w:rPr>
        <w:t>31F</w:t>
      </w:r>
      <w:r w:rsidR="002C327C">
        <w:rPr>
          <w:rStyle w:val="CVHeadingChar"/>
          <w:rFonts w:ascii="ZWAdobeF" w:hAnsi="ZWAdobeF" w:cs="ZWAdobeF"/>
          <w:b w:val="0"/>
          <w:color w:val="auto"/>
          <w:sz w:val="2"/>
          <w:szCs w:val="2"/>
        </w:rPr>
        <w:t>31F</w:t>
      </w:r>
      <w:r w:rsidR="00D24A06">
        <w:rPr>
          <w:rStyle w:val="CVHeadingChar"/>
          <w:rFonts w:ascii="ZWAdobeF" w:hAnsi="ZWAdobeF" w:cs="ZWAdobeF"/>
          <w:b w:val="0"/>
          <w:color w:val="auto"/>
          <w:sz w:val="2"/>
          <w:szCs w:val="2"/>
        </w:rPr>
        <w:t>31F</w:t>
      </w:r>
      <w:r w:rsidRPr="002E5993">
        <w:rPr>
          <w:rStyle w:val="FootnoteReference"/>
          <w:rFonts w:asciiTheme="minorHAnsi" w:hAnsiTheme="minorHAnsi" w:cstheme="minorHAnsi"/>
          <w:color w:val="auto"/>
          <w:szCs w:val="24"/>
        </w:rPr>
        <w:footnoteReference w:id="33"/>
      </w:r>
      <w:r w:rsidRPr="002E5993">
        <w:rPr>
          <w:rStyle w:val="CVHeadingChar"/>
          <w:rFonts w:asciiTheme="minorHAnsi" w:hAnsiTheme="minorHAnsi" w:cstheme="minorHAnsi"/>
          <w:b w:val="0"/>
          <w:color w:val="auto"/>
        </w:rPr>
        <w:t xml:space="preserve"> These schemes continue to be an important tool in most of the countries researched</w:t>
      </w:r>
      <w:r w:rsidRPr="002E5993">
        <w:rPr>
          <w:rFonts w:asciiTheme="minorHAnsi" w:hAnsiTheme="minorHAnsi" w:cstheme="minorHAnsi"/>
        </w:rPr>
        <w:t xml:space="preserve">. </w:t>
      </w:r>
      <w:r w:rsidR="00A53A15" w:rsidRPr="00A53A15">
        <w:rPr>
          <w:rFonts w:asciiTheme="minorHAnsi" w:hAnsiTheme="minorHAnsi" w:cstheme="minorHAnsi"/>
          <w:szCs w:val="20"/>
        </w:rPr>
        <w:fldChar w:fldCharType="begin" w:fldLock="1"/>
      </w:r>
      <w:r w:rsidR="00A53A15" w:rsidRPr="00A53A15">
        <w:rPr>
          <w:rFonts w:asciiTheme="minorHAnsi" w:hAnsiTheme="minorHAnsi" w:cstheme="minorHAnsi"/>
          <w:szCs w:val="20"/>
        </w:rPr>
        <w:instrText xml:space="preserve"> REF _Ref136273513 \h </w:instrText>
      </w:r>
      <w:r w:rsidR="00A53A15">
        <w:rPr>
          <w:rFonts w:asciiTheme="minorHAnsi" w:hAnsiTheme="minorHAnsi" w:cstheme="minorHAnsi"/>
          <w:szCs w:val="20"/>
        </w:rPr>
        <w:instrText xml:space="preserve"> \* MERGEFORMAT </w:instrText>
      </w:r>
      <w:r w:rsidR="00A53A15" w:rsidRPr="00A53A15">
        <w:rPr>
          <w:rFonts w:asciiTheme="minorHAnsi" w:hAnsiTheme="minorHAnsi" w:cstheme="minorHAnsi"/>
          <w:szCs w:val="20"/>
        </w:rPr>
      </w:r>
      <w:r w:rsidR="00A53A15" w:rsidRPr="00A53A15">
        <w:rPr>
          <w:rFonts w:asciiTheme="minorHAnsi" w:hAnsiTheme="minorHAnsi" w:cstheme="minorHAnsi"/>
          <w:szCs w:val="20"/>
        </w:rPr>
        <w:fldChar w:fldCharType="separate"/>
      </w:r>
      <w:r w:rsidR="00A53A15" w:rsidRPr="009F0A0C">
        <w:rPr>
          <w:rFonts w:ascii="Calibri" w:eastAsia="Times New Roman" w:hAnsi="Calibri" w:cs="Times New Roman"/>
          <w:color w:val="auto"/>
          <w:szCs w:val="20"/>
        </w:rPr>
        <w:t xml:space="preserve">Table </w:t>
      </w:r>
      <w:r w:rsidR="009F0A0C" w:rsidRPr="009F0A0C">
        <w:rPr>
          <w:rFonts w:ascii="Calibri" w:eastAsia="Times New Roman" w:hAnsi="Calibri" w:cs="Times New Roman"/>
          <w:color w:val="auto"/>
          <w:szCs w:val="20"/>
        </w:rPr>
        <w:t>7</w:t>
      </w:r>
      <w:r w:rsidR="00A53A15" w:rsidRPr="00A53A15">
        <w:rPr>
          <w:rFonts w:asciiTheme="minorHAnsi" w:hAnsiTheme="minorHAnsi" w:cstheme="minorHAnsi"/>
          <w:szCs w:val="20"/>
        </w:rPr>
        <w:fldChar w:fldCharType="end"/>
      </w:r>
      <w:r w:rsidR="00A53A15" w:rsidRPr="009F0A0C">
        <w:rPr>
          <w:rFonts w:asciiTheme="minorHAnsi" w:hAnsiTheme="minorHAnsi" w:cstheme="minorHAnsi"/>
          <w:szCs w:val="20"/>
        </w:rPr>
        <w:t xml:space="preserve"> </w:t>
      </w:r>
      <w:r w:rsidRPr="009F0A0C">
        <w:rPr>
          <w:rFonts w:asciiTheme="minorHAnsi" w:hAnsiTheme="minorHAnsi" w:cstheme="minorHAnsi"/>
          <w:szCs w:val="20"/>
        </w:rPr>
        <w:t>illustrates</w:t>
      </w:r>
      <w:r w:rsidRPr="002E5993">
        <w:rPr>
          <w:rFonts w:asciiTheme="minorHAnsi" w:hAnsiTheme="minorHAnsi" w:cstheme="minorHAnsi"/>
        </w:rPr>
        <w:t xml:space="preserve"> examples of building rating schemes in various jurisdictions and the building type each scheme applies to.</w:t>
      </w:r>
    </w:p>
    <w:p w14:paraId="71A14F62" w14:textId="77777777" w:rsidR="00A200CB" w:rsidRDefault="00A200CB">
      <w:pPr>
        <w:spacing w:before="0" w:after="160" w:line="259" w:lineRule="auto"/>
        <w:rPr>
          <w:rFonts w:ascii="Calibri" w:eastAsia="Times New Roman" w:hAnsi="Calibri" w:cs="Times New Roman"/>
          <w:b/>
          <w:bCs/>
          <w:color w:val="auto"/>
          <w:sz w:val="24"/>
          <w:szCs w:val="18"/>
        </w:rPr>
      </w:pPr>
      <w:bookmarkStart w:id="117" w:name="_Ref136273513"/>
      <w:r>
        <w:rPr>
          <w:rFonts w:ascii="Calibri" w:eastAsia="Times New Roman" w:hAnsi="Calibri" w:cs="Times New Roman"/>
          <w:b/>
          <w:bCs/>
          <w:i/>
          <w:iCs/>
          <w:color w:val="auto"/>
          <w:sz w:val="24"/>
        </w:rPr>
        <w:br w:type="page"/>
      </w:r>
    </w:p>
    <w:p w14:paraId="37A31423" w14:textId="6EDE24C9" w:rsidR="00C5153F" w:rsidRPr="004E3937" w:rsidRDefault="00C5153F" w:rsidP="004E3937">
      <w:pPr>
        <w:pStyle w:val="Caption"/>
        <w:keepNext/>
        <w:spacing w:after="120"/>
        <w:rPr>
          <w:rFonts w:ascii="Calibri" w:eastAsia="Times New Roman" w:hAnsi="Calibri" w:cs="Times New Roman"/>
          <w:b/>
          <w:bCs/>
          <w:i w:val="0"/>
          <w:iCs w:val="0"/>
          <w:color w:val="auto"/>
          <w:sz w:val="24"/>
        </w:rPr>
      </w:pPr>
      <w:bookmarkStart w:id="118" w:name="_Toc162535443"/>
      <w:r w:rsidRPr="004E3937">
        <w:rPr>
          <w:rFonts w:ascii="Calibri" w:eastAsia="Times New Roman" w:hAnsi="Calibri" w:cs="Times New Roman"/>
          <w:b/>
          <w:bCs/>
          <w:i w:val="0"/>
          <w:iCs w:val="0"/>
          <w:color w:val="auto"/>
          <w:sz w:val="24"/>
        </w:rPr>
        <w:lastRenderedPageBreak/>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7</w:t>
      </w:r>
      <w:r w:rsidRPr="004E3937">
        <w:rPr>
          <w:rFonts w:ascii="Calibri" w:eastAsia="Times New Roman" w:hAnsi="Calibri" w:cs="Times New Roman"/>
          <w:b/>
          <w:bCs/>
          <w:i w:val="0"/>
          <w:iCs w:val="0"/>
          <w:color w:val="auto"/>
          <w:sz w:val="24"/>
        </w:rPr>
        <w:fldChar w:fldCharType="end"/>
      </w:r>
      <w:bookmarkEnd w:id="117"/>
      <w:r w:rsidRPr="004E3937">
        <w:rPr>
          <w:rFonts w:ascii="Calibri" w:eastAsia="Times New Roman" w:hAnsi="Calibri" w:cs="Times New Roman"/>
          <w:b/>
          <w:bCs/>
          <w:i w:val="0"/>
          <w:iCs w:val="0"/>
          <w:color w:val="auto"/>
          <w:sz w:val="24"/>
        </w:rPr>
        <w:t>: Examples of Building Rating Schemes in different jurisdictions</w:t>
      </w:r>
      <w:proofErr w:type="gramStart"/>
      <w:r w:rsidR="00723239" w:rsidRPr="00127F8A">
        <w:rPr>
          <w:rFonts w:ascii="Calibri" w:eastAsia="Times New Roman" w:hAnsi="Calibri" w:cs="Times New Roman"/>
          <w:b/>
          <w:bCs/>
          <w:i w:val="0"/>
          <w:iCs w:val="0"/>
          <w:color w:val="auto"/>
          <w:sz w:val="24"/>
          <w:vertAlign w:val="superscript"/>
        </w:rPr>
        <w:t>32</w:t>
      </w:r>
      <w:r w:rsidR="00127F8A" w:rsidRPr="00127F8A">
        <w:rPr>
          <w:rFonts w:ascii="Calibri" w:eastAsia="Times New Roman" w:hAnsi="Calibri" w:cs="Times New Roman"/>
          <w:b/>
          <w:bCs/>
          <w:i w:val="0"/>
          <w:iCs w:val="0"/>
          <w:color w:val="auto"/>
          <w:sz w:val="24"/>
          <w:vertAlign w:val="superscript"/>
        </w:rPr>
        <w:t>,</w:t>
      </w:r>
      <w:r w:rsidR="00F73A23" w:rsidRPr="00127F8A">
        <w:rPr>
          <w:rFonts w:ascii="ZWAdobeF" w:eastAsia="Times New Roman" w:hAnsi="ZWAdobeF" w:cs="ZWAdobeF"/>
          <w:bCs/>
          <w:i w:val="0"/>
          <w:iCs w:val="0"/>
          <w:color w:val="auto"/>
          <w:sz w:val="2"/>
          <w:szCs w:val="2"/>
          <w:vertAlign w:val="superscript"/>
        </w:rPr>
        <w:t>F</w:t>
      </w:r>
      <w:proofErr w:type="gramEnd"/>
      <w:r w:rsidR="00626378">
        <w:rPr>
          <w:rFonts w:ascii="ZWAdobeF" w:eastAsia="Times New Roman" w:hAnsi="ZWAdobeF" w:cs="ZWAdobeF"/>
          <w:bCs/>
          <w:i w:val="0"/>
          <w:iCs w:val="0"/>
          <w:color w:val="auto"/>
          <w:sz w:val="2"/>
          <w:szCs w:val="2"/>
        </w:rPr>
        <w:t>32F</w:t>
      </w:r>
      <w:r w:rsidR="00413811">
        <w:rPr>
          <w:rFonts w:ascii="ZWAdobeF" w:eastAsia="Times New Roman" w:hAnsi="ZWAdobeF" w:cs="ZWAdobeF"/>
          <w:bCs/>
          <w:i w:val="0"/>
          <w:iCs w:val="0"/>
          <w:color w:val="auto"/>
          <w:sz w:val="2"/>
          <w:szCs w:val="2"/>
        </w:rPr>
        <w:t>32F</w:t>
      </w:r>
      <w:r w:rsidR="002C327C">
        <w:rPr>
          <w:rFonts w:ascii="ZWAdobeF" w:eastAsia="Times New Roman" w:hAnsi="ZWAdobeF" w:cs="ZWAdobeF"/>
          <w:bCs/>
          <w:i w:val="0"/>
          <w:iCs w:val="0"/>
          <w:color w:val="auto"/>
          <w:sz w:val="2"/>
          <w:szCs w:val="2"/>
        </w:rPr>
        <w:t>32F</w:t>
      </w:r>
      <w:r w:rsidR="00D24A06">
        <w:rPr>
          <w:rFonts w:ascii="ZWAdobeF" w:eastAsia="Times New Roman" w:hAnsi="ZWAdobeF" w:cs="ZWAdobeF"/>
          <w:bCs/>
          <w:i w:val="0"/>
          <w:iCs w:val="0"/>
          <w:color w:val="auto"/>
          <w:sz w:val="2"/>
          <w:szCs w:val="2"/>
        </w:rPr>
        <w:t>32F</w:t>
      </w:r>
      <w:r w:rsidRPr="00127F8A">
        <w:rPr>
          <w:rFonts w:ascii="Calibri" w:eastAsia="Times New Roman" w:hAnsi="Calibri" w:cs="Times New Roman"/>
          <w:b/>
          <w:i w:val="0"/>
          <w:color w:val="auto"/>
          <w:sz w:val="24"/>
          <w:vertAlign w:val="superscript"/>
        </w:rPr>
        <w:footnoteReference w:id="34"/>
      </w:r>
      <w:bookmarkEnd w:id="118"/>
    </w:p>
    <w:tbl>
      <w:tblPr>
        <w:tblStyle w:val="GridTable4-Accent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261"/>
        <w:gridCol w:w="1417"/>
        <w:gridCol w:w="1276"/>
        <w:gridCol w:w="992"/>
        <w:gridCol w:w="1410"/>
        <w:gridCol w:w="858"/>
      </w:tblGrid>
      <w:tr w:rsidR="006C2B66" w:rsidRPr="008547D1" w14:paraId="064FA96F" w14:textId="77777777" w:rsidTr="007310F2">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129" w:type="dxa"/>
            <w:tcBorders>
              <w:top w:val="nil"/>
              <w:left w:val="nil"/>
              <w:bottom w:val="single" w:sz="12" w:space="0" w:color="auto"/>
            </w:tcBorders>
            <w:shd w:val="clear" w:color="auto" w:fill="auto"/>
          </w:tcPr>
          <w:p w14:paraId="22819222" w14:textId="77777777" w:rsidR="006C2B66" w:rsidRPr="007310F2" w:rsidRDefault="006C2B66" w:rsidP="00802666">
            <w:pPr>
              <w:spacing w:before="0" w:after="0"/>
              <w:rPr>
                <w:rFonts w:asciiTheme="minorHAnsi" w:eastAsia="Calibri Light" w:hAnsiTheme="minorHAnsi" w:cstheme="minorHAnsi"/>
                <w:sz w:val="16"/>
                <w:szCs w:val="16"/>
                <w:lang w:eastAsia="en-AU"/>
              </w:rPr>
            </w:pPr>
          </w:p>
        </w:tc>
        <w:tc>
          <w:tcPr>
            <w:tcW w:w="3261" w:type="dxa"/>
            <w:tcBorders>
              <w:top w:val="nil"/>
              <w:bottom w:val="single" w:sz="12" w:space="0" w:color="auto"/>
            </w:tcBorders>
            <w:shd w:val="clear" w:color="auto" w:fill="auto"/>
          </w:tcPr>
          <w:p w14:paraId="5FCFF49F" w14:textId="77777777" w:rsidR="006C2B66" w:rsidRPr="007310F2" w:rsidRDefault="006C2B66" w:rsidP="00802666">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6"/>
                <w:szCs w:val="16"/>
                <w:lang w:eastAsia="en-AU"/>
              </w:rPr>
            </w:pPr>
          </w:p>
        </w:tc>
        <w:tc>
          <w:tcPr>
            <w:tcW w:w="1417" w:type="dxa"/>
            <w:tcBorders>
              <w:top w:val="nil"/>
              <w:bottom w:val="single" w:sz="12" w:space="0" w:color="auto"/>
            </w:tcBorders>
            <w:shd w:val="clear" w:color="auto" w:fill="auto"/>
          </w:tcPr>
          <w:p w14:paraId="47E86289" w14:textId="77777777" w:rsidR="006C2B66" w:rsidRPr="007310F2" w:rsidRDefault="006C2B66" w:rsidP="00802666">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6"/>
                <w:szCs w:val="16"/>
                <w:lang w:eastAsia="en-AU"/>
              </w:rPr>
            </w:pPr>
          </w:p>
        </w:tc>
        <w:tc>
          <w:tcPr>
            <w:tcW w:w="1276" w:type="dxa"/>
            <w:tcBorders>
              <w:top w:val="nil"/>
              <w:bottom w:val="single" w:sz="12" w:space="0" w:color="auto"/>
            </w:tcBorders>
            <w:shd w:val="clear" w:color="auto" w:fill="auto"/>
          </w:tcPr>
          <w:p w14:paraId="3918F564" w14:textId="77777777" w:rsidR="006C2B66" w:rsidRPr="007310F2" w:rsidRDefault="006C2B66" w:rsidP="0080266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6"/>
                <w:szCs w:val="16"/>
                <w:lang w:eastAsia="en-AU"/>
              </w:rPr>
            </w:pPr>
          </w:p>
        </w:tc>
        <w:tc>
          <w:tcPr>
            <w:tcW w:w="992" w:type="dxa"/>
            <w:tcBorders>
              <w:top w:val="single" w:sz="4" w:space="0" w:color="auto"/>
              <w:bottom w:val="single" w:sz="12" w:space="0" w:color="auto"/>
            </w:tcBorders>
            <w:shd w:val="clear" w:color="auto" w:fill="auto"/>
          </w:tcPr>
          <w:p w14:paraId="0D8ACC15" w14:textId="77777777" w:rsidR="006C2B66" w:rsidRPr="007310F2" w:rsidRDefault="006C2B66" w:rsidP="0080266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6"/>
                <w:szCs w:val="16"/>
                <w:lang w:eastAsia="en-AU"/>
              </w:rPr>
            </w:pPr>
          </w:p>
        </w:tc>
        <w:tc>
          <w:tcPr>
            <w:tcW w:w="1410" w:type="dxa"/>
            <w:tcBorders>
              <w:top w:val="single" w:sz="4" w:space="0" w:color="auto"/>
              <w:bottom w:val="single" w:sz="12" w:space="0" w:color="auto"/>
            </w:tcBorders>
            <w:shd w:val="clear" w:color="auto" w:fill="auto"/>
          </w:tcPr>
          <w:p w14:paraId="20C3F16F" w14:textId="7E01E51F" w:rsidR="006C2B66" w:rsidRPr="007310F2" w:rsidRDefault="006C2B66" w:rsidP="0080266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6"/>
                <w:szCs w:val="16"/>
                <w:lang w:eastAsia="en-AU"/>
              </w:rPr>
            </w:pPr>
            <w:r w:rsidRPr="007310F2">
              <w:rPr>
                <w:rFonts w:asciiTheme="minorHAnsi" w:eastAsia="Calibri Light" w:hAnsiTheme="minorHAnsi" w:cstheme="minorHAnsi"/>
                <w:sz w:val="16"/>
                <w:szCs w:val="16"/>
                <w:lang w:eastAsia="en-AU"/>
              </w:rPr>
              <w:t>Building type</w:t>
            </w:r>
          </w:p>
        </w:tc>
        <w:tc>
          <w:tcPr>
            <w:tcW w:w="858" w:type="dxa"/>
            <w:tcBorders>
              <w:top w:val="single" w:sz="4" w:space="0" w:color="auto"/>
              <w:bottom w:val="single" w:sz="12" w:space="0" w:color="auto"/>
              <w:right w:val="nil"/>
            </w:tcBorders>
            <w:shd w:val="clear" w:color="auto" w:fill="auto"/>
          </w:tcPr>
          <w:p w14:paraId="181204D2" w14:textId="77777777" w:rsidR="006C2B66" w:rsidRPr="007310F2" w:rsidRDefault="006C2B66" w:rsidP="0080266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alibri Light" w:hAnsiTheme="minorHAnsi" w:cstheme="minorHAnsi"/>
                <w:sz w:val="16"/>
                <w:szCs w:val="16"/>
                <w:lang w:eastAsia="en-AU"/>
              </w:rPr>
            </w:pPr>
          </w:p>
        </w:tc>
      </w:tr>
      <w:tr w:rsidR="00802666" w:rsidRPr="008547D1" w14:paraId="2C91E793" w14:textId="77777777" w:rsidTr="0026462A">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129" w:type="dxa"/>
            <w:tcBorders>
              <w:top w:val="nil"/>
              <w:left w:val="single" w:sz="4" w:space="0" w:color="auto"/>
              <w:bottom w:val="single" w:sz="12" w:space="0" w:color="auto"/>
              <w:right w:val="nil"/>
            </w:tcBorders>
            <w:shd w:val="clear" w:color="auto" w:fill="auto"/>
            <w:hideMark/>
          </w:tcPr>
          <w:p w14:paraId="20B2CB5B" w14:textId="20637EE3" w:rsidR="00802666" w:rsidRPr="007310F2" w:rsidRDefault="00802666" w:rsidP="00802666">
            <w:pPr>
              <w:spacing w:before="0" w:after="0"/>
              <w:rPr>
                <w:rFonts w:asciiTheme="minorHAnsi" w:eastAsia="Calibri Light" w:hAnsiTheme="minorHAnsi" w:cstheme="minorHAnsi"/>
                <w:sz w:val="16"/>
                <w:szCs w:val="16"/>
                <w:lang w:eastAsia="en-AU"/>
              </w:rPr>
            </w:pPr>
            <w:r w:rsidRPr="007310F2">
              <w:rPr>
                <w:rFonts w:asciiTheme="minorHAnsi" w:eastAsia="Calibri Light" w:hAnsiTheme="minorHAnsi" w:cstheme="minorHAnsi"/>
                <w:sz w:val="16"/>
                <w:szCs w:val="16"/>
                <w:lang w:eastAsia="en-AU"/>
              </w:rPr>
              <w:t>Jurisdiction</w:t>
            </w:r>
          </w:p>
        </w:tc>
        <w:tc>
          <w:tcPr>
            <w:tcW w:w="3261" w:type="dxa"/>
            <w:tcBorders>
              <w:top w:val="nil"/>
              <w:left w:val="nil"/>
              <w:bottom w:val="single" w:sz="12" w:space="0" w:color="auto"/>
              <w:right w:val="nil"/>
            </w:tcBorders>
            <w:shd w:val="clear" w:color="auto" w:fill="auto"/>
            <w:hideMark/>
          </w:tcPr>
          <w:p w14:paraId="06301F81" w14:textId="24079386" w:rsidR="00802666" w:rsidRPr="007310F2" w:rsidRDefault="00802666" w:rsidP="00802666">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bCs/>
                <w:sz w:val="16"/>
                <w:szCs w:val="16"/>
                <w:lang w:eastAsia="en-AU"/>
              </w:rPr>
            </w:pPr>
            <w:r w:rsidRPr="007310F2">
              <w:rPr>
                <w:rFonts w:asciiTheme="minorHAnsi" w:eastAsia="Calibri Light" w:hAnsiTheme="minorHAnsi" w:cstheme="minorHAnsi"/>
                <w:b/>
                <w:bCs/>
                <w:sz w:val="16"/>
                <w:szCs w:val="16"/>
                <w:lang w:eastAsia="en-AU"/>
              </w:rPr>
              <w:t>Scheme</w:t>
            </w:r>
          </w:p>
        </w:tc>
        <w:tc>
          <w:tcPr>
            <w:tcW w:w="1417" w:type="dxa"/>
            <w:tcBorders>
              <w:top w:val="nil"/>
              <w:left w:val="nil"/>
              <w:bottom w:val="single" w:sz="12" w:space="0" w:color="auto"/>
              <w:right w:val="nil"/>
            </w:tcBorders>
            <w:shd w:val="clear" w:color="auto" w:fill="auto"/>
            <w:hideMark/>
          </w:tcPr>
          <w:p w14:paraId="7F35493D" w14:textId="51B332FA" w:rsidR="00802666" w:rsidRPr="007310F2" w:rsidRDefault="00802666" w:rsidP="00802666">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bCs/>
                <w:sz w:val="16"/>
                <w:szCs w:val="16"/>
                <w:lang w:eastAsia="en-AU"/>
              </w:rPr>
            </w:pPr>
            <w:r w:rsidRPr="007310F2">
              <w:rPr>
                <w:rFonts w:asciiTheme="minorHAnsi" w:eastAsia="Calibri Light" w:hAnsiTheme="minorHAnsi" w:cstheme="minorHAnsi"/>
                <w:b/>
                <w:bCs/>
                <w:sz w:val="16"/>
                <w:szCs w:val="16"/>
                <w:lang w:eastAsia="en-AU"/>
              </w:rPr>
              <w:t>Mandatory disclosure?</w:t>
            </w:r>
          </w:p>
        </w:tc>
        <w:tc>
          <w:tcPr>
            <w:tcW w:w="1276" w:type="dxa"/>
            <w:tcBorders>
              <w:top w:val="nil"/>
              <w:left w:val="nil"/>
              <w:bottom w:val="single" w:sz="12" w:space="0" w:color="auto"/>
              <w:right w:val="nil"/>
            </w:tcBorders>
            <w:shd w:val="clear" w:color="auto" w:fill="auto"/>
          </w:tcPr>
          <w:p w14:paraId="62B77C9B" w14:textId="77777777" w:rsidR="00802666" w:rsidRPr="007310F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bCs/>
                <w:sz w:val="16"/>
                <w:szCs w:val="16"/>
                <w:lang w:eastAsia="en-AU"/>
              </w:rPr>
            </w:pPr>
            <w:r w:rsidRPr="007310F2">
              <w:rPr>
                <w:rFonts w:asciiTheme="minorHAnsi" w:eastAsia="Calibri Light" w:hAnsiTheme="minorHAnsi" w:cstheme="minorHAnsi"/>
                <w:b/>
                <w:bCs/>
                <w:sz w:val="16"/>
                <w:szCs w:val="16"/>
                <w:lang w:eastAsia="en-AU"/>
              </w:rPr>
              <w:t>New/ existing</w:t>
            </w:r>
          </w:p>
          <w:p w14:paraId="3A479DE6" w14:textId="343433B4" w:rsidR="00802666" w:rsidRPr="007310F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bCs/>
                <w:sz w:val="16"/>
                <w:szCs w:val="16"/>
                <w:lang w:eastAsia="en-AU"/>
              </w:rPr>
            </w:pPr>
            <w:r w:rsidRPr="007310F2">
              <w:rPr>
                <w:rFonts w:asciiTheme="minorHAnsi" w:eastAsia="Calibri Light" w:hAnsiTheme="minorHAnsi" w:cstheme="minorHAnsi"/>
                <w:b/>
                <w:bCs/>
                <w:sz w:val="16"/>
                <w:szCs w:val="16"/>
                <w:lang w:eastAsia="en-AU"/>
              </w:rPr>
              <w:t>buildings</w:t>
            </w:r>
          </w:p>
        </w:tc>
        <w:tc>
          <w:tcPr>
            <w:tcW w:w="992" w:type="dxa"/>
            <w:tcBorders>
              <w:top w:val="single" w:sz="4" w:space="0" w:color="auto"/>
              <w:left w:val="nil"/>
              <w:bottom w:val="single" w:sz="12" w:space="0" w:color="auto"/>
            </w:tcBorders>
            <w:shd w:val="clear" w:color="auto" w:fill="auto"/>
            <w:hideMark/>
          </w:tcPr>
          <w:p w14:paraId="68815A64" w14:textId="77777777" w:rsidR="00802666" w:rsidRPr="007310F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bCs/>
                <w:sz w:val="16"/>
                <w:szCs w:val="16"/>
                <w:lang w:eastAsia="en-AU"/>
              </w:rPr>
            </w:pPr>
            <w:r w:rsidRPr="007310F2">
              <w:rPr>
                <w:rFonts w:asciiTheme="minorHAnsi" w:eastAsia="Calibri Light" w:hAnsiTheme="minorHAnsi" w:cstheme="minorHAnsi"/>
                <w:b/>
                <w:bCs/>
                <w:sz w:val="16"/>
                <w:szCs w:val="16"/>
                <w:lang w:eastAsia="en-AU"/>
              </w:rPr>
              <w:t>Residential</w:t>
            </w:r>
          </w:p>
        </w:tc>
        <w:tc>
          <w:tcPr>
            <w:tcW w:w="1410" w:type="dxa"/>
            <w:tcBorders>
              <w:top w:val="single" w:sz="4" w:space="0" w:color="auto"/>
              <w:bottom w:val="single" w:sz="12" w:space="0" w:color="auto"/>
            </w:tcBorders>
            <w:shd w:val="clear" w:color="auto" w:fill="auto"/>
            <w:hideMark/>
          </w:tcPr>
          <w:p w14:paraId="4575A65D" w14:textId="77777777" w:rsidR="00802666" w:rsidRPr="007310F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bCs/>
                <w:sz w:val="16"/>
                <w:szCs w:val="16"/>
                <w:lang w:eastAsia="en-AU"/>
              </w:rPr>
            </w:pPr>
            <w:r w:rsidRPr="007310F2">
              <w:rPr>
                <w:rFonts w:asciiTheme="minorHAnsi" w:eastAsia="Calibri Light" w:hAnsiTheme="minorHAnsi" w:cstheme="minorHAnsi"/>
                <w:b/>
                <w:bCs/>
                <w:sz w:val="16"/>
                <w:szCs w:val="16"/>
                <w:lang w:eastAsia="en-AU"/>
              </w:rPr>
              <w:t>Commercial</w:t>
            </w:r>
          </w:p>
        </w:tc>
        <w:tc>
          <w:tcPr>
            <w:tcW w:w="858" w:type="dxa"/>
            <w:tcBorders>
              <w:top w:val="single" w:sz="4" w:space="0" w:color="auto"/>
              <w:bottom w:val="single" w:sz="12" w:space="0" w:color="auto"/>
            </w:tcBorders>
            <w:shd w:val="clear" w:color="auto" w:fill="auto"/>
            <w:hideMark/>
          </w:tcPr>
          <w:p w14:paraId="4D7C172D" w14:textId="4A97A060" w:rsidR="00802666" w:rsidRPr="007310F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b/>
                <w:bCs/>
                <w:sz w:val="16"/>
                <w:szCs w:val="16"/>
                <w:lang w:eastAsia="en-AU"/>
              </w:rPr>
            </w:pPr>
            <w:r w:rsidRPr="007310F2">
              <w:rPr>
                <w:rFonts w:asciiTheme="minorHAnsi" w:eastAsia="Calibri Light" w:hAnsiTheme="minorHAnsi" w:cstheme="minorHAnsi"/>
                <w:b/>
                <w:bCs/>
                <w:sz w:val="16"/>
                <w:szCs w:val="16"/>
                <w:lang w:eastAsia="en-AU"/>
              </w:rPr>
              <w:t>Public*</w:t>
            </w:r>
          </w:p>
        </w:tc>
      </w:tr>
      <w:tr w:rsidR="00802666" w:rsidRPr="008547D1" w14:paraId="4DDB392B" w14:textId="77777777" w:rsidTr="0026462A">
        <w:trPr>
          <w:trHeight w:val="258"/>
        </w:trPr>
        <w:tc>
          <w:tcPr>
            <w:cnfStyle w:val="001000000000" w:firstRow="0" w:lastRow="0" w:firstColumn="1" w:lastColumn="0" w:oddVBand="0" w:evenVBand="0" w:oddHBand="0" w:evenHBand="0" w:firstRowFirstColumn="0" w:firstRowLastColumn="0" w:lastRowFirstColumn="0" w:lastRowLastColumn="0"/>
            <w:tcW w:w="1129" w:type="dxa"/>
            <w:tcBorders>
              <w:top w:val="single" w:sz="12" w:space="0" w:color="auto"/>
            </w:tcBorders>
            <w:shd w:val="clear" w:color="auto" w:fill="auto"/>
            <w:vAlign w:val="center"/>
            <w:hideMark/>
          </w:tcPr>
          <w:p w14:paraId="746DBE27" w14:textId="77777777" w:rsidR="00802666" w:rsidRPr="002E5993" w:rsidRDefault="00802666" w:rsidP="00802666">
            <w:pPr>
              <w:spacing w:before="0" w:after="0"/>
              <w:jc w:val="center"/>
              <w:rPr>
                <w:rFonts w:asciiTheme="minorHAnsi" w:eastAsia="Calibri Light" w:hAnsiTheme="minorHAnsi" w:cstheme="minorHAnsi"/>
                <w:sz w:val="16"/>
                <w:szCs w:val="16"/>
                <w:lang w:eastAsia="en-AU"/>
              </w:rPr>
            </w:pPr>
            <w:r w:rsidRPr="002E5993">
              <w:rPr>
                <w:rFonts w:asciiTheme="minorHAnsi" w:eastAsia="Calibri Light" w:hAnsiTheme="minorHAnsi" w:cstheme="minorHAnsi"/>
                <w:sz w:val="16"/>
                <w:szCs w:val="16"/>
                <w:lang w:eastAsia="en-AU"/>
              </w:rPr>
              <w:t>US</w:t>
            </w:r>
          </w:p>
        </w:tc>
        <w:tc>
          <w:tcPr>
            <w:tcW w:w="3261" w:type="dxa"/>
            <w:tcBorders>
              <w:top w:val="single" w:sz="12" w:space="0" w:color="auto"/>
            </w:tcBorders>
            <w:shd w:val="clear" w:color="auto" w:fill="auto"/>
            <w:vAlign w:val="center"/>
            <w:hideMark/>
          </w:tcPr>
          <w:p w14:paraId="3124D083" w14:textId="20448D1C"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ENERGY STAR</w:t>
            </w:r>
            <w:r>
              <w:rPr>
                <w:rFonts w:ascii="ZWAdobeF" w:eastAsia="Calibri Light" w:hAnsi="ZWAdobeF" w:cs="ZWAdobeF"/>
                <w:color w:val="auto"/>
                <w:sz w:val="2"/>
                <w:szCs w:val="2"/>
                <w:lang w:eastAsia="en-AU"/>
              </w:rPr>
              <w:t>33F33F33F33F33F</w:t>
            </w:r>
            <w:r w:rsidR="00413811">
              <w:rPr>
                <w:rFonts w:ascii="ZWAdobeF" w:eastAsia="Calibri Light" w:hAnsi="ZWAdobeF" w:cs="ZWAdobeF"/>
                <w:color w:val="auto"/>
                <w:sz w:val="2"/>
                <w:szCs w:val="2"/>
                <w:lang w:eastAsia="en-AU"/>
              </w:rPr>
              <w:t>33F</w:t>
            </w:r>
            <w:r w:rsidR="002C327C">
              <w:rPr>
                <w:rFonts w:ascii="ZWAdobeF" w:eastAsia="Calibri Light" w:hAnsi="ZWAdobeF" w:cs="ZWAdobeF"/>
                <w:color w:val="auto"/>
                <w:sz w:val="2"/>
                <w:szCs w:val="2"/>
                <w:lang w:eastAsia="en-AU"/>
              </w:rPr>
              <w:t>33F</w:t>
            </w:r>
            <w:r w:rsidR="00D24A06">
              <w:rPr>
                <w:rFonts w:ascii="ZWAdobeF" w:eastAsia="Calibri Light" w:hAnsi="ZWAdobeF" w:cs="ZWAdobeF"/>
                <w:color w:val="auto"/>
                <w:sz w:val="2"/>
                <w:szCs w:val="2"/>
                <w:lang w:eastAsia="en-AU"/>
              </w:rPr>
              <w:t>33F</w:t>
            </w:r>
            <w:r w:rsidRPr="005A201C">
              <w:rPr>
                <w:rStyle w:val="FootnoteReference"/>
                <w:rFonts w:asciiTheme="minorHAnsi" w:eastAsia="Calibri Light" w:hAnsiTheme="minorHAnsi" w:cstheme="minorHAnsi"/>
                <w:color w:val="auto"/>
                <w:sz w:val="16"/>
                <w:szCs w:val="16"/>
                <w:lang w:eastAsia="en-AU"/>
              </w:rPr>
              <w:footnoteReference w:id="35"/>
            </w:r>
          </w:p>
        </w:tc>
        <w:tc>
          <w:tcPr>
            <w:tcW w:w="1417" w:type="dxa"/>
            <w:tcBorders>
              <w:top w:val="single" w:sz="12" w:space="0" w:color="auto"/>
            </w:tcBorders>
            <w:shd w:val="clear" w:color="auto" w:fill="auto"/>
            <w:vAlign w:val="center"/>
            <w:hideMark/>
          </w:tcPr>
          <w:p w14:paraId="6C5FEC42" w14:textId="77777777"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Calibri Light" w:hAnsiTheme="minorHAnsi" w:cstheme="minorHAnsi"/>
                <w:color w:val="000000"/>
                <w:sz w:val="16"/>
                <w:szCs w:val="16"/>
                <w:lang w:eastAsia="en-AU"/>
              </w:rPr>
              <w:t>For some states</w:t>
            </w:r>
          </w:p>
        </w:tc>
        <w:tc>
          <w:tcPr>
            <w:tcW w:w="1276" w:type="dxa"/>
            <w:tcBorders>
              <w:top w:val="single" w:sz="12" w:space="0" w:color="auto"/>
            </w:tcBorders>
            <w:shd w:val="clear" w:color="auto" w:fill="auto"/>
            <w:vAlign w:val="center"/>
          </w:tcPr>
          <w:p w14:paraId="36F7826F" w14:textId="77777777"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E5993">
              <w:rPr>
                <w:rFonts w:asciiTheme="minorHAnsi" w:eastAsia="CG Times (W1)" w:hAnsiTheme="minorHAnsi" w:cstheme="minorHAnsi"/>
                <w:color w:val="000000"/>
                <w:sz w:val="16"/>
                <w:szCs w:val="16"/>
                <w:lang w:eastAsia="en-AU"/>
              </w:rPr>
              <w:t>Both</w:t>
            </w:r>
          </w:p>
        </w:tc>
        <w:tc>
          <w:tcPr>
            <w:tcW w:w="992" w:type="dxa"/>
            <w:tcBorders>
              <w:top w:val="single" w:sz="12" w:space="0" w:color="auto"/>
            </w:tcBorders>
            <w:shd w:val="clear" w:color="auto" w:fill="auto"/>
            <w:vAlign w:val="center"/>
            <w:hideMark/>
          </w:tcPr>
          <w:p w14:paraId="5053A9E0" w14:textId="57C8601A"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75D010D7" wp14:editId="0ABF7C3F">
                  <wp:extent cx="123825" cy="123825"/>
                  <wp:effectExtent l="0" t="0" r="9525" b="9525"/>
                  <wp:docPr id="909" name="Picture 90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Picture 909"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tcBorders>
              <w:top w:val="single" w:sz="12" w:space="0" w:color="auto"/>
            </w:tcBorders>
            <w:shd w:val="clear" w:color="auto" w:fill="auto"/>
            <w:vAlign w:val="center"/>
            <w:hideMark/>
          </w:tcPr>
          <w:p w14:paraId="34A8D024" w14:textId="1031F66E"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67C7984D" wp14:editId="549EADF8">
                  <wp:extent cx="123825" cy="123825"/>
                  <wp:effectExtent l="0" t="0" r="9525" b="9525"/>
                  <wp:docPr id="918" name="Picture 91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Picture 918"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tcBorders>
              <w:top w:val="single" w:sz="12" w:space="0" w:color="auto"/>
            </w:tcBorders>
            <w:shd w:val="clear" w:color="auto" w:fill="auto"/>
            <w:vAlign w:val="center"/>
            <w:hideMark/>
          </w:tcPr>
          <w:p w14:paraId="4B45BFC8" w14:textId="5DC8015C"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5CE9158A" wp14:editId="12954911">
                  <wp:extent cx="123825" cy="123825"/>
                  <wp:effectExtent l="0" t="0" r="9525" b="9525"/>
                  <wp:docPr id="921" name="Picture 92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7D0C7D17" w14:textId="77777777" w:rsidTr="0026462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6E2CF478" w14:textId="0914575A" w:rsidR="00802666" w:rsidRPr="002E5993" w:rsidRDefault="00802666" w:rsidP="00802666">
            <w:pPr>
              <w:spacing w:before="0" w:after="0"/>
              <w:jc w:val="center"/>
              <w:rPr>
                <w:rFonts w:asciiTheme="minorHAnsi" w:eastAsia="Calibri Light" w:hAnsiTheme="minorHAnsi" w:cstheme="minorHAnsi"/>
                <w:sz w:val="16"/>
                <w:szCs w:val="16"/>
                <w:lang w:eastAsia="en-AU"/>
              </w:rPr>
            </w:pPr>
            <w:r>
              <w:rPr>
                <w:rFonts w:asciiTheme="minorHAnsi" w:eastAsia="Calibri Light" w:hAnsiTheme="minorHAnsi" w:cstheme="minorHAnsi"/>
                <w:sz w:val="16"/>
                <w:szCs w:val="16"/>
                <w:lang w:eastAsia="en-AU"/>
              </w:rPr>
              <w:t>US</w:t>
            </w:r>
          </w:p>
        </w:tc>
        <w:tc>
          <w:tcPr>
            <w:tcW w:w="3261" w:type="dxa"/>
            <w:shd w:val="clear" w:color="auto" w:fill="auto"/>
            <w:vAlign w:val="center"/>
            <w:hideMark/>
          </w:tcPr>
          <w:p w14:paraId="4DAB953B" w14:textId="77777777"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Commercial Building Energy Asset Score</w:t>
            </w:r>
          </w:p>
        </w:tc>
        <w:tc>
          <w:tcPr>
            <w:tcW w:w="1417" w:type="dxa"/>
            <w:shd w:val="clear" w:color="auto" w:fill="auto"/>
            <w:vAlign w:val="center"/>
            <w:hideMark/>
          </w:tcPr>
          <w:p w14:paraId="4A88D92A" w14:textId="77777777"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7F000D33" w14:textId="77777777"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E5993">
              <w:rPr>
                <w:rFonts w:asciiTheme="minorHAnsi" w:eastAsia="CG Times (W1)" w:hAnsiTheme="minorHAnsi" w:cstheme="minorHAnsi"/>
                <w:color w:val="000000"/>
                <w:sz w:val="16"/>
                <w:szCs w:val="16"/>
                <w:lang w:eastAsia="en-AU"/>
              </w:rPr>
              <w:t>Both</w:t>
            </w:r>
          </w:p>
        </w:tc>
        <w:tc>
          <w:tcPr>
            <w:tcW w:w="992" w:type="dxa"/>
            <w:shd w:val="clear" w:color="auto" w:fill="auto"/>
            <w:vAlign w:val="center"/>
            <w:hideMark/>
          </w:tcPr>
          <w:p w14:paraId="400761C7" w14:textId="448AFB81"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22DF62E0" wp14:editId="7AE26CC8">
                  <wp:extent cx="123825" cy="123825"/>
                  <wp:effectExtent l="0" t="0" r="9525" b="9525"/>
                  <wp:docPr id="931" name="Picture 93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hideMark/>
          </w:tcPr>
          <w:p w14:paraId="763ED9B2" w14:textId="491B6881"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3B84F6B4" wp14:editId="2A9ACA1B">
                  <wp:extent cx="123825" cy="123825"/>
                  <wp:effectExtent l="0" t="0" r="9525" b="9525"/>
                  <wp:docPr id="932" name="Picture 932"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643269AA" w14:textId="11C7C231"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3771886D" wp14:editId="5F2308D1">
                  <wp:extent cx="123825" cy="123825"/>
                  <wp:effectExtent l="0" t="0" r="9525" b="9525"/>
                  <wp:docPr id="934" name="Picture 93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38C410FA" w14:textId="77777777" w:rsidTr="0026462A">
        <w:trPr>
          <w:trHeight w:val="258"/>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6327CF7E" w14:textId="0E54CB9C" w:rsidR="00802666" w:rsidRPr="002E5993" w:rsidRDefault="00802666" w:rsidP="00802666">
            <w:pPr>
              <w:spacing w:before="0" w:after="0"/>
              <w:jc w:val="center"/>
              <w:rPr>
                <w:rFonts w:asciiTheme="minorHAnsi" w:eastAsia="Calibri Light" w:hAnsiTheme="minorHAnsi" w:cstheme="minorHAnsi"/>
                <w:sz w:val="16"/>
                <w:szCs w:val="16"/>
                <w:lang w:eastAsia="en-AU"/>
              </w:rPr>
            </w:pPr>
            <w:r>
              <w:rPr>
                <w:rFonts w:asciiTheme="minorHAnsi" w:eastAsia="Calibri Light" w:hAnsiTheme="minorHAnsi" w:cstheme="minorHAnsi"/>
                <w:sz w:val="16"/>
                <w:szCs w:val="16"/>
                <w:lang w:eastAsia="en-AU"/>
              </w:rPr>
              <w:t>US</w:t>
            </w:r>
          </w:p>
        </w:tc>
        <w:tc>
          <w:tcPr>
            <w:tcW w:w="3261" w:type="dxa"/>
            <w:shd w:val="clear" w:color="auto" w:fill="auto"/>
            <w:vAlign w:val="center"/>
          </w:tcPr>
          <w:p w14:paraId="09500399" w14:textId="77777777"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Leadership in Energy and Environmental Design (LEED)</w:t>
            </w:r>
          </w:p>
        </w:tc>
        <w:tc>
          <w:tcPr>
            <w:tcW w:w="1417" w:type="dxa"/>
            <w:shd w:val="clear" w:color="auto" w:fill="auto"/>
            <w:vAlign w:val="center"/>
          </w:tcPr>
          <w:p w14:paraId="5DA6AA7F" w14:textId="77777777"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5DE7A087" w14:textId="77777777"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E5993">
              <w:rPr>
                <w:rFonts w:asciiTheme="minorHAnsi" w:eastAsia="CG Times (W1)" w:hAnsiTheme="minorHAnsi" w:cstheme="minorHAnsi"/>
                <w:color w:val="000000"/>
                <w:sz w:val="16"/>
                <w:szCs w:val="16"/>
                <w:lang w:eastAsia="en-AU"/>
              </w:rPr>
              <w:t>Both</w:t>
            </w:r>
          </w:p>
        </w:tc>
        <w:tc>
          <w:tcPr>
            <w:tcW w:w="992" w:type="dxa"/>
            <w:shd w:val="clear" w:color="auto" w:fill="auto"/>
            <w:vAlign w:val="center"/>
          </w:tcPr>
          <w:p w14:paraId="1A064572" w14:textId="24D487EB"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KPMG Bold"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086F164B" wp14:editId="12541D1C">
                  <wp:extent cx="123825" cy="123825"/>
                  <wp:effectExtent l="0" t="0" r="9525" b="9525"/>
                  <wp:docPr id="935" name="Picture 93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icture 935"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tcPr>
          <w:p w14:paraId="7DA2D730" w14:textId="50FC483A"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796BBED2" wp14:editId="5C794F21">
                  <wp:extent cx="123825" cy="123825"/>
                  <wp:effectExtent l="0" t="0" r="9525" b="9525"/>
                  <wp:docPr id="939" name="Picture 93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939"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tcPr>
          <w:p w14:paraId="6B265627" w14:textId="19DE158A" w:rsidR="00802666" w:rsidRPr="002E5993"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77ECFE09" wp14:editId="069B8BED">
                  <wp:extent cx="123825" cy="123825"/>
                  <wp:effectExtent l="0" t="0" r="9525" b="9525"/>
                  <wp:docPr id="943" name="Picture 94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4D3309A6" w14:textId="77777777" w:rsidTr="0026462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54CC1592" w14:textId="77777777" w:rsidR="00802666" w:rsidRPr="002E5993" w:rsidRDefault="00802666" w:rsidP="00802666">
            <w:pPr>
              <w:spacing w:before="0" w:after="0"/>
              <w:jc w:val="center"/>
              <w:rPr>
                <w:rFonts w:asciiTheme="minorHAnsi" w:eastAsia="Calibri Light" w:hAnsiTheme="minorHAnsi" w:cstheme="minorHAnsi"/>
                <w:sz w:val="16"/>
                <w:szCs w:val="16"/>
                <w:lang w:eastAsia="en-AU"/>
              </w:rPr>
            </w:pPr>
            <w:r w:rsidRPr="002E5993">
              <w:rPr>
                <w:rFonts w:asciiTheme="minorHAnsi" w:eastAsia="Calibri Light" w:hAnsiTheme="minorHAnsi" w:cstheme="minorHAnsi"/>
                <w:sz w:val="16"/>
                <w:szCs w:val="16"/>
                <w:lang w:eastAsia="en-AU"/>
              </w:rPr>
              <w:t>UK</w:t>
            </w:r>
          </w:p>
        </w:tc>
        <w:tc>
          <w:tcPr>
            <w:tcW w:w="3261" w:type="dxa"/>
            <w:shd w:val="clear" w:color="auto" w:fill="auto"/>
            <w:vAlign w:val="center"/>
            <w:hideMark/>
          </w:tcPr>
          <w:p w14:paraId="34645835" w14:textId="1905A350"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Energy Performance Certificates (</w:t>
            </w:r>
            <w:proofErr w:type="spellStart"/>
            <w:r w:rsidRPr="005A201C">
              <w:rPr>
                <w:rFonts w:asciiTheme="minorHAnsi" w:eastAsia="Calibri Light" w:hAnsiTheme="minorHAnsi" w:cstheme="minorHAnsi"/>
                <w:color w:val="auto"/>
                <w:sz w:val="16"/>
                <w:szCs w:val="16"/>
                <w:lang w:eastAsia="en-AU"/>
              </w:rPr>
              <w:t>EPCs</w:t>
            </w:r>
            <w:proofErr w:type="spellEnd"/>
            <w:r w:rsidRPr="005A201C">
              <w:rPr>
                <w:rFonts w:asciiTheme="minorHAnsi" w:eastAsia="Calibri Light" w:hAnsiTheme="minorHAnsi" w:cstheme="minorHAnsi"/>
                <w:color w:val="auto"/>
                <w:sz w:val="16"/>
                <w:szCs w:val="16"/>
                <w:lang w:eastAsia="en-AU"/>
              </w:rPr>
              <w:t>)**</w:t>
            </w:r>
          </w:p>
        </w:tc>
        <w:tc>
          <w:tcPr>
            <w:tcW w:w="1417" w:type="dxa"/>
            <w:shd w:val="clear" w:color="auto" w:fill="auto"/>
            <w:vAlign w:val="center"/>
            <w:hideMark/>
          </w:tcPr>
          <w:p w14:paraId="0898BEC0" w14:textId="77777777"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Calibri Light" w:hAnsiTheme="minorHAnsi" w:cstheme="minorHAnsi"/>
                <w:color w:val="000000"/>
                <w:sz w:val="16"/>
                <w:szCs w:val="16"/>
                <w:lang w:eastAsia="en-AU"/>
              </w:rPr>
              <w:t>Yes</w:t>
            </w:r>
          </w:p>
        </w:tc>
        <w:tc>
          <w:tcPr>
            <w:tcW w:w="1276" w:type="dxa"/>
            <w:shd w:val="clear" w:color="auto" w:fill="auto"/>
            <w:vAlign w:val="center"/>
          </w:tcPr>
          <w:p w14:paraId="66DA88E4" w14:textId="77777777"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E5993">
              <w:rPr>
                <w:rFonts w:asciiTheme="minorHAnsi" w:eastAsia="CG Times (W1)" w:hAnsiTheme="minorHAnsi" w:cstheme="minorHAnsi"/>
                <w:color w:val="000000"/>
                <w:sz w:val="16"/>
                <w:szCs w:val="16"/>
                <w:lang w:eastAsia="en-AU"/>
              </w:rPr>
              <w:t>Both</w:t>
            </w:r>
          </w:p>
        </w:tc>
        <w:tc>
          <w:tcPr>
            <w:tcW w:w="992" w:type="dxa"/>
            <w:shd w:val="clear" w:color="auto" w:fill="auto"/>
            <w:vAlign w:val="center"/>
            <w:hideMark/>
          </w:tcPr>
          <w:p w14:paraId="68C2750F" w14:textId="5F54EC6E" w:rsidR="00802666" w:rsidRPr="002E5993"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57FF1A1E" wp14:editId="48577B5A">
                  <wp:extent cx="123825" cy="123825"/>
                  <wp:effectExtent l="0" t="0" r="9525" b="9525"/>
                  <wp:docPr id="944" name="Picture 94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hideMark/>
          </w:tcPr>
          <w:p w14:paraId="07119F50" w14:textId="73F889F9"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E5993">
              <w:rPr>
                <w:rFonts w:asciiTheme="minorHAnsi" w:eastAsia="KPMG Bold" w:hAnsiTheme="minorHAnsi" w:cstheme="minorHAnsi"/>
                <w:noProof/>
                <w:color w:val="000000"/>
                <w:sz w:val="16"/>
                <w:szCs w:val="16"/>
                <w:lang w:eastAsia="en-AU"/>
              </w:rPr>
              <w:drawing>
                <wp:inline distT="0" distB="0" distL="0" distR="0" wp14:anchorId="20D21703" wp14:editId="30295EC2">
                  <wp:extent cx="123825" cy="123825"/>
                  <wp:effectExtent l="0" t="0" r="9525" b="9525"/>
                  <wp:docPr id="945" name="Picture 94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945"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4A1971E4" w14:textId="6BD9EE98"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22A3345B" wp14:editId="2D8D527F">
                  <wp:extent cx="123825" cy="123825"/>
                  <wp:effectExtent l="0" t="0" r="9525" b="9525"/>
                  <wp:docPr id="946" name="Picture 94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946"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3E6941BF" w14:textId="77777777" w:rsidTr="0026462A">
        <w:trPr>
          <w:trHeight w:val="258"/>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3A060CA2" w14:textId="231F18E4" w:rsidR="00802666" w:rsidRPr="00290642" w:rsidRDefault="00802666" w:rsidP="00802666">
            <w:pPr>
              <w:spacing w:before="0" w:after="0"/>
              <w:jc w:val="center"/>
              <w:rPr>
                <w:rFonts w:asciiTheme="minorHAnsi" w:eastAsia="Calibri Light" w:hAnsiTheme="minorHAnsi" w:cstheme="minorHAnsi"/>
                <w:sz w:val="16"/>
                <w:szCs w:val="16"/>
                <w:lang w:eastAsia="en-AU"/>
              </w:rPr>
            </w:pPr>
            <w:r>
              <w:rPr>
                <w:rFonts w:asciiTheme="minorHAnsi" w:eastAsia="Calibri Light" w:hAnsiTheme="minorHAnsi" w:cstheme="minorHAnsi"/>
                <w:sz w:val="16"/>
                <w:szCs w:val="16"/>
                <w:lang w:eastAsia="en-AU"/>
              </w:rPr>
              <w:t>UK</w:t>
            </w:r>
          </w:p>
        </w:tc>
        <w:tc>
          <w:tcPr>
            <w:tcW w:w="3261" w:type="dxa"/>
            <w:shd w:val="clear" w:color="auto" w:fill="auto"/>
            <w:vAlign w:val="center"/>
            <w:hideMark/>
          </w:tcPr>
          <w:p w14:paraId="151F68D6" w14:textId="77777777"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Display Energy Certificates (</w:t>
            </w:r>
            <w:proofErr w:type="spellStart"/>
            <w:r w:rsidRPr="005A201C">
              <w:rPr>
                <w:rFonts w:asciiTheme="minorHAnsi" w:eastAsia="Calibri Light" w:hAnsiTheme="minorHAnsi" w:cstheme="minorHAnsi"/>
                <w:color w:val="auto"/>
                <w:sz w:val="16"/>
                <w:szCs w:val="16"/>
                <w:lang w:eastAsia="en-AU"/>
              </w:rPr>
              <w:t>DECs</w:t>
            </w:r>
            <w:proofErr w:type="spellEnd"/>
            <w:r w:rsidRPr="005A201C">
              <w:rPr>
                <w:rFonts w:asciiTheme="minorHAnsi" w:eastAsia="Calibri Light" w:hAnsiTheme="minorHAnsi" w:cstheme="minorHAnsi"/>
                <w:color w:val="auto"/>
                <w:sz w:val="16"/>
                <w:szCs w:val="16"/>
                <w:lang w:eastAsia="en-AU"/>
              </w:rPr>
              <w:t>)</w:t>
            </w:r>
          </w:p>
        </w:tc>
        <w:tc>
          <w:tcPr>
            <w:tcW w:w="1417" w:type="dxa"/>
            <w:shd w:val="clear" w:color="auto" w:fill="auto"/>
            <w:vAlign w:val="center"/>
            <w:hideMark/>
          </w:tcPr>
          <w:p w14:paraId="7105A63E"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Yes</w:t>
            </w:r>
          </w:p>
        </w:tc>
        <w:tc>
          <w:tcPr>
            <w:tcW w:w="1276" w:type="dxa"/>
            <w:shd w:val="clear" w:color="auto" w:fill="auto"/>
            <w:vAlign w:val="center"/>
          </w:tcPr>
          <w:p w14:paraId="00C783D3"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Existing</w:t>
            </w:r>
          </w:p>
        </w:tc>
        <w:tc>
          <w:tcPr>
            <w:tcW w:w="992" w:type="dxa"/>
            <w:shd w:val="clear" w:color="auto" w:fill="auto"/>
            <w:vAlign w:val="center"/>
            <w:hideMark/>
          </w:tcPr>
          <w:p w14:paraId="0118ED54"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410" w:type="dxa"/>
            <w:shd w:val="clear" w:color="auto" w:fill="auto"/>
            <w:vAlign w:val="center"/>
            <w:hideMark/>
          </w:tcPr>
          <w:p w14:paraId="3455616C" w14:textId="0BF4CD09"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496A940E" wp14:editId="7941E0C4">
                  <wp:extent cx="123825" cy="123825"/>
                  <wp:effectExtent l="0" t="0" r="9525" b="9525"/>
                  <wp:docPr id="947" name="Picture 947"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947"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4A872A29" w14:textId="71E3AB65"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4633299E" wp14:editId="3744321A">
                  <wp:extent cx="123825" cy="123825"/>
                  <wp:effectExtent l="0" t="0" r="9525" b="9525"/>
                  <wp:docPr id="949" name="Picture 94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70A51ADA" w14:textId="77777777" w:rsidTr="0026462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670C0C42" w14:textId="6262A6EB" w:rsidR="00802666" w:rsidRPr="00290642" w:rsidRDefault="00802666" w:rsidP="00802666">
            <w:pPr>
              <w:spacing w:before="0" w:after="0"/>
              <w:jc w:val="center"/>
              <w:rPr>
                <w:rFonts w:asciiTheme="minorHAnsi" w:eastAsia="Calibri Light" w:hAnsiTheme="minorHAnsi" w:cstheme="minorHAnsi"/>
                <w:sz w:val="16"/>
                <w:szCs w:val="16"/>
                <w:lang w:eastAsia="en-AU"/>
              </w:rPr>
            </w:pPr>
            <w:r>
              <w:rPr>
                <w:rFonts w:asciiTheme="minorHAnsi" w:eastAsia="Calibri Light" w:hAnsiTheme="minorHAnsi" w:cstheme="minorHAnsi"/>
                <w:sz w:val="16"/>
                <w:szCs w:val="16"/>
                <w:lang w:eastAsia="en-AU"/>
              </w:rPr>
              <w:t>UK</w:t>
            </w:r>
          </w:p>
        </w:tc>
        <w:tc>
          <w:tcPr>
            <w:tcW w:w="3261" w:type="dxa"/>
            <w:shd w:val="clear" w:color="auto" w:fill="auto"/>
            <w:vAlign w:val="center"/>
          </w:tcPr>
          <w:p w14:paraId="543F31F1" w14:textId="77777777"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Building Research Establishment Environmental Assessment Method (BREEAM)</w:t>
            </w:r>
          </w:p>
        </w:tc>
        <w:tc>
          <w:tcPr>
            <w:tcW w:w="1417" w:type="dxa"/>
            <w:shd w:val="clear" w:color="auto" w:fill="auto"/>
            <w:vAlign w:val="center"/>
          </w:tcPr>
          <w:p w14:paraId="176BCEF5"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1DEF4FC4"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Both</w:t>
            </w:r>
          </w:p>
        </w:tc>
        <w:tc>
          <w:tcPr>
            <w:tcW w:w="992" w:type="dxa"/>
            <w:shd w:val="clear" w:color="auto" w:fill="auto"/>
            <w:vAlign w:val="center"/>
          </w:tcPr>
          <w:p w14:paraId="00D3E5FA"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410" w:type="dxa"/>
            <w:shd w:val="clear" w:color="auto" w:fill="auto"/>
            <w:vAlign w:val="center"/>
          </w:tcPr>
          <w:p w14:paraId="5C2A5E24" w14:textId="16232223"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5CE159C0" wp14:editId="783BA458">
                  <wp:extent cx="123825" cy="123825"/>
                  <wp:effectExtent l="0" t="0" r="9525" b="9525"/>
                  <wp:docPr id="950" name="Picture 95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950"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tcPr>
          <w:p w14:paraId="606A7F5E" w14:textId="1D0DCD2B"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3584B9AC" wp14:editId="1F76B690">
                  <wp:extent cx="123825" cy="123825"/>
                  <wp:effectExtent l="0" t="0" r="9525" b="9525"/>
                  <wp:docPr id="953" name="Picture 95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Picture 953"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5146DD34" w14:textId="77777777" w:rsidTr="0026462A">
        <w:trPr>
          <w:trHeight w:val="199"/>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09041802" w14:textId="77777777" w:rsidR="00802666" w:rsidRPr="00290642" w:rsidRDefault="00802666" w:rsidP="00802666">
            <w:pPr>
              <w:spacing w:before="0" w:after="0"/>
              <w:jc w:val="center"/>
              <w:rPr>
                <w:rFonts w:asciiTheme="minorHAnsi" w:eastAsia="Calibri Light" w:hAnsiTheme="minorHAnsi" w:cstheme="minorHAnsi"/>
                <w:sz w:val="16"/>
                <w:szCs w:val="16"/>
                <w:lang w:eastAsia="en-AU"/>
              </w:rPr>
            </w:pPr>
            <w:r w:rsidRPr="00290642">
              <w:rPr>
                <w:rFonts w:asciiTheme="minorHAnsi" w:eastAsia="Calibri Light" w:hAnsiTheme="minorHAnsi" w:cstheme="minorHAnsi"/>
                <w:sz w:val="16"/>
                <w:szCs w:val="16"/>
                <w:lang w:eastAsia="en-AU"/>
              </w:rPr>
              <w:t>EU</w:t>
            </w:r>
          </w:p>
        </w:tc>
        <w:tc>
          <w:tcPr>
            <w:tcW w:w="3261" w:type="dxa"/>
            <w:shd w:val="clear" w:color="auto" w:fill="auto"/>
            <w:vAlign w:val="center"/>
          </w:tcPr>
          <w:p w14:paraId="7D19AD1C" w14:textId="77777777"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A201C">
              <w:rPr>
                <w:rFonts w:asciiTheme="minorHAnsi" w:hAnsiTheme="minorHAnsi" w:cstheme="minorHAnsi"/>
                <w:sz w:val="16"/>
                <w:szCs w:val="16"/>
              </w:rPr>
              <w:t>Energy Performance Certificates (</w:t>
            </w:r>
            <w:proofErr w:type="spellStart"/>
            <w:r w:rsidRPr="005A201C">
              <w:rPr>
                <w:rFonts w:asciiTheme="minorHAnsi" w:hAnsiTheme="minorHAnsi" w:cstheme="minorHAnsi"/>
                <w:sz w:val="16"/>
                <w:szCs w:val="16"/>
              </w:rPr>
              <w:t>EPCs</w:t>
            </w:r>
            <w:proofErr w:type="spellEnd"/>
            <w:r w:rsidRPr="005A201C">
              <w:rPr>
                <w:rFonts w:asciiTheme="minorHAnsi" w:hAnsiTheme="minorHAnsi" w:cstheme="minorHAnsi"/>
                <w:sz w:val="16"/>
                <w:szCs w:val="16"/>
              </w:rPr>
              <w:t>)</w:t>
            </w:r>
          </w:p>
        </w:tc>
        <w:tc>
          <w:tcPr>
            <w:tcW w:w="1417" w:type="dxa"/>
            <w:shd w:val="clear" w:color="auto" w:fill="auto"/>
            <w:vAlign w:val="center"/>
          </w:tcPr>
          <w:p w14:paraId="5D1307B4"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Yes</w:t>
            </w:r>
          </w:p>
        </w:tc>
        <w:tc>
          <w:tcPr>
            <w:tcW w:w="1276" w:type="dxa"/>
            <w:shd w:val="clear" w:color="auto" w:fill="auto"/>
            <w:vAlign w:val="center"/>
          </w:tcPr>
          <w:p w14:paraId="3E1B5A09"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Both</w:t>
            </w:r>
          </w:p>
        </w:tc>
        <w:tc>
          <w:tcPr>
            <w:tcW w:w="992" w:type="dxa"/>
            <w:shd w:val="clear" w:color="auto" w:fill="auto"/>
            <w:vAlign w:val="center"/>
          </w:tcPr>
          <w:p w14:paraId="3A59D659" w14:textId="246C9F7C"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762F1676" wp14:editId="344DB36C">
                  <wp:extent cx="123825" cy="123825"/>
                  <wp:effectExtent l="0" t="0" r="9525" b="9525"/>
                  <wp:docPr id="954" name="Picture 95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54"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tcPr>
          <w:p w14:paraId="2380EE53" w14:textId="4C334CC6"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67152284" wp14:editId="3AE48B12">
                  <wp:extent cx="123825" cy="123825"/>
                  <wp:effectExtent l="0" t="0" r="9525" b="9525"/>
                  <wp:docPr id="955" name="Picture 95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955"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tcPr>
          <w:p w14:paraId="24439F66"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KPMG Bold" w:hAnsiTheme="minorHAnsi" w:cstheme="minorHAnsi"/>
                <w:color w:val="000000"/>
                <w:sz w:val="16"/>
                <w:szCs w:val="16"/>
                <w:lang w:eastAsia="en-AU"/>
              </w:rPr>
            </w:pPr>
          </w:p>
        </w:tc>
      </w:tr>
      <w:tr w:rsidR="00802666" w:rsidRPr="008547D1" w14:paraId="7B1F70E4" w14:textId="77777777" w:rsidTr="0026462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26A0E2DE" w14:textId="0CEDE277" w:rsidR="00802666" w:rsidRPr="00290642" w:rsidRDefault="00802666" w:rsidP="00802666">
            <w:pPr>
              <w:spacing w:before="0" w:after="0"/>
              <w:jc w:val="center"/>
              <w:rPr>
                <w:rFonts w:asciiTheme="minorHAnsi" w:eastAsia="Calibri Light" w:hAnsiTheme="minorHAnsi" w:cstheme="minorHAnsi"/>
                <w:sz w:val="16"/>
                <w:szCs w:val="16"/>
                <w:lang w:eastAsia="en-AU"/>
              </w:rPr>
            </w:pPr>
            <w:r>
              <w:rPr>
                <w:rFonts w:asciiTheme="minorHAnsi" w:eastAsia="Calibri Light" w:hAnsiTheme="minorHAnsi" w:cstheme="minorHAnsi"/>
                <w:sz w:val="16"/>
                <w:szCs w:val="16"/>
                <w:lang w:eastAsia="en-AU"/>
              </w:rPr>
              <w:t>EU</w:t>
            </w:r>
          </w:p>
        </w:tc>
        <w:tc>
          <w:tcPr>
            <w:tcW w:w="3261" w:type="dxa"/>
            <w:shd w:val="clear" w:color="auto" w:fill="auto"/>
            <w:vAlign w:val="center"/>
          </w:tcPr>
          <w:p w14:paraId="052C235D" w14:textId="77777777"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5A201C">
              <w:rPr>
                <w:rFonts w:asciiTheme="minorHAnsi" w:hAnsiTheme="minorHAnsi" w:cstheme="minorHAnsi"/>
                <w:sz w:val="16"/>
                <w:szCs w:val="16"/>
              </w:rPr>
              <w:t>Display Energy Certificates (</w:t>
            </w:r>
            <w:proofErr w:type="spellStart"/>
            <w:r w:rsidRPr="005A201C">
              <w:rPr>
                <w:rFonts w:asciiTheme="minorHAnsi" w:hAnsiTheme="minorHAnsi" w:cstheme="minorHAnsi"/>
                <w:sz w:val="16"/>
                <w:szCs w:val="16"/>
              </w:rPr>
              <w:t>DECs</w:t>
            </w:r>
            <w:proofErr w:type="spellEnd"/>
            <w:r w:rsidRPr="005A201C">
              <w:rPr>
                <w:rFonts w:asciiTheme="minorHAnsi" w:hAnsiTheme="minorHAnsi" w:cstheme="minorHAnsi"/>
                <w:sz w:val="16"/>
                <w:szCs w:val="16"/>
              </w:rPr>
              <w:t>)</w:t>
            </w:r>
          </w:p>
        </w:tc>
        <w:tc>
          <w:tcPr>
            <w:tcW w:w="1417" w:type="dxa"/>
            <w:shd w:val="clear" w:color="auto" w:fill="auto"/>
            <w:vAlign w:val="center"/>
          </w:tcPr>
          <w:p w14:paraId="0955498E"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Yes</w:t>
            </w:r>
          </w:p>
        </w:tc>
        <w:tc>
          <w:tcPr>
            <w:tcW w:w="1276" w:type="dxa"/>
            <w:shd w:val="clear" w:color="auto" w:fill="auto"/>
            <w:vAlign w:val="center"/>
          </w:tcPr>
          <w:p w14:paraId="27F38ADA"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 xml:space="preserve">Existing </w:t>
            </w:r>
          </w:p>
        </w:tc>
        <w:tc>
          <w:tcPr>
            <w:tcW w:w="992" w:type="dxa"/>
            <w:shd w:val="clear" w:color="auto" w:fill="auto"/>
            <w:vAlign w:val="center"/>
          </w:tcPr>
          <w:p w14:paraId="4522A4DD"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p>
        </w:tc>
        <w:tc>
          <w:tcPr>
            <w:tcW w:w="1410" w:type="dxa"/>
            <w:shd w:val="clear" w:color="auto" w:fill="auto"/>
            <w:vAlign w:val="center"/>
          </w:tcPr>
          <w:p w14:paraId="5D1B79B1"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p>
        </w:tc>
        <w:tc>
          <w:tcPr>
            <w:tcW w:w="858" w:type="dxa"/>
            <w:shd w:val="clear" w:color="auto" w:fill="auto"/>
            <w:vAlign w:val="center"/>
          </w:tcPr>
          <w:p w14:paraId="0218591D" w14:textId="46AB8688"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3D54EB58" wp14:editId="6D28E7EE">
                  <wp:extent cx="123825" cy="123825"/>
                  <wp:effectExtent l="0" t="0" r="9525" b="9525"/>
                  <wp:docPr id="956" name="Picture 95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956"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283352DF" w14:textId="77777777" w:rsidTr="0026462A">
        <w:trPr>
          <w:trHeight w:val="341"/>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003AE65A" w14:textId="77777777" w:rsidR="00802666" w:rsidRPr="00290642" w:rsidRDefault="00802666" w:rsidP="00802666">
            <w:pPr>
              <w:spacing w:before="0" w:after="0"/>
              <w:jc w:val="center"/>
              <w:rPr>
                <w:rFonts w:asciiTheme="minorHAnsi" w:eastAsia="Calibri Light" w:hAnsiTheme="minorHAnsi" w:cstheme="minorHAnsi"/>
                <w:sz w:val="16"/>
                <w:szCs w:val="16"/>
                <w:lang w:eastAsia="en-AU"/>
              </w:rPr>
            </w:pPr>
            <w:r w:rsidRPr="00290642">
              <w:rPr>
                <w:rFonts w:asciiTheme="minorHAnsi" w:eastAsia="Calibri Light" w:hAnsiTheme="minorHAnsi" w:cstheme="minorHAnsi"/>
                <w:sz w:val="16"/>
                <w:szCs w:val="16"/>
                <w:lang w:eastAsia="en-AU"/>
              </w:rPr>
              <w:t>France</w:t>
            </w:r>
          </w:p>
        </w:tc>
        <w:tc>
          <w:tcPr>
            <w:tcW w:w="3261" w:type="dxa"/>
            <w:shd w:val="clear" w:color="auto" w:fill="auto"/>
            <w:vAlign w:val="center"/>
            <w:hideMark/>
          </w:tcPr>
          <w:p w14:paraId="6EA3B720" w14:textId="00E62000"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 xml:space="preserve">Diagnostic de Performance </w:t>
            </w:r>
            <w:proofErr w:type="spellStart"/>
            <w:r w:rsidRPr="005A201C">
              <w:rPr>
                <w:rFonts w:asciiTheme="minorHAnsi" w:eastAsia="Calibri Light" w:hAnsiTheme="minorHAnsi" w:cstheme="minorHAnsi"/>
                <w:color w:val="auto"/>
                <w:sz w:val="16"/>
                <w:szCs w:val="16"/>
                <w:lang w:eastAsia="en-AU"/>
              </w:rPr>
              <w:t>Energetique</w:t>
            </w:r>
            <w:proofErr w:type="spellEnd"/>
            <w:r w:rsidRPr="005A201C">
              <w:rPr>
                <w:rFonts w:asciiTheme="minorHAnsi" w:eastAsia="Calibri Light" w:hAnsiTheme="minorHAnsi" w:cstheme="minorHAnsi"/>
                <w:color w:val="auto"/>
                <w:sz w:val="16"/>
                <w:szCs w:val="16"/>
                <w:lang w:eastAsia="en-AU"/>
              </w:rPr>
              <w:t xml:space="preserve"> (</w:t>
            </w:r>
            <w:proofErr w:type="spellStart"/>
            <w:r w:rsidRPr="005A201C">
              <w:rPr>
                <w:rFonts w:asciiTheme="minorHAnsi" w:eastAsia="Calibri Light" w:hAnsiTheme="minorHAnsi" w:cstheme="minorHAnsi"/>
                <w:color w:val="auto"/>
                <w:sz w:val="16"/>
                <w:szCs w:val="16"/>
                <w:lang w:eastAsia="en-AU"/>
              </w:rPr>
              <w:t>DPE</w:t>
            </w:r>
            <w:proofErr w:type="spellEnd"/>
            <w:r w:rsidRPr="005A201C">
              <w:rPr>
                <w:rFonts w:asciiTheme="minorHAnsi" w:eastAsia="Calibri Light" w:hAnsiTheme="minorHAnsi" w:cstheme="minorHAnsi"/>
                <w:color w:val="auto"/>
                <w:sz w:val="16"/>
                <w:szCs w:val="16"/>
                <w:lang w:eastAsia="en-AU"/>
              </w:rPr>
              <w:t>)</w:t>
            </w:r>
            <w:proofErr w:type="spellStart"/>
            <w:r>
              <w:rPr>
                <w:rFonts w:ascii="ZWAdobeF" w:eastAsia="Calibri Light" w:hAnsi="ZWAdobeF" w:cs="ZWAdobeF"/>
                <w:color w:val="auto"/>
                <w:sz w:val="2"/>
                <w:szCs w:val="2"/>
                <w:lang w:eastAsia="en-AU"/>
              </w:rPr>
              <w:t>34F34F34F34F34F</w:t>
            </w:r>
            <w:r w:rsidR="00413811">
              <w:rPr>
                <w:rFonts w:ascii="ZWAdobeF" w:eastAsia="Calibri Light" w:hAnsi="ZWAdobeF" w:cs="ZWAdobeF"/>
                <w:color w:val="auto"/>
                <w:sz w:val="2"/>
                <w:szCs w:val="2"/>
                <w:lang w:eastAsia="en-AU"/>
              </w:rPr>
              <w:t>34F</w:t>
            </w:r>
            <w:r w:rsidR="002C327C">
              <w:rPr>
                <w:rFonts w:ascii="ZWAdobeF" w:eastAsia="Calibri Light" w:hAnsi="ZWAdobeF" w:cs="ZWAdobeF"/>
                <w:color w:val="auto"/>
                <w:sz w:val="2"/>
                <w:szCs w:val="2"/>
                <w:lang w:eastAsia="en-AU"/>
              </w:rPr>
              <w:t>34F</w:t>
            </w:r>
            <w:r w:rsidR="00D24A06">
              <w:rPr>
                <w:rFonts w:ascii="ZWAdobeF" w:eastAsia="Calibri Light" w:hAnsi="ZWAdobeF" w:cs="ZWAdobeF"/>
                <w:color w:val="auto"/>
                <w:sz w:val="2"/>
                <w:szCs w:val="2"/>
                <w:lang w:eastAsia="en-AU"/>
              </w:rPr>
              <w:t>34F</w:t>
            </w:r>
            <w:proofErr w:type="spellEnd"/>
            <w:r w:rsidRPr="005A201C">
              <w:rPr>
                <w:rStyle w:val="FootnoteReference"/>
                <w:rFonts w:asciiTheme="minorHAnsi" w:eastAsia="Calibri Light" w:hAnsiTheme="minorHAnsi" w:cstheme="minorHAnsi"/>
                <w:color w:val="auto"/>
                <w:sz w:val="16"/>
                <w:szCs w:val="16"/>
                <w:lang w:eastAsia="en-AU"/>
              </w:rPr>
              <w:footnoteReference w:id="36"/>
            </w:r>
          </w:p>
        </w:tc>
        <w:tc>
          <w:tcPr>
            <w:tcW w:w="1417" w:type="dxa"/>
            <w:shd w:val="clear" w:color="auto" w:fill="auto"/>
            <w:vAlign w:val="center"/>
            <w:hideMark/>
          </w:tcPr>
          <w:p w14:paraId="19B53BD1"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Yes</w:t>
            </w:r>
          </w:p>
        </w:tc>
        <w:tc>
          <w:tcPr>
            <w:tcW w:w="1276" w:type="dxa"/>
            <w:shd w:val="clear" w:color="auto" w:fill="auto"/>
            <w:vAlign w:val="center"/>
          </w:tcPr>
          <w:p w14:paraId="58C48615"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Both</w:t>
            </w:r>
          </w:p>
        </w:tc>
        <w:tc>
          <w:tcPr>
            <w:tcW w:w="992" w:type="dxa"/>
            <w:shd w:val="clear" w:color="auto" w:fill="auto"/>
            <w:vAlign w:val="center"/>
            <w:hideMark/>
          </w:tcPr>
          <w:p w14:paraId="0658C693" w14:textId="3511C4A0"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05B0FAA1" wp14:editId="760EA89F">
                  <wp:extent cx="123825" cy="123825"/>
                  <wp:effectExtent l="0" t="0" r="9525" b="9525"/>
                  <wp:docPr id="957" name="Picture 957"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hideMark/>
          </w:tcPr>
          <w:p w14:paraId="16C69AF2" w14:textId="22A2BBA9"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580606E1" wp14:editId="4A20C7E5">
                  <wp:extent cx="123825" cy="123825"/>
                  <wp:effectExtent l="0" t="0" r="9525" b="9525"/>
                  <wp:docPr id="958" name="Picture 95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958"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5C32E977" w14:textId="4822336A"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631B3BED" wp14:editId="5A9609F3">
                  <wp:extent cx="123825" cy="123825"/>
                  <wp:effectExtent l="0" t="0" r="9525" b="9525"/>
                  <wp:docPr id="959" name="Picture 95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59"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67B856D9" w14:textId="77777777" w:rsidTr="0026462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53FF0A47" w14:textId="740EAFC2" w:rsidR="00802666" w:rsidRPr="00290642" w:rsidRDefault="00802666" w:rsidP="00802666">
            <w:pPr>
              <w:spacing w:before="0" w:after="0"/>
              <w:jc w:val="center"/>
              <w:rPr>
                <w:rFonts w:asciiTheme="minorHAnsi" w:eastAsia="Calibri Light" w:hAnsiTheme="minorHAnsi" w:cstheme="minorHAnsi"/>
                <w:sz w:val="16"/>
                <w:szCs w:val="16"/>
                <w:lang w:eastAsia="en-AU"/>
              </w:rPr>
            </w:pPr>
            <w:r>
              <w:rPr>
                <w:rFonts w:asciiTheme="minorHAnsi" w:eastAsia="Calibri Light" w:hAnsiTheme="minorHAnsi" w:cstheme="minorHAnsi"/>
                <w:sz w:val="16"/>
                <w:szCs w:val="16"/>
                <w:lang w:eastAsia="en-AU"/>
              </w:rPr>
              <w:t>France</w:t>
            </w:r>
          </w:p>
        </w:tc>
        <w:tc>
          <w:tcPr>
            <w:tcW w:w="3261" w:type="dxa"/>
            <w:shd w:val="clear" w:color="auto" w:fill="auto"/>
            <w:vAlign w:val="center"/>
          </w:tcPr>
          <w:p w14:paraId="7A3A3AC1" w14:textId="77777777"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High Environmental Quality (</w:t>
            </w:r>
            <w:proofErr w:type="spellStart"/>
            <w:r w:rsidRPr="005A201C">
              <w:rPr>
                <w:rFonts w:asciiTheme="minorHAnsi" w:eastAsia="Calibri Light" w:hAnsiTheme="minorHAnsi" w:cstheme="minorHAnsi"/>
                <w:color w:val="auto"/>
                <w:sz w:val="16"/>
                <w:szCs w:val="16"/>
                <w:lang w:eastAsia="en-AU"/>
              </w:rPr>
              <w:t>HQE</w:t>
            </w:r>
            <w:proofErr w:type="spellEnd"/>
            <w:r w:rsidRPr="005A201C">
              <w:rPr>
                <w:rFonts w:asciiTheme="minorHAnsi" w:eastAsia="Calibri Light" w:hAnsiTheme="minorHAnsi" w:cstheme="minorHAnsi"/>
                <w:color w:val="auto"/>
                <w:sz w:val="16"/>
                <w:szCs w:val="16"/>
                <w:lang w:eastAsia="en-AU"/>
              </w:rPr>
              <w:t>)</w:t>
            </w:r>
          </w:p>
        </w:tc>
        <w:tc>
          <w:tcPr>
            <w:tcW w:w="1417" w:type="dxa"/>
            <w:shd w:val="clear" w:color="auto" w:fill="auto"/>
            <w:vAlign w:val="center"/>
          </w:tcPr>
          <w:p w14:paraId="26ECECB6"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6A41B97D"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New buildings</w:t>
            </w:r>
          </w:p>
        </w:tc>
        <w:tc>
          <w:tcPr>
            <w:tcW w:w="992" w:type="dxa"/>
            <w:shd w:val="clear" w:color="auto" w:fill="auto"/>
            <w:vAlign w:val="center"/>
          </w:tcPr>
          <w:p w14:paraId="7675D32A" w14:textId="1C3F6486"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470019D5" wp14:editId="6824EE32">
                  <wp:extent cx="123825" cy="123825"/>
                  <wp:effectExtent l="0" t="0" r="9525" b="9525"/>
                  <wp:docPr id="192" name="Picture 192"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tcPr>
          <w:p w14:paraId="2132DB89" w14:textId="418C62A3"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41B0D6F0" wp14:editId="162F34BF">
                  <wp:extent cx="123825" cy="123825"/>
                  <wp:effectExtent l="0" t="0" r="9525" b="9525"/>
                  <wp:docPr id="193" name="Picture 19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tcPr>
          <w:p w14:paraId="371CD230" w14:textId="0ED37DF8"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62945B6F" wp14:editId="2E20B351">
                  <wp:extent cx="123825" cy="123825"/>
                  <wp:effectExtent l="0" t="0" r="9525" b="9525"/>
                  <wp:docPr id="195" name="Picture 19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75DAFF59" w14:textId="77777777" w:rsidTr="0026462A">
        <w:trPr>
          <w:trHeight w:val="223"/>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25E8B3C0" w14:textId="77777777" w:rsidR="00802666" w:rsidRPr="00290642" w:rsidRDefault="00802666" w:rsidP="00802666">
            <w:pPr>
              <w:spacing w:before="0" w:after="0"/>
              <w:jc w:val="center"/>
              <w:rPr>
                <w:rFonts w:asciiTheme="minorHAnsi" w:eastAsia="Calibri Light" w:hAnsiTheme="minorHAnsi" w:cstheme="minorHAnsi"/>
                <w:sz w:val="16"/>
                <w:szCs w:val="16"/>
                <w:lang w:eastAsia="en-AU"/>
              </w:rPr>
            </w:pPr>
            <w:r w:rsidRPr="00290642">
              <w:rPr>
                <w:rFonts w:asciiTheme="minorHAnsi" w:eastAsia="Calibri Light" w:hAnsiTheme="minorHAnsi" w:cstheme="minorHAnsi"/>
                <w:sz w:val="16"/>
                <w:szCs w:val="16"/>
                <w:lang w:eastAsia="en-AU"/>
              </w:rPr>
              <w:t>Canada</w:t>
            </w:r>
          </w:p>
        </w:tc>
        <w:tc>
          <w:tcPr>
            <w:tcW w:w="3261" w:type="dxa"/>
            <w:shd w:val="clear" w:color="auto" w:fill="auto"/>
            <w:vAlign w:val="center"/>
            <w:hideMark/>
          </w:tcPr>
          <w:p w14:paraId="6B449C52" w14:textId="77777777"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ENERGY STAR Portfolio Manager</w:t>
            </w:r>
          </w:p>
        </w:tc>
        <w:tc>
          <w:tcPr>
            <w:tcW w:w="1417" w:type="dxa"/>
            <w:shd w:val="clear" w:color="auto" w:fill="auto"/>
            <w:vAlign w:val="center"/>
            <w:hideMark/>
          </w:tcPr>
          <w:p w14:paraId="422DF23F"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77B3297C"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Both</w:t>
            </w:r>
          </w:p>
        </w:tc>
        <w:tc>
          <w:tcPr>
            <w:tcW w:w="992" w:type="dxa"/>
            <w:shd w:val="clear" w:color="auto" w:fill="auto"/>
            <w:vAlign w:val="center"/>
            <w:hideMark/>
          </w:tcPr>
          <w:p w14:paraId="2F4B68A4" w14:textId="1A6A1F3B"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743CDBC5" wp14:editId="10BD7FB1">
                  <wp:extent cx="123825" cy="123825"/>
                  <wp:effectExtent l="0" t="0" r="9525" b="9525"/>
                  <wp:docPr id="196" name="Picture 19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hideMark/>
          </w:tcPr>
          <w:p w14:paraId="7AFA394F" w14:textId="717A5CE3"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7E4A5AB6" wp14:editId="15D3E255">
                  <wp:extent cx="123825" cy="123825"/>
                  <wp:effectExtent l="0" t="0" r="9525" b="9525"/>
                  <wp:docPr id="197" name="Picture 197"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6C7594D1" w14:textId="7B49BF6B"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57415F8F" wp14:editId="6A9306B1">
                  <wp:extent cx="123825" cy="123825"/>
                  <wp:effectExtent l="0" t="0" r="9525" b="9525"/>
                  <wp:docPr id="198" name="Picture 19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2678BE84" w14:textId="77777777" w:rsidTr="0026462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6D82E90C" w14:textId="12A3CC7A" w:rsidR="00802666" w:rsidRPr="00290642" w:rsidRDefault="00802666" w:rsidP="00802666">
            <w:pPr>
              <w:spacing w:before="0" w:after="0"/>
              <w:jc w:val="center"/>
              <w:rPr>
                <w:rFonts w:asciiTheme="minorHAnsi" w:eastAsia="Calibri Light" w:hAnsiTheme="minorHAnsi" w:cstheme="minorHAnsi"/>
                <w:sz w:val="16"/>
                <w:szCs w:val="16"/>
                <w:lang w:eastAsia="en-AU"/>
              </w:rPr>
            </w:pPr>
            <w:r>
              <w:rPr>
                <w:rFonts w:asciiTheme="minorHAnsi" w:eastAsia="Calibri Light" w:hAnsiTheme="minorHAnsi" w:cstheme="minorHAnsi"/>
                <w:sz w:val="16"/>
                <w:szCs w:val="16"/>
                <w:lang w:eastAsia="en-AU"/>
              </w:rPr>
              <w:t>Canada</w:t>
            </w:r>
          </w:p>
        </w:tc>
        <w:tc>
          <w:tcPr>
            <w:tcW w:w="3261" w:type="dxa"/>
            <w:shd w:val="clear" w:color="auto" w:fill="auto"/>
            <w:vAlign w:val="center"/>
            <w:hideMark/>
          </w:tcPr>
          <w:p w14:paraId="52336AF8" w14:textId="77777777"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auto"/>
                <w:sz w:val="16"/>
                <w:szCs w:val="16"/>
                <w:lang w:eastAsia="en-AU"/>
              </w:rPr>
            </w:pPr>
            <w:proofErr w:type="spellStart"/>
            <w:r w:rsidRPr="005A201C">
              <w:rPr>
                <w:rFonts w:asciiTheme="minorHAnsi" w:eastAsia="Calibri Light" w:hAnsiTheme="minorHAnsi" w:cstheme="minorHAnsi"/>
                <w:color w:val="auto"/>
                <w:sz w:val="16"/>
                <w:szCs w:val="16"/>
                <w:lang w:eastAsia="en-AU"/>
              </w:rPr>
              <w:t>REALpac</w:t>
            </w:r>
            <w:proofErr w:type="spellEnd"/>
            <w:r w:rsidRPr="005A201C">
              <w:rPr>
                <w:rFonts w:asciiTheme="minorHAnsi" w:eastAsia="Calibri Light" w:hAnsiTheme="minorHAnsi" w:cstheme="minorHAnsi"/>
                <w:color w:val="auto"/>
                <w:sz w:val="16"/>
                <w:szCs w:val="16"/>
                <w:lang w:eastAsia="en-AU"/>
              </w:rPr>
              <w:t xml:space="preserve"> Energy Benchmarking Program</w:t>
            </w:r>
          </w:p>
        </w:tc>
        <w:tc>
          <w:tcPr>
            <w:tcW w:w="1417" w:type="dxa"/>
            <w:shd w:val="clear" w:color="auto" w:fill="auto"/>
            <w:vAlign w:val="center"/>
            <w:hideMark/>
          </w:tcPr>
          <w:p w14:paraId="199B7E71"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7D4E806D"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Both</w:t>
            </w:r>
          </w:p>
        </w:tc>
        <w:tc>
          <w:tcPr>
            <w:tcW w:w="992" w:type="dxa"/>
            <w:shd w:val="clear" w:color="auto" w:fill="auto"/>
            <w:vAlign w:val="center"/>
            <w:hideMark/>
          </w:tcPr>
          <w:p w14:paraId="47A1CB76"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410" w:type="dxa"/>
            <w:shd w:val="clear" w:color="auto" w:fill="auto"/>
            <w:vAlign w:val="center"/>
            <w:hideMark/>
          </w:tcPr>
          <w:p w14:paraId="25073D12" w14:textId="5CD63585"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20D0148C" wp14:editId="075AA044">
                  <wp:extent cx="123825" cy="123825"/>
                  <wp:effectExtent l="0" t="0" r="9525" b="9525"/>
                  <wp:docPr id="199" name="Picture 19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21BE8ECB" w14:textId="6A236B1E"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6BD14DFD" wp14:editId="3283EDD1">
                  <wp:extent cx="123825" cy="123825"/>
                  <wp:effectExtent l="0" t="0" r="9525" b="9525"/>
                  <wp:docPr id="200" name="Picture 20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1214458E" w14:textId="77777777" w:rsidTr="0026462A">
        <w:trPr>
          <w:trHeight w:val="263"/>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01318D59" w14:textId="77777777" w:rsidR="00802666" w:rsidRPr="00290642" w:rsidRDefault="00802666" w:rsidP="00802666">
            <w:pPr>
              <w:spacing w:before="0" w:after="0"/>
              <w:jc w:val="center"/>
              <w:rPr>
                <w:rFonts w:asciiTheme="minorHAnsi" w:eastAsia="Calibri Light" w:hAnsiTheme="minorHAnsi" w:cstheme="minorHAnsi"/>
                <w:sz w:val="16"/>
                <w:szCs w:val="16"/>
                <w:lang w:eastAsia="en-AU"/>
              </w:rPr>
            </w:pPr>
            <w:r w:rsidRPr="00290642">
              <w:rPr>
                <w:rFonts w:asciiTheme="minorHAnsi" w:eastAsia="Calibri Light" w:hAnsiTheme="minorHAnsi" w:cstheme="minorHAnsi"/>
                <w:sz w:val="16"/>
                <w:szCs w:val="16"/>
                <w:lang w:eastAsia="en-AU"/>
              </w:rPr>
              <w:t>South Korea</w:t>
            </w:r>
          </w:p>
        </w:tc>
        <w:tc>
          <w:tcPr>
            <w:tcW w:w="3261" w:type="dxa"/>
            <w:shd w:val="clear" w:color="auto" w:fill="auto"/>
            <w:vAlign w:val="center"/>
            <w:hideMark/>
          </w:tcPr>
          <w:p w14:paraId="65083611" w14:textId="77777777"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Certificate of Building Energy Efficiency</w:t>
            </w:r>
          </w:p>
        </w:tc>
        <w:tc>
          <w:tcPr>
            <w:tcW w:w="1417" w:type="dxa"/>
            <w:shd w:val="clear" w:color="auto" w:fill="auto"/>
            <w:vAlign w:val="center"/>
            <w:hideMark/>
          </w:tcPr>
          <w:p w14:paraId="070F26DD"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6B528E73"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 xml:space="preserve">Both </w:t>
            </w:r>
          </w:p>
        </w:tc>
        <w:tc>
          <w:tcPr>
            <w:tcW w:w="992" w:type="dxa"/>
            <w:shd w:val="clear" w:color="auto" w:fill="auto"/>
            <w:vAlign w:val="center"/>
            <w:hideMark/>
          </w:tcPr>
          <w:p w14:paraId="592FCB62" w14:textId="3A70CFB9"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14DDC826" wp14:editId="6B83AE53">
                  <wp:extent cx="123825" cy="123825"/>
                  <wp:effectExtent l="0" t="0" r="9525" b="9525"/>
                  <wp:docPr id="201" name="Picture 20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hideMark/>
          </w:tcPr>
          <w:p w14:paraId="199A6750" w14:textId="621B168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443C228B" wp14:editId="2C1716B9">
                  <wp:extent cx="123825" cy="123825"/>
                  <wp:effectExtent l="0" t="0" r="9525" b="9525"/>
                  <wp:docPr id="202" name="Picture 202"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537A3371" w14:textId="1F9DF7AD"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0A336212" wp14:editId="1055BE0C">
                  <wp:extent cx="123825" cy="123825"/>
                  <wp:effectExtent l="0" t="0" r="9525" b="9525"/>
                  <wp:docPr id="203" name="Picture 203"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306982B7" w14:textId="77777777" w:rsidTr="0026462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2EBD0159" w14:textId="77777777" w:rsidR="00802666" w:rsidRPr="00290642" w:rsidRDefault="00802666" w:rsidP="00802666">
            <w:pPr>
              <w:spacing w:before="0" w:after="0"/>
              <w:jc w:val="center"/>
              <w:rPr>
                <w:rFonts w:asciiTheme="minorHAnsi" w:eastAsia="Calibri Light" w:hAnsiTheme="minorHAnsi" w:cstheme="minorHAnsi"/>
                <w:sz w:val="16"/>
                <w:szCs w:val="16"/>
                <w:lang w:eastAsia="en-AU"/>
              </w:rPr>
            </w:pPr>
            <w:r w:rsidRPr="00290642">
              <w:rPr>
                <w:rFonts w:asciiTheme="minorHAnsi" w:eastAsia="Calibri Light" w:hAnsiTheme="minorHAnsi" w:cstheme="minorHAnsi"/>
                <w:sz w:val="16"/>
                <w:szCs w:val="16"/>
                <w:lang w:eastAsia="en-AU"/>
              </w:rPr>
              <w:t>Germany</w:t>
            </w:r>
          </w:p>
        </w:tc>
        <w:tc>
          <w:tcPr>
            <w:tcW w:w="3261" w:type="dxa"/>
            <w:shd w:val="clear" w:color="auto" w:fill="auto"/>
            <w:vAlign w:val="center"/>
          </w:tcPr>
          <w:p w14:paraId="23E985FB" w14:textId="77777777"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auto"/>
                <w:sz w:val="16"/>
                <w:szCs w:val="16"/>
                <w:lang w:eastAsia="en-AU"/>
              </w:rPr>
            </w:pPr>
            <w:proofErr w:type="spellStart"/>
            <w:r w:rsidRPr="005A201C">
              <w:rPr>
                <w:rFonts w:asciiTheme="minorHAnsi" w:hAnsiTheme="minorHAnsi" w:cstheme="minorHAnsi"/>
                <w:sz w:val="16"/>
                <w:szCs w:val="16"/>
              </w:rPr>
              <w:t>Energieausweis</w:t>
            </w:r>
            <w:proofErr w:type="spellEnd"/>
            <w:r w:rsidRPr="005A201C">
              <w:rPr>
                <w:rFonts w:asciiTheme="minorHAnsi" w:hAnsiTheme="minorHAnsi" w:cstheme="minorHAnsi"/>
                <w:sz w:val="16"/>
                <w:szCs w:val="16"/>
              </w:rPr>
              <w:t xml:space="preserve"> (energy identification)</w:t>
            </w:r>
          </w:p>
        </w:tc>
        <w:tc>
          <w:tcPr>
            <w:tcW w:w="1417" w:type="dxa"/>
            <w:shd w:val="clear" w:color="auto" w:fill="auto"/>
            <w:vAlign w:val="center"/>
          </w:tcPr>
          <w:p w14:paraId="50C5AF12"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Calibri Light" w:hAnsiTheme="minorHAnsi" w:cstheme="minorHAnsi"/>
                <w:color w:val="000000"/>
                <w:sz w:val="16"/>
                <w:szCs w:val="16"/>
                <w:lang w:eastAsia="en-AU"/>
              </w:rPr>
              <w:t>Yes</w:t>
            </w:r>
          </w:p>
        </w:tc>
        <w:tc>
          <w:tcPr>
            <w:tcW w:w="1276" w:type="dxa"/>
            <w:shd w:val="clear" w:color="auto" w:fill="auto"/>
            <w:vAlign w:val="center"/>
          </w:tcPr>
          <w:p w14:paraId="4ADA2AEB"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 xml:space="preserve">Both </w:t>
            </w:r>
          </w:p>
        </w:tc>
        <w:tc>
          <w:tcPr>
            <w:tcW w:w="992" w:type="dxa"/>
            <w:shd w:val="clear" w:color="auto" w:fill="auto"/>
            <w:vAlign w:val="center"/>
          </w:tcPr>
          <w:p w14:paraId="2EAD49FF" w14:textId="1C217B83"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4B8C1872" wp14:editId="779E6306">
                  <wp:extent cx="123825" cy="123825"/>
                  <wp:effectExtent l="0" t="0" r="9525" b="9525"/>
                  <wp:docPr id="204" name="Picture 204"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tcPr>
          <w:p w14:paraId="48FC8032" w14:textId="754CFA89"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25344B5D" wp14:editId="3779A1DE">
                  <wp:extent cx="123825" cy="123825"/>
                  <wp:effectExtent l="0" t="0" r="9525" b="9525"/>
                  <wp:docPr id="205" name="Picture 205"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tcPr>
          <w:p w14:paraId="19CEDFB9" w14:textId="0F426D5C"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026A1B99" wp14:editId="4CB97BB2">
                  <wp:extent cx="123825" cy="123825"/>
                  <wp:effectExtent l="0" t="0" r="9525" b="9525"/>
                  <wp:docPr id="206" name="Picture 206"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0798AA23" w14:textId="77777777" w:rsidTr="0026462A">
        <w:trPr>
          <w:trHeight w:val="258"/>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hideMark/>
          </w:tcPr>
          <w:p w14:paraId="5AC87D65" w14:textId="77777777" w:rsidR="00802666" w:rsidRPr="00290642" w:rsidRDefault="00802666" w:rsidP="00802666">
            <w:pPr>
              <w:spacing w:before="0" w:after="0"/>
              <w:jc w:val="center"/>
              <w:rPr>
                <w:rFonts w:asciiTheme="minorHAnsi" w:eastAsia="Calibri Light" w:hAnsiTheme="minorHAnsi" w:cstheme="minorHAnsi"/>
                <w:sz w:val="16"/>
                <w:szCs w:val="16"/>
                <w:lang w:eastAsia="en-AU"/>
              </w:rPr>
            </w:pPr>
            <w:r w:rsidRPr="00290642">
              <w:rPr>
                <w:rFonts w:asciiTheme="minorHAnsi" w:eastAsia="Calibri Light" w:hAnsiTheme="minorHAnsi" w:cstheme="minorHAnsi"/>
                <w:sz w:val="16"/>
                <w:szCs w:val="16"/>
                <w:lang w:eastAsia="en-AU"/>
              </w:rPr>
              <w:t>Japan</w:t>
            </w:r>
          </w:p>
        </w:tc>
        <w:tc>
          <w:tcPr>
            <w:tcW w:w="3261" w:type="dxa"/>
            <w:shd w:val="clear" w:color="auto" w:fill="auto"/>
            <w:vAlign w:val="center"/>
            <w:hideMark/>
          </w:tcPr>
          <w:p w14:paraId="587F8081" w14:textId="77777777" w:rsidR="00802666" w:rsidRPr="005A201C"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Comprehensive Assessment System for Built Environment Efﬁciency (</w:t>
            </w:r>
            <w:proofErr w:type="spellStart"/>
            <w:r w:rsidRPr="005A201C">
              <w:rPr>
                <w:rFonts w:asciiTheme="minorHAnsi" w:eastAsia="Calibri Light" w:hAnsiTheme="minorHAnsi" w:cstheme="minorHAnsi"/>
                <w:color w:val="auto"/>
                <w:sz w:val="16"/>
                <w:szCs w:val="16"/>
                <w:lang w:eastAsia="en-AU"/>
              </w:rPr>
              <w:t>CASBEE</w:t>
            </w:r>
            <w:proofErr w:type="spellEnd"/>
            <w:r w:rsidRPr="005A201C">
              <w:rPr>
                <w:rFonts w:asciiTheme="minorHAnsi" w:eastAsia="Calibri Light" w:hAnsiTheme="minorHAnsi" w:cstheme="minorHAnsi"/>
                <w:color w:val="auto"/>
                <w:sz w:val="16"/>
                <w:szCs w:val="16"/>
                <w:lang w:eastAsia="en-AU"/>
              </w:rPr>
              <w:t>)</w:t>
            </w:r>
          </w:p>
        </w:tc>
        <w:tc>
          <w:tcPr>
            <w:tcW w:w="1417" w:type="dxa"/>
            <w:shd w:val="clear" w:color="auto" w:fill="auto"/>
            <w:vAlign w:val="center"/>
            <w:hideMark/>
          </w:tcPr>
          <w:p w14:paraId="2E71B586"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5B4D954B" w14:textId="77777777"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Both</w:t>
            </w:r>
          </w:p>
        </w:tc>
        <w:tc>
          <w:tcPr>
            <w:tcW w:w="992" w:type="dxa"/>
            <w:shd w:val="clear" w:color="auto" w:fill="auto"/>
            <w:vAlign w:val="center"/>
            <w:hideMark/>
          </w:tcPr>
          <w:p w14:paraId="4A654041" w14:textId="7742E7CD"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5CC3ABC4" wp14:editId="46E4DDA6">
                  <wp:extent cx="123825" cy="123825"/>
                  <wp:effectExtent l="0" t="0" r="9525" b="9525"/>
                  <wp:docPr id="207" name="Picture 207"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hideMark/>
          </w:tcPr>
          <w:p w14:paraId="295EC792" w14:textId="53EDD5C5"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662EB5FD" wp14:editId="174B9374">
                  <wp:extent cx="123825" cy="123825"/>
                  <wp:effectExtent l="0" t="0" r="9525" b="9525"/>
                  <wp:docPr id="208" name="Picture 208"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hideMark/>
          </w:tcPr>
          <w:p w14:paraId="341AEA3B" w14:textId="06B0B173" w:rsidR="00802666" w:rsidRPr="00290642" w:rsidRDefault="00802666" w:rsidP="0080266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alibri Light"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43944B50" wp14:editId="2F9784DD">
                  <wp:extent cx="123825" cy="123825"/>
                  <wp:effectExtent l="0" t="0" r="9525" b="9525"/>
                  <wp:docPr id="209" name="Picture 209"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ick"/>
                          <pic:cNvPicPr/>
                        </pic:nvPicPr>
                        <pic:blipFill>
                          <a:blip r:embed="rId37"/>
                          <a:stretch>
                            <a:fillRect/>
                          </a:stretch>
                        </pic:blipFill>
                        <pic:spPr>
                          <a:xfrm>
                            <a:off x="0" y="0"/>
                            <a:ext cx="123825" cy="123825"/>
                          </a:xfrm>
                          <a:prstGeom prst="rect">
                            <a:avLst/>
                          </a:prstGeom>
                        </pic:spPr>
                      </pic:pic>
                    </a:graphicData>
                  </a:graphic>
                </wp:inline>
              </w:drawing>
            </w:r>
          </w:p>
        </w:tc>
      </w:tr>
      <w:tr w:rsidR="00802666" w:rsidRPr="008547D1" w14:paraId="3D67101D" w14:textId="77777777" w:rsidTr="0026462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06C3A5E2" w14:textId="77777777" w:rsidR="00802666" w:rsidRPr="00290642" w:rsidRDefault="00802666" w:rsidP="00802666">
            <w:pPr>
              <w:spacing w:before="0" w:after="0"/>
              <w:jc w:val="center"/>
              <w:rPr>
                <w:rFonts w:asciiTheme="minorHAnsi" w:eastAsia="Calibri Light" w:hAnsiTheme="minorHAnsi" w:cstheme="minorHAnsi"/>
                <w:sz w:val="16"/>
                <w:szCs w:val="16"/>
                <w:lang w:eastAsia="en-AU"/>
              </w:rPr>
            </w:pPr>
            <w:r w:rsidRPr="00290642">
              <w:rPr>
                <w:rFonts w:asciiTheme="minorHAnsi" w:eastAsia="Calibri Light" w:hAnsiTheme="minorHAnsi" w:cstheme="minorHAnsi"/>
                <w:sz w:val="16"/>
                <w:szCs w:val="16"/>
                <w:lang w:eastAsia="en-AU"/>
              </w:rPr>
              <w:t>Singapore</w:t>
            </w:r>
          </w:p>
        </w:tc>
        <w:tc>
          <w:tcPr>
            <w:tcW w:w="3261" w:type="dxa"/>
            <w:shd w:val="clear" w:color="auto" w:fill="auto"/>
            <w:vAlign w:val="center"/>
          </w:tcPr>
          <w:p w14:paraId="1ABF862D" w14:textId="176655A7" w:rsidR="00802666" w:rsidRPr="005A201C"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auto"/>
                <w:sz w:val="16"/>
                <w:szCs w:val="16"/>
                <w:lang w:eastAsia="en-AU"/>
              </w:rPr>
            </w:pPr>
            <w:r w:rsidRPr="005A201C">
              <w:rPr>
                <w:rFonts w:asciiTheme="minorHAnsi" w:eastAsia="Calibri Light" w:hAnsiTheme="minorHAnsi" w:cstheme="minorHAnsi"/>
                <w:color w:val="auto"/>
                <w:sz w:val="16"/>
                <w:szCs w:val="16"/>
                <w:lang w:eastAsia="en-AU"/>
              </w:rPr>
              <w:t>Green Mark Rating System</w:t>
            </w:r>
            <w:r>
              <w:rPr>
                <w:rFonts w:ascii="ZWAdobeF" w:eastAsia="Calibri Light" w:hAnsi="ZWAdobeF" w:cs="ZWAdobeF"/>
                <w:color w:val="auto"/>
                <w:sz w:val="2"/>
                <w:szCs w:val="2"/>
                <w:lang w:eastAsia="en-AU"/>
              </w:rPr>
              <w:t>35F35F35F35F35F</w:t>
            </w:r>
            <w:r w:rsidR="00413811">
              <w:rPr>
                <w:rFonts w:ascii="ZWAdobeF" w:eastAsia="Calibri Light" w:hAnsi="ZWAdobeF" w:cs="ZWAdobeF"/>
                <w:color w:val="auto"/>
                <w:sz w:val="2"/>
                <w:szCs w:val="2"/>
                <w:lang w:eastAsia="en-AU"/>
              </w:rPr>
              <w:t>35F</w:t>
            </w:r>
            <w:r w:rsidR="002C327C">
              <w:rPr>
                <w:rFonts w:ascii="ZWAdobeF" w:eastAsia="Calibri Light" w:hAnsi="ZWAdobeF" w:cs="ZWAdobeF"/>
                <w:color w:val="auto"/>
                <w:sz w:val="2"/>
                <w:szCs w:val="2"/>
                <w:lang w:eastAsia="en-AU"/>
              </w:rPr>
              <w:t>35F</w:t>
            </w:r>
            <w:r w:rsidR="00D24A06">
              <w:rPr>
                <w:rFonts w:ascii="ZWAdobeF" w:eastAsia="Calibri Light" w:hAnsi="ZWAdobeF" w:cs="ZWAdobeF"/>
                <w:color w:val="auto"/>
                <w:sz w:val="2"/>
                <w:szCs w:val="2"/>
                <w:lang w:eastAsia="en-AU"/>
              </w:rPr>
              <w:t>35F</w:t>
            </w:r>
            <w:r w:rsidRPr="005A201C">
              <w:rPr>
                <w:rStyle w:val="FootnoteReference"/>
                <w:rFonts w:asciiTheme="minorHAnsi" w:eastAsia="Calibri Light" w:hAnsiTheme="minorHAnsi" w:cstheme="minorHAnsi"/>
                <w:color w:val="auto"/>
                <w:sz w:val="16"/>
                <w:szCs w:val="16"/>
                <w:lang w:eastAsia="en-AU"/>
              </w:rPr>
              <w:footnoteReference w:id="37"/>
            </w:r>
          </w:p>
        </w:tc>
        <w:tc>
          <w:tcPr>
            <w:tcW w:w="1417" w:type="dxa"/>
            <w:shd w:val="clear" w:color="auto" w:fill="auto"/>
            <w:vAlign w:val="center"/>
          </w:tcPr>
          <w:p w14:paraId="408B333B"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alibri Light" w:hAnsiTheme="minorHAnsi" w:cstheme="minorHAnsi"/>
                <w:color w:val="000000"/>
                <w:sz w:val="16"/>
                <w:szCs w:val="16"/>
                <w:lang w:eastAsia="en-AU"/>
              </w:rPr>
            </w:pPr>
          </w:p>
        </w:tc>
        <w:tc>
          <w:tcPr>
            <w:tcW w:w="1276" w:type="dxa"/>
            <w:shd w:val="clear" w:color="auto" w:fill="auto"/>
            <w:vAlign w:val="center"/>
          </w:tcPr>
          <w:p w14:paraId="373931D4" w14:textId="77777777"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color w:val="000000"/>
                <w:sz w:val="16"/>
                <w:szCs w:val="16"/>
                <w:lang w:eastAsia="en-AU"/>
              </w:rPr>
            </w:pPr>
            <w:r w:rsidRPr="00290642">
              <w:rPr>
                <w:rFonts w:asciiTheme="minorHAnsi" w:eastAsia="CG Times (W1)" w:hAnsiTheme="minorHAnsi" w:cstheme="minorHAnsi"/>
                <w:color w:val="000000"/>
                <w:sz w:val="16"/>
                <w:szCs w:val="16"/>
                <w:lang w:eastAsia="en-AU"/>
              </w:rPr>
              <w:t>Both</w:t>
            </w:r>
          </w:p>
        </w:tc>
        <w:tc>
          <w:tcPr>
            <w:tcW w:w="992" w:type="dxa"/>
            <w:shd w:val="clear" w:color="auto" w:fill="auto"/>
            <w:vAlign w:val="center"/>
          </w:tcPr>
          <w:p w14:paraId="2839723A" w14:textId="43A329A0"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6580BFEE" wp14:editId="0308246C">
                  <wp:extent cx="123825" cy="123825"/>
                  <wp:effectExtent l="0" t="0" r="9525" b="9525"/>
                  <wp:docPr id="210" name="Picture 210"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ick"/>
                          <pic:cNvPicPr/>
                        </pic:nvPicPr>
                        <pic:blipFill>
                          <a:blip r:embed="rId37"/>
                          <a:stretch>
                            <a:fillRect/>
                          </a:stretch>
                        </pic:blipFill>
                        <pic:spPr>
                          <a:xfrm>
                            <a:off x="0" y="0"/>
                            <a:ext cx="123825" cy="123825"/>
                          </a:xfrm>
                          <a:prstGeom prst="rect">
                            <a:avLst/>
                          </a:prstGeom>
                        </pic:spPr>
                      </pic:pic>
                    </a:graphicData>
                  </a:graphic>
                </wp:inline>
              </w:drawing>
            </w:r>
          </w:p>
        </w:tc>
        <w:tc>
          <w:tcPr>
            <w:tcW w:w="1410" w:type="dxa"/>
            <w:shd w:val="clear" w:color="auto" w:fill="auto"/>
            <w:vAlign w:val="center"/>
          </w:tcPr>
          <w:p w14:paraId="3EDFD73D" w14:textId="1C7FF349"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73A4EEBD" wp14:editId="7F77E6C9">
                  <wp:extent cx="123825" cy="123825"/>
                  <wp:effectExtent l="0" t="0" r="9525" b="9525"/>
                  <wp:docPr id="211" name="Picture 211"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ick"/>
                          <pic:cNvPicPr/>
                        </pic:nvPicPr>
                        <pic:blipFill>
                          <a:blip r:embed="rId37"/>
                          <a:stretch>
                            <a:fillRect/>
                          </a:stretch>
                        </pic:blipFill>
                        <pic:spPr>
                          <a:xfrm>
                            <a:off x="0" y="0"/>
                            <a:ext cx="123825" cy="123825"/>
                          </a:xfrm>
                          <a:prstGeom prst="rect">
                            <a:avLst/>
                          </a:prstGeom>
                        </pic:spPr>
                      </pic:pic>
                    </a:graphicData>
                  </a:graphic>
                </wp:inline>
              </w:drawing>
            </w:r>
          </w:p>
        </w:tc>
        <w:tc>
          <w:tcPr>
            <w:tcW w:w="858" w:type="dxa"/>
            <w:shd w:val="clear" w:color="auto" w:fill="auto"/>
            <w:vAlign w:val="center"/>
          </w:tcPr>
          <w:p w14:paraId="2C511388" w14:textId="3911B4B8" w:rsidR="00802666" w:rsidRPr="00290642" w:rsidRDefault="00802666" w:rsidP="0080266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KPMG Bold" w:hAnsiTheme="minorHAnsi" w:cstheme="minorHAnsi"/>
                <w:color w:val="000000"/>
                <w:sz w:val="16"/>
                <w:szCs w:val="16"/>
                <w:lang w:eastAsia="en-AU"/>
              </w:rPr>
            </w:pPr>
            <w:r w:rsidRPr="00290642">
              <w:rPr>
                <w:rFonts w:asciiTheme="minorHAnsi" w:eastAsia="KPMG Bold" w:hAnsiTheme="minorHAnsi" w:cstheme="minorHAnsi"/>
                <w:noProof/>
                <w:color w:val="000000"/>
                <w:sz w:val="16"/>
                <w:szCs w:val="16"/>
                <w:lang w:eastAsia="en-AU"/>
              </w:rPr>
              <w:drawing>
                <wp:inline distT="0" distB="0" distL="0" distR="0" wp14:anchorId="774ED254" wp14:editId="15060CFA">
                  <wp:extent cx="123825" cy="123825"/>
                  <wp:effectExtent l="0" t="0" r="9525" b="9525"/>
                  <wp:docPr id="212" name="Picture 212"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ick"/>
                          <pic:cNvPicPr/>
                        </pic:nvPicPr>
                        <pic:blipFill>
                          <a:blip r:embed="rId37"/>
                          <a:stretch>
                            <a:fillRect/>
                          </a:stretch>
                        </pic:blipFill>
                        <pic:spPr>
                          <a:xfrm>
                            <a:off x="0" y="0"/>
                            <a:ext cx="123825" cy="123825"/>
                          </a:xfrm>
                          <a:prstGeom prst="rect">
                            <a:avLst/>
                          </a:prstGeom>
                        </pic:spPr>
                      </pic:pic>
                    </a:graphicData>
                  </a:graphic>
                </wp:inline>
              </w:drawing>
            </w:r>
          </w:p>
        </w:tc>
      </w:tr>
    </w:tbl>
    <w:p w14:paraId="56B0A380" w14:textId="0E843480" w:rsidR="00771EEF" w:rsidRPr="00290642" w:rsidRDefault="00771EEF" w:rsidP="00E07C7A">
      <w:pPr>
        <w:pStyle w:val="BodyText"/>
        <w:jc w:val="both"/>
        <w:rPr>
          <w:rFonts w:asciiTheme="minorHAnsi" w:hAnsiTheme="minorHAnsi" w:cstheme="minorHAnsi"/>
          <w:i/>
        </w:rPr>
      </w:pPr>
      <w:r w:rsidRPr="00290642">
        <w:rPr>
          <w:rFonts w:asciiTheme="minorHAnsi" w:hAnsiTheme="minorHAnsi" w:cstheme="minorHAnsi"/>
          <w:i/>
        </w:rPr>
        <w:t xml:space="preserve">* </w:t>
      </w:r>
      <w:r w:rsidR="00851081" w:rsidRPr="00290642">
        <w:rPr>
          <w:rFonts w:asciiTheme="minorHAnsi" w:hAnsiTheme="minorHAnsi" w:cstheme="minorHAnsi"/>
          <w:i/>
        </w:rPr>
        <w:t>‘</w:t>
      </w:r>
      <w:r w:rsidR="009D46DF" w:rsidRPr="00290642">
        <w:rPr>
          <w:rFonts w:asciiTheme="minorHAnsi" w:hAnsiTheme="minorHAnsi" w:cstheme="minorHAnsi"/>
          <w:i/>
        </w:rPr>
        <w:t>Public</w:t>
      </w:r>
      <w:r w:rsidR="00851081" w:rsidRPr="00290642">
        <w:rPr>
          <w:rFonts w:asciiTheme="minorHAnsi" w:hAnsiTheme="minorHAnsi" w:cstheme="minorHAnsi"/>
          <w:i/>
        </w:rPr>
        <w:t>’</w:t>
      </w:r>
      <w:r w:rsidR="009D46DF" w:rsidRPr="00290642">
        <w:rPr>
          <w:rFonts w:asciiTheme="minorHAnsi" w:hAnsiTheme="minorHAnsi" w:cstheme="minorHAnsi"/>
          <w:i/>
        </w:rPr>
        <w:t xml:space="preserve"> </w:t>
      </w:r>
      <w:r w:rsidR="00621393" w:rsidRPr="00290642">
        <w:rPr>
          <w:rFonts w:asciiTheme="minorHAnsi" w:hAnsiTheme="minorHAnsi" w:cstheme="minorHAnsi"/>
          <w:i/>
        </w:rPr>
        <w:t>include</w:t>
      </w:r>
      <w:r w:rsidR="00851081" w:rsidRPr="00290642">
        <w:rPr>
          <w:rFonts w:asciiTheme="minorHAnsi" w:hAnsiTheme="minorHAnsi" w:cstheme="minorHAnsi"/>
          <w:i/>
        </w:rPr>
        <w:t>s</w:t>
      </w:r>
      <w:r w:rsidR="00621393" w:rsidRPr="00290642">
        <w:rPr>
          <w:rFonts w:asciiTheme="minorHAnsi" w:hAnsiTheme="minorHAnsi" w:cstheme="minorHAnsi"/>
          <w:i/>
        </w:rPr>
        <w:t xml:space="preserve"> any government owned buildings </w:t>
      </w:r>
      <w:r w:rsidR="00E36741" w:rsidRPr="00290642">
        <w:rPr>
          <w:rFonts w:asciiTheme="minorHAnsi" w:hAnsiTheme="minorHAnsi" w:cstheme="minorHAnsi"/>
          <w:i/>
        </w:rPr>
        <w:t>(e.g. public schools</w:t>
      </w:r>
      <w:r w:rsidR="00FA6877" w:rsidRPr="00290642">
        <w:rPr>
          <w:rFonts w:asciiTheme="minorHAnsi" w:hAnsiTheme="minorHAnsi" w:cstheme="minorHAnsi"/>
          <w:i/>
        </w:rPr>
        <w:t>)</w:t>
      </w:r>
    </w:p>
    <w:p w14:paraId="2297E118" w14:textId="730233FE" w:rsidR="00C5153F" w:rsidRPr="00290642" w:rsidRDefault="00234F9B" w:rsidP="00E07C7A">
      <w:pPr>
        <w:pStyle w:val="BodyText"/>
        <w:jc w:val="both"/>
        <w:rPr>
          <w:rFonts w:asciiTheme="minorHAnsi" w:hAnsiTheme="minorHAnsi" w:cstheme="minorHAnsi"/>
          <w:i/>
        </w:rPr>
      </w:pPr>
      <w:r w:rsidRPr="00290642">
        <w:rPr>
          <w:rFonts w:asciiTheme="minorHAnsi" w:hAnsiTheme="minorHAnsi" w:cstheme="minorHAnsi"/>
          <w:i/>
        </w:rPr>
        <w:t>*</w:t>
      </w:r>
      <w:r w:rsidR="00771EEF" w:rsidRPr="00290642">
        <w:rPr>
          <w:rFonts w:asciiTheme="minorHAnsi" w:hAnsiTheme="minorHAnsi" w:cstheme="minorHAnsi"/>
          <w:i/>
        </w:rPr>
        <w:t>*</w:t>
      </w:r>
      <w:r w:rsidRPr="00290642">
        <w:rPr>
          <w:rFonts w:asciiTheme="minorHAnsi" w:hAnsiTheme="minorHAnsi" w:cstheme="minorHAnsi"/>
          <w:i/>
        </w:rPr>
        <w:t xml:space="preserve"> Further details on ENERGY STAR and </w:t>
      </w:r>
      <w:proofErr w:type="spellStart"/>
      <w:r w:rsidRPr="00290642">
        <w:rPr>
          <w:rFonts w:asciiTheme="minorHAnsi" w:hAnsiTheme="minorHAnsi" w:cstheme="minorHAnsi"/>
          <w:i/>
        </w:rPr>
        <w:t>EPCs</w:t>
      </w:r>
      <w:proofErr w:type="spellEnd"/>
      <w:r w:rsidRPr="00290642">
        <w:rPr>
          <w:rFonts w:asciiTheme="minorHAnsi" w:hAnsiTheme="minorHAnsi" w:cstheme="minorHAnsi"/>
          <w:i/>
        </w:rPr>
        <w:t xml:space="preserve"> </w:t>
      </w:r>
      <w:r w:rsidR="00446CFC" w:rsidRPr="00290642">
        <w:rPr>
          <w:rFonts w:asciiTheme="minorHAnsi" w:hAnsiTheme="minorHAnsi" w:cstheme="minorHAnsi"/>
          <w:i/>
        </w:rPr>
        <w:t>are provided in the Appendices</w:t>
      </w:r>
      <w:r w:rsidR="005318E2" w:rsidRPr="00290642">
        <w:rPr>
          <w:rFonts w:asciiTheme="minorHAnsi" w:hAnsiTheme="minorHAnsi" w:cstheme="minorHAnsi"/>
          <w:i/>
        </w:rPr>
        <w:t xml:space="preserve"> </w:t>
      </w:r>
    </w:p>
    <w:p w14:paraId="6F1AEE9F" w14:textId="44120B80" w:rsidR="00854A02" w:rsidRPr="00290642" w:rsidRDefault="00BD6260" w:rsidP="00987A67">
      <w:pPr>
        <w:spacing w:before="0" w:after="160" w:line="259" w:lineRule="auto"/>
        <w:rPr>
          <w:rStyle w:val="CVHeadingChar"/>
          <w:rFonts w:asciiTheme="minorHAnsi" w:hAnsiTheme="minorHAnsi" w:cstheme="minorHAnsi"/>
          <w:b w:val="0"/>
          <w:color w:val="auto"/>
        </w:rPr>
      </w:pPr>
      <w:r w:rsidRPr="00290642">
        <w:rPr>
          <w:rFonts w:asciiTheme="minorHAnsi" w:hAnsiTheme="minorHAnsi" w:cstheme="minorHAnsi"/>
        </w:rPr>
        <w:t>Building energy disclosure requirements vary worldwide, with different trigger points, disclosure requirements, and target buildings (refer</w:t>
      </w:r>
      <w:r w:rsidR="00A53A15">
        <w:rPr>
          <w:rFonts w:asciiTheme="minorHAnsi" w:hAnsiTheme="minorHAnsi" w:cstheme="minorHAnsi"/>
        </w:rPr>
        <w:t xml:space="preserve"> </w:t>
      </w:r>
      <w:r w:rsidR="00A037ED" w:rsidRPr="00A037ED">
        <w:rPr>
          <w:rFonts w:asciiTheme="minorHAnsi" w:hAnsiTheme="minorHAnsi" w:cstheme="minorHAnsi"/>
          <w:szCs w:val="20"/>
        </w:rPr>
        <w:fldChar w:fldCharType="begin" w:fldLock="1"/>
      </w:r>
      <w:r w:rsidR="00A037ED" w:rsidRPr="00A037ED">
        <w:rPr>
          <w:rFonts w:asciiTheme="minorHAnsi" w:hAnsiTheme="minorHAnsi" w:cstheme="minorHAnsi"/>
          <w:szCs w:val="20"/>
        </w:rPr>
        <w:instrText xml:space="preserve"> REF _Ref153223541 \h  \* MERGEFORMAT </w:instrText>
      </w:r>
      <w:r w:rsidR="00A037ED" w:rsidRPr="00A037ED">
        <w:rPr>
          <w:rFonts w:asciiTheme="minorHAnsi" w:hAnsiTheme="minorHAnsi" w:cstheme="minorHAnsi"/>
          <w:szCs w:val="20"/>
        </w:rPr>
      </w:r>
      <w:r w:rsidR="00A037ED" w:rsidRPr="00A037ED">
        <w:rPr>
          <w:rFonts w:asciiTheme="minorHAnsi" w:hAnsiTheme="minorHAnsi" w:cstheme="minorHAnsi"/>
          <w:szCs w:val="20"/>
        </w:rPr>
        <w:fldChar w:fldCharType="separate"/>
      </w:r>
      <w:r w:rsidR="00A037ED" w:rsidRPr="00A037ED">
        <w:rPr>
          <w:rFonts w:ascii="Calibri" w:eastAsia="Times New Roman" w:hAnsi="Calibri" w:cs="Times New Roman"/>
          <w:color w:val="auto"/>
          <w:szCs w:val="20"/>
        </w:rPr>
        <w:t>Table 8</w:t>
      </w:r>
      <w:r w:rsidR="00A037ED" w:rsidRPr="00A037ED">
        <w:rPr>
          <w:rFonts w:asciiTheme="minorHAnsi" w:hAnsiTheme="minorHAnsi" w:cstheme="minorHAnsi"/>
          <w:szCs w:val="20"/>
        </w:rPr>
        <w:fldChar w:fldCharType="end"/>
      </w:r>
      <w:r w:rsidR="00A53A15" w:rsidRPr="00A037ED">
        <w:rPr>
          <w:rFonts w:asciiTheme="minorHAnsi" w:hAnsiTheme="minorHAnsi" w:cstheme="minorHAnsi"/>
          <w:szCs w:val="20"/>
        </w:rPr>
        <w:t xml:space="preserve">, </w:t>
      </w:r>
      <w:r w:rsidR="00DD4B8A" w:rsidRPr="00A037ED">
        <w:rPr>
          <w:rFonts w:asciiTheme="minorHAnsi" w:hAnsiTheme="minorHAnsi" w:cstheme="minorHAnsi"/>
          <w:szCs w:val="20"/>
        </w:rPr>
        <w:fldChar w:fldCharType="begin" w:fldLock="1"/>
      </w:r>
      <w:r w:rsidR="00DD4B8A" w:rsidRPr="00A037ED">
        <w:rPr>
          <w:rFonts w:asciiTheme="minorHAnsi" w:hAnsiTheme="minorHAnsi" w:cstheme="minorHAnsi"/>
          <w:szCs w:val="20"/>
        </w:rPr>
        <w:instrText xml:space="preserve"> REF _Ref148522817 \h </w:instrText>
      </w:r>
      <w:r w:rsidR="00A037ED">
        <w:rPr>
          <w:rFonts w:asciiTheme="minorHAnsi" w:hAnsiTheme="minorHAnsi" w:cstheme="minorHAnsi"/>
          <w:szCs w:val="20"/>
        </w:rPr>
        <w:instrText xml:space="preserve"> \* MERGEFORMAT </w:instrText>
      </w:r>
      <w:r w:rsidR="00DD4B8A" w:rsidRPr="00A037ED">
        <w:rPr>
          <w:rFonts w:asciiTheme="minorHAnsi" w:hAnsiTheme="minorHAnsi" w:cstheme="minorHAnsi"/>
          <w:szCs w:val="20"/>
        </w:rPr>
      </w:r>
      <w:r w:rsidR="00DD4B8A" w:rsidRPr="00A037ED">
        <w:rPr>
          <w:rFonts w:asciiTheme="minorHAnsi" w:hAnsiTheme="minorHAnsi" w:cstheme="minorHAnsi"/>
          <w:szCs w:val="20"/>
        </w:rPr>
        <w:fldChar w:fldCharType="separate"/>
      </w:r>
      <w:r w:rsidR="00DD4B8A" w:rsidRPr="00A037ED">
        <w:rPr>
          <w:rFonts w:asciiTheme="minorHAnsi" w:hAnsiTheme="minorHAnsi" w:cstheme="minorHAnsi"/>
          <w:szCs w:val="20"/>
        </w:rPr>
        <w:t xml:space="preserve">Figure </w:t>
      </w:r>
      <w:r w:rsidR="00DD4B8A" w:rsidRPr="00A037ED">
        <w:rPr>
          <w:rFonts w:asciiTheme="minorHAnsi" w:hAnsiTheme="minorHAnsi" w:cstheme="minorHAnsi"/>
          <w:noProof/>
          <w:szCs w:val="20"/>
        </w:rPr>
        <w:t>9</w:t>
      </w:r>
      <w:r w:rsidR="00DD4B8A" w:rsidRPr="00A037ED">
        <w:rPr>
          <w:rFonts w:asciiTheme="minorHAnsi" w:hAnsiTheme="minorHAnsi" w:cstheme="minorHAnsi"/>
          <w:szCs w:val="20"/>
        </w:rPr>
        <w:fldChar w:fldCharType="end"/>
      </w:r>
      <w:r w:rsidR="00BA7312">
        <w:rPr>
          <w:rFonts w:asciiTheme="minorHAnsi" w:hAnsiTheme="minorHAnsi" w:cstheme="minorHAnsi"/>
        </w:rPr>
        <w:fldChar w:fldCharType="begin" w:fldLock="1"/>
      </w:r>
      <w:r w:rsidR="00BA7312">
        <w:rPr>
          <w:rFonts w:asciiTheme="minorHAnsi" w:hAnsiTheme="minorHAnsi" w:cstheme="minorHAnsi"/>
        </w:rPr>
        <w:instrText xml:space="preserve"> REF _Ref148522817 \h </w:instrText>
      </w:r>
      <w:r w:rsidR="00BA7312">
        <w:rPr>
          <w:rFonts w:asciiTheme="minorHAnsi" w:hAnsiTheme="minorHAnsi" w:cstheme="minorHAnsi"/>
        </w:rPr>
      </w:r>
      <w:r w:rsidR="00000000">
        <w:rPr>
          <w:rFonts w:asciiTheme="minorHAnsi" w:hAnsiTheme="minorHAnsi" w:cstheme="minorHAnsi"/>
        </w:rPr>
        <w:fldChar w:fldCharType="separate"/>
      </w:r>
      <w:r w:rsidR="00BA7312">
        <w:rPr>
          <w:rFonts w:asciiTheme="minorHAnsi" w:hAnsiTheme="minorHAnsi" w:cstheme="minorHAnsi"/>
        </w:rPr>
        <w:fldChar w:fldCharType="end"/>
      </w:r>
      <w:r w:rsidR="00BA7312">
        <w:rPr>
          <w:rFonts w:asciiTheme="minorHAnsi" w:hAnsiTheme="minorHAnsi" w:cstheme="minorHAnsi"/>
        </w:rPr>
        <w:t xml:space="preserve"> </w:t>
      </w:r>
      <w:r w:rsidRPr="00290642">
        <w:rPr>
          <w:rFonts w:asciiTheme="minorHAnsi" w:hAnsiTheme="minorHAnsi" w:cstheme="minorHAnsi"/>
        </w:rPr>
        <w:t>for examples of b</w:t>
      </w:r>
      <w:r w:rsidRPr="00290642">
        <w:rPr>
          <w:rStyle w:val="CVHeadingChar"/>
          <w:rFonts w:asciiTheme="minorHAnsi" w:hAnsiTheme="minorHAnsi" w:cstheme="minorHAnsi"/>
          <w:b w:val="0"/>
          <w:color w:val="auto"/>
        </w:rPr>
        <w:t>uilding energy disclosure requirements in different jurisdictions)</w:t>
      </w:r>
      <w:r w:rsidR="004F3233" w:rsidRPr="00290642">
        <w:rPr>
          <w:rStyle w:val="CVHeadingChar"/>
          <w:rFonts w:asciiTheme="minorHAnsi" w:hAnsiTheme="minorHAnsi" w:cstheme="minorHAnsi"/>
          <w:b w:val="0"/>
          <w:color w:val="auto"/>
        </w:rPr>
        <w:t xml:space="preserve">. </w:t>
      </w:r>
    </w:p>
    <w:p w14:paraId="7B97668E" w14:textId="77777777" w:rsidR="004F3233" w:rsidRPr="00290642" w:rsidRDefault="004F3233" w:rsidP="004F3233">
      <w:pPr>
        <w:pStyle w:val="BodyText"/>
        <w:rPr>
          <w:rFonts w:asciiTheme="minorHAnsi" w:hAnsiTheme="minorHAnsi" w:cstheme="minorHAnsi"/>
        </w:rPr>
      </w:pPr>
      <w:r w:rsidRPr="00290642">
        <w:rPr>
          <w:rFonts w:asciiTheme="minorHAnsi" w:hAnsiTheme="minorHAnsi" w:cstheme="minorHAnsi"/>
        </w:rPr>
        <w:t>In countries like the UK, Germany, Japan, and California, disclosure is required when a building is constructed, leased, sold, or undergoes significant renovation. Some locations, such as Washington DC and France, have permanent and public disclosure regardless of sales or leases. Disclosure of performance-based ratings or a combination of performance and attribute-based ratings are more common than attribute-only ratings. The display of energy performance information may be online, in the foyer or reception area, or presented only when triggered by a property transaction.</w:t>
      </w:r>
    </w:p>
    <w:p w14:paraId="45D2FD6F" w14:textId="12A9FEC1" w:rsidR="004F3233" w:rsidRDefault="004F3233" w:rsidP="004F3233">
      <w:pPr>
        <w:pStyle w:val="BodyText"/>
        <w:rPr>
          <w:rFonts w:asciiTheme="minorHAnsi" w:hAnsiTheme="minorHAnsi" w:cstheme="minorHAnsi"/>
        </w:rPr>
      </w:pPr>
      <w:r w:rsidRPr="00290642">
        <w:rPr>
          <w:rFonts w:asciiTheme="minorHAnsi" w:hAnsiTheme="minorHAnsi" w:cstheme="minorHAnsi"/>
        </w:rPr>
        <w:t>Research indicates that disclosure efforts often begin with larger buildings and gradually reduce the threshold over time. Building disclosure regulations generally encompass all building types, with limited exemptions. This means that buildings such as hotels, retail spaces, hospitals, and schools are often included in the regulations. However, government buildings tend to have more stringent thresholds for disclosure. Benchmarking a building's energy efficiency rating to similar building types is a common trend, especially in the US. In New York, for example, displayed information includes a benchmarked score out of 100 for the current year, as well as the previous two years.</w:t>
      </w:r>
      <w:r w:rsidR="001C345D" w:rsidRPr="00290642">
        <w:rPr>
          <w:rFonts w:asciiTheme="minorHAnsi" w:hAnsiTheme="minorHAnsi" w:cstheme="minorHAnsi"/>
        </w:rPr>
        <w:t xml:space="preserve"> </w:t>
      </w:r>
    </w:p>
    <w:p w14:paraId="332E033F" w14:textId="200CC2D7" w:rsidR="00A31DB8" w:rsidRPr="002B743B" w:rsidRDefault="00A31DB8" w:rsidP="002B743B">
      <w:pPr>
        <w:pStyle w:val="Caption"/>
        <w:keepNext/>
        <w:spacing w:after="120"/>
        <w:rPr>
          <w:rFonts w:ascii="Calibri" w:eastAsia="Times New Roman" w:hAnsi="Calibri" w:cs="Times New Roman"/>
          <w:iCs w:val="0"/>
          <w:sz w:val="24"/>
        </w:rPr>
      </w:pPr>
      <w:bookmarkStart w:id="119" w:name="_Ref133391714"/>
      <w:bookmarkStart w:id="120" w:name="_Ref148522817"/>
      <w:bookmarkStart w:id="121" w:name="_Ref136273680"/>
      <w:bookmarkStart w:id="122" w:name="_Toc157687014"/>
      <w:r w:rsidRPr="002B743B">
        <w:rPr>
          <w:rFonts w:ascii="Calibri" w:eastAsia="Times New Roman" w:hAnsi="Calibri" w:cs="Times New Roman"/>
          <w:b/>
          <w:bCs/>
          <w:i w:val="0"/>
          <w:iCs w:val="0"/>
          <w:color w:val="auto"/>
          <w:sz w:val="24"/>
        </w:rPr>
        <w:lastRenderedPageBreak/>
        <w:t xml:space="preserve">Figure </w:t>
      </w:r>
      <w:bookmarkEnd w:id="119"/>
      <w:r w:rsidRPr="002B743B">
        <w:rPr>
          <w:rFonts w:ascii="Calibri" w:eastAsia="Times New Roman" w:hAnsi="Calibri" w:cs="Times New Roman"/>
          <w:b/>
          <w:bCs/>
          <w:i w:val="0"/>
          <w:iCs w:val="0"/>
          <w:color w:val="auto"/>
          <w:sz w:val="24"/>
        </w:rPr>
        <w:fldChar w:fldCharType="begin"/>
      </w:r>
      <w:r w:rsidRPr="002B743B">
        <w:rPr>
          <w:rFonts w:ascii="Calibri" w:eastAsia="Times New Roman" w:hAnsi="Calibri" w:cs="Times New Roman"/>
          <w:b/>
          <w:bCs/>
          <w:i w:val="0"/>
          <w:iCs w:val="0"/>
          <w:color w:val="auto"/>
          <w:sz w:val="24"/>
        </w:rPr>
        <w:instrText xml:space="preserve"> SEQ Figure \* ARABIC </w:instrText>
      </w:r>
      <w:r w:rsidRPr="002B743B">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9</w:t>
      </w:r>
      <w:r w:rsidRPr="002B743B">
        <w:rPr>
          <w:rFonts w:ascii="Calibri" w:eastAsia="Times New Roman" w:hAnsi="Calibri" w:cs="Times New Roman"/>
          <w:b/>
          <w:bCs/>
          <w:i w:val="0"/>
          <w:iCs w:val="0"/>
          <w:color w:val="auto"/>
          <w:sz w:val="24"/>
        </w:rPr>
        <w:fldChar w:fldCharType="end"/>
      </w:r>
      <w:bookmarkEnd w:id="120"/>
      <w:r w:rsidRPr="002B743B">
        <w:rPr>
          <w:rFonts w:ascii="Calibri" w:eastAsia="Times New Roman" w:hAnsi="Calibri" w:cs="Times New Roman"/>
          <w:b/>
          <w:bCs/>
          <w:i w:val="0"/>
          <w:iCs w:val="0"/>
          <w:color w:val="auto"/>
          <w:sz w:val="24"/>
        </w:rPr>
        <w:t>: High level overview of building energy global disclosure requirements including year of introduction (from regions of focus in the research)</w:t>
      </w:r>
      <w:bookmarkEnd w:id="121"/>
      <w:bookmarkEnd w:id="122"/>
    </w:p>
    <w:p w14:paraId="37BFCBF7" w14:textId="3ECC688D" w:rsidR="005F612B" w:rsidRDefault="00194892" w:rsidP="004E3937">
      <w:pPr>
        <w:pStyle w:val="Caption"/>
        <w:keepNext/>
        <w:spacing w:after="120"/>
        <w:rPr>
          <w:rFonts w:ascii="Calibri" w:eastAsia="Times New Roman" w:hAnsi="Calibri" w:cs="Times New Roman"/>
          <w:b/>
          <w:bCs/>
          <w:i w:val="0"/>
          <w:iCs w:val="0"/>
          <w:color w:val="auto"/>
          <w:sz w:val="24"/>
        </w:rPr>
      </w:pPr>
      <w:bookmarkStart w:id="123" w:name="_Ref136284278"/>
      <w:r>
        <w:rPr>
          <w:rFonts w:ascii="Calibri" w:eastAsia="Times New Roman" w:hAnsi="Calibri" w:cs="Times New Roman"/>
          <w:b/>
          <w:bCs/>
          <w:i w:val="0"/>
          <w:iCs w:val="0"/>
          <w:noProof/>
          <w:color w:val="auto"/>
          <w:sz w:val="24"/>
        </w:rPr>
        <w:drawing>
          <wp:inline distT="0" distB="0" distL="0" distR="0" wp14:anchorId="0C96D265" wp14:editId="72B21B77">
            <wp:extent cx="6326329" cy="3727502"/>
            <wp:effectExtent l="0" t="0" r="0" b="6350"/>
            <wp:docPr id="445498379" name="Picture 445498379" descr="A map of the world with building energy global requirements listed in major countries. Details presented in map are presented in Appendix 11 Tabl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8379" name="Picture 445498379" descr="A map of the world with building energy global requirements listed in major countries. Details presented in map are presented in Appendix 11 Tabl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7148" cy="3733876"/>
                    </a:xfrm>
                    <a:prstGeom prst="rect">
                      <a:avLst/>
                    </a:prstGeom>
                    <a:noFill/>
                  </pic:spPr>
                </pic:pic>
              </a:graphicData>
            </a:graphic>
          </wp:inline>
        </w:drawing>
      </w:r>
    </w:p>
    <w:p w14:paraId="2F7A1C09" w14:textId="72B1C1D1" w:rsidR="00392BF2" w:rsidRDefault="00392BF2" w:rsidP="00392BF2">
      <w:pPr>
        <w:pStyle w:val="Caption"/>
        <w:jc w:val="center"/>
        <w:rPr>
          <w:rFonts w:ascii="Calibri" w:eastAsia="Times New Roman" w:hAnsi="Calibri" w:cs="Times New Roman"/>
          <w:b/>
          <w:bCs/>
          <w:i w:val="0"/>
          <w:iCs w:val="0"/>
          <w:color w:val="auto"/>
          <w:sz w:val="24"/>
        </w:rPr>
      </w:pPr>
      <w:hyperlink w:anchor="_Table_33:_Details"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9</w:t>
        </w:r>
        <w:r>
          <w:rPr>
            <w:rStyle w:val="Hyperlink"/>
            <w:rFonts w:asciiTheme="minorHAnsi" w:hAnsiTheme="minorHAnsi" w:cstheme="minorHAnsi"/>
          </w:rPr>
          <w:t xml:space="preserve"> [Appendix 11 Table 3</w:t>
        </w:r>
        <w:r>
          <w:rPr>
            <w:rStyle w:val="Hyperlink"/>
            <w:rFonts w:asciiTheme="minorHAnsi" w:hAnsiTheme="minorHAnsi" w:cstheme="minorHAnsi"/>
          </w:rPr>
          <w:t>3</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252FA282" w14:textId="77777777" w:rsidR="00392BF2" w:rsidRPr="00392BF2" w:rsidRDefault="00392BF2" w:rsidP="00392BF2"/>
    <w:p w14:paraId="0750D6CF" w14:textId="5C08DB37" w:rsidR="0022438D" w:rsidRPr="004E3937" w:rsidRDefault="0022438D" w:rsidP="004E3937">
      <w:pPr>
        <w:pStyle w:val="Caption"/>
        <w:keepNext/>
        <w:spacing w:after="120"/>
        <w:rPr>
          <w:rFonts w:ascii="Calibri" w:eastAsia="Times New Roman" w:hAnsi="Calibri" w:cs="Times New Roman"/>
          <w:b/>
          <w:bCs/>
          <w:i w:val="0"/>
          <w:iCs w:val="0"/>
          <w:color w:val="auto"/>
          <w:sz w:val="24"/>
        </w:rPr>
      </w:pPr>
      <w:bookmarkStart w:id="124" w:name="_Ref153223541"/>
      <w:bookmarkStart w:id="125" w:name="_Toc162535444"/>
      <w:r w:rsidRPr="004E3937">
        <w:rPr>
          <w:rFonts w:ascii="Calibri" w:eastAsia="Times New Roman" w:hAnsi="Calibri" w:cs="Times New Roman"/>
          <w:b/>
          <w:bCs/>
          <w:i w:val="0"/>
          <w:iCs w:val="0"/>
          <w:color w:val="auto"/>
          <w:sz w:val="24"/>
        </w:rPr>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8</w:t>
      </w:r>
      <w:r w:rsidRPr="004E3937">
        <w:rPr>
          <w:rFonts w:ascii="Calibri" w:eastAsia="Times New Roman" w:hAnsi="Calibri" w:cs="Times New Roman"/>
          <w:b/>
          <w:bCs/>
          <w:i w:val="0"/>
          <w:iCs w:val="0"/>
          <w:color w:val="auto"/>
          <w:sz w:val="24"/>
        </w:rPr>
        <w:fldChar w:fldCharType="end"/>
      </w:r>
      <w:bookmarkEnd w:id="123"/>
      <w:bookmarkEnd w:id="124"/>
      <w:r w:rsidRPr="004E3937">
        <w:rPr>
          <w:rFonts w:ascii="Calibri" w:eastAsia="Times New Roman" w:hAnsi="Calibri" w:cs="Times New Roman"/>
          <w:b/>
          <w:bCs/>
          <w:i w:val="0"/>
          <w:iCs w:val="0"/>
          <w:color w:val="auto"/>
          <w:sz w:val="24"/>
        </w:rPr>
        <w:t>: Disclosure requirements by jurisdiction</w:t>
      </w:r>
      <w:bookmarkEnd w:id="125"/>
    </w:p>
    <w:tbl>
      <w:tblPr>
        <w:tblStyle w:val="GridTable4-Accent1"/>
        <w:tblpPr w:leftFromText="180" w:rightFromText="180" w:vertAnchor="text" w:tblpX="-15"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1109"/>
        <w:gridCol w:w="2552"/>
        <w:gridCol w:w="5103"/>
      </w:tblGrid>
      <w:tr w:rsidR="008B0046" w14:paraId="536E7C07" w14:textId="77777777" w:rsidTr="00A331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auto"/>
              <w:left w:val="single" w:sz="4" w:space="0" w:color="auto"/>
              <w:bottom w:val="single" w:sz="12" w:space="0" w:color="auto"/>
            </w:tcBorders>
            <w:shd w:val="clear" w:color="auto" w:fill="auto"/>
            <w:hideMark/>
          </w:tcPr>
          <w:p w14:paraId="7C98B313" w14:textId="77777777" w:rsidR="008B0046" w:rsidRPr="00EF40AE" w:rsidRDefault="008B0046">
            <w:pPr>
              <w:jc w:val="center"/>
              <w:rPr>
                <w:rFonts w:asciiTheme="minorHAnsi" w:hAnsiTheme="minorHAnsi" w:cstheme="minorHAnsi"/>
                <w:sz w:val="18"/>
                <w:szCs w:val="18"/>
              </w:rPr>
            </w:pPr>
            <w:r w:rsidRPr="00EF40AE">
              <w:rPr>
                <w:rFonts w:asciiTheme="minorHAnsi" w:hAnsiTheme="minorHAnsi" w:cstheme="minorHAnsi"/>
                <w:sz w:val="18"/>
                <w:szCs w:val="18"/>
              </w:rPr>
              <w:t>Jurisdiction</w:t>
            </w:r>
          </w:p>
        </w:tc>
        <w:tc>
          <w:tcPr>
            <w:tcW w:w="1109" w:type="dxa"/>
            <w:tcBorders>
              <w:top w:val="single" w:sz="4" w:space="0" w:color="auto"/>
              <w:bottom w:val="single" w:sz="12" w:space="0" w:color="auto"/>
            </w:tcBorders>
            <w:shd w:val="clear" w:color="auto" w:fill="auto"/>
            <w:hideMark/>
          </w:tcPr>
          <w:p w14:paraId="091AEB33" w14:textId="77777777" w:rsidR="008B0046" w:rsidRPr="00EF40AE" w:rsidRDefault="008B00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F40AE">
              <w:rPr>
                <w:rFonts w:asciiTheme="minorHAnsi" w:hAnsiTheme="minorHAnsi" w:cstheme="minorHAnsi"/>
                <w:sz w:val="18"/>
                <w:szCs w:val="18"/>
              </w:rPr>
              <w:t>Latest policy/ regulation</w:t>
            </w:r>
          </w:p>
        </w:tc>
        <w:tc>
          <w:tcPr>
            <w:tcW w:w="2552" w:type="dxa"/>
            <w:tcBorders>
              <w:top w:val="single" w:sz="4" w:space="0" w:color="auto"/>
              <w:bottom w:val="single" w:sz="12" w:space="0" w:color="auto"/>
            </w:tcBorders>
            <w:shd w:val="clear" w:color="auto" w:fill="auto"/>
            <w:hideMark/>
          </w:tcPr>
          <w:p w14:paraId="68BDAA6A" w14:textId="348E8062" w:rsidR="008B0046" w:rsidRPr="00EF40AE" w:rsidRDefault="008B00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F40AE">
              <w:rPr>
                <w:rFonts w:asciiTheme="minorHAnsi" w:hAnsiTheme="minorHAnsi" w:cstheme="minorHAnsi"/>
                <w:sz w:val="18"/>
                <w:szCs w:val="18"/>
              </w:rPr>
              <w:t>Rating system</w:t>
            </w:r>
            <w:r w:rsidR="00EB3095" w:rsidRPr="00EF40AE">
              <w:rPr>
                <w:rFonts w:asciiTheme="minorHAnsi" w:hAnsiTheme="minorHAnsi" w:cstheme="minorHAnsi"/>
                <w:sz w:val="18"/>
                <w:szCs w:val="18"/>
              </w:rPr>
              <w:t xml:space="preserve">, </w:t>
            </w:r>
            <w:r w:rsidRPr="00EF40AE">
              <w:rPr>
                <w:rFonts w:asciiTheme="minorHAnsi" w:hAnsiTheme="minorHAnsi" w:cstheme="minorHAnsi"/>
                <w:sz w:val="18"/>
                <w:szCs w:val="18"/>
              </w:rPr>
              <w:t>and trigger for disclosure</w:t>
            </w:r>
          </w:p>
        </w:tc>
        <w:tc>
          <w:tcPr>
            <w:tcW w:w="5103" w:type="dxa"/>
            <w:tcBorders>
              <w:top w:val="single" w:sz="4" w:space="0" w:color="auto"/>
              <w:bottom w:val="single" w:sz="12" w:space="0" w:color="auto"/>
              <w:right w:val="single" w:sz="4" w:space="0" w:color="auto"/>
            </w:tcBorders>
            <w:shd w:val="clear" w:color="auto" w:fill="auto"/>
            <w:hideMark/>
          </w:tcPr>
          <w:p w14:paraId="4F3F88C3" w14:textId="77777777" w:rsidR="008B0046" w:rsidRPr="00EF40AE" w:rsidRDefault="008B004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F40AE">
              <w:rPr>
                <w:rFonts w:asciiTheme="minorHAnsi" w:hAnsiTheme="minorHAnsi" w:cstheme="minorHAnsi"/>
                <w:sz w:val="18"/>
                <w:szCs w:val="18"/>
              </w:rPr>
              <w:t>Target buildings and requirement(s)</w:t>
            </w:r>
          </w:p>
        </w:tc>
      </w:tr>
      <w:tr w:rsidR="008B0046" w14:paraId="6E530850" w14:textId="77777777" w:rsidTr="00A33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Borders>
              <w:top w:val="single" w:sz="12" w:space="0" w:color="auto"/>
            </w:tcBorders>
            <w:shd w:val="clear" w:color="auto" w:fill="auto"/>
            <w:hideMark/>
          </w:tcPr>
          <w:p w14:paraId="5098F48E" w14:textId="77777777" w:rsidR="008B0046" w:rsidRPr="00290642" w:rsidRDefault="008B0046">
            <w:pPr>
              <w:rPr>
                <w:rFonts w:asciiTheme="minorHAnsi" w:hAnsiTheme="minorHAnsi" w:cstheme="minorHAnsi"/>
                <w:sz w:val="18"/>
                <w:szCs w:val="18"/>
              </w:rPr>
            </w:pPr>
            <w:r w:rsidRPr="00290642">
              <w:rPr>
                <w:rFonts w:asciiTheme="minorHAnsi" w:hAnsiTheme="minorHAnsi" w:cstheme="minorHAnsi"/>
                <w:sz w:val="18"/>
                <w:szCs w:val="18"/>
              </w:rPr>
              <w:t>UK (England and Wales)</w:t>
            </w:r>
          </w:p>
        </w:tc>
        <w:tc>
          <w:tcPr>
            <w:tcW w:w="1109" w:type="dxa"/>
            <w:tcBorders>
              <w:top w:val="single" w:sz="12" w:space="0" w:color="auto"/>
            </w:tcBorders>
            <w:shd w:val="clear" w:color="auto" w:fill="auto"/>
            <w:hideMark/>
          </w:tcPr>
          <w:p w14:paraId="16EAC787" w14:textId="4BF09D3E" w:rsidR="008B0046" w:rsidRPr="00290642"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90642">
              <w:rPr>
                <w:rFonts w:asciiTheme="minorHAnsi" w:hAnsiTheme="minorHAnsi" w:cstheme="minorHAnsi"/>
                <w:sz w:val="18"/>
                <w:szCs w:val="18"/>
              </w:rPr>
              <w:t>Minimum Energy Efficiency Standards (MEES), 2018</w:t>
            </w:r>
            <w:r w:rsidR="00723239" w:rsidRPr="00EF40AE">
              <w:rPr>
                <w:rFonts w:ascii="ZWAdobeF" w:hAnsi="ZWAdobeF" w:cs="ZWAdobeF"/>
                <w:sz w:val="2"/>
                <w:szCs w:val="2"/>
              </w:rPr>
              <w:t>36F</w:t>
            </w:r>
            <w:r w:rsidR="00EE36E3" w:rsidRPr="00EF40AE">
              <w:rPr>
                <w:rFonts w:ascii="ZWAdobeF" w:hAnsi="ZWAdobeF" w:cs="ZWAdobeF"/>
                <w:sz w:val="2"/>
                <w:szCs w:val="2"/>
              </w:rPr>
              <w:t>36F</w:t>
            </w:r>
            <w:r w:rsidR="00E94853" w:rsidRPr="00EF40AE">
              <w:rPr>
                <w:rFonts w:ascii="ZWAdobeF" w:hAnsi="ZWAdobeF" w:cs="ZWAdobeF"/>
                <w:sz w:val="2"/>
                <w:szCs w:val="2"/>
              </w:rPr>
              <w:t>36F</w:t>
            </w:r>
            <w:r w:rsidR="00F73A23" w:rsidRPr="00EF40AE">
              <w:rPr>
                <w:rFonts w:ascii="ZWAdobeF" w:hAnsi="ZWAdobeF" w:cs="ZWAdobeF"/>
                <w:sz w:val="2"/>
                <w:szCs w:val="2"/>
              </w:rPr>
              <w:t>36F</w:t>
            </w:r>
            <w:r w:rsidR="00626378">
              <w:rPr>
                <w:rFonts w:ascii="ZWAdobeF" w:hAnsi="ZWAdobeF" w:cs="ZWAdobeF"/>
                <w:color w:val="auto"/>
                <w:sz w:val="2"/>
                <w:szCs w:val="2"/>
              </w:rPr>
              <w:t>36F</w:t>
            </w:r>
            <w:r w:rsidR="00413811">
              <w:rPr>
                <w:rFonts w:ascii="ZWAdobeF" w:hAnsi="ZWAdobeF" w:cs="ZWAdobeF"/>
                <w:color w:val="auto"/>
                <w:sz w:val="2"/>
                <w:szCs w:val="2"/>
              </w:rPr>
              <w:t>36F</w:t>
            </w:r>
            <w:r w:rsidR="002C327C">
              <w:rPr>
                <w:rFonts w:ascii="ZWAdobeF" w:hAnsi="ZWAdobeF" w:cs="ZWAdobeF"/>
                <w:color w:val="auto"/>
                <w:sz w:val="2"/>
                <w:szCs w:val="2"/>
              </w:rPr>
              <w:t>36F</w:t>
            </w:r>
            <w:r w:rsidR="00D24A06">
              <w:rPr>
                <w:rFonts w:ascii="ZWAdobeF" w:hAnsi="ZWAdobeF" w:cs="ZWAdobeF"/>
                <w:color w:val="auto"/>
                <w:sz w:val="2"/>
                <w:szCs w:val="2"/>
              </w:rPr>
              <w:t>36F</w:t>
            </w:r>
            <w:r w:rsidRPr="00290642">
              <w:rPr>
                <w:rStyle w:val="FootnoteReference"/>
                <w:rFonts w:asciiTheme="minorHAnsi" w:hAnsiTheme="minorHAnsi" w:cstheme="minorHAnsi"/>
                <w:sz w:val="18"/>
                <w:szCs w:val="18"/>
              </w:rPr>
              <w:footnoteReference w:id="38"/>
            </w:r>
            <w:r w:rsidRPr="00290642">
              <w:rPr>
                <w:rFonts w:asciiTheme="minorHAnsi" w:hAnsiTheme="minorHAnsi" w:cstheme="minorHAnsi"/>
                <w:sz w:val="18"/>
                <w:szCs w:val="18"/>
              </w:rPr>
              <w:t xml:space="preserve"> </w:t>
            </w:r>
          </w:p>
        </w:tc>
        <w:tc>
          <w:tcPr>
            <w:tcW w:w="2552" w:type="dxa"/>
            <w:tcBorders>
              <w:top w:val="single" w:sz="12" w:space="0" w:color="auto"/>
            </w:tcBorders>
            <w:shd w:val="clear" w:color="auto" w:fill="auto"/>
            <w:hideMark/>
          </w:tcPr>
          <w:p w14:paraId="47F534A6" w14:textId="6D5E2307" w:rsidR="008B0046" w:rsidRPr="00290642"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90642">
              <w:rPr>
                <w:rFonts w:asciiTheme="minorHAnsi" w:hAnsiTheme="minorHAnsi" w:cstheme="minorHAnsi"/>
                <w:sz w:val="18"/>
                <w:szCs w:val="18"/>
              </w:rPr>
              <w:t>Energy Performance Certificate (</w:t>
            </w:r>
            <w:proofErr w:type="spellStart"/>
            <w:r w:rsidRPr="00290642">
              <w:rPr>
                <w:rFonts w:asciiTheme="minorHAnsi" w:hAnsiTheme="minorHAnsi" w:cstheme="minorHAnsi"/>
                <w:sz w:val="18"/>
                <w:szCs w:val="18"/>
              </w:rPr>
              <w:t>EPCs</w:t>
            </w:r>
            <w:proofErr w:type="spellEnd"/>
            <w:r w:rsidRPr="00290642">
              <w:rPr>
                <w:rFonts w:asciiTheme="minorHAnsi" w:hAnsiTheme="minorHAnsi" w:cstheme="minorHAnsi"/>
                <w:sz w:val="18"/>
                <w:szCs w:val="18"/>
              </w:rPr>
              <w:t xml:space="preserve">) </w:t>
            </w:r>
            <w:r w:rsidR="00EB6789" w:rsidRPr="00290642">
              <w:rPr>
                <w:rFonts w:asciiTheme="minorHAnsi" w:hAnsiTheme="minorHAnsi" w:cstheme="minorHAnsi"/>
                <w:sz w:val="18"/>
                <w:szCs w:val="18"/>
              </w:rPr>
              <w:t xml:space="preserve">previously </w:t>
            </w:r>
            <w:r w:rsidRPr="00290642">
              <w:rPr>
                <w:rFonts w:asciiTheme="minorHAnsi" w:hAnsiTheme="minorHAnsi" w:cstheme="minorHAnsi"/>
                <w:sz w:val="18"/>
                <w:szCs w:val="18"/>
              </w:rPr>
              <w:t>required when selling or leasing the property</w:t>
            </w:r>
            <w:r w:rsidR="00556449" w:rsidRPr="00290642">
              <w:rPr>
                <w:rFonts w:asciiTheme="minorHAnsi" w:hAnsiTheme="minorHAnsi" w:cstheme="minorHAnsi"/>
                <w:sz w:val="18"/>
                <w:szCs w:val="18"/>
              </w:rPr>
              <w:t xml:space="preserve">. </w:t>
            </w:r>
            <w:r w:rsidR="00EB6789" w:rsidRPr="00290642">
              <w:rPr>
                <w:rFonts w:asciiTheme="minorHAnsi" w:hAnsiTheme="minorHAnsi" w:cstheme="minorHAnsi"/>
                <w:sz w:val="18"/>
                <w:szCs w:val="18"/>
              </w:rPr>
              <w:t>As of Apr</w:t>
            </w:r>
            <w:r w:rsidR="005146A7" w:rsidRPr="00290642">
              <w:rPr>
                <w:rFonts w:asciiTheme="minorHAnsi" w:hAnsiTheme="minorHAnsi" w:cstheme="minorHAnsi"/>
                <w:sz w:val="18"/>
                <w:szCs w:val="18"/>
              </w:rPr>
              <w:t>il</w:t>
            </w:r>
            <w:r w:rsidR="00EB6789" w:rsidRPr="00290642">
              <w:rPr>
                <w:rFonts w:asciiTheme="minorHAnsi" w:hAnsiTheme="minorHAnsi" w:cstheme="minorHAnsi"/>
                <w:sz w:val="18"/>
                <w:szCs w:val="18"/>
              </w:rPr>
              <w:t xml:space="preserve"> 2023</w:t>
            </w:r>
            <w:r w:rsidR="005146A7" w:rsidRPr="00290642">
              <w:rPr>
                <w:rFonts w:asciiTheme="minorHAnsi" w:hAnsiTheme="minorHAnsi" w:cstheme="minorHAnsi"/>
                <w:sz w:val="18"/>
                <w:szCs w:val="18"/>
              </w:rPr>
              <w:t>,</w:t>
            </w:r>
            <w:r w:rsidR="00EB6789" w:rsidRPr="00290642">
              <w:rPr>
                <w:rFonts w:asciiTheme="minorHAnsi" w:hAnsiTheme="minorHAnsi" w:cstheme="minorHAnsi"/>
                <w:sz w:val="18"/>
                <w:szCs w:val="18"/>
              </w:rPr>
              <w:t xml:space="preserve"> </w:t>
            </w:r>
            <w:r w:rsidR="003536B6" w:rsidRPr="00290642">
              <w:rPr>
                <w:rFonts w:asciiTheme="minorHAnsi" w:hAnsiTheme="minorHAnsi" w:cstheme="minorHAnsi"/>
                <w:sz w:val="18"/>
                <w:szCs w:val="18"/>
              </w:rPr>
              <w:t xml:space="preserve">it is regular reporting, not upon sale, to capture </w:t>
            </w:r>
            <w:r w:rsidR="00717328" w:rsidRPr="00290642">
              <w:rPr>
                <w:rFonts w:asciiTheme="minorHAnsi" w:hAnsiTheme="minorHAnsi" w:cstheme="minorHAnsi"/>
                <w:sz w:val="18"/>
                <w:szCs w:val="18"/>
              </w:rPr>
              <w:t xml:space="preserve">buildings with long-term leases. </w:t>
            </w:r>
            <w:r w:rsidR="00556449" w:rsidRPr="00290642">
              <w:rPr>
                <w:rFonts w:asciiTheme="minorHAnsi" w:hAnsiTheme="minorHAnsi" w:cstheme="minorHAnsi"/>
                <w:sz w:val="18"/>
                <w:szCs w:val="18"/>
              </w:rPr>
              <w:t>Attribute based.</w:t>
            </w:r>
          </w:p>
        </w:tc>
        <w:tc>
          <w:tcPr>
            <w:tcW w:w="5103" w:type="dxa"/>
            <w:tcBorders>
              <w:top w:val="single" w:sz="12" w:space="0" w:color="auto"/>
            </w:tcBorders>
            <w:shd w:val="clear" w:color="auto" w:fill="auto"/>
            <w:hideMark/>
          </w:tcPr>
          <w:p w14:paraId="24F19D65" w14:textId="77777777" w:rsidR="008B0046" w:rsidRPr="00290642" w:rsidRDefault="008B0046" w:rsidP="00EE28B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90642">
              <w:rPr>
                <w:rFonts w:asciiTheme="minorHAnsi" w:hAnsiTheme="minorHAnsi" w:cstheme="minorHAnsi"/>
                <w:sz w:val="18"/>
                <w:szCs w:val="18"/>
              </w:rPr>
              <w:t xml:space="preserve">EPC rating required for buildings: </w:t>
            </w:r>
          </w:p>
          <w:p w14:paraId="64300468" w14:textId="77777777" w:rsidR="008B0046" w:rsidRPr="00EF40AE" w:rsidRDefault="008B0046" w:rsidP="00214D42">
            <w:pPr>
              <w:pStyle w:val="ListParagraph"/>
              <w:numPr>
                <w:ilvl w:val="0"/>
                <w:numId w:val="20"/>
              </w:numPr>
              <w:spacing w:line="254" w:lineRule="auto"/>
              <w:ind w:left="125" w:hanging="1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April 2008: 10,000 square metres of useful floor area</w:t>
            </w:r>
          </w:p>
          <w:p w14:paraId="2125E605" w14:textId="77777777" w:rsidR="008B0046" w:rsidRPr="00EF40AE" w:rsidRDefault="008B0046" w:rsidP="00214D42">
            <w:pPr>
              <w:pStyle w:val="ListParagraph"/>
              <w:numPr>
                <w:ilvl w:val="0"/>
                <w:numId w:val="20"/>
              </w:numPr>
              <w:spacing w:line="254" w:lineRule="auto"/>
              <w:ind w:left="125" w:hanging="1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July 2008, 2,500 square metres</w:t>
            </w:r>
          </w:p>
          <w:p w14:paraId="45F6184C" w14:textId="77777777" w:rsidR="008B0046" w:rsidRPr="00EF40AE" w:rsidRDefault="008B0046" w:rsidP="00214D42">
            <w:pPr>
              <w:pStyle w:val="ListParagraph"/>
              <w:numPr>
                <w:ilvl w:val="0"/>
                <w:numId w:val="20"/>
              </w:numPr>
              <w:spacing w:line="254" w:lineRule="auto"/>
              <w:ind w:left="125" w:hanging="1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 xml:space="preserve">Oct 2008: all buildings &gt;50 square metres </w:t>
            </w:r>
          </w:p>
          <w:p w14:paraId="0D0EE438" w14:textId="68CD33FE" w:rsidR="008B0046" w:rsidRPr="00EF40AE" w:rsidRDefault="008B0046" w:rsidP="00214D42">
            <w:pPr>
              <w:pStyle w:val="ListParagraph"/>
              <w:numPr>
                <w:ilvl w:val="0"/>
                <w:numId w:val="20"/>
              </w:numPr>
              <w:spacing w:line="254" w:lineRule="auto"/>
              <w:ind w:left="125" w:hanging="1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Jan 2013: display of EPC required for buildings &gt;500 square metres frequently visited by the publi</w:t>
            </w:r>
            <w:r w:rsidR="00F55DA5" w:rsidRPr="00EF40AE">
              <w:rPr>
                <w:rFonts w:asciiTheme="minorHAnsi" w:hAnsiTheme="minorHAnsi" w:cstheme="minorHAnsi"/>
                <w:color w:val="000000" w:themeColor="text1"/>
                <w:sz w:val="18"/>
                <w:szCs w:val="18"/>
              </w:rPr>
              <w:t>c</w:t>
            </w:r>
            <w:r w:rsidR="00723239" w:rsidRPr="00EF40AE">
              <w:rPr>
                <w:rFonts w:ascii="ZWAdobeF" w:hAnsi="ZWAdobeF" w:cs="ZWAdobeF"/>
                <w:color w:val="000000" w:themeColor="text1"/>
                <w:sz w:val="2"/>
                <w:szCs w:val="2"/>
              </w:rPr>
              <w:t>37F</w:t>
            </w:r>
            <w:r w:rsidR="00EE36E3" w:rsidRPr="00EF40AE">
              <w:rPr>
                <w:rFonts w:ascii="ZWAdobeF" w:hAnsi="ZWAdobeF" w:cs="ZWAdobeF"/>
                <w:color w:val="000000" w:themeColor="text1"/>
                <w:sz w:val="2"/>
                <w:szCs w:val="2"/>
              </w:rPr>
              <w:t>37F</w:t>
            </w:r>
            <w:r w:rsidR="00E94853" w:rsidRPr="00EF40AE">
              <w:rPr>
                <w:rFonts w:ascii="ZWAdobeF" w:hAnsi="ZWAdobeF" w:cs="ZWAdobeF"/>
                <w:color w:val="000000" w:themeColor="text1"/>
                <w:sz w:val="2"/>
                <w:szCs w:val="2"/>
              </w:rPr>
              <w:t>37F</w:t>
            </w:r>
            <w:r w:rsidR="00F73A23" w:rsidRPr="00EF40AE">
              <w:rPr>
                <w:rFonts w:ascii="ZWAdobeF" w:hAnsi="ZWAdobeF" w:cs="ZWAdobeF"/>
                <w:color w:val="000000" w:themeColor="text1"/>
                <w:sz w:val="2"/>
                <w:szCs w:val="2"/>
              </w:rPr>
              <w:t>37F</w:t>
            </w:r>
            <w:r w:rsidR="00626378">
              <w:rPr>
                <w:rFonts w:ascii="ZWAdobeF" w:hAnsi="ZWAdobeF" w:cs="ZWAdobeF"/>
                <w:sz w:val="2"/>
                <w:szCs w:val="2"/>
              </w:rPr>
              <w:t>37F</w:t>
            </w:r>
            <w:r w:rsidR="00413811">
              <w:rPr>
                <w:rFonts w:ascii="ZWAdobeF" w:hAnsi="ZWAdobeF" w:cs="ZWAdobeF"/>
                <w:sz w:val="2"/>
                <w:szCs w:val="2"/>
              </w:rPr>
              <w:t>37F</w:t>
            </w:r>
            <w:r w:rsidR="002C327C">
              <w:rPr>
                <w:rFonts w:ascii="ZWAdobeF" w:hAnsi="ZWAdobeF" w:cs="ZWAdobeF"/>
                <w:sz w:val="2"/>
                <w:szCs w:val="2"/>
              </w:rPr>
              <w:t>37F</w:t>
            </w:r>
            <w:r w:rsidR="00D24A06">
              <w:rPr>
                <w:rFonts w:ascii="ZWAdobeF" w:hAnsi="ZWAdobeF" w:cs="ZWAdobeF"/>
                <w:sz w:val="2"/>
                <w:szCs w:val="2"/>
              </w:rPr>
              <w:t>37F</w:t>
            </w:r>
            <w:r w:rsidRPr="00EF40AE">
              <w:rPr>
                <w:rStyle w:val="FootnoteReference"/>
                <w:rFonts w:asciiTheme="minorHAnsi" w:hAnsiTheme="minorHAnsi" w:cstheme="minorHAnsi"/>
                <w:color w:val="000000" w:themeColor="text1"/>
                <w:sz w:val="18"/>
                <w:szCs w:val="18"/>
              </w:rPr>
              <w:footnoteReference w:id="39"/>
            </w:r>
          </w:p>
          <w:p w14:paraId="0F55EC33" w14:textId="23507EFA" w:rsidR="008B0046" w:rsidRPr="00290642" w:rsidRDefault="0048120C">
            <w:pPr>
              <w:spacing w:line="25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90642">
              <w:rPr>
                <w:rFonts w:asciiTheme="minorHAnsi" w:hAnsiTheme="minorHAnsi" w:cstheme="minorHAnsi"/>
                <w:sz w:val="18"/>
                <w:szCs w:val="18"/>
              </w:rPr>
              <w:t xml:space="preserve">There are many excluded </w:t>
            </w:r>
            <w:r w:rsidR="007B1C91" w:rsidRPr="00290642">
              <w:rPr>
                <w:rFonts w:asciiTheme="minorHAnsi" w:hAnsiTheme="minorHAnsi" w:cstheme="minorHAnsi"/>
                <w:sz w:val="18"/>
                <w:szCs w:val="18"/>
              </w:rPr>
              <w:t>buildin</w:t>
            </w:r>
            <w:r w:rsidR="008C49D8" w:rsidRPr="00290642">
              <w:rPr>
                <w:rFonts w:asciiTheme="minorHAnsi" w:hAnsiTheme="minorHAnsi" w:cstheme="minorHAnsi"/>
                <w:sz w:val="18"/>
                <w:szCs w:val="18"/>
              </w:rPr>
              <w:t>gs</w:t>
            </w:r>
            <w:r w:rsidR="00723239" w:rsidRPr="00EF40AE">
              <w:rPr>
                <w:rFonts w:ascii="ZWAdobeF" w:hAnsi="ZWAdobeF" w:cs="ZWAdobeF"/>
                <w:sz w:val="2"/>
                <w:szCs w:val="2"/>
              </w:rPr>
              <w:t>38F</w:t>
            </w:r>
            <w:r w:rsidR="00EE36E3" w:rsidRPr="00EF40AE">
              <w:rPr>
                <w:rFonts w:ascii="ZWAdobeF" w:hAnsi="ZWAdobeF" w:cs="ZWAdobeF"/>
                <w:sz w:val="2"/>
                <w:szCs w:val="2"/>
              </w:rPr>
              <w:t>38F</w:t>
            </w:r>
            <w:r w:rsidR="00E94853" w:rsidRPr="00EF40AE">
              <w:rPr>
                <w:rFonts w:ascii="ZWAdobeF" w:hAnsi="ZWAdobeF" w:cs="ZWAdobeF"/>
                <w:sz w:val="2"/>
                <w:szCs w:val="2"/>
              </w:rPr>
              <w:t>38F</w:t>
            </w:r>
            <w:r w:rsidR="00F73A23" w:rsidRPr="00EF40AE">
              <w:rPr>
                <w:rFonts w:ascii="ZWAdobeF" w:hAnsi="ZWAdobeF" w:cs="ZWAdobeF"/>
                <w:sz w:val="2"/>
                <w:szCs w:val="2"/>
              </w:rPr>
              <w:t>38F</w:t>
            </w:r>
            <w:r w:rsidR="00626378">
              <w:rPr>
                <w:rFonts w:ascii="ZWAdobeF" w:hAnsi="ZWAdobeF" w:cs="ZWAdobeF"/>
                <w:color w:val="auto"/>
                <w:sz w:val="2"/>
                <w:szCs w:val="2"/>
              </w:rPr>
              <w:t>38F</w:t>
            </w:r>
            <w:r w:rsidR="00413811">
              <w:rPr>
                <w:rFonts w:ascii="ZWAdobeF" w:hAnsi="ZWAdobeF" w:cs="ZWAdobeF"/>
                <w:color w:val="auto"/>
                <w:sz w:val="2"/>
                <w:szCs w:val="2"/>
              </w:rPr>
              <w:t>38F</w:t>
            </w:r>
            <w:r w:rsidR="002C327C">
              <w:rPr>
                <w:rFonts w:ascii="ZWAdobeF" w:hAnsi="ZWAdobeF" w:cs="ZWAdobeF"/>
                <w:color w:val="auto"/>
                <w:sz w:val="2"/>
                <w:szCs w:val="2"/>
              </w:rPr>
              <w:t>38F</w:t>
            </w:r>
            <w:r w:rsidR="00D24A06">
              <w:rPr>
                <w:rFonts w:ascii="ZWAdobeF" w:hAnsi="ZWAdobeF" w:cs="ZWAdobeF"/>
                <w:color w:val="auto"/>
                <w:sz w:val="2"/>
                <w:szCs w:val="2"/>
              </w:rPr>
              <w:t>38F</w:t>
            </w:r>
            <w:r w:rsidR="008B0046" w:rsidRPr="00290642">
              <w:rPr>
                <w:rStyle w:val="FootnoteReference"/>
                <w:rFonts w:asciiTheme="minorHAnsi" w:hAnsiTheme="minorHAnsi" w:cstheme="minorHAnsi"/>
                <w:sz w:val="18"/>
                <w:szCs w:val="18"/>
              </w:rPr>
              <w:footnoteReference w:id="40"/>
            </w:r>
          </w:p>
        </w:tc>
      </w:tr>
      <w:tr w:rsidR="008B0046" w14:paraId="46E442BC" w14:textId="77777777" w:rsidTr="00EF40AE">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0272D037" w14:textId="77777777" w:rsidR="008B0046" w:rsidRPr="002D5FE2" w:rsidRDefault="008B0046">
            <w:pPr>
              <w:rPr>
                <w:rFonts w:asciiTheme="minorHAnsi" w:hAnsiTheme="minorHAnsi" w:cstheme="minorHAnsi"/>
                <w:sz w:val="18"/>
                <w:szCs w:val="18"/>
              </w:rPr>
            </w:pPr>
            <w:r w:rsidRPr="002D5FE2">
              <w:rPr>
                <w:rFonts w:asciiTheme="minorHAnsi" w:hAnsiTheme="minorHAnsi" w:cstheme="minorHAnsi"/>
                <w:sz w:val="18"/>
                <w:szCs w:val="18"/>
              </w:rPr>
              <w:t xml:space="preserve">UK </w:t>
            </w:r>
          </w:p>
        </w:tc>
        <w:tc>
          <w:tcPr>
            <w:tcW w:w="1109" w:type="dxa"/>
            <w:shd w:val="clear" w:color="auto" w:fill="auto"/>
            <w:hideMark/>
          </w:tcPr>
          <w:p w14:paraId="09AA77DE" w14:textId="6223FF48"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 xml:space="preserve">Industrial building energy performance framework, 2022 (in </w:t>
            </w:r>
            <w:r w:rsidRPr="002D5FE2">
              <w:rPr>
                <w:rFonts w:asciiTheme="minorHAnsi" w:hAnsiTheme="minorHAnsi" w:cstheme="minorHAnsi"/>
                <w:sz w:val="18"/>
                <w:szCs w:val="18"/>
              </w:rPr>
              <w:lastRenderedPageBreak/>
              <w:t>early stages)</w:t>
            </w:r>
            <w:r w:rsidR="00723239" w:rsidRPr="00EF40AE">
              <w:rPr>
                <w:rFonts w:ascii="ZWAdobeF" w:hAnsi="ZWAdobeF" w:cs="ZWAdobeF"/>
                <w:sz w:val="2"/>
                <w:szCs w:val="2"/>
              </w:rPr>
              <w:t>39F</w:t>
            </w:r>
            <w:r w:rsidR="00EE36E3" w:rsidRPr="00EF40AE">
              <w:rPr>
                <w:rFonts w:ascii="ZWAdobeF" w:hAnsi="ZWAdobeF" w:cs="ZWAdobeF"/>
                <w:sz w:val="2"/>
                <w:szCs w:val="2"/>
              </w:rPr>
              <w:t>39F</w:t>
            </w:r>
            <w:r w:rsidR="00E94853" w:rsidRPr="00EF40AE">
              <w:rPr>
                <w:rFonts w:ascii="ZWAdobeF" w:hAnsi="ZWAdobeF" w:cs="ZWAdobeF"/>
                <w:sz w:val="2"/>
                <w:szCs w:val="2"/>
              </w:rPr>
              <w:t>39F</w:t>
            </w:r>
            <w:r w:rsidR="00F73A23" w:rsidRPr="00EF40AE">
              <w:rPr>
                <w:rFonts w:ascii="ZWAdobeF" w:hAnsi="ZWAdobeF" w:cs="ZWAdobeF"/>
                <w:sz w:val="2"/>
                <w:szCs w:val="2"/>
              </w:rPr>
              <w:t>39F</w:t>
            </w:r>
            <w:r w:rsidR="00626378">
              <w:rPr>
                <w:rFonts w:ascii="ZWAdobeF" w:hAnsi="ZWAdobeF" w:cs="ZWAdobeF"/>
                <w:color w:val="auto"/>
                <w:sz w:val="2"/>
                <w:szCs w:val="2"/>
              </w:rPr>
              <w:t>39F</w:t>
            </w:r>
            <w:r w:rsidR="00413811">
              <w:rPr>
                <w:rFonts w:ascii="ZWAdobeF" w:hAnsi="ZWAdobeF" w:cs="ZWAdobeF"/>
                <w:color w:val="auto"/>
                <w:sz w:val="2"/>
                <w:szCs w:val="2"/>
              </w:rPr>
              <w:t>39F</w:t>
            </w:r>
            <w:r w:rsidR="002C327C">
              <w:rPr>
                <w:rFonts w:ascii="ZWAdobeF" w:hAnsi="ZWAdobeF" w:cs="ZWAdobeF"/>
                <w:color w:val="auto"/>
                <w:sz w:val="2"/>
                <w:szCs w:val="2"/>
              </w:rPr>
              <w:t>39F</w:t>
            </w:r>
            <w:r w:rsidR="00D24A06">
              <w:rPr>
                <w:rFonts w:ascii="ZWAdobeF" w:hAnsi="ZWAdobeF" w:cs="ZWAdobeF"/>
                <w:color w:val="auto"/>
                <w:sz w:val="2"/>
                <w:szCs w:val="2"/>
              </w:rPr>
              <w:t>39F</w:t>
            </w:r>
            <w:r w:rsidRPr="002D5FE2">
              <w:rPr>
                <w:rStyle w:val="FootnoteReference"/>
                <w:rFonts w:asciiTheme="minorHAnsi" w:hAnsiTheme="minorHAnsi" w:cstheme="minorHAnsi"/>
                <w:sz w:val="18"/>
                <w:szCs w:val="18"/>
              </w:rPr>
              <w:footnoteReference w:id="41"/>
            </w:r>
          </w:p>
        </w:tc>
        <w:tc>
          <w:tcPr>
            <w:tcW w:w="2552" w:type="dxa"/>
            <w:shd w:val="clear" w:color="auto" w:fill="auto"/>
            <w:hideMark/>
          </w:tcPr>
          <w:p w14:paraId="6BC547BB" w14:textId="4440EF5E"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lastRenderedPageBreak/>
              <w:t>Energy Performance Indicator (EPI), a standardised benchmarking tool developed specifically for industrial buildings.</w:t>
            </w:r>
            <w:r w:rsidR="00387F01" w:rsidRPr="002D5FE2">
              <w:rPr>
                <w:rFonts w:asciiTheme="minorHAnsi" w:hAnsiTheme="minorHAnsi" w:cstheme="minorHAnsi"/>
                <w:sz w:val="18"/>
                <w:szCs w:val="18"/>
              </w:rPr>
              <w:t xml:space="preserve"> Performance based.</w:t>
            </w:r>
          </w:p>
          <w:p w14:paraId="0A5DB7BB" w14:textId="77777777"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lastRenderedPageBreak/>
              <w:t xml:space="preserve">Annual assessment using an EPI (Similar to ENERGY </w:t>
            </w:r>
            <w:proofErr w:type="spellStart"/>
            <w:r w:rsidRPr="002D5FE2">
              <w:rPr>
                <w:rFonts w:asciiTheme="minorHAnsi" w:hAnsiTheme="minorHAnsi" w:cstheme="minorHAnsi"/>
                <w:sz w:val="18"/>
                <w:szCs w:val="18"/>
              </w:rPr>
              <w:t>STAR’s</w:t>
            </w:r>
            <w:proofErr w:type="spellEnd"/>
            <w:r w:rsidRPr="002D5FE2">
              <w:rPr>
                <w:rFonts w:asciiTheme="minorHAnsi" w:hAnsiTheme="minorHAnsi" w:cstheme="minorHAnsi"/>
                <w:sz w:val="18"/>
                <w:szCs w:val="18"/>
              </w:rPr>
              <w:t xml:space="preserve"> Portfolio manager) required. </w:t>
            </w:r>
          </w:p>
          <w:p w14:paraId="485E2D5E" w14:textId="77777777"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5103" w:type="dxa"/>
            <w:shd w:val="clear" w:color="auto" w:fill="auto"/>
          </w:tcPr>
          <w:p w14:paraId="5FFF3DF9" w14:textId="77777777"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lastRenderedPageBreak/>
              <w:t>Applies to large industrial and commercial buildings</w:t>
            </w:r>
            <w:r w:rsidRPr="002D5FE2">
              <w:rPr>
                <w:rFonts w:asciiTheme="minorHAnsi" w:hAnsiTheme="minorHAnsi" w:cstheme="minorHAnsi"/>
                <w:b/>
                <w:sz w:val="18"/>
                <w:szCs w:val="18"/>
              </w:rPr>
              <w:t xml:space="preserve"> </w:t>
            </w:r>
            <w:r w:rsidRPr="002D5FE2">
              <w:rPr>
                <w:rFonts w:asciiTheme="minorHAnsi" w:hAnsiTheme="minorHAnsi" w:cstheme="minorHAnsi"/>
                <w:sz w:val="18"/>
                <w:szCs w:val="18"/>
              </w:rPr>
              <w:t xml:space="preserve">&gt;1,000 square metres.  </w:t>
            </w:r>
          </w:p>
          <w:p w14:paraId="5DF95697" w14:textId="77777777"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Phase 1: Applies to only the office sector. Phase 2 and Phase 3: Cover all remaining sectors.</w:t>
            </w:r>
          </w:p>
          <w:p w14:paraId="417BD697" w14:textId="1A054B6B"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 xml:space="preserve">The rating is disclosed publicly, both in the building and online. Excluded buildings: Office owners or single </w:t>
            </w:r>
            <w:r w:rsidR="00894B66" w:rsidRPr="002D5FE2">
              <w:rPr>
                <w:rFonts w:asciiTheme="minorHAnsi" w:hAnsiTheme="minorHAnsi" w:cstheme="minorHAnsi"/>
                <w:sz w:val="18"/>
                <w:szCs w:val="18"/>
              </w:rPr>
              <w:t>are not</w:t>
            </w:r>
            <w:r w:rsidRPr="002D5FE2">
              <w:rPr>
                <w:rFonts w:asciiTheme="minorHAnsi" w:hAnsiTheme="minorHAnsi" w:cstheme="minorHAnsi"/>
                <w:sz w:val="18"/>
                <w:szCs w:val="18"/>
              </w:rPr>
              <w:t xml:space="preserve"> required to have their annual rating disclosed online if the disclosure of that </w:t>
            </w:r>
            <w:r w:rsidRPr="002D5FE2">
              <w:rPr>
                <w:rFonts w:asciiTheme="minorHAnsi" w:hAnsiTheme="minorHAnsi" w:cstheme="minorHAnsi"/>
                <w:sz w:val="18"/>
                <w:szCs w:val="18"/>
              </w:rPr>
              <w:lastRenderedPageBreak/>
              <w:t>rating, or associated information, could pose a risk to national security.</w:t>
            </w:r>
            <w:r w:rsidR="00723239" w:rsidRPr="00EF40AE">
              <w:rPr>
                <w:rFonts w:ascii="ZWAdobeF" w:hAnsi="ZWAdobeF" w:cs="ZWAdobeF"/>
                <w:sz w:val="2"/>
                <w:szCs w:val="2"/>
              </w:rPr>
              <w:t>40F</w:t>
            </w:r>
            <w:r w:rsidR="00EE36E3" w:rsidRPr="00EF40AE">
              <w:rPr>
                <w:rFonts w:ascii="ZWAdobeF" w:hAnsi="ZWAdobeF" w:cs="ZWAdobeF"/>
                <w:sz w:val="2"/>
                <w:szCs w:val="2"/>
              </w:rPr>
              <w:t>40F</w:t>
            </w:r>
            <w:r w:rsidR="00E94853" w:rsidRPr="00EF40AE">
              <w:rPr>
                <w:rFonts w:ascii="ZWAdobeF" w:hAnsi="ZWAdobeF" w:cs="ZWAdobeF"/>
                <w:sz w:val="2"/>
                <w:szCs w:val="2"/>
              </w:rPr>
              <w:t>40F</w:t>
            </w:r>
            <w:r w:rsidR="00F73A23" w:rsidRPr="00EF40AE">
              <w:rPr>
                <w:rFonts w:ascii="ZWAdobeF" w:hAnsi="ZWAdobeF" w:cs="ZWAdobeF"/>
                <w:sz w:val="2"/>
                <w:szCs w:val="2"/>
              </w:rPr>
              <w:t>40F</w:t>
            </w:r>
            <w:r w:rsidR="00626378">
              <w:rPr>
                <w:rFonts w:ascii="ZWAdobeF" w:hAnsi="ZWAdobeF" w:cs="ZWAdobeF"/>
                <w:color w:val="auto"/>
                <w:sz w:val="2"/>
                <w:szCs w:val="2"/>
              </w:rPr>
              <w:t>40F</w:t>
            </w:r>
            <w:r w:rsidR="00413811">
              <w:rPr>
                <w:rFonts w:ascii="ZWAdobeF" w:hAnsi="ZWAdobeF" w:cs="ZWAdobeF"/>
                <w:color w:val="auto"/>
                <w:sz w:val="2"/>
                <w:szCs w:val="2"/>
              </w:rPr>
              <w:t>40F</w:t>
            </w:r>
            <w:r w:rsidR="002C327C">
              <w:rPr>
                <w:rFonts w:ascii="ZWAdobeF" w:hAnsi="ZWAdobeF" w:cs="ZWAdobeF"/>
                <w:color w:val="auto"/>
                <w:sz w:val="2"/>
                <w:szCs w:val="2"/>
              </w:rPr>
              <w:t>40F</w:t>
            </w:r>
            <w:r w:rsidR="00D24A06">
              <w:rPr>
                <w:rFonts w:ascii="ZWAdobeF" w:hAnsi="ZWAdobeF" w:cs="ZWAdobeF"/>
                <w:color w:val="auto"/>
                <w:sz w:val="2"/>
                <w:szCs w:val="2"/>
              </w:rPr>
              <w:t>40F</w:t>
            </w:r>
            <w:r w:rsidRPr="002D5FE2">
              <w:rPr>
                <w:rStyle w:val="FootnoteReference"/>
                <w:rFonts w:asciiTheme="minorHAnsi" w:hAnsiTheme="minorHAnsi" w:cstheme="minorHAnsi"/>
                <w:sz w:val="18"/>
                <w:szCs w:val="18"/>
              </w:rPr>
              <w:footnoteReference w:id="42"/>
            </w:r>
          </w:p>
        </w:tc>
      </w:tr>
      <w:tr w:rsidR="008B0046" w14:paraId="05CB2242" w14:textId="77777777" w:rsidTr="00EF4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3DE10502" w14:textId="77777777" w:rsidR="008B0046" w:rsidRPr="002D5FE2" w:rsidRDefault="008B0046">
            <w:pPr>
              <w:rPr>
                <w:rFonts w:asciiTheme="minorHAnsi" w:hAnsiTheme="minorHAnsi" w:cstheme="minorHAnsi"/>
                <w:sz w:val="18"/>
                <w:szCs w:val="18"/>
              </w:rPr>
            </w:pPr>
            <w:r w:rsidRPr="002D5FE2">
              <w:rPr>
                <w:rFonts w:asciiTheme="minorHAnsi" w:hAnsiTheme="minorHAnsi" w:cstheme="minorHAnsi"/>
                <w:sz w:val="18"/>
                <w:szCs w:val="18"/>
              </w:rPr>
              <w:t>France</w:t>
            </w:r>
          </w:p>
        </w:tc>
        <w:tc>
          <w:tcPr>
            <w:tcW w:w="1109" w:type="dxa"/>
            <w:shd w:val="clear" w:color="auto" w:fill="auto"/>
            <w:hideMark/>
          </w:tcPr>
          <w:p w14:paraId="7C89E7FA" w14:textId="582B0EAD" w:rsidR="008B0046" w:rsidRPr="002D5FE2"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Article 175 of the French ELAN law and the Tertiary Decree, 2019</w:t>
            </w:r>
            <w:r w:rsidR="00723239" w:rsidRPr="00EF40AE">
              <w:rPr>
                <w:rFonts w:ascii="ZWAdobeF" w:hAnsi="ZWAdobeF" w:cs="ZWAdobeF"/>
                <w:sz w:val="2"/>
                <w:szCs w:val="2"/>
              </w:rPr>
              <w:t>41F</w:t>
            </w:r>
            <w:r w:rsidR="00EE36E3" w:rsidRPr="00EF40AE">
              <w:rPr>
                <w:rFonts w:ascii="ZWAdobeF" w:hAnsi="ZWAdobeF" w:cs="ZWAdobeF"/>
                <w:sz w:val="2"/>
                <w:szCs w:val="2"/>
              </w:rPr>
              <w:t>41F</w:t>
            </w:r>
            <w:r w:rsidR="00E94853" w:rsidRPr="00EF40AE">
              <w:rPr>
                <w:rFonts w:ascii="ZWAdobeF" w:hAnsi="ZWAdobeF" w:cs="ZWAdobeF"/>
                <w:sz w:val="2"/>
                <w:szCs w:val="2"/>
              </w:rPr>
              <w:t>41F</w:t>
            </w:r>
            <w:r w:rsidR="00F73A23" w:rsidRPr="00EF40AE">
              <w:rPr>
                <w:rFonts w:ascii="ZWAdobeF" w:hAnsi="ZWAdobeF" w:cs="ZWAdobeF"/>
                <w:sz w:val="2"/>
                <w:szCs w:val="2"/>
              </w:rPr>
              <w:t>41F</w:t>
            </w:r>
            <w:r w:rsidR="00626378">
              <w:rPr>
                <w:rFonts w:ascii="ZWAdobeF" w:hAnsi="ZWAdobeF" w:cs="ZWAdobeF"/>
                <w:color w:val="auto"/>
                <w:sz w:val="2"/>
                <w:szCs w:val="2"/>
              </w:rPr>
              <w:t>41F</w:t>
            </w:r>
            <w:r w:rsidR="00413811">
              <w:rPr>
                <w:rFonts w:ascii="ZWAdobeF" w:hAnsi="ZWAdobeF" w:cs="ZWAdobeF"/>
                <w:color w:val="auto"/>
                <w:sz w:val="2"/>
                <w:szCs w:val="2"/>
              </w:rPr>
              <w:t>41F</w:t>
            </w:r>
            <w:r w:rsidR="002C327C">
              <w:rPr>
                <w:rFonts w:ascii="ZWAdobeF" w:hAnsi="ZWAdobeF" w:cs="ZWAdobeF"/>
                <w:color w:val="auto"/>
                <w:sz w:val="2"/>
                <w:szCs w:val="2"/>
              </w:rPr>
              <w:t>41F</w:t>
            </w:r>
            <w:r w:rsidR="00D24A06">
              <w:rPr>
                <w:rFonts w:ascii="ZWAdobeF" w:hAnsi="ZWAdobeF" w:cs="ZWAdobeF"/>
                <w:color w:val="auto"/>
                <w:sz w:val="2"/>
                <w:szCs w:val="2"/>
              </w:rPr>
              <w:t>41F</w:t>
            </w:r>
            <w:r w:rsidRPr="002D5FE2">
              <w:rPr>
                <w:rStyle w:val="FootnoteReference"/>
                <w:rFonts w:asciiTheme="minorHAnsi" w:hAnsiTheme="minorHAnsi" w:cstheme="minorHAnsi"/>
                <w:sz w:val="18"/>
                <w:szCs w:val="18"/>
              </w:rPr>
              <w:footnoteReference w:id="43"/>
            </w:r>
          </w:p>
        </w:tc>
        <w:tc>
          <w:tcPr>
            <w:tcW w:w="2552" w:type="dxa"/>
            <w:shd w:val="clear" w:color="auto" w:fill="auto"/>
            <w:hideMark/>
          </w:tcPr>
          <w:p w14:paraId="5195623F" w14:textId="21249847" w:rsidR="008B0046" w:rsidRPr="002D5FE2"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Energy consumption data (from energy audits conducted every 10 years)</w:t>
            </w:r>
            <w:r w:rsidR="00767CF0" w:rsidRPr="002D5FE2">
              <w:rPr>
                <w:rFonts w:asciiTheme="minorHAnsi" w:hAnsiTheme="minorHAnsi" w:cstheme="minorHAnsi"/>
                <w:sz w:val="18"/>
                <w:szCs w:val="18"/>
              </w:rPr>
              <w:t xml:space="preserve">. Performance based. </w:t>
            </w:r>
          </w:p>
          <w:p w14:paraId="6AE6F19C" w14:textId="77777777" w:rsidR="008B0046" w:rsidRPr="002D5FE2" w:rsidRDefault="008B0046">
            <w:pPr>
              <w:spacing w:line="25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103" w:type="dxa"/>
            <w:shd w:val="clear" w:color="auto" w:fill="auto"/>
            <w:hideMark/>
          </w:tcPr>
          <w:p w14:paraId="38CFEF00" w14:textId="77777777" w:rsidR="008B0046" w:rsidRPr="002D5FE2"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Tertiary buildings (offices, shops, hotels, restaurants, hospitals, schools, and other public buildings) with surface area &gt;1,000 square metres.</w:t>
            </w:r>
          </w:p>
          <w:p w14:paraId="0B6B436F" w14:textId="2C44C7ED" w:rsidR="00710C58" w:rsidRPr="002D5FE2" w:rsidRDefault="008B0046" w:rsidP="00FE7E1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Owner/landlord must implement recommendations within specified timeframe and display the certificate in a visible location, such as the entrance or the lobby. The authorities may exempt certain property types from the obligation</w:t>
            </w:r>
            <w:r w:rsidR="00710C58" w:rsidRPr="002D5FE2">
              <w:rPr>
                <w:rFonts w:asciiTheme="minorHAnsi" w:hAnsiTheme="minorHAnsi" w:cstheme="minorHAnsi"/>
                <w:sz w:val="18"/>
                <w:szCs w:val="18"/>
              </w:rPr>
              <w:t xml:space="preserve"> if:</w:t>
            </w:r>
          </w:p>
          <w:p w14:paraId="2E9B8DC1" w14:textId="699F40A5" w:rsidR="00710C58" w:rsidRPr="00EF40AE" w:rsidRDefault="002F46BC" w:rsidP="00ED0EDE">
            <w:pPr>
              <w:pStyle w:val="ListParagraph"/>
              <w:numPr>
                <w:ilvl w:val="0"/>
                <w:numId w:val="20"/>
              </w:numPr>
              <w:spacing w:line="254" w:lineRule="auto"/>
              <w:ind w:left="125" w:hanging="1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 xml:space="preserve"> the process increases risk, </w:t>
            </w:r>
          </w:p>
          <w:p w14:paraId="7959605D" w14:textId="77777777" w:rsidR="00710C58" w:rsidRPr="00EF40AE" w:rsidRDefault="00E70D20" w:rsidP="00ED0EDE">
            <w:pPr>
              <w:pStyle w:val="ListParagraph"/>
              <w:numPr>
                <w:ilvl w:val="0"/>
                <w:numId w:val="20"/>
              </w:numPr>
              <w:spacing w:line="254" w:lineRule="auto"/>
              <w:ind w:left="125" w:hanging="1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 xml:space="preserve">installation requires technological difficulty that </w:t>
            </w:r>
            <w:r w:rsidR="00FC1A66" w:rsidRPr="00EF40AE">
              <w:rPr>
                <w:rFonts w:asciiTheme="minorHAnsi" w:hAnsiTheme="minorHAnsi" w:cstheme="minorHAnsi"/>
                <w:color w:val="000000" w:themeColor="text1"/>
                <w:sz w:val="18"/>
                <w:szCs w:val="18"/>
              </w:rPr>
              <w:t>cannot be overcome</w:t>
            </w:r>
            <w:r w:rsidR="00A3304A" w:rsidRPr="00EF40AE">
              <w:rPr>
                <w:rFonts w:asciiTheme="minorHAnsi" w:hAnsiTheme="minorHAnsi" w:cstheme="minorHAnsi"/>
                <w:color w:val="000000" w:themeColor="text1"/>
                <w:sz w:val="18"/>
                <w:szCs w:val="18"/>
              </w:rPr>
              <w:t xml:space="preserve"> or</w:t>
            </w:r>
            <w:r w:rsidR="00FE7E1F" w:rsidRPr="00EF40AE">
              <w:rPr>
                <w:rFonts w:asciiTheme="minorHAnsi" w:hAnsiTheme="minorHAnsi" w:cstheme="minorHAnsi"/>
                <w:color w:val="000000" w:themeColor="text1"/>
                <w:sz w:val="18"/>
                <w:szCs w:val="18"/>
              </w:rPr>
              <w:t xml:space="preserve"> under unacceptable costs, or </w:t>
            </w:r>
          </w:p>
          <w:p w14:paraId="020B47B8" w14:textId="06DEF5A4" w:rsidR="008B0046" w:rsidRPr="00EF40AE" w:rsidRDefault="00FE7E1F" w:rsidP="00A123F1">
            <w:pPr>
              <w:pStyle w:val="ListParagraph"/>
              <w:numPr>
                <w:ilvl w:val="0"/>
                <w:numId w:val="20"/>
              </w:numPr>
              <w:spacing w:line="254" w:lineRule="auto"/>
              <w:ind w:left="125" w:hanging="1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the building is in a protected area/area of historical monuments</w:t>
            </w:r>
            <w:r w:rsidR="00B57E7A" w:rsidRPr="00EF40AE">
              <w:rPr>
                <w:rFonts w:asciiTheme="minorHAnsi" w:hAnsiTheme="minorHAnsi" w:cstheme="minorHAnsi"/>
                <w:color w:val="000000" w:themeColor="text1"/>
                <w:sz w:val="18"/>
                <w:szCs w:val="18"/>
              </w:rPr>
              <w:t>.</w:t>
            </w:r>
            <w:r w:rsidR="00723239" w:rsidRPr="00EF40AE">
              <w:rPr>
                <w:rFonts w:ascii="ZWAdobeF" w:hAnsi="ZWAdobeF" w:cs="ZWAdobeF"/>
                <w:color w:val="000000" w:themeColor="text1"/>
                <w:sz w:val="2"/>
                <w:szCs w:val="2"/>
              </w:rPr>
              <w:t>42F</w:t>
            </w:r>
            <w:r w:rsidR="00EE36E3" w:rsidRPr="00EF40AE">
              <w:rPr>
                <w:rFonts w:ascii="ZWAdobeF" w:hAnsi="ZWAdobeF" w:cs="ZWAdobeF"/>
                <w:color w:val="000000" w:themeColor="text1"/>
                <w:sz w:val="2"/>
                <w:szCs w:val="2"/>
              </w:rPr>
              <w:t>42F</w:t>
            </w:r>
            <w:r w:rsidR="00BE18D1" w:rsidRPr="00EF40AE">
              <w:rPr>
                <w:rFonts w:ascii="ZWAdobeF" w:hAnsi="ZWAdobeF" w:cs="ZWAdobeF"/>
                <w:color w:val="000000" w:themeColor="text1"/>
                <w:sz w:val="2"/>
                <w:szCs w:val="2"/>
              </w:rPr>
              <w:t>42F</w:t>
            </w:r>
            <w:r w:rsidR="00F73A23" w:rsidRPr="00EF40AE">
              <w:rPr>
                <w:rFonts w:ascii="ZWAdobeF" w:hAnsi="ZWAdobeF" w:cs="ZWAdobeF"/>
                <w:color w:val="000000" w:themeColor="text1"/>
                <w:sz w:val="2"/>
                <w:szCs w:val="2"/>
              </w:rPr>
              <w:t>42F</w:t>
            </w:r>
            <w:r w:rsidR="00626378">
              <w:rPr>
                <w:rFonts w:ascii="ZWAdobeF" w:hAnsi="ZWAdobeF" w:cs="ZWAdobeF"/>
                <w:sz w:val="2"/>
                <w:szCs w:val="2"/>
              </w:rPr>
              <w:t>42F</w:t>
            </w:r>
            <w:r w:rsidR="00413811">
              <w:rPr>
                <w:rFonts w:ascii="ZWAdobeF" w:hAnsi="ZWAdobeF" w:cs="ZWAdobeF"/>
                <w:sz w:val="2"/>
                <w:szCs w:val="2"/>
              </w:rPr>
              <w:t>42F</w:t>
            </w:r>
            <w:r w:rsidR="002C327C">
              <w:rPr>
                <w:rFonts w:ascii="ZWAdobeF" w:hAnsi="ZWAdobeF" w:cs="ZWAdobeF"/>
                <w:sz w:val="2"/>
                <w:szCs w:val="2"/>
              </w:rPr>
              <w:t>42F</w:t>
            </w:r>
            <w:r w:rsidR="00D24A06">
              <w:rPr>
                <w:rFonts w:ascii="ZWAdobeF" w:hAnsi="ZWAdobeF" w:cs="ZWAdobeF"/>
                <w:sz w:val="2"/>
                <w:szCs w:val="2"/>
              </w:rPr>
              <w:t>42F</w:t>
            </w:r>
            <w:r w:rsidR="008B0046" w:rsidRPr="00EF40AE">
              <w:rPr>
                <w:rStyle w:val="FootnoteReference"/>
                <w:rFonts w:asciiTheme="minorHAnsi" w:hAnsiTheme="minorHAnsi" w:cstheme="minorHAnsi"/>
                <w:color w:val="000000" w:themeColor="text1"/>
                <w:sz w:val="18"/>
                <w:szCs w:val="18"/>
              </w:rPr>
              <w:footnoteReference w:id="44"/>
            </w:r>
          </w:p>
        </w:tc>
      </w:tr>
      <w:tr w:rsidR="008B0046" w14:paraId="2E3C359D" w14:textId="77777777" w:rsidTr="00EF40AE">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5CEDEB3C" w14:textId="77777777" w:rsidR="008B0046" w:rsidRPr="002D5FE2" w:rsidRDefault="008B0046">
            <w:pPr>
              <w:rPr>
                <w:rFonts w:asciiTheme="minorHAnsi" w:hAnsiTheme="minorHAnsi" w:cstheme="minorHAnsi"/>
                <w:sz w:val="18"/>
                <w:szCs w:val="18"/>
              </w:rPr>
            </w:pPr>
            <w:r w:rsidRPr="002D5FE2">
              <w:rPr>
                <w:rFonts w:asciiTheme="minorHAnsi" w:hAnsiTheme="minorHAnsi" w:cstheme="minorHAnsi"/>
                <w:sz w:val="18"/>
                <w:szCs w:val="18"/>
              </w:rPr>
              <w:t xml:space="preserve">Germany </w:t>
            </w:r>
          </w:p>
        </w:tc>
        <w:tc>
          <w:tcPr>
            <w:tcW w:w="1109" w:type="dxa"/>
            <w:shd w:val="clear" w:color="auto" w:fill="auto"/>
            <w:hideMark/>
          </w:tcPr>
          <w:p w14:paraId="2E66428B" w14:textId="3282528C" w:rsidR="008B0046" w:rsidRPr="002D5FE2"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D5FE2">
              <w:rPr>
                <w:rFonts w:asciiTheme="minorHAnsi" w:hAnsiTheme="minorHAnsi" w:cstheme="minorHAnsi"/>
                <w:sz w:val="18"/>
                <w:szCs w:val="18"/>
              </w:rPr>
              <w:t>Buildings Energy Act (</w:t>
            </w:r>
            <w:proofErr w:type="spellStart"/>
            <w:r w:rsidRPr="002D5FE2">
              <w:rPr>
                <w:rFonts w:asciiTheme="minorHAnsi" w:hAnsiTheme="minorHAnsi" w:cstheme="minorHAnsi"/>
                <w:sz w:val="18"/>
                <w:szCs w:val="18"/>
              </w:rPr>
              <w:t>GEG</w:t>
            </w:r>
            <w:proofErr w:type="spellEnd"/>
            <w:r w:rsidRPr="002D5FE2">
              <w:rPr>
                <w:rFonts w:asciiTheme="minorHAnsi" w:hAnsiTheme="minorHAnsi" w:cstheme="minorHAnsi"/>
                <w:sz w:val="18"/>
                <w:szCs w:val="18"/>
              </w:rPr>
              <w:t xml:space="preserve">), </w:t>
            </w:r>
            <w:proofErr w:type="spellStart"/>
            <w:r w:rsidRPr="002D5FE2">
              <w:rPr>
                <w:rFonts w:asciiTheme="minorHAnsi" w:hAnsiTheme="minorHAnsi" w:cstheme="minorHAnsi"/>
                <w:sz w:val="18"/>
                <w:szCs w:val="18"/>
              </w:rPr>
              <w:t>2020</w:t>
            </w:r>
            <w:r w:rsidR="00723239" w:rsidRPr="00EF40AE">
              <w:rPr>
                <w:rFonts w:ascii="ZWAdobeF" w:hAnsi="ZWAdobeF" w:cs="ZWAdobeF"/>
                <w:sz w:val="2"/>
                <w:szCs w:val="2"/>
              </w:rPr>
              <w:t>43F</w:t>
            </w:r>
            <w:r w:rsidR="00EE36E3" w:rsidRPr="00EF40AE">
              <w:rPr>
                <w:rFonts w:ascii="ZWAdobeF" w:hAnsi="ZWAdobeF" w:cs="ZWAdobeF"/>
                <w:sz w:val="2"/>
                <w:szCs w:val="2"/>
              </w:rPr>
              <w:t>43F</w:t>
            </w:r>
            <w:r w:rsidR="00BE18D1" w:rsidRPr="00EF40AE">
              <w:rPr>
                <w:rFonts w:ascii="ZWAdobeF" w:hAnsi="ZWAdobeF" w:cs="ZWAdobeF"/>
                <w:sz w:val="2"/>
                <w:szCs w:val="2"/>
              </w:rPr>
              <w:t>43F</w:t>
            </w:r>
            <w:r w:rsidR="00F73A23" w:rsidRPr="00EF40AE">
              <w:rPr>
                <w:rFonts w:ascii="ZWAdobeF" w:hAnsi="ZWAdobeF" w:cs="ZWAdobeF"/>
                <w:sz w:val="2"/>
                <w:szCs w:val="2"/>
              </w:rPr>
              <w:t>43F</w:t>
            </w:r>
            <w:r w:rsidR="00626378">
              <w:rPr>
                <w:rFonts w:ascii="ZWAdobeF" w:hAnsi="ZWAdobeF" w:cs="ZWAdobeF"/>
                <w:color w:val="auto"/>
                <w:sz w:val="2"/>
                <w:szCs w:val="2"/>
              </w:rPr>
              <w:t>43F</w:t>
            </w:r>
            <w:r w:rsidR="00413811">
              <w:rPr>
                <w:rFonts w:ascii="ZWAdobeF" w:hAnsi="ZWAdobeF" w:cs="ZWAdobeF"/>
                <w:color w:val="auto"/>
                <w:sz w:val="2"/>
                <w:szCs w:val="2"/>
              </w:rPr>
              <w:t>43F</w:t>
            </w:r>
            <w:r w:rsidR="002C327C">
              <w:rPr>
                <w:rFonts w:ascii="ZWAdobeF" w:hAnsi="ZWAdobeF" w:cs="ZWAdobeF"/>
                <w:color w:val="auto"/>
                <w:sz w:val="2"/>
                <w:szCs w:val="2"/>
              </w:rPr>
              <w:t>43F</w:t>
            </w:r>
            <w:r w:rsidR="00D24A06">
              <w:rPr>
                <w:rFonts w:ascii="ZWAdobeF" w:hAnsi="ZWAdobeF" w:cs="ZWAdobeF"/>
                <w:color w:val="auto"/>
                <w:sz w:val="2"/>
                <w:szCs w:val="2"/>
              </w:rPr>
              <w:t>43F</w:t>
            </w:r>
            <w:proofErr w:type="spellEnd"/>
            <w:r w:rsidRPr="002D5FE2">
              <w:rPr>
                <w:rStyle w:val="FootnoteReference"/>
                <w:rFonts w:asciiTheme="minorHAnsi" w:hAnsiTheme="minorHAnsi" w:cstheme="minorHAnsi"/>
                <w:sz w:val="18"/>
                <w:szCs w:val="18"/>
              </w:rPr>
              <w:footnoteReference w:id="45"/>
            </w:r>
          </w:p>
        </w:tc>
        <w:tc>
          <w:tcPr>
            <w:tcW w:w="2552" w:type="dxa"/>
            <w:shd w:val="clear" w:color="auto" w:fill="auto"/>
            <w:hideMark/>
          </w:tcPr>
          <w:p w14:paraId="24138C50" w14:textId="4CA580A7" w:rsidR="008B0046" w:rsidRPr="00DE0913"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2D5FE2">
              <w:rPr>
                <w:rFonts w:asciiTheme="minorHAnsi" w:hAnsiTheme="minorHAnsi" w:cstheme="minorHAnsi"/>
                <w:sz w:val="18"/>
                <w:szCs w:val="18"/>
              </w:rPr>
              <w:t>GEG</w:t>
            </w:r>
            <w:proofErr w:type="spellEnd"/>
            <w:r w:rsidRPr="002D5FE2">
              <w:rPr>
                <w:rFonts w:asciiTheme="minorHAnsi" w:hAnsiTheme="minorHAnsi" w:cstheme="minorHAnsi"/>
                <w:sz w:val="18"/>
                <w:szCs w:val="18"/>
              </w:rPr>
              <w:t xml:space="preserve"> rating system ranges from A+ (very efficient) to H (very inefficient)</w:t>
            </w:r>
            <w:proofErr w:type="spellStart"/>
            <w:r w:rsidR="00723239" w:rsidRPr="00EF40AE">
              <w:rPr>
                <w:rFonts w:ascii="ZWAdobeF" w:hAnsi="ZWAdobeF" w:cs="ZWAdobeF"/>
                <w:sz w:val="2"/>
                <w:szCs w:val="2"/>
              </w:rPr>
              <w:t>44F</w:t>
            </w:r>
            <w:r w:rsidR="00EE36E3" w:rsidRPr="00EF40AE">
              <w:rPr>
                <w:rFonts w:ascii="ZWAdobeF" w:hAnsi="ZWAdobeF" w:cs="ZWAdobeF"/>
                <w:sz w:val="2"/>
                <w:szCs w:val="2"/>
              </w:rPr>
              <w:t>44F</w:t>
            </w:r>
            <w:r w:rsidR="00BE18D1" w:rsidRPr="00EF40AE">
              <w:rPr>
                <w:rFonts w:ascii="ZWAdobeF" w:hAnsi="ZWAdobeF" w:cs="ZWAdobeF"/>
                <w:sz w:val="2"/>
                <w:szCs w:val="2"/>
              </w:rPr>
              <w:t>44F</w:t>
            </w:r>
            <w:r w:rsidR="00F73A23" w:rsidRPr="00EF40AE">
              <w:rPr>
                <w:rFonts w:ascii="ZWAdobeF" w:hAnsi="ZWAdobeF" w:cs="ZWAdobeF"/>
                <w:sz w:val="2"/>
                <w:szCs w:val="2"/>
              </w:rPr>
              <w:t>44F</w:t>
            </w:r>
            <w:r w:rsidR="00626378">
              <w:rPr>
                <w:rFonts w:ascii="ZWAdobeF" w:hAnsi="ZWAdobeF" w:cs="ZWAdobeF"/>
                <w:color w:val="auto"/>
                <w:sz w:val="2"/>
                <w:szCs w:val="2"/>
              </w:rPr>
              <w:t>44F</w:t>
            </w:r>
            <w:r w:rsidR="00413811">
              <w:rPr>
                <w:rFonts w:ascii="ZWAdobeF" w:hAnsi="ZWAdobeF" w:cs="ZWAdobeF"/>
                <w:color w:val="auto"/>
                <w:sz w:val="2"/>
                <w:szCs w:val="2"/>
              </w:rPr>
              <w:t>44F</w:t>
            </w:r>
            <w:r w:rsidR="002C327C">
              <w:rPr>
                <w:rFonts w:ascii="ZWAdobeF" w:hAnsi="ZWAdobeF" w:cs="ZWAdobeF"/>
                <w:color w:val="auto"/>
                <w:sz w:val="2"/>
                <w:szCs w:val="2"/>
              </w:rPr>
              <w:t>44F</w:t>
            </w:r>
            <w:r w:rsidR="00D24A06">
              <w:rPr>
                <w:rFonts w:ascii="ZWAdobeF" w:hAnsi="ZWAdobeF" w:cs="ZWAdobeF"/>
                <w:color w:val="auto"/>
                <w:sz w:val="2"/>
                <w:szCs w:val="2"/>
              </w:rPr>
              <w:t>44F</w:t>
            </w:r>
            <w:proofErr w:type="spellEnd"/>
            <w:r w:rsidRPr="002D5FE2">
              <w:rPr>
                <w:rStyle w:val="FootnoteReference"/>
                <w:rFonts w:asciiTheme="minorHAnsi" w:hAnsiTheme="minorHAnsi" w:cstheme="minorHAnsi"/>
                <w:sz w:val="18"/>
                <w:szCs w:val="18"/>
              </w:rPr>
              <w:footnoteReference w:id="46"/>
            </w:r>
            <w:r w:rsidRPr="00DE0913">
              <w:rPr>
                <w:rFonts w:asciiTheme="minorHAnsi" w:hAnsiTheme="minorHAnsi" w:cstheme="minorHAnsi"/>
                <w:sz w:val="18"/>
                <w:szCs w:val="18"/>
              </w:rPr>
              <w:t xml:space="preserve"> and </w:t>
            </w:r>
            <w:proofErr w:type="spellStart"/>
            <w:r w:rsidRPr="00DE0913">
              <w:rPr>
                <w:rFonts w:asciiTheme="minorHAnsi" w:hAnsiTheme="minorHAnsi" w:cstheme="minorHAnsi"/>
                <w:sz w:val="18"/>
                <w:szCs w:val="18"/>
              </w:rPr>
              <w:t>EPCs</w:t>
            </w:r>
            <w:proofErr w:type="spellEnd"/>
            <w:r w:rsidRPr="00DE0913">
              <w:rPr>
                <w:rFonts w:asciiTheme="minorHAnsi" w:hAnsiTheme="minorHAnsi" w:cstheme="minorHAnsi"/>
                <w:sz w:val="18"/>
                <w:szCs w:val="18"/>
              </w:rPr>
              <w:t>. Trigger points include new construction, major renovation that affects more than 25% of the building's envelope or technical systems, and sale or lease.</w:t>
            </w:r>
          </w:p>
          <w:p w14:paraId="57D6834A" w14:textId="1DC21F22" w:rsidR="008B0046" w:rsidRPr="00DE0913" w:rsidRDefault="004641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913">
              <w:rPr>
                <w:rFonts w:asciiTheme="minorHAnsi" w:hAnsiTheme="minorHAnsi" w:cstheme="minorHAnsi"/>
                <w:sz w:val="18"/>
                <w:szCs w:val="18"/>
              </w:rPr>
              <w:t>Performance and attribute based.</w:t>
            </w:r>
          </w:p>
        </w:tc>
        <w:tc>
          <w:tcPr>
            <w:tcW w:w="5103" w:type="dxa"/>
            <w:shd w:val="clear" w:color="auto" w:fill="auto"/>
          </w:tcPr>
          <w:p w14:paraId="5B778972" w14:textId="04455E90" w:rsidR="008B0046" w:rsidRPr="00DE0913"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913">
              <w:rPr>
                <w:rFonts w:asciiTheme="minorHAnsi" w:hAnsiTheme="minorHAnsi" w:cstheme="minorHAnsi"/>
                <w:sz w:val="18"/>
                <w:szCs w:val="18"/>
              </w:rPr>
              <w:t xml:space="preserve">Applies to all types and sizes of buildings which include residential, commercial, </w:t>
            </w:r>
            <w:proofErr w:type="gramStart"/>
            <w:r w:rsidRPr="00DE0913">
              <w:rPr>
                <w:rFonts w:asciiTheme="minorHAnsi" w:hAnsiTheme="minorHAnsi" w:cstheme="minorHAnsi"/>
                <w:sz w:val="18"/>
                <w:szCs w:val="18"/>
              </w:rPr>
              <w:t>public</w:t>
            </w:r>
            <w:proofErr w:type="gramEnd"/>
            <w:r w:rsidRPr="00DE0913">
              <w:rPr>
                <w:rFonts w:asciiTheme="minorHAnsi" w:hAnsiTheme="minorHAnsi" w:cstheme="minorHAnsi"/>
                <w:sz w:val="18"/>
                <w:szCs w:val="18"/>
              </w:rPr>
              <w:t xml:space="preserve"> and industrial buildings</w:t>
            </w:r>
            <w:r w:rsidR="00BB19D4" w:rsidRPr="00DE0913">
              <w:rPr>
                <w:rFonts w:asciiTheme="minorHAnsi" w:hAnsiTheme="minorHAnsi" w:cstheme="minorHAnsi"/>
                <w:sz w:val="18"/>
                <w:szCs w:val="18"/>
              </w:rPr>
              <w:t>.</w:t>
            </w:r>
            <w:r w:rsidR="00723239" w:rsidRPr="00EF40AE">
              <w:rPr>
                <w:rFonts w:ascii="ZWAdobeF" w:hAnsi="ZWAdobeF" w:cs="ZWAdobeF"/>
                <w:sz w:val="2"/>
                <w:szCs w:val="2"/>
              </w:rPr>
              <w:t>45F</w:t>
            </w:r>
            <w:r w:rsidR="00EE36E3" w:rsidRPr="00EF40AE">
              <w:rPr>
                <w:rFonts w:ascii="ZWAdobeF" w:hAnsi="ZWAdobeF" w:cs="ZWAdobeF"/>
                <w:sz w:val="2"/>
                <w:szCs w:val="2"/>
              </w:rPr>
              <w:t>45F</w:t>
            </w:r>
            <w:r w:rsidR="00BE18D1" w:rsidRPr="00EF40AE">
              <w:rPr>
                <w:rFonts w:ascii="ZWAdobeF" w:hAnsi="ZWAdobeF" w:cs="ZWAdobeF"/>
                <w:sz w:val="2"/>
                <w:szCs w:val="2"/>
              </w:rPr>
              <w:t>45F</w:t>
            </w:r>
            <w:r w:rsidR="00F73A23" w:rsidRPr="00EF40AE">
              <w:rPr>
                <w:rFonts w:ascii="ZWAdobeF" w:hAnsi="ZWAdobeF" w:cs="ZWAdobeF"/>
                <w:sz w:val="2"/>
                <w:szCs w:val="2"/>
              </w:rPr>
              <w:t>45F</w:t>
            </w:r>
            <w:r w:rsidR="00626378">
              <w:rPr>
                <w:rFonts w:ascii="ZWAdobeF" w:hAnsi="ZWAdobeF" w:cs="ZWAdobeF"/>
                <w:color w:val="auto"/>
                <w:sz w:val="2"/>
                <w:szCs w:val="2"/>
              </w:rPr>
              <w:t>45F</w:t>
            </w:r>
            <w:r w:rsidR="00413811">
              <w:rPr>
                <w:rFonts w:ascii="ZWAdobeF" w:hAnsi="ZWAdobeF" w:cs="ZWAdobeF"/>
                <w:color w:val="auto"/>
                <w:sz w:val="2"/>
                <w:szCs w:val="2"/>
              </w:rPr>
              <w:t>45F</w:t>
            </w:r>
            <w:r w:rsidR="002C327C">
              <w:rPr>
                <w:rFonts w:ascii="ZWAdobeF" w:hAnsi="ZWAdobeF" w:cs="ZWAdobeF"/>
                <w:color w:val="auto"/>
                <w:sz w:val="2"/>
                <w:szCs w:val="2"/>
              </w:rPr>
              <w:t>45F</w:t>
            </w:r>
            <w:r w:rsidR="00D24A06">
              <w:rPr>
                <w:rFonts w:ascii="ZWAdobeF" w:hAnsi="ZWAdobeF" w:cs="ZWAdobeF"/>
                <w:color w:val="auto"/>
                <w:sz w:val="2"/>
                <w:szCs w:val="2"/>
              </w:rPr>
              <w:t>45F</w:t>
            </w:r>
            <w:r w:rsidRPr="00DE0913">
              <w:rPr>
                <w:rStyle w:val="FootnoteReference"/>
                <w:rFonts w:asciiTheme="minorHAnsi" w:hAnsiTheme="minorHAnsi" w:cstheme="minorHAnsi"/>
                <w:sz w:val="18"/>
                <w:szCs w:val="18"/>
              </w:rPr>
              <w:footnoteReference w:id="47"/>
            </w:r>
            <w:r w:rsidRPr="00DE0913">
              <w:rPr>
                <w:rFonts w:asciiTheme="minorHAnsi" w:hAnsiTheme="minorHAnsi" w:cstheme="minorHAnsi"/>
                <w:sz w:val="18"/>
                <w:szCs w:val="18"/>
              </w:rPr>
              <w:t xml:space="preserve">  EPC must be made available to tenants, buyers and authorities upon request as well as displayed in a visible location of the building, such as the entrance or the lobby. </w:t>
            </w:r>
          </w:p>
          <w:p w14:paraId="13E0B2E8" w14:textId="77777777" w:rsidR="008B0046" w:rsidRPr="00DE0913"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E0913">
              <w:rPr>
                <w:rFonts w:asciiTheme="minorHAnsi" w:hAnsiTheme="minorHAnsi" w:cstheme="minorHAnsi"/>
                <w:sz w:val="18"/>
                <w:szCs w:val="18"/>
              </w:rPr>
              <w:t xml:space="preserve">The new </w:t>
            </w:r>
            <w:proofErr w:type="spellStart"/>
            <w:r w:rsidRPr="00DE0913">
              <w:rPr>
                <w:rFonts w:asciiTheme="minorHAnsi" w:hAnsiTheme="minorHAnsi" w:cstheme="minorHAnsi"/>
                <w:sz w:val="18"/>
                <w:szCs w:val="18"/>
              </w:rPr>
              <w:t>GEG</w:t>
            </w:r>
            <w:proofErr w:type="spellEnd"/>
            <w:r w:rsidRPr="00DE0913">
              <w:rPr>
                <w:rFonts w:asciiTheme="minorHAnsi" w:hAnsiTheme="minorHAnsi" w:cstheme="minorHAnsi"/>
                <w:sz w:val="18"/>
                <w:szCs w:val="18"/>
              </w:rPr>
              <w:t xml:space="preserve"> contains requirements for the energy performance of buildings, the creation and use of energy performance certificates, and the use of renewable energies in buildings.</w:t>
            </w:r>
          </w:p>
        </w:tc>
      </w:tr>
      <w:tr w:rsidR="008B0046" w14:paraId="5983D117" w14:textId="77777777" w:rsidTr="00EF4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56E19EE0" w14:textId="77777777" w:rsidR="008B0046" w:rsidRPr="00DE0913" w:rsidRDefault="008B0046">
            <w:pPr>
              <w:rPr>
                <w:rFonts w:asciiTheme="minorHAnsi" w:hAnsiTheme="minorHAnsi" w:cstheme="minorHAnsi"/>
                <w:sz w:val="18"/>
                <w:szCs w:val="18"/>
              </w:rPr>
            </w:pPr>
            <w:r w:rsidRPr="00DE0913">
              <w:rPr>
                <w:rFonts w:asciiTheme="minorHAnsi" w:hAnsiTheme="minorHAnsi" w:cstheme="minorHAnsi"/>
                <w:sz w:val="18"/>
                <w:szCs w:val="18"/>
              </w:rPr>
              <w:t>Washington, DC (US)</w:t>
            </w:r>
          </w:p>
        </w:tc>
        <w:tc>
          <w:tcPr>
            <w:tcW w:w="1109" w:type="dxa"/>
            <w:shd w:val="clear" w:color="auto" w:fill="auto"/>
            <w:hideMark/>
          </w:tcPr>
          <w:p w14:paraId="2898E539" w14:textId="74497042" w:rsidR="008B0046" w:rsidRPr="00DE0913"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E0913">
              <w:rPr>
                <w:rFonts w:asciiTheme="minorHAnsi" w:hAnsiTheme="minorHAnsi" w:cstheme="minorHAnsi"/>
                <w:sz w:val="18"/>
                <w:szCs w:val="18"/>
              </w:rPr>
              <w:t>Clean and Affordable Energy Act (</w:t>
            </w:r>
            <w:proofErr w:type="spellStart"/>
            <w:r w:rsidRPr="00DE0913">
              <w:rPr>
                <w:rFonts w:asciiTheme="minorHAnsi" w:hAnsiTheme="minorHAnsi" w:cstheme="minorHAnsi"/>
                <w:sz w:val="18"/>
                <w:szCs w:val="18"/>
              </w:rPr>
              <w:t>CAEA</w:t>
            </w:r>
            <w:proofErr w:type="spellEnd"/>
            <w:r w:rsidRPr="00DE0913">
              <w:rPr>
                <w:rFonts w:asciiTheme="minorHAnsi" w:hAnsiTheme="minorHAnsi" w:cstheme="minorHAnsi"/>
                <w:sz w:val="18"/>
                <w:szCs w:val="18"/>
              </w:rPr>
              <w:t xml:space="preserve">) of </w:t>
            </w:r>
            <w:proofErr w:type="spellStart"/>
            <w:r w:rsidRPr="00DE0913">
              <w:rPr>
                <w:rFonts w:asciiTheme="minorHAnsi" w:hAnsiTheme="minorHAnsi" w:cstheme="minorHAnsi"/>
                <w:sz w:val="18"/>
                <w:szCs w:val="18"/>
              </w:rPr>
              <w:t>2008</w:t>
            </w:r>
            <w:r w:rsidR="00723239" w:rsidRPr="00EF40AE">
              <w:rPr>
                <w:rFonts w:ascii="ZWAdobeF" w:hAnsi="ZWAdobeF" w:cs="ZWAdobeF"/>
                <w:sz w:val="2"/>
                <w:szCs w:val="2"/>
              </w:rPr>
              <w:t>46F</w:t>
            </w:r>
            <w:r w:rsidR="00EE36E3" w:rsidRPr="00EF40AE">
              <w:rPr>
                <w:rFonts w:ascii="ZWAdobeF" w:hAnsi="ZWAdobeF" w:cs="ZWAdobeF"/>
                <w:sz w:val="2"/>
                <w:szCs w:val="2"/>
              </w:rPr>
              <w:t>46F</w:t>
            </w:r>
            <w:r w:rsidR="00BE18D1" w:rsidRPr="00EF40AE">
              <w:rPr>
                <w:rFonts w:ascii="ZWAdobeF" w:hAnsi="ZWAdobeF" w:cs="ZWAdobeF"/>
                <w:sz w:val="2"/>
                <w:szCs w:val="2"/>
              </w:rPr>
              <w:t>46F</w:t>
            </w:r>
            <w:r w:rsidR="00F73A23" w:rsidRPr="00EF40AE">
              <w:rPr>
                <w:rFonts w:ascii="ZWAdobeF" w:hAnsi="ZWAdobeF" w:cs="ZWAdobeF"/>
                <w:sz w:val="2"/>
                <w:szCs w:val="2"/>
              </w:rPr>
              <w:t>46F</w:t>
            </w:r>
            <w:r w:rsidR="00626378">
              <w:rPr>
                <w:rFonts w:ascii="ZWAdobeF" w:hAnsi="ZWAdobeF" w:cs="ZWAdobeF"/>
                <w:color w:val="auto"/>
                <w:sz w:val="2"/>
                <w:szCs w:val="2"/>
              </w:rPr>
              <w:t>46F</w:t>
            </w:r>
            <w:r w:rsidR="00413811">
              <w:rPr>
                <w:rFonts w:ascii="ZWAdobeF" w:hAnsi="ZWAdobeF" w:cs="ZWAdobeF"/>
                <w:color w:val="auto"/>
                <w:sz w:val="2"/>
                <w:szCs w:val="2"/>
              </w:rPr>
              <w:t>46F</w:t>
            </w:r>
            <w:r w:rsidR="002C327C">
              <w:rPr>
                <w:rFonts w:ascii="ZWAdobeF" w:hAnsi="ZWAdobeF" w:cs="ZWAdobeF"/>
                <w:color w:val="auto"/>
                <w:sz w:val="2"/>
                <w:szCs w:val="2"/>
              </w:rPr>
              <w:t>46F</w:t>
            </w:r>
            <w:r w:rsidR="00D24A06">
              <w:rPr>
                <w:rFonts w:ascii="ZWAdobeF" w:hAnsi="ZWAdobeF" w:cs="ZWAdobeF"/>
                <w:color w:val="auto"/>
                <w:sz w:val="2"/>
                <w:szCs w:val="2"/>
              </w:rPr>
              <w:t>46F</w:t>
            </w:r>
            <w:proofErr w:type="spellEnd"/>
            <w:r w:rsidRPr="00DE0913">
              <w:rPr>
                <w:rStyle w:val="FootnoteReference"/>
                <w:rFonts w:asciiTheme="minorHAnsi" w:hAnsiTheme="minorHAnsi" w:cstheme="minorHAnsi"/>
                <w:sz w:val="18"/>
                <w:szCs w:val="18"/>
              </w:rPr>
              <w:footnoteReference w:id="48"/>
            </w:r>
            <w:r w:rsidRPr="00DE0913">
              <w:rPr>
                <w:rFonts w:asciiTheme="minorHAnsi" w:hAnsiTheme="minorHAnsi" w:cstheme="minorHAnsi"/>
                <w:sz w:val="18"/>
                <w:szCs w:val="18"/>
              </w:rPr>
              <w:t xml:space="preserve"> with updates in the 2018 Act</w:t>
            </w:r>
          </w:p>
        </w:tc>
        <w:tc>
          <w:tcPr>
            <w:tcW w:w="2552" w:type="dxa"/>
            <w:shd w:val="clear" w:color="auto" w:fill="auto"/>
            <w:hideMark/>
          </w:tcPr>
          <w:p w14:paraId="0C9E7A20" w14:textId="40648BCA" w:rsidR="008B0046" w:rsidRPr="00DE0913"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E0913">
              <w:rPr>
                <w:rFonts w:asciiTheme="minorHAnsi" w:hAnsiTheme="minorHAnsi" w:cstheme="minorHAnsi"/>
                <w:sz w:val="18"/>
                <w:szCs w:val="18"/>
              </w:rPr>
              <w:t>ENERGY STAR</w:t>
            </w:r>
            <w:r w:rsidR="00113E22" w:rsidRPr="00DE0913">
              <w:rPr>
                <w:rFonts w:asciiTheme="minorHAnsi" w:hAnsiTheme="minorHAnsi" w:cstheme="minorHAnsi"/>
                <w:sz w:val="18"/>
                <w:szCs w:val="18"/>
              </w:rPr>
              <w:t>,</w:t>
            </w:r>
            <w:r w:rsidR="00723239" w:rsidRPr="00EF40AE">
              <w:rPr>
                <w:rFonts w:ascii="ZWAdobeF" w:hAnsi="ZWAdobeF" w:cs="ZWAdobeF"/>
                <w:sz w:val="2"/>
                <w:szCs w:val="2"/>
              </w:rPr>
              <w:t>47F</w:t>
            </w:r>
            <w:r w:rsidR="00EE36E3" w:rsidRPr="00EF40AE">
              <w:rPr>
                <w:rFonts w:ascii="ZWAdobeF" w:hAnsi="ZWAdobeF" w:cs="ZWAdobeF"/>
                <w:sz w:val="2"/>
                <w:szCs w:val="2"/>
              </w:rPr>
              <w:t>47F</w:t>
            </w:r>
            <w:r w:rsidR="00BE18D1" w:rsidRPr="00EF40AE">
              <w:rPr>
                <w:rFonts w:ascii="ZWAdobeF" w:hAnsi="ZWAdobeF" w:cs="ZWAdobeF"/>
                <w:sz w:val="2"/>
                <w:szCs w:val="2"/>
              </w:rPr>
              <w:t>47F</w:t>
            </w:r>
            <w:r w:rsidR="00F73A23" w:rsidRPr="00EF40AE">
              <w:rPr>
                <w:rFonts w:ascii="ZWAdobeF" w:hAnsi="ZWAdobeF" w:cs="ZWAdobeF"/>
                <w:sz w:val="2"/>
                <w:szCs w:val="2"/>
              </w:rPr>
              <w:t>47F</w:t>
            </w:r>
            <w:r w:rsidR="00626378">
              <w:rPr>
                <w:rFonts w:ascii="ZWAdobeF" w:hAnsi="ZWAdobeF" w:cs="ZWAdobeF"/>
                <w:color w:val="auto"/>
                <w:sz w:val="2"/>
                <w:szCs w:val="2"/>
              </w:rPr>
              <w:t>47F</w:t>
            </w:r>
            <w:r w:rsidR="00413811">
              <w:rPr>
                <w:rFonts w:ascii="ZWAdobeF" w:hAnsi="ZWAdobeF" w:cs="ZWAdobeF"/>
                <w:color w:val="auto"/>
                <w:sz w:val="2"/>
                <w:szCs w:val="2"/>
              </w:rPr>
              <w:t>47F</w:t>
            </w:r>
            <w:r w:rsidR="002C327C">
              <w:rPr>
                <w:rFonts w:ascii="ZWAdobeF" w:hAnsi="ZWAdobeF" w:cs="ZWAdobeF"/>
                <w:color w:val="auto"/>
                <w:sz w:val="2"/>
                <w:szCs w:val="2"/>
              </w:rPr>
              <w:t>47F</w:t>
            </w:r>
            <w:r w:rsidR="00D24A06">
              <w:rPr>
                <w:rFonts w:ascii="ZWAdobeF" w:hAnsi="ZWAdobeF" w:cs="ZWAdobeF"/>
                <w:color w:val="auto"/>
                <w:sz w:val="2"/>
                <w:szCs w:val="2"/>
              </w:rPr>
              <w:t>47F</w:t>
            </w:r>
            <w:r w:rsidRPr="00DE0913">
              <w:rPr>
                <w:rStyle w:val="FootnoteReference"/>
                <w:rFonts w:asciiTheme="minorHAnsi" w:hAnsiTheme="minorHAnsi" w:cstheme="minorHAnsi"/>
                <w:sz w:val="18"/>
                <w:szCs w:val="18"/>
              </w:rPr>
              <w:footnoteReference w:id="49"/>
            </w:r>
            <w:r w:rsidRPr="00DE0913">
              <w:rPr>
                <w:rFonts w:asciiTheme="minorHAnsi" w:hAnsiTheme="minorHAnsi" w:cstheme="minorHAnsi"/>
                <w:sz w:val="18"/>
                <w:szCs w:val="18"/>
              </w:rPr>
              <w:t xml:space="preserve"> Blended Custom Source Energy Use Intensity (EUI)</w:t>
            </w:r>
            <w:r w:rsidR="00002F0F" w:rsidRPr="00DE0913">
              <w:rPr>
                <w:rFonts w:asciiTheme="minorHAnsi" w:hAnsiTheme="minorHAnsi" w:cstheme="minorHAnsi"/>
                <w:sz w:val="18"/>
                <w:szCs w:val="18"/>
              </w:rPr>
              <w:t xml:space="preserve">. Performance based. </w:t>
            </w:r>
          </w:p>
          <w:p w14:paraId="36BFDCDE" w14:textId="77777777" w:rsidR="008B0046" w:rsidRPr="00DE0913"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988EFCF" w14:textId="77777777" w:rsidR="008B0046" w:rsidRPr="00DE0913"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103" w:type="dxa"/>
            <w:shd w:val="clear" w:color="auto" w:fill="auto"/>
          </w:tcPr>
          <w:p w14:paraId="1564DD20" w14:textId="6C5388F1"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E0913">
              <w:rPr>
                <w:rFonts w:asciiTheme="minorHAnsi" w:hAnsiTheme="minorHAnsi" w:cstheme="minorHAnsi"/>
                <w:sz w:val="18"/>
                <w:szCs w:val="18"/>
              </w:rPr>
              <w:t xml:space="preserve">Currently applies buildings with a </w:t>
            </w:r>
            <w:proofErr w:type="spellStart"/>
            <w:r w:rsidRPr="00DE0913">
              <w:rPr>
                <w:rFonts w:asciiTheme="minorHAnsi" w:hAnsiTheme="minorHAnsi" w:cstheme="minorHAnsi"/>
                <w:sz w:val="18"/>
                <w:szCs w:val="18"/>
              </w:rPr>
              <w:t>GFA</w:t>
            </w:r>
            <w:proofErr w:type="spellEnd"/>
            <w:r w:rsidRPr="00DE0913">
              <w:rPr>
                <w:rFonts w:asciiTheme="minorHAnsi" w:hAnsiTheme="minorHAnsi" w:cstheme="minorHAnsi"/>
                <w:sz w:val="18"/>
                <w:szCs w:val="18"/>
              </w:rPr>
              <w:t xml:space="preserve"> of 25,000 square feet (~2,300 square metres) for all private buildings and 10,000 square feet (~900 square metres) for district-owned buildings. </w:t>
            </w:r>
            <w:r w:rsidR="00FE7E1F" w:rsidRPr="00DE0913">
              <w:rPr>
                <w:rFonts w:asciiTheme="minorHAnsi" w:hAnsiTheme="minorHAnsi" w:cstheme="minorHAnsi"/>
                <w:sz w:val="18"/>
                <w:szCs w:val="18"/>
              </w:rPr>
              <w:t>R</w:t>
            </w:r>
            <w:r w:rsidRPr="00DE0913">
              <w:rPr>
                <w:rFonts w:asciiTheme="minorHAnsi" w:hAnsiTheme="minorHAnsi" w:cstheme="minorHAnsi"/>
                <w:sz w:val="18"/>
                <w:szCs w:val="18"/>
              </w:rPr>
              <w:t xml:space="preserve">equired to benchmark using ENERGY STAR </w:t>
            </w:r>
            <w:r w:rsidRPr="00DE0913">
              <w:rPr>
                <w:rFonts w:asciiTheme="minorHAnsi" w:hAnsiTheme="minorHAnsi" w:cstheme="minorHAnsi"/>
                <w:i/>
                <w:sz w:val="18"/>
                <w:szCs w:val="18"/>
              </w:rPr>
              <w:t>Portfolio Manager</w:t>
            </w:r>
            <w:r w:rsidRPr="00DE0913">
              <w:rPr>
                <w:rFonts w:asciiTheme="minorHAnsi" w:hAnsiTheme="minorHAnsi" w:cstheme="minorHAnsi"/>
                <w:sz w:val="18"/>
                <w:szCs w:val="18"/>
              </w:rPr>
              <w:t xml:space="preserve"> and the results reported annually to the Dept of the </w:t>
            </w:r>
            <w:r w:rsidR="00FE7E1F" w:rsidRPr="00DE0913">
              <w:rPr>
                <w:rFonts w:asciiTheme="minorHAnsi" w:hAnsiTheme="minorHAnsi" w:cstheme="minorHAnsi"/>
                <w:sz w:val="18"/>
                <w:szCs w:val="18"/>
              </w:rPr>
              <w:t>Env.</w:t>
            </w:r>
            <w:r w:rsidRPr="00DE0913">
              <w:rPr>
                <w:rFonts w:asciiTheme="minorHAnsi" w:hAnsiTheme="minorHAnsi" w:cstheme="minorHAnsi"/>
                <w:sz w:val="18"/>
                <w:szCs w:val="18"/>
              </w:rPr>
              <w:t xml:space="preserve"> for public disclosure</w:t>
            </w:r>
            <w:r w:rsidR="008D67C8" w:rsidRPr="00DE0913">
              <w:rPr>
                <w:rFonts w:asciiTheme="minorHAnsi" w:hAnsiTheme="minorHAnsi" w:cstheme="minorHAnsi"/>
                <w:sz w:val="18"/>
                <w:szCs w:val="18"/>
              </w:rPr>
              <w:t>.</w:t>
            </w:r>
            <w:r w:rsidR="00723239" w:rsidRPr="00EF40AE">
              <w:rPr>
                <w:rFonts w:ascii="ZWAdobeF" w:hAnsi="ZWAdobeF" w:cs="ZWAdobeF"/>
                <w:sz w:val="2"/>
                <w:szCs w:val="2"/>
              </w:rPr>
              <w:t>48F</w:t>
            </w:r>
            <w:r w:rsidR="00EE36E3" w:rsidRPr="00EF40AE">
              <w:rPr>
                <w:rFonts w:ascii="ZWAdobeF" w:hAnsi="ZWAdobeF" w:cs="ZWAdobeF"/>
                <w:sz w:val="2"/>
                <w:szCs w:val="2"/>
              </w:rPr>
              <w:t>48F</w:t>
            </w:r>
            <w:r w:rsidR="00BE18D1" w:rsidRPr="00EF40AE">
              <w:rPr>
                <w:rFonts w:ascii="ZWAdobeF" w:hAnsi="ZWAdobeF" w:cs="ZWAdobeF"/>
                <w:sz w:val="2"/>
                <w:szCs w:val="2"/>
              </w:rPr>
              <w:t>48F</w:t>
            </w:r>
            <w:r w:rsidR="00F73A23" w:rsidRPr="00EF40AE">
              <w:rPr>
                <w:rFonts w:ascii="ZWAdobeF" w:hAnsi="ZWAdobeF" w:cs="ZWAdobeF"/>
                <w:sz w:val="2"/>
                <w:szCs w:val="2"/>
              </w:rPr>
              <w:t>48F</w:t>
            </w:r>
            <w:r w:rsidR="00626378">
              <w:rPr>
                <w:rFonts w:ascii="ZWAdobeF" w:hAnsi="ZWAdobeF" w:cs="ZWAdobeF"/>
                <w:color w:val="auto"/>
                <w:sz w:val="2"/>
                <w:szCs w:val="2"/>
              </w:rPr>
              <w:t>48F</w:t>
            </w:r>
            <w:r w:rsidR="00413811">
              <w:rPr>
                <w:rFonts w:ascii="ZWAdobeF" w:hAnsi="ZWAdobeF" w:cs="ZWAdobeF"/>
                <w:color w:val="auto"/>
                <w:sz w:val="2"/>
                <w:szCs w:val="2"/>
              </w:rPr>
              <w:t>48F</w:t>
            </w:r>
            <w:r w:rsidR="002C327C">
              <w:rPr>
                <w:rFonts w:ascii="ZWAdobeF" w:hAnsi="ZWAdobeF" w:cs="ZWAdobeF"/>
                <w:color w:val="auto"/>
                <w:sz w:val="2"/>
                <w:szCs w:val="2"/>
              </w:rPr>
              <w:t>48F</w:t>
            </w:r>
            <w:r w:rsidR="00D24A06">
              <w:rPr>
                <w:rFonts w:ascii="ZWAdobeF" w:hAnsi="ZWAdobeF" w:cs="ZWAdobeF"/>
                <w:color w:val="auto"/>
                <w:sz w:val="2"/>
                <w:szCs w:val="2"/>
              </w:rPr>
              <w:t>48F</w:t>
            </w:r>
            <w:r w:rsidRPr="00527DBC">
              <w:rPr>
                <w:rStyle w:val="FootnoteReference"/>
                <w:rFonts w:asciiTheme="minorHAnsi" w:hAnsiTheme="minorHAnsi" w:cstheme="minorHAnsi"/>
                <w:sz w:val="18"/>
                <w:szCs w:val="18"/>
              </w:rPr>
              <w:footnoteReference w:id="50"/>
            </w:r>
            <w:r w:rsidRPr="00EF40AE">
              <w:rPr>
                <w:rFonts w:asciiTheme="minorHAnsi" w:hAnsiTheme="minorHAnsi" w:cstheme="minorHAnsi"/>
                <w:sz w:val="2"/>
                <w:szCs w:val="2"/>
              </w:rPr>
              <w:t>.</w:t>
            </w:r>
            <w:r w:rsidRPr="00527DBC">
              <w:rPr>
                <w:rFonts w:asciiTheme="minorHAnsi" w:hAnsiTheme="minorHAnsi" w:cstheme="minorHAnsi"/>
                <w:sz w:val="18"/>
                <w:szCs w:val="18"/>
              </w:rPr>
              <w:t xml:space="preserve"> </w:t>
            </w:r>
            <w:r w:rsidR="00FE7E1F" w:rsidRPr="00527DBC">
              <w:rPr>
                <w:rFonts w:asciiTheme="minorHAnsi" w:hAnsiTheme="minorHAnsi" w:cstheme="minorHAnsi"/>
                <w:sz w:val="18"/>
                <w:szCs w:val="18"/>
              </w:rPr>
              <w:t>I</w:t>
            </w:r>
            <w:r w:rsidRPr="00527DBC">
              <w:rPr>
                <w:rFonts w:asciiTheme="minorHAnsi" w:hAnsiTheme="minorHAnsi" w:cstheme="minorHAnsi"/>
                <w:sz w:val="18"/>
                <w:szCs w:val="18"/>
              </w:rPr>
              <w:t xml:space="preserve">nitially applied to privately-owned buildings with </w:t>
            </w:r>
            <w:proofErr w:type="spellStart"/>
            <w:r w:rsidRPr="00527DBC">
              <w:rPr>
                <w:rFonts w:asciiTheme="minorHAnsi" w:hAnsiTheme="minorHAnsi" w:cstheme="minorHAnsi"/>
                <w:sz w:val="18"/>
                <w:szCs w:val="18"/>
              </w:rPr>
              <w:t>GFA</w:t>
            </w:r>
            <w:proofErr w:type="spellEnd"/>
            <w:r w:rsidRPr="00527DBC">
              <w:rPr>
                <w:rFonts w:asciiTheme="minorHAnsi" w:hAnsiTheme="minorHAnsi" w:cstheme="minorHAnsi"/>
                <w:sz w:val="18"/>
                <w:szCs w:val="18"/>
              </w:rPr>
              <w:t xml:space="preserve"> &gt;50,000 square feet (~4,600 square metres) and all District-owned buildings </w:t>
            </w:r>
            <w:proofErr w:type="spellStart"/>
            <w:r w:rsidRPr="00527DBC">
              <w:rPr>
                <w:rFonts w:asciiTheme="minorHAnsi" w:hAnsiTheme="minorHAnsi" w:cstheme="minorHAnsi"/>
                <w:sz w:val="18"/>
                <w:szCs w:val="18"/>
              </w:rPr>
              <w:t>GFA</w:t>
            </w:r>
            <w:proofErr w:type="spellEnd"/>
            <w:r w:rsidRPr="00527DBC">
              <w:rPr>
                <w:rFonts w:asciiTheme="minorHAnsi" w:hAnsiTheme="minorHAnsi" w:cstheme="minorHAnsi"/>
                <w:sz w:val="18"/>
                <w:szCs w:val="18"/>
              </w:rPr>
              <w:t xml:space="preserve"> &gt;10,000 square feet (~900 square metres).</w:t>
            </w:r>
          </w:p>
        </w:tc>
      </w:tr>
      <w:tr w:rsidR="008B0046" w14:paraId="42D8AC50" w14:textId="77777777" w:rsidTr="00EF40AE">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30F94F99" w14:textId="77777777" w:rsidR="008B0046" w:rsidRPr="00527DBC" w:rsidRDefault="008B0046">
            <w:pPr>
              <w:rPr>
                <w:rFonts w:asciiTheme="minorHAnsi" w:hAnsiTheme="minorHAnsi" w:cstheme="minorHAnsi"/>
                <w:sz w:val="18"/>
                <w:szCs w:val="18"/>
              </w:rPr>
            </w:pPr>
            <w:r w:rsidRPr="00527DBC">
              <w:rPr>
                <w:rFonts w:asciiTheme="minorHAnsi" w:hAnsiTheme="minorHAnsi" w:cstheme="minorHAnsi"/>
                <w:sz w:val="18"/>
                <w:szCs w:val="18"/>
              </w:rPr>
              <w:t>Washington State (US)</w:t>
            </w:r>
          </w:p>
        </w:tc>
        <w:tc>
          <w:tcPr>
            <w:tcW w:w="1109" w:type="dxa"/>
            <w:shd w:val="clear" w:color="auto" w:fill="auto"/>
            <w:hideMark/>
          </w:tcPr>
          <w:p w14:paraId="676F7E2A" w14:textId="77777777"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Clean Buildings Act, 2019</w:t>
            </w:r>
          </w:p>
        </w:tc>
        <w:tc>
          <w:tcPr>
            <w:tcW w:w="2552" w:type="dxa"/>
            <w:shd w:val="clear" w:color="auto" w:fill="auto"/>
            <w:hideMark/>
          </w:tcPr>
          <w:p w14:paraId="3B480C71" w14:textId="77777777"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ENERGY STAR</w:t>
            </w:r>
          </w:p>
          <w:p w14:paraId="56121634" w14:textId="0630DEB7"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 xml:space="preserve">(Energy Use Intensity (EUI) metric). Report energy consumption data annually, energy audits once every five years. </w:t>
            </w:r>
            <w:r w:rsidR="00472A50" w:rsidRPr="00527DBC">
              <w:rPr>
                <w:rFonts w:asciiTheme="minorHAnsi" w:hAnsiTheme="minorHAnsi" w:cstheme="minorHAnsi"/>
                <w:sz w:val="18"/>
                <w:szCs w:val="18"/>
              </w:rPr>
              <w:t xml:space="preserve">Performance based. </w:t>
            </w:r>
          </w:p>
        </w:tc>
        <w:tc>
          <w:tcPr>
            <w:tcW w:w="5103" w:type="dxa"/>
            <w:shd w:val="clear" w:color="auto" w:fill="auto"/>
          </w:tcPr>
          <w:p w14:paraId="0EEAA9DA" w14:textId="5BB9671B"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Applies to all covered commercial buildings</w:t>
            </w:r>
            <w:r w:rsidR="00723239" w:rsidRPr="00EF40AE">
              <w:rPr>
                <w:rFonts w:ascii="ZWAdobeF" w:hAnsi="ZWAdobeF" w:cs="ZWAdobeF"/>
                <w:sz w:val="2"/>
                <w:szCs w:val="2"/>
              </w:rPr>
              <w:t>49F</w:t>
            </w:r>
            <w:r w:rsidR="00EE36E3" w:rsidRPr="00EF40AE">
              <w:rPr>
                <w:rFonts w:ascii="ZWAdobeF" w:hAnsi="ZWAdobeF" w:cs="ZWAdobeF"/>
                <w:sz w:val="2"/>
                <w:szCs w:val="2"/>
              </w:rPr>
              <w:t>49F</w:t>
            </w:r>
            <w:r w:rsidR="00BE18D1" w:rsidRPr="00EF40AE">
              <w:rPr>
                <w:rFonts w:ascii="ZWAdobeF" w:hAnsi="ZWAdobeF" w:cs="ZWAdobeF"/>
                <w:sz w:val="2"/>
                <w:szCs w:val="2"/>
              </w:rPr>
              <w:t>49F</w:t>
            </w:r>
            <w:r w:rsidR="00F73A23" w:rsidRPr="00EF40AE">
              <w:rPr>
                <w:rFonts w:ascii="ZWAdobeF" w:hAnsi="ZWAdobeF" w:cs="ZWAdobeF"/>
                <w:sz w:val="2"/>
                <w:szCs w:val="2"/>
              </w:rPr>
              <w:t>49F</w:t>
            </w:r>
            <w:r w:rsidR="00626378">
              <w:rPr>
                <w:rFonts w:ascii="ZWAdobeF" w:hAnsi="ZWAdobeF" w:cs="ZWAdobeF"/>
                <w:color w:val="auto"/>
                <w:sz w:val="2"/>
                <w:szCs w:val="2"/>
              </w:rPr>
              <w:t>49F</w:t>
            </w:r>
            <w:r w:rsidR="00413811">
              <w:rPr>
                <w:rFonts w:ascii="ZWAdobeF" w:hAnsi="ZWAdobeF" w:cs="ZWAdobeF"/>
                <w:color w:val="auto"/>
                <w:sz w:val="2"/>
                <w:szCs w:val="2"/>
              </w:rPr>
              <w:t>49F</w:t>
            </w:r>
            <w:r w:rsidR="002C327C">
              <w:rPr>
                <w:rFonts w:ascii="ZWAdobeF" w:hAnsi="ZWAdobeF" w:cs="ZWAdobeF"/>
                <w:color w:val="auto"/>
                <w:sz w:val="2"/>
                <w:szCs w:val="2"/>
              </w:rPr>
              <w:t>49F</w:t>
            </w:r>
            <w:r w:rsidR="00D24A06">
              <w:rPr>
                <w:rFonts w:ascii="ZWAdobeF" w:hAnsi="ZWAdobeF" w:cs="ZWAdobeF"/>
                <w:color w:val="auto"/>
                <w:sz w:val="2"/>
                <w:szCs w:val="2"/>
              </w:rPr>
              <w:t>49F</w:t>
            </w:r>
            <w:r w:rsidRPr="00527DBC">
              <w:rPr>
                <w:rStyle w:val="FootnoteReference"/>
                <w:rFonts w:asciiTheme="minorHAnsi" w:hAnsiTheme="minorHAnsi" w:cstheme="minorHAnsi"/>
                <w:sz w:val="18"/>
                <w:szCs w:val="18"/>
              </w:rPr>
              <w:footnoteReference w:id="51"/>
            </w:r>
            <w:r w:rsidRPr="00527DBC">
              <w:rPr>
                <w:rFonts w:asciiTheme="minorHAnsi" w:hAnsiTheme="minorHAnsi" w:cstheme="minorHAnsi"/>
                <w:sz w:val="18"/>
                <w:szCs w:val="18"/>
              </w:rPr>
              <w:t xml:space="preserve"> over 50,000 square feet (~4,600 square metres). In 2022, the bill was expanded to include multifamily residential buildings over 20,000 square feet (~1,900 square metres).</w:t>
            </w:r>
          </w:p>
          <w:p w14:paraId="5B82C551" w14:textId="77777777" w:rsidR="008B0046" w:rsidRPr="00527DBC" w:rsidRDefault="008B0046">
            <w:pPr>
              <w:spacing w:line="25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Building owners must demonstrate that buildings are meeting energy efficiency targets based on the EUI metric. Targets set by the Washington State Dept of Commerce.</w:t>
            </w:r>
          </w:p>
        </w:tc>
      </w:tr>
      <w:tr w:rsidR="008B0046" w14:paraId="6F18BD99" w14:textId="77777777" w:rsidTr="00EF4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0D574485" w14:textId="77777777" w:rsidR="008B0046" w:rsidRPr="00527DBC" w:rsidRDefault="008B0046">
            <w:pPr>
              <w:rPr>
                <w:rFonts w:asciiTheme="minorHAnsi" w:hAnsiTheme="minorHAnsi" w:cstheme="minorHAnsi"/>
                <w:sz w:val="18"/>
                <w:szCs w:val="18"/>
              </w:rPr>
            </w:pPr>
            <w:r w:rsidRPr="00527DBC">
              <w:rPr>
                <w:rFonts w:asciiTheme="minorHAnsi" w:hAnsiTheme="minorHAnsi" w:cstheme="minorHAnsi"/>
                <w:sz w:val="18"/>
                <w:szCs w:val="18"/>
              </w:rPr>
              <w:lastRenderedPageBreak/>
              <w:t>California (US)</w:t>
            </w:r>
          </w:p>
        </w:tc>
        <w:tc>
          <w:tcPr>
            <w:tcW w:w="1109" w:type="dxa"/>
            <w:shd w:val="clear" w:color="auto" w:fill="auto"/>
            <w:hideMark/>
          </w:tcPr>
          <w:p w14:paraId="67EC526B" w14:textId="72B563D4" w:rsidR="008B0046" w:rsidRPr="00EF40AE"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
                <w:szCs w:val="2"/>
              </w:rPr>
            </w:pPr>
            <w:r w:rsidRPr="00527DBC">
              <w:rPr>
                <w:rFonts w:asciiTheme="minorHAnsi" w:hAnsiTheme="minorHAnsi" w:cstheme="minorHAnsi"/>
                <w:sz w:val="18"/>
                <w:szCs w:val="18"/>
              </w:rPr>
              <w:t>Assembly Bill 1103</w:t>
            </w:r>
            <w:r w:rsidR="00723239" w:rsidRPr="00EF40AE">
              <w:rPr>
                <w:rFonts w:ascii="ZWAdobeF" w:hAnsi="ZWAdobeF" w:cs="ZWAdobeF"/>
                <w:sz w:val="2"/>
                <w:szCs w:val="2"/>
              </w:rPr>
              <w:t>50F</w:t>
            </w:r>
            <w:r w:rsidR="00EE36E3" w:rsidRPr="00EF40AE">
              <w:rPr>
                <w:rFonts w:ascii="ZWAdobeF" w:hAnsi="ZWAdobeF" w:cs="ZWAdobeF"/>
                <w:sz w:val="2"/>
                <w:szCs w:val="2"/>
              </w:rPr>
              <w:t>50F</w:t>
            </w:r>
            <w:r w:rsidR="00BE18D1" w:rsidRPr="00EF40AE">
              <w:rPr>
                <w:rFonts w:ascii="ZWAdobeF" w:hAnsi="ZWAdobeF" w:cs="ZWAdobeF"/>
                <w:sz w:val="2"/>
                <w:szCs w:val="2"/>
              </w:rPr>
              <w:t>50F</w:t>
            </w:r>
            <w:r w:rsidR="00F73A23" w:rsidRPr="00EF40AE">
              <w:rPr>
                <w:rFonts w:ascii="ZWAdobeF" w:hAnsi="ZWAdobeF" w:cs="ZWAdobeF"/>
                <w:sz w:val="2"/>
                <w:szCs w:val="2"/>
              </w:rPr>
              <w:t>50F</w:t>
            </w:r>
            <w:r w:rsidR="00626378">
              <w:rPr>
                <w:rFonts w:ascii="ZWAdobeF" w:hAnsi="ZWAdobeF" w:cs="ZWAdobeF"/>
                <w:color w:val="auto"/>
                <w:sz w:val="2"/>
                <w:szCs w:val="2"/>
              </w:rPr>
              <w:t>50F</w:t>
            </w:r>
            <w:r w:rsidR="00413811">
              <w:rPr>
                <w:rFonts w:ascii="ZWAdobeF" w:hAnsi="ZWAdobeF" w:cs="ZWAdobeF"/>
                <w:color w:val="auto"/>
                <w:sz w:val="2"/>
                <w:szCs w:val="2"/>
              </w:rPr>
              <w:t>50F</w:t>
            </w:r>
            <w:r w:rsidR="002C327C">
              <w:rPr>
                <w:rFonts w:ascii="ZWAdobeF" w:hAnsi="ZWAdobeF" w:cs="ZWAdobeF"/>
                <w:color w:val="auto"/>
                <w:sz w:val="2"/>
                <w:szCs w:val="2"/>
              </w:rPr>
              <w:t>50F</w:t>
            </w:r>
            <w:r w:rsidR="00D24A06">
              <w:rPr>
                <w:rFonts w:ascii="ZWAdobeF" w:hAnsi="ZWAdobeF" w:cs="ZWAdobeF"/>
                <w:color w:val="auto"/>
                <w:sz w:val="2"/>
                <w:szCs w:val="2"/>
              </w:rPr>
              <w:t>50F</w:t>
            </w:r>
            <w:r w:rsidRPr="00527DBC">
              <w:rPr>
                <w:rStyle w:val="FootnoteReference"/>
                <w:rFonts w:asciiTheme="minorHAnsi" w:hAnsiTheme="minorHAnsi" w:cstheme="minorHAnsi"/>
                <w:sz w:val="18"/>
                <w:szCs w:val="18"/>
              </w:rPr>
              <w:footnoteReference w:id="52"/>
            </w:r>
          </w:p>
          <w:p w14:paraId="7022C43C" w14:textId="77777777" w:rsidR="008B0046" w:rsidRPr="00EF40AE"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
                <w:szCs w:val="2"/>
              </w:rPr>
            </w:pPr>
          </w:p>
          <w:p w14:paraId="00CF2B2F" w14:textId="77777777" w:rsidR="008B0046" w:rsidRPr="00EF40AE"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
                <w:szCs w:val="2"/>
              </w:rPr>
            </w:pPr>
          </w:p>
          <w:p w14:paraId="26B86771" w14:textId="121B679A" w:rsidR="008B0046" w:rsidRPr="00EF40AE"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
                <w:szCs w:val="2"/>
              </w:rPr>
            </w:pPr>
            <w:r w:rsidRPr="00527DBC">
              <w:rPr>
                <w:rFonts w:asciiTheme="minorHAnsi" w:hAnsiTheme="minorHAnsi" w:cstheme="minorHAnsi"/>
                <w:sz w:val="18"/>
                <w:szCs w:val="18"/>
              </w:rPr>
              <w:t>Assembly Bill 80</w:t>
            </w:r>
            <w:r w:rsidR="004C262A" w:rsidRPr="00527DBC">
              <w:rPr>
                <w:rFonts w:asciiTheme="minorHAnsi" w:hAnsiTheme="minorHAnsi" w:cstheme="minorHAnsi"/>
                <w:sz w:val="18"/>
                <w:szCs w:val="18"/>
              </w:rPr>
              <w:t>2</w:t>
            </w:r>
          </w:p>
        </w:tc>
        <w:tc>
          <w:tcPr>
            <w:tcW w:w="2552" w:type="dxa"/>
            <w:shd w:val="clear" w:color="auto" w:fill="auto"/>
            <w:hideMark/>
          </w:tcPr>
          <w:p w14:paraId="0B652AD4" w14:textId="77777777"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 xml:space="preserve">ENERGY STAR </w:t>
            </w:r>
          </w:p>
          <w:p w14:paraId="31CF3467" w14:textId="07A1E8CB" w:rsidR="00472A50" w:rsidRPr="00527DBC" w:rsidRDefault="00472A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 xml:space="preserve">Performance based. </w:t>
            </w:r>
          </w:p>
          <w:p w14:paraId="0D26CE45" w14:textId="2BADB671"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Sale, lease, or financing of the building</w:t>
            </w:r>
            <w:r w:rsidR="00472A50" w:rsidRPr="00527DBC">
              <w:rPr>
                <w:rFonts w:asciiTheme="minorHAnsi" w:hAnsiTheme="minorHAnsi" w:cstheme="minorHAnsi"/>
                <w:sz w:val="18"/>
                <w:szCs w:val="18"/>
              </w:rPr>
              <w:t>.</w:t>
            </w:r>
          </w:p>
        </w:tc>
        <w:tc>
          <w:tcPr>
            <w:tcW w:w="5103" w:type="dxa"/>
            <w:shd w:val="clear" w:color="auto" w:fill="auto"/>
          </w:tcPr>
          <w:p w14:paraId="24C3F4B3" w14:textId="77777777"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Applies to non-residential buildings over 5,000 square feet (~500 square metres). Building owners must disclose energy use data for the most recent 12 months and a standardized energy efficiency rating using a scale from less than 1 (“low energy efficiency) to 75+ (“very high energy efficiency”).</w:t>
            </w:r>
          </w:p>
          <w:p w14:paraId="0C8F4362" w14:textId="77777777"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Assembly Bill 802 requires owners to provide energy usage data to the state's Energy Commission (all non-residential buildings regardless of size)</w:t>
            </w:r>
          </w:p>
        </w:tc>
      </w:tr>
      <w:tr w:rsidR="008B0046" w14:paraId="3AAF9BA8" w14:textId="77777777" w:rsidTr="00EF40AE">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232E7CDC" w14:textId="77777777" w:rsidR="008B0046" w:rsidRPr="00527DBC" w:rsidRDefault="008B0046">
            <w:pPr>
              <w:rPr>
                <w:rFonts w:asciiTheme="minorHAnsi" w:hAnsiTheme="minorHAnsi" w:cstheme="minorHAnsi"/>
                <w:sz w:val="18"/>
                <w:szCs w:val="18"/>
              </w:rPr>
            </w:pPr>
            <w:r w:rsidRPr="00527DBC">
              <w:rPr>
                <w:rFonts w:asciiTheme="minorHAnsi" w:hAnsiTheme="minorHAnsi" w:cstheme="minorHAnsi"/>
                <w:sz w:val="18"/>
                <w:szCs w:val="18"/>
              </w:rPr>
              <w:t>New York City</w:t>
            </w:r>
          </w:p>
        </w:tc>
        <w:tc>
          <w:tcPr>
            <w:tcW w:w="1109" w:type="dxa"/>
            <w:shd w:val="clear" w:color="auto" w:fill="auto"/>
            <w:hideMark/>
          </w:tcPr>
          <w:p w14:paraId="4978DB83" w14:textId="33C3A0DF"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Climate Mobilization Act (Local Law 97), 2019</w:t>
            </w:r>
            <w:r w:rsidR="00723239" w:rsidRPr="00EF40AE">
              <w:rPr>
                <w:rFonts w:ascii="ZWAdobeF" w:hAnsi="ZWAdobeF" w:cs="ZWAdobeF"/>
                <w:sz w:val="2"/>
                <w:szCs w:val="2"/>
              </w:rPr>
              <w:t>51F</w:t>
            </w:r>
            <w:r w:rsidR="00EE36E3" w:rsidRPr="00EF40AE">
              <w:rPr>
                <w:rFonts w:ascii="ZWAdobeF" w:hAnsi="ZWAdobeF" w:cs="ZWAdobeF"/>
                <w:sz w:val="2"/>
                <w:szCs w:val="2"/>
              </w:rPr>
              <w:t>51F</w:t>
            </w:r>
            <w:r w:rsidR="00BE18D1" w:rsidRPr="00EF40AE">
              <w:rPr>
                <w:rFonts w:ascii="ZWAdobeF" w:hAnsi="ZWAdobeF" w:cs="ZWAdobeF"/>
                <w:sz w:val="2"/>
                <w:szCs w:val="2"/>
              </w:rPr>
              <w:t>51F</w:t>
            </w:r>
            <w:r w:rsidR="00F73A23" w:rsidRPr="00EF40AE">
              <w:rPr>
                <w:rFonts w:ascii="ZWAdobeF" w:hAnsi="ZWAdobeF" w:cs="ZWAdobeF"/>
                <w:sz w:val="2"/>
                <w:szCs w:val="2"/>
              </w:rPr>
              <w:t>51F</w:t>
            </w:r>
            <w:r w:rsidR="00626378">
              <w:rPr>
                <w:rFonts w:ascii="ZWAdobeF" w:hAnsi="ZWAdobeF" w:cs="ZWAdobeF"/>
                <w:color w:val="auto"/>
                <w:sz w:val="2"/>
                <w:szCs w:val="2"/>
              </w:rPr>
              <w:t>51F</w:t>
            </w:r>
            <w:r w:rsidR="00413811">
              <w:rPr>
                <w:rFonts w:ascii="ZWAdobeF" w:hAnsi="ZWAdobeF" w:cs="ZWAdobeF"/>
                <w:color w:val="auto"/>
                <w:sz w:val="2"/>
                <w:szCs w:val="2"/>
              </w:rPr>
              <w:t>51F</w:t>
            </w:r>
            <w:r w:rsidR="002C327C">
              <w:rPr>
                <w:rFonts w:ascii="ZWAdobeF" w:hAnsi="ZWAdobeF" w:cs="ZWAdobeF"/>
                <w:color w:val="auto"/>
                <w:sz w:val="2"/>
                <w:szCs w:val="2"/>
              </w:rPr>
              <w:t>51F</w:t>
            </w:r>
            <w:r w:rsidR="00D24A06">
              <w:rPr>
                <w:rFonts w:ascii="ZWAdobeF" w:hAnsi="ZWAdobeF" w:cs="ZWAdobeF"/>
                <w:color w:val="auto"/>
                <w:sz w:val="2"/>
                <w:szCs w:val="2"/>
              </w:rPr>
              <w:t>51F</w:t>
            </w:r>
            <w:r w:rsidRPr="00527DBC">
              <w:rPr>
                <w:rStyle w:val="FootnoteReference"/>
                <w:rFonts w:asciiTheme="minorHAnsi" w:hAnsiTheme="minorHAnsi" w:cstheme="minorHAnsi"/>
                <w:sz w:val="18"/>
                <w:szCs w:val="18"/>
              </w:rPr>
              <w:footnoteReference w:id="53"/>
            </w:r>
          </w:p>
        </w:tc>
        <w:tc>
          <w:tcPr>
            <w:tcW w:w="2552" w:type="dxa"/>
            <w:shd w:val="clear" w:color="auto" w:fill="auto"/>
            <w:hideMark/>
          </w:tcPr>
          <w:p w14:paraId="3C8A1764" w14:textId="4BE20A91"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Report ENERGY STAR score, or Leadership in Energy and Environmental Design (LEED)</w:t>
            </w:r>
            <w:r w:rsidR="0022681B" w:rsidRPr="00527DBC">
              <w:rPr>
                <w:rFonts w:asciiTheme="minorHAnsi" w:hAnsiTheme="minorHAnsi" w:cstheme="minorHAnsi"/>
                <w:sz w:val="18"/>
                <w:szCs w:val="18"/>
              </w:rPr>
              <w:t xml:space="preserve">. </w:t>
            </w:r>
          </w:p>
          <w:p w14:paraId="3B918254" w14:textId="201B82C5" w:rsidR="008B0046" w:rsidRPr="00527DBC" w:rsidRDefault="002268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Performance based.</w:t>
            </w:r>
          </w:p>
        </w:tc>
        <w:tc>
          <w:tcPr>
            <w:tcW w:w="5103" w:type="dxa"/>
            <w:shd w:val="clear" w:color="auto" w:fill="auto"/>
          </w:tcPr>
          <w:p w14:paraId="584192D3" w14:textId="77777777"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 xml:space="preserve">Applies to non-residential buildings or multifamily residential buildings over 25,000 square feet (~2,300 square metres) </w:t>
            </w:r>
          </w:p>
          <w:p w14:paraId="66AA9F56" w14:textId="1046BABA"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 xml:space="preserve">Building owners must report their building's energy usage and greenhouse gas emissions annually. </w:t>
            </w:r>
          </w:p>
        </w:tc>
      </w:tr>
      <w:tr w:rsidR="008B0046" w14:paraId="053AB2D6" w14:textId="77777777" w:rsidTr="00EF4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7DF347B5" w14:textId="77777777" w:rsidR="008B0046" w:rsidRPr="00527DBC" w:rsidRDefault="008B0046">
            <w:pPr>
              <w:rPr>
                <w:rFonts w:asciiTheme="minorHAnsi" w:hAnsiTheme="minorHAnsi" w:cstheme="minorHAnsi"/>
                <w:sz w:val="18"/>
                <w:szCs w:val="18"/>
              </w:rPr>
            </w:pPr>
            <w:r w:rsidRPr="00527DBC">
              <w:rPr>
                <w:rFonts w:asciiTheme="minorHAnsi" w:hAnsiTheme="minorHAnsi" w:cstheme="minorHAnsi"/>
                <w:sz w:val="18"/>
                <w:szCs w:val="18"/>
              </w:rPr>
              <w:t>Japan</w:t>
            </w:r>
          </w:p>
        </w:tc>
        <w:tc>
          <w:tcPr>
            <w:tcW w:w="1109" w:type="dxa"/>
            <w:shd w:val="clear" w:color="auto" w:fill="auto"/>
            <w:hideMark/>
          </w:tcPr>
          <w:p w14:paraId="7912D61F" w14:textId="72FF515E"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Building Energy Efficiency Act, 2016</w:t>
            </w:r>
            <w:r w:rsidR="00723239" w:rsidRPr="00EF40AE">
              <w:rPr>
                <w:rFonts w:ascii="ZWAdobeF" w:hAnsi="ZWAdobeF" w:cs="ZWAdobeF"/>
                <w:sz w:val="2"/>
                <w:szCs w:val="2"/>
              </w:rPr>
              <w:t>52F</w:t>
            </w:r>
            <w:r w:rsidR="00EE36E3" w:rsidRPr="00EF40AE">
              <w:rPr>
                <w:rFonts w:ascii="ZWAdobeF" w:hAnsi="ZWAdobeF" w:cs="ZWAdobeF"/>
                <w:sz w:val="2"/>
                <w:szCs w:val="2"/>
              </w:rPr>
              <w:t>52F</w:t>
            </w:r>
            <w:r w:rsidR="00BE18D1" w:rsidRPr="00EF40AE">
              <w:rPr>
                <w:rFonts w:ascii="ZWAdobeF" w:hAnsi="ZWAdobeF" w:cs="ZWAdobeF"/>
                <w:sz w:val="2"/>
                <w:szCs w:val="2"/>
              </w:rPr>
              <w:t>52F</w:t>
            </w:r>
            <w:r w:rsidR="00F73A23" w:rsidRPr="00EF40AE">
              <w:rPr>
                <w:rFonts w:ascii="ZWAdobeF" w:hAnsi="ZWAdobeF" w:cs="ZWAdobeF"/>
                <w:sz w:val="2"/>
                <w:szCs w:val="2"/>
              </w:rPr>
              <w:t>52F</w:t>
            </w:r>
            <w:r w:rsidR="00626378">
              <w:rPr>
                <w:rFonts w:ascii="ZWAdobeF" w:hAnsi="ZWAdobeF" w:cs="ZWAdobeF"/>
                <w:color w:val="auto"/>
                <w:sz w:val="2"/>
                <w:szCs w:val="2"/>
              </w:rPr>
              <w:t>52F</w:t>
            </w:r>
            <w:r w:rsidR="00413811">
              <w:rPr>
                <w:rFonts w:ascii="ZWAdobeF" w:hAnsi="ZWAdobeF" w:cs="ZWAdobeF"/>
                <w:color w:val="auto"/>
                <w:sz w:val="2"/>
                <w:szCs w:val="2"/>
              </w:rPr>
              <w:t>52F</w:t>
            </w:r>
            <w:r w:rsidR="002C327C">
              <w:rPr>
                <w:rFonts w:ascii="ZWAdobeF" w:hAnsi="ZWAdobeF" w:cs="ZWAdobeF"/>
                <w:color w:val="auto"/>
                <w:sz w:val="2"/>
                <w:szCs w:val="2"/>
              </w:rPr>
              <w:t>52F</w:t>
            </w:r>
            <w:r w:rsidR="00D24A06">
              <w:rPr>
                <w:rFonts w:ascii="ZWAdobeF" w:hAnsi="ZWAdobeF" w:cs="ZWAdobeF"/>
                <w:color w:val="auto"/>
                <w:sz w:val="2"/>
                <w:szCs w:val="2"/>
              </w:rPr>
              <w:t>52F</w:t>
            </w:r>
            <w:r w:rsidRPr="00527DBC">
              <w:rPr>
                <w:rStyle w:val="FootnoteReference"/>
                <w:rFonts w:asciiTheme="minorHAnsi" w:hAnsiTheme="minorHAnsi" w:cstheme="minorHAnsi"/>
                <w:sz w:val="18"/>
                <w:szCs w:val="18"/>
              </w:rPr>
              <w:footnoteReference w:id="54"/>
            </w:r>
            <w:r w:rsidRPr="00527DBC">
              <w:rPr>
                <w:rFonts w:asciiTheme="minorHAnsi" w:hAnsiTheme="minorHAnsi" w:cstheme="minorHAnsi"/>
                <w:sz w:val="18"/>
                <w:szCs w:val="18"/>
              </w:rPr>
              <w:t xml:space="preserve"> </w:t>
            </w:r>
          </w:p>
        </w:tc>
        <w:tc>
          <w:tcPr>
            <w:tcW w:w="2552" w:type="dxa"/>
            <w:shd w:val="clear" w:color="auto" w:fill="auto"/>
            <w:hideMark/>
          </w:tcPr>
          <w:p w14:paraId="5A01B03A" w14:textId="77777777" w:rsidR="009F3CD6" w:rsidRPr="00EF40AE" w:rsidRDefault="008B0046">
            <w:pPr>
              <w:pStyle w:val="ListParagraph"/>
              <w:ind w:left="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 xml:space="preserve">Energy consumption performance standards (energy efficiency standards), certification standards. </w:t>
            </w:r>
            <w:r w:rsidR="009F3CD6" w:rsidRPr="00EF40AE">
              <w:rPr>
                <w:rFonts w:asciiTheme="minorHAnsi" w:hAnsiTheme="minorHAnsi" w:cstheme="minorHAnsi"/>
                <w:color w:val="000000" w:themeColor="text1"/>
                <w:sz w:val="18"/>
                <w:szCs w:val="18"/>
              </w:rPr>
              <w:t xml:space="preserve">Performance and attribute based. </w:t>
            </w:r>
          </w:p>
          <w:p w14:paraId="327CCA94" w14:textId="54F5A303" w:rsidR="008B0046" w:rsidRPr="00EF40AE" w:rsidRDefault="008B0046">
            <w:pPr>
              <w:pStyle w:val="ListParagraph"/>
              <w:ind w:left="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Upon construction of new buildings, major renovation projects that involve a change in the building’s floor area or use and change of building ownership</w:t>
            </w:r>
            <w:r w:rsidR="009F3CD6" w:rsidRPr="00EF40AE">
              <w:rPr>
                <w:rFonts w:asciiTheme="minorHAnsi" w:hAnsiTheme="minorHAnsi" w:cstheme="minorHAnsi"/>
                <w:color w:val="000000" w:themeColor="text1"/>
                <w:sz w:val="18"/>
                <w:szCs w:val="18"/>
              </w:rPr>
              <w:t xml:space="preserve">. </w:t>
            </w:r>
          </w:p>
        </w:tc>
        <w:tc>
          <w:tcPr>
            <w:tcW w:w="5103" w:type="dxa"/>
            <w:shd w:val="clear" w:color="auto" w:fill="auto"/>
          </w:tcPr>
          <w:p w14:paraId="78746BC6" w14:textId="2EF2229E"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Currently applies to all types of buildings (residential and non-residential) over 300 square meters.</w:t>
            </w:r>
            <w:r w:rsidR="00723239" w:rsidRPr="00EF40AE">
              <w:rPr>
                <w:rFonts w:ascii="ZWAdobeF" w:hAnsi="ZWAdobeF" w:cs="ZWAdobeF"/>
                <w:sz w:val="2"/>
                <w:szCs w:val="2"/>
              </w:rPr>
              <w:t>53F</w:t>
            </w:r>
            <w:r w:rsidR="00EE36E3" w:rsidRPr="00EF40AE">
              <w:rPr>
                <w:rFonts w:ascii="ZWAdobeF" w:hAnsi="ZWAdobeF" w:cs="ZWAdobeF"/>
                <w:sz w:val="2"/>
                <w:szCs w:val="2"/>
              </w:rPr>
              <w:t>53F</w:t>
            </w:r>
            <w:r w:rsidR="00BE18D1" w:rsidRPr="00EF40AE">
              <w:rPr>
                <w:rFonts w:ascii="ZWAdobeF" w:hAnsi="ZWAdobeF" w:cs="ZWAdobeF"/>
                <w:sz w:val="2"/>
                <w:szCs w:val="2"/>
              </w:rPr>
              <w:t>53F</w:t>
            </w:r>
            <w:r w:rsidR="00F73A23" w:rsidRPr="00EF40AE">
              <w:rPr>
                <w:rFonts w:ascii="ZWAdobeF" w:hAnsi="ZWAdobeF" w:cs="ZWAdobeF"/>
                <w:sz w:val="2"/>
                <w:szCs w:val="2"/>
              </w:rPr>
              <w:t>53F</w:t>
            </w:r>
            <w:r w:rsidR="00626378">
              <w:rPr>
                <w:rFonts w:ascii="ZWAdobeF" w:hAnsi="ZWAdobeF" w:cs="ZWAdobeF"/>
                <w:color w:val="auto"/>
                <w:sz w:val="2"/>
                <w:szCs w:val="2"/>
              </w:rPr>
              <w:t>53F</w:t>
            </w:r>
            <w:r w:rsidR="00413811">
              <w:rPr>
                <w:rFonts w:ascii="ZWAdobeF" w:hAnsi="ZWAdobeF" w:cs="ZWAdobeF"/>
                <w:color w:val="auto"/>
                <w:sz w:val="2"/>
                <w:szCs w:val="2"/>
              </w:rPr>
              <w:t>53F</w:t>
            </w:r>
            <w:r w:rsidR="002C327C">
              <w:rPr>
                <w:rFonts w:ascii="ZWAdobeF" w:hAnsi="ZWAdobeF" w:cs="ZWAdobeF"/>
                <w:color w:val="auto"/>
                <w:sz w:val="2"/>
                <w:szCs w:val="2"/>
              </w:rPr>
              <w:t>53F</w:t>
            </w:r>
            <w:r w:rsidR="00D24A06">
              <w:rPr>
                <w:rFonts w:ascii="ZWAdobeF" w:hAnsi="ZWAdobeF" w:cs="ZWAdobeF"/>
                <w:color w:val="auto"/>
                <w:sz w:val="2"/>
                <w:szCs w:val="2"/>
              </w:rPr>
              <w:t>53F</w:t>
            </w:r>
            <w:r w:rsidRPr="00527DBC">
              <w:rPr>
                <w:rStyle w:val="FootnoteReference"/>
                <w:rFonts w:asciiTheme="minorHAnsi" w:hAnsiTheme="minorHAnsi" w:cstheme="minorHAnsi"/>
                <w:sz w:val="18"/>
                <w:szCs w:val="18"/>
              </w:rPr>
              <w:footnoteReference w:id="55"/>
            </w:r>
            <w:r w:rsidRPr="00527DBC">
              <w:rPr>
                <w:rFonts w:asciiTheme="minorHAnsi" w:hAnsiTheme="minorHAnsi" w:cstheme="minorHAnsi"/>
                <w:sz w:val="18"/>
                <w:szCs w:val="18"/>
              </w:rPr>
              <w:t xml:space="preserve"> However, from 2025, the act will apply irrespective of the size.</w:t>
            </w:r>
            <w:r w:rsidR="00723239" w:rsidRPr="00EF40AE">
              <w:rPr>
                <w:rFonts w:ascii="ZWAdobeF" w:hAnsi="ZWAdobeF" w:cs="ZWAdobeF"/>
                <w:sz w:val="2"/>
                <w:szCs w:val="2"/>
              </w:rPr>
              <w:t>54F</w:t>
            </w:r>
            <w:r w:rsidR="00EE36E3" w:rsidRPr="00EF40AE">
              <w:rPr>
                <w:rFonts w:ascii="ZWAdobeF" w:hAnsi="ZWAdobeF" w:cs="ZWAdobeF"/>
                <w:sz w:val="2"/>
                <w:szCs w:val="2"/>
              </w:rPr>
              <w:t>54F</w:t>
            </w:r>
            <w:r w:rsidR="00BE18D1" w:rsidRPr="00EF40AE">
              <w:rPr>
                <w:rFonts w:ascii="ZWAdobeF" w:hAnsi="ZWAdobeF" w:cs="ZWAdobeF"/>
                <w:sz w:val="2"/>
                <w:szCs w:val="2"/>
              </w:rPr>
              <w:t>54F</w:t>
            </w:r>
            <w:r w:rsidR="00F73A23" w:rsidRPr="00EF40AE">
              <w:rPr>
                <w:rFonts w:ascii="ZWAdobeF" w:hAnsi="ZWAdobeF" w:cs="ZWAdobeF"/>
                <w:sz w:val="2"/>
                <w:szCs w:val="2"/>
              </w:rPr>
              <w:t>54F</w:t>
            </w:r>
            <w:r w:rsidR="00626378">
              <w:rPr>
                <w:rFonts w:ascii="ZWAdobeF" w:hAnsi="ZWAdobeF" w:cs="ZWAdobeF"/>
                <w:color w:val="auto"/>
                <w:sz w:val="2"/>
                <w:szCs w:val="2"/>
              </w:rPr>
              <w:t>54F</w:t>
            </w:r>
            <w:r w:rsidR="00413811">
              <w:rPr>
                <w:rFonts w:ascii="ZWAdobeF" w:hAnsi="ZWAdobeF" w:cs="ZWAdobeF"/>
                <w:color w:val="auto"/>
                <w:sz w:val="2"/>
                <w:szCs w:val="2"/>
              </w:rPr>
              <w:t>54F</w:t>
            </w:r>
            <w:r w:rsidR="002C327C">
              <w:rPr>
                <w:rFonts w:ascii="ZWAdobeF" w:hAnsi="ZWAdobeF" w:cs="ZWAdobeF"/>
                <w:color w:val="auto"/>
                <w:sz w:val="2"/>
                <w:szCs w:val="2"/>
              </w:rPr>
              <w:t>54F</w:t>
            </w:r>
            <w:r w:rsidR="00D24A06">
              <w:rPr>
                <w:rFonts w:ascii="ZWAdobeF" w:hAnsi="ZWAdobeF" w:cs="ZWAdobeF"/>
                <w:color w:val="auto"/>
                <w:sz w:val="2"/>
                <w:szCs w:val="2"/>
              </w:rPr>
              <w:t>54F</w:t>
            </w:r>
            <w:r w:rsidRPr="00527DBC">
              <w:rPr>
                <w:rStyle w:val="FootnoteReference"/>
                <w:rFonts w:asciiTheme="minorHAnsi" w:hAnsiTheme="minorHAnsi" w:cstheme="minorHAnsi"/>
                <w:sz w:val="18"/>
                <w:szCs w:val="18"/>
              </w:rPr>
              <w:footnoteReference w:id="56"/>
            </w:r>
          </w:p>
          <w:p w14:paraId="25578D3B" w14:textId="1A26CEE2" w:rsidR="008B0046" w:rsidRPr="00527DBC" w:rsidRDefault="008B004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Large building owners are required to report their energy consumption to the Japanese government. There are two types of labelling systems under the Act</w:t>
            </w:r>
            <w:r w:rsidR="00E677CE" w:rsidRPr="00527DBC">
              <w:rPr>
                <w:rFonts w:asciiTheme="minorHAnsi" w:hAnsiTheme="minorHAnsi" w:cstheme="minorHAnsi"/>
                <w:sz w:val="18"/>
                <w:szCs w:val="18"/>
              </w:rPr>
              <w:t>:</w:t>
            </w:r>
            <w:r w:rsidR="00723239" w:rsidRPr="00EF40AE">
              <w:rPr>
                <w:rFonts w:ascii="ZWAdobeF" w:hAnsi="ZWAdobeF" w:cs="ZWAdobeF"/>
                <w:sz w:val="2"/>
                <w:szCs w:val="2"/>
              </w:rPr>
              <w:t>55F</w:t>
            </w:r>
            <w:r w:rsidR="00EE36E3" w:rsidRPr="00EF40AE">
              <w:rPr>
                <w:rFonts w:ascii="ZWAdobeF" w:hAnsi="ZWAdobeF" w:cs="ZWAdobeF"/>
                <w:sz w:val="2"/>
                <w:szCs w:val="2"/>
              </w:rPr>
              <w:t>55F</w:t>
            </w:r>
            <w:r w:rsidR="00BE18D1" w:rsidRPr="00EF40AE">
              <w:rPr>
                <w:rFonts w:ascii="ZWAdobeF" w:hAnsi="ZWAdobeF" w:cs="ZWAdobeF"/>
                <w:sz w:val="2"/>
                <w:szCs w:val="2"/>
              </w:rPr>
              <w:t>55F</w:t>
            </w:r>
            <w:r w:rsidR="00F73A23" w:rsidRPr="00EF40AE">
              <w:rPr>
                <w:rFonts w:ascii="ZWAdobeF" w:hAnsi="ZWAdobeF" w:cs="ZWAdobeF"/>
                <w:sz w:val="2"/>
                <w:szCs w:val="2"/>
              </w:rPr>
              <w:t>55F</w:t>
            </w:r>
            <w:r w:rsidR="00626378">
              <w:rPr>
                <w:rFonts w:ascii="ZWAdobeF" w:hAnsi="ZWAdobeF" w:cs="ZWAdobeF"/>
                <w:color w:val="auto"/>
                <w:sz w:val="2"/>
                <w:szCs w:val="2"/>
              </w:rPr>
              <w:t>55F</w:t>
            </w:r>
            <w:r w:rsidR="00413811">
              <w:rPr>
                <w:rFonts w:ascii="ZWAdobeF" w:hAnsi="ZWAdobeF" w:cs="ZWAdobeF"/>
                <w:color w:val="auto"/>
                <w:sz w:val="2"/>
                <w:szCs w:val="2"/>
              </w:rPr>
              <w:t>55F</w:t>
            </w:r>
            <w:r w:rsidR="002C327C">
              <w:rPr>
                <w:rFonts w:ascii="ZWAdobeF" w:hAnsi="ZWAdobeF" w:cs="ZWAdobeF"/>
                <w:color w:val="auto"/>
                <w:sz w:val="2"/>
                <w:szCs w:val="2"/>
              </w:rPr>
              <w:t>55F</w:t>
            </w:r>
            <w:r w:rsidR="00D24A06">
              <w:rPr>
                <w:rFonts w:ascii="ZWAdobeF" w:hAnsi="ZWAdobeF" w:cs="ZWAdobeF"/>
                <w:color w:val="auto"/>
                <w:sz w:val="2"/>
                <w:szCs w:val="2"/>
              </w:rPr>
              <w:t>55F</w:t>
            </w:r>
            <w:r w:rsidRPr="00527DBC">
              <w:rPr>
                <w:rStyle w:val="FootnoteReference"/>
                <w:rFonts w:asciiTheme="minorHAnsi" w:hAnsiTheme="minorHAnsi" w:cstheme="minorHAnsi"/>
                <w:sz w:val="18"/>
                <w:szCs w:val="18"/>
              </w:rPr>
              <w:footnoteReference w:id="57"/>
            </w:r>
            <w:r w:rsidRPr="00527DBC">
              <w:rPr>
                <w:rFonts w:asciiTheme="minorHAnsi" w:hAnsiTheme="minorHAnsi" w:cstheme="minorHAnsi"/>
                <w:sz w:val="18"/>
                <w:szCs w:val="18"/>
              </w:rPr>
              <w:t xml:space="preserve"> </w:t>
            </w:r>
          </w:p>
          <w:p w14:paraId="2AD1E57B" w14:textId="77777777" w:rsidR="008B0046" w:rsidRPr="00EF40AE" w:rsidRDefault="008B0046" w:rsidP="00214D42">
            <w:pPr>
              <w:pStyle w:val="ListParagraph"/>
              <w:numPr>
                <w:ilvl w:val="0"/>
                <w:numId w:val="21"/>
              </w:numPr>
              <w:spacing w:line="254" w:lineRule="auto"/>
              <w:ind w:left="4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 xml:space="preserve">Labelling to display energy efficiency performance for buildings (Article 7), and </w:t>
            </w:r>
          </w:p>
          <w:p w14:paraId="515D5961" w14:textId="77777777" w:rsidR="008B0046" w:rsidRPr="00EF40AE" w:rsidRDefault="008B0046" w:rsidP="00214D42">
            <w:pPr>
              <w:pStyle w:val="ListParagraph"/>
              <w:numPr>
                <w:ilvl w:val="0"/>
                <w:numId w:val="21"/>
              </w:numPr>
              <w:spacing w:line="254" w:lineRule="auto"/>
              <w:ind w:left="4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EF40AE">
              <w:rPr>
                <w:rFonts w:asciiTheme="minorHAnsi" w:hAnsiTheme="minorHAnsi" w:cstheme="minorHAnsi"/>
                <w:color w:val="000000" w:themeColor="text1"/>
                <w:sz w:val="18"/>
                <w:szCs w:val="18"/>
              </w:rPr>
              <w:t>Labelling to display compliance with Energy Efficiency Standards (Article 36).</w:t>
            </w:r>
          </w:p>
        </w:tc>
      </w:tr>
      <w:tr w:rsidR="008B0046" w14:paraId="67C58F2E" w14:textId="77777777" w:rsidTr="00EF40AE">
        <w:tc>
          <w:tcPr>
            <w:cnfStyle w:val="001000000000" w:firstRow="0" w:lastRow="0" w:firstColumn="1" w:lastColumn="0" w:oddVBand="0" w:evenVBand="0" w:oddHBand="0" w:evenHBand="0" w:firstRowFirstColumn="0" w:firstRowLastColumn="0" w:lastRowFirstColumn="0" w:lastRowLastColumn="0"/>
            <w:tcW w:w="1296" w:type="dxa"/>
            <w:shd w:val="clear" w:color="auto" w:fill="auto"/>
            <w:hideMark/>
          </w:tcPr>
          <w:p w14:paraId="37EB71FE" w14:textId="77777777" w:rsidR="008B0046" w:rsidRPr="00527DBC" w:rsidRDefault="008B0046">
            <w:pPr>
              <w:rPr>
                <w:rFonts w:asciiTheme="minorHAnsi" w:hAnsiTheme="minorHAnsi" w:cstheme="minorHAnsi"/>
                <w:sz w:val="18"/>
                <w:szCs w:val="18"/>
              </w:rPr>
            </w:pPr>
            <w:r w:rsidRPr="00527DBC">
              <w:rPr>
                <w:rFonts w:asciiTheme="minorHAnsi" w:hAnsiTheme="minorHAnsi" w:cstheme="minorHAnsi"/>
                <w:sz w:val="18"/>
                <w:szCs w:val="18"/>
              </w:rPr>
              <w:t>South Korea</w:t>
            </w:r>
          </w:p>
        </w:tc>
        <w:tc>
          <w:tcPr>
            <w:tcW w:w="1109" w:type="dxa"/>
            <w:shd w:val="clear" w:color="auto" w:fill="auto"/>
            <w:hideMark/>
          </w:tcPr>
          <w:p w14:paraId="5E80E43B" w14:textId="77777777"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Building Energy Efficiency Rating and Disclosure System (BEERS), 2012</w:t>
            </w:r>
          </w:p>
        </w:tc>
        <w:tc>
          <w:tcPr>
            <w:tcW w:w="2552" w:type="dxa"/>
            <w:shd w:val="clear" w:color="auto" w:fill="auto"/>
            <w:hideMark/>
          </w:tcPr>
          <w:p w14:paraId="3988C412" w14:textId="6FD8C33F"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 xml:space="preserve">Point system, with a maximum of 100 points possible. </w:t>
            </w:r>
            <w:r w:rsidR="00701F12" w:rsidRPr="00527DBC">
              <w:rPr>
                <w:rFonts w:asciiTheme="minorHAnsi" w:hAnsiTheme="minorHAnsi" w:cstheme="minorHAnsi"/>
                <w:sz w:val="18"/>
                <w:szCs w:val="18"/>
              </w:rPr>
              <w:t>Performance based: b</w:t>
            </w:r>
            <w:r w:rsidRPr="00527DBC">
              <w:rPr>
                <w:rFonts w:asciiTheme="minorHAnsi" w:hAnsiTheme="minorHAnsi" w:cstheme="minorHAnsi"/>
                <w:sz w:val="18"/>
                <w:szCs w:val="18"/>
              </w:rPr>
              <w:t>uildings are evaluated on their energy consumption per unit area (kWh/m2/year), and a higher score indicates greater energy efficiency.</w:t>
            </w:r>
            <w:r w:rsidR="00701F12" w:rsidRPr="00527DBC">
              <w:rPr>
                <w:rFonts w:asciiTheme="minorHAnsi" w:hAnsiTheme="minorHAnsi" w:cstheme="minorHAnsi"/>
                <w:sz w:val="18"/>
                <w:szCs w:val="18"/>
              </w:rPr>
              <w:t xml:space="preserve"> </w:t>
            </w:r>
          </w:p>
        </w:tc>
        <w:tc>
          <w:tcPr>
            <w:tcW w:w="5103" w:type="dxa"/>
            <w:shd w:val="clear" w:color="auto" w:fill="auto"/>
            <w:hideMark/>
          </w:tcPr>
          <w:p w14:paraId="4ED6B763" w14:textId="77777777" w:rsidR="008B0046" w:rsidRPr="00527DBC" w:rsidRDefault="008B0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 xml:space="preserve">Applies to all commercial buildings with </w:t>
            </w:r>
            <w:proofErr w:type="spellStart"/>
            <w:r w:rsidRPr="00527DBC">
              <w:rPr>
                <w:rFonts w:asciiTheme="minorHAnsi" w:hAnsiTheme="minorHAnsi" w:cstheme="minorHAnsi"/>
                <w:sz w:val="18"/>
                <w:szCs w:val="18"/>
              </w:rPr>
              <w:t>GFA</w:t>
            </w:r>
            <w:proofErr w:type="spellEnd"/>
            <w:r w:rsidRPr="00527DBC">
              <w:rPr>
                <w:rFonts w:asciiTheme="minorHAnsi" w:hAnsiTheme="minorHAnsi" w:cstheme="minorHAnsi"/>
                <w:sz w:val="18"/>
                <w:szCs w:val="18"/>
              </w:rPr>
              <w:t xml:space="preserve"> &gt;3,000 square metres as well as non-residential buildings with </w:t>
            </w:r>
            <w:proofErr w:type="spellStart"/>
            <w:r w:rsidRPr="00527DBC">
              <w:rPr>
                <w:rFonts w:asciiTheme="minorHAnsi" w:hAnsiTheme="minorHAnsi" w:cstheme="minorHAnsi"/>
                <w:sz w:val="18"/>
                <w:szCs w:val="18"/>
              </w:rPr>
              <w:t>GFA</w:t>
            </w:r>
            <w:proofErr w:type="spellEnd"/>
            <w:r w:rsidRPr="00527DBC">
              <w:rPr>
                <w:rFonts w:asciiTheme="minorHAnsi" w:hAnsiTheme="minorHAnsi" w:cstheme="minorHAnsi"/>
                <w:sz w:val="18"/>
                <w:szCs w:val="18"/>
              </w:rPr>
              <w:t xml:space="preserve"> &gt;500 square metres.</w:t>
            </w:r>
          </w:p>
          <w:p w14:paraId="0271EE09" w14:textId="418B61F7" w:rsidR="008B0046" w:rsidRPr="00527DBC" w:rsidRDefault="008B0046" w:rsidP="001E2BA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27DBC">
              <w:rPr>
                <w:rFonts w:asciiTheme="minorHAnsi" w:hAnsiTheme="minorHAnsi" w:cstheme="minorHAnsi"/>
                <w:sz w:val="18"/>
                <w:szCs w:val="18"/>
              </w:rPr>
              <w:t>Requir</w:t>
            </w:r>
            <w:r w:rsidR="007B1C91" w:rsidRPr="00527DBC">
              <w:rPr>
                <w:rFonts w:asciiTheme="minorHAnsi" w:hAnsiTheme="minorHAnsi" w:cstheme="minorHAnsi"/>
                <w:sz w:val="18"/>
                <w:szCs w:val="18"/>
              </w:rPr>
              <w:t xml:space="preserve">es </w:t>
            </w:r>
            <w:r w:rsidRPr="00527DBC">
              <w:rPr>
                <w:rFonts w:asciiTheme="minorHAnsi" w:hAnsiTheme="minorHAnsi" w:cstheme="minorHAnsi"/>
                <w:sz w:val="18"/>
                <w:szCs w:val="18"/>
              </w:rPr>
              <w:t>energy consumption data for the previous year</w:t>
            </w:r>
            <w:r w:rsidR="007B1C91" w:rsidRPr="00527DBC">
              <w:rPr>
                <w:rFonts w:asciiTheme="minorHAnsi" w:hAnsiTheme="minorHAnsi" w:cstheme="minorHAnsi"/>
                <w:sz w:val="18"/>
                <w:szCs w:val="18"/>
              </w:rPr>
              <w:t xml:space="preserve">, </w:t>
            </w:r>
            <w:r w:rsidRPr="00527DBC">
              <w:rPr>
                <w:rFonts w:asciiTheme="minorHAnsi" w:hAnsiTheme="minorHAnsi" w:cstheme="minorHAnsi"/>
                <w:sz w:val="18"/>
                <w:szCs w:val="18"/>
              </w:rPr>
              <w:t>energy evaluation by a certified energy inspector</w:t>
            </w:r>
            <w:r w:rsidR="007B1C91" w:rsidRPr="00527DBC">
              <w:rPr>
                <w:rFonts w:asciiTheme="minorHAnsi" w:hAnsiTheme="minorHAnsi" w:cstheme="minorHAnsi"/>
                <w:sz w:val="18"/>
                <w:szCs w:val="18"/>
              </w:rPr>
              <w:t xml:space="preserve">, </w:t>
            </w:r>
            <w:r w:rsidRPr="00527DBC">
              <w:rPr>
                <w:rFonts w:asciiTheme="minorHAnsi" w:hAnsiTheme="minorHAnsi" w:cstheme="minorHAnsi"/>
                <w:sz w:val="18"/>
                <w:szCs w:val="18"/>
              </w:rPr>
              <w:t>disclose BEERS rating to the public.</w:t>
            </w:r>
            <w:r w:rsidR="001E2BA0" w:rsidRPr="00527DBC">
              <w:rPr>
                <w:rFonts w:asciiTheme="minorHAnsi" w:hAnsiTheme="minorHAnsi" w:cstheme="minorHAnsi"/>
                <w:sz w:val="18"/>
                <w:szCs w:val="18"/>
              </w:rPr>
              <w:t xml:space="preserve"> </w:t>
            </w:r>
            <w:r w:rsidRPr="00527DBC">
              <w:rPr>
                <w:rFonts w:asciiTheme="minorHAnsi" w:hAnsiTheme="minorHAnsi" w:cstheme="minorHAnsi"/>
                <w:sz w:val="18"/>
                <w:szCs w:val="18"/>
              </w:rPr>
              <w:t>Government buildings must submit annual reports on energy performance, energy efficiency measures implemented, and BEERS rating.</w:t>
            </w:r>
          </w:p>
        </w:tc>
      </w:tr>
    </w:tbl>
    <w:p w14:paraId="3D85D0D4" w14:textId="453888E6" w:rsidR="00B151EF" w:rsidRPr="00527DBC" w:rsidRDefault="00B151EF">
      <w:pPr>
        <w:spacing w:before="0" w:after="160" w:line="259" w:lineRule="auto"/>
        <w:rPr>
          <w:rFonts w:asciiTheme="minorHAnsi" w:hAnsiTheme="minorHAnsi" w:cstheme="minorHAnsi"/>
        </w:rPr>
      </w:pPr>
      <w:r w:rsidRPr="00527DBC">
        <w:rPr>
          <w:rFonts w:asciiTheme="minorHAnsi" w:hAnsiTheme="minorHAnsi" w:cstheme="minorHAnsi"/>
        </w:rPr>
        <w:br w:type="page"/>
      </w:r>
    </w:p>
    <w:p w14:paraId="24E8ADEF" w14:textId="77777777" w:rsidR="00386C2C" w:rsidRPr="00527DBC" w:rsidRDefault="00386C2C" w:rsidP="00F10442">
      <w:pPr>
        <w:pStyle w:val="BodyText"/>
        <w:rPr>
          <w:rFonts w:asciiTheme="minorHAnsi" w:hAnsiTheme="minorHAnsi" w:cstheme="minorHAnsi"/>
        </w:rPr>
      </w:pPr>
    </w:p>
    <w:tbl>
      <w:tblPr>
        <w:tblStyle w:val="TableGrid"/>
        <w:tblW w:w="0" w:type="auto"/>
        <w:shd w:val="clear" w:color="auto" w:fill="F2F2F2" w:themeFill="background1" w:themeFillShade="F2"/>
        <w:tblLook w:val="04A0" w:firstRow="1" w:lastRow="0" w:firstColumn="1" w:lastColumn="0" w:noHBand="0" w:noVBand="1"/>
      </w:tblPr>
      <w:tblGrid>
        <w:gridCol w:w="10194"/>
      </w:tblGrid>
      <w:tr w:rsidR="005B167A" w14:paraId="58867AA3" w14:textId="77777777" w:rsidTr="00245ECB">
        <w:tc>
          <w:tcPr>
            <w:tcW w:w="10194" w:type="dxa"/>
            <w:shd w:val="clear" w:color="auto" w:fill="F2F2F2" w:themeFill="background1" w:themeFillShade="F2"/>
          </w:tcPr>
          <w:p w14:paraId="75A53735" w14:textId="7E7E852A" w:rsidR="005B167A" w:rsidRPr="00527DBC" w:rsidRDefault="005B167A" w:rsidP="00245ECB">
            <w:pPr>
              <w:pStyle w:val="IntroText"/>
              <w:jc w:val="center"/>
              <w:rPr>
                <w:rFonts w:asciiTheme="minorHAnsi" w:hAnsiTheme="minorHAnsi" w:cstheme="minorHAnsi"/>
              </w:rPr>
            </w:pPr>
            <w:r w:rsidRPr="00527DBC">
              <w:rPr>
                <w:rFonts w:asciiTheme="minorHAnsi" w:hAnsiTheme="minorHAnsi" w:cstheme="minorHAnsi"/>
              </w:rPr>
              <w:t>Box 1 Case Study: UK’s journey towards performance disclosure through the Industrial Energy Performance Framework</w:t>
            </w:r>
          </w:p>
          <w:p w14:paraId="5E43E470" w14:textId="77777777" w:rsidR="005B167A" w:rsidRPr="00527DBC" w:rsidRDefault="005B167A" w:rsidP="005B167A">
            <w:pPr>
              <w:pStyle w:val="BodyText"/>
              <w:rPr>
                <w:rFonts w:asciiTheme="minorHAnsi" w:hAnsiTheme="minorHAnsi" w:cstheme="minorHAnsi"/>
                <w:b/>
              </w:rPr>
            </w:pPr>
            <w:r w:rsidRPr="00527DBC">
              <w:rPr>
                <w:rFonts w:asciiTheme="minorHAnsi" w:hAnsiTheme="minorHAnsi" w:cstheme="minorHAnsi"/>
                <w:b/>
              </w:rPr>
              <w:t>Background</w:t>
            </w:r>
          </w:p>
          <w:p w14:paraId="6D9F8403" w14:textId="5DDB7284" w:rsidR="005B167A" w:rsidRPr="00527DBC" w:rsidRDefault="005B167A" w:rsidP="005B167A">
            <w:pPr>
              <w:pStyle w:val="BodyText"/>
              <w:rPr>
                <w:rFonts w:asciiTheme="minorHAnsi" w:hAnsiTheme="minorHAnsi" w:cstheme="minorHAnsi"/>
              </w:rPr>
            </w:pPr>
            <w:r w:rsidRPr="00527DBC">
              <w:rPr>
                <w:rFonts w:asciiTheme="minorHAnsi" w:hAnsiTheme="minorHAnsi" w:cstheme="minorHAnsi"/>
              </w:rPr>
              <w:t xml:space="preserve">In 2008, the government introduced the Energy Performance Certificate (EPC) </w:t>
            </w:r>
            <w:proofErr w:type="gramStart"/>
            <w:r w:rsidRPr="00527DBC">
              <w:rPr>
                <w:rFonts w:asciiTheme="minorHAnsi" w:hAnsiTheme="minorHAnsi" w:cstheme="minorHAnsi"/>
              </w:rPr>
              <w:t>as a way to</w:t>
            </w:r>
            <w:proofErr w:type="gramEnd"/>
            <w:r w:rsidRPr="00527DBC">
              <w:rPr>
                <w:rFonts w:asciiTheme="minorHAnsi" w:hAnsiTheme="minorHAnsi" w:cstheme="minorHAnsi"/>
              </w:rPr>
              <w:t xml:space="preserve"> measure the energy efficiency of buildings.</w:t>
            </w:r>
            <w:r w:rsidR="00723239">
              <w:rPr>
                <w:rFonts w:ascii="ZWAdobeF" w:hAnsi="ZWAdobeF" w:cs="ZWAdobeF"/>
                <w:color w:val="auto"/>
                <w:sz w:val="2"/>
                <w:szCs w:val="2"/>
              </w:rPr>
              <w:t>56F</w:t>
            </w:r>
            <w:r w:rsidR="00EE36E3">
              <w:rPr>
                <w:rFonts w:ascii="ZWAdobeF" w:hAnsi="ZWAdobeF" w:cs="ZWAdobeF"/>
                <w:color w:val="auto"/>
                <w:sz w:val="2"/>
                <w:szCs w:val="2"/>
              </w:rPr>
              <w:t>56F</w:t>
            </w:r>
            <w:r w:rsidR="00BE18D1">
              <w:rPr>
                <w:rFonts w:ascii="ZWAdobeF" w:hAnsi="ZWAdobeF" w:cs="ZWAdobeF"/>
                <w:color w:val="auto"/>
                <w:sz w:val="2"/>
                <w:szCs w:val="2"/>
              </w:rPr>
              <w:t>56F</w:t>
            </w:r>
            <w:r w:rsidR="00F73A23">
              <w:rPr>
                <w:rFonts w:ascii="ZWAdobeF" w:hAnsi="ZWAdobeF" w:cs="ZWAdobeF"/>
                <w:color w:val="auto"/>
                <w:sz w:val="2"/>
                <w:szCs w:val="2"/>
              </w:rPr>
              <w:t>56F</w:t>
            </w:r>
            <w:r w:rsidR="00626378">
              <w:rPr>
                <w:rFonts w:ascii="ZWAdobeF" w:hAnsi="ZWAdobeF" w:cs="ZWAdobeF"/>
                <w:color w:val="auto"/>
                <w:sz w:val="2"/>
                <w:szCs w:val="2"/>
              </w:rPr>
              <w:t>56F</w:t>
            </w:r>
            <w:r w:rsidR="00413811">
              <w:rPr>
                <w:rFonts w:ascii="ZWAdobeF" w:hAnsi="ZWAdobeF" w:cs="ZWAdobeF"/>
                <w:color w:val="auto"/>
                <w:sz w:val="2"/>
                <w:szCs w:val="2"/>
              </w:rPr>
              <w:t>56F</w:t>
            </w:r>
            <w:r w:rsidR="002C327C">
              <w:rPr>
                <w:rFonts w:ascii="ZWAdobeF" w:hAnsi="ZWAdobeF" w:cs="ZWAdobeF"/>
                <w:color w:val="auto"/>
                <w:sz w:val="2"/>
                <w:szCs w:val="2"/>
              </w:rPr>
              <w:t>56F</w:t>
            </w:r>
            <w:r w:rsidR="00D24A06">
              <w:rPr>
                <w:rFonts w:ascii="ZWAdobeF" w:hAnsi="ZWAdobeF" w:cs="ZWAdobeF"/>
                <w:color w:val="auto"/>
                <w:sz w:val="2"/>
                <w:szCs w:val="2"/>
              </w:rPr>
              <w:t>56F</w:t>
            </w:r>
            <w:r w:rsidRPr="00527DBC">
              <w:rPr>
                <w:rStyle w:val="FootnoteReference"/>
                <w:rFonts w:asciiTheme="minorHAnsi" w:hAnsiTheme="minorHAnsi" w:cstheme="minorHAnsi"/>
              </w:rPr>
              <w:footnoteReference w:id="58"/>
            </w:r>
            <w:r w:rsidRPr="00527DBC">
              <w:rPr>
                <w:rFonts w:asciiTheme="minorHAnsi" w:hAnsiTheme="minorHAnsi" w:cstheme="minorHAnsi"/>
              </w:rPr>
              <w:t xml:space="preserve"> The EPC rates buildings on a scale of A to G, with A being the most energy</w:t>
            </w:r>
            <w:r w:rsidR="00AE40A7" w:rsidRPr="00527DBC">
              <w:rPr>
                <w:rFonts w:asciiTheme="minorHAnsi" w:hAnsiTheme="minorHAnsi" w:cstheme="minorHAnsi"/>
              </w:rPr>
              <w:t xml:space="preserve"> </w:t>
            </w:r>
            <w:r w:rsidRPr="00527DBC">
              <w:rPr>
                <w:rFonts w:asciiTheme="minorHAnsi" w:hAnsiTheme="minorHAnsi" w:cstheme="minorHAnsi"/>
              </w:rPr>
              <w:t>efficient.</w:t>
            </w:r>
          </w:p>
          <w:p w14:paraId="1B985370" w14:textId="77777777" w:rsidR="005B167A" w:rsidRPr="00527DBC" w:rsidRDefault="005B167A" w:rsidP="005B167A">
            <w:pPr>
              <w:pStyle w:val="BodyText"/>
              <w:rPr>
                <w:rFonts w:asciiTheme="minorHAnsi" w:hAnsiTheme="minorHAnsi" w:cstheme="minorHAnsi"/>
                <w:b/>
              </w:rPr>
            </w:pPr>
            <w:r w:rsidRPr="00527DBC">
              <w:rPr>
                <w:rFonts w:asciiTheme="minorHAnsi" w:hAnsiTheme="minorHAnsi" w:cstheme="minorHAnsi"/>
                <w:b/>
              </w:rPr>
              <w:t>Challenge</w:t>
            </w:r>
          </w:p>
          <w:p w14:paraId="3DC5BC57" w14:textId="46C5178E" w:rsidR="005B167A" w:rsidRPr="00527DBC" w:rsidRDefault="005B167A" w:rsidP="005B167A">
            <w:pPr>
              <w:pStyle w:val="BodyText"/>
              <w:rPr>
                <w:rFonts w:asciiTheme="minorHAnsi" w:hAnsiTheme="minorHAnsi" w:cstheme="minorHAnsi"/>
              </w:rPr>
            </w:pPr>
            <w:r w:rsidRPr="00527DBC">
              <w:rPr>
                <w:rFonts w:asciiTheme="minorHAnsi" w:hAnsiTheme="minorHAnsi" w:cstheme="minorHAnsi"/>
              </w:rPr>
              <w:t xml:space="preserve">The Government had predominantly used </w:t>
            </w:r>
            <w:proofErr w:type="spellStart"/>
            <w:r w:rsidRPr="00527DBC">
              <w:rPr>
                <w:rFonts w:asciiTheme="minorHAnsi" w:hAnsiTheme="minorHAnsi" w:cstheme="minorHAnsi"/>
              </w:rPr>
              <w:t>EPCs</w:t>
            </w:r>
            <w:proofErr w:type="spellEnd"/>
            <w:r w:rsidRPr="00527DBC">
              <w:rPr>
                <w:rFonts w:asciiTheme="minorHAnsi" w:hAnsiTheme="minorHAnsi" w:cstheme="minorHAnsi"/>
              </w:rPr>
              <w:t xml:space="preserve"> to assess energy performance and carbon emissions in buildings. However, </w:t>
            </w:r>
            <w:proofErr w:type="spellStart"/>
            <w:r w:rsidRPr="00527DBC">
              <w:rPr>
                <w:rFonts w:asciiTheme="minorHAnsi" w:hAnsiTheme="minorHAnsi" w:cstheme="minorHAnsi"/>
              </w:rPr>
              <w:t>EPCs</w:t>
            </w:r>
            <w:proofErr w:type="spellEnd"/>
            <w:r w:rsidRPr="00527DBC">
              <w:rPr>
                <w:rFonts w:asciiTheme="minorHAnsi" w:hAnsiTheme="minorHAnsi" w:cstheme="minorHAnsi"/>
              </w:rPr>
              <w:t xml:space="preserve"> do not measure actual metered energy consumption and associated carbon emissions. A high EPC score does not guarantee that a building will use less energy and emit less carbon as a result. In fact, in large and complex buildings, the evidence showed a weak correlation between a building’s EPC score and its actual energy and carbon performance in practices</w:t>
            </w:r>
            <w:r>
              <w:rPr>
                <w:rFonts w:asciiTheme="minorHAnsi" w:hAnsiTheme="minorHAnsi" w:cstheme="minorHAnsi"/>
              </w:rPr>
              <w:t>.</w:t>
            </w:r>
            <w:r w:rsidR="00723239">
              <w:rPr>
                <w:rFonts w:ascii="ZWAdobeF" w:hAnsi="ZWAdobeF" w:cs="ZWAdobeF"/>
                <w:color w:val="auto"/>
                <w:sz w:val="2"/>
                <w:szCs w:val="2"/>
              </w:rPr>
              <w:t>57F</w:t>
            </w:r>
            <w:r w:rsidR="00EE36E3">
              <w:rPr>
                <w:rFonts w:ascii="ZWAdobeF" w:hAnsi="ZWAdobeF" w:cs="ZWAdobeF"/>
                <w:color w:val="auto"/>
                <w:sz w:val="2"/>
                <w:szCs w:val="2"/>
              </w:rPr>
              <w:t>57F</w:t>
            </w:r>
            <w:r w:rsidR="00BE18D1">
              <w:rPr>
                <w:rFonts w:ascii="ZWAdobeF" w:hAnsi="ZWAdobeF" w:cs="ZWAdobeF"/>
                <w:color w:val="auto"/>
                <w:sz w:val="2"/>
                <w:szCs w:val="2"/>
              </w:rPr>
              <w:t>57F</w:t>
            </w:r>
            <w:r w:rsidR="00F73A23">
              <w:rPr>
                <w:rFonts w:ascii="ZWAdobeF" w:hAnsi="ZWAdobeF" w:cs="ZWAdobeF"/>
                <w:color w:val="auto"/>
                <w:sz w:val="2"/>
                <w:szCs w:val="2"/>
              </w:rPr>
              <w:t>57F</w:t>
            </w:r>
            <w:r w:rsidR="00626378">
              <w:rPr>
                <w:rFonts w:ascii="ZWAdobeF" w:hAnsi="ZWAdobeF" w:cs="ZWAdobeF"/>
                <w:color w:val="auto"/>
                <w:sz w:val="2"/>
                <w:szCs w:val="2"/>
              </w:rPr>
              <w:t>57F</w:t>
            </w:r>
            <w:r w:rsidR="00413811">
              <w:rPr>
                <w:rFonts w:ascii="ZWAdobeF" w:hAnsi="ZWAdobeF" w:cs="ZWAdobeF"/>
                <w:color w:val="auto"/>
                <w:sz w:val="2"/>
                <w:szCs w:val="2"/>
              </w:rPr>
              <w:t>57F</w:t>
            </w:r>
            <w:r w:rsidR="002C327C">
              <w:rPr>
                <w:rFonts w:ascii="ZWAdobeF" w:hAnsi="ZWAdobeF" w:cs="ZWAdobeF"/>
                <w:color w:val="auto"/>
                <w:sz w:val="2"/>
                <w:szCs w:val="2"/>
              </w:rPr>
              <w:t>57F</w:t>
            </w:r>
            <w:r w:rsidR="00D24A06">
              <w:rPr>
                <w:rFonts w:ascii="ZWAdobeF" w:hAnsi="ZWAdobeF" w:cs="ZWAdobeF"/>
                <w:color w:val="auto"/>
                <w:sz w:val="2"/>
                <w:szCs w:val="2"/>
              </w:rPr>
              <w:t>57F</w:t>
            </w:r>
            <w:r w:rsidRPr="00527DBC">
              <w:rPr>
                <w:rStyle w:val="FootnoteReference"/>
                <w:rFonts w:asciiTheme="minorHAnsi" w:hAnsiTheme="minorHAnsi" w:cstheme="minorHAnsi"/>
              </w:rPr>
              <w:footnoteReference w:id="59"/>
            </w:r>
          </w:p>
          <w:p w14:paraId="65D72879" w14:textId="77777777" w:rsidR="005B167A" w:rsidRPr="00527DBC" w:rsidRDefault="005B167A" w:rsidP="005B167A">
            <w:pPr>
              <w:pStyle w:val="BodyText"/>
              <w:rPr>
                <w:rFonts w:asciiTheme="minorHAnsi" w:hAnsiTheme="minorHAnsi" w:cstheme="minorHAnsi"/>
                <w:b/>
              </w:rPr>
            </w:pPr>
            <w:r w:rsidRPr="00527DBC">
              <w:rPr>
                <w:rFonts w:asciiTheme="minorHAnsi" w:hAnsiTheme="minorHAnsi" w:cstheme="minorHAnsi"/>
                <w:b/>
              </w:rPr>
              <w:t>Solution</w:t>
            </w:r>
          </w:p>
          <w:p w14:paraId="0A38A61E" w14:textId="1225881E" w:rsidR="005B167A" w:rsidRPr="00527DBC" w:rsidRDefault="005B167A" w:rsidP="005B167A">
            <w:pPr>
              <w:pStyle w:val="BodyText"/>
              <w:rPr>
                <w:rFonts w:asciiTheme="minorHAnsi" w:hAnsiTheme="minorHAnsi" w:cstheme="minorHAnsi"/>
              </w:rPr>
            </w:pPr>
            <w:r w:rsidRPr="00527DBC">
              <w:rPr>
                <w:rFonts w:asciiTheme="minorHAnsi" w:hAnsiTheme="minorHAnsi" w:cstheme="minorHAnsi"/>
              </w:rPr>
              <w:t>To address this challenge, the UK government developed the Industrial Energy Performance Framework (</w:t>
            </w:r>
            <w:proofErr w:type="spellStart"/>
            <w:r w:rsidRPr="00527DBC">
              <w:rPr>
                <w:rFonts w:asciiTheme="minorHAnsi" w:hAnsiTheme="minorHAnsi" w:cstheme="minorHAnsi"/>
              </w:rPr>
              <w:t>IEPF</w:t>
            </w:r>
            <w:proofErr w:type="spellEnd"/>
            <w:r w:rsidRPr="00527DBC">
              <w:rPr>
                <w:rFonts w:asciiTheme="minorHAnsi" w:hAnsiTheme="minorHAnsi" w:cstheme="minorHAnsi"/>
              </w:rPr>
              <w:t xml:space="preserve">) in 2022, which is based on the NABERS rating system in Australia. The </w:t>
            </w:r>
            <w:proofErr w:type="spellStart"/>
            <w:r w:rsidRPr="00527DBC">
              <w:rPr>
                <w:rFonts w:asciiTheme="minorHAnsi" w:hAnsiTheme="minorHAnsi" w:cstheme="minorHAnsi"/>
              </w:rPr>
              <w:t>IEPF</w:t>
            </w:r>
            <w:proofErr w:type="spellEnd"/>
            <w:r w:rsidRPr="00527DBC">
              <w:rPr>
                <w:rFonts w:asciiTheme="minorHAnsi" w:hAnsiTheme="minorHAnsi" w:cstheme="minorHAnsi"/>
              </w:rPr>
              <w:t xml:space="preserve"> provides a standardized approach to assessing and improving energy performance in industrial and commercial buildings and a performance-based rating system. As a first step, the Government proposes that owners and single tenants of commercial and industrial buildings above 1,000 square metres will be required to obtain a rating for their building on an annual basis, and have that rating disclosed publicly online. The target is offices first. For smaller businesses, the government is considering policy approaches including whether to adopt minimum energy efficiency standards </w:t>
            </w:r>
            <w:proofErr w:type="gramStart"/>
            <w:r w:rsidRPr="00527DBC">
              <w:rPr>
                <w:rFonts w:asciiTheme="minorHAnsi" w:hAnsiTheme="minorHAnsi" w:cstheme="minorHAnsi"/>
              </w:rPr>
              <w:t>similar to</w:t>
            </w:r>
            <w:proofErr w:type="gramEnd"/>
            <w:r w:rsidRPr="00527DBC">
              <w:rPr>
                <w:rFonts w:asciiTheme="minorHAnsi" w:hAnsiTheme="minorHAnsi" w:cstheme="minorHAnsi"/>
              </w:rPr>
              <w:t xml:space="preserve"> the private-rented sector approach</w:t>
            </w:r>
            <w:r w:rsidR="002969EE" w:rsidRPr="00527DBC">
              <w:rPr>
                <w:rFonts w:asciiTheme="minorHAnsi" w:hAnsiTheme="minorHAnsi" w:cstheme="minorHAnsi"/>
              </w:rPr>
              <w:t>.</w:t>
            </w:r>
            <w:r w:rsidR="00723239">
              <w:rPr>
                <w:rFonts w:ascii="ZWAdobeF" w:hAnsi="ZWAdobeF" w:cs="ZWAdobeF"/>
                <w:color w:val="auto"/>
                <w:sz w:val="2"/>
                <w:szCs w:val="2"/>
              </w:rPr>
              <w:t>58F</w:t>
            </w:r>
            <w:r w:rsidR="00EE36E3">
              <w:rPr>
                <w:rFonts w:ascii="ZWAdobeF" w:hAnsi="ZWAdobeF" w:cs="ZWAdobeF"/>
                <w:color w:val="auto"/>
                <w:sz w:val="2"/>
                <w:szCs w:val="2"/>
              </w:rPr>
              <w:t>58F</w:t>
            </w:r>
            <w:r w:rsidR="00BE18D1">
              <w:rPr>
                <w:rFonts w:ascii="ZWAdobeF" w:hAnsi="ZWAdobeF" w:cs="ZWAdobeF"/>
                <w:color w:val="auto"/>
                <w:sz w:val="2"/>
                <w:szCs w:val="2"/>
              </w:rPr>
              <w:t>58F</w:t>
            </w:r>
            <w:r w:rsidR="00F73A23">
              <w:rPr>
                <w:rFonts w:ascii="ZWAdobeF" w:hAnsi="ZWAdobeF" w:cs="ZWAdobeF"/>
                <w:color w:val="auto"/>
                <w:sz w:val="2"/>
                <w:szCs w:val="2"/>
              </w:rPr>
              <w:t>58F</w:t>
            </w:r>
            <w:r w:rsidR="00626378">
              <w:rPr>
                <w:rFonts w:ascii="ZWAdobeF" w:hAnsi="ZWAdobeF" w:cs="ZWAdobeF"/>
                <w:color w:val="auto"/>
                <w:sz w:val="2"/>
                <w:szCs w:val="2"/>
              </w:rPr>
              <w:t>58F</w:t>
            </w:r>
            <w:r w:rsidR="00413811">
              <w:rPr>
                <w:rFonts w:ascii="ZWAdobeF" w:hAnsi="ZWAdobeF" w:cs="ZWAdobeF"/>
                <w:color w:val="auto"/>
                <w:sz w:val="2"/>
                <w:szCs w:val="2"/>
              </w:rPr>
              <w:t>58F</w:t>
            </w:r>
            <w:r w:rsidR="002C327C">
              <w:rPr>
                <w:rFonts w:ascii="ZWAdobeF" w:hAnsi="ZWAdobeF" w:cs="ZWAdobeF"/>
                <w:color w:val="auto"/>
                <w:sz w:val="2"/>
                <w:szCs w:val="2"/>
              </w:rPr>
              <w:t>58F</w:t>
            </w:r>
            <w:r w:rsidR="00D24A06">
              <w:rPr>
                <w:rFonts w:ascii="ZWAdobeF" w:hAnsi="ZWAdobeF" w:cs="ZWAdobeF"/>
                <w:color w:val="auto"/>
                <w:sz w:val="2"/>
                <w:szCs w:val="2"/>
              </w:rPr>
              <w:t>58F</w:t>
            </w:r>
            <w:r w:rsidRPr="00527DBC">
              <w:rPr>
                <w:rStyle w:val="FootnoteReference"/>
                <w:rFonts w:asciiTheme="minorHAnsi" w:hAnsiTheme="minorHAnsi" w:cstheme="minorHAnsi"/>
              </w:rPr>
              <w:footnoteReference w:id="60"/>
            </w:r>
          </w:p>
          <w:p w14:paraId="3A497F8D" w14:textId="77777777" w:rsidR="005B167A" w:rsidRPr="00527DBC" w:rsidRDefault="005B167A" w:rsidP="005B167A">
            <w:pPr>
              <w:pStyle w:val="BodyText"/>
              <w:rPr>
                <w:rFonts w:asciiTheme="minorHAnsi" w:hAnsiTheme="minorHAnsi" w:cstheme="minorHAnsi"/>
                <w:b/>
              </w:rPr>
            </w:pPr>
            <w:r w:rsidRPr="00527DBC">
              <w:rPr>
                <w:rFonts w:asciiTheme="minorHAnsi" w:hAnsiTheme="minorHAnsi" w:cstheme="minorHAnsi"/>
                <w:b/>
              </w:rPr>
              <w:t>Progress</w:t>
            </w:r>
          </w:p>
          <w:p w14:paraId="30AF15F8" w14:textId="288472F2" w:rsidR="005B167A" w:rsidRPr="00527DBC" w:rsidRDefault="005B167A" w:rsidP="005B167A">
            <w:pPr>
              <w:pStyle w:val="BodyText"/>
              <w:rPr>
                <w:rFonts w:asciiTheme="minorHAnsi" w:hAnsiTheme="minorHAnsi" w:cstheme="minorHAnsi"/>
              </w:rPr>
            </w:pPr>
            <w:r w:rsidRPr="00527DBC">
              <w:rPr>
                <w:rFonts w:asciiTheme="minorHAnsi" w:hAnsiTheme="minorHAnsi" w:cstheme="minorHAnsi"/>
              </w:rPr>
              <w:t>The soft</w:t>
            </w:r>
            <w:r w:rsidR="00AE40A7" w:rsidRPr="00527DBC">
              <w:rPr>
                <w:rFonts w:asciiTheme="minorHAnsi" w:hAnsiTheme="minorHAnsi" w:cstheme="minorHAnsi"/>
              </w:rPr>
              <w:t xml:space="preserve"> </w:t>
            </w:r>
            <w:r w:rsidRPr="00527DBC">
              <w:rPr>
                <w:rFonts w:asciiTheme="minorHAnsi" w:hAnsiTheme="minorHAnsi" w:cstheme="minorHAnsi"/>
              </w:rPr>
              <w:t xml:space="preserve">launch started a year ago but there are no progress reports </w:t>
            </w:r>
            <w:proofErr w:type="gramStart"/>
            <w:r w:rsidRPr="00527DBC">
              <w:rPr>
                <w:rFonts w:asciiTheme="minorHAnsi" w:hAnsiTheme="minorHAnsi" w:cstheme="minorHAnsi"/>
              </w:rPr>
              <w:t>as yet</w:t>
            </w:r>
            <w:proofErr w:type="gramEnd"/>
            <w:r w:rsidRPr="00527DBC">
              <w:rPr>
                <w:rFonts w:asciiTheme="minorHAnsi" w:hAnsiTheme="minorHAnsi" w:cstheme="minorHAnsi"/>
              </w:rPr>
              <w:t>.</w:t>
            </w:r>
          </w:p>
          <w:p w14:paraId="47EAAB74" w14:textId="77777777" w:rsidR="005B167A" w:rsidRPr="00527DBC" w:rsidRDefault="005B167A" w:rsidP="005B167A">
            <w:pPr>
              <w:pStyle w:val="BodyText"/>
              <w:rPr>
                <w:rFonts w:asciiTheme="minorHAnsi" w:hAnsiTheme="minorHAnsi" w:cstheme="minorHAnsi"/>
                <w:b/>
              </w:rPr>
            </w:pPr>
            <w:r w:rsidRPr="00527DBC">
              <w:rPr>
                <w:rFonts w:asciiTheme="minorHAnsi" w:hAnsiTheme="minorHAnsi" w:cstheme="minorHAnsi"/>
                <w:b/>
              </w:rPr>
              <w:t xml:space="preserve">Related policies and strategies </w:t>
            </w:r>
          </w:p>
          <w:p w14:paraId="10C04B3F" w14:textId="6B5B3E66" w:rsidR="005B167A" w:rsidRPr="00527DBC" w:rsidRDefault="005B167A" w:rsidP="005B167A">
            <w:pPr>
              <w:pStyle w:val="BodyText"/>
              <w:rPr>
                <w:rFonts w:asciiTheme="minorHAnsi" w:hAnsiTheme="minorHAnsi" w:cstheme="minorHAnsi"/>
              </w:rPr>
            </w:pPr>
            <w:r w:rsidRPr="00527DBC">
              <w:rPr>
                <w:rFonts w:asciiTheme="minorHAnsi" w:hAnsiTheme="minorHAnsi" w:cstheme="minorHAnsi"/>
              </w:rPr>
              <w:t xml:space="preserve">Related to the </w:t>
            </w:r>
            <w:proofErr w:type="spellStart"/>
            <w:r w:rsidRPr="00527DBC">
              <w:rPr>
                <w:rFonts w:asciiTheme="minorHAnsi" w:hAnsiTheme="minorHAnsi" w:cstheme="minorHAnsi"/>
              </w:rPr>
              <w:t>IEPF</w:t>
            </w:r>
            <w:proofErr w:type="spellEnd"/>
            <w:r w:rsidRPr="00527DBC">
              <w:rPr>
                <w:rFonts w:asciiTheme="minorHAnsi" w:hAnsiTheme="minorHAnsi" w:cstheme="minorHAnsi"/>
              </w:rPr>
              <w:t>, the government introduced the Energy Savings Opportunity Scheme (ESOS) in 2014.</w:t>
            </w:r>
            <w:r w:rsidR="00723239">
              <w:rPr>
                <w:rFonts w:ascii="ZWAdobeF" w:hAnsi="ZWAdobeF" w:cs="ZWAdobeF"/>
                <w:color w:val="auto"/>
                <w:sz w:val="2"/>
                <w:szCs w:val="2"/>
              </w:rPr>
              <w:t>59F</w:t>
            </w:r>
            <w:r w:rsidR="00EE36E3">
              <w:rPr>
                <w:rFonts w:ascii="ZWAdobeF" w:hAnsi="ZWAdobeF" w:cs="ZWAdobeF"/>
                <w:color w:val="auto"/>
                <w:sz w:val="2"/>
                <w:szCs w:val="2"/>
              </w:rPr>
              <w:t>59F</w:t>
            </w:r>
            <w:r w:rsidR="00BE18D1">
              <w:rPr>
                <w:rFonts w:ascii="ZWAdobeF" w:hAnsi="ZWAdobeF" w:cs="ZWAdobeF"/>
                <w:color w:val="auto"/>
                <w:sz w:val="2"/>
                <w:szCs w:val="2"/>
              </w:rPr>
              <w:t>59F</w:t>
            </w:r>
            <w:r w:rsidR="00F73A23">
              <w:rPr>
                <w:rFonts w:ascii="ZWAdobeF" w:hAnsi="ZWAdobeF" w:cs="ZWAdobeF"/>
                <w:color w:val="auto"/>
                <w:sz w:val="2"/>
                <w:szCs w:val="2"/>
              </w:rPr>
              <w:t>59F</w:t>
            </w:r>
            <w:r w:rsidR="00626378">
              <w:rPr>
                <w:rFonts w:ascii="ZWAdobeF" w:hAnsi="ZWAdobeF" w:cs="ZWAdobeF"/>
                <w:color w:val="auto"/>
                <w:sz w:val="2"/>
                <w:szCs w:val="2"/>
              </w:rPr>
              <w:t>59F</w:t>
            </w:r>
            <w:r w:rsidR="00413811">
              <w:rPr>
                <w:rFonts w:ascii="ZWAdobeF" w:hAnsi="ZWAdobeF" w:cs="ZWAdobeF"/>
                <w:color w:val="auto"/>
                <w:sz w:val="2"/>
                <w:szCs w:val="2"/>
              </w:rPr>
              <w:t>59F</w:t>
            </w:r>
            <w:r w:rsidR="002C327C">
              <w:rPr>
                <w:rFonts w:ascii="ZWAdobeF" w:hAnsi="ZWAdobeF" w:cs="ZWAdobeF"/>
                <w:color w:val="auto"/>
                <w:sz w:val="2"/>
                <w:szCs w:val="2"/>
              </w:rPr>
              <w:t>59F</w:t>
            </w:r>
            <w:r w:rsidR="00D24A06">
              <w:rPr>
                <w:rFonts w:ascii="ZWAdobeF" w:hAnsi="ZWAdobeF" w:cs="ZWAdobeF"/>
                <w:color w:val="auto"/>
                <w:sz w:val="2"/>
                <w:szCs w:val="2"/>
              </w:rPr>
              <w:t>59F</w:t>
            </w:r>
            <w:r w:rsidRPr="00527DBC">
              <w:rPr>
                <w:rStyle w:val="FootnoteReference"/>
                <w:rFonts w:asciiTheme="minorHAnsi" w:hAnsiTheme="minorHAnsi" w:cstheme="minorHAnsi"/>
              </w:rPr>
              <w:footnoteReference w:id="61"/>
            </w:r>
            <w:r w:rsidRPr="00527DBC">
              <w:rPr>
                <w:rFonts w:asciiTheme="minorHAnsi" w:hAnsiTheme="minorHAnsi" w:cstheme="minorHAnsi"/>
              </w:rPr>
              <w:t xml:space="preserve"> ESOS requires large businesses to carry out an energy audit every four years and disclose their energy performance to stakeholders.</w:t>
            </w:r>
            <w:r w:rsidR="00723239">
              <w:rPr>
                <w:rFonts w:ascii="ZWAdobeF" w:hAnsi="ZWAdobeF" w:cs="ZWAdobeF"/>
                <w:color w:val="auto"/>
                <w:sz w:val="2"/>
                <w:szCs w:val="2"/>
              </w:rPr>
              <w:t>60F</w:t>
            </w:r>
            <w:r w:rsidR="00EE36E3">
              <w:rPr>
                <w:rFonts w:ascii="ZWAdobeF" w:hAnsi="ZWAdobeF" w:cs="ZWAdobeF"/>
                <w:color w:val="auto"/>
                <w:sz w:val="2"/>
                <w:szCs w:val="2"/>
              </w:rPr>
              <w:t>60F</w:t>
            </w:r>
            <w:r w:rsidR="003869B8">
              <w:rPr>
                <w:rFonts w:ascii="ZWAdobeF" w:hAnsi="ZWAdobeF" w:cs="ZWAdobeF"/>
                <w:color w:val="auto"/>
                <w:sz w:val="2"/>
                <w:szCs w:val="2"/>
              </w:rPr>
              <w:t>60F</w:t>
            </w:r>
            <w:r w:rsidR="00F73A23">
              <w:rPr>
                <w:rFonts w:ascii="ZWAdobeF" w:hAnsi="ZWAdobeF" w:cs="ZWAdobeF"/>
                <w:color w:val="auto"/>
                <w:sz w:val="2"/>
                <w:szCs w:val="2"/>
              </w:rPr>
              <w:t>60F</w:t>
            </w:r>
            <w:r w:rsidR="00626378">
              <w:rPr>
                <w:rFonts w:ascii="ZWAdobeF" w:hAnsi="ZWAdobeF" w:cs="ZWAdobeF"/>
                <w:color w:val="auto"/>
                <w:sz w:val="2"/>
                <w:szCs w:val="2"/>
              </w:rPr>
              <w:t>60F</w:t>
            </w:r>
            <w:r w:rsidR="00413811">
              <w:rPr>
                <w:rFonts w:ascii="ZWAdobeF" w:hAnsi="ZWAdobeF" w:cs="ZWAdobeF"/>
                <w:color w:val="auto"/>
                <w:sz w:val="2"/>
                <w:szCs w:val="2"/>
              </w:rPr>
              <w:t>60F</w:t>
            </w:r>
            <w:r w:rsidR="002C327C">
              <w:rPr>
                <w:rFonts w:ascii="ZWAdobeF" w:hAnsi="ZWAdobeF" w:cs="ZWAdobeF"/>
                <w:color w:val="auto"/>
                <w:sz w:val="2"/>
                <w:szCs w:val="2"/>
              </w:rPr>
              <w:t>60F</w:t>
            </w:r>
            <w:r w:rsidR="00D24A06">
              <w:rPr>
                <w:rFonts w:ascii="ZWAdobeF" w:hAnsi="ZWAdobeF" w:cs="ZWAdobeF"/>
                <w:color w:val="auto"/>
                <w:sz w:val="2"/>
                <w:szCs w:val="2"/>
              </w:rPr>
              <w:t>60F</w:t>
            </w:r>
            <w:r w:rsidRPr="00527DBC">
              <w:rPr>
                <w:rStyle w:val="FootnoteReference"/>
                <w:rFonts w:asciiTheme="minorHAnsi" w:hAnsiTheme="minorHAnsi" w:cstheme="minorHAnsi"/>
              </w:rPr>
              <w:footnoteReference w:id="62"/>
            </w:r>
            <w:r w:rsidRPr="00527DBC">
              <w:rPr>
                <w:rFonts w:asciiTheme="minorHAnsi" w:hAnsiTheme="minorHAnsi" w:cstheme="minorHAnsi"/>
              </w:rPr>
              <w:t xml:space="preserve"> This helps businesses identify opportunities to improve their energy efficiency and reduce their carbon footprint. Buildings makes up a large proportion of energy consumption of some of these businesses. There will be cross over between the </w:t>
            </w:r>
            <w:proofErr w:type="spellStart"/>
            <w:r w:rsidRPr="00527DBC">
              <w:rPr>
                <w:rFonts w:asciiTheme="minorHAnsi" w:hAnsiTheme="minorHAnsi" w:cstheme="minorHAnsi"/>
              </w:rPr>
              <w:t>IEPF</w:t>
            </w:r>
            <w:proofErr w:type="spellEnd"/>
            <w:r w:rsidRPr="00527DBC">
              <w:rPr>
                <w:rFonts w:asciiTheme="minorHAnsi" w:hAnsiTheme="minorHAnsi" w:cstheme="minorHAnsi"/>
              </w:rPr>
              <w:t xml:space="preserve"> and ESOS.</w:t>
            </w:r>
          </w:p>
          <w:p w14:paraId="07440BD4" w14:textId="2675B15D" w:rsidR="005B167A" w:rsidRPr="00527DBC" w:rsidRDefault="005B167A" w:rsidP="005B167A">
            <w:pPr>
              <w:pStyle w:val="BodyText"/>
              <w:rPr>
                <w:rFonts w:asciiTheme="minorHAnsi" w:hAnsiTheme="minorHAnsi" w:cstheme="minorHAnsi"/>
              </w:rPr>
            </w:pPr>
            <w:r w:rsidRPr="00527DBC">
              <w:rPr>
                <w:rFonts w:asciiTheme="minorHAnsi" w:hAnsiTheme="minorHAnsi" w:cstheme="minorHAnsi"/>
              </w:rPr>
              <w:t>The UK’s Clean Growth Strategy</w:t>
            </w:r>
            <w:r w:rsidR="00723239">
              <w:rPr>
                <w:rFonts w:ascii="ZWAdobeF" w:hAnsi="ZWAdobeF" w:cs="ZWAdobeF"/>
                <w:color w:val="auto"/>
                <w:sz w:val="2"/>
                <w:szCs w:val="2"/>
              </w:rPr>
              <w:t>61F</w:t>
            </w:r>
            <w:r w:rsidR="00EE36E3">
              <w:rPr>
                <w:rFonts w:ascii="ZWAdobeF" w:hAnsi="ZWAdobeF" w:cs="ZWAdobeF"/>
                <w:color w:val="auto"/>
                <w:sz w:val="2"/>
                <w:szCs w:val="2"/>
              </w:rPr>
              <w:t>61F</w:t>
            </w:r>
            <w:r w:rsidR="003869B8">
              <w:rPr>
                <w:rFonts w:ascii="ZWAdobeF" w:hAnsi="ZWAdobeF" w:cs="ZWAdobeF"/>
                <w:color w:val="auto"/>
                <w:sz w:val="2"/>
                <w:szCs w:val="2"/>
              </w:rPr>
              <w:t>61F</w:t>
            </w:r>
            <w:r w:rsidR="00F73A23">
              <w:rPr>
                <w:rFonts w:ascii="ZWAdobeF" w:hAnsi="ZWAdobeF" w:cs="ZWAdobeF"/>
                <w:color w:val="auto"/>
                <w:sz w:val="2"/>
                <w:szCs w:val="2"/>
              </w:rPr>
              <w:t>61F</w:t>
            </w:r>
            <w:r w:rsidR="00626378">
              <w:rPr>
                <w:rFonts w:ascii="ZWAdobeF" w:hAnsi="ZWAdobeF" w:cs="ZWAdobeF"/>
                <w:color w:val="auto"/>
                <w:sz w:val="2"/>
                <w:szCs w:val="2"/>
              </w:rPr>
              <w:t>61F</w:t>
            </w:r>
            <w:r w:rsidR="00413811">
              <w:rPr>
                <w:rFonts w:ascii="ZWAdobeF" w:hAnsi="ZWAdobeF" w:cs="ZWAdobeF"/>
                <w:color w:val="auto"/>
                <w:sz w:val="2"/>
                <w:szCs w:val="2"/>
              </w:rPr>
              <w:t>61F</w:t>
            </w:r>
            <w:r w:rsidR="002C327C">
              <w:rPr>
                <w:rFonts w:ascii="ZWAdobeF" w:hAnsi="ZWAdobeF" w:cs="ZWAdobeF"/>
                <w:color w:val="auto"/>
                <w:sz w:val="2"/>
                <w:szCs w:val="2"/>
              </w:rPr>
              <w:t>61F</w:t>
            </w:r>
            <w:r w:rsidR="00D24A06">
              <w:rPr>
                <w:rFonts w:ascii="ZWAdobeF" w:hAnsi="ZWAdobeF" w:cs="ZWAdobeF"/>
                <w:color w:val="auto"/>
                <w:sz w:val="2"/>
                <w:szCs w:val="2"/>
              </w:rPr>
              <w:t>61F</w:t>
            </w:r>
            <w:r w:rsidRPr="00527DBC">
              <w:rPr>
                <w:rStyle w:val="FootnoteReference"/>
                <w:rFonts w:asciiTheme="minorHAnsi" w:hAnsiTheme="minorHAnsi" w:cstheme="minorHAnsi"/>
              </w:rPr>
              <w:footnoteReference w:id="63"/>
            </w:r>
            <w:r w:rsidRPr="00527DBC">
              <w:rPr>
                <w:rFonts w:asciiTheme="minorHAnsi" w:hAnsiTheme="minorHAnsi" w:cstheme="minorHAnsi"/>
              </w:rPr>
              <w:t xml:space="preserve"> has the ambition to enable businesses to reduce energy use by at least 20% by 2030, which would save business £6 billion per year on energy bills. The </w:t>
            </w:r>
            <w:proofErr w:type="spellStart"/>
            <w:r w:rsidRPr="00527DBC">
              <w:rPr>
                <w:rFonts w:asciiTheme="minorHAnsi" w:hAnsiTheme="minorHAnsi" w:cstheme="minorHAnsi"/>
              </w:rPr>
              <w:t>IEPF</w:t>
            </w:r>
            <w:proofErr w:type="spellEnd"/>
            <w:r w:rsidRPr="00527DBC">
              <w:rPr>
                <w:rFonts w:asciiTheme="minorHAnsi" w:hAnsiTheme="minorHAnsi" w:cstheme="minorHAnsi"/>
              </w:rPr>
              <w:t xml:space="preserve"> would help businesses meet these targets. </w:t>
            </w:r>
          </w:p>
        </w:tc>
      </w:tr>
    </w:tbl>
    <w:p w14:paraId="223A4537" w14:textId="5553AE30" w:rsidR="0066182F" w:rsidRPr="00527DBC" w:rsidRDefault="0066182F" w:rsidP="00214D42">
      <w:pPr>
        <w:pStyle w:val="Heading3"/>
        <w:rPr>
          <w:rFonts w:asciiTheme="minorHAnsi" w:hAnsiTheme="minorHAnsi" w:cstheme="minorHAnsi"/>
        </w:rPr>
      </w:pPr>
      <w:bookmarkStart w:id="126" w:name="_Toc133844029"/>
      <w:bookmarkStart w:id="127" w:name="_Toc136286374"/>
      <w:r w:rsidRPr="00527DBC">
        <w:rPr>
          <w:rFonts w:asciiTheme="minorHAnsi" w:hAnsiTheme="minorHAnsi" w:cstheme="minorHAnsi"/>
        </w:rPr>
        <w:t>Emissions considerations</w:t>
      </w:r>
      <w:bookmarkEnd w:id="126"/>
      <w:bookmarkEnd w:id="127"/>
      <w:r w:rsidR="003D545A" w:rsidRPr="00527DBC">
        <w:rPr>
          <w:rFonts w:asciiTheme="minorHAnsi" w:hAnsiTheme="minorHAnsi" w:cstheme="minorHAnsi"/>
        </w:rPr>
        <w:t xml:space="preserve"> </w:t>
      </w:r>
    </w:p>
    <w:p w14:paraId="36369831" w14:textId="77777777" w:rsidR="0083238C" w:rsidRPr="00527DBC" w:rsidRDefault="0083238C" w:rsidP="0083238C">
      <w:pPr>
        <w:pStyle w:val="BodyText"/>
        <w:rPr>
          <w:rFonts w:asciiTheme="minorHAnsi" w:hAnsiTheme="minorHAnsi" w:cstheme="minorHAnsi"/>
        </w:rPr>
      </w:pPr>
      <w:r w:rsidRPr="00527DBC">
        <w:rPr>
          <w:rFonts w:asciiTheme="minorHAnsi" w:hAnsiTheme="minorHAnsi" w:cstheme="minorHAnsi"/>
        </w:rPr>
        <w:t>CBD programs have traditionally focused on energy efficiency as the primary objective for achieving environmental, energy security, and affordability goals. However, the increasing significance of emissions targets in policy frameworks has led to stricter disclosure and Minimum Energy Performance Standards (</w:t>
      </w:r>
      <w:proofErr w:type="spellStart"/>
      <w:r w:rsidRPr="00527DBC">
        <w:rPr>
          <w:rFonts w:asciiTheme="minorHAnsi" w:hAnsiTheme="minorHAnsi" w:cstheme="minorHAnsi"/>
        </w:rPr>
        <w:t>MEPS</w:t>
      </w:r>
      <w:proofErr w:type="spellEnd"/>
      <w:r w:rsidRPr="00527DBC">
        <w:rPr>
          <w:rFonts w:asciiTheme="minorHAnsi" w:hAnsiTheme="minorHAnsi" w:cstheme="minorHAnsi"/>
        </w:rPr>
        <w:t>). Some jurisdictions are now explicitly extending regulations to include the disclosure of carbon emissions. Here are a few examples:</w:t>
      </w:r>
    </w:p>
    <w:p w14:paraId="67795063" w14:textId="77777777" w:rsidR="0083238C" w:rsidRPr="00527DBC" w:rsidRDefault="0083238C" w:rsidP="00214D42">
      <w:pPr>
        <w:pStyle w:val="ListParagraph"/>
        <w:numPr>
          <w:ilvl w:val="0"/>
          <w:numId w:val="22"/>
        </w:numPr>
        <w:spacing w:line="256" w:lineRule="auto"/>
        <w:rPr>
          <w:rFonts w:asciiTheme="minorHAnsi" w:hAnsiTheme="minorHAnsi" w:cstheme="minorHAnsi"/>
        </w:rPr>
      </w:pPr>
      <w:r w:rsidRPr="00527DBC">
        <w:rPr>
          <w:rFonts w:asciiTheme="minorHAnsi" w:hAnsiTheme="minorHAnsi" w:cstheme="minorHAnsi"/>
          <w:b/>
        </w:rPr>
        <w:t>California AB 802:</w:t>
      </w:r>
      <w:r w:rsidRPr="00527DBC">
        <w:rPr>
          <w:rFonts w:asciiTheme="minorHAnsi" w:hAnsiTheme="minorHAnsi" w:cstheme="minorHAnsi"/>
        </w:rPr>
        <w:t xml:space="preserve"> Commercial buildings in California, regardless of size, are required to disclose their energy usage and greenhouse gas (GHG) emissions through an online portal. This regulation aims to help the state achieve ambitious GHG emissions reduction targets by encouraging building owners to improve energy efficiency and reduce emissions.</w:t>
      </w:r>
    </w:p>
    <w:p w14:paraId="340DD5D5" w14:textId="07AB4762" w:rsidR="0083238C" w:rsidRPr="00527DBC" w:rsidRDefault="0083238C" w:rsidP="00214D42">
      <w:pPr>
        <w:pStyle w:val="ListParagraph"/>
        <w:numPr>
          <w:ilvl w:val="0"/>
          <w:numId w:val="22"/>
        </w:numPr>
        <w:spacing w:line="256" w:lineRule="auto"/>
        <w:rPr>
          <w:rFonts w:asciiTheme="minorHAnsi" w:hAnsiTheme="minorHAnsi" w:cstheme="minorHAnsi"/>
        </w:rPr>
      </w:pPr>
      <w:r w:rsidRPr="00527DBC">
        <w:rPr>
          <w:rFonts w:asciiTheme="minorHAnsi" w:hAnsiTheme="minorHAnsi" w:cstheme="minorHAnsi"/>
          <w:b/>
        </w:rPr>
        <w:lastRenderedPageBreak/>
        <w:t>New York City Local Law 97:</w:t>
      </w:r>
      <w:r w:rsidRPr="00527DBC">
        <w:rPr>
          <w:rFonts w:asciiTheme="minorHAnsi" w:hAnsiTheme="minorHAnsi" w:cstheme="minorHAnsi"/>
        </w:rPr>
        <w:t xml:space="preserve"> This law mandates that buildings over 25,000 square feet report their annual carbon emissions. The emissions are calculated using the EPA's Portfolio Manager tool, which considers energy consumption data and emission factors. Buildings exceeding emissions limits will face penalties starting in 2024. The law </w:t>
      </w:r>
      <w:r w:rsidR="00C25999" w:rsidRPr="00527DBC">
        <w:rPr>
          <w:rFonts w:asciiTheme="minorHAnsi" w:hAnsiTheme="minorHAnsi" w:cstheme="minorHAnsi"/>
        </w:rPr>
        <w:t>s</w:t>
      </w:r>
      <w:r w:rsidRPr="00527DBC">
        <w:rPr>
          <w:rFonts w:asciiTheme="minorHAnsi" w:hAnsiTheme="minorHAnsi" w:cstheme="minorHAnsi"/>
        </w:rPr>
        <w:t>upport</w:t>
      </w:r>
      <w:r w:rsidR="00C25999" w:rsidRPr="00527DBC">
        <w:rPr>
          <w:rFonts w:asciiTheme="minorHAnsi" w:hAnsiTheme="minorHAnsi" w:cstheme="minorHAnsi"/>
        </w:rPr>
        <w:t>s</w:t>
      </w:r>
      <w:r w:rsidRPr="00527DBC">
        <w:rPr>
          <w:rFonts w:asciiTheme="minorHAnsi" w:hAnsiTheme="minorHAnsi" w:cstheme="minorHAnsi"/>
        </w:rPr>
        <w:t xml:space="preserve"> New York City's goal of an 80% emissions reduction by 2050.</w:t>
      </w:r>
    </w:p>
    <w:p w14:paraId="11D12D7D" w14:textId="0C21FC41" w:rsidR="0083238C" w:rsidRPr="00527DBC" w:rsidRDefault="0083238C" w:rsidP="002709C5">
      <w:pPr>
        <w:pStyle w:val="ListParagraph"/>
        <w:numPr>
          <w:ilvl w:val="0"/>
          <w:numId w:val="22"/>
        </w:numPr>
        <w:spacing w:after="0" w:line="257" w:lineRule="auto"/>
        <w:ind w:left="714" w:hanging="357"/>
        <w:rPr>
          <w:rFonts w:asciiTheme="minorHAnsi" w:hAnsiTheme="minorHAnsi" w:cstheme="minorHAnsi"/>
        </w:rPr>
      </w:pPr>
      <w:r w:rsidRPr="00527DBC">
        <w:rPr>
          <w:rFonts w:asciiTheme="minorHAnsi" w:hAnsiTheme="minorHAnsi" w:cstheme="minorHAnsi"/>
          <w:b/>
        </w:rPr>
        <w:t>Ontario's Energy &amp; Water Reporting and Benchmarking (</w:t>
      </w:r>
      <w:proofErr w:type="spellStart"/>
      <w:r w:rsidRPr="00527DBC">
        <w:rPr>
          <w:rFonts w:asciiTheme="minorHAnsi" w:hAnsiTheme="minorHAnsi" w:cstheme="minorHAnsi"/>
          <w:b/>
        </w:rPr>
        <w:t>EWRB</w:t>
      </w:r>
      <w:proofErr w:type="spellEnd"/>
      <w:r w:rsidRPr="00527DBC">
        <w:rPr>
          <w:rFonts w:asciiTheme="minorHAnsi" w:hAnsiTheme="minorHAnsi" w:cstheme="minorHAnsi"/>
          <w:b/>
        </w:rPr>
        <w:t xml:space="preserve">) </w:t>
      </w:r>
      <w:proofErr w:type="spellStart"/>
      <w:r w:rsidRPr="00527DBC">
        <w:rPr>
          <w:rFonts w:asciiTheme="minorHAnsi" w:hAnsiTheme="minorHAnsi" w:cstheme="minorHAnsi"/>
          <w:b/>
        </w:rPr>
        <w:t>regulation</w:t>
      </w:r>
      <w:r w:rsidR="00723239">
        <w:rPr>
          <w:rFonts w:ascii="ZWAdobeF" w:hAnsi="ZWAdobeF" w:cs="ZWAdobeF"/>
          <w:sz w:val="2"/>
          <w:szCs w:val="2"/>
        </w:rPr>
        <w:t>62F</w:t>
      </w:r>
      <w:r w:rsidR="00EE36E3">
        <w:rPr>
          <w:rFonts w:ascii="ZWAdobeF" w:hAnsi="ZWAdobeF" w:cs="ZWAdobeF"/>
          <w:sz w:val="2"/>
          <w:szCs w:val="2"/>
        </w:rPr>
        <w:t>62F</w:t>
      </w:r>
      <w:r w:rsidR="003869B8">
        <w:rPr>
          <w:rFonts w:ascii="ZWAdobeF" w:hAnsi="ZWAdobeF" w:cs="ZWAdobeF"/>
          <w:sz w:val="2"/>
          <w:szCs w:val="2"/>
        </w:rPr>
        <w:t>62F</w:t>
      </w:r>
      <w:r w:rsidR="00F73A23">
        <w:rPr>
          <w:rFonts w:ascii="ZWAdobeF" w:hAnsi="ZWAdobeF" w:cs="ZWAdobeF"/>
          <w:sz w:val="2"/>
          <w:szCs w:val="2"/>
        </w:rPr>
        <w:t>62F</w:t>
      </w:r>
      <w:r w:rsidR="00626378">
        <w:rPr>
          <w:rFonts w:ascii="ZWAdobeF" w:hAnsi="ZWAdobeF" w:cs="ZWAdobeF"/>
          <w:sz w:val="2"/>
          <w:szCs w:val="2"/>
        </w:rPr>
        <w:t>62F</w:t>
      </w:r>
      <w:r w:rsidR="00413811">
        <w:rPr>
          <w:rFonts w:ascii="ZWAdobeF" w:hAnsi="ZWAdobeF" w:cs="ZWAdobeF"/>
          <w:sz w:val="2"/>
          <w:szCs w:val="2"/>
        </w:rPr>
        <w:t>62F</w:t>
      </w:r>
      <w:r w:rsidR="002C327C">
        <w:rPr>
          <w:rFonts w:ascii="ZWAdobeF" w:hAnsi="ZWAdobeF" w:cs="ZWAdobeF"/>
          <w:sz w:val="2"/>
          <w:szCs w:val="2"/>
        </w:rPr>
        <w:t>62F</w:t>
      </w:r>
      <w:r w:rsidR="00D24A06">
        <w:rPr>
          <w:rFonts w:ascii="ZWAdobeF" w:hAnsi="ZWAdobeF" w:cs="ZWAdobeF"/>
          <w:sz w:val="2"/>
          <w:szCs w:val="2"/>
        </w:rPr>
        <w:t>62F</w:t>
      </w:r>
      <w:proofErr w:type="spellEnd"/>
      <w:r w:rsidRPr="00527DBC">
        <w:rPr>
          <w:rStyle w:val="FootnoteReference"/>
          <w:rFonts w:asciiTheme="minorHAnsi" w:hAnsiTheme="minorHAnsi" w:cstheme="minorHAnsi"/>
          <w:b/>
        </w:rPr>
        <w:footnoteReference w:id="64"/>
      </w:r>
      <w:r w:rsidRPr="00527DBC">
        <w:rPr>
          <w:rFonts w:asciiTheme="minorHAnsi" w:hAnsiTheme="minorHAnsi" w:cstheme="minorHAnsi"/>
          <w:b/>
        </w:rPr>
        <w:t>:</w:t>
      </w:r>
      <w:r w:rsidRPr="00527DBC">
        <w:rPr>
          <w:rFonts w:asciiTheme="minorHAnsi" w:hAnsiTheme="minorHAnsi" w:cstheme="minorHAnsi"/>
        </w:rPr>
        <w:t xml:space="preserve"> This program requires commercial and industrial buildings over 50,000 square feet in Ontario to annually report their energy use and GHG emissions. The emissions are calculated using the widely accepted Greenhouse Gas Protocol. The reported data is made publicly available, and the program aims to enhance the energy efficiency of Toronto's building stock to achieve decarbonization by 2040.</w:t>
      </w:r>
    </w:p>
    <w:p w14:paraId="20B9063D" w14:textId="08BF088A" w:rsidR="0083238C" w:rsidRPr="00527DBC" w:rsidRDefault="0083238C" w:rsidP="0083238C">
      <w:pPr>
        <w:rPr>
          <w:rFonts w:asciiTheme="minorHAnsi" w:hAnsiTheme="minorHAnsi" w:cstheme="minorHAnsi"/>
        </w:rPr>
      </w:pPr>
      <w:r w:rsidRPr="00527DBC">
        <w:rPr>
          <w:rFonts w:asciiTheme="minorHAnsi" w:hAnsiTheme="minorHAnsi" w:cstheme="minorHAnsi"/>
        </w:rPr>
        <w:t xml:space="preserve">Energy Star ratings are commonly adopted mandatory disclosure approaches for recording energy efficiency and carbon emissions in </w:t>
      </w:r>
      <w:r w:rsidR="008D3110" w:rsidRPr="00527DBC">
        <w:rPr>
          <w:rFonts w:asciiTheme="minorHAnsi" w:hAnsiTheme="minorHAnsi" w:cstheme="minorHAnsi"/>
        </w:rPr>
        <w:t>the US</w:t>
      </w:r>
      <w:r w:rsidRPr="00527DBC">
        <w:rPr>
          <w:rFonts w:asciiTheme="minorHAnsi" w:hAnsiTheme="minorHAnsi" w:cstheme="minorHAnsi"/>
        </w:rPr>
        <w:t xml:space="preserve">. </w:t>
      </w:r>
      <w:r w:rsidR="002736A6" w:rsidRPr="00527DBC">
        <w:rPr>
          <w:rFonts w:asciiTheme="minorHAnsi" w:hAnsiTheme="minorHAnsi" w:cstheme="minorHAnsi"/>
        </w:rPr>
        <w:t>For further detail see</w:t>
      </w:r>
      <w:r w:rsidR="009B6414" w:rsidRPr="00527DBC">
        <w:rPr>
          <w:rFonts w:asciiTheme="minorHAnsi" w:hAnsiTheme="minorHAnsi" w:cstheme="minorHAnsi"/>
        </w:rPr>
        <w:t xml:space="preserve"> the Appendices</w:t>
      </w:r>
      <w:r w:rsidR="002736A6" w:rsidRPr="00527DBC">
        <w:rPr>
          <w:rFonts w:asciiTheme="minorHAnsi" w:hAnsiTheme="minorHAnsi" w:cstheme="minorHAnsi"/>
        </w:rPr>
        <w:t>.</w:t>
      </w:r>
      <w:r w:rsidR="008D3110" w:rsidRPr="00527DBC">
        <w:rPr>
          <w:rFonts w:asciiTheme="minorHAnsi" w:hAnsiTheme="minorHAnsi" w:cstheme="minorHAnsi"/>
        </w:rPr>
        <w:t xml:space="preserve"> </w:t>
      </w:r>
      <w:r w:rsidR="00DA3BDB" w:rsidRPr="00527DBC">
        <w:rPr>
          <w:rFonts w:asciiTheme="minorHAnsi" w:hAnsiTheme="minorHAnsi" w:cstheme="minorHAnsi"/>
        </w:rPr>
        <w:t>Buildings</w:t>
      </w:r>
      <w:r w:rsidRPr="00527DBC">
        <w:rPr>
          <w:rFonts w:asciiTheme="minorHAnsi" w:hAnsiTheme="minorHAnsi" w:cstheme="minorHAnsi"/>
        </w:rPr>
        <w:t xml:space="preserve"> meeting specific criteria earn the ENERGY STAR label, indicating high efficiency and low carbon emissions. The program has achieved significant energy savings and greenhouse gas reductions.</w:t>
      </w:r>
      <w:r w:rsidR="0034752F" w:rsidRPr="00527DBC">
        <w:rPr>
          <w:rFonts w:asciiTheme="minorHAnsi" w:hAnsiTheme="minorHAnsi" w:cstheme="minorHAnsi"/>
        </w:rPr>
        <w:t xml:space="preserve"> In France, building owners are now needing to </w:t>
      </w:r>
      <w:r w:rsidR="00DC29F5" w:rsidRPr="00527DBC">
        <w:rPr>
          <w:rFonts w:asciiTheme="minorHAnsi" w:hAnsiTheme="minorHAnsi" w:cstheme="minorHAnsi"/>
        </w:rPr>
        <w:t>report their actual energy use data</w:t>
      </w:r>
      <w:r w:rsidR="00760351" w:rsidRPr="00527DBC">
        <w:rPr>
          <w:rFonts w:asciiTheme="minorHAnsi" w:hAnsiTheme="minorHAnsi" w:cstheme="minorHAnsi"/>
        </w:rPr>
        <w:t xml:space="preserve"> from energy audits conducted every ten years. </w:t>
      </w:r>
      <w:r w:rsidRPr="00527DBC">
        <w:rPr>
          <w:rFonts w:asciiTheme="minorHAnsi" w:hAnsiTheme="minorHAnsi" w:cstheme="minorHAnsi"/>
        </w:rPr>
        <w:t xml:space="preserve">These examples demonstrate the shift towards incorporating carbon emissions disclosure alongside energy efficiency in CBD programs, aligning with emissions reduction targets and promoting sustainable building </w:t>
      </w:r>
      <w:r w:rsidR="00890171" w:rsidRPr="00527DBC">
        <w:rPr>
          <w:rFonts w:asciiTheme="minorHAnsi" w:hAnsiTheme="minorHAnsi" w:cstheme="minorHAnsi"/>
        </w:rPr>
        <w:t>management</w:t>
      </w:r>
      <w:r w:rsidRPr="00527DBC">
        <w:rPr>
          <w:rFonts w:asciiTheme="minorHAnsi" w:hAnsiTheme="minorHAnsi" w:cstheme="minorHAnsi"/>
        </w:rPr>
        <w:t>.</w:t>
      </w:r>
    </w:p>
    <w:p w14:paraId="24B2532C" w14:textId="3C6F0A30" w:rsidR="00936BCC" w:rsidRPr="00527DBC" w:rsidRDefault="00271FF2" w:rsidP="00214D42">
      <w:pPr>
        <w:pStyle w:val="Heading3"/>
        <w:rPr>
          <w:rFonts w:asciiTheme="minorHAnsi" w:hAnsiTheme="minorHAnsi" w:cstheme="minorHAnsi"/>
        </w:rPr>
      </w:pPr>
      <w:bookmarkStart w:id="128" w:name="_Toc133844030"/>
      <w:bookmarkStart w:id="129" w:name="_Toc136286375"/>
      <w:r w:rsidRPr="00527DBC">
        <w:rPr>
          <w:rFonts w:asciiTheme="minorHAnsi" w:hAnsiTheme="minorHAnsi" w:cstheme="minorHAnsi"/>
        </w:rPr>
        <w:t xml:space="preserve">Design </w:t>
      </w:r>
      <w:proofErr w:type="gramStart"/>
      <w:r w:rsidRPr="00527DBC">
        <w:rPr>
          <w:rFonts w:asciiTheme="minorHAnsi" w:hAnsiTheme="minorHAnsi" w:cstheme="minorHAnsi"/>
        </w:rPr>
        <w:t>variations</w:t>
      </w:r>
      <w:bookmarkEnd w:id="128"/>
      <w:bookmarkEnd w:id="129"/>
      <w:proofErr w:type="gramEnd"/>
    </w:p>
    <w:p w14:paraId="1B92C9C2" w14:textId="0ED6F753" w:rsidR="003919FC" w:rsidRPr="00303583" w:rsidRDefault="00845299" w:rsidP="003919FC">
      <w:pPr>
        <w:pStyle w:val="BodyText"/>
        <w:jc w:val="both"/>
        <w:rPr>
          <w:rStyle w:val="CommentReference"/>
          <w:rFonts w:asciiTheme="minorHAnsi" w:hAnsiTheme="minorHAnsi" w:cstheme="minorHAnsi"/>
        </w:rPr>
      </w:pPr>
      <w:r w:rsidRPr="00527DBC">
        <w:rPr>
          <w:rFonts w:asciiTheme="minorHAnsi" w:hAnsiTheme="minorHAnsi" w:cstheme="minorHAnsi"/>
        </w:rPr>
        <w:t xml:space="preserve">As highlighted in the above sections there are </w:t>
      </w:r>
      <w:r w:rsidR="00457A06" w:rsidRPr="00527DBC">
        <w:rPr>
          <w:rFonts w:asciiTheme="minorHAnsi" w:hAnsiTheme="minorHAnsi" w:cstheme="minorHAnsi"/>
        </w:rPr>
        <w:t xml:space="preserve">a few design variations to </w:t>
      </w:r>
      <w:r w:rsidR="00894230" w:rsidRPr="00527DBC">
        <w:rPr>
          <w:rFonts w:asciiTheme="minorHAnsi" w:hAnsiTheme="minorHAnsi" w:cstheme="minorHAnsi"/>
        </w:rPr>
        <w:t>disclosure</w:t>
      </w:r>
      <w:r w:rsidR="00B35905" w:rsidRPr="00527DBC">
        <w:rPr>
          <w:rFonts w:asciiTheme="minorHAnsi" w:hAnsiTheme="minorHAnsi" w:cstheme="minorHAnsi"/>
        </w:rPr>
        <w:t xml:space="preserve"> standards</w:t>
      </w:r>
      <w:r w:rsidR="00894230" w:rsidRPr="00527DBC">
        <w:rPr>
          <w:rFonts w:asciiTheme="minorHAnsi" w:hAnsiTheme="minorHAnsi" w:cstheme="minorHAnsi"/>
        </w:rPr>
        <w:t>. This includes whether it is voluntary disclosure</w:t>
      </w:r>
      <w:r w:rsidR="00AA5E24" w:rsidRPr="00527DBC">
        <w:rPr>
          <w:rFonts w:asciiTheme="minorHAnsi" w:hAnsiTheme="minorHAnsi" w:cstheme="minorHAnsi"/>
        </w:rPr>
        <w:t>/</w:t>
      </w:r>
      <w:r w:rsidR="004414F3" w:rsidRPr="00527DBC">
        <w:rPr>
          <w:rFonts w:asciiTheme="minorHAnsi" w:hAnsiTheme="minorHAnsi" w:cstheme="minorHAnsi"/>
        </w:rPr>
        <w:t xml:space="preserve">display (like in Japan) versus mandatory, </w:t>
      </w:r>
      <w:r w:rsidR="005A33FF" w:rsidRPr="00527DBC">
        <w:rPr>
          <w:rFonts w:asciiTheme="minorHAnsi" w:hAnsiTheme="minorHAnsi" w:cstheme="minorHAnsi"/>
        </w:rPr>
        <w:t>emissions-based, energy intensity based</w:t>
      </w:r>
      <w:r w:rsidR="0048769A" w:rsidRPr="00527DBC">
        <w:rPr>
          <w:rFonts w:asciiTheme="minorHAnsi" w:hAnsiTheme="minorHAnsi" w:cstheme="minorHAnsi"/>
        </w:rPr>
        <w:t xml:space="preserve"> or carbon-based, and </w:t>
      </w:r>
      <w:r w:rsidR="0048769A" w:rsidRPr="00527DBC">
        <w:rPr>
          <w:rFonts w:asciiTheme="minorHAnsi" w:hAnsiTheme="minorHAnsi" w:cstheme="minorHAnsi"/>
          <w:b/>
        </w:rPr>
        <w:t>attribute</w:t>
      </w:r>
      <w:r w:rsidR="0048769A" w:rsidRPr="00527DBC">
        <w:rPr>
          <w:rFonts w:asciiTheme="minorHAnsi" w:hAnsiTheme="minorHAnsi" w:cstheme="minorHAnsi"/>
        </w:rPr>
        <w:t xml:space="preserve"> </w:t>
      </w:r>
      <w:r w:rsidR="00273D97" w:rsidRPr="00527DBC">
        <w:rPr>
          <w:rFonts w:asciiTheme="minorHAnsi" w:hAnsiTheme="minorHAnsi" w:cstheme="minorHAnsi"/>
        </w:rPr>
        <w:t>or</w:t>
      </w:r>
      <w:r w:rsidR="0048769A" w:rsidRPr="00527DBC">
        <w:rPr>
          <w:rFonts w:asciiTheme="minorHAnsi" w:hAnsiTheme="minorHAnsi" w:cstheme="minorHAnsi"/>
        </w:rPr>
        <w:t xml:space="preserve"> </w:t>
      </w:r>
      <w:r w:rsidR="00EE7D02" w:rsidRPr="00527DBC">
        <w:rPr>
          <w:rFonts w:asciiTheme="minorHAnsi" w:hAnsiTheme="minorHAnsi" w:cstheme="minorHAnsi"/>
          <w:b/>
        </w:rPr>
        <w:t>performance</w:t>
      </w:r>
      <w:r w:rsidR="00A237A1" w:rsidRPr="00527DBC">
        <w:rPr>
          <w:rFonts w:asciiTheme="minorHAnsi" w:hAnsiTheme="minorHAnsi" w:cstheme="minorHAnsi"/>
          <w:b/>
        </w:rPr>
        <w:t xml:space="preserve"> </w:t>
      </w:r>
      <w:r w:rsidR="00273D97" w:rsidRPr="00527DBC">
        <w:rPr>
          <w:rFonts w:asciiTheme="minorHAnsi" w:hAnsiTheme="minorHAnsi" w:cstheme="minorHAnsi"/>
        </w:rPr>
        <w:t>based</w:t>
      </w:r>
      <w:r w:rsidR="00761239" w:rsidRPr="00527DBC">
        <w:rPr>
          <w:rFonts w:asciiTheme="minorHAnsi" w:hAnsiTheme="minorHAnsi" w:cstheme="minorHAnsi"/>
        </w:rPr>
        <w:t>.</w:t>
      </w:r>
      <w:r w:rsidR="0048769A" w:rsidRPr="00527DBC">
        <w:rPr>
          <w:rFonts w:asciiTheme="minorHAnsi" w:hAnsiTheme="minorHAnsi" w:cstheme="minorHAnsi"/>
        </w:rPr>
        <w:t xml:space="preserve"> </w:t>
      </w:r>
      <w:r w:rsidR="009E0E58" w:rsidRPr="00527DBC">
        <w:rPr>
          <w:rFonts w:asciiTheme="minorHAnsi" w:hAnsiTheme="minorHAnsi" w:cstheme="minorHAnsi"/>
        </w:rPr>
        <w:t xml:space="preserve">The latter is </w:t>
      </w:r>
      <w:r w:rsidR="00C75BB5" w:rsidRPr="00527DBC">
        <w:rPr>
          <w:rFonts w:asciiTheme="minorHAnsi" w:hAnsiTheme="minorHAnsi" w:cstheme="minorHAnsi"/>
        </w:rPr>
        <w:t xml:space="preserve">a key distinguishing feature </w:t>
      </w:r>
      <w:r w:rsidR="00EE0A67" w:rsidRPr="00527DBC">
        <w:rPr>
          <w:rFonts w:asciiTheme="minorHAnsi" w:hAnsiTheme="minorHAnsi" w:cstheme="minorHAnsi"/>
        </w:rPr>
        <w:t xml:space="preserve">in the tools/mechanisms. </w:t>
      </w:r>
      <w:r w:rsidR="003919FC" w:rsidRPr="00527DBC">
        <w:rPr>
          <w:rFonts w:asciiTheme="minorHAnsi" w:hAnsiTheme="minorHAnsi" w:cstheme="minorHAnsi"/>
        </w:rPr>
        <w:t>Different global standards assess buildings on both attribute and performance basis, but the trend appears to be towards emphasis on the latter. Australia is one of the leading nations in performance-based ratings given the introduction of NABERS, and the UK followed Australia in 2020</w:t>
      </w:r>
      <w:r w:rsidR="00303583">
        <w:rPr>
          <w:rFonts w:asciiTheme="minorHAnsi" w:hAnsiTheme="minorHAnsi" w:cstheme="minorHAnsi"/>
        </w:rPr>
        <w:t>.</w:t>
      </w:r>
      <w:r w:rsidR="00723239">
        <w:rPr>
          <w:rFonts w:ascii="ZWAdobeF" w:hAnsi="ZWAdobeF" w:cs="ZWAdobeF"/>
          <w:color w:val="auto"/>
          <w:sz w:val="2"/>
          <w:szCs w:val="2"/>
        </w:rPr>
        <w:t>63F</w:t>
      </w:r>
      <w:r w:rsidR="00EE36E3">
        <w:rPr>
          <w:rFonts w:ascii="ZWAdobeF" w:hAnsi="ZWAdobeF" w:cs="ZWAdobeF"/>
          <w:color w:val="auto"/>
          <w:sz w:val="2"/>
          <w:szCs w:val="2"/>
        </w:rPr>
        <w:t>63F</w:t>
      </w:r>
      <w:r w:rsidR="00122C48">
        <w:rPr>
          <w:rFonts w:ascii="ZWAdobeF" w:hAnsi="ZWAdobeF" w:cs="ZWAdobeF"/>
          <w:color w:val="auto"/>
          <w:sz w:val="2"/>
          <w:szCs w:val="2"/>
        </w:rPr>
        <w:t>63F</w:t>
      </w:r>
      <w:r w:rsidR="00F73A23">
        <w:rPr>
          <w:rFonts w:ascii="ZWAdobeF" w:hAnsi="ZWAdobeF" w:cs="ZWAdobeF"/>
          <w:color w:val="auto"/>
          <w:sz w:val="2"/>
          <w:szCs w:val="2"/>
        </w:rPr>
        <w:t>63F</w:t>
      </w:r>
      <w:r w:rsidR="00626378">
        <w:rPr>
          <w:rFonts w:ascii="ZWAdobeF" w:hAnsi="ZWAdobeF" w:cs="ZWAdobeF"/>
          <w:color w:val="auto"/>
          <w:sz w:val="2"/>
          <w:szCs w:val="2"/>
        </w:rPr>
        <w:t>63F</w:t>
      </w:r>
      <w:r w:rsidR="00413811">
        <w:rPr>
          <w:rFonts w:ascii="ZWAdobeF" w:hAnsi="ZWAdobeF" w:cs="ZWAdobeF"/>
          <w:color w:val="auto"/>
          <w:sz w:val="2"/>
          <w:szCs w:val="2"/>
        </w:rPr>
        <w:t>63F</w:t>
      </w:r>
      <w:r w:rsidR="002C327C">
        <w:rPr>
          <w:rFonts w:ascii="ZWAdobeF" w:hAnsi="ZWAdobeF" w:cs="ZWAdobeF"/>
          <w:color w:val="auto"/>
          <w:sz w:val="2"/>
          <w:szCs w:val="2"/>
        </w:rPr>
        <w:t>63F</w:t>
      </w:r>
      <w:r w:rsidR="00D24A06">
        <w:rPr>
          <w:rFonts w:ascii="ZWAdobeF" w:hAnsi="ZWAdobeF" w:cs="ZWAdobeF"/>
          <w:color w:val="auto"/>
          <w:sz w:val="2"/>
          <w:szCs w:val="2"/>
        </w:rPr>
        <w:t>63F</w:t>
      </w:r>
      <w:r w:rsidR="003919FC" w:rsidRPr="00527DBC">
        <w:rPr>
          <w:rStyle w:val="FootnoteReference"/>
          <w:rFonts w:asciiTheme="minorHAnsi" w:hAnsiTheme="minorHAnsi" w:cstheme="minorHAnsi"/>
        </w:rPr>
        <w:footnoteReference w:id="65"/>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211"/>
      </w:tblGrid>
      <w:tr w:rsidR="00694410" w14:paraId="7FEF7AF5" w14:textId="77777777" w:rsidTr="002709C5">
        <w:tc>
          <w:tcPr>
            <w:tcW w:w="993" w:type="dxa"/>
          </w:tcPr>
          <w:p w14:paraId="6CE60974" w14:textId="29C54245" w:rsidR="00694410" w:rsidRPr="00480F0A" w:rsidRDefault="00801757" w:rsidP="00FE3641">
            <w:pPr>
              <w:rPr>
                <w:rFonts w:asciiTheme="minorHAnsi" w:hAnsiTheme="minorHAnsi" w:cstheme="minorHAnsi"/>
                <w:b/>
              </w:rPr>
            </w:pPr>
            <w:r w:rsidRPr="00480F0A">
              <w:rPr>
                <w:rFonts w:asciiTheme="minorHAnsi" w:hAnsiTheme="minorHAnsi" w:cstheme="minorHAnsi"/>
                <w:b/>
                <w:noProof/>
              </w:rPr>
              <w:drawing>
                <wp:inline distT="0" distB="0" distL="0" distR="0" wp14:anchorId="0F8C1DCC" wp14:editId="4DB89611">
                  <wp:extent cx="477982" cy="477982"/>
                  <wp:effectExtent l="0" t="0" r="0" b="0"/>
                  <wp:docPr id="952" name="Graphic 952">
                    <a:extLst xmlns:a="http://schemas.openxmlformats.org/drawingml/2006/main">
                      <a:ext uri="{FF2B5EF4-FFF2-40B4-BE49-F238E27FC236}">
                        <a16:creationId xmlns:a16="http://schemas.microsoft.com/office/drawing/2014/main" id="{4CA29447-D7FC-4A41-BE60-3E2C84E518F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Graphic 952">
                            <a:extLst>
                              <a:ext uri="{FF2B5EF4-FFF2-40B4-BE49-F238E27FC236}">
                                <a16:creationId xmlns:a16="http://schemas.microsoft.com/office/drawing/2014/main" id="{4CA29447-D7FC-4A41-BE60-3E2C84E518F6}"/>
                              </a:ex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87559" cy="487559"/>
                          </a:xfrm>
                          <a:prstGeom prst="rect">
                            <a:avLst/>
                          </a:prstGeom>
                        </pic:spPr>
                      </pic:pic>
                    </a:graphicData>
                  </a:graphic>
                </wp:inline>
              </w:drawing>
            </w:r>
          </w:p>
        </w:tc>
        <w:tc>
          <w:tcPr>
            <w:tcW w:w="9211" w:type="dxa"/>
          </w:tcPr>
          <w:p w14:paraId="5238290E" w14:textId="5176655A" w:rsidR="00860AF9" w:rsidRPr="00480F0A" w:rsidRDefault="00694410" w:rsidP="00860AF9">
            <w:pPr>
              <w:rPr>
                <w:rFonts w:asciiTheme="minorHAnsi" w:hAnsiTheme="minorHAnsi" w:cstheme="minorHAnsi"/>
              </w:rPr>
            </w:pPr>
            <w:r w:rsidRPr="00480F0A">
              <w:rPr>
                <w:rFonts w:asciiTheme="minorHAnsi" w:hAnsiTheme="minorHAnsi" w:cstheme="minorHAnsi"/>
                <w:b/>
              </w:rPr>
              <w:t xml:space="preserve">Performance-based </w:t>
            </w:r>
            <w:r w:rsidRPr="00480F0A">
              <w:rPr>
                <w:rFonts w:asciiTheme="minorHAnsi" w:hAnsiTheme="minorHAnsi" w:cstheme="minorHAnsi"/>
              </w:rPr>
              <w:t xml:space="preserve">standards or regulations focus on the actual energy use and carbon emissions performance of buildings (“operational” energy use) and compare it to benchmarking data from similar buildings. </w:t>
            </w:r>
            <w:r w:rsidR="00801757" w:rsidRPr="00480F0A">
              <w:rPr>
                <w:rFonts w:asciiTheme="minorHAnsi" w:hAnsiTheme="minorHAnsi" w:cstheme="minorHAnsi"/>
              </w:rPr>
              <w:t xml:space="preserve">These schemes, </w:t>
            </w:r>
            <w:r w:rsidRPr="00480F0A">
              <w:rPr>
                <w:rFonts w:asciiTheme="minorHAnsi" w:hAnsiTheme="minorHAnsi" w:cstheme="minorHAnsi"/>
              </w:rPr>
              <w:t>like NABERS in Australia, measure energy intensity per square meter and consider factors such as operating hours and occupancy</w:t>
            </w:r>
            <w:r>
              <w:rPr>
                <w:rFonts w:asciiTheme="minorHAnsi" w:hAnsiTheme="minorHAnsi" w:cstheme="minorHAnsi"/>
              </w:rPr>
              <w:t>.</w:t>
            </w:r>
            <w:r w:rsidR="00723239">
              <w:rPr>
                <w:rFonts w:ascii="ZWAdobeF" w:hAnsi="ZWAdobeF" w:cs="ZWAdobeF"/>
                <w:color w:val="auto"/>
                <w:sz w:val="2"/>
                <w:szCs w:val="2"/>
              </w:rPr>
              <w:t>64F</w:t>
            </w:r>
            <w:r w:rsidR="00EE36E3">
              <w:rPr>
                <w:rFonts w:ascii="ZWAdobeF" w:hAnsi="ZWAdobeF" w:cs="ZWAdobeF"/>
                <w:color w:val="auto"/>
                <w:sz w:val="2"/>
                <w:szCs w:val="2"/>
              </w:rPr>
              <w:t>64F</w:t>
            </w:r>
            <w:r w:rsidR="00122C48">
              <w:rPr>
                <w:rFonts w:ascii="ZWAdobeF" w:hAnsi="ZWAdobeF" w:cs="ZWAdobeF"/>
                <w:color w:val="auto"/>
                <w:sz w:val="2"/>
                <w:szCs w:val="2"/>
              </w:rPr>
              <w:t>64F</w:t>
            </w:r>
            <w:r w:rsidR="00F73A23">
              <w:rPr>
                <w:rFonts w:ascii="ZWAdobeF" w:hAnsi="ZWAdobeF" w:cs="ZWAdobeF"/>
                <w:color w:val="auto"/>
                <w:sz w:val="2"/>
                <w:szCs w:val="2"/>
              </w:rPr>
              <w:t>64F</w:t>
            </w:r>
            <w:r w:rsidR="00626378">
              <w:rPr>
                <w:rFonts w:ascii="ZWAdobeF" w:hAnsi="ZWAdobeF" w:cs="ZWAdobeF"/>
                <w:color w:val="auto"/>
                <w:sz w:val="2"/>
                <w:szCs w:val="2"/>
              </w:rPr>
              <w:t>64F</w:t>
            </w:r>
            <w:r w:rsidR="00413811">
              <w:rPr>
                <w:rFonts w:ascii="ZWAdobeF" w:hAnsi="ZWAdobeF" w:cs="ZWAdobeF"/>
                <w:color w:val="auto"/>
                <w:sz w:val="2"/>
                <w:szCs w:val="2"/>
              </w:rPr>
              <w:t>64F</w:t>
            </w:r>
            <w:r w:rsidR="002C327C">
              <w:rPr>
                <w:rFonts w:ascii="ZWAdobeF" w:hAnsi="ZWAdobeF" w:cs="ZWAdobeF"/>
                <w:color w:val="auto"/>
                <w:sz w:val="2"/>
                <w:szCs w:val="2"/>
              </w:rPr>
              <w:t>64F</w:t>
            </w:r>
            <w:r w:rsidR="00D24A06">
              <w:rPr>
                <w:rFonts w:ascii="ZWAdobeF" w:hAnsi="ZWAdobeF" w:cs="ZWAdobeF"/>
                <w:color w:val="auto"/>
                <w:sz w:val="2"/>
                <w:szCs w:val="2"/>
              </w:rPr>
              <w:t>64F</w:t>
            </w:r>
            <w:r w:rsidRPr="00480F0A">
              <w:rPr>
                <w:rStyle w:val="FootnoteReference"/>
                <w:rFonts w:asciiTheme="minorHAnsi" w:hAnsiTheme="minorHAnsi" w:cstheme="minorHAnsi"/>
              </w:rPr>
              <w:footnoteReference w:id="66"/>
            </w:r>
            <w:r>
              <w:rPr>
                <w:rFonts w:asciiTheme="minorHAnsi" w:hAnsiTheme="minorHAnsi" w:cstheme="minorHAnsi"/>
              </w:rPr>
              <w:t xml:space="preserve"> </w:t>
            </w:r>
            <w:r w:rsidRPr="00480F0A">
              <w:rPr>
                <w:rFonts w:asciiTheme="minorHAnsi" w:hAnsiTheme="minorHAnsi" w:cstheme="minorHAnsi"/>
              </w:rPr>
              <w:t>Benefits include providing a level of certainty that covered buildings will achieve a specific energy performance level</w:t>
            </w:r>
            <w:r w:rsidR="00BB19F0" w:rsidRPr="00480F0A">
              <w:rPr>
                <w:rFonts w:asciiTheme="minorHAnsi" w:hAnsiTheme="minorHAnsi" w:cstheme="minorHAnsi"/>
              </w:rPr>
              <w:t xml:space="preserve">, </w:t>
            </w:r>
            <w:r w:rsidRPr="00480F0A">
              <w:rPr>
                <w:rFonts w:asciiTheme="minorHAnsi" w:hAnsiTheme="minorHAnsi" w:cstheme="minorHAnsi"/>
              </w:rPr>
              <w:t>flexibility to building owners to choose energy efficiency measures that are suitable for their specific building type</w:t>
            </w:r>
            <w:r w:rsidR="00AA586B" w:rsidRPr="00480F0A">
              <w:rPr>
                <w:rFonts w:asciiTheme="minorHAnsi" w:hAnsiTheme="minorHAnsi" w:cstheme="minorHAnsi"/>
              </w:rPr>
              <w:t>, and provid</w:t>
            </w:r>
            <w:r w:rsidR="00BB19F0" w:rsidRPr="00480F0A">
              <w:rPr>
                <w:rFonts w:asciiTheme="minorHAnsi" w:hAnsiTheme="minorHAnsi" w:cstheme="minorHAnsi"/>
              </w:rPr>
              <w:t xml:space="preserve">ing </w:t>
            </w:r>
            <w:r w:rsidR="00AA586B" w:rsidRPr="00480F0A">
              <w:rPr>
                <w:rFonts w:asciiTheme="minorHAnsi" w:hAnsiTheme="minorHAnsi" w:cstheme="minorHAnsi"/>
              </w:rPr>
              <w:t xml:space="preserve">a </w:t>
            </w:r>
            <w:r w:rsidRPr="00480F0A">
              <w:rPr>
                <w:rFonts w:asciiTheme="minorHAnsi" w:hAnsiTheme="minorHAnsi" w:cstheme="minorHAnsi"/>
              </w:rPr>
              <w:t>framework for monitoring improvements in buildings, which can address the lack of investment in poorly performing buildings</w:t>
            </w:r>
            <w:r>
              <w:rPr>
                <w:rFonts w:asciiTheme="minorHAnsi" w:hAnsiTheme="minorHAnsi" w:cstheme="minorHAnsi"/>
              </w:rPr>
              <w:t>.</w:t>
            </w:r>
            <w:r w:rsidR="00723239">
              <w:rPr>
                <w:rFonts w:ascii="ZWAdobeF" w:hAnsi="ZWAdobeF" w:cs="ZWAdobeF"/>
                <w:color w:val="auto"/>
                <w:sz w:val="2"/>
                <w:szCs w:val="2"/>
              </w:rPr>
              <w:t>65F</w:t>
            </w:r>
            <w:r w:rsidR="00EE36E3">
              <w:rPr>
                <w:rFonts w:ascii="ZWAdobeF" w:hAnsi="ZWAdobeF" w:cs="ZWAdobeF"/>
                <w:color w:val="auto"/>
                <w:sz w:val="2"/>
                <w:szCs w:val="2"/>
              </w:rPr>
              <w:t>65F</w:t>
            </w:r>
            <w:r w:rsidR="00122C48">
              <w:rPr>
                <w:rFonts w:ascii="ZWAdobeF" w:hAnsi="ZWAdobeF" w:cs="ZWAdobeF"/>
                <w:color w:val="auto"/>
                <w:sz w:val="2"/>
                <w:szCs w:val="2"/>
              </w:rPr>
              <w:t>65F</w:t>
            </w:r>
            <w:r w:rsidR="00F73A23">
              <w:rPr>
                <w:rFonts w:ascii="ZWAdobeF" w:hAnsi="ZWAdobeF" w:cs="ZWAdobeF"/>
                <w:color w:val="auto"/>
                <w:sz w:val="2"/>
                <w:szCs w:val="2"/>
              </w:rPr>
              <w:t>65F</w:t>
            </w:r>
            <w:r w:rsidR="00626378">
              <w:rPr>
                <w:rFonts w:ascii="ZWAdobeF" w:hAnsi="ZWAdobeF" w:cs="ZWAdobeF"/>
                <w:color w:val="auto"/>
                <w:sz w:val="2"/>
                <w:szCs w:val="2"/>
              </w:rPr>
              <w:t>65F</w:t>
            </w:r>
            <w:r w:rsidR="00413811">
              <w:rPr>
                <w:rFonts w:ascii="ZWAdobeF" w:hAnsi="ZWAdobeF" w:cs="ZWAdobeF"/>
                <w:color w:val="auto"/>
                <w:sz w:val="2"/>
                <w:szCs w:val="2"/>
              </w:rPr>
              <w:t>65F</w:t>
            </w:r>
            <w:r w:rsidR="002C327C">
              <w:rPr>
                <w:rFonts w:ascii="ZWAdobeF" w:hAnsi="ZWAdobeF" w:cs="ZWAdobeF"/>
                <w:color w:val="auto"/>
                <w:sz w:val="2"/>
                <w:szCs w:val="2"/>
              </w:rPr>
              <w:t>65F</w:t>
            </w:r>
            <w:r w:rsidR="00D24A06">
              <w:rPr>
                <w:rFonts w:ascii="ZWAdobeF" w:hAnsi="ZWAdobeF" w:cs="ZWAdobeF"/>
                <w:color w:val="auto"/>
                <w:sz w:val="2"/>
                <w:szCs w:val="2"/>
              </w:rPr>
              <w:t>65F</w:t>
            </w:r>
            <w:r w:rsidRPr="00480F0A">
              <w:rPr>
                <w:rStyle w:val="FootnoteReference"/>
                <w:rFonts w:asciiTheme="minorHAnsi" w:hAnsiTheme="minorHAnsi" w:cstheme="minorHAnsi"/>
              </w:rPr>
              <w:footnoteReference w:id="67"/>
            </w:r>
            <w:r w:rsidR="001C345D">
              <w:rPr>
                <w:rFonts w:asciiTheme="minorHAnsi" w:hAnsiTheme="minorHAnsi" w:cstheme="minorHAnsi"/>
              </w:rPr>
              <w:t xml:space="preserve"> </w:t>
            </w:r>
            <w:r w:rsidR="00932132" w:rsidRPr="00480F0A">
              <w:rPr>
                <w:rFonts w:asciiTheme="minorHAnsi" w:hAnsiTheme="minorHAnsi" w:cstheme="minorHAnsi"/>
              </w:rPr>
              <w:t xml:space="preserve">Many jurisdictions </w:t>
            </w:r>
            <w:r w:rsidR="00B9618A" w:rsidRPr="00480F0A">
              <w:rPr>
                <w:rFonts w:asciiTheme="minorHAnsi" w:hAnsiTheme="minorHAnsi" w:cstheme="minorHAnsi"/>
              </w:rPr>
              <w:t>are moving</w:t>
            </w:r>
            <w:r w:rsidR="00CF0EAC" w:rsidRPr="00480F0A">
              <w:rPr>
                <w:rFonts w:asciiTheme="minorHAnsi" w:hAnsiTheme="minorHAnsi" w:cstheme="minorHAnsi"/>
              </w:rPr>
              <w:t xml:space="preserve"> or have moved to</w:t>
            </w:r>
            <w:r w:rsidR="00B9618A" w:rsidRPr="00480F0A">
              <w:rPr>
                <w:rFonts w:asciiTheme="minorHAnsi" w:hAnsiTheme="minorHAnsi" w:cstheme="minorHAnsi"/>
              </w:rPr>
              <w:t xml:space="preserve"> performance-based standards including </w:t>
            </w:r>
            <w:r w:rsidR="00BD5C2C" w:rsidRPr="00480F0A">
              <w:rPr>
                <w:rFonts w:asciiTheme="minorHAnsi" w:hAnsiTheme="minorHAnsi" w:cstheme="minorHAnsi"/>
              </w:rPr>
              <w:t>the UK (for large buildings), France, the Netherlands</w:t>
            </w:r>
            <w:r w:rsidR="00804D37" w:rsidRPr="00480F0A">
              <w:rPr>
                <w:rFonts w:asciiTheme="minorHAnsi" w:hAnsiTheme="minorHAnsi" w:cstheme="minorHAnsi"/>
              </w:rPr>
              <w:t xml:space="preserve">, </w:t>
            </w:r>
            <w:r w:rsidR="00CF0EAC" w:rsidRPr="00480F0A">
              <w:rPr>
                <w:rFonts w:asciiTheme="minorHAnsi" w:hAnsiTheme="minorHAnsi" w:cstheme="minorHAnsi"/>
              </w:rPr>
              <w:t>Germany</w:t>
            </w:r>
            <w:r w:rsidR="00804D37" w:rsidRPr="00480F0A">
              <w:rPr>
                <w:rFonts w:asciiTheme="minorHAnsi" w:hAnsiTheme="minorHAnsi" w:cstheme="minorHAnsi"/>
              </w:rPr>
              <w:t xml:space="preserve"> and the US</w:t>
            </w:r>
            <w:r w:rsidR="00860AF9" w:rsidRPr="00480F0A">
              <w:rPr>
                <w:rFonts w:asciiTheme="minorHAnsi" w:hAnsiTheme="minorHAnsi" w:cstheme="minorHAnsi"/>
              </w:rPr>
              <w:t xml:space="preserve">. </w:t>
            </w:r>
          </w:p>
          <w:p w14:paraId="50058C98" w14:textId="6ED3C665" w:rsidR="00CF0EAC" w:rsidRPr="00480F0A" w:rsidRDefault="00860AF9" w:rsidP="00FE3641">
            <w:pPr>
              <w:rPr>
                <w:rFonts w:asciiTheme="minorHAnsi" w:hAnsiTheme="minorHAnsi" w:cstheme="minorHAnsi"/>
                <w:b/>
              </w:rPr>
            </w:pPr>
            <w:r w:rsidRPr="00480F0A">
              <w:rPr>
                <w:rFonts w:asciiTheme="minorHAnsi" w:hAnsiTheme="minorHAnsi" w:cstheme="minorHAnsi"/>
              </w:rPr>
              <w:t>Challenges</w:t>
            </w:r>
            <w:r w:rsidR="00CF0EAC" w:rsidRPr="00480F0A">
              <w:rPr>
                <w:rFonts w:asciiTheme="minorHAnsi" w:hAnsiTheme="minorHAnsi" w:cstheme="minorHAnsi"/>
              </w:rPr>
              <w:t xml:space="preserve"> associated with performance standards </w:t>
            </w:r>
            <w:r w:rsidR="00C202AF" w:rsidRPr="00480F0A">
              <w:rPr>
                <w:rFonts w:asciiTheme="minorHAnsi" w:hAnsiTheme="minorHAnsi" w:cstheme="minorHAnsi"/>
              </w:rPr>
              <w:t xml:space="preserve">including </w:t>
            </w:r>
            <w:r w:rsidR="00CF0EAC" w:rsidRPr="00480F0A">
              <w:rPr>
                <w:rFonts w:asciiTheme="minorHAnsi" w:hAnsiTheme="minorHAnsi" w:cstheme="minorHAnsi"/>
              </w:rPr>
              <w:t>ensuring accurate assessment</w:t>
            </w:r>
            <w:r w:rsidR="0060777A" w:rsidRPr="00480F0A">
              <w:rPr>
                <w:rFonts w:asciiTheme="minorHAnsi" w:hAnsiTheme="minorHAnsi" w:cstheme="minorHAnsi"/>
              </w:rPr>
              <w:t xml:space="preserve">s of </w:t>
            </w:r>
            <w:r w:rsidR="00CF0EAC" w:rsidRPr="00480F0A">
              <w:rPr>
                <w:rFonts w:asciiTheme="minorHAnsi" w:hAnsiTheme="minorHAnsi" w:cstheme="minorHAnsi"/>
              </w:rPr>
              <w:t>energy performance, as different factors can influence a building's energy us</w:t>
            </w:r>
            <w:r w:rsidR="00077527" w:rsidRPr="00480F0A">
              <w:rPr>
                <w:rFonts w:asciiTheme="minorHAnsi" w:hAnsiTheme="minorHAnsi" w:cstheme="minorHAnsi"/>
              </w:rPr>
              <w:t>, and</w:t>
            </w:r>
            <w:r w:rsidR="00CF0EAC" w:rsidRPr="00480F0A">
              <w:rPr>
                <w:rFonts w:asciiTheme="minorHAnsi" w:hAnsiTheme="minorHAnsi" w:cstheme="minorHAnsi"/>
              </w:rPr>
              <w:t xml:space="preserve"> unintended impacts on other objectives, such as increasing network load despite reducing emissions through sourcing energy from renewable sources. Furthermore, low-value real estate may face significant challenges in meeting the performance standards without financial assistance. </w:t>
            </w:r>
          </w:p>
        </w:tc>
      </w:tr>
      <w:tr w:rsidR="002B4150" w14:paraId="1349F990" w14:textId="77777777" w:rsidTr="002709C5">
        <w:tc>
          <w:tcPr>
            <w:tcW w:w="993" w:type="dxa"/>
          </w:tcPr>
          <w:p w14:paraId="4FCC0D21" w14:textId="4C2201FD" w:rsidR="002B4150" w:rsidRPr="00480F0A" w:rsidRDefault="005839E7" w:rsidP="005839E7">
            <w:pPr>
              <w:jc w:val="center"/>
              <w:rPr>
                <w:rFonts w:asciiTheme="minorHAnsi" w:hAnsiTheme="minorHAnsi" w:cstheme="minorHAnsi"/>
                <w:b/>
              </w:rPr>
            </w:pPr>
            <w:r w:rsidRPr="00480F0A">
              <w:rPr>
                <w:rFonts w:asciiTheme="minorHAnsi" w:hAnsiTheme="minorHAnsi" w:cstheme="minorHAnsi"/>
                <w:b/>
                <w:noProof/>
              </w:rPr>
              <w:drawing>
                <wp:inline distT="0" distB="0" distL="0" distR="0" wp14:anchorId="4FB315CF" wp14:editId="3D2EF6A3">
                  <wp:extent cx="477520" cy="477520"/>
                  <wp:effectExtent l="0" t="0" r="0" b="0"/>
                  <wp:docPr id="951" name="Graphic 951">
                    <a:extLst xmlns:a="http://schemas.openxmlformats.org/drawingml/2006/main">
                      <a:ext uri="{FF2B5EF4-FFF2-40B4-BE49-F238E27FC236}">
                        <a16:creationId xmlns:a16="http://schemas.microsoft.com/office/drawing/2014/main" id="{E3E716AB-AA73-4E29-AE96-9A69EABCAD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Graphic 951">
                            <a:extLst>
                              <a:ext uri="{FF2B5EF4-FFF2-40B4-BE49-F238E27FC236}">
                                <a16:creationId xmlns:a16="http://schemas.microsoft.com/office/drawing/2014/main" id="{E3E716AB-AA73-4E29-AE96-9A69EABCAD94}"/>
                              </a:ex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85707" cy="485707"/>
                          </a:xfrm>
                          <a:prstGeom prst="rect">
                            <a:avLst/>
                          </a:prstGeom>
                        </pic:spPr>
                      </pic:pic>
                    </a:graphicData>
                  </a:graphic>
                </wp:inline>
              </w:drawing>
            </w:r>
          </w:p>
        </w:tc>
        <w:tc>
          <w:tcPr>
            <w:tcW w:w="9211" w:type="dxa"/>
          </w:tcPr>
          <w:p w14:paraId="115EFF38" w14:textId="77777777" w:rsidR="00E76F8C" w:rsidRPr="00480F0A" w:rsidRDefault="002B4150" w:rsidP="00E76F8C">
            <w:pPr>
              <w:spacing w:after="120"/>
              <w:jc w:val="both"/>
              <w:rPr>
                <w:rFonts w:asciiTheme="minorHAnsi" w:hAnsiTheme="minorHAnsi" w:cstheme="minorHAnsi"/>
              </w:rPr>
            </w:pPr>
            <w:r w:rsidRPr="00480F0A">
              <w:rPr>
                <w:rFonts w:asciiTheme="minorHAnsi" w:hAnsiTheme="minorHAnsi" w:cstheme="minorHAnsi"/>
                <w:b/>
              </w:rPr>
              <w:t>Attribute regulation</w:t>
            </w:r>
            <w:r w:rsidRPr="00480F0A">
              <w:rPr>
                <w:rFonts w:asciiTheme="minorHAnsi" w:hAnsiTheme="minorHAnsi" w:cstheme="minorHAnsi"/>
              </w:rPr>
              <w:t xml:space="preserve"> refer</w:t>
            </w:r>
            <w:r w:rsidR="00F26C28" w:rsidRPr="00480F0A">
              <w:rPr>
                <w:rFonts w:asciiTheme="minorHAnsi" w:hAnsiTheme="minorHAnsi" w:cstheme="minorHAnsi"/>
              </w:rPr>
              <w:t>s</w:t>
            </w:r>
            <w:r w:rsidRPr="00480F0A">
              <w:rPr>
                <w:rFonts w:asciiTheme="minorHAnsi" w:hAnsiTheme="minorHAnsi" w:cstheme="minorHAnsi"/>
              </w:rPr>
              <w:t xml:space="preserve"> to physical properties of a building such as insulation levels or other building equipment which are intended to improve the energy efficiency or carbon intensity of the building. These regulations often include a minimum energy efficiency level or specific features in a building. They offer standardized compliance, provide a framework to demonstrate improvement for green finance products, and ensure transparency in the supply chain for energy-efficient products.</w:t>
            </w:r>
            <w:r w:rsidR="0062189F" w:rsidRPr="00480F0A">
              <w:rPr>
                <w:rFonts w:asciiTheme="minorHAnsi" w:hAnsiTheme="minorHAnsi" w:cstheme="minorHAnsi"/>
              </w:rPr>
              <w:t xml:space="preserve"> </w:t>
            </w:r>
            <w:r w:rsidR="00C53659" w:rsidRPr="00480F0A">
              <w:rPr>
                <w:rFonts w:asciiTheme="minorHAnsi" w:hAnsiTheme="minorHAnsi" w:cstheme="minorHAnsi"/>
              </w:rPr>
              <w:t xml:space="preserve">Usually, the </w:t>
            </w:r>
            <w:r w:rsidR="00C87A44" w:rsidRPr="00480F0A">
              <w:rPr>
                <w:rFonts w:asciiTheme="minorHAnsi" w:hAnsiTheme="minorHAnsi" w:cstheme="minorHAnsi"/>
              </w:rPr>
              <w:t>better the attributes the lower the energy consumpti</w:t>
            </w:r>
            <w:r w:rsidR="00F12DDC" w:rsidRPr="00480F0A">
              <w:rPr>
                <w:rFonts w:asciiTheme="minorHAnsi" w:hAnsiTheme="minorHAnsi" w:cstheme="minorHAnsi"/>
              </w:rPr>
              <w:t>on</w:t>
            </w:r>
            <w:r w:rsidR="00C87A44" w:rsidRPr="00480F0A">
              <w:rPr>
                <w:rFonts w:asciiTheme="minorHAnsi" w:hAnsiTheme="minorHAnsi" w:cstheme="minorHAnsi"/>
              </w:rPr>
              <w:t xml:space="preserve">. </w:t>
            </w:r>
          </w:p>
          <w:p w14:paraId="62207C35" w14:textId="609D6600" w:rsidR="002B4150" w:rsidRPr="00480F0A" w:rsidRDefault="002B4150" w:rsidP="00E76F8C">
            <w:pPr>
              <w:spacing w:after="120"/>
              <w:jc w:val="both"/>
              <w:rPr>
                <w:rFonts w:asciiTheme="minorHAnsi" w:hAnsiTheme="minorHAnsi" w:cstheme="minorHAnsi"/>
              </w:rPr>
            </w:pPr>
            <w:r w:rsidRPr="00480F0A">
              <w:rPr>
                <w:rFonts w:asciiTheme="minorHAnsi" w:hAnsiTheme="minorHAnsi" w:cstheme="minorHAnsi"/>
              </w:rPr>
              <w:t xml:space="preserve">Challenges with attribute regulations include that a building can score high on attributes but still be used inefficiently, leading to inconsistency in capturing the actual impact. Attribute regulations do not focus on operational efficiency, which plays a significant role in overall energy consumption and emissions. This lack of emphasis on operational efficiency may result in a lack of motivation to reduce energy consumption. </w:t>
            </w:r>
          </w:p>
        </w:tc>
      </w:tr>
    </w:tbl>
    <w:p w14:paraId="105A5626" w14:textId="4538F519" w:rsidR="000F09F1" w:rsidRPr="00F81ADB" w:rsidRDefault="00284266" w:rsidP="00214D42">
      <w:pPr>
        <w:pStyle w:val="Heading2"/>
        <w:rPr>
          <w:rFonts w:cstheme="minorHAnsi"/>
        </w:rPr>
      </w:pPr>
      <w:bookmarkStart w:id="130" w:name="_Toc132295381"/>
      <w:bookmarkStart w:id="131" w:name="_Toc132380904"/>
      <w:bookmarkStart w:id="132" w:name="_Toc133844031"/>
      <w:bookmarkStart w:id="133" w:name="_Toc136286376"/>
      <w:bookmarkStart w:id="134" w:name="_Toc154059370"/>
      <w:r w:rsidRPr="00F81ADB">
        <w:rPr>
          <w:rFonts w:cstheme="minorHAnsi"/>
        </w:rPr>
        <w:lastRenderedPageBreak/>
        <w:t>Minimum Energy Performance Standards (</w:t>
      </w:r>
      <w:proofErr w:type="spellStart"/>
      <w:r w:rsidR="00027FFE" w:rsidRPr="00F81ADB">
        <w:rPr>
          <w:rFonts w:cstheme="minorHAnsi"/>
        </w:rPr>
        <w:t>MEPS</w:t>
      </w:r>
      <w:proofErr w:type="spellEnd"/>
      <w:r w:rsidRPr="00F81ADB">
        <w:rPr>
          <w:rFonts w:cstheme="minorHAnsi"/>
        </w:rPr>
        <w:t>)</w:t>
      </w:r>
      <w:bookmarkEnd w:id="130"/>
      <w:bookmarkEnd w:id="131"/>
      <w:bookmarkEnd w:id="132"/>
      <w:bookmarkEnd w:id="133"/>
      <w:bookmarkEnd w:id="134"/>
    </w:p>
    <w:p w14:paraId="25DFA337" w14:textId="4EC96CEC" w:rsidR="007C54FF" w:rsidRPr="00E63900" w:rsidRDefault="007C54FF" w:rsidP="00214D42">
      <w:pPr>
        <w:pStyle w:val="Heading3"/>
        <w:rPr>
          <w:rFonts w:asciiTheme="minorHAnsi" w:hAnsiTheme="minorHAnsi" w:cstheme="minorHAnsi"/>
        </w:rPr>
      </w:pPr>
      <w:bookmarkStart w:id="135" w:name="_Toc133844032"/>
      <w:bookmarkStart w:id="136" w:name="_Toc136286377"/>
      <w:proofErr w:type="spellStart"/>
      <w:r w:rsidRPr="00E63900">
        <w:rPr>
          <w:rFonts w:asciiTheme="minorHAnsi" w:hAnsiTheme="minorHAnsi" w:cstheme="minorHAnsi"/>
        </w:rPr>
        <w:t>MEPS</w:t>
      </w:r>
      <w:proofErr w:type="spellEnd"/>
      <w:r w:rsidRPr="00E63900">
        <w:rPr>
          <w:rFonts w:asciiTheme="minorHAnsi" w:hAnsiTheme="minorHAnsi" w:cstheme="minorHAnsi"/>
        </w:rPr>
        <w:t xml:space="preserve"> overview</w:t>
      </w:r>
      <w:bookmarkEnd w:id="135"/>
      <w:bookmarkEnd w:id="136"/>
    </w:p>
    <w:p w14:paraId="15827DAD" w14:textId="461B0570" w:rsidR="00E24A5A" w:rsidRPr="00966C86" w:rsidRDefault="00E24A5A" w:rsidP="00E24A5A">
      <w:pPr>
        <w:rPr>
          <w:rFonts w:asciiTheme="minorHAnsi" w:hAnsiTheme="minorHAnsi" w:cstheme="minorHAnsi"/>
        </w:rPr>
      </w:pPr>
      <w:proofErr w:type="spellStart"/>
      <w:r w:rsidRPr="00E63900">
        <w:rPr>
          <w:rFonts w:asciiTheme="minorHAnsi" w:hAnsiTheme="minorHAnsi" w:cstheme="minorHAnsi"/>
        </w:rPr>
        <w:t>MEPS</w:t>
      </w:r>
      <w:proofErr w:type="spellEnd"/>
      <w:r w:rsidRPr="00E63900">
        <w:rPr>
          <w:rFonts w:asciiTheme="minorHAnsi" w:hAnsiTheme="minorHAnsi" w:cstheme="minorHAnsi"/>
        </w:rPr>
        <w:t xml:space="preserve"> are </w:t>
      </w:r>
      <w:r w:rsidRPr="00966C86">
        <w:rPr>
          <w:rFonts w:asciiTheme="minorHAnsi" w:hAnsiTheme="minorHAnsi" w:cstheme="minorHAnsi"/>
        </w:rPr>
        <w:t xml:space="preserve">regulated standards that require specific buildings to meet certain requirements, such as a star rating or certification level, by a specified date or trigger point in the future. These standards are often implemented alongside mandatory disclosure requirements. </w:t>
      </w: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are typically </w:t>
      </w:r>
      <w:r w:rsidR="005A110A" w:rsidRPr="00966C86">
        <w:rPr>
          <w:rFonts w:asciiTheme="minorHAnsi" w:hAnsiTheme="minorHAnsi" w:cstheme="minorHAnsi"/>
        </w:rPr>
        <w:t>announced</w:t>
      </w:r>
      <w:r w:rsidRPr="00966C86">
        <w:rPr>
          <w:rFonts w:asciiTheme="minorHAnsi" w:hAnsiTheme="minorHAnsi" w:cstheme="minorHAnsi"/>
        </w:rPr>
        <w:t xml:space="preserve"> well in advance of enforcement (commonly between four to ten years), giving building owners sufficient time to plan renovations within the building's lifecycle.</w:t>
      </w:r>
      <w:r w:rsidR="00723239">
        <w:rPr>
          <w:rFonts w:ascii="ZWAdobeF" w:hAnsi="ZWAdobeF" w:cs="ZWAdobeF"/>
          <w:color w:val="auto"/>
          <w:sz w:val="2"/>
          <w:szCs w:val="2"/>
        </w:rPr>
        <w:t>66F</w:t>
      </w:r>
      <w:r w:rsidR="00EE36E3">
        <w:rPr>
          <w:rFonts w:ascii="ZWAdobeF" w:hAnsi="ZWAdobeF" w:cs="ZWAdobeF"/>
          <w:color w:val="auto"/>
          <w:sz w:val="2"/>
          <w:szCs w:val="2"/>
        </w:rPr>
        <w:t>66F</w:t>
      </w:r>
      <w:r w:rsidR="00122C48">
        <w:rPr>
          <w:rFonts w:ascii="ZWAdobeF" w:hAnsi="ZWAdobeF" w:cs="ZWAdobeF"/>
          <w:color w:val="auto"/>
          <w:sz w:val="2"/>
          <w:szCs w:val="2"/>
        </w:rPr>
        <w:t>66F</w:t>
      </w:r>
      <w:r w:rsidR="00F73A23">
        <w:rPr>
          <w:rFonts w:ascii="ZWAdobeF" w:hAnsi="ZWAdobeF" w:cs="ZWAdobeF"/>
          <w:color w:val="auto"/>
          <w:sz w:val="2"/>
          <w:szCs w:val="2"/>
        </w:rPr>
        <w:t>66F</w:t>
      </w:r>
      <w:r w:rsidR="00626378">
        <w:rPr>
          <w:rFonts w:ascii="ZWAdobeF" w:hAnsi="ZWAdobeF" w:cs="ZWAdobeF"/>
          <w:color w:val="auto"/>
          <w:sz w:val="2"/>
          <w:szCs w:val="2"/>
        </w:rPr>
        <w:t>66F</w:t>
      </w:r>
      <w:r w:rsidR="00413811">
        <w:rPr>
          <w:rFonts w:ascii="ZWAdobeF" w:hAnsi="ZWAdobeF" w:cs="ZWAdobeF"/>
          <w:color w:val="auto"/>
          <w:sz w:val="2"/>
          <w:szCs w:val="2"/>
        </w:rPr>
        <w:t>66F</w:t>
      </w:r>
      <w:r w:rsidR="002C327C">
        <w:rPr>
          <w:rFonts w:ascii="ZWAdobeF" w:hAnsi="ZWAdobeF" w:cs="ZWAdobeF"/>
          <w:color w:val="auto"/>
          <w:sz w:val="2"/>
          <w:szCs w:val="2"/>
        </w:rPr>
        <w:t>66F</w:t>
      </w:r>
      <w:r w:rsidR="00D24A06">
        <w:rPr>
          <w:rFonts w:ascii="ZWAdobeF" w:hAnsi="ZWAdobeF" w:cs="ZWAdobeF"/>
          <w:color w:val="auto"/>
          <w:sz w:val="2"/>
          <w:szCs w:val="2"/>
        </w:rPr>
        <w:t>66F</w:t>
      </w:r>
      <w:r w:rsidRPr="00966C86">
        <w:rPr>
          <w:rStyle w:val="FootnoteReference"/>
          <w:rFonts w:asciiTheme="minorHAnsi" w:hAnsiTheme="minorHAnsi" w:cstheme="minorHAnsi"/>
        </w:rPr>
        <w:footnoteReference w:id="68"/>
      </w:r>
    </w:p>
    <w:p w14:paraId="4A1C1BD5" w14:textId="77777777" w:rsidR="00E24A5A" w:rsidRPr="00966C86" w:rsidRDefault="00E24A5A" w:rsidP="00E24A5A">
      <w:pPr>
        <w:pStyle w:val="BodyText"/>
        <w:rPr>
          <w:rFonts w:asciiTheme="minorHAnsi" w:hAnsiTheme="minorHAnsi" w:cstheme="minorHAnsi"/>
        </w:rPr>
      </w:pP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are not typically implemented as standalone policies but are accompanied by practical and financial support for building renovations. This support is crucial to ensure that building owners can comply with the standards effectively. The existence of </w:t>
      </w: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also enhances the effectiveness and efficiency of funding and finance options provided for renovations.</w:t>
      </w:r>
    </w:p>
    <w:p w14:paraId="336486E2" w14:textId="75CEAF58" w:rsidR="00E24A5A" w:rsidRDefault="001F449E" w:rsidP="00E24A5A">
      <w:pPr>
        <w:pStyle w:val="BodyText"/>
        <w:rPr>
          <w:rFonts w:asciiTheme="minorHAnsi" w:hAnsiTheme="minorHAnsi" w:cstheme="minorHAnsi"/>
        </w:rPr>
      </w:pPr>
      <w:r>
        <w:rPr>
          <w:rFonts w:asciiTheme="minorHAnsi" w:hAnsiTheme="minorHAnsi" w:cstheme="minorHAnsi"/>
        </w:rPr>
        <w:fldChar w:fldCharType="begin" w:fldLock="1"/>
      </w:r>
      <w:r>
        <w:rPr>
          <w:rFonts w:asciiTheme="minorHAnsi" w:hAnsiTheme="minorHAnsi" w:cstheme="minorHAnsi"/>
        </w:rPr>
        <w:instrText xml:space="preserve"> REF _Ref152334277 \h  \* MERGEFORMAT </w:instrText>
      </w:r>
      <w:r>
        <w:rPr>
          <w:rFonts w:asciiTheme="minorHAnsi" w:hAnsiTheme="minorHAnsi" w:cstheme="minorHAnsi"/>
        </w:rPr>
      </w:r>
      <w:r>
        <w:rPr>
          <w:rFonts w:asciiTheme="minorHAnsi" w:hAnsiTheme="minorHAnsi" w:cstheme="minorHAnsi"/>
        </w:rPr>
        <w:fldChar w:fldCharType="separate"/>
      </w:r>
      <w:r w:rsidRPr="001F449E">
        <w:rPr>
          <w:rFonts w:asciiTheme="minorHAnsi" w:hAnsiTheme="minorHAnsi" w:cstheme="minorHAnsi"/>
        </w:rPr>
        <w:t>Figure 10</w:t>
      </w:r>
      <w:r>
        <w:rPr>
          <w:rFonts w:asciiTheme="minorHAnsi" w:hAnsiTheme="minorHAnsi" w:cstheme="minorHAnsi"/>
        </w:rPr>
        <w:fldChar w:fldCharType="end"/>
      </w:r>
      <w:r w:rsidR="00E24A5A" w:rsidRPr="00966C86">
        <w:rPr>
          <w:rFonts w:asciiTheme="minorHAnsi" w:hAnsiTheme="minorHAnsi" w:cstheme="minorHAnsi"/>
        </w:rPr>
        <w:t xml:space="preserve"> below illustrates that through </w:t>
      </w:r>
      <w:proofErr w:type="spellStart"/>
      <w:r w:rsidR="00E24A5A" w:rsidRPr="00966C86">
        <w:rPr>
          <w:rFonts w:asciiTheme="minorHAnsi" w:hAnsiTheme="minorHAnsi" w:cstheme="minorHAnsi"/>
        </w:rPr>
        <w:t>MEPS</w:t>
      </w:r>
      <w:proofErr w:type="spellEnd"/>
      <w:r w:rsidR="00E24A5A" w:rsidRPr="00966C86">
        <w:rPr>
          <w:rFonts w:asciiTheme="minorHAnsi" w:hAnsiTheme="minorHAnsi" w:cstheme="minorHAnsi"/>
        </w:rPr>
        <w:t xml:space="preserve"> policy, building owners are encouraged to undertake renovation works ahead of the compliance deadline. This approach can effectively contribute to achieving short-term energy or carbon emissions targets.</w:t>
      </w:r>
    </w:p>
    <w:p w14:paraId="6D729F14" w14:textId="35BE6822" w:rsidR="00444253" w:rsidRPr="00DA3192" w:rsidRDefault="00444253" w:rsidP="00DA3192">
      <w:pPr>
        <w:pStyle w:val="Caption"/>
        <w:keepNext/>
        <w:spacing w:after="120"/>
        <w:rPr>
          <w:rFonts w:ascii="Calibri" w:eastAsia="Times New Roman" w:hAnsi="Calibri" w:cs="Times New Roman"/>
          <w:b/>
          <w:bCs/>
          <w:i w:val="0"/>
          <w:iCs w:val="0"/>
          <w:color w:val="auto"/>
          <w:sz w:val="24"/>
        </w:rPr>
      </w:pPr>
      <w:bookmarkStart w:id="137" w:name="_Ref152334277"/>
      <w:bookmarkStart w:id="138" w:name="_Toc157687015"/>
      <w:r w:rsidRPr="00DA3192">
        <w:rPr>
          <w:rFonts w:ascii="Calibri" w:eastAsia="Times New Roman" w:hAnsi="Calibri" w:cs="Times New Roman"/>
          <w:b/>
          <w:bCs/>
          <w:i w:val="0"/>
          <w:iCs w:val="0"/>
          <w:color w:val="auto"/>
          <w:sz w:val="24"/>
        </w:rPr>
        <w:t xml:space="preserve">Figure </w:t>
      </w:r>
      <w:r w:rsidRPr="00DA3192">
        <w:rPr>
          <w:rFonts w:ascii="Calibri" w:eastAsia="Times New Roman" w:hAnsi="Calibri" w:cs="Times New Roman"/>
          <w:b/>
          <w:bCs/>
          <w:i w:val="0"/>
          <w:iCs w:val="0"/>
          <w:color w:val="auto"/>
          <w:sz w:val="24"/>
        </w:rPr>
        <w:fldChar w:fldCharType="begin"/>
      </w:r>
      <w:r w:rsidRPr="00DA3192">
        <w:rPr>
          <w:rFonts w:ascii="Calibri" w:eastAsia="Times New Roman" w:hAnsi="Calibri" w:cs="Times New Roman"/>
          <w:b/>
          <w:bCs/>
          <w:i w:val="0"/>
          <w:iCs w:val="0"/>
          <w:color w:val="auto"/>
          <w:sz w:val="24"/>
        </w:rPr>
        <w:instrText>SEQ Figure \* ARABIC</w:instrText>
      </w:r>
      <w:r w:rsidRPr="00DA3192">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10</w:t>
      </w:r>
      <w:r w:rsidRPr="00DA3192">
        <w:rPr>
          <w:rFonts w:ascii="Calibri" w:eastAsia="Times New Roman" w:hAnsi="Calibri" w:cs="Times New Roman"/>
          <w:b/>
          <w:bCs/>
          <w:i w:val="0"/>
          <w:iCs w:val="0"/>
          <w:color w:val="auto"/>
          <w:sz w:val="24"/>
        </w:rPr>
        <w:fldChar w:fldCharType="end"/>
      </w:r>
      <w:bookmarkEnd w:id="137"/>
      <w:r w:rsidRPr="00DA3192">
        <w:rPr>
          <w:rFonts w:ascii="Calibri" w:eastAsia="Times New Roman" w:hAnsi="Calibri" w:cs="Times New Roman"/>
          <w:b/>
          <w:bCs/>
          <w:i w:val="0"/>
          <w:iCs w:val="0"/>
          <w:color w:val="auto"/>
          <w:sz w:val="24"/>
        </w:rPr>
        <w:t xml:space="preserve">: Impact of </w:t>
      </w:r>
      <w:proofErr w:type="spellStart"/>
      <w:r w:rsidRPr="00DA3192">
        <w:rPr>
          <w:rFonts w:ascii="Calibri" w:eastAsia="Times New Roman" w:hAnsi="Calibri" w:cs="Times New Roman"/>
          <w:b/>
          <w:bCs/>
          <w:i w:val="0"/>
          <w:iCs w:val="0"/>
          <w:color w:val="auto"/>
          <w:sz w:val="24"/>
        </w:rPr>
        <w:t>MEPS</w:t>
      </w:r>
      <w:proofErr w:type="spellEnd"/>
      <w:r w:rsidRPr="00DA3192">
        <w:rPr>
          <w:rFonts w:ascii="Calibri" w:eastAsia="Times New Roman" w:hAnsi="Calibri" w:cs="Times New Roman"/>
          <w:b/>
          <w:bCs/>
          <w:i w:val="0"/>
          <w:iCs w:val="0"/>
          <w:color w:val="auto"/>
          <w:sz w:val="24"/>
        </w:rPr>
        <w:t xml:space="preserve"> embedded in framework of practical and financial support to drive renovation</w:t>
      </w:r>
      <w:r w:rsidR="00F73A23">
        <w:rPr>
          <w:rFonts w:ascii="ZWAdobeF" w:eastAsia="Times New Roman" w:hAnsi="ZWAdobeF" w:cs="ZWAdobeF"/>
          <w:bCs/>
          <w:i w:val="0"/>
          <w:iCs w:val="0"/>
          <w:color w:val="auto"/>
          <w:sz w:val="2"/>
          <w:szCs w:val="2"/>
        </w:rPr>
        <w:t>67F</w:t>
      </w:r>
      <w:r w:rsidR="00626378">
        <w:rPr>
          <w:rFonts w:ascii="ZWAdobeF" w:eastAsia="Times New Roman" w:hAnsi="ZWAdobeF" w:cs="ZWAdobeF"/>
          <w:bCs/>
          <w:i w:val="0"/>
          <w:iCs w:val="0"/>
          <w:color w:val="auto"/>
          <w:sz w:val="2"/>
          <w:szCs w:val="2"/>
        </w:rPr>
        <w:t>67F</w:t>
      </w:r>
      <w:r w:rsidR="00413811">
        <w:rPr>
          <w:rFonts w:ascii="ZWAdobeF" w:eastAsia="Times New Roman" w:hAnsi="ZWAdobeF" w:cs="ZWAdobeF"/>
          <w:bCs/>
          <w:i w:val="0"/>
          <w:iCs w:val="0"/>
          <w:color w:val="auto"/>
          <w:sz w:val="2"/>
          <w:szCs w:val="2"/>
        </w:rPr>
        <w:t>67F</w:t>
      </w:r>
      <w:r w:rsidR="002C327C">
        <w:rPr>
          <w:rFonts w:ascii="ZWAdobeF" w:eastAsia="Times New Roman" w:hAnsi="ZWAdobeF" w:cs="ZWAdobeF"/>
          <w:bCs/>
          <w:i w:val="0"/>
          <w:iCs w:val="0"/>
          <w:color w:val="auto"/>
          <w:sz w:val="2"/>
          <w:szCs w:val="2"/>
        </w:rPr>
        <w:t>67F</w:t>
      </w:r>
      <w:r w:rsidR="00D24A06">
        <w:rPr>
          <w:rFonts w:ascii="ZWAdobeF" w:eastAsia="Times New Roman" w:hAnsi="ZWAdobeF" w:cs="ZWAdobeF"/>
          <w:bCs/>
          <w:i w:val="0"/>
          <w:iCs w:val="0"/>
          <w:color w:val="auto"/>
          <w:sz w:val="2"/>
          <w:szCs w:val="2"/>
        </w:rPr>
        <w:t>67F</w:t>
      </w:r>
      <w:r w:rsidR="00DA3192">
        <w:rPr>
          <w:rStyle w:val="FootnoteReference"/>
          <w:rFonts w:ascii="Calibri" w:eastAsia="Times New Roman" w:hAnsi="Calibri" w:cs="Times New Roman"/>
          <w:b/>
          <w:bCs/>
          <w:i w:val="0"/>
          <w:iCs w:val="0"/>
          <w:color w:val="auto"/>
          <w:sz w:val="24"/>
        </w:rPr>
        <w:footnoteReference w:id="69"/>
      </w:r>
      <w:bookmarkEnd w:id="138"/>
    </w:p>
    <w:p w14:paraId="53FAB204" w14:textId="77777777" w:rsidR="007C54FF" w:rsidRPr="00966C86" w:rsidRDefault="007C54FF" w:rsidP="00B207EE">
      <w:pPr>
        <w:pStyle w:val="BodyText"/>
        <w:keepNext/>
        <w:jc w:val="center"/>
        <w:rPr>
          <w:rFonts w:asciiTheme="minorHAnsi" w:hAnsiTheme="minorHAnsi" w:cstheme="minorHAnsi"/>
        </w:rPr>
      </w:pPr>
      <w:r w:rsidRPr="00966C86">
        <w:rPr>
          <w:rFonts w:asciiTheme="minorHAnsi" w:hAnsiTheme="minorHAnsi" w:cstheme="minorHAnsi"/>
          <w:noProof/>
        </w:rPr>
        <w:drawing>
          <wp:inline distT="0" distB="0" distL="0" distR="0" wp14:anchorId="5DE4DAFC" wp14:editId="1983DC96">
            <wp:extent cx="3721210" cy="1860605"/>
            <wp:effectExtent l="0" t="0" r="0" b="6350"/>
            <wp:docPr id="22" name="Picture 22" descr="Figure 10 depicts renovation activity over the time period between announcement and enforcement of a new MEPS policy. The graph is a bell curve split into three sections: a small amount of activity attributed to signalling from announcements; a majority the activity attributed to funding, finance, information and practical support; and a final small amount of activity due to enforcemen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0 depicts renovation activity over the time period between announcement and enforcement of a new MEPS policy. The graph is a bell curve split into three sections: a small amount of activity attributed to signalling from announcements; a majority the activity attributed to funding, finance, information and practical support; and a final small amount of activity due to enforcement operation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36270" cy="1868135"/>
                    </a:xfrm>
                    <a:prstGeom prst="rect">
                      <a:avLst/>
                    </a:prstGeom>
                  </pic:spPr>
                </pic:pic>
              </a:graphicData>
            </a:graphic>
          </wp:inline>
        </w:drawing>
      </w:r>
    </w:p>
    <w:p w14:paraId="29FB015B" w14:textId="77777777" w:rsidR="00E0152E" w:rsidRPr="00966C86" w:rsidRDefault="00E0152E" w:rsidP="00E0152E">
      <w:pPr>
        <w:jc w:val="both"/>
        <w:rPr>
          <w:rFonts w:asciiTheme="minorHAnsi" w:hAnsiTheme="minorHAnsi" w:cstheme="minorHAnsi"/>
        </w:rPr>
      </w:pP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encompass minimum efficiency standards for equipment, building energy performance, and building codes. They have proven to be effective policy instruments adopted by many countries. </w:t>
      </w: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can be categorized as either attribute standards (focusing on physical properties) or performance standards (assessing actual energy use and emissions).</w:t>
      </w:r>
    </w:p>
    <w:p w14:paraId="2EC2866E" w14:textId="20647D17" w:rsidR="007C54FF" w:rsidRPr="00966C86" w:rsidRDefault="007C54FF" w:rsidP="00214D42">
      <w:pPr>
        <w:pStyle w:val="Heading3"/>
        <w:rPr>
          <w:rFonts w:asciiTheme="minorHAnsi" w:hAnsiTheme="minorHAnsi" w:cstheme="minorHAnsi"/>
        </w:rPr>
      </w:pPr>
      <w:bookmarkStart w:id="139" w:name="_Toc133460626"/>
      <w:bookmarkStart w:id="140" w:name="_Toc133844033"/>
      <w:bookmarkStart w:id="141" w:name="_Toc136286378"/>
      <w:r w:rsidRPr="00966C86">
        <w:rPr>
          <w:rFonts w:asciiTheme="minorHAnsi" w:hAnsiTheme="minorHAnsi" w:cstheme="minorHAnsi"/>
        </w:rPr>
        <w:t xml:space="preserve">Equipment and carbon intensity </w:t>
      </w:r>
      <w:proofErr w:type="spellStart"/>
      <w:r w:rsidRPr="00966C86">
        <w:rPr>
          <w:rFonts w:asciiTheme="minorHAnsi" w:hAnsiTheme="minorHAnsi" w:cstheme="minorHAnsi"/>
        </w:rPr>
        <w:t>MEPS</w:t>
      </w:r>
      <w:bookmarkEnd w:id="139"/>
      <w:bookmarkEnd w:id="140"/>
      <w:bookmarkEnd w:id="141"/>
      <w:proofErr w:type="spellEnd"/>
      <w:r w:rsidRPr="00966C86">
        <w:rPr>
          <w:rFonts w:asciiTheme="minorHAnsi" w:hAnsiTheme="minorHAnsi" w:cstheme="minorHAnsi"/>
        </w:rPr>
        <w:t xml:space="preserve"> </w:t>
      </w:r>
    </w:p>
    <w:p w14:paraId="6F26BD5D" w14:textId="12210781" w:rsidR="00E0152E" w:rsidRPr="00966C86" w:rsidRDefault="00E0152E" w:rsidP="00E0152E">
      <w:pPr>
        <w:pStyle w:val="BodyText"/>
        <w:rPr>
          <w:rFonts w:asciiTheme="minorHAnsi" w:hAnsiTheme="minorHAnsi" w:cstheme="minorHAnsi"/>
        </w:rPr>
      </w:pP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can be used to eliminate environmentally harmful products from the market</w:t>
      </w:r>
      <w:r w:rsidR="00B73F8D">
        <w:rPr>
          <w:rFonts w:asciiTheme="minorHAnsi" w:hAnsiTheme="minorHAnsi" w:cstheme="minorHAnsi"/>
        </w:rPr>
        <w:t xml:space="preserve"> or make old and </w:t>
      </w:r>
      <w:r w:rsidR="001C3DD6">
        <w:rPr>
          <w:rFonts w:asciiTheme="minorHAnsi" w:hAnsiTheme="minorHAnsi" w:cstheme="minorHAnsi"/>
        </w:rPr>
        <w:t>obsolete</w:t>
      </w:r>
      <w:r>
        <w:rPr>
          <w:rFonts w:asciiTheme="minorHAnsi" w:hAnsiTheme="minorHAnsi" w:cstheme="minorHAnsi"/>
        </w:rPr>
        <w:t xml:space="preserve"> equipment</w:t>
      </w:r>
      <w:r w:rsidR="00B73F8D">
        <w:rPr>
          <w:rFonts w:asciiTheme="minorHAnsi" w:hAnsiTheme="minorHAnsi" w:cstheme="minorHAnsi"/>
        </w:rPr>
        <w:t xml:space="preserve"> </w:t>
      </w:r>
      <w:r w:rsidR="001C3DD6">
        <w:rPr>
          <w:rFonts w:asciiTheme="minorHAnsi" w:hAnsiTheme="minorHAnsi" w:cstheme="minorHAnsi"/>
        </w:rPr>
        <w:t>irreplaceable</w:t>
      </w:r>
      <w:r w:rsidR="00B73F8D">
        <w:rPr>
          <w:rFonts w:asciiTheme="minorHAnsi" w:hAnsiTheme="minorHAnsi" w:cstheme="minorHAnsi"/>
        </w:rPr>
        <w:t xml:space="preserve"> in a like-for-like scenario by establishing a</w:t>
      </w:r>
      <w:r>
        <w:rPr>
          <w:rFonts w:asciiTheme="minorHAnsi" w:hAnsiTheme="minorHAnsi" w:cstheme="minorHAnsi"/>
        </w:rPr>
        <w:t xml:space="preserve"> </w:t>
      </w:r>
      <w:proofErr w:type="spellStart"/>
      <w:r>
        <w:rPr>
          <w:rFonts w:asciiTheme="minorHAnsi" w:hAnsiTheme="minorHAnsi" w:cstheme="minorHAnsi"/>
        </w:rPr>
        <w:t>MEPS</w:t>
      </w:r>
      <w:proofErr w:type="spellEnd"/>
      <w:r>
        <w:rPr>
          <w:rFonts w:asciiTheme="minorHAnsi" w:hAnsiTheme="minorHAnsi" w:cstheme="minorHAnsi"/>
        </w:rPr>
        <w:t xml:space="preserve"> </w:t>
      </w:r>
      <w:r w:rsidR="00B73F8D">
        <w:rPr>
          <w:rFonts w:asciiTheme="minorHAnsi" w:hAnsiTheme="minorHAnsi" w:cstheme="minorHAnsi"/>
        </w:rPr>
        <w:t>cap</w:t>
      </w:r>
      <w:r w:rsidRPr="00966C86">
        <w:rPr>
          <w:rFonts w:asciiTheme="minorHAnsi" w:hAnsiTheme="minorHAnsi" w:cstheme="minorHAnsi"/>
        </w:rPr>
        <w:t xml:space="preserve"> that must be met by specific types of equipment used in buildings</w:t>
      </w:r>
      <w:r>
        <w:rPr>
          <w:rFonts w:asciiTheme="minorHAnsi" w:hAnsiTheme="minorHAnsi" w:cstheme="minorHAnsi"/>
        </w:rPr>
        <w:t xml:space="preserve">. </w:t>
      </w:r>
      <w:r w:rsidR="00585086">
        <w:rPr>
          <w:rFonts w:asciiTheme="minorHAnsi" w:hAnsiTheme="minorHAnsi" w:cstheme="minorHAnsi"/>
        </w:rPr>
        <w:t>This equipment for the GEMS A</w:t>
      </w:r>
      <w:r w:rsidR="006A481E">
        <w:rPr>
          <w:rFonts w:asciiTheme="minorHAnsi" w:hAnsiTheme="minorHAnsi" w:cstheme="minorHAnsi"/>
        </w:rPr>
        <w:t>c</w:t>
      </w:r>
      <w:r w:rsidR="00585086">
        <w:rPr>
          <w:rFonts w:asciiTheme="minorHAnsi" w:hAnsiTheme="minorHAnsi" w:cstheme="minorHAnsi"/>
        </w:rPr>
        <w:t>t</w:t>
      </w:r>
      <w:r w:rsidR="006A481E">
        <w:rPr>
          <w:rFonts w:asciiTheme="minorHAnsi" w:hAnsiTheme="minorHAnsi" w:cstheme="minorHAnsi"/>
        </w:rPr>
        <w:t xml:space="preserve"> 2012 (</w:t>
      </w:r>
      <w:r w:rsidR="006A481E" w:rsidRPr="005E515E">
        <w:rPr>
          <w:rFonts w:asciiTheme="minorHAnsi" w:hAnsiTheme="minorHAnsi" w:cstheme="minorHAnsi"/>
        </w:rPr>
        <w:fldChar w:fldCharType="begin" w:fldLock="1"/>
      </w:r>
      <w:r w:rsidR="006A481E" w:rsidRPr="005E515E">
        <w:rPr>
          <w:rFonts w:asciiTheme="minorHAnsi" w:hAnsiTheme="minorHAnsi" w:cstheme="minorHAnsi"/>
        </w:rPr>
        <w:instrText xml:space="preserve"> REF _Ref147338146 \h </w:instrText>
      </w:r>
      <w:r w:rsidR="005E515E">
        <w:rPr>
          <w:rFonts w:asciiTheme="minorHAnsi" w:hAnsiTheme="minorHAnsi" w:cstheme="minorHAnsi"/>
        </w:rPr>
        <w:instrText xml:space="preserve"> \* MERGEFORMAT </w:instrText>
      </w:r>
      <w:r w:rsidR="006A481E" w:rsidRPr="005E515E">
        <w:rPr>
          <w:rFonts w:asciiTheme="minorHAnsi" w:hAnsiTheme="minorHAnsi" w:cstheme="minorHAnsi"/>
        </w:rPr>
      </w:r>
      <w:r w:rsidR="006A481E" w:rsidRPr="005E515E">
        <w:rPr>
          <w:rFonts w:asciiTheme="minorHAnsi" w:hAnsiTheme="minorHAnsi" w:cstheme="minorHAnsi"/>
        </w:rPr>
        <w:fldChar w:fldCharType="separate"/>
      </w:r>
      <w:r w:rsidR="005E515E" w:rsidRPr="005E515E">
        <w:rPr>
          <w:rFonts w:asciiTheme="minorHAnsi" w:hAnsiTheme="minorHAnsi" w:cstheme="minorHAnsi"/>
          <w:lang w:val="en-GB"/>
        </w:rPr>
        <w:t>Appendix 7: Australian relevant policies and initiatives</w:t>
      </w:r>
      <w:r w:rsidR="006A481E" w:rsidRPr="005E515E">
        <w:rPr>
          <w:rFonts w:asciiTheme="minorHAnsi" w:hAnsiTheme="minorHAnsi" w:cstheme="minorHAnsi"/>
        </w:rPr>
        <w:fldChar w:fldCharType="end"/>
      </w:r>
      <w:r w:rsidR="006A481E">
        <w:rPr>
          <w:rFonts w:asciiTheme="minorHAnsi" w:hAnsiTheme="minorHAnsi" w:cstheme="minorHAnsi"/>
        </w:rPr>
        <w:t>)</w:t>
      </w:r>
      <w:r w:rsidRPr="00966C86">
        <w:rPr>
          <w:rFonts w:asciiTheme="minorHAnsi" w:hAnsiTheme="minorHAnsi" w:cstheme="minorHAnsi"/>
        </w:rPr>
        <w:t xml:space="preserve">. This compels building </w:t>
      </w:r>
      <w:r w:rsidR="006A481E">
        <w:rPr>
          <w:rFonts w:asciiTheme="minorHAnsi" w:hAnsiTheme="minorHAnsi" w:cstheme="minorHAnsi"/>
        </w:rPr>
        <w:t>managers</w:t>
      </w:r>
      <w:r w:rsidRPr="00966C86">
        <w:rPr>
          <w:rFonts w:asciiTheme="minorHAnsi" w:hAnsiTheme="minorHAnsi" w:cstheme="minorHAnsi"/>
        </w:rPr>
        <w:t xml:space="preserve"> to improve</w:t>
      </w:r>
      <w:r w:rsidR="006A481E">
        <w:rPr>
          <w:rFonts w:asciiTheme="minorHAnsi" w:hAnsiTheme="minorHAnsi" w:cstheme="minorHAnsi"/>
        </w:rPr>
        <w:t xml:space="preserve"> equipment when the asset is being replaced</w:t>
      </w:r>
      <w:r w:rsidR="00723239">
        <w:rPr>
          <w:rFonts w:ascii="ZWAdobeF" w:hAnsi="ZWAdobeF" w:cs="ZWAdobeF"/>
          <w:color w:val="auto"/>
          <w:sz w:val="2"/>
          <w:szCs w:val="2"/>
        </w:rPr>
        <w:t>68F</w:t>
      </w:r>
      <w:r w:rsidR="00EE36E3">
        <w:rPr>
          <w:rFonts w:ascii="ZWAdobeF" w:hAnsi="ZWAdobeF" w:cs="ZWAdobeF"/>
          <w:color w:val="auto"/>
          <w:sz w:val="2"/>
          <w:szCs w:val="2"/>
        </w:rPr>
        <w:t>68F</w:t>
      </w:r>
      <w:r w:rsidR="00122C48">
        <w:rPr>
          <w:rFonts w:ascii="ZWAdobeF" w:hAnsi="ZWAdobeF" w:cs="ZWAdobeF"/>
          <w:color w:val="auto"/>
          <w:sz w:val="2"/>
          <w:szCs w:val="2"/>
        </w:rPr>
        <w:t>68F</w:t>
      </w:r>
      <w:r w:rsidR="00F73A23">
        <w:rPr>
          <w:rFonts w:ascii="ZWAdobeF" w:hAnsi="ZWAdobeF" w:cs="ZWAdobeF"/>
          <w:color w:val="auto"/>
          <w:sz w:val="2"/>
          <w:szCs w:val="2"/>
        </w:rPr>
        <w:t>68F</w:t>
      </w:r>
      <w:r w:rsidR="00626378">
        <w:rPr>
          <w:rFonts w:ascii="ZWAdobeF" w:hAnsi="ZWAdobeF" w:cs="ZWAdobeF"/>
          <w:color w:val="auto"/>
          <w:sz w:val="2"/>
          <w:szCs w:val="2"/>
        </w:rPr>
        <w:t>68F</w:t>
      </w:r>
      <w:r w:rsidR="00413811">
        <w:rPr>
          <w:rFonts w:ascii="ZWAdobeF" w:hAnsi="ZWAdobeF" w:cs="ZWAdobeF"/>
          <w:color w:val="auto"/>
          <w:sz w:val="2"/>
          <w:szCs w:val="2"/>
        </w:rPr>
        <w:t>68F</w:t>
      </w:r>
      <w:r w:rsidR="002C327C">
        <w:rPr>
          <w:rFonts w:ascii="ZWAdobeF" w:hAnsi="ZWAdobeF" w:cs="ZWAdobeF"/>
          <w:color w:val="auto"/>
          <w:sz w:val="2"/>
          <w:szCs w:val="2"/>
        </w:rPr>
        <w:t>68F</w:t>
      </w:r>
      <w:r w:rsidR="00D24A06">
        <w:rPr>
          <w:rFonts w:ascii="ZWAdobeF" w:hAnsi="ZWAdobeF" w:cs="ZWAdobeF"/>
          <w:color w:val="auto"/>
          <w:sz w:val="2"/>
          <w:szCs w:val="2"/>
        </w:rPr>
        <w:t>68F</w:t>
      </w:r>
      <w:r w:rsidRPr="00966C86">
        <w:rPr>
          <w:rStyle w:val="FootnoteReference"/>
          <w:rFonts w:asciiTheme="minorHAnsi" w:hAnsiTheme="minorHAnsi" w:cstheme="minorHAnsi"/>
        </w:rPr>
        <w:footnoteReference w:id="70"/>
      </w:r>
      <w:r w:rsidR="00AE40A7" w:rsidRPr="00966C86">
        <w:rPr>
          <w:rFonts w:asciiTheme="minorHAnsi" w:hAnsiTheme="minorHAnsi" w:cstheme="minorHAnsi"/>
        </w:rPr>
        <w:t>.</w:t>
      </w:r>
      <w:r w:rsidRPr="00966C86">
        <w:rPr>
          <w:rFonts w:asciiTheme="minorHAnsi" w:hAnsiTheme="minorHAnsi" w:cstheme="minorHAnsi"/>
        </w:rPr>
        <w:t xml:space="preserve"> Implementing equipment </w:t>
      </w: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results in improved building efficiency, lower energy costs, and reduced greenhouse gas emissions. </w:t>
      </w:r>
    </w:p>
    <w:p w14:paraId="3C3B789E" w14:textId="1829A39A" w:rsidR="00E0152E" w:rsidRPr="00966C86" w:rsidRDefault="00E0152E" w:rsidP="00E0152E">
      <w:pPr>
        <w:pStyle w:val="BodyText"/>
        <w:rPr>
          <w:rFonts w:asciiTheme="minorHAnsi" w:hAnsiTheme="minorHAnsi" w:cstheme="minorHAnsi"/>
        </w:rPr>
      </w:pPr>
      <w:r w:rsidRPr="00966C86">
        <w:rPr>
          <w:rFonts w:asciiTheme="minorHAnsi" w:hAnsiTheme="minorHAnsi" w:cstheme="minorHAnsi"/>
        </w:rPr>
        <w:t>Equipment standards have been implemented in residential rented properties for several decades, and jurisdictions are now expanding these standards by incorporating more components, frequent triggers, expanded requirements, and tenant protection measures</w:t>
      </w:r>
      <w:r w:rsidR="00723239">
        <w:rPr>
          <w:rFonts w:ascii="ZWAdobeF" w:hAnsi="ZWAdobeF" w:cs="ZWAdobeF"/>
          <w:color w:val="auto"/>
          <w:sz w:val="2"/>
          <w:szCs w:val="2"/>
        </w:rPr>
        <w:t>69F</w:t>
      </w:r>
      <w:r w:rsidR="00EE36E3">
        <w:rPr>
          <w:rFonts w:ascii="ZWAdobeF" w:hAnsi="ZWAdobeF" w:cs="ZWAdobeF"/>
          <w:color w:val="auto"/>
          <w:sz w:val="2"/>
          <w:szCs w:val="2"/>
        </w:rPr>
        <w:t>69F</w:t>
      </w:r>
      <w:r w:rsidR="00122C48">
        <w:rPr>
          <w:rFonts w:ascii="ZWAdobeF" w:hAnsi="ZWAdobeF" w:cs="ZWAdobeF"/>
          <w:color w:val="auto"/>
          <w:sz w:val="2"/>
          <w:szCs w:val="2"/>
        </w:rPr>
        <w:t>69F</w:t>
      </w:r>
      <w:r w:rsidR="00F73A23">
        <w:rPr>
          <w:rFonts w:ascii="ZWAdobeF" w:hAnsi="ZWAdobeF" w:cs="ZWAdobeF"/>
          <w:color w:val="auto"/>
          <w:sz w:val="2"/>
          <w:szCs w:val="2"/>
        </w:rPr>
        <w:t>69F</w:t>
      </w:r>
      <w:r w:rsidR="00626378">
        <w:rPr>
          <w:rFonts w:ascii="ZWAdobeF" w:hAnsi="ZWAdobeF" w:cs="ZWAdobeF"/>
          <w:color w:val="auto"/>
          <w:sz w:val="2"/>
          <w:szCs w:val="2"/>
        </w:rPr>
        <w:t>69F</w:t>
      </w:r>
      <w:r w:rsidR="00413811">
        <w:rPr>
          <w:rFonts w:ascii="ZWAdobeF" w:hAnsi="ZWAdobeF" w:cs="ZWAdobeF"/>
          <w:color w:val="auto"/>
          <w:sz w:val="2"/>
          <w:szCs w:val="2"/>
        </w:rPr>
        <w:t>69F</w:t>
      </w:r>
      <w:r w:rsidR="002C327C">
        <w:rPr>
          <w:rFonts w:ascii="ZWAdobeF" w:hAnsi="ZWAdobeF" w:cs="ZWAdobeF"/>
          <w:color w:val="auto"/>
          <w:sz w:val="2"/>
          <w:szCs w:val="2"/>
        </w:rPr>
        <w:t>69F</w:t>
      </w:r>
      <w:r w:rsidR="00D24A06">
        <w:rPr>
          <w:rFonts w:ascii="ZWAdobeF" w:hAnsi="ZWAdobeF" w:cs="ZWAdobeF"/>
          <w:color w:val="auto"/>
          <w:sz w:val="2"/>
          <w:szCs w:val="2"/>
        </w:rPr>
        <w:t>69F</w:t>
      </w:r>
      <w:r w:rsidRPr="00966C86">
        <w:rPr>
          <w:rStyle w:val="FootnoteReference"/>
          <w:rFonts w:asciiTheme="minorHAnsi" w:hAnsiTheme="minorHAnsi" w:cstheme="minorHAnsi"/>
        </w:rPr>
        <w:footnoteReference w:id="71"/>
      </w:r>
      <w:r w:rsidR="00AE40A7" w:rsidRPr="00966C86">
        <w:rPr>
          <w:rFonts w:asciiTheme="minorHAnsi" w:hAnsiTheme="minorHAnsi" w:cstheme="minorHAnsi"/>
        </w:rPr>
        <w:t>.</w:t>
      </w:r>
      <w:r w:rsidRPr="00966C86">
        <w:rPr>
          <w:rFonts w:asciiTheme="minorHAnsi" w:hAnsiTheme="minorHAnsi" w:cstheme="minorHAnsi"/>
        </w:rPr>
        <w:t>Costs associated with meeting the standards are sometimes capped to alleviate the financial burden on residents</w:t>
      </w:r>
      <w:r w:rsidR="0037605E" w:rsidRPr="00966C86">
        <w:rPr>
          <w:rFonts w:asciiTheme="minorHAnsi" w:hAnsiTheme="minorHAnsi" w:cstheme="minorHAnsi"/>
        </w:rPr>
        <w:t xml:space="preserve"> or companies. </w:t>
      </w:r>
    </w:p>
    <w:p w14:paraId="508F2B86" w14:textId="714428CB" w:rsidR="00E0152E" w:rsidRPr="00966C86" w:rsidRDefault="00E0152E" w:rsidP="00E0152E">
      <w:pPr>
        <w:pStyle w:val="BodyText"/>
        <w:rPr>
          <w:rFonts w:asciiTheme="minorHAnsi" w:hAnsiTheme="minorHAnsi" w:cstheme="minorHAnsi"/>
        </w:rPr>
      </w:pPr>
      <w:r w:rsidRPr="00966C86">
        <w:rPr>
          <w:rFonts w:asciiTheme="minorHAnsi" w:hAnsiTheme="minorHAnsi" w:cstheme="minorHAnsi"/>
        </w:rPr>
        <w:t xml:space="preserve">There is a global trend towards increased use and requirement of renewables in buildings and the capping of energy consumption on-site. Various countries have implemented measures to promote energy efficiency and reduce carbon intensity in buildings. For example, the </w:t>
      </w:r>
      <w:r w:rsidRPr="00966C86">
        <w:rPr>
          <w:rFonts w:asciiTheme="minorHAnsi" w:hAnsiTheme="minorHAnsi" w:cstheme="minorHAnsi"/>
          <w:b/>
        </w:rPr>
        <w:t>Netherlands</w:t>
      </w:r>
      <w:r w:rsidRPr="00966C86">
        <w:rPr>
          <w:rFonts w:asciiTheme="minorHAnsi" w:hAnsiTheme="minorHAnsi" w:cstheme="minorHAnsi"/>
        </w:rPr>
        <w:t xml:space="preserve"> introduced new energy performance requirements that include capped energy consumption and a minimum percentage of renewable energy. </w:t>
      </w:r>
      <w:r w:rsidRPr="00966C86">
        <w:rPr>
          <w:rFonts w:asciiTheme="minorHAnsi" w:hAnsiTheme="minorHAnsi" w:cstheme="minorHAnsi"/>
          <w:b/>
        </w:rPr>
        <w:t>France</w:t>
      </w:r>
      <w:r w:rsidRPr="00966C86">
        <w:rPr>
          <w:rFonts w:asciiTheme="minorHAnsi" w:hAnsiTheme="minorHAnsi" w:cstheme="minorHAnsi"/>
        </w:rPr>
        <w:t xml:space="preserve"> has implemented energy capping during the construction phase and limits on energy consumption during operation</w:t>
      </w:r>
      <w:r w:rsidR="00723239">
        <w:rPr>
          <w:rFonts w:ascii="ZWAdobeF" w:hAnsi="ZWAdobeF" w:cs="ZWAdobeF"/>
          <w:color w:val="auto"/>
          <w:sz w:val="2"/>
          <w:szCs w:val="2"/>
        </w:rPr>
        <w:t>70F</w:t>
      </w:r>
      <w:r w:rsidR="00EE36E3">
        <w:rPr>
          <w:rFonts w:ascii="ZWAdobeF" w:hAnsi="ZWAdobeF" w:cs="ZWAdobeF"/>
          <w:color w:val="auto"/>
          <w:sz w:val="2"/>
          <w:szCs w:val="2"/>
        </w:rPr>
        <w:t>70F</w:t>
      </w:r>
      <w:r w:rsidR="00122C48">
        <w:rPr>
          <w:rFonts w:ascii="ZWAdobeF" w:hAnsi="ZWAdobeF" w:cs="ZWAdobeF"/>
          <w:color w:val="auto"/>
          <w:sz w:val="2"/>
          <w:szCs w:val="2"/>
        </w:rPr>
        <w:t>70F</w:t>
      </w:r>
      <w:r w:rsidR="00F73A23">
        <w:rPr>
          <w:rFonts w:ascii="ZWAdobeF" w:hAnsi="ZWAdobeF" w:cs="ZWAdobeF"/>
          <w:color w:val="auto"/>
          <w:sz w:val="2"/>
          <w:szCs w:val="2"/>
        </w:rPr>
        <w:t>70F</w:t>
      </w:r>
      <w:r w:rsidR="00626378">
        <w:rPr>
          <w:rFonts w:ascii="ZWAdobeF" w:hAnsi="ZWAdobeF" w:cs="ZWAdobeF"/>
          <w:color w:val="auto"/>
          <w:sz w:val="2"/>
          <w:szCs w:val="2"/>
        </w:rPr>
        <w:t>70F</w:t>
      </w:r>
      <w:r w:rsidR="00413811">
        <w:rPr>
          <w:rFonts w:ascii="ZWAdobeF" w:hAnsi="ZWAdobeF" w:cs="ZWAdobeF"/>
          <w:color w:val="auto"/>
          <w:sz w:val="2"/>
          <w:szCs w:val="2"/>
        </w:rPr>
        <w:t>70F</w:t>
      </w:r>
      <w:r w:rsidR="002C327C">
        <w:rPr>
          <w:rFonts w:ascii="ZWAdobeF" w:hAnsi="ZWAdobeF" w:cs="ZWAdobeF"/>
          <w:color w:val="auto"/>
          <w:sz w:val="2"/>
          <w:szCs w:val="2"/>
        </w:rPr>
        <w:t>70F</w:t>
      </w:r>
      <w:r w:rsidR="00D24A06">
        <w:rPr>
          <w:rFonts w:ascii="ZWAdobeF" w:hAnsi="ZWAdobeF" w:cs="ZWAdobeF"/>
          <w:color w:val="auto"/>
          <w:sz w:val="2"/>
          <w:szCs w:val="2"/>
        </w:rPr>
        <w:t>70F</w:t>
      </w:r>
      <w:r w:rsidR="00E17B97" w:rsidRPr="00966C86">
        <w:rPr>
          <w:rStyle w:val="FootnoteReference"/>
          <w:rFonts w:asciiTheme="minorHAnsi" w:hAnsiTheme="minorHAnsi" w:cstheme="minorHAnsi"/>
        </w:rPr>
        <w:footnoteReference w:id="72"/>
      </w:r>
      <w:r w:rsidRPr="00966C86">
        <w:rPr>
          <w:rFonts w:asciiTheme="minorHAnsi" w:hAnsiTheme="minorHAnsi" w:cstheme="minorHAnsi"/>
        </w:rPr>
        <w:t xml:space="preserve">. </w:t>
      </w:r>
      <w:r w:rsidRPr="00966C86">
        <w:rPr>
          <w:rFonts w:asciiTheme="minorHAnsi" w:hAnsiTheme="minorHAnsi" w:cstheme="minorHAnsi"/>
          <w:b/>
        </w:rPr>
        <w:t>Germany</w:t>
      </w:r>
      <w:r w:rsidR="00723239">
        <w:rPr>
          <w:rFonts w:ascii="ZWAdobeF" w:hAnsi="ZWAdobeF" w:cs="ZWAdobeF"/>
          <w:color w:val="auto"/>
          <w:sz w:val="2"/>
          <w:szCs w:val="2"/>
        </w:rPr>
        <w:t>71F</w:t>
      </w:r>
      <w:r w:rsidR="00EE36E3">
        <w:rPr>
          <w:rFonts w:ascii="ZWAdobeF" w:hAnsi="ZWAdobeF" w:cs="ZWAdobeF"/>
          <w:color w:val="auto"/>
          <w:sz w:val="2"/>
          <w:szCs w:val="2"/>
        </w:rPr>
        <w:t>71F</w:t>
      </w:r>
      <w:r w:rsidR="00122C48">
        <w:rPr>
          <w:rFonts w:ascii="ZWAdobeF" w:hAnsi="ZWAdobeF" w:cs="ZWAdobeF"/>
          <w:color w:val="auto"/>
          <w:sz w:val="2"/>
          <w:szCs w:val="2"/>
        </w:rPr>
        <w:t>71F</w:t>
      </w:r>
      <w:r w:rsidR="00F73A23">
        <w:rPr>
          <w:rFonts w:ascii="ZWAdobeF" w:hAnsi="ZWAdobeF" w:cs="ZWAdobeF"/>
          <w:color w:val="auto"/>
          <w:sz w:val="2"/>
          <w:szCs w:val="2"/>
        </w:rPr>
        <w:t>71F</w:t>
      </w:r>
      <w:r w:rsidR="00626378">
        <w:rPr>
          <w:rFonts w:ascii="ZWAdobeF" w:hAnsi="ZWAdobeF" w:cs="ZWAdobeF"/>
          <w:color w:val="auto"/>
          <w:sz w:val="2"/>
          <w:szCs w:val="2"/>
        </w:rPr>
        <w:t>71F</w:t>
      </w:r>
      <w:r w:rsidR="00413811">
        <w:rPr>
          <w:rFonts w:ascii="ZWAdobeF" w:hAnsi="ZWAdobeF" w:cs="ZWAdobeF"/>
          <w:color w:val="auto"/>
          <w:sz w:val="2"/>
          <w:szCs w:val="2"/>
        </w:rPr>
        <w:t>71F</w:t>
      </w:r>
      <w:r w:rsidR="002C327C">
        <w:rPr>
          <w:rFonts w:ascii="ZWAdobeF" w:hAnsi="ZWAdobeF" w:cs="ZWAdobeF"/>
          <w:color w:val="auto"/>
          <w:sz w:val="2"/>
          <w:szCs w:val="2"/>
        </w:rPr>
        <w:t>71F</w:t>
      </w:r>
      <w:r w:rsidR="00D24A06">
        <w:rPr>
          <w:rFonts w:ascii="ZWAdobeF" w:hAnsi="ZWAdobeF" w:cs="ZWAdobeF"/>
          <w:color w:val="auto"/>
          <w:sz w:val="2"/>
          <w:szCs w:val="2"/>
        </w:rPr>
        <w:t>71F</w:t>
      </w:r>
      <w:r w:rsidR="00D77E17" w:rsidRPr="00966C86">
        <w:rPr>
          <w:rStyle w:val="FootnoteReference"/>
          <w:rFonts w:asciiTheme="minorHAnsi" w:hAnsiTheme="minorHAnsi" w:cstheme="minorHAnsi"/>
          <w:b/>
        </w:rPr>
        <w:footnoteReference w:id="73"/>
      </w:r>
      <w:r w:rsidRPr="00966C86">
        <w:rPr>
          <w:rFonts w:asciiTheme="minorHAnsi" w:hAnsiTheme="minorHAnsi" w:cstheme="minorHAnsi"/>
        </w:rPr>
        <w:t xml:space="preserve"> and </w:t>
      </w:r>
      <w:r w:rsidRPr="00966C86">
        <w:rPr>
          <w:rFonts w:asciiTheme="minorHAnsi" w:hAnsiTheme="minorHAnsi" w:cstheme="minorHAnsi"/>
          <w:b/>
        </w:rPr>
        <w:t>Japan</w:t>
      </w:r>
      <w:r w:rsidR="00723239">
        <w:rPr>
          <w:rFonts w:ascii="ZWAdobeF" w:hAnsi="ZWAdobeF" w:cs="ZWAdobeF"/>
          <w:color w:val="auto"/>
          <w:sz w:val="2"/>
          <w:szCs w:val="2"/>
        </w:rPr>
        <w:t>72F</w:t>
      </w:r>
      <w:r w:rsidR="00EE36E3">
        <w:rPr>
          <w:rFonts w:ascii="ZWAdobeF" w:hAnsi="ZWAdobeF" w:cs="ZWAdobeF"/>
          <w:color w:val="auto"/>
          <w:sz w:val="2"/>
          <w:szCs w:val="2"/>
        </w:rPr>
        <w:t>72F</w:t>
      </w:r>
      <w:r w:rsidR="00122C48">
        <w:rPr>
          <w:rFonts w:ascii="ZWAdobeF" w:hAnsi="ZWAdobeF" w:cs="ZWAdobeF"/>
          <w:color w:val="auto"/>
          <w:sz w:val="2"/>
          <w:szCs w:val="2"/>
        </w:rPr>
        <w:t>72F</w:t>
      </w:r>
      <w:r w:rsidR="00F73A23">
        <w:rPr>
          <w:rFonts w:ascii="ZWAdobeF" w:hAnsi="ZWAdobeF" w:cs="ZWAdobeF"/>
          <w:color w:val="auto"/>
          <w:sz w:val="2"/>
          <w:szCs w:val="2"/>
        </w:rPr>
        <w:t>72F</w:t>
      </w:r>
      <w:r w:rsidR="00626378">
        <w:rPr>
          <w:rFonts w:ascii="ZWAdobeF" w:hAnsi="ZWAdobeF" w:cs="ZWAdobeF"/>
          <w:color w:val="auto"/>
          <w:sz w:val="2"/>
          <w:szCs w:val="2"/>
        </w:rPr>
        <w:t>72F</w:t>
      </w:r>
      <w:r w:rsidR="00413811">
        <w:rPr>
          <w:rFonts w:ascii="ZWAdobeF" w:hAnsi="ZWAdobeF" w:cs="ZWAdobeF"/>
          <w:color w:val="auto"/>
          <w:sz w:val="2"/>
          <w:szCs w:val="2"/>
        </w:rPr>
        <w:t>72F</w:t>
      </w:r>
      <w:r w:rsidR="002C327C">
        <w:rPr>
          <w:rFonts w:ascii="ZWAdobeF" w:hAnsi="ZWAdobeF" w:cs="ZWAdobeF"/>
          <w:color w:val="auto"/>
          <w:sz w:val="2"/>
          <w:szCs w:val="2"/>
        </w:rPr>
        <w:t>72F</w:t>
      </w:r>
      <w:r w:rsidR="00D24A06">
        <w:rPr>
          <w:rFonts w:ascii="ZWAdobeF" w:hAnsi="ZWAdobeF" w:cs="ZWAdobeF"/>
          <w:color w:val="auto"/>
          <w:sz w:val="2"/>
          <w:szCs w:val="2"/>
        </w:rPr>
        <w:t>72F</w:t>
      </w:r>
      <w:r w:rsidR="00D77E17" w:rsidRPr="00966C86">
        <w:rPr>
          <w:rStyle w:val="FootnoteReference"/>
          <w:rFonts w:asciiTheme="minorHAnsi" w:hAnsiTheme="minorHAnsi" w:cstheme="minorHAnsi"/>
          <w:b/>
        </w:rPr>
        <w:footnoteReference w:id="74"/>
      </w:r>
      <w:r w:rsidRPr="00966C86">
        <w:rPr>
          <w:rFonts w:asciiTheme="minorHAnsi" w:hAnsiTheme="minorHAnsi" w:cstheme="minorHAnsi"/>
        </w:rPr>
        <w:t xml:space="preserve"> have introduced </w:t>
      </w:r>
      <w:r w:rsidRPr="00966C86">
        <w:rPr>
          <w:rFonts w:asciiTheme="minorHAnsi" w:hAnsiTheme="minorHAnsi" w:cstheme="minorHAnsi"/>
        </w:rPr>
        <w:lastRenderedPageBreak/>
        <w:t xml:space="preserve">requirements for renewables in new and renovated buildings. Many </w:t>
      </w:r>
      <w:r w:rsidRPr="00966C86">
        <w:rPr>
          <w:rFonts w:asciiTheme="minorHAnsi" w:hAnsiTheme="minorHAnsi" w:cstheme="minorHAnsi"/>
          <w:b/>
        </w:rPr>
        <w:t>European countries</w:t>
      </w:r>
      <w:r w:rsidR="00723239">
        <w:rPr>
          <w:rFonts w:ascii="ZWAdobeF" w:hAnsi="ZWAdobeF" w:cs="ZWAdobeF"/>
          <w:color w:val="auto"/>
          <w:sz w:val="2"/>
          <w:szCs w:val="2"/>
        </w:rPr>
        <w:t>73F</w:t>
      </w:r>
      <w:r w:rsidR="00EE36E3">
        <w:rPr>
          <w:rFonts w:ascii="ZWAdobeF" w:hAnsi="ZWAdobeF" w:cs="ZWAdobeF"/>
          <w:color w:val="auto"/>
          <w:sz w:val="2"/>
          <w:szCs w:val="2"/>
        </w:rPr>
        <w:t>73F</w:t>
      </w:r>
      <w:r w:rsidR="00122C48">
        <w:rPr>
          <w:rFonts w:ascii="ZWAdobeF" w:hAnsi="ZWAdobeF" w:cs="ZWAdobeF"/>
          <w:color w:val="auto"/>
          <w:sz w:val="2"/>
          <w:szCs w:val="2"/>
        </w:rPr>
        <w:t>73F</w:t>
      </w:r>
      <w:r w:rsidR="00F73A23">
        <w:rPr>
          <w:rFonts w:ascii="ZWAdobeF" w:hAnsi="ZWAdobeF" w:cs="ZWAdobeF"/>
          <w:color w:val="auto"/>
          <w:sz w:val="2"/>
          <w:szCs w:val="2"/>
        </w:rPr>
        <w:t>73F</w:t>
      </w:r>
      <w:r w:rsidR="00626378">
        <w:rPr>
          <w:rFonts w:ascii="ZWAdobeF" w:hAnsi="ZWAdobeF" w:cs="ZWAdobeF"/>
          <w:color w:val="auto"/>
          <w:sz w:val="2"/>
          <w:szCs w:val="2"/>
        </w:rPr>
        <w:t>73F</w:t>
      </w:r>
      <w:r w:rsidR="00413811">
        <w:rPr>
          <w:rFonts w:ascii="ZWAdobeF" w:hAnsi="ZWAdobeF" w:cs="ZWAdobeF"/>
          <w:color w:val="auto"/>
          <w:sz w:val="2"/>
          <w:szCs w:val="2"/>
        </w:rPr>
        <w:t>73F</w:t>
      </w:r>
      <w:r w:rsidR="002C327C">
        <w:rPr>
          <w:rFonts w:ascii="ZWAdobeF" w:hAnsi="ZWAdobeF" w:cs="ZWAdobeF"/>
          <w:color w:val="auto"/>
          <w:sz w:val="2"/>
          <w:szCs w:val="2"/>
        </w:rPr>
        <w:t>73F</w:t>
      </w:r>
      <w:r w:rsidR="00D24A06">
        <w:rPr>
          <w:rFonts w:ascii="ZWAdobeF" w:hAnsi="ZWAdobeF" w:cs="ZWAdobeF"/>
          <w:color w:val="auto"/>
          <w:sz w:val="2"/>
          <w:szCs w:val="2"/>
        </w:rPr>
        <w:t>73F</w:t>
      </w:r>
      <w:r w:rsidR="0052145C" w:rsidRPr="00966C86">
        <w:rPr>
          <w:rStyle w:val="FootnoteReference"/>
          <w:rFonts w:asciiTheme="minorHAnsi" w:hAnsiTheme="minorHAnsi" w:cstheme="minorHAnsi"/>
          <w:b/>
        </w:rPr>
        <w:footnoteReference w:id="75"/>
      </w:r>
      <w:r w:rsidRPr="00966C86">
        <w:rPr>
          <w:rFonts w:asciiTheme="minorHAnsi" w:hAnsiTheme="minorHAnsi" w:cstheme="minorHAnsi"/>
        </w:rPr>
        <w:t xml:space="preserve"> have phased out the installation of fossil fuel boilers in buildings. These measures aim to improve building efficiency, reduce greenhouse gas emissions, and promote the use of sustainable energy sources. The guidelines and standards for energy performance are often based on international standards and calculations methods.</w:t>
      </w:r>
      <w:r w:rsidR="00E246EA" w:rsidRPr="00966C86">
        <w:rPr>
          <w:rFonts w:asciiTheme="minorHAnsi" w:hAnsiTheme="minorHAnsi" w:cstheme="minorHAnsi"/>
        </w:rPr>
        <w:t xml:space="preserve"> </w:t>
      </w:r>
      <w:r w:rsidR="00A17BAD" w:rsidRPr="00966C86">
        <w:rPr>
          <w:rFonts w:asciiTheme="minorHAnsi" w:hAnsiTheme="minorHAnsi" w:cstheme="minorHAnsi"/>
        </w:rPr>
        <w:t xml:space="preserve">These </w:t>
      </w:r>
      <w:r w:rsidR="00DA7556" w:rsidRPr="00966C86">
        <w:rPr>
          <w:rFonts w:asciiTheme="minorHAnsi" w:hAnsiTheme="minorHAnsi" w:cstheme="minorHAnsi"/>
        </w:rPr>
        <w:t xml:space="preserve">policies are </w:t>
      </w:r>
      <w:r w:rsidR="00C34905" w:rsidRPr="00966C86">
        <w:rPr>
          <w:rFonts w:asciiTheme="minorHAnsi" w:hAnsiTheme="minorHAnsi" w:cstheme="minorHAnsi"/>
        </w:rPr>
        <w:t xml:space="preserve">often focused on building heating </w:t>
      </w:r>
      <w:r w:rsidR="00DC255B" w:rsidRPr="00966C86">
        <w:rPr>
          <w:rFonts w:asciiTheme="minorHAnsi" w:hAnsiTheme="minorHAnsi" w:cstheme="minorHAnsi"/>
        </w:rPr>
        <w:t>and to respond to increased gas price</w:t>
      </w:r>
      <w:r w:rsidR="00585AE9" w:rsidRPr="00966C86">
        <w:rPr>
          <w:rFonts w:asciiTheme="minorHAnsi" w:hAnsiTheme="minorHAnsi" w:cstheme="minorHAnsi"/>
        </w:rPr>
        <w:t xml:space="preserve">s. These two factors are not as pertinent in Australia. </w:t>
      </w:r>
    </w:p>
    <w:p w14:paraId="09F04A20" w14:textId="7AFBD92F" w:rsidR="007C54FF" w:rsidRPr="00966C86" w:rsidRDefault="007C54FF" w:rsidP="00214D42">
      <w:pPr>
        <w:pStyle w:val="Heading3"/>
        <w:rPr>
          <w:rFonts w:asciiTheme="minorHAnsi" w:hAnsiTheme="minorHAnsi" w:cstheme="minorHAnsi"/>
        </w:rPr>
      </w:pPr>
      <w:bookmarkStart w:id="142" w:name="_Toc133460627"/>
      <w:bookmarkStart w:id="143" w:name="_Toc133844034"/>
      <w:bookmarkStart w:id="144" w:name="_Toc136286379"/>
      <w:r w:rsidRPr="00966C86">
        <w:rPr>
          <w:rFonts w:asciiTheme="minorHAnsi" w:hAnsiTheme="minorHAnsi" w:cstheme="minorHAnsi"/>
        </w:rPr>
        <w:t xml:space="preserve">Rating-based </w:t>
      </w:r>
      <w:proofErr w:type="spellStart"/>
      <w:r w:rsidRPr="00966C86">
        <w:rPr>
          <w:rFonts w:asciiTheme="minorHAnsi" w:hAnsiTheme="minorHAnsi" w:cstheme="minorHAnsi"/>
        </w:rPr>
        <w:t>MEPS</w:t>
      </w:r>
      <w:bookmarkEnd w:id="142"/>
      <w:bookmarkEnd w:id="143"/>
      <w:bookmarkEnd w:id="144"/>
      <w:proofErr w:type="spellEnd"/>
    </w:p>
    <w:p w14:paraId="2EBBAE64" w14:textId="7AFC06C5" w:rsidR="00BC3F30" w:rsidRPr="00966C86" w:rsidRDefault="00C17981" w:rsidP="00BC3F30">
      <w:pPr>
        <w:pStyle w:val="BodyText"/>
        <w:rPr>
          <w:rFonts w:asciiTheme="minorHAnsi" w:hAnsiTheme="minorHAnsi" w:cstheme="minorHAnsi"/>
        </w:rPr>
      </w:pPr>
      <w:r w:rsidRPr="00966C86">
        <w:rPr>
          <w:rFonts w:asciiTheme="minorHAnsi" w:hAnsiTheme="minorHAnsi" w:cstheme="minorHAnsi"/>
        </w:rPr>
        <w:t xml:space="preserve">Rating-based systems, such as </w:t>
      </w:r>
      <w:proofErr w:type="spellStart"/>
      <w:r w:rsidRPr="00966C86">
        <w:rPr>
          <w:rFonts w:asciiTheme="minorHAnsi" w:hAnsiTheme="minorHAnsi" w:cstheme="minorHAnsi"/>
        </w:rPr>
        <w:t>EPCs</w:t>
      </w:r>
      <w:proofErr w:type="spellEnd"/>
      <w:r w:rsidRPr="00966C86">
        <w:rPr>
          <w:rFonts w:asciiTheme="minorHAnsi" w:hAnsiTheme="minorHAnsi" w:cstheme="minorHAnsi"/>
        </w:rPr>
        <w:t xml:space="preserve">, ENERGY STAR, and Display Energy Certificates, are commonly used to assess and disclose the energy performance of buildings. These systems allow for a range of design strategies and technologies to achieve energy efficiency targets. </w:t>
      </w: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are typically amended periodically, with a focus on addressing the worst-performing buildings first. Prohibition of sale or lease below a certain performance threshold is an increasingly common approach to drive improvements in existing buildings. </w:t>
      </w:r>
    </w:p>
    <w:p w14:paraId="2CCBAFD8" w14:textId="649D90BA" w:rsidR="00D01004" w:rsidRPr="00966C86" w:rsidRDefault="00C17981" w:rsidP="00C17981">
      <w:pPr>
        <w:pStyle w:val="BodyText"/>
        <w:rPr>
          <w:rFonts w:asciiTheme="minorHAnsi" w:hAnsiTheme="minorHAnsi" w:cstheme="minorHAnsi"/>
        </w:rPr>
      </w:pPr>
      <w:r w:rsidRPr="00966C86">
        <w:rPr>
          <w:rFonts w:asciiTheme="minorHAnsi" w:hAnsiTheme="minorHAnsi" w:cstheme="minorHAnsi"/>
        </w:rPr>
        <w:t>The EPC system is mandatory in the EU and the UK, providing energy efficiency ratings for buildings. In England and Wales</w:t>
      </w:r>
      <w:r w:rsidR="00723239">
        <w:rPr>
          <w:rFonts w:ascii="ZWAdobeF" w:hAnsi="ZWAdobeF" w:cs="ZWAdobeF"/>
          <w:color w:val="auto"/>
          <w:sz w:val="2"/>
          <w:szCs w:val="2"/>
        </w:rPr>
        <w:t>74F</w:t>
      </w:r>
      <w:r w:rsidR="00EE36E3">
        <w:rPr>
          <w:rFonts w:ascii="ZWAdobeF" w:hAnsi="ZWAdobeF" w:cs="ZWAdobeF"/>
          <w:color w:val="auto"/>
          <w:sz w:val="2"/>
          <w:szCs w:val="2"/>
        </w:rPr>
        <w:t>74F</w:t>
      </w:r>
      <w:r w:rsidR="00122C48">
        <w:rPr>
          <w:rFonts w:ascii="ZWAdobeF" w:hAnsi="ZWAdobeF" w:cs="ZWAdobeF"/>
          <w:color w:val="auto"/>
          <w:sz w:val="2"/>
          <w:szCs w:val="2"/>
        </w:rPr>
        <w:t>74F</w:t>
      </w:r>
      <w:r w:rsidR="00F73A23">
        <w:rPr>
          <w:rFonts w:ascii="ZWAdobeF" w:hAnsi="ZWAdobeF" w:cs="ZWAdobeF"/>
          <w:color w:val="auto"/>
          <w:sz w:val="2"/>
          <w:szCs w:val="2"/>
        </w:rPr>
        <w:t>74F</w:t>
      </w:r>
      <w:r w:rsidR="00626378">
        <w:rPr>
          <w:rFonts w:ascii="ZWAdobeF" w:hAnsi="ZWAdobeF" w:cs="ZWAdobeF"/>
          <w:color w:val="auto"/>
          <w:sz w:val="2"/>
          <w:szCs w:val="2"/>
        </w:rPr>
        <w:t>74F</w:t>
      </w:r>
      <w:r w:rsidR="00413811">
        <w:rPr>
          <w:rFonts w:ascii="ZWAdobeF" w:hAnsi="ZWAdobeF" w:cs="ZWAdobeF"/>
          <w:color w:val="auto"/>
          <w:sz w:val="2"/>
          <w:szCs w:val="2"/>
        </w:rPr>
        <w:t>74F</w:t>
      </w:r>
      <w:r w:rsidR="002C327C">
        <w:rPr>
          <w:rFonts w:ascii="ZWAdobeF" w:hAnsi="ZWAdobeF" w:cs="ZWAdobeF"/>
          <w:color w:val="auto"/>
          <w:sz w:val="2"/>
          <w:szCs w:val="2"/>
        </w:rPr>
        <w:t>74F</w:t>
      </w:r>
      <w:r w:rsidR="00D24A06">
        <w:rPr>
          <w:rFonts w:ascii="ZWAdobeF" w:hAnsi="ZWAdobeF" w:cs="ZWAdobeF"/>
          <w:color w:val="auto"/>
          <w:sz w:val="2"/>
          <w:szCs w:val="2"/>
        </w:rPr>
        <w:t>74F</w:t>
      </w:r>
      <w:r w:rsidR="00D16019" w:rsidRPr="00966C86">
        <w:rPr>
          <w:rStyle w:val="FootnoteReference"/>
          <w:rFonts w:asciiTheme="minorHAnsi" w:hAnsiTheme="minorHAnsi" w:cstheme="minorHAnsi"/>
        </w:rPr>
        <w:footnoteReference w:id="76"/>
      </w:r>
      <w:r w:rsidRPr="00966C86">
        <w:rPr>
          <w:rFonts w:asciiTheme="minorHAnsi" w:hAnsiTheme="minorHAnsi" w:cstheme="minorHAnsi"/>
        </w:rPr>
        <w:t>, rented premises must meet a minimum EPC rating, and properties with lower ratings may require energy upgrades before re-leasing</w:t>
      </w:r>
      <w:r w:rsidR="00723239">
        <w:rPr>
          <w:rFonts w:ascii="ZWAdobeF" w:hAnsi="ZWAdobeF" w:cs="ZWAdobeF"/>
          <w:color w:val="auto"/>
          <w:sz w:val="2"/>
          <w:szCs w:val="2"/>
        </w:rPr>
        <w:t>75F</w:t>
      </w:r>
      <w:r w:rsidR="00EE36E3">
        <w:rPr>
          <w:rFonts w:ascii="ZWAdobeF" w:hAnsi="ZWAdobeF" w:cs="ZWAdobeF"/>
          <w:color w:val="auto"/>
          <w:sz w:val="2"/>
          <w:szCs w:val="2"/>
        </w:rPr>
        <w:t>75F</w:t>
      </w:r>
      <w:r w:rsidR="00122C48">
        <w:rPr>
          <w:rFonts w:ascii="ZWAdobeF" w:hAnsi="ZWAdobeF" w:cs="ZWAdobeF"/>
          <w:color w:val="auto"/>
          <w:sz w:val="2"/>
          <w:szCs w:val="2"/>
        </w:rPr>
        <w:t>75F</w:t>
      </w:r>
      <w:r w:rsidR="00F73A23">
        <w:rPr>
          <w:rFonts w:ascii="ZWAdobeF" w:hAnsi="ZWAdobeF" w:cs="ZWAdobeF"/>
          <w:color w:val="auto"/>
          <w:sz w:val="2"/>
          <w:szCs w:val="2"/>
        </w:rPr>
        <w:t>75F</w:t>
      </w:r>
      <w:r w:rsidR="00626378">
        <w:rPr>
          <w:rFonts w:ascii="ZWAdobeF" w:hAnsi="ZWAdobeF" w:cs="ZWAdobeF"/>
          <w:color w:val="auto"/>
          <w:sz w:val="2"/>
          <w:szCs w:val="2"/>
        </w:rPr>
        <w:t>75F</w:t>
      </w:r>
      <w:r w:rsidR="00413811">
        <w:rPr>
          <w:rFonts w:ascii="ZWAdobeF" w:hAnsi="ZWAdobeF" w:cs="ZWAdobeF"/>
          <w:color w:val="auto"/>
          <w:sz w:val="2"/>
          <w:szCs w:val="2"/>
        </w:rPr>
        <w:t>75F</w:t>
      </w:r>
      <w:r w:rsidR="002C327C">
        <w:rPr>
          <w:rFonts w:ascii="ZWAdobeF" w:hAnsi="ZWAdobeF" w:cs="ZWAdobeF"/>
          <w:color w:val="auto"/>
          <w:sz w:val="2"/>
          <w:szCs w:val="2"/>
        </w:rPr>
        <w:t>75F</w:t>
      </w:r>
      <w:r w:rsidR="00D24A06">
        <w:rPr>
          <w:rFonts w:ascii="ZWAdobeF" w:hAnsi="ZWAdobeF" w:cs="ZWAdobeF"/>
          <w:color w:val="auto"/>
          <w:sz w:val="2"/>
          <w:szCs w:val="2"/>
        </w:rPr>
        <w:t>75F</w:t>
      </w:r>
      <w:r w:rsidR="00D16019" w:rsidRPr="00966C86">
        <w:rPr>
          <w:rStyle w:val="FootnoteReference"/>
          <w:rFonts w:asciiTheme="minorHAnsi" w:hAnsiTheme="minorHAnsi" w:cstheme="minorHAnsi"/>
        </w:rPr>
        <w:footnoteReference w:id="77"/>
      </w:r>
      <w:r w:rsidRPr="00966C86">
        <w:rPr>
          <w:rFonts w:asciiTheme="minorHAnsi" w:hAnsiTheme="minorHAnsi" w:cstheme="minorHAnsi"/>
        </w:rPr>
        <w:t xml:space="preserve">. The EU also requires </w:t>
      </w:r>
      <w:proofErr w:type="spellStart"/>
      <w:r w:rsidRPr="00966C86">
        <w:rPr>
          <w:rFonts w:asciiTheme="minorHAnsi" w:hAnsiTheme="minorHAnsi" w:cstheme="minorHAnsi"/>
        </w:rPr>
        <w:t>EPCs</w:t>
      </w:r>
      <w:proofErr w:type="spellEnd"/>
      <w:r w:rsidRPr="00966C86">
        <w:rPr>
          <w:rFonts w:asciiTheme="minorHAnsi" w:hAnsiTheme="minorHAnsi" w:cstheme="minorHAnsi"/>
        </w:rPr>
        <w:t xml:space="preserve"> for certain existing public buildings, with minimum energy performance requirements and information on energy consumption</w:t>
      </w:r>
      <w:r w:rsidR="00723239">
        <w:rPr>
          <w:rFonts w:ascii="ZWAdobeF" w:hAnsi="ZWAdobeF" w:cs="ZWAdobeF"/>
          <w:color w:val="auto"/>
          <w:sz w:val="2"/>
          <w:szCs w:val="2"/>
        </w:rPr>
        <w:t>76F</w:t>
      </w:r>
      <w:r w:rsidR="00EE36E3">
        <w:rPr>
          <w:rFonts w:ascii="ZWAdobeF" w:hAnsi="ZWAdobeF" w:cs="ZWAdobeF"/>
          <w:color w:val="auto"/>
          <w:sz w:val="2"/>
          <w:szCs w:val="2"/>
        </w:rPr>
        <w:t>76F</w:t>
      </w:r>
      <w:r w:rsidR="00122C48">
        <w:rPr>
          <w:rFonts w:ascii="ZWAdobeF" w:hAnsi="ZWAdobeF" w:cs="ZWAdobeF"/>
          <w:color w:val="auto"/>
          <w:sz w:val="2"/>
          <w:szCs w:val="2"/>
        </w:rPr>
        <w:t>76F</w:t>
      </w:r>
      <w:r w:rsidR="00F73A23">
        <w:rPr>
          <w:rFonts w:ascii="ZWAdobeF" w:hAnsi="ZWAdobeF" w:cs="ZWAdobeF"/>
          <w:color w:val="auto"/>
          <w:sz w:val="2"/>
          <w:szCs w:val="2"/>
        </w:rPr>
        <w:t>76F</w:t>
      </w:r>
      <w:r w:rsidR="00626378">
        <w:rPr>
          <w:rFonts w:ascii="ZWAdobeF" w:hAnsi="ZWAdobeF" w:cs="ZWAdobeF"/>
          <w:color w:val="auto"/>
          <w:sz w:val="2"/>
          <w:szCs w:val="2"/>
        </w:rPr>
        <w:t>76F</w:t>
      </w:r>
      <w:r w:rsidR="00413811">
        <w:rPr>
          <w:rFonts w:ascii="ZWAdobeF" w:hAnsi="ZWAdobeF" w:cs="ZWAdobeF"/>
          <w:color w:val="auto"/>
          <w:sz w:val="2"/>
          <w:szCs w:val="2"/>
        </w:rPr>
        <w:t>76F</w:t>
      </w:r>
      <w:r w:rsidR="002C327C">
        <w:rPr>
          <w:rFonts w:ascii="ZWAdobeF" w:hAnsi="ZWAdobeF" w:cs="ZWAdobeF"/>
          <w:color w:val="auto"/>
          <w:sz w:val="2"/>
          <w:szCs w:val="2"/>
        </w:rPr>
        <w:t>76F</w:t>
      </w:r>
      <w:r w:rsidR="00D24A06">
        <w:rPr>
          <w:rFonts w:ascii="ZWAdobeF" w:hAnsi="ZWAdobeF" w:cs="ZWAdobeF"/>
          <w:color w:val="auto"/>
          <w:sz w:val="2"/>
          <w:szCs w:val="2"/>
        </w:rPr>
        <w:t>76F</w:t>
      </w:r>
      <w:r w:rsidR="00D76472" w:rsidRPr="00966C86">
        <w:rPr>
          <w:rStyle w:val="FootnoteReference"/>
          <w:rFonts w:asciiTheme="minorHAnsi" w:hAnsiTheme="minorHAnsi" w:cstheme="minorHAnsi"/>
        </w:rPr>
        <w:footnoteReference w:id="78"/>
      </w:r>
      <w:r w:rsidRPr="00966C86">
        <w:rPr>
          <w:rFonts w:asciiTheme="minorHAnsi" w:hAnsiTheme="minorHAnsi" w:cstheme="minorHAnsi"/>
        </w:rPr>
        <w:t xml:space="preserve">. </w:t>
      </w:r>
    </w:p>
    <w:p w14:paraId="7E92FAC9" w14:textId="252E8120" w:rsidR="00D01004" w:rsidRPr="00480F0A" w:rsidRDefault="00D01004" w:rsidP="007C54FF">
      <w:pPr>
        <w:pStyle w:val="Caption"/>
        <w:keepNext/>
        <w:rPr>
          <w:rFonts w:asciiTheme="minorHAnsi" w:hAnsiTheme="minorHAnsi" w:cstheme="minorHAnsi"/>
          <w:i w:val="0"/>
          <w:color w:val="000000" w:themeColor="text1"/>
          <w:sz w:val="20"/>
          <w:szCs w:val="22"/>
        </w:rPr>
      </w:pPr>
      <w:r w:rsidRPr="00966C86">
        <w:rPr>
          <w:rFonts w:asciiTheme="minorHAnsi" w:hAnsiTheme="minorHAnsi" w:cstheme="minorHAnsi"/>
          <w:i w:val="0"/>
          <w:color w:val="000000" w:themeColor="text1"/>
          <w:sz w:val="20"/>
          <w:szCs w:val="22"/>
        </w:rPr>
        <w:t>Standards in different jurisdictions cover distinct parts of the stock: different sectors, tenures, ownership structures, building type and size.</w:t>
      </w:r>
      <w:r w:rsidR="001C3D7D">
        <w:rPr>
          <w:rFonts w:asciiTheme="minorHAnsi" w:hAnsiTheme="minorHAnsi" w:cstheme="minorHAnsi"/>
          <w:i w:val="0"/>
          <w:color w:val="auto"/>
          <w:sz w:val="20"/>
          <w:szCs w:val="20"/>
        </w:rPr>
        <w:t xml:space="preserve"> </w:t>
      </w:r>
      <w:r w:rsidR="001C3D7D" w:rsidRPr="00C25D57">
        <w:rPr>
          <w:rFonts w:asciiTheme="minorHAnsi" w:hAnsiTheme="minorHAnsi" w:cstheme="minorHAnsi"/>
          <w:i w:val="0"/>
          <w:color w:val="auto"/>
          <w:sz w:val="16"/>
          <w:szCs w:val="16"/>
        </w:rPr>
        <w:fldChar w:fldCharType="begin" w:fldLock="1"/>
      </w:r>
      <w:r w:rsidR="001C3D7D" w:rsidRPr="001C3D7D">
        <w:rPr>
          <w:rFonts w:asciiTheme="minorHAnsi" w:hAnsiTheme="minorHAnsi" w:cstheme="minorHAnsi"/>
          <w:i w:val="0"/>
          <w:color w:val="auto"/>
          <w:sz w:val="20"/>
          <w:szCs w:val="20"/>
        </w:rPr>
        <w:instrText xml:space="preserve"> REF _Ref136284766 \h  \* MERGEFORMAT </w:instrText>
      </w:r>
      <w:r w:rsidR="001C3D7D" w:rsidRPr="00C25D57">
        <w:rPr>
          <w:rFonts w:asciiTheme="minorHAnsi" w:hAnsiTheme="minorHAnsi" w:cstheme="minorHAnsi"/>
          <w:i w:val="0"/>
          <w:color w:val="auto"/>
          <w:sz w:val="16"/>
          <w:szCs w:val="16"/>
        </w:rPr>
      </w:r>
      <w:r w:rsidR="00000000">
        <w:rPr>
          <w:rFonts w:asciiTheme="minorHAnsi" w:hAnsiTheme="minorHAnsi" w:cstheme="minorHAnsi"/>
          <w:i w:val="0"/>
          <w:color w:val="auto"/>
          <w:sz w:val="16"/>
          <w:szCs w:val="16"/>
        </w:rPr>
        <w:fldChar w:fldCharType="separate"/>
      </w:r>
      <w:r w:rsidR="001C3D7D" w:rsidRPr="00C25D57">
        <w:rPr>
          <w:rFonts w:asciiTheme="minorHAnsi" w:hAnsiTheme="minorHAnsi" w:cstheme="minorHAnsi"/>
          <w:i w:val="0"/>
          <w:color w:val="auto"/>
          <w:sz w:val="16"/>
          <w:szCs w:val="16"/>
        </w:rPr>
        <w:fldChar w:fldCharType="end"/>
      </w:r>
      <w:r w:rsidR="00C25D57" w:rsidRPr="00C25D57">
        <w:rPr>
          <w:rFonts w:asciiTheme="minorHAnsi" w:hAnsiTheme="minorHAnsi" w:cstheme="minorHAnsi"/>
          <w:i w:val="0"/>
          <w:color w:val="auto"/>
          <w:sz w:val="16"/>
          <w:szCs w:val="16"/>
        </w:rPr>
        <w:fldChar w:fldCharType="begin" w:fldLock="1"/>
      </w:r>
      <w:r w:rsidR="00C25D57" w:rsidRPr="00C25D57">
        <w:rPr>
          <w:rFonts w:asciiTheme="minorHAnsi" w:hAnsiTheme="minorHAnsi" w:cstheme="minorHAnsi"/>
          <w:i w:val="0"/>
          <w:color w:val="auto"/>
          <w:sz w:val="16"/>
          <w:szCs w:val="16"/>
        </w:rPr>
        <w:instrText xml:space="preserve"> REF _Ref136284766 \h  \* MERGEFORMAT </w:instrText>
      </w:r>
      <w:r w:rsidR="00C25D57" w:rsidRPr="00C25D57">
        <w:rPr>
          <w:rFonts w:asciiTheme="minorHAnsi" w:hAnsiTheme="minorHAnsi" w:cstheme="minorHAnsi"/>
          <w:i w:val="0"/>
          <w:color w:val="auto"/>
          <w:sz w:val="16"/>
          <w:szCs w:val="16"/>
        </w:rPr>
      </w:r>
      <w:r w:rsidR="00C25D57" w:rsidRPr="00C25D57">
        <w:rPr>
          <w:rFonts w:asciiTheme="minorHAnsi" w:hAnsiTheme="minorHAnsi" w:cstheme="minorHAnsi"/>
          <w:i w:val="0"/>
          <w:color w:val="auto"/>
          <w:sz w:val="16"/>
          <w:szCs w:val="16"/>
        </w:rPr>
        <w:fldChar w:fldCharType="separate"/>
      </w:r>
      <w:r w:rsidR="00C25D57" w:rsidRPr="00C25D57">
        <w:rPr>
          <w:rFonts w:ascii="Calibri" w:eastAsia="Times New Roman" w:hAnsi="Calibri" w:cs="Times New Roman"/>
          <w:i w:val="0"/>
          <w:iCs w:val="0"/>
          <w:color w:val="auto"/>
          <w:sz w:val="20"/>
          <w:szCs w:val="14"/>
        </w:rPr>
        <w:t>Table 9</w:t>
      </w:r>
      <w:r w:rsidR="00C25D57" w:rsidRPr="00C25D57">
        <w:rPr>
          <w:rFonts w:asciiTheme="minorHAnsi" w:hAnsiTheme="minorHAnsi" w:cstheme="minorHAnsi"/>
          <w:i w:val="0"/>
          <w:color w:val="auto"/>
          <w:sz w:val="16"/>
          <w:szCs w:val="16"/>
        </w:rPr>
        <w:fldChar w:fldCharType="end"/>
      </w:r>
      <w:r w:rsidR="00113CCA" w:rsidRPr="001C3D7D">
        <w:rPr>
          <w:rFonts w:asciiTheme="minorHAnsi" w:hAnsiTheme="minorHAnsi" w:cstheme="minorHAnsi"/>
          <w:i w:val="0"/>
          <w:color w:val="auto"/>
          <w:sz w:val="20"/>
          <w:szCs w:val="20"/>
        </w:rPr>
        <w:t xml:space="preserve"> </w:t>
      </w:r>
      <w:r w:rsidRPr="001C3D7D">
        <w:rPr>
          <w:rFonts w:asciiTheme="minorHAnsi" w:hAnsiTheme="minorHAnsi" w:cstheme="minorHAnsi"/>
          <w:i w:val="0"/>
          <w:color w:val="auto"/>
          <w:sz w:val="20"/>
          <w:szCs w:val="20"/>
        </w:rPr>
        <w:t>provides</w:t>
      </w:r>
      <w:r w:rsidRPr="001C3D7D">
        <w:rPr>
          <w:rFonts w:asciiTheme="minorHAnsi" w:hAnsiTheme="minorHAnsi" w:cstheme="minorHAnsi"/>
          <w:i w:val="0"/>
          <w:color w:val="auto"/>
          <w:sz w:val="20"/>
          <w:szCs w:val="22"/>
        </w:rPr>
        <w:t xml:space="preserve"> </w:t>
      </w:r>
      <w:r w:rsidRPr="00480F0A">
        <w:rPr>
          <w:rFonts w:asciiTheme="minorHAnsi" w:hAnsiTheme="minorHAnsi" w:cstheme="minorHAnsi"/>
          <w:i w:val="0"/>
          <w:color w:val="000000" w:themeColor="text1"/>
          <w:sz w:val="20"/>
          <w:szCs w:val="22"/>
        </w:rPr>
        <w:t xml:space="preserve">an overview of the implementation of </w:t>
      </w:r>
      <w:proofErr w:type="spellStart"/>
      <w:r w:rsidRPr="00480F0A">
        <w:rPr>
          <w:rFonts w:asciiTheme="minorHAnsi" w:hAnsiTheme="minorHAnsi" w:cstheme="minorHAnsi"/>
          <w:i w:val="0"/>
          <w:color w:val="000000" w:themeColor="text1"/>
          <w:sz w:val="20"/>
          <w:szCs w:val="22"/>
        </w:rPr>
        <w:t>MEPS</w:t>
      </w:r>
      <w:proofErr w:type="spellEnd"/>
      <w:r w:rsidRPr="00480F0A">
        <w:rPr>
          <w:rFonts w:asciiTheme="minorHAnsi" w:hAnsiTheme="minorHAnsi" w:cstheme="minorHAnsi"/>
          <w:i w:val="0"/>
          <w:color w:val="000000" w:themeColor="text1"/>
          <w:sz w:val="20"/>
          <w:szCs w:val="22"/>
        </w:rPr>
        <w:t xml:space="preserve"> in </w:t>
      </w:r>
      <w:r w:rsidR="000068FE" w:rsidRPr="00480F0A">
        <w:rPr>
          <w:rFonts w:asciiTheme="minorHAnsi" w:hAnsiTheme="minorHAnsi" w:cstheme="minorHAnsi"/>
          <w:i w:val="0"/>
          <w:color w:val="000000" w:themeColor="text1"/>
          <w:sz w:val="20"/>
          <w:szCs w:val="22"/>
        </w:rPr>
        <w:t>various jurisdictions</w:t>
      </w:r>
      <w:r w:rsidRPr="00480F0A">
        <w:rPr>
          <w:rFonts w:asciiTheme="minorHAnsi" w:hAnsiTheme="minorHAnsi" w:cstheme="minorHAnsi"/>
          <w:i w:val="0"/>
          <w:color w:val="000000" w:themeColor="text1"/>
          <w:sz w:val="20"/>
          <w:szCs w:val="22"/>
        </w:rPr>
        <w:t xml:space="preserve">. The </w:t>
      </w:r>
      <w:proofErr w:type="spellStart"/>
      <w:r w:rsidRPr="00480F0A">
        <w:rPr>
          <w:rFonts w:asciiTheme="minorHAnsi" w:hAnsiTheme="minorHAnsi" w:cstheme="minorHAnsi"/>
          <w:i w:val="0"/>
          <w:color w:val="000000" w:themeColor="text1"/>
          <w:sz w:val="20"/>
          <w:szCs w:val="22"/>
        </w:rPr>
        <w:t>MEPS</w:t>
      </w:r>
      <w:proofErr w:type="spellEnd"/>
      <w:r w:rsidRPr="00480F0A">
        <w:rPr>
          <w:rFonts w:asciiTheme="minorHAnsi" w:hAnsiTheme="minorHAnsi" w:cstheme="minorHAnsi"/>
          <w:i w:val="0"/>
          <w:color w:val="000000" w:themeColor="text1"/>
          <w:sz w:val="20"/>
          <w:szCs w:val="22"/>
        </w:rPr>
        <w:t xml:space="preserve"> standard in France applies to homes, in England and Wales to all rented buildings, and in the Netherlands to offices. Rented homes in Scotland must be EPC E from 2020 and EPC D from 2022 when a tenancy contract is changed, extending to all targeted properties in 2025.</w:t>
      </w:r>
    </w:p>
    <w:p w14:paraId="61F1ED5B" w14:textId="77777777" w:rsidR="004A4CA5" w:rsidRPr="00480F0A" w:rsidRDefault="004A4CA5">
      <w:pPr>
        <w:spacing w:before="0" w:after="160" w:line="259" w:lineRule="auto"/>
        <w:rPr>
          <w:rFonts w:asciiTheme="minorHAnsi" w:hAnsiTheme="minorHAnsi" w:cstheme="minorHAnsi"/>
          <w:i/>
          <w:color w:val="00338D" w:themeColor="text2"/>
          <w:sz w:val="18"/>
          <w:szCs w:val="18"/>
        </w:rPr>
      </w:pPr>
      <w:r w:rsidRPr="00480F0A">
        <w:rPr>
          <w:rFonts w:asciiTheme="minorHAnsi" w:hAnsiTheme="minorHAnsi" w:cstheme="minorHAnsi"/>
        </w:rPr>
        <w:br w:type="page"/>
      </w:r>
    </w:p>
    <w:p w14:paraId="769E7810" w14:textId="6F0EE839" w:rsidR="007C54FF" w:rsidRPr="004E3937" w:rsidRDefault="007C54FF" w:rsidP="004E3937">
      <w:pPr>
        <w:pStyle w:val="Caption"/>
        <w:keepNext/>
        <w:spacing w:after="120"/>
        <w:rPr>
          <w:rFonts w:ascii="Calibri" w:eastAsia="Times New Roman" w:hAnsi="Calibri" w:cs="Times New Roman"/>
          <w:b/>
          <w:bCs/>
          <w:i w:val="0"/>
          <w:iCs w:val="0"/>
          <w:color w:val="auto"/>
          <w:sz w:val="24"/>
        </w:rPr>
      </w:pPr>
      <w:bookmarkStart w:id="145" w:name="_Ref136284766"/>
      <w:bookmarkStart w:id="146" w:name="_Toc162535445"/>
      <w:r w:rsidRPr="004E3937">
        <w:rPr>
          <w:rFonts w:ascii="Calibri" w:eastAsia="Times New Roman" w:hAnsi="Calibri" w:cs="Times New Roman"/>
          <w:b/>
          <w:bCs/>
          <w:i w:val="0"/>
          <w:iCs w:val="0"/>
          <w:color w:val="auto"/>
          <w:sz w:val="24"/>
        </w:rPr>
        <w:lastRenderedPageBreak/>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9</w:t>
      </w:r>
      <w:r w:rsidRPr="004E3937">
        <w:rPr>
          <w:rFonts w:ascii="Calibri" w:eastAsia="Times New Roman" w:hAnsi="Calibri" w:cs="Times New Roman"/>
          <w:b/>
          <w:bCs/>
          <w:i w:val="0"/>
          <w:iCs w:val="0"/>
          <w:color w:val="auto"/>
          <w:sz w:val="24"/>
        </w:rPr>
        <w:fldChar w:fldCharType="end"/>
      </w:r>
      <w:bookmarkEnd w:id="145"/>
      <w:r w:rsidRPr="004E3937">
        <w:rPr>
          <w:rFonts w:ascii="Calibri" w:eastAsia="Times New Roman" w:hAnsi="Calibri" w:cs="Times New Roman"/>
          <w:b/>
          <w:bCs/>
          <w:i w:val="0"/>
          <w:iCs w:val="0"/>
          <w:color w:val="auto"/>
          <w:sz w:val="24"/>
        </w:rPr>
        <w:t xml:space="preserve">: Implementation of </w:t>
      </w:r>
      <w:proofErr w:type="spellStart"/>
      <w:r w:rsidRPr="004E3937">
        <w:rPr>
          <w:rFonts w:ascii="Calibri" w:eastAsia="Times New Roman" w:hAnsi="Calibri" w:cs="Times New Roman"/>
          <w:b/>
          <w:bCs/>
          <w:i w:val="0"/>
          <w:iCs w:val="0"/>
          <w:color w:val="auto"/>
          <w:sz w:val="24"/>
        </w:rPr>
        <w:t>MEPS</w:t>
      </w:r>
      <w:proofErr w:type="spellEnd"/>
      <w:r w:rsidRPr="004E3937">
        <w:rPr>
          <w:rFonts w:ascii="Calibri" w:eastAsia="Times New Roman" w:hAnsi="Calibri" w:cs="Times New Roman"/>
          <w:b/>
          <w:bCs/>
          <w:i w:val="0"/>
          <w:iCs w:val="0"/>
          <w:color w:val="auto"/>
          <w:sz w:val="24"/>
        </w:rPr>
        <w:t xml:space="preserve"> for existing buildings</w:t>
      </w:r>
      <w:bookmarkEnd w:id="146"/>
      <w:r w:rsidRPr="004E3937">
        <w:rPr>
          <w:rFonts w:ascii="Calibri" w:eastAsia="Times New Roman" w:hAnsi="Calibri" w:cs="Times New Roman"/>
          <w:b/>
          <w:bCs/>
          <w:i w:val="0"/>
          <w:iCs w:val="0"/>
          <w:color w:val="auto"/>
          <w:sz w:val="24"/>
        </w:rPr>
        <w:t xml:space="preserve"> </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2643"/>
        <w:gridCol w:w="2691"/>
        <w:gridCol w:w="3399"/>
      </w:tblGrid>
      <w:tr w:rsidR="007C54FF" w14:paraId="0BBC8410" w14:textId="77777777" w:rsidTr="00400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4" w:space="0" w:color="auto"/>
              <w:left w:val="single" w:sz="4" w:space="0" w:color="auto"/>
              <w:bottom w:val="single" w:sz="12" w:space="0" w:color="auto"/>
            </w:tcBorders>
            <w:shd w:val="clear" w:color="auto" w:fill="auto"/>
            <w:vAlign w:val="center"/>
          </w:tcPr>
          <w:p w14:paraId="3870EECE" w14:textId="77777777" w:rsidR="007C54FF" w:rsidRPr="00D77DAA" w:rsidRDefault="007C54FF" w:rsidP="00D25DCF">
            <w:pPr>
              <w:pStyle w:val="BodyText"/>
              <w:spacing w:before="80" w:after="80"/>
              <w:jc w:val="center"/>
              <w:rPr>
                <w:rFonts w:asciiTheme="minorHAnsi" w:hAnsiTheme="minorHAnsi" w:cstheme="minorHAnsi"/>
                <w:sz w:val="18"/>
                <w:szCs w:val="18"/>
              </w:rPr>
            </w:pPr>
            <w:r w:rsidRPr="00D77DAA">
              <w:rPr>
                <w:rFonts w:asciiTheme="minorHAnsi" w:hAnsiTheme="minorHAnsi" w:cstheme="minorHAnsi"/>
                <w:sz w:val="18"/>
                <w:szCs w:val="18"/>
              </w:rPr>
              <w:t>Jurisdictions</w:t>
            </w:r>
          </w:p>
        </w:tc>
        <w:tc>
          <w:tcPr>
            <w:tcW w:w="1296" w:type="pct"/>
            <w:tcBorders>
              <w:top w:val="single" w:sz="4" w:space="0" w:color="auto"/>
              <w:bottom w:val="single" w:sz="12" w:space="0" w:color="auto"/>
            </w:tcBorders>
            <w:shd w:val="clear" w:color="auto" w:fill="auto"/>
            <w:vAlign w:val="center"/>
          </w:tcPr>
          <w:p w14:paraId="5F862B60" w14:textId="1AA0E9F3" w:rsidR="007C54FF" w:rsidRPr="00D77DAA" w:rsidRDefault="007C54FF" w:rsidP="00D25DCF">
            <w:pPr>
              <w:pStyle w:val="BodyText"/>
              <w:spacing w:before="80"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7DAA">
              <w:rPr>
                <w:rFonts w:asciiTheme="minorHAnsi" w:hAnsiTheme="minorHAnsi" w:cstheme="minorHAnsi"/>
                <w:sz w:val="18"/>
                <w:szCs w:val="18"/>
              </w:rPr>
              <w:t xml:space="preserve">Rating-based </w:t>
            </w:r>
            <w:proofErr w:type="spellStart"/>
            <w:r w:rsidRPr="00D77DAA">
              <w:rPr>
                <w:rFonts w:asciiTheme="minorHAnsi" w:hAnsiTheme="minorHAnsi" w:cstheme="minorHAnsi"/>
                <w:sz w:val="18"/>
                <w:szCs w:val="18"/>
              </w:rPr>
              <w:t>MEPS</w:t>
            </w:r>
            <w:proofErr w:type="spellEnd"/>
          </w:p>
        </w:tc>
        <w:tc>
          <w:tcPr>
            <w:tcW w:w="1320" w:type="pct"/>
            <w:tcBorders>
              <w:top w:val="single" w:sz="4" w:space="0" w:color="auto"/>
              <w:bottom w:val="single" w:sz="12" w:space="0" w:color="auto"/>
            </w:tcBorders>
            <w:shd w:val="clear" w:color="auto" w:fill="auto"/>
            <w:vAlign w:val="center"/>
          </w:tcPr>
          <w:p w14:paraId="393AFA36" w14:textId="77777777" w:rsidR="007C54FF" w:rsidRPr="00D77DAA" w:rsidRDefault="007C54FF" w:rsidP="00D25DCF">
            <w:pPr>
              <w:pStyle w:val="BodyText"/>
              <w:spacing w:before="80"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7DAA">
              <w:rPr>
                <w:rFonts w:asciiTheme="minorHAnsi" w:hAnsiTheme="minorHAnsi" w:cstheme="minorHAnsi"/>
                <w:sz w:val="18"/>
                <w:szCs w:val="18"/>
              </w:rPr>
              <w:t>Affected commercial stock</w:t>
            </w:r>
          </w:p>
        </w:tc>
        <w:tc>
          <w:tcPr>
            <w:tcW w:w="1667" w:type="pct"/>
            <w:tcBorders>
              <w:top w:val="single" w:sz="4" w:space="0" w:color="auto"/>
              <w:bottom w:val="single" w:sz="12" w:space="0" w:color="auto"/>
              <w:right w:val="single" w:sz="4" w:space="0" w:color="auto"/>
            </w:tcBorders>
            <w:shd w:val="clear" w:color="auto" w:fill="auto"/>
            <w:vAlign w:val="center"/>
          </w:tcPr>
          <w:p w14:paraId="269DB885" w14:textId="77777777" w:rsidR="007C54FF" w:rsidRPr="00D77DAA" w:rsidRDefault="007C54FF" w:rsidP="00D25DCF">
            <w:pPr>
              <w:pStyle w:val="BodyText"/>
              <w:spacing w:before="80" w:after="8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77DAA">
              <w:rPr>
                <w:rFonts w:asciiTheme="minorHAnsi" w:hAnsiTheme="minorHAnsi" w:cstheme="minorHAnsi"/>
                <w:sz w:val="18"/>
                <w:szCs w:val="18"/>
              </w:rPr>
              <w:t>Building owner actions</w:t>
            </w:r>
          </w:p>
        </w:tc>
      </w:tr>
      <w:tr w:rsidR="007C54FF" w:rsidRPr="00826B25" w14:paraId="35FD981F" w14:textId="77777777" w:rsidTr="00400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Borders>
              <w:top w:val="single" w:sz="12" w:space="0" w:color="auto"/>
            </w:tcBorders>
            <w:shd w:val="clear" w:color="auto" w:fill="auto"/>
            <w:vAlign w:val="center"/>
          </w:tcPr>
          <w:p w14:paraId="5A2300B3" w14:textId="77777777" w:rsidR="007C54FF" w:rsidRPr="00D77DAA" w:rsidRDefault="007C54FF" w:rsidP="00D25DCF">
            <w:pPr>
              <w:pStyle w:val="BodyText"/>
              <w:spacing w:before="80" w:after="80"/>
              <w:jc w:val="center"/>
              <w:rPr>
                <w:rFonts w:asciiTheme="minorHAnsi" w:hAnsiTheme="minorHAnsi" w:cstheme="minorHAnsi"/>
                <w:sz w:val="18"/>
                <w:szCs w:val="18"/>
              </w:rPr>
            </w:pPr>
            <w:r w:rsidRPr="00D77DAA">
              <w:rPr>
                <w:rFonts w:asciiTheme="minorHAnsi" w:hAnsiTheme="minorHAnsi" w:cstheme="minorHAnsi"/>
                <w:sz w:val="18"/>
                <w:szCs w:val="18"/>
              </w:rPr>
              <w:t>EU</w:t>
            </w:r>
          </w:p>
        </w:tc>
        <w:tc>
          <w:tcPr>
            <w:tcW w:w="1296" w:type="pct"/>
            <w:tcBorders>
              <w:top w:val="single" w:sz="12" w:space="0" w:color="auto"/>
            </w:tcBorders>
            <w:shd w:val="clear" w:color="auto" w:fill="auto"/>
            <w:vAlign w:val="center"/>
          </w:tcPr>
          <w:p w14:paraId="0BDEB749" w14:textId="0BC60A2A" w:rsidR="007C54FF" w:rsidRPr="00D77DAA" w:rsidRDefault="000D6D43"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77DAA">
              <w:rPr>
                <w:rFonts w:asciiTheme="minorHAnsi" w:hAnsiTheme="minorHAnsi" w:cstheme="minorHAnsi"/>
                <w:sz w:val="18"/>
                <w:szCs w:val="18"/>
              </w:rPr>
              <w:t>EPC – rating ‘</w:t>
            </w:r>
            <w:r w:rsidR="004E5252" w:rsidRPr="00D77DAA">
              <w:rPr>
                <w:rFonts w:asciiTheme="minorHAnsi" w:hAnsiTheme="minorHAnsi" w:cstheme="minorHAnsi"/>
                <w:sz w:val="18"/>
                <w:szCs w:val="18"/>
              </w:rPr>
              <w:t>C</w:t>
            </w:r>
            <w:r w:rsidRPr="00D77DAA">
              <w:rPr>
                <w:rFonts w:asciiTheme="minorHAnsi" w:hAnsiTheme="minorHAnsi" w:cstheme="minorHAnsi"/>
                <w:sz w:val="18"/>
                <w:szCs w:val="18"/>
              </w:rPr>
              <w:t>’ by 2027, ‘</w:t>
            </w:r>
            <w:r w:rsidR="004E5252" w:rsidRPr="00D77DAA">
              <w:rPr>
                <w:rFonts w:asciiTheme="minorHAnsi" w:hAnsiTheme="minorHAnsi" w:cstheme="minorHAnsi"/>
                <w:sz w:val="18"/>
                <w:szCs w:val="18"/>
              </w:rPr>
              <w:t>B</w:t>
            </w:r>
            <w:r w:rsidRPr="00D77DAA">
              <w:rPr>
                <w:rFonts w:asciiTheme="minorHAnsi" w:hAnsiTheme="minorHAnsi" w:cstheme="minorHAnsi"/>
                <w:sz w:val="18"/>
                <w:szCs w:val="18"/>
              </w:rPr>
              <w:t>’ by 2030</w:t>
            </w:r>
            <w:r w:rsidR="00723239" w:rsidRPr="00D77DAA">
              <w:rPr>
                <w:rFonts w:ascii="ZWAdobeF" w:hAnsi="ZWAdobeF" w:cs="ZWAdobeF"/>
                <w:sz w:val="2"/>
                <w:szCs w:val="2"/>
              </w:rPr>
              <w:t>77F</w:t>
            </w:r>
            <w:r w:rsidR="00EE36E3" w:rsidRPr="00D77DAA">
              <w:rPr>
                <w:rFonts w:ascii="ZWAdobeF" w:hAnsi="ZWAdobeF" w:cs="ZWAdobeF"/>
                <w:sz w:val="2"/>
                <w:szCs w:val="2"/>
              </w:rPr>
              <w:t>77F</w:t>
            </w:r>
            <w:r w:rsidR="00122C48" w:rsidRPr="00D77DAA">
              <w:rPr>
                <w:rFonts w:ascii="ZWAdobeF" w:hAnsi="ZWAdobeF" w:cs="ZWAdobeF"/>
                <w:sz w:val="2"/>
                <w:szCs w:val="2"/>
              </w:rPr>
              <w:t>77F</w:t>
            </w:r>
            <w:r w:rsidR="00F73A23" w:rsidRPr="00D77DAA">
              <w:rPr>
                <w:rFonts w:ascii="ZWAdobeF" w:hAnsi="ZWAdobeF" w:cs="ZWAdobeF"/>
                <w:sz w:val="2"/>
                <w:szCs w:val="2"/>
              </w:rPr>
              <w:t>77F</w:t>
            </w:r>
            <w:r w:rsidR="00626378">
              <w:rPr>
                <w:rFonts w:ascii="ZWAdobeF" w:hAnsi="ZWAdobeF" w:cs="ZWAdobeF"/>
                <w:color w:val="auto"/>
                <w:sz w:val="2"/>
                <w:szCs w:val="2"/>
              </w:rPr>
              <w:t>77F</w:t>
            </w:r>
            <w:r w:rsidR="00413811">
              <w:rPr>
                <w:rFonts w:ascii="ZWAdobeF" w:hAnsi="ZWAdobeF" w:cs="ZWAdobeF"/>
                <w:color w:val="auto"/>
                <w:sz w:val="2"/>
                <w:szCs w:val="2"/>
              </w:rPr>
              <w:t>77F</w:t>
            </w:r>
            <w:r w:rsidR="002C327C">
              <w:rPr>
                <w:rFonts w:ascii="ZWAdobeF" w:hAnsi="ZWAdobeF" w:cs="ZWAdobeF"/>
                <w:color w:val="auto"/>
                <w:sz w:val="2"/>
                <w:szCs w:val="2"/>
              </w:rPr>
              <w:t>77F</w:t>
            </w:r>
            <w:r w:rsidR="00D24A06">
              <w:rPr>
                <w:rFonts w:ascii="ZWAdobeF" w:hAnsi="ZWAdobeF" w:cs="ZWAdobeF"/>
                <w:color w:val="auto"/>
                <w:sz w:val="2"/>
                <w:szCs w:val="2"/>
              </w:rPr>
              <w:t>77F</w:t>
            </w:r>
            <w:r w:rsidR="00603339" w:rsidRPr="00D77DAA">
              <w:rPr>
                <w:rStyle w:val="FootnoteReference"/>
                <w:rFonts w:asciiTheme="minorHAnsi" w:hAnsiTheme="minorHAnsi" w:cstheme="minorHAnsi"/>
                <w:sz w:val="18"/>
                <w:szCs w:val="18"/>
              </w:rPr>
              <w:footnoteReference w:id="79"/>
            </w:r>
          </w:p>
        </w:tc>
        <w:tc>
          <w:tcPr>
            <w:tcW w:w="1320" w:type="pct"/>
            <w:tcBorders>
              <w:top w:val="single" w:sz="12" w:space="0" w:color="auto"/>
            </w:tcBorders>
            <w:shd w:val="clear" w:color="auto" w:fill="auto"/>
            <w:vAlign w:val="center"/>
          </w:tcPr>
          <w:p w14:paraId="7A2A2057" w14:textId="0A60D0F1" w:rsidR="007C54FF" w:rsidRPr="00D77DAA" w:rsidRDefault="000D6D43"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77DAA">
              <w:rPr>
                <w:rFonts w:asciiTheme="minorHAnsi" w:hAnsiTheme="minorHAnsi" w:cstheme="minorHAnsi"/>
                <w:sz w:val="18"/>
                <w:szCs w:val="18"/>
              </w:rPr>
              <w:t xml:space="preserve">All </w:t>
            </w:r>
            <w:r w:rsidR="00F70743" w:rsidRPr="00D77DAA">
              <w:rPr>
                <w:rFonts w:asciiTheme="minorHAnsi" w:hAnsiTheme="minorHAnsi" w:cstheme="minorHAnsi"/>
                <w:sz w:val="18"/>
                <w:szCs w:val="18"/>
              </w:rPr>
              <w:t>buildings</w:t>
            </w:r>
            <w:r w:rsidRPr="00D77DAA">
              <w:rPr>
                <w:rFonts w:asciiTheme="minorHAnsi" w:hAnsiTheme="minorHAnsi" w:cstheme="minorHAnsi"/>
                <w:sz w:val="18"/>
                <w:szCs w:val="18"/>
              </w:rPr>
              <w:t xml:space="preserve"> constructed, sold, or </w:t>
            </w:r>
            <w:r w:rsidR="008F74A8" w:rsidRPr="00D77DAA">
              <w:rPr>
                <w:rFonts w:asciiTheme="minorHAnsi" w:hAnsiTheme="minorHAnsi" w:cstheme="minorHAnsi"/>
                <w:sz w:val="18"/>
                <w:szCs w:val="18"/>
              </w:rPr>
              <w:t>leased</w:t>
            </w:r>
            <w:r w:rsidRPr="00D77DAA">
              <w:rPr>
                <w:rFonts w:asciiTheme="minorHAnsi" w:hAnsiTheme="minorHAnsi" w:cstheme="minorHAnsi"/>
                <w:sz w:val="18"/>
                <w:szCs w:val="18"/>
              </w:rPr>
              <w:t xml:space="preserve"> out to a new tenant</w:t>
            </w:r>
            <w:r w:rsidR="00804671" w:rsidRPr="00D77DAA">
              <w:rPr>
                <w:rFonts w:asciiTheme="minorHAnsi" w:hAnsiTheme="minorHAnsi" w:cstheme="minorHAnsi"/>
                <w:sz w:val="18"/>
                <w:szCs w:val="18"/>
              </w:rPr>
              <w:br/>
              <w:t xml:space="preserve">All </w:t>
            </w:r>
            <w:r w:rsidR="00F70743" w:rsidRPr="00D77DAA">
              <w:rPr>
                <w:rFonts w:asciiTheme="minorHAnsi" w:hAnsiTheme="minorHAnsi" w:cstheme="minorHAnsi"/>
                <w:sz w:val="18"/>
                <w:szCs w:val="18"/>
              </w:rPr>
              <w:t>buildings</w:t>
            </w:r>
            <w:r w:rsidRPr="00D77DAA">
              <w:rPr>
                <w:rFonts w:asciiTheme="minorHAnsi" w:hAnsiTheme="minorHAnsi" w:cstheme="minorHAnsi"/>
                <w:sz w:val="18"/>
                <w:szCs w:val="18"/>
              </w:rPr>
              <w:t xml:space="preserve"> with a total floor area </w:t>
            </w:r>
            <w:r w:rsidR="00943200" w:rsidRPr="00D77DAA">
              <w:rPr>
                <w:rFonts w:asciiTheme="minorHAnsi" w:hAnsiTheme="minorHAnsi" w:cstheme="minorHAnsi"/>
                <w:sz w:val="18"/>
                <w:szCs w:val="18"/>
              </w:rPr>
              <w:t>&gt;</w:t>
            </w:r>
            <w:r w:rsidRPr="00D77DAA">
              <w:rPr>
                <w:rFonts w:asciiTheme="minorHAnsi" w:hAnsiTheme="minorHAnsi" w:cstheme="minorHAnsi"/>
                <w:sz w:val="18"/>
                <w:szCs w:val="18"/>
              </w:rPr>
              <w:t xml:space="preserve"> 250</w:t>
            </w:r>
            <w:r w:rsidR="00943200" w:rsidRPr="00D77DAA">
              <w:rPr>
                <w:rFonts w:asciiTheme="minorHAnsi" w:hAnsiTheme="minorHAnsi" w:cstheme="minorHAnsi"/>
                <w:sz w:val="18"/>
                <w:szCs w:val="18"/>
              </w:rPr>
              <w:t xml:space="preserve"> square metres</w:t>
            </w:r>
            <w:r w:rsidRPr="00D77DAA">
              <w:rPr>
                <w:rFonts w:asciiTheme="minorHAnsi" w:hAnsiTheme="minorHAnsi" w:cstheme="minorHAnsi"/>
                <w:sz w:val="18"/>
                <w:szCs w:val="18"/>
              </w:rPr>
              <w:t xml:space="preserve"> occupied by a public authority and frequently visited by the public</w:t>
            </w:r>
          </w:p>
        </w:tc>
        <w:tc>
          <w:tcPr>
            <w:tcW w:w="1667" w:type="pct"/>
            <w:tcBorders>
              <w:top w:val="single" w:sz="12" w:space="0" w:color="auto"/>
            </w:tcBorders>
            <w:shd w:val="clear" w:color="auto" w:fill="auto"/>
            <w:vAlign w:val="center"/>
          </w:tcPr>
          <w:p w14:paraId="3D27ABFB" w14:textId="0A81E242" w:rsidR="007C54FF" w:rsidRPr="00D77DAA" w:rsidRDefault="00943200"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Modify building (or EPC if inaccurate) to meet minimum standard</w:t>
            </w:r>
          </w:p>
        </w:tc>
      </w:tr>
      <w:tr w:rsidR="007C54FF" w14:paraId="7C8F91F0" w14:textId="77777777" w:rsidTr="00D77DAA">
        <w:tc>
          <w:tcPr>
            <w:cnfStyle w:val="001000000000" w:firstRow="0" w:lastRow="0" w:firstColumn="1" w:lastColumn="0" w:oddVBand="0" w:evenVBand="0" w:oddHBand="0" w:evenHBand="0" w:firstRowFirstColumn="0" w:firstRowLastColumn="0" w:lastRowFirstColumn="0" w:lastRowLastColumn="0"/>
            <w:tcW w:w="716" w:type="pct"/>
            <w:shd w:val="clear" w:color="auto" w:fill="auto"/>
            <w:vAlign w:val="center"/>
          </w:tcPr>
          <w:p w14:paraId="5CC1B23B" w14:textId="77777777" w:rsidR="007C54FF" w:rsidRPr="00480F0A" w:rsidRDefault="007C54FF" w:rsidP="00D25DCF">
            <w:pPr>
              <w:pStyle w:val="BodyText"/>
              <w:spacing w:before="80" w:after="80"/>
              <w:jc w:val="center"/>
              <w:rPr>
                <w:rFonts w:asciiTheme="minorHAnsi" w:hAnsiTheme="minorHAnsi" w:cstheme="minorHAnsi"/>
                <w:sz w:val="18"/>
                <w:szCs w:val="18"/>
              </w:rPr>
            </w:pPr>
            <w:r w:rsidRPr="00480F0A">
              <w:rPr>
                <w:rFonts w:asciiTheme="minorHAnsi" w:hAnsiTheme="minorHAnsi" w:cstheme="minorHAnsi"/>
                <w:sz w:val="18"/>
                <w:szCs w:val="18"/>
              </w:rPr>
              <w:t>Scotland</w:t>
            </w:r>
          </w:p>
        </w:tc>
        <w:tc>
          <w:tcPr>
            <w:tcW w:w="1296" w:type="pct"/>
            <w:shd w:val="clear" w:color="auto" w:fill="auto"/>
            <w:vAlign w:val="center"/>
          </w:tcPr>
          <w:p w14:paraId="0DDF5A87" w14:textId="486C3D9E" w:rsidR="007C54FF" w:rsidRPr="00480F0A" w:rsidRDefault="007C54FF"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EPC – rating ‘C’ </w:t>
            </w:r>
            <w:r w:rsidR="0006189B" w:rsidRPr="00480F0A">
              <w:rPr>
                <w:rFonts w:asciiTheme="minorHAnsi" w:hAnsiTheme="minorHAnsi" w:cstheme="minorHAnsi"/>
                <w:sz w:val="18"/>
                <w:szCs w:val="18"/>
              </w:rPr>
              <w:t>by 2040</w:t>
            </w:r>
          </w:p>
        </w:tc>
        <w:tc>
          <w:tcPr>
            <w:tcW w:w="1320" w:type="pct"/>
            <w:shd w:val="clear" w:color="auto" w:fill="auto"/>
            <w:vAlign w:val="center"/>
          </w:tcPr>
          <w:p w14:paraId="4CA09F65" w14:textId="7471A072" w:rsidR="007C54FF" w:rsidRPr="00480F0A" w:rsidRDefault="007C54FF"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Non-</w:t>
            </w:r>
            <w:r w:rsidR="00261FD7" w:rsidRPr="00480F0A">
              <w:rPr>
                <w:rFonts w:asciiTheme="minorHAnsi" w:hAnsiTheme="minorHAnsi" w:cstheme="minorHAnsi"/>
                <w:sz w:val="18"/>
                <w:szCs w:val="18"/>
              </w:rPr>
              <w:t>residential</w:t>
            </w:r>
            <w:r w:rsidRPr="00480F0A">
              <w:rPr>
                <w:rFonts w:asciiTheme="minorHAnsi" w:hAnsiTheme="minorHAnsi" w:cstheme="minorHAnsi"/>
                <w:sz w:val="18"/>
                <w:szCs w:val="18"/>
              </w:rPr>
              <w:t xml:space="preserve"> buildings sold and leased over 1000 square metres</w:t>
            </w:r>
          </w:p>
        </w:tc>
        <w:tc>
          <w:tcPr>
            <w:tcW w:w="1667" w:type="pct"/>
            <w:shd w:val="clear" w:color="auto" w:fill="auto"/>
            <w:vAlign w:val="center"/>
          </w:tcPr>
          <w:p w14:paraId="490FC1EE" w14:textId="77777777" w:rsidR="007C54FF" w:rsidRPr="00480F0A" w:rsidRDefault="007C54FF"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Modify building (or EPC if inaccurate) to meet minimum standard</w:t>
            </w:r>
          </w:p>
        </w:tc>
      </w:tr>
      <w:tr w:rsidR="007C54FF" w14:paraId="618791AC" w14:textId="77777777" w:rsidTr="00D77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shd w:val="clear" w:color="auto" w:fill="auto"/>
            <w:vAlign w:val="center"/>
          </w:tcPr>
          <w:p w14:paraId="2ADE9328" w14:textId="77777777" w:rsidR="007C54FF" w:rsidRPr="00480F0A" w:rsidRDefault="007C54FF" w:rsidP="00D25DCF">
            <w:pPr>
              <w:pStyle w:val="BodyText"/>
              <w:spacing w:before="80" w:after="80"/>
              <w:jc w:val="center"/>
              <w:rPr>
                <w:rFonts w:asciiTheme="minorHAnsi" w:hAnsiTheme="minorHAnsi" w:cstheme="minorHAnsi"/>
                <w:sz w:val="18"/>
                <w:szCs w:val="18"/>
              </w:rPr>
            </w:pPr>
            <w:r w:rsidRPr="00480F0A">
              <w:rPr>
                <w:rFonts w:asciiTheme="minorHAnsi" w:hAnsiTheme="minorHAnsi" w:cstheme="minorHAnsi"/>
                <w:sz w:val="18"/>
                <w:szCs w:val="18"/>
              </w:rPr>
              <w:t>England &amp; Wales</w:t>
            </w:r>
          </w:p>
        </w:tc>
        <w:tc>
          <w:tcPr>
            <w:tcW w:w="1296" w:type="pct"/>
            <w:shd w:val="clear" w:color="auto" w:fill="auto"/>
            <w:vAlign w:val="center"/>
          </w:tcPr>
          <w:p w14:paraId="37C03FD2" w14:textId="47809186" w:rsidR="007C54FF" w:rsidRPr="00480F0A" w:rsidRDefault="007C54FF"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EPC – rating ‘</w:t>
            </w:r>
            <w:r w:rsidR="00742357" w:rsidRPr="00480F0A">
              <w:rPr>
                <w:rFonts w:asciiTheme="minorHAnsi" w:hAnsiTheme="minorHAnsi" w:cstheme="minorHAnsi"/>
                <w:sz w:val="18"/>
                <w:szCs w:val="18"/>
              </w:rPr>
              <w:t>E</w:t>
            </w:r>
            <w:r w:rsidRPr="00480F0A">
              <w:rPr>
                <w:rFonts w:asciiTheme="minorHAnsi" w:hAnsiTheme="minorHAnsi" w:cstheme="minorHAnsi"/>
                <w:sz w:val="18"/>
                <w:szCs w:val="18"/>
              </w:rPr>
              <w:t>’</w:t>
            </w:r>
            <w:r w:rsidR="00C972A4" w:rsidRPr="00480F0A">
              <w:rPr>
                <w:rFonts w:asciiTheme="minorHAnsi" w:hAnsiTheme="minorHAnsi" w:cstheme="minorHAnsi"/>
                <w:sz w:val="18"/>
                <w:szCs w:val="18"/>
              </w:rPr>
              <w:t xml:space="preserve"> as of 2018</w:t>
            </w:r>
            <w:r w:rsidR="009A637E" w:rsidRPr="00480F0A">
              <w:rPr>
                <w:rFonts w:asciiTheme="minorHAnsi" w:hAnsiTheme="minorHAnsi" w:cstheme="minorHAnsi"/>
                <w:sz w:val="18"/>
                <w:szCs w:val="18"/>
              </w:rPr>
              <w:t xml:space="preserve">, </w:t>
            </w:r>
            <w:r w:rsidR="009A637E" w:rsidRPr="00D77DAA">
              <w:rPr>
                <w:rFonts w:asciiTheme="minorHAnsi" w:hAnsiTheme="minorHAnsi" w:cstheme="minorHAnsi"/>
                <w:sz w:val="18"/>
                <w:szCs w:val="18"/>
              </w:rPr>
              <w:t>‘C’ by 2027, ‘B’ by 2030</w:t>
            </w:r>
            <w:r w:rsidR="00723239" w:rsidRPr="00D77DAA">
              <w:rPr>
                <w:rFonts w:ascii="ZWAdobeF" w:hAnsi="ZWAdobeF" w:cs="ZWAdobeF"/>
                <w:sz w:val="2"/>
                <w:szCs w:val="2"/>
              </w:rPr>
              <w:t>78F</w:t>
            </w:r>
            <w:r w:rsidR="00EE36E3" w:rsidRPr="00D77DAA">
              <w:rPr>
                <w:rFonts w:ascii="ZWAdobeF" w:hAnsi="ZWAdobeF" w:cs="ZWAdobeF"/>
                <w:sz w:val="2"/>
                <w:szCs w:val="2"/>
              </w:rPr>
              <w:t>78F</w:t>
            </w:r>
            <w:r w:rsidR="00122C48" w:rsidRPr="00D77DAA">
              <w:rPr>
                <w:rFonts w:ascii="ZWAdobeF" w:hAnsi="ZWAdobeF" w:cs="ZWAdobeF"/>
                <w:sz w:val="2"/>
                <w:szCs w:val="2"/>
              </w:rPr>
              <w:t>78F</w:t>
            </w:r>
            <w:r w:rsidR="00F73A23" w:rsidRPr="00D77DAA">
              <w:rPr>
                <w:rFonts w:ascii="ZWAdobeF" w:hAnsi="ZWAdobeF" w:cs="ZWAdobeF"/>
                <w:sz w:val="2"/>
                <w:szCs w:val="2"/>
              </w:rPr>
              <w:t>78F</w:t>
            </w:r>
            <w:r w:rsidR="00626378">
              <w:rPr>
                <w:rFonts w:ascii="ZWAdobeF" w:hAnsi="ZWAdobeF" w:cs="ZWAdobeF"/>
                <w:color w:val="auto"/>
                <w:sz w:val="2"/>
                <w:szCs w:val="2"/>
              </w:rPr>
              <w:t>78F</w:t>
            </w:r>
            <w:r w:rsidR="00413811">
              <w:rPr>
                <w:rFonts w:ascii="ZWAdobeF" w:hAnsi="ZWAdobeF" w:cs="ZWAdobeF"/>
                <w:color w:val="auto"/>
                <w:sz w:val="2"/>
                <w:szCs w:val="2"/>
              </w:rPr>
              <w:t>78F</w:t>
            </w:r>
            <w:r w:rsidR="002C327C">
              <w:rPr>
                <w:rFonts w:ascii="ZWAdobeF" w:hAnsi="ZWAdobeF" w:cs="ZWAdobeF"/>
                <w:color w:val="auto"/>
                <w:sz w:val="2"/>
                <w:szCs w:val="2"/>
              </w:rPr>
              <w:t>78F</w:t>
            </w:r>
            <w:r w:rsidR="00D24A06">
              <w:rPr>
                <w:rFonts w:ascii="ZWAdobeF" w:hAnsi="ZWAdobeF" w:cs="ZWAdobeF"/>
                <w:color w:val="auto"/>
                <w:sz w:val="2"/>
                <w:szCs w:val="2"/>
              </w:rPr>
              <w:t>78F</w:t>
            </w:r>
            <w:r w:rsidR="009A637E" w:rsidRPr="00D77DAA">
              <w:rPr>
                <w:rStyle w:val="FootnoteReference"/>
                <w:rFonts w:asciiTheme="minorHAnsi" w:hAnsiTheme="minorHAnsi" w:cstheme="minorHAnsi"/>
                <w:sz w:val="18"/>
                <w:szCs w:val="18"/>
              </w:rPr>
              <w:footnoteReference w:id="80"/>
            </w:r>
          </w:p>
        </w:tc>
        <w:tc>
          <w:tcPr>
            <w:tcW w:w="1320" w:type="pct"/>
            <w:shd w:val="clear" w:color="auto" w:fill="auto"/>
            <w:vAlign w:val="center"/>
          </w:tcPr>
          <w:p w14:paraId="655D3068" w14:textId="37A08805" w:rsidR="007C54FF" w:rsidRPr="00480F0A" w:rsidRDefault="007C54FF"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All </w:t>
            </w:r>
            <w:r w:rsidR="00047649" w:rsidRPr="00480F0A">
              <w:rPr>
                <w:rFonts w:asciiTheme="minorHAnsi" w:hAnsiTheme="minorHAnsi" w:cstheme="minorHAnsi"/>
                <w:sz w:val="18"/>
                <w:szCs w:val="18"/>
              </w:rPr>
              <w:t xml:space="preserve">buildings </w:t>
            </w:r>
            <w:r w:rsidRPr="00480F0A">
              <w:rPr>
                <w:rFonts w:asciiTheme="minorHAnsi" w:hAnsiTheme="minorHAnsi" w:cstheme="minorHAnsi"/>
                <w:sz w:val="18"/>
                <w:szCs w:val="18"/>
              </w:rPr>
              <w:t xml:space="preserve">leased </w:t>
            </w:r>
            <w:r w:rsidR="00047649" w:rsidRPr="00480F0A">
              <w:rPr>
                <w:rFonts w:asciiTheme="minorHAnsi" w:hAnsiTheme="minorHAnsi" w:cstheme="minorHAnsi"/>
                <w:sz w:val="18"/>
                <w:szCs w:val="18"/>
              </w:rPr>
              <w:t>and sold</w:t>
            </w:r>
          </w:p>
        </w:tc>
        <w:tc>
          <w:tcPr>
            <w:tcW w:w="1667" w:type="pct"/>
            <w:shd w:val="clear" w:color="auto" w:fill="auto"/>
            <w:vAlign w:val="center"/>
          </w:tcPr>
          <w:p w14:paraId="4316ECCF" w14:textId="77777777" w:rsidR="007C54FF" w:rsidRPr="00480F0A" w:rsidRDefault="007C54FF"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Modify building (or EPC if inaccurate) to meet minimum standard</w:t>
            </w:r>
          </w:p>
        </w:tc>
      </w:tr>
      <w:tr w:rsidR="007C54FF" w14:paraId="4000DEA3" w14:textId="77777777" w:rsidTr="00D77DAA">
        <w:tc>
          <w:tcPr>
            <w:cnfStyle w:val="001000000000" w:firstRow="0" w:lastRow="0" w:firstColumn="1" w:lastColumn="0" w:oddVBand="0" w:evenVBand="0" w:oddHBand="0" w:evenHBand="0" w:firstRowFirstColumn="0" w:firstRowLastColumn="0" w:lastRowFirstColumn="0" w:lastRowLastColumn="0"/>
            <w:tcW w:w="716" w:type="pct"/>
            <w:shd w:val="clear" w:color="auto" w:fill="auto"/>
            <w:vAlign w:val="center"/>
          </w:tcPr>
          <w:p w14:paraId="02CED2D2" w14:textId="77777777" w:rsidR="007C54FF" w:rsidRPr="00480F0A" w:rsidRDefault="007C54FF" w:rsidP="00D25DCF">
            <w:pPr>
              <w:pStyle w:val="BodyText"/>
              <w:spacing w:before="80" w:after="80"/>
              <w:jc w:val="center"/>
              <w:rPr>
                <w:rFonts w:asciiTheme="minorHAnsi" w:hAnsiTheme="minorHAnsi" w:cstheme="minorHAnsi"/>
                <w:b w:val="0"/>
                <w:sz w:val="18"/>
                <w:szCs w:val="18"/>
              </w:rPr>
            </w:pPr>
            <w:r w:rsidRPr="00480F0A">
              <w:rPr>
                <w:rFonts w:asciiTheme="minorHAnsi" w:hAnsiTheme="minorHAnsi" w:cstheme="minorHAnsi"/>
                <w:sz w:val="18"/>
                <w:szCs w:val="18"/>
              </w:rPr>
              <w:t>Netherlands</w:t>
            </w:r>
          </w:p>
          <w:p w14:paraId="1FA96524" w14:textId="5C44B9FA" w:rsidR="00BF0C6B" w:rsidRPr="00480F0A" w:rsidRDefault="00BF0C6B" w:rsidP="00D25DCF">
            <w:pPr>
              <w:pStyle w:val="BodyText"/>
              <w:spacing w:before="80" w:after="80"/>
              <w:jc w:val="center"/>
              <w:rPr>
                <w:rFonts w:asciiTheme="minorHAnsi" w:hAnsiTheme="minorHAnsi" w:cstheme="minorHAnsi"/>
                <w:b w:val="0"/>
                <w:i/>
                <w:sz w:val="18"/>
                <w:szCs w:val="18"/>
              </w:rPr>
            </w:pPr>
            <w:r w:rsidRPr="00480F0A">
              <w:rPr>
                <w:rFonts w:asciiTheme="minorHAnsi" w:hAnsiTheme="minorHAnsi" w:cstheme="minorHAnsi"/>
                <w:i/>
                <w:sz w:val="18"/>
                <w:szCs w:val="18"/>
              </w:rPr>
              <w:t>(See Box 2 Case Study)</w:t>
            </w:r>
          </w:p>
        </w:tc>
        <w:tc>
          <w:tcPr>
            <w:tcW w:w="1296" w:type="pct"/>
            <w:shd w:val="clear" w:color="auto" w:fill="auto"/>
            <w:vAlign w:val="center"/>
          </w:tcPr>
          <w:p w14:paraId="4099D0AC" w14:textId="77777777" w:rsidR="007C54FF" w:rsidRPr="00480F0A" w:rsidRDefault="007C54FF"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EPC – rating ‘C’ by 2023, ‘A’ by 2030</w:t>
            </w:r>
          </w:p>
        </w:tc>
        <w:tc>
          <w:tcPr>
            <w:tcW w:w="1320" w:type="pct"/>
            <w:shd w:val="clear" w:color="auto" w:fill="auto"/>
            <w:vAlign w:val="center"/>
          </w:tcPr>
          <w:p w14:paraId="67E731F8" w14:textId="77777777" w:rsidR="007C54FF" w:rsidRPr="00480F0A" w:rsidRDefault="007C54FF"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All office property</w:t>
            </w:r>
          </w:p>
        </w:tc>
        <w:tc>
          <w:tcPr>
            <w:tcW w:w="1667" w:type="pct"/>
            <w:shd w:val="clear" w:color="auto" w:fill="auto"/>
            <w:vAlign w:val="center"/>
          </w:tcPr>
          <w:p w14:paraId="2B74EEFB" w14:textId="77777777" w:rsidR="007C54FF" w:rsidRPr="00480F0A" w:rsidRDefault="007C54FF"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Modify building to meet minimum standard or prepare Action Plan and carry out works within 3.5 years or monitor energy consumption with Display Energy Certificate</w:t>
            </w:r>
          </w:p>
        </w:tc>
      </w:tr>
      <w:tr w:rsidR="007C54FF" w14:paraId="0DF0076B" w14:textId="77777777" w:rsidTr="00D77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shd w:val="clear" w:color="auto" w:fill="auto"/>
            <w:vAlign w:val="center"/>
          </w:tcPr>
          <w:p w14:paraId="7C69E9AE" w14:textId="77777777" w:rsidR="007C54FF" w:rsidRPr="00480F0A" w:rsidRDefault="007C54FF" w:rsidP="00D25DCF">
            <w:pPr>
              <w:pStyle w:val="BodyText"/>
              <w:spacing w:before="80" w:after="80"/>
              <w:jc w:val="center"/>
              <w:rPr>
                <w:rFonts w:asciiTheme="minorHAnsi" w:hAnsiTheme="minorHAnsi" w:cstheme="minorHAnsi"/>
                <w:sz w:val="18"/>
                <w:szCs w:val="18"/>
              </w:rPr>
            </w:pPr>
            <w:r w:rsidRPr="00480F0A">
              <w:rPr>
                <w:rFonts w:asciiTheme="minorHAnsi" w:hAnsiTheme="minorHAnsi" w:cstheme="minorHAnsi"/>
                <w:sz w:val="18"/>
                <w:szCs w:val="18"/>
              </w:rPr>
              <w:t>Washington DC</w:t>
            </w:r>
          </w:p>
        </w:tc>
        <w:tc>
          <w:tcPr>
            <w:tcW w:w="1296" w:type="pct"/>
            <w:shd w:val="clear" w:color="auto" w:fill="auto"/>
            <w:vAlign w:val="center"/>
          </w:tcPr>
          <w:p w14:paraId="0636A995" w14:textId="788D1253" w:rsidR="007C54FF" w:rsidRPr="00480F0A" w:rsidRDefault="00FA343A"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2009-10 </w:t>
            </w:r>
            <w:r w:rsidR="00D41ADF" w:rsidRPr="00480F0A">
              <w:rPr>
                <w:rFonts w:asciiTheme="minorHAnsi" w:hAnsiTheme="minorHAnsi" w:cstheme="minorHAnsi"/>
                <w:sz w:val="18"/>
                <w:szCs w:val="18"/>
              </w:rPr>
              <w:t>SB</w:t>
            </w:r>
            <w:r w:rsidR="00E77641" w:rsidRPr="00480F0A">
              <w:rPr>
                <w:rFonts w:asciiTheme="minorHAnsi" w:hAnsiTheme="minorHAnsi" w:cstheme="minorHAnsi"/>
                <w:sz w:val="18"/>
                <w:szCs w:val="18"/>
              </w:rPr>
              <w:t xml:space="preserve"> 585</w:t>
            </w:r>
            <w:r w:rsidR="00D7620C" w:rsidRPr="00480F0A">
              <w:rPr>
                <w:rFonts w:asciiTheme="minorHAnsi" w:hAnsiTheme="minorHAnsi" w:cstheme="minorHAnsi"/>
                <w:sz w:val="18"/>
                <w:szCs w:val="18"/>
              </w:rPr>
              <w:t xml:space="preserve">4 </w:t>
            </w:r>
            <w:r w:rsidR="00A836A3" w:rsidRPr="00480F0A">
              <w:rPr>
                <w:rFonts w:asciiTheme="minorHAnsi" w:hAnsiTheme="minorHAnsi" w:cstheme="minorHAnsi"/>
                <w:sz w:val="18"/>
                <w:szCs w:val="18"/>
              </w:rPr>
              <w:t xml:space="preserve">– </w:t>
            </w:r>
            <w:r w:rsidR="001A19B3" w:rsidRPr="00480F0A">
              <w:rPr>
                <w:rFonts w:asciiTheme="minorHAnsi" w:hAnsiTheme="minorHAnsi" w:cstheme="minorHAnsi"/>
                <w:sz w:val="18"/>
                <w:szCs w:val="18"/>
              </w:rPr>
              <w:t>Energy S</w:t>
            </w:r>
            <w:r w:rsidR="00635606" w:rsidRPr="00480F0A">
              <w:rPr>
                <w:rFonts w:asciiTheme="minorHAnsi" w:hAnsiTheme="minorHAnsi" w:cstheme="minorHAnsi"/>
                <w:sz w:val="18"/>
                <w:szCs w:val="18"/>
              </w:rPr>
              <w:t>tar</w:t>
            </w:r>
            <w:r w:rsidR="00A836A3" w:rsidRPr="00480F0A">
              <w:rPr>
                <w:rFonts w:asciiTheme="minorHAnsi" w:hAnsiTheme="minorHAnsi" w:cstheme="minorHAnsi"/>
                <w:sz w:val="18"/>
                <w:szCs w:val="18"/>
              </w:rPr>
              <w:t xml:space="preserve"> benchmarking and disclosure every two years</w:t>
            </w:r>
          </w:p>
        </w:tc>
        <w:tc>
          <w:tcPr>
            <w:tcW w:w="1320" w:type="pct"/>
            <w:shd w:val="clear" w:color="auto" w:fill="auto"/>
            <w:vAlign w:val="center"/>
          </w:tcPr>
          <w:p w14:paraId="7A1465DC" w14:textId="794AC520" w:rsidR="007C54FF" w:rsidRPr="00480F0A" w:rsidRDefault="00B11A5B"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Non-residential buildings</w:t>
            </w:r>
            <w:r w:rsidR="00003729" w:rsidRPr="00480F0A">
              <w:rPr>
                <w:rFonts w:asciiTheme="minorHAnsi" w:hAnsiTheme="minorHAnsi" w:cstheme="minorHAnsi"/>
                <w:sz w:val="18"/>
                <w:szCs w:val="18"/>
              </w:rPr>
              <w:t xml:space="preserve"> and qualifying public agency buildings</w:t>
            </w:r>
          </w:p>
        </w:tc>
        <w:tc>
          <w:tcPr>
            <w:tcW w:w="1667" w:type="pct"/>
            <w:shd w:val="clear" w:color="auto" w:fill="auto"/>
            <w:vAlign w:val="center"/>
          </w:tcPr>
          <w:p w14:paraId="7B94939E" w14:textId="763FFB21" w:rsidR="007C54FF" w:rsidRPr="00480F0A" w:rsidRDefault="0072333D"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Maintain </w:t>
            </w:r>
            <w:r w:rsidR="00201EAA" w:rsidRPr="00480F0A">
              <w:rPr>
                <w:rFonts w:asciiTheme="minorHAnsi" w:hAnsiTheme="minorHAnsi" w:cstheme="minorHAnsi"/>
                <w:sz w:val="18"/>
                <w:szCs w:val="18"/>
              </w:rPr>
              <w:t xml:space="preserve">energy </w:t>
            </w:r>
            <w:r w:rsidR="00E41C7F" w:rsidRPr="00480F0A">
              <w:rPr>
                <w:rFonts w:asciiTheme="minorHAnsi" w:hAnsiTheme="minorHAnsi" w:cstheme="minorHAnsi"/>
                <w:sz w:val="18"/>
                <w:szCs w:val="18"/>
              </w:rPr>
              <w:t>benchmarking data</w:t>
            </w:r>
            <w:r w:rsidR="00201EAA" w:rsidRPr="00480F0A">
              <w:rPr>
                <w:rFonts w:asciiTheme="minorHAnsi" w:hAnsiTheme="minorHAnsi" w:cstheme="minorHAnsi"/>
                <w:sz w:val="18"/>
                <w:szCs w:val="18"/>
              </w:rPr>
              <w:t xml:space="preserve"> in a format compatible with ENERGY STAR Portfolio Manager Tool.</w:t>
            </w:r>
          </w:p>
        </w:tc>
      </w:tr>
      <w:tr w:rsidR="007C54FF" w14:paraId="6EBEF768" w14:textId="77777777" w:rsidTr="00D77DAA">
        <w:tc>
          <w:tcPr>
            <w:cnfStyle w:val="001000000000" w:firstRow="0" w:lastRow="0" w:firstColumn="1" w:lastColumn="0" w:oddVBand="0" w:evenVBand="0" w:oddHBand="0" w:evenHBand="0" w:firstRowFirstColumn="0" w:firstRowLastColumn="0" w:lastRowFirstColumn="0" w:lastRowLastColumn="0"/>
            <w:tcW w:w="716" w:type="pct"/>
            <w:shd w:val="clear" w:color="auto" w:fill="auto"/>
            <w:vAlign w:val="center"/>
          </w:tcPr>
          <w:p w14:paraId="4C594074" w14:textId="77777777" w:rsidR="007C54FF" w:rsidRPr="00480F0A" w:rsidRDefault="007C54FF" w:rsidP="00D25DCF">
            <w:pPr>
              <w:pStyle w:val="BodyText"/>
              <w:spacing w:before="80" w:after="80"/>
              <w:jc w:val="center"/>
              <w:rPr>
                <w:rFonts w:asciiTheme="minorHAnsi" w:hAnsiTheme="minorHAnsi" w:cstheme="minorHAnsi"/>
                <w:sz w:val="18"/>
                <w:szCs w:val="18"/>
              </w:rPr>
            </w:pPr>
            <w:r w:rsidRPr="00480F0A">
              <w:rPr>
                <w:rFonts w:asciiTheme="minorHAnsi" w:hAnsiTheme="minorHAnsi" w:cstheme="minorHAnsi"/>
                <w:sz w:val="18"/>
                <w:szCs w:val="18"/>
              </w:rPr>
              <w:t>California</w:t>
            </w:r>
          </w:p>
        </w:tc>
        <w:tc>
          <w:tcPr>
            <w:tcW w:w="1296" w:type="pct"/>
            <w:shd w:val="clear" w:color="auto" w:fill="auto"/>
            <w:vAlign w:val="center"/>
          </w:tcPr>
          <w:p w14:paraId="170A7EE8" w14:textId="4D15A0A2" w:rsidR="007C54FF" w:rsidRPr="00480F0A" w:rsidRDefault="00FA343A"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200</w:t>
            </w:r>
            <w:r w:rsidR="00491497" w:rsidRPr="00480F0A">
              <w:rPr>
                <w:rFonts w:asciiTheme="minorHAnsi" w:hAnsiTheme="minorHAnsi" w:cstheme="minorHAnsi"/>
                <w:sz w:val="18"/>
                <w:szCs w:val="18"/>
              </w:rPr>
              <w:t>7</w:t>
            </w:r>
            <w:r w:rsidRPr="00480F0A">
              <w:rPr>
                <w:rFonts w:asciiTheme="minorHAnsi" w:hAnsiTheme="minorHAnsi" w:cstheme="minorHAnsi"/>
                <w:sz w:val="18"/>
                <w:szCs w:val="18"/>
              </w:rPr>
              <w:t xml:space="preserve"> </w:t>
            </w:r>
            <w:r w:rsidR="003D2CD2" w:rsidRPr="00480F0A">
              <w:rPr>
                <w:rFonts w:asciiTheme="minorHAnsi" w:hAnsiTheme="minorHAnsi" w:cstheme="minorHAnsi"/>
                <w:sz w:val="18"/>
                <w:szCs w:val="18"/>
              </w:rPr>
              <w:t xml:space="preserve">Assembly Bill 1103 </w:t>
            </w:r>
            <w:r w:rsidR="00AD65E5" w:rsidRPr="00480F0A">
              <w:rPr>
                <w:rFonts w:asciiTheme="minorHAnsi" w:hAnsiTheme="minorHAnsi" w:cstheme="minorHAnsi"/>
                <w:sz w:val="18"/>
                <w:szCs w:val="18"/>
              </w:rPr>
              <w:t xml:space="preserve">– Energy Star </w:t>
            </w:r>
            <w:r w:rsidR="00A30A72" w:rsidRPr="00480F0A">
              <w:rPr>
                <w:rFonts w:asciiTheme="minorHAnsi" w:hAnsiTheme="minorHAnsi" w:cstheme="minorHAnsi"/>
                <w:sz w:val="18"/>
                <w:szCs w:val="18"/>
              </w:rPr>
              <w:t>benchmarking and disclosure</w:t>
            </w:r>
          </w:p>
        </w:tc>
        <w:tc>
          <w:tcPr>
            <w:tcW w:w="1320" w:type="pct"/>
            <w:shd w:val="clear" w:color="auto" w:fill="auto"/>
            <w:vAlign w:val="center"/>
          </w:tcPr>
          <w:p w14:paraId="08B338D1" w14:textId="366C0A88" w:rsidR="007C54FF" w:rsidRPr="00480F0A" w:rsidRDefault="004D27AD"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Non-residential buildings</w:t>
            </w:r>
          </w:p>
        </w:tc>
        <w:tc>
          <w:tcPr>
            <w:tcW w:w="1667" w:type="pct"/>
            <w:shd w:val="clear" w:color="auto" w:fill="auto"/>
            <w:vAlign w:val="center"/>
          </w:tcPr>
          <w:p w14:paraId="5E9755AF" w14:textId="5AE1AD86" w:rsidR="007C54FF" w:rsidRPr="00480F0A" w:rsidRDefault="00201EAA" w:rsidP="00D25DCF">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Maintain energy benchmarking data format compatible with ENERGY STAR Portfolio Manager Tool.</w:t>
            </w:r>
          </w:p>
        </w:tc>
      </w:tr>
      <w:tr w:rsidR="007C54FF" w14:paraId="0046E78C" w14:textId="77777777" w:rsidTr="00D77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shd w:val="clear" w:color="auto" w:fill="auto"/>
            <w:vAlign w:val="center"/>
          </w:tcPr>
          <w:p w14:paraId="2F265302" w14:textId="77777777" w:rsidR="007C54FF" w:rsidRPr="00480F0A" w:rsidRDefault="007C54FF" w:rsidP="00D25DCF">
            <w:pPr>
              <w:pStyle w:val="BodyText"/>
              <w:spacing w:before="80" w:after="80"/>
              <w:jc w:val="center"/>
              <w:rPr>
                <w:rFonts w:asciiTheme="minorHAnsi" w:hAnsiTheme="minorHAnsi" w:cstheme="minorHAnsi"/>
                <w:sz w:val="18"/>
                <w:szCs w:val="18"/>
              </w:rPr>
            </w:pPr>
            <w:r w:rsidRPr="00480F0A">
              <w:rPr>
                <w:rFonts w:asciiTheme="minorHAnsi" w:hAnsiTheme="minorHAnsi" w:cstheme="minorHAnsi"/>
                <w:sz w:val="18"/>
                <w:szCs w:val="18"/>
              </w:rPr>
              <w:t>Japan</w:t>
            </w:r>
          </w:p>
        </w:tc>
        <w:tc>
          <w:tcPr>
            <w:tcW w:w="1296" w:type="pct"/>
            <w:shd w:val="clear" w:color="auto" w:fill="auto"/>
            <w:vAlign w:val="center"/>
          </w:tcPr>
          <w:p w14:paraId="6C4B41E0" w14:textId="30F7104F" w:rsidR="007C54FF" w:rsidRPr="00480F0A" w:rsidRDefault="00D72FA0"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2015 Building Energy Efficiency Act </w:t>
            </w:r>
            <w:r w:rsidR="00A93CB1" w:rsidRPr="00480F0A">
              <w:rPr>
                <w:rFonts w:asciiTheme="minorHAnsi" w:hAnsiTheme="minorHAnsi" w:cstheme="minorHAnsi"/>
                <w:sz w:val="18"/>
                <w:szCs w:val="18"/>
              </w:rPr>
              <w:t>–</w:t>
            </w:r>
            <w:r w:rsidRPr="00480F0A">
              <w:rPr>
                <w:rFonts w:asciiTheme="minorHAnsi" w:hAnsiTheme="minorHAnsi" w:cstheme="minorHAnsi"/>
                <w:sz w:val="18"/>
                <w:szCs w:val="18"/>
              </w:rPr>
              <w:t xml:space="preserve"> m</w:t>
            </w:r>
            <w:r w:rsidR="00A500C7" w:rsidRPr="00480F0A">
              <w:rPr>
                <w:rFonts w:asciiTheme="minorHAnsi" w:hAnsiTheme="minorHAnsi" w:cstheme="minorHAnsi"/>
                <w:sz w:val="18"/>
                <w:szCs w:val="18"/>
              </w:rPr>
              <w:t xml:space="preserve">andatory </w:t>
            </w:r>
            <w:r w:rsidR="00686E98" w:rsidRPr="00480F0A">
              <w:rPr>
                <w:rFonts w:asciiTheme="minorHAnsi" w:hAnsiTheme="minorHAnsi" w:cstheme="minorHAnsi"/>
                <w:sz w:val="18"/>
                <w:szCs w:val="18"/>
              </w:rPr>
              <w:t>energy</w:t>
            </w:r>
            <w:r w:rsidR="00296E71" w:rsidRPr="00480F0A">
              <w:rPr>
                <w:rFonts w:asciiTheme="minorHAnsi" w:hAnsiTheme="minorHAnsi" w:cstheme="minorHAnsi"/>
                <w:sz w:val="18"/>
                <w:szCs w:val="18"/>
              </w:rPr>
              <w:t xml:space="preserve"> </w:t>
            </w:r>
            <w:r w:rsidR="00361FA9" w:rsidRPr="00480F0A">
              <w:rPr>
                <w:rFonts w:asciiTheme="minorHAnsi" w:hAnsiTheme="minorHAnsi" w:cstheme="minorHAnsi"/>
                <w:sz w:val="18"/>
                <w:szCs w:val="18"/>
              </w:rPr>
              <w:t>efficiency standards</w:t>
            </w:r>
            <w:r w:rsidR="000F5D14" w:rsidRPr="00480F0A">
              <w:rPr>
                <w:rFonts w:asciiTheme="minorHAnsi" w:hAnsiTheme="minorHAnsi" w:cstheme="minorHAnsi"/>
                <w:sz w:val="18"/>
                <w:szCs w:val="18"/>
              </w:rPr>
              <w:t xml:space="preserve"> for</w:t>
            </w:r>
            <w:r w:rsidR="00E133B3" w:rsidRPr="00480F0A">
              <w:rPr>
                <w:rFonts w:asciiTheme="minorHAnsi" w:hAnsiTheme="minorHAnsi" w:cstheme="minorHAnsi"/>
                <w:sz w:val="18"/>
                <w:szCs w:val="18"/>
              </w:rPr>
              <w:t xml:space="preserve"> </w:t>
            </w:r>
            <w:r w:rsidR="00323AF3" w:rsidRPr="00480F0A">
              <w:rPr>
                <w:rFonts w:asciiTheme="minorHAnsi" w:hAnsiTheme="minorHAnsi" w:cstheme="minorHAnsi"/>
                <w:sz w:val="18"/>
                <w:szCs w:val="18"/>
              </w:rPr>
              <w:t>building</w:t>
            </w:r>
            <w:r w:rsidR="00DC2EA0" w:rsidRPr="00480F0A">
              <w:rPr>
                <w:rFonts w:asciiTheme="minorHAnsi" w:hAnsiTheme="minorHAnsi" w:cstheme="minorHAnsi"/>
                <w:sz w:val="18"/>
                <w:szCs w:val="18"/>
              </w:rPr>
              <w:t xml:space="preserve"> </w:t>
            </w:r>
            <w:r w:rsidR="004E100D" w:rsidRPr="00480F0A">
              <w:rPr>
                <w:rFonts w:asciiTheme="minorHAnsi" w:hAnsiTheme="minorHAnsi" w:cstheme="minorHAnsi"/>
                <w:sz w:val="18"/>
                <w:szCs w:val="18"/>
              </w:rPr>
              <w:t>envelope and equipment performance</w:t>
            </w:r>
            <w:r w:rsidR="00A500C7" w:rsidRPr="00480F0A">
              <w:rPr>
                <w:rFonts w:asciiTheme="minorHAnsi" w:hAnsiTheme="minorHAnsi" w:cstheme="minorHAnsi"/>
                <w:sz w:val="18"/>
                <w:szCs w:val="18"/>
              </w:rPr>
              <w:t>.</w:t>
            </w:r>
            <w:r w:rsidR="00D46E20" w:rsidRPr="00480F0A">
              <w:rPr>
                <w:rFonts w:asciiTheme="minorHAnsi" w:hAnsiTheme="minorHAnsi" w:cstheme="minorHAnsi"/>
                <w:sz w:val="18"/>
                <w:szCs w:val="18"/>
              </w:rPr>
              <w:t xml:space="preserve"> 2017 large-scale buildings, 2021 medium-sized bui</w:t>
            </w:r>
            <w:r w:rsidR="00933A51" w:rsidRPr="00480F0A">
              <w:rPr>
                <w:rFonts w:asciiTheme="minorHAnsi" w:hAnsiTheme="minorHAnsi" w:cstheme="minorHAnsi"/>
                <w:sz w:val="18"/>
                <w:szCs w:val="18"/>
              </w:rPr>
              <w:t>ldings.</w:t>
            </w:r>
          </w:p>
        </w:tc>
        <w:tc>
          <w:tcPr>
            <w:tcW w:w="1320" w:type="pct"/>
            <w:shd w:val="clear" w:color="auto" w:fill="auto"/>
            <w:vAlign w:val="center"/>
          </w:tcPr>
          <w:p w14:paraId="1E2B1986" w14:textId="2A5B9839" w:rsidR="007C54FF" w:rsidRPr="00480F0A" w:rsidRDefault="00A500C7"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New large-scale commercial buildings </w:t>
            </w:r>
            <w:r w:rsidR="00B7727A" w:rsidRPr="00480F0A">
              <w:rPr>
                <w:rFonts w:asciiTheme="minorHAnsi" w:hAnsiTheme="minorHAnsi" w:cstheme="minorHAnsi"/>
                <w:sz w:val="18"/>
                <w:szCs w:val="18"/>
              </w:rPr>
              <w:t>&gt;</w:t>
            </w:r>
            <w:r w:rsidR="004E100D" w:rsidRPr="00480F0A">
              <w:rPr>
                <w:rFonts w:asciiTheme="minorHAnsi" w:hAnsiTheme="minorHAnsi" w:cstheme="minorHAnsi"/>
                <w:sz w:val="18"/>
                <w:szCs w:val="18"/>
              </w:rPr>
              <w:t xml:space="preserve"> </w:t>
            </w:r>
            <w:r w:rsidRPr="00480F0A">
              <w:rPr>
                <w:rFonts w:asciiTheme="minorHAnsi" w:hAnsiTheme="minorHAnsi" w:cstheme="minorHAnsi"/>
                <w:sz w:val="18"/>
                <w:szCs w:val="18"/>
              </w:rPr>
              <w:t>2</w:t>
            </w:r>
            <w:r w:rsidR="00B7727A" w:rsidRPr="00480F0A">
              <w:rPr>
                <w:rFonts w:asciiTheme="minorHAnsi" w:hAnsiTheme="minorHAnsi" w:cstheme="minorHAnsi"/>
                <w:sz w:val="18"/>
                <w:szCs w:val="18"/>
              </w:rPr>
              <w:t>,</w:t>
            </w:r>
            <w:r w:rsidRPr="00480F0A">
              <w:rPr>
                <w:rFonts w:asciiTheme="minorHAnsi" w:hAnsiTheme="minorHAnsi" w:cstheme="minorHAnsi"/>
                <w:sz w:val="18"/>
                <w:szCs w:val="18"/>
              </w:rPr>
              <w:t xml:space="preserve">000 </w:t>
            </w:r>
            <w:r w:rsidR="00B7727A" w:rsidRPr="00480F0A">
              <w:rPr>
                <w:rFonts w:asciiTheme="minorHAnsi" w:hAnsiTheme="minorHAnsi" w:cstheme="minorHAnsi"/>
                <w:sz w:val="18"/>
                <w:szCs w:val="18"/>
              </w:rPr>
              <w:t>square metres</w:t>
            </w:r>
            <w:r w:rsidR="00933A51" w:rsidRPr="00480F0A">
              <w:rPr>
                <w:rFonts w:asciiTheme="minorHAnsi" w:hAnsiTheme="minorHAnsi" w:cstheme="minorHAnsi"/>
                <w:sz w:val="18"/>
                <w:szCs w:val="18"/>
              </w:rPr>
              <w:t>, later e</w:t>
            </w:r>
            <w:r w:rsidRPr="00480F0A">
              <w:rPr>
                <w:rFonts w:asciiTheme="minorHAnsi" w:hAnsiTheme="minorHAnsi" w:cstheme="minorHAnsi"/>
                <w:sz w:val="18"/>
                <w:szCs w:val="18"/>
              </w:rPr>
              <w:t>xpanded to medium-sized commercial buildings</w:t>
            </w:r>
            <w:r w:rsidR="00B7727A" w:rsidRPr="00480F0A">
              <w:rPr>
                <w:rFonts w:asciiTheme="minorHAnsi" w:hAnsiTheme="minorHAnsi" w:cstheme="minorHAnsi"/>
                <w:sz w:val="18"/>
                <w:szCs w:val="18"/>
              </w:rPr>
              <w:t xml:space="preserve"> &gt;</w:t>
            </w:r>
            <w:r w:rsidR="004E100D" w:rsidRPr="00480F0A">
              <w:rPr>
                <w:rFonts w:asciiTheme="minorHAnsi" w:hAnsiTheme="minorHAnsi" w:cstheme="minorHAnsi"/>
                <w:sz w:val="18"/>
                <w:szCs w:val="18"/>
              </w:rPr>
              <w:t xml:space="preserve"> </w:t>
            </w:r>
            <w:r w:rsidRPr="00480F0A">
              <w:rPr>
                <w:rFonts w:asciiTheme="minorHAnsi" w:hAnsiTheme="minorHAnsi" w:cstheme="minorHAnsi"/>
                <w:sz w:val="18"/>
                <w:szCs w:val="18"/>
              </w:rPr>
              <w:t xml:space="preserve">300 </w:t>
            </w:r>
            <w:r w:rsidR="00B7727A" w:rsidRPr="00480F0A">
              <w:rPr>
                <w:rFonts w:asciiTheme="minorHAnsi" w:hAnsiTheme="minorHAnsi" w:cstheme="minorHAnsi"/>
                <w:sz w:val="18"/>
                <w:szCs w:val="18"/>
              </w:rPr>
              <w:t>square metres</w:t>
            </w:r>
            <w:r w:rsidR="00723239" w:rsidRPr="00D77DAA">
              <w:rPr>
                <w:rFonts w:ascii="ZWAdobeF" w:hAnsi="ZWAdobeF" w:cs="ZWAdobeF"/>
                <w:sz w:val="2"/>
                <w:szCs w:val="2"/>
              </w:rPr>
              <w:t>79F</w:t>
            </w:r>
            <w:r w:rsidR="00EE36E3" w:rsidRPr="00D77DAA">
              <w:rPr>
                <w:rFonts w:ascii="ZWAdobeF" w:hAnsi="ZWAdobeF" w:cs="ZWAdobeF"/>
                <w:sz w:val="2"/>
                <w:szCs w:val="2"/>
              </w:rPr>
              <w:t>79F</w:t>
            </w:r>
            <w:r w:rsidR="00122C48" w:rsidRPr="00D77DAA">
              <w:rPr>
                <w:rFonts w:ascii="ZWAdobeF" w:hAnsi="ZWAdobeF" w:cs="ZWAdobeF"/>
                <w:sz w:val="2"/>
                <w:szCs w:val="2"/>
              </w:rPr>
              <w:t>79F</w:t>
            </w:r>
            <w:r w:rsidR="00F73A23" w:rsidRPr="00D77DAA">
              <w:rPr>
                <w:rFonts w:ascii="ZWAdobeF" w:hAnsi="ZWAdobeF" w:cs="ZWAdobeF"/>
                <w:sz w:val="2"/>
                <w:szCs w:val="2"/>
              </w:rPr>
              <w:t>79F</w:t>
            </w:r>
            <w:r w:rsidR="00626378">
              <w:rPr>
                <w:rFonts w:ascii="ZWAdobeF" w:hAnsi="ZWAdobeF" w:cs="ZWAdobeF"/>
                <w:color w:val="auto"/>
                <w:sz w:val="2"/>
                <w:szCs w:val="2"/>
              </w:rPr>
              <w:t>79F</w:t>
            </w:r>
            <w:r w:rsidR="00413811">
              <w:rPr>
                <w:rFonts w:ascii="ZWAdobeF" w:hAnsi="ZWAdobeF" w:cs="ZWAdobeF"/>
                <w:color w:val="auto"/>
                <w:sz w:val="2"/>
                <w:szCs w:val="2"/>
              </w:rPr>
              <w:t>79F</w:t>
            </w:r>
            <w:r w:rsidR="002C327C">
              <w:rPr>
                <w:rFonts w:ascii="ZWAdobeF" w:hAnsi="ZWAdobeF" w:cs="ZWAdobeF"/>
                <w:color w:val="auto"/>
                <w:sz w:val="2"/>
                <w:szCs w:val="2"/>
              </w:rPr>
              <w:t>79F</w:t>
            </w:r>
            <w:r w:rsidR="00D24A06">
              <w:rPr>
                <w:rFonts w:ascii="ZWAdobeF" w:hAnsi="ZWAdobeF" w:cs="ZWAdobeF"/>
                <w:color w:val="auto"/>
                <w:sz w:val="2"/>
                <w:szCs w:val="2"/>
              </w:rPr>
              <w:t>79F</w:t>
            </w:r>
            <w:r w:rsidR="009102C4" w:rsidRPr="00480F0A">
              <w:rPr>
                <w:rStyle w:val="FootnoteReference"/>
                <w:rFonts w:asciiTheme="minorHAnsi" w:hAnsiTheme="minorHAnsi" w:cstheme="minorHAnsi"/>
                <w:sz w:val="18"/>
                <w:szCs w:val="18"/>
              </w:rPr>
              <w:footnoteReference w:id="81"/>
            </w:r>
          </w:p>
        </w:tc>
        <w:tc>
          <w:tcPr>
            <w:tcW w:w="1667" w:type="pct"/>
            <w:shd w:val="clear" w:color="auto" w:fill="auto"/>
            <w:vAlign w:val="center"/>
          </w:tcPr>
          <w:p w14:paraId="767EF9ED" w14:textId="56313146" w:rsidR="007C54FF" w:rsidRPr="00480F0A" w:rsidRDefault="004E100D" w:rsidP="00D25DCF">
            <w:pPr>
              <w:pStyle w:val="BodyText"/>
              <w:spacing w:before="80"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Modify building to meet minimum standard</w:t>
            </w:r>
          </w:p>
        </w:tc>
      </w:tr>
    </w:tbl>
    <w:p w14:paraId="7E3CC2CF" w14:textId="16EB94AE" w:rsidR="002079CE" w:rsidRPr="00480F0A" w:rsidRDefault="007C54FF" w:rsidP="00AE5CCD">
      <w:pPr>
        <w:pStyle w:val="Caption"/>
        <w:keepNext/>
        <w:rPr>
          <w:rFonts w:asciiTheme="minorHAnsi" w:hAnsiTheme="minorHAnsi" w:cstheme="minorHAnsi"/>
        </w:rPr>
      </w:pPr>
      <w:r w:rsidRPr="00480F0A">
        <w:rPr>
          <w:rFonts w:asciiTheme="minorHAnsi" w:hAnsiTheme="minorHAnsi" w:cstheme="minorHAnsi"/>
        </w:rPr>
        <w:t xml:space="preserve">Source: </w:t>
      </w:r>
      <w:proofErr w:type="spellStart"/>
      <w:r w:rsidRPr="00480F0A">
        <w:rPr>
          <w:rFonts w:asciiTheme="minorHAnsi" w:hAnsiTheme="minorHAnsi" w:cstheme="minorHAnsi"/>
        </w:rPr>
        <w:t>McAlliser</w:t>
      </w:r>
      <w:proofErr w:type="spellEnd"/>
      <w:r w:rsidRPr="00480F0A">
        <w:rPr>
          <w:rFonts w:asciiTheme="minorHAnsi" w:hAnsiTheme="minorHAnsi" w:cstheme="minorHAnsi"/>
        </w:rPr>
        <w:t xml:space="preserve"> and Nase (2023)</w:t>
      </w:r>
      <w:proofErr w:type="spellStart"/>
      <w:r w:rsidR="00723239">
        <w:rPr>
          <w:rFonts w:ascii="ZWAdobeF" w:hAnsi="ZWAdobeF" w:cs="ZWAdobeF"/>
          <w:i w:val="0"/>
          <w:color w:val="auto"/>
          <w:sz w:val="2"/>
          <w:szCs w:val="2"/>
        </w:rPr>
        <w:t>80F</w:t>
      </w:r>
      <w:r w:rsidR="00EE36E3">
        <w:rPr>
          <w:rFonts w:ascii="ZWAdobeF" w:hAnsi="ZWAdobeF" w:cs="ZWAdobeF"/>
          <w:i w:val="0"/>
          <w:color w:val="auto"/>
          <w:sz w:val="2"/>
          <w:szCs w:val="2"/>
        </w:rPr>
        <w:t>80F</w:t>
      </w:r>
      <w:r w:rsidR="00122C48">
        <w:rPr>
          <w:rFonts w:ascii="ZWAdobeF" w:hAnsi="ZWAdobeF" w:cs="ZWAdobeF"/>
          <w:i w:val="0"/>
          <w:color w:val="auto"/>
          <w:sz w:val="2"/>
          <w:szCs w:val="2"/>
        </w:rPr>
        <w:t>80F</w:t>
      </w:r>
      <w:r w:rsidR="00F73A23">
        <w:rPr>
          <w:rFonts w:ascii="ZWAdobeF" w:hAnsi="ZWAdobeF" w:cs="ZWAdobeF"/>
          <w:i w:val="0"/>
          <w:color w:val="auto"/>
          <w:sz w:val="2"/>
          <w:szCs w:val="2"/>
        </w:rPr>
        <w:t>80F</w:t>
      </w:r>
      <w:r w:rsidR="00626378">
        <w:rPr>
          <w:rFonts w:ascii="ZWAdobeF" w:hAnsi="ZWAdobeF" w:cs="ZWAdobeF"/>
          <w:i w:val="0"/>
          <w:color w:val="auto"/>
          <w:sz w:val="2"/>
          <w:szCs w:val="2"/>
        </w:rPr>
        <w:t>80F</w:t>
      </w:r>
      <w:r w:rsidR="00413811">
        <w:rPr>
          <w:rFonts w:ascii="ZWAdobeF" w:hAnsi="ZWAdobeF" w:cs="ZWAdobeF"/>
          <w:i w:val="0"/>
          <w:color w:val="auto"/>
          <w:sz w:val="2"/>
          <w:szCs w:val="2"/>
        </w:rPr>
        <w:t>80F</w:t>
      </w:r>
      <w:r w:rsidR="002C327C">
        <w:rPr>
          <w:rFonts w:ascii="ZWAdobeF" w:hAnsi="ZWAdobeF" w:cs="ZWAdobeF"/>
          <w:i w:val="0"/>
          <w:color w:val="auto"/>
          <w:sz w:val="2"/>
          <w:szCs w:val="2"/>
        </w:rPr>
        <w:t>80F</w:t>
      </w:r>
      <w:r w:rsidR="00D24A06">
        <w:rPr>
          <w:rFonts w:ascii="ZWAdobeF" w:hAnsi="ZWAdobeF" w:cs="ZWAdobeF"/>
          <w:i w:val="0"/>
          <w:color w:val="auto"/>
          <w:sz w:val="2"/>
          <w:szCs w:val="2"/>
        </w:rPr>
        <w:t>80F</w:t>
      </w:r>
      <w:proofErr w:type="spellEnd"/>
      <w:r w:rsidRPr="00480F0A">
        <w:rPr>
          <w:rStyle w:val="FootnoteReference"/>
          <w:rFonts w:asciiTheme="minorHAnsi" w:hAnsiTheme="minorHAnsi" w:cstheme="minorHAnsi"/>
        </w:rPr>
        <w:footnoteReference w:id="82"/>
      </w:r>
      <w:r w:rsidRPr="00480F0A">
        <w:rPr>
          <w:rFonts w:asciiTheme="minorHAnsi" w:hAnsiTheme="minorHAnsi" w:cstheme="minorHAnsi"/>
        </w:rPr>
        <w:t xml:space="preserve"> and KPMG analysis</w:t>
      </w:r>
      <w:bookmarkStart w:id="147" w:name="_Toc132295382"/>
      <w:bookmarkStart w:id="148" w:name="_Toc132295410"/>
    </w:p>
    <w:p w14:paraId="397998F1" w14:textId="77777777" w:rsidR="004A4CA5" w:rsidRPr="00480F0A" w:rsidRDefault="004A4CA5">
      <w:pPr>
        <w:spacing w:before="0" w:after="160" w:line="259" w:lineRule="auto"/>
        <w:rPr>
          <w:rFonts w:asciiTheme="minorHAnsi" w:hAnsiTheme="minorHAnsi" w:cstheme="minorHAnsi"/>
          <w:szCs w:val="18"/>
        </w:rPr>
      </w:pPr>
      <w:r w:rsidRPr="00480F0A">
        <w:rPr>
          <w:rFonts w:asciiTheme="minorHAnsi" w:hAnsiTheme="minorHAnsi" w:cstheme="minorHAnsi"/>
          <w:szCs w:val="18"/>
        </w:rPr>
        <w:br w:type="page"/>
      </w:r>
    </w:p>
    <w:p w14:paraId="5B421824" w14:textId="0FD3553C" w:rsidR="009F6EBE" w:rsidRPr="00480F0A" w:rsidRDefault="009F6EBE">
      <w:pPr>
        <w:spacing w:before="0" w:after="160" w:line="259" w:lineRule="auto"/>
        <w:rPr>
          <w:rFonts w:asciiTheme="minorHAnsi" w:hAnsiTheme="minorHAnsi" w:cstheme="minorHAnsi"/>
          <w:szCs w:val="18"/>
        </w:rPr>
      </w:pPr>
      <w:r w:rsidRPr="00480F0A">
        <w:rPr>
          <w:rFonts w:asciiTheme="minorHAnsi" w:hAnsiTheme="minorHAnsi" w:cstheme="minorHAnsi"/>
          <w:szCs w:val="18"/>
        </w:rPr>
        <w:lastRenderedPageBreak/>
        <w:t>The below case study shows Netherlands</w:t>
      </w:r>
      <w:r w:rsidR="00504F9D" w:rsidRPr="00480F0A">
        <w:rPr>
          <w:rFonts w:asciiTheme="minorHAnsi" w:hAnsiTheme="minorHAnsi" w:cstheme="minorHAnsi"/>
          <w:szCs w:val="18"/>
        </w:rPr>
        <w:t xml:space="preserve">’ </w:t>
      </w:r>
      <w:proofErr w:type="spellStart"/>
      <w:r w:rsidR="00504F9D" w:rsidRPr="00480F0A">
        <w:rPr>
          <w:rFonts w:asciiTheme="minorHAnsi" w:hAnsiTheme="minorHAnsi" w:cstheme="minorHAnsi"/>
          <w:szCs w:val="18"/>
        </w:rPr>
        <w:t>MEPS</w:t>
      </w:r>
      <w:proofErr w:type="spellEnd"/>
      <w:r w:rsidR="00504F9D" w:rsidRPr="00480F0A">
        <w:rPr>
          <w:rFonts w:asciiTheme="minorHAnsi" w:hAnsiTheme="minorHAnsi" w:cstheme="minorHAnsi"/>
          <w:szCs w:val="18"/>
        </w:rPr>
        <w:t xml:space="preserve"> journey. Netherlands</w:t>
      </w:r>
      <w:r w:rsidR="00F92166" w:rsidRPr="00480F0A">
        <w:rPr>
          <w:rFonts w:asciiTheme="minorHAnsi" w:hAnsiTheme="minorHAnsi" w:cstheme="minorHAnsi"/>
          <w:szCs w:val="18"/>
        </w:rPr>
        <w:t xml:space="preserve"> is considered one of the leading nations in building </w:t>
      </w:r>
      <w:proofErr w:type="spellStart"/>
      <w:r w:rsidR="00F92166" w:rsidRPr="00480F0A">
        <w:rPr>
          <w:rFonts w:asciiTheme="minorHAnsi" w:hAnsiTheme="minorHAnsi" w:cstheme="minorHAnsi"/>
          <w:szCs w:val="18"/>
        </w:rPr>
        <w:t>MEPS</w:t>
      </w:r>
      <w:proofErr w:type="spellEnd"/>
      <w:r w:rsidRPr="00480F0A">
        <w:rPr>
          <w:rFonts w:asciiTheme="minorHAnsi" w:hAnsiTheme="minorHAnsi" w:cstheme="minorHAnsi"/>
          <w:szCs w:val="18"/>
        </w:rPr>
        <w:t xml:space="preserve"> </w:t>
      </w:r>
      <w:r w:rsidR="00F92166" w:rsidRPr="00480F0A">
        <w:rPr>
          <w:rFonts w:asciiTheme="minorHAnsi" w:hAnsiTheme="minorHAnsi" w:cstheme="minorHAnsi"/>
          <w:szCs w:val="18"/>
        </w:rPr>
        <w:t xml:space="preserve">and has both rating-based </w:t>
      </w:r>
      <w:proofErr w:type="spellStart"/>
      <w:r w:rsidR="00F92166" w:rsidRPr="00480F0A">
        <w:rPr>
          <w:rFonts w:asciiTheme="minorHAnsi" w:hAnsiTheme="minorHAnsi" w:cstheme="minorHAnsi"/>
          <w:szCs w:val="18"/>
        </w:rPr>
        <w:t>MEPS</w:t>
      </w:r>
      <w:proofErr w:type="spellEnd"/>
      <w:r w:rsidR="00F92166" w:rsidRPr="00480F0A">
        <w:rPr>
          <w:rFonts w:asciiTheme="minorHAnsi" w:hAnsiTheme="minorHAnsi" w:cstheme="minorHAnsi"/>
          <w:szCs w:val="18"/>
        </w:rPr>
        <w:t xml:space="preserve"> and equipment and carbon intensity </w:t>
      </w:r>
      <w:proofErr w:type="spellStart"/>
      <w:r w:rsidR="00F92166" w:rsidRPr="00480F0A">
        <w:rPr>
          <w:rFonts w:asciiTheme="minorHAnsi" w:hAnsiTheme="minorHAnsi" w:cstheme="minorHAnsi"/>
          <w:szCs w:val="18"/>
        </w:rPr>
        <w:t>MEPS</w:t>
      </w:r>
      <w:proofErr w:type="spellEnd"/>
      <w:r w:rsidR="00F92166" w:rsidRPr="00480F0A">
        <w:rPr>
          <w:rFonts w:asciiTheme="minorHAnsi" w:hAnsiTheme="minorHAnsi" w:cstheme="minorHAnsi"/>
          <w:szCs w:val="18"/>
        </w:rPr>
        <w:t>.</w:t>
      </w:r>
    </w:p>
    <w:tbl>
      <w:tblPr>
        <w:tblStyle w:val="TableGrid"/>
        <w:tblW w:w="0" w:type="auto"/>
        <w:tblLook w:val="04A0" w:firstRow="1" w:lastRow="0" w:firstColumn="1" w:lastColumn="0" w:noHBand="0" w:noVBand="1"/>
      </w:tblPr>
      <w:tblGrid>
        <w:gridCol w:w="10194"/>
      </w:tblGrid>
      <w:tr w:rsidR="002079CE" w14:paraId="42BBBE9D" w14:textId="77777777" w:rsidTr="00652C48">
        <w:tc>
          <w:tcPr>
            <w:tcW w:w="10194" w:type="dxa"/>
            <w:shd w:val="clear" w:color="auto" w:fill="F2F2F2" w:themeFill="background1" w:themeFillShade="F2"/>
          </w:tcPr>
          <w:p w14:paraId="5613AD3B" w14:textId="08C6E814" w:rsidR="002079CE" w:rsidRPr="00480F0A" w:rsidRDefault="002079CE" w:rsidP="002079CE">
            <w:pPr>
              <w:pStyle w:val="IntroText"/>
              <w:rPr>
                <w:rFonts w:asciiTheme="minorHAnsi" w:hAnsiTheme="minorHAnsi" w:cstheme="minorHAnsi"/>
              </w:rPr>
            </w:pPr>
            <w:r w:rsidRPr="00480F0A">
              <w:rPr>
                <w:rFonts w:asciiTheme="minorHAnsi" w:hAnsiTheme="minorHAnsi" w:cstheme="minorHAnsi"/>
              </w:rPr>
              <w:t>Box 2 Case Study: Netherlands</w:t>
            </w:r>
            <w:r w:rsidR="00C14BEA" w:rsidRPr="00480F0A">
              <w:rPr>
                <w:rFonts w:asciiTheme="minorHAnsi" w:hAnsiTheme="minorHAnsi" w:cstheme="minorHAnsi"/>
              </w:rPr>
              <w:t xml:space="preserve"> </w:t>
            </w:r>
            <w:proofErr w:type="spellStart"/>
            <w:r w:rsidR="00C14BEA" w:rsidRPr="00480F0A">
              <w:rPr>
                <w:rFonts w:asciiTheme="minorHAnsi" w:hAnsiTheme="minorHAnsi" w:cstheme="minorHAnsi"/>
              </w:rPr>
              <w:t>MEPS</w:t>
            </w:r>
            <w:proofErr w:type="spellEnd"/>
            <w:r w:rsidR="00C14BEA" w:rsidRPr="00480F0A">
              <w:rPr>
                <w:rFonts w:asciiTheme="minorHAnsi" w:hAnsiTheme="minorHAnsi" w:cstheme="minorHAnsi"/>
              </w:rPr>
              <w:t xml:space="preserve"> </w:t>
            </w:r>
            <w:r w:rsidR="00880FF1" w:rsidRPr="00480F0A">
              <w:rPr>
                <w:rFonts w:asciiTheme="minorHAnsi" w:hAnsiTheme="minorHAnsi" w:cstheme="minorHAnsi"/>
              </w:rPr>
              <w:t>policy</w:t>
            </w:r>
            <w:r w:rsidR="000B1074" w:rsidRPr="00480F0A">
              <w:rPr>
                <w:rFonts w:asciiTheme="minorHAnsi" w:hAnsiTheme="minorHAnsi" w:cstheme="minorHAnsi"/>
              </w:rPr>
              <w:t xml:space="preserve"> impacting </w:t>
            </w:r>
            <w:proofErr w:type="gramStart"/>
            <w:r w:rsidR="000B1074" w:rsidRPr="00480F0A">
              <w:rPr>
                <w:rFonts w:asciiTheme="minorHAnsi" w:hAnsiTheme="minorHAnsi" w:cstheme="minorHAnsi"/>
              </w:rPr>
              <w:t>offices</w:t>
            </w:r>
            <w:proofErr w:type="gramEnd"/>
          </w:p>
          <w:p w14:paraId="4BE997E9" w14:textId="77777777" w:rsidR="002079CE" w:rsidRPr="00480F0A" w:rsidRDefault="002079CE" w:rsidP="002079CE">
            <w:pPr>
              <w:pStyle w:val="BodyText"/>
              <w:rPr>
                <w:rFonts w:asciiTheme="minorHAnsi" w:hAnsiTheme="minorHAnsi" w:cstheme="minorHAnsi"/>
                <w:b/>
              </w:rPr>
            </w:pPr>
            <w:r w:rsidRPr="00480F0A">
              <w:rPr>
                <w:rFonts w:asciiTheme="minorHAnsi" w:hAnsiTheme="minorHAnsi" w:cstheme="minorHAnsi"/>
                <w:b/>
              </w:rPr>
              <w:t>Background</w:t>
            </w:r>
          </w:p>
          <w:p w14:paraId="5B759990" w14:textId="66B3A61C" w:rsidR="002079CE" w:rsidRPr="00480F0A" w:rsidRDefault="00996FF4" w:rsidP="002079CE">
            <w:pPr>
              <w:pStyle w:val="BodyText"/>
              <w:rPr>
                <w:rFonts w:asciiTheme="minorHAnsi" w:hAnsiTheme="minorHAnsi" w:cstheme="minorHAnsi"/>
              </w:rPr>
            </w:pPr>
            <w:r w:rsidRPr="00480F0A">
              <w:rPr>
                <w:rFonts w:asciiTheme="minorHAnsi" w:hAnsiTheme="minorHAnsi" w:cstheme="minorHAnsi"/>
              </w:rPr>
              <w:t xml:space="preserve">Starting from January 1, 2023, a minimum energy performance certificate of C will be mandatory for all office buildings in the Netherlands as per an amendment made to the 2012 Building Decree on November 2, 2018. </w:t>
            </w:r>
            <w:r w:rsidR="001D108B" w:rsidRPr="00480F0A">
              <w:rPr>
                <w:rFonts w:asciiTheme="minorHAnsi" w:hAnsiTheme="minorHAnsi" w:cstheme="minorHAnsi"/>
              </w:rPr>
              <w:t>The 2012 Building Decree in the Netherlands is a set of regulations that outlines the minimum requirements for new buildings and renovations, aimed at ensuring safety, health, and sustainability standards are met</w:t>
            </w:r>
            <w:r w:rsidR="00FE33F6" w:rsidRPr="00480F0A">
              <w:rPr>
                <w:rFonts w:asciiTheme="minorHAnsi" w:hAnsiTheme="minorHAnsi" w:cstheme="minorHAnsi"/>
              </w:rPr>
              <w:t>.</w:t>
            </w:r>
            <w:r w:rsidR="00723239">
              <w:rPr>
                <w:rFonts w:ascii="ZWAdobeF" w:hAnsi="ZWAdobeF" w:cs="ZWAdobeF"/>
                <w:color w:val="auto"/>
                <w:sz w:val="2"/>
                <w:szCs w:val="2"/>
              </w:rPr>
              <w:t>81F</w:t>
            </w:r>
            <w:r w:rsidR="00EE36E3">
              <w:rPr>
                <w:rFonts w:ascii="ZWAdobeF" w:hAnsi="ZWAdobeF" w:cs="ZWAdobeF"/>
                <w:color w:val="auto"/>
                <w:sz w:val="2"/>
                <w:szCs w:val="2"/>
              </w:rPr>
              <w:t>81F</w:t>
            </w:r>
            <w:r w:rsidR="00122C48">
              <w:rPr>
                <w:rFonts w:ascii="ZWAdobeF" w:hAnsi="ZWAdobeF" w:cs="ZWAdobeF"/>
                <w:color w:val="auto"/>
                <w:sz w:val="2"/>
                <w:szCs w:val="2"/>
              </w:rPr>
              <w:t>81F</w:t>
            </w:r>
            <w:r w:rsidR="00F73A23">
              <w:rPr>
                <w:rFonts w:ascii="ZWAdobeF" w:hAnsi="ZWAdobeF" w:cs="ZWAdobeF"/>
                <w:color w:val="auto"/>
                <w:sz w:val="2"/>
                <w:szCs w:val="2"/>
              </w:rPr>
              <w:t>81F</w:t>
            </w:r>
            <w:r w:rsidR="00626378">
              <w:rPr>
                <w:rFonts w:ascii="ZWAdobeF" w:hAnsi="ZWAdobeF" w:cs="ZWAdobeF"/>
                <w:color w:val="auto"/>
                <w:sz w:val="2"/>
                <w:szCs w:val="2"/>
              </w:rPr>
              <w:t>81F</w:t>
            </w:r>
            <w:r w:rsidR="00413811">
              <w:rPr>
                <w:rFonts w:ascii="ZWAdobeF" w:hAnsi="ZWAdobeF" w:cs="ZWAdobeF"/>
                <w:color w:val="auto"/>
                <w:sz w:val="2"/>
                <w:szCs w:val="2"/>
              </w:rPr>
              <w:t>81F</w:t>
            </w:r>
            <w:r w:rsidR="002C327C">
              <w:rPr>
                <w:rFonts w:ascii="ZWAdobeF" w:hAnsi="ZWAdobeF" w:cs="ZWAdobeF"/>
                <w:color w:val="auto"/>
                <w:sz w:val="2"/>
                <w:szCs w:val="2"/>
              </w:rPr>
              <w:t>81F</w:t>
            </w:r>
            <w:r w:rsidR="00D24A06">
              <w:rPr>
                <w:rFonts w:ascii="ZWAdobeF" w:hAnsi="ZWAdobeF" w:cs="ZWAdobeF"/>
                <w:color w:val="auto"/>
                <w:sz w:val="2"/>
                <w:szCs w:val="2"/>
              </w:rPr>
              <w:t>81F</w:t>
            </w:r>
            <w:r w:rsidR="00FE33F6" w:rsidRPr="00480F0A">
              <w:rPr>
                <w:rStyle w:val="FootnoteReference"/>
                <w:rFonts w:asciiTheme="minorHAnsi" w:hAnsiTheme="minorHAnsi" w:cstheme="minorHAnsi"/>
              </w:rPr>
              <w:footnoteReference w:id="83"/>
            </w:r>
          </w:p>
          <w:p w14:paraId="45425F09" w14:textId="77777777" w:rsidR="007D2B51" w:rsidRPr="00480F0A" w:rsidRDefault="007D2B51" w:rsidP="002079CE">
            <w:pPr>
              <w:pStyle w:val="BodyText"/>
              <w:rPr>
                <w:rFonts w:asciiTheme="minorHAnsi" w:hAnsiTheme="minorHAnsi" w:cstheme="minorHAnsi"/>
                <w:b/>
              </w:rPr>
            </w:pPr>
            <w:r w:rsidRPr="00480F0A">
              <w:rPr>
                <w:rFonts w:asciiTheme="minorHAnsi" w:hAnsiTheme="minorHAnsi" w:cstheme="minorHAnsi"/>
                <w:b/>
              </w:rPr>
              <w:t>Requirement</w:t>
            </w:r>
          </w:p>
          <w:p w14:paraId="510A1997" w14:textId="12C5B1CA" w:rsidR="002079CE" w:rsidRPr="00480F0A" w:rsidRDefault="007E4AF9" w:rsidP="002079CE">
            <w:pPr>
              <w:pStyle w:val="BodyText"/>
              <w:rPr>
                <w:rFonts w:asciiTheme="minorHAnsi" w:hAnsiTheme="minorHAnsi" w:cstheme="minorHAnsi"/>
              </w:rPr>
            </w:pPr>
            <w:r w:rsidRPr="00480F0A">
              <w:rPr>
                <w:rFonts w:asciiTheme="minorHAnsi" w:hAnsiTheme="minorHAnsi" w:cstheme="minorHAnsi"/>
              </w:rPr>
              <w:t>More than half of the offices in the Netherlands must prepare to meet a new requirement for a minimum energy performance certificate of C. Out of around 96,000 offices in the country, 62,000 will need to comply with the standard, and 56% of them currently do not have an EPC. For the buildings that do have an EPC, only three-quarters meet the required standard, while 7,000 have a rating of D or poorer, which means they will have to take action to comply. This could include registering for an EPC, making energy efficiency improvements or a combination of both.</w:t>
            </w:r>
          </w:p>
          <w:p w14:paraId="42B97901" w14:textId="53FC7F55" w:rsidR="002079CE" w:rsidRPr="00480F0A" w:rsidRDefault="00F8150F" w:rsidP="002079CE">
            <w:pPr>
              <w:pStyle w:val="BodyText"/>
              <w:rPr>
                <w:rFonts w:asciiTheme="minorHAnsi" w:hAnsiTheme="minorHAnsi" w:cstheme="minorHAnsi"/>
                <w:b/>
              </w:rPr>
            </w:pPr>
            <w:r w:rsidRPr="00480F0A">
              <w:rPr>
                <w:rFonts w:asciiTheme="minorHAnsi" w:hAnsiTheme="minorHAnsi" w:cstheme="minorHAnsi"/>
                <w:b/>
              </w:rPr>
              <w:t>Enforcement</w:t>
            </w:r>
          </w:p>
          <w:p w14:paraId="46E69DDE" w14:textId="766260FC" w:rsidR="002079CE" w:rsidRPr="00480F0A" w:rsidRDefault="00AE66AA" w:rsidP="002079CE">
            <w:pPr>
              <w:pStyle w:val="BodyText"/>
              <w:rPr>
                <w:rFonts w:asciiTheme="minorHAnsi" w:hAnsiTheme="minorHAnsi" w:cstheme="minorHAnsi"/>
              </w:rPr>
            </w:pPr>
            <w:r w:rsidRPr="00480F0A">
              <w:rPr>
                <w:rFonts w:asciiTheme="minorHAnsi" w:hAnsiTheme="minorHAnsi" w:cstheme="minorHAnsi"/>
              </w:rPr>
              <w:t>To ensure compliance with the new energy performance certificate standard in the Netherlands, a competent authority, typically the local municipality, will be responsible for enforcement. Building owners and tenants will share the responsibility of compliance. Failure to comply may result in administrative enforcement measures, such as periodic penalty payments, fines, or even closure of the office building. This system aim</w:t>
            </w:r>
            <w:r w:rsidR="002A4164" w:rsidRPr="00480F0A">
              <w:rPr>
                <w:rFonts w:asciiTheme="minorHAnsi" w:hAnsiTheme="minorHAnsi" w:cstheme="minorHAnsi"/>
              </w:rPr>
              <w:t>ed</w:t>
            </w:r>
            <w:r w:rsidRPr="00480F0A">
              <w:rPr>
                <w:rFonts w:asciiTheme="minorHAnsi" w:hAnsiTheme="minorHAnsi" w:cstheme="minorHAnsi"/>
              </w:rPr>
              <w:t xml:space="preserve"> to ensure that all office buildings meet the required energy performance standard by the deadline of 1 January 2023.</w:t>
            </w:r>
          </w:p>
          <w:p w14:paraId="75190531" w14:textId="56243A8A" w:rsidR="002079CE" w:rsidRPr="00480F0A" w:rsidRDefault="002079CE" w:rsidP="002079CE">
            <w:pPr>
              <w:pStyle w:val="BodyText"/>
              <w:rPr>
                <w:rFonts w:asciiTheme="minorHAnsi" w:hAnsiTheme="minorHAnsi" w:cstheme="minorHAnsi"/>
                <w:b/>
              </w:rPr>
            </w:pPr>
            <w:r w:rsidRPr="00480F0A">
              <w:rPr>
                <w:rFonts w:asciiTheme="minorHAnsi" w:hAnsiTheme="minorHAnsi" w:cstheme="minorHAnsi"/>
                <w:b/>
              </w:rPr>
              <w:t>Progress</w:t>
            </w:r>
          </w:p>
          <w:p w14:paraId="6F5511CC" w14:textId="35A4CF08" w:rsidR="007705FD" w:rsidRPr="00480F0A" w:rsidRDefault="00FE33F6" w:rsidP="007705FD">
            <w:pPr>
              <w:pStyle w:val="BodyText"/>
              <w:rPr>
                <w:rFonts w:asciiTheme="minorHAnsi" w:hAnsiTheme="minorHAnsi" w:cstheme="minorHAnsi"/>
              </w:rPr>
            </w:pPr>
            <w:r w:rsidRPr="00480F0A">
              <w:rPr>
                <w:rFonts w:asciiTheme="minorHAnsi" w:hAnsiTheme="minorHAnsi" w:cstheme="minorHAnsi"/>
              </w:rPr>
              <w:t>There are no progress reports yet</w:t>
            </w:r>
            <w:r w:rsidR="00C06776" w:rsidRPr="00480F0A">
              <w:rPr>
                <w:rFonts w:asciiTheme="minorHAnsi" w:hAnsiTheme="minorHAnsi" w:cstheme="minorHAnsi"/>
              </w:rPr>
              <w:t>, however, b</w:t>
            </w:r>
            <w:r w:rsidR="007705FD" w:rsidRPr="00480F0A">
              <w:rPr>
                <w:rFonts w:asciiTheme="minorHAnsi" w:hAnsiTheme="minorHAnsi" w:cstheme="minorHAnsi"/>
              </w:rPr>
              <w:t>uilding sector stakeholders anticipate further tightening of energy performance standard in the future, despite the government’s decision not to introduce a tighter target for class A by 2030 in 2018. The decision encourages proactivity and preparation for future policy changes</w:t>
            </w:r>
            <w:r w:rsidR="00DD3632" w:rsidRPr="00480F0A">
              <w:rPr>
                <w:rFonts w:asciiTheme="minorHAnsi" w:hAnsiTheme="minorHAnsi" w:cstheme="minorHAnsi"/>
              </w:rPr>
              <w:t>.</w:t>
            </w:r>
          </w:p>
          <w:p w14:paraId="672E8070" w14:textId="77777777" w:rsidR="002079CE" w:rsidRPr="00480F0A" w:rsidRDefault="002079CE" w:rsidP="002079CE">
            <w:pPr>
              <w:pStyle w:val="BodyText"/>
              <w:rPr>
                <w:rFonts w:asciiTheme="minorHAnsi" w:hAnsiTheme="minorHAnsi" w:cstheme="minorHAnsi"/>
                <w:b/>
              </w:rPr>
            </w:pPr>
            <w:r w:rsidRPr="00480F0A">
              <w:rPr>
                <w:rFonts w:asciiTheme="minorHAnsi" w:hAnsiTheme="minorHAnsi" w:cstheme="minorHAnsi"/>
                <w:b/>
              </w:rPr>
              <w:t>Related policies and strategies</w:t>
            </w:r>
          </w:p>
          <w:p w14:paraId="35777477" w14:textId="6654350A" w:rsidR="002079CE" w:rsidRPr="00480F0A" w:rsidRDefault="000A25B4" w:rsidP="002079CE">
            <w:pPr>
              <w:pStyle w:val="BodyText"/>
              <w:rPr>
                <w:rFonts w:asciiTheme="minorHAnsi" w:hAnsiTheme="minorHAnsi" w:cstheme="minorHAnsi"/>
                <w:b/>
              </w:rPr>
            </w:pPr>
            <w:r w:rsidRPr="00480F0A">
              <w:rPr>
                <w:rFonts w:asciiTheme="minorHAnsi" w:hAnsiTheme="minorHAnsi" w:cstheme="minorHAnsi"/>
              </w:rPr>
              <w:t>The Netherlands Enterprise Agency provides technical information to help building owners comply with the standard, including an online tool and a register of energy advisors. The government offers tax incentives such as the Energy Investment Allowance and environmental investment allowance, as well as green loans with preferential interest rates for commercial buildings. Installation of solar thermal and heat pumps is also partially subsidised through the Renewable Energy Investment Allowance.</w:t>
            </w:r>
          </w:p>
        </w:tc>
      </w:tr>
    </w:tbl>
    <w:p w14:paraId="6E838FF4" w14:textId="38C34313" w:rsidR="00870A44" w:rsidRPr="00F81ADB" w:rsidRDefault="009B36C1" w:rsidP="00214D42">
      <w:pPr>
        <w:pStyle w:val="Heading2"/>
        <w:rPr>
          <w:rFonts w:cstheme="minorHAnsi"/>
        </w:rPr>
      </w:pPr>
      <w:bookmarkStart w:id="149" w:name="_Toc133844035"/>
      <w:bookmarkStart w:id="150" w:name="_Toc136286380"/>
      <w:bookmarkStart w:id="151" w:name="_Toc154059371"/>
      <w:r w:rsidRPr="00F81ADB">
        <w:rPr>
          <w:rFonts w:cstheme="minorHAnsi"/>
        </w:rPr>
        <w:t xml:space="preserve">Broader </w:t>
      </w:r>
      <w:r w:rsidR="00484534" w:rsidRPr="00F81ADB">
        <w:rPr>
          <w:rFonts w:cstheme="minorHAnsi"/>
        </w:rPr>
        <w:t>polic</w:t>
      </w:r>
      <w:r w:rsidR="00CD1482" w:rsidRPr="00F81ADB">
        <w:rPr>
          <w:rFonts w:cstheme="minorHAnsi"/>
        </w:rPr>
        <w:t>y context for building regulations</w:t>
      </w:r>
      <w:bookmarkEnd w:id="147"/>
      <w:bookmarkEnd w:id="148"/>
      <w:bookmarkEnd w:id="149"/>
      <w:bookmarkEnd w:id="150"/>
      <w:bookmarkEnd w:id="151"/>
      <w:r w:rsidR="00A408B7" w:rsidRPr="00F81ADB">
        <w:rPr>
          <w:rFonts w:cstheme="minorHAnsi"/>
        </w:rPr>
        <w:t xml:space="preserve"> </w:t>
      </w:r>
    </w:p>
    <w:p w14:paraId="183909D3" w14:textId="4D93AA60" w:rsidR="00CD1482" w:rsidRPr="00480F0A" w:rsidRDefault="006E310D" w:rsidP="00CD1482">
      <w:pPr>
        <w:pStyle w:val="BodyText"/>
        <w:rPr>
          <w:rFonts w:asciiTheme="minorHAnsi" w:hAnsiTheme="minorHAnsi" w:cstheme="minorHAnsi"/>
        </w:rPr>
      </w:pPr>
      <w:r w:rsidRPr="00480F0A">
        <w:rPr>
          <w:rFonts w:asciiTheme="minorHAnsi" w:hAnsiTheme="minorHAnsi" w:cstheme="minorHAnsi"/>
        </w:rPr>
        <w:t xml:space="preserve">Disclosure and </w:t>
      </w:r>
      <w:proofErr w:type="spellStart"/>
      <w:r w:rsidR="009A16A4" w:rsidRPr="00480F0A">
        <w:rPr>
          <w:rFonts w:asciiTheme="minorHAnsi" w:hAnsiTheme="minorHAnsi" w:cstheme="minorHAnsi"/>
        </w:rPr>
        <w:t>MEPS</w:t>
      </w:r>
      <w:proofErr w:type="spellEnd"/>
      <w:r w:rsidR="00555E36" w:rsidRPr="00480F0A">
        <w:rPr>
          <w:rFonts w:asciiTheme="minorHAnsi" w:hAnsiTheme="minorHAnsi" w:cstheme="minorHAnsi"/>
        </w:rPr>
        <w:t xml:space="preserve"> policies are often supported by a set of </w:t>
      </w:r>
      <w:r w:rsidR="00EC73C3" w:rsidRPr="00480F0A">
        <w:rPr>
          <w:rFonts w:asciiTheme="minorHAnsi" w:hAnsiTheme="minorHAnsi" w:cstheme="minorHAnsi"/>
        </w:rPr>
        <w:t xml:space="preserve">supplementary policies </w:t>
      </w:r>
      <w:r w:rsidR="00B717D3" w:rsidRPr="00480F0A">
        <w:rPr>
          <w:rFonts w:asciiTheme="minorHAnsi" w:hAnsiTheme="minorHAnsi" w:cstheme="minorHAnsi"/>
        </w:rPr>
        <w:t>contribut</w:t>
      </w:r>
      <w:r w:rsidR="005B7A82" w:rsidRPr="00480F0A">
        <w:rPr>
          <w:rFonts w:asciiTheme="minorHAnsi" w:hAnsiTheme="minorHAnsi" w:cstheme="minorHAnsi"/>
        </w:rPr>
        <w:t>ing</w:t>
      </w:r>
      <w:r w:rsidR="00B717D3" w:rsidRPr="00480F0A">
        <w:rPr>
          <w:rFonts w:asciiTheme="minorHAnsi" w:hAnsiTheme="minorHAnsi" w:cstheme="minorHAnsi"/>
        </w:rPr>
        <w:t xml:space="preserve"> to energy efficient </w:t>
      </w:r>
      <w:r w:rsidR="004D7AFA" w:rsidRPr="00480F0A">
        <w:rPr>
          <w:rFonts w:asciiTheme="minorHAnsi" w:hAnsiTheme="minorHAnsi" w:cstheme="minorHAnsi"/>
        </w:rPr>
        <w:t>building ecosyste</w:t>
      </w:r>
      <w:r w:rsidR="002D2012" w:rsidRPr="00480F0A">
        <w:rPr>
          <w:rFonts w:asciiTheme="minorHAnsi" w:hAnsiTheme="minorHAnsi" w:cstheme="minorHAnsi"/>
        </w:rPr>
        <w:t>ms. The following section</w:t>
      </w:r>
      <w:r w:rsidR="00693E3E" w:rsidRPr="00480F0A">
        <w:rPr>
          <w:rFonts w:asciiTheme="minorHAnsi" w:hAnsiTheme="minorHAnsi" w:cstheme="minorHAnsi"/>
        </w:rPr>
        <w:t xml:space="preserve"> explores these policies, including when they have been used to complement or substitute</w:t>
      </w:r>
      <w:r w:rsidR="00A10438" w:rsidRPr="00480F0A">
        <w:rPr>
          <w:rFonts w:asciiTheme="minorHAnsi" w:hAnsiTheme="minorHAnsi" w:cstheme="minorHAnsi"/>
        </w:rPr>
        <w:t xml:space="preserve"> disclosure or </w:t>
      </w:r>
      <w:proofErr w:type="spellStart"/>
      <w:r w:rsidR="00A10438" w:rsidRPr="00480F0A">
        <w:rPr>
          <w:rFonts w:asciiTheme="minorHAnsi" w:hAnsiTheme="minorHAnsi" w:cstheme="minorHAnsi"/>
        </w:rPr>
        <w:t>MEPS</w:t>
      </w:r>
      <w:proofErr w:type="spellEnd"/>
      <w:r w:rsidR="00A10438" w:rsidRPr="00480F0A">
        <w:rPr>
          <w:rFonts w:asciiTheme="minorHAnsi" w:hAnsiTheme="minorHAnsi" w:cstheme="minorHAnsi"/>
        </w:rPr>
        <w:t xml:space="preserve"> policies. </w:t>
      </w:r>
    </w:p>
    <w:p w14:paraId="4156EA4B" w14:textId="70669337" w:rsidR="00226517" w:rsidRPr="00480F0A" w:rsidRDefault="00226517" w:rsidP="00214D42">
      <w:pPr>
        <w:pStyle w:val="Heading3"/>
        <w:rPr>
          <w:rFonts w:asciiTheme="minorHAnsi" w:hAnsiTheme="minorHAnsi" w:cstheme="minorHAnsi"/>
        </w:rPr>
      </w:pPr>
      <w:bookmarkStart w:id="152" w:name="_Toc133844036"/>
      <w:bookmarkStart w:id="153" w:name="_Toc136286381"/>
      <w:bookmarkStart w:id="154" w:name="_Toc132295383"/>
      <w:bookmarkStart w:id="155" w:name="_Toc132380906"/>
      <w:r w:rsidRPr="00480F0A">
        <w:rPr>
          <w:rFonts w:asciiTheme="minorHAnsi" w:hAnsiTheme="minorHAnsi" w:cstheme="minorHAnsi"/>
        </w:rPr>
        <w:t>New building codes and standards</w:t>
      </w:r>
      <w:bookmarkEnd w:id="152"/>
      <w:bookmarkEnd w:id="153"/>
    </w:p>
    <w:p w14:paraId="02E6EB1C" w14:textId="409FDD81" w:rsidR="00C2294C" w:rsidRPr="00480F0A" w:rsidRDefault="00C2294C" w:rsidP="00C2294C">
      <w:pPr>
        <w:pStyle w:val="BodyText"/>
        <w:rPr>
          <w:rFonts w:asciiTheme="minorHAnsi" w:hAnsiTheme="minorHAnsi" w:cstheme="minorHAnsi"/>
        </w:rPr>
      </w:pPr>
      <w:r w:rsidRPr="00480F0A">
        <w:rPr>
          <w:rFonts w:asciiTheme="minorHAnsi" w:hAnsiTheme="minorHAnsi" w:cstheme="minorHAnsi"/>
        </w:rPr>
        <w:t>Establishing codes and standards for new buildings is a straightforward way to ensure progress towards emissions and energy efficiency targets. New building requirements can be considered and priced in the design stage, making implementation easier. Some jurisdictions prioriti</w:t>
      </w:r>
      <w:r w:rsidR="00240363" w:rsidRPr="00480F0A">
        <w:rPr>
          <w:rFonts w:asciiTheme="minorHAnsi" w:hAnsiTheme="minorHAnsi" w:cstheme="minorHAnsi"/>
        </w:rPr>
        <w:t>s</w:t>
      </w:r>
      <w:r w:rsidRPr="00480F0A">
        <w:rPr>
          <w:rFonts w:asciiTheme="minorHAnsi" w:hAnsiTheme="minorHAnsi" w:cstheme="minorHAnsi"/>
        </w:rPr>
        <w:t xml:space="preserve">e new building codes before addressing existing buildings. These codes can have attribute or performance-based objectives and are typically more stringent than regulations for existing buildings. </w:t>
      </w:r>
    </w:p>
    <w:p w14:paraId="199CD083" w14:textId="182BC50C" w:rsidR="00142F4E" w:rsidRPr="00480F0A" w:rsidRDefault="00C2294C" w:rsidP="00142F4E">
      <w:pPr>
        <w:pStyle w:val="BodyText"/>
        <w:rPr>
          <w:rFonts w:asciiTheme="minorHAnsi" w:hAnsiTheme="minorHAnsi" w:cstheme="minorHAnsi"/>
        </w:rPr>
      </w:pPr>
      <w:r w:rsidRPr="00480F0A">
        <w:rPr>
          <w:rFonts w:asciiTheme="minorHAnsi" w:hAnsiTheme="minorHAnsi" w:cstheme="minorHAnsi"/>
        </w:rPr>
        <w:t>Examples include California's Energy Code</w:t>
      </w:r>
      <w:r w:rsidR="00723239">
        <w:rPr>
          <w:rFonts w:ascii="ZWAdobeF" w:hAnsi="ZWAdobeF" w:cs="ZWAdobeF"/>
          <w:color w:val="auto"/>
          <w:sz w:val="2"/>
          <w:szCs w:val="2"/>
        </w:rPr>
        <w:t>82F</w:t>
      </w:r>
      <w:r w:rsidR="00EE36E3">
        <w:rPr>
          <w:rFonts w:ascii="ZWAdobeF" w:hAnsi="ZWAdobeF" w:cs="ZWAdobeF"/>
          <w:color w:val="auto"/>
          <w:sz w:val="2"/>
          <w:szCs w:val="2"/>
        </w:rPr>
        <w:t>82F</w:t>
      </w:r>
      <w:r w:rsidR="00122C48">
        <w:rPr>
          <w:rFonts w:ascii="ZWAdobeF" w:hAnsi="ZWAdobeF" w:cs="ZWAdobeF"/>
          <w:color w:val="auto"/>
          <w:sz w:val="2"/>
          <w:szCs w:val="2"/>
        </w:rPr>
        <w:t>82F</w:t>
      </w:r>
      <w:r w:rsidR="00F73A23">
        <w:rPr>
          <w:rFonts w:ascii="ZWAdobeF" w:hAnsi="ZWAdobeF" w:cs="ZWAdobeF"/>
          <w:color w:val="auto"/>
          <w:sz w:val="2"/>
          <w:szCs w:val="2"/>
        </w:rPr>
        <w:t>82F</w:t>
      </w:r>
      <w:r w:rsidR="00626378">
        <w:rPr>
          <w:rFonts w:ascii="ZWAdobeF" w:hAnsi="ZWAdobeF" w:cs="ZWAdobeF"/>
          <w:color w:val="auto"/>
          <w:sz w:val="2"/>
          <w:szCs w:val="2"/>
        </w:rPr>
        <w:t>82F</w:t>
      </w:r>
      <w:r w:rsidR="00413811">
        <w:rPr>
          <w:rFonts w:ascii="ZWAdobeF" w:hAnsi="ZWAdobeF" w:cs="ZWAdobeF"/>
          <w:color w:val="auto"/>
          <w:sz w:val="2"/>
          <w:szCs w:val="2"/>
        </w:rPr>
        <w:t>82F</w:t>
      </w:r>
      <w:r w:rsidR="002C327C">
        <w:rPr>
          <w:rFonts w:ascii="ZWAdobeF" w:hAnsi="ZWAdobeF" w:cs="ZWAdobeF"/>
          <w:color w:val="auto"/>
          <w:sz w:val="2"/>
          <w:szCs w:val="2"/>
        </w:rPr>
        <w:t>82F</w:t>
      </w:r>
      <w:r w:rsidR="00D24A06">
        <w:rPr>
          <w:rFonts w:ascii="ZWAdobeF" w:hAnsi="ZWAdobeF" w:cs="ZWAdobeF"/>
          <w:color w:val="auto"/>
          <w:sz w:val="2"/>
          <w:szCs w:val="2"/>
        </w:rPr>
        <w:t>82F</w:t>
      </w:r>
      <w:r w:rsidR="005C6928" w:rsidRPr="00480F0A">
        <w:rPr>
          <w:rStyle w:val="FootnoteReference"/>
          <w:rFonts w:asciiTheme="minorHAnsi" w:hAnsiTheme="minorHAnsi" w:cstheme="minorHAnsi"/>
        </w:rPr>
        <w:footnoteReference w:id="84"/>
      </w:r>
      <w:r w:rsidRPr="00480F0A">
        <w:rPr>
          <w:rFonts w:asciiTheme="minorHAnsi" w:hAnsiTheme="minorHAnsi" w:cstheme="minorHAnsi"/>
        </w:rPr>
        <w:t xml:space="preserve">, which updates every three years and sets standards for </w:t>
      </w:r>
      <w:r w:rsidR="00AE6BD8" w:rsidRPr="00480F0A">
        <w:rPr>
          <w:rFonts w:asciiTheme="minorHAnsi" w:hAnsiTheme="minorHAnsi" w:cstheme="minorHAnsi"/>
        </w:rPr>
        <w:t>different building</w:t>
      </w:r>
      <w:r w:rsidR="00C96D41" w:rsidRPr="00480F0A">
        <w:rPr>
          <w:rFonts w:asciiTheme="minorHAnsi" w:hAnsiTheme="minorHAnsi" w:cstheme="minorHAnsi"/>
        </w:rPr>
        <w:t xml:space="preserve"> types</w:t>
      </w:r>
      <w:r w:rsidR="00F7213C" w:rsidRPr="00480F0A">
        <w:rPr>
          <w:rFonts w:asciiTheme="minorHAnsi" w:hAnsiTheme="minorHAnsi" w:cstheme="minorHAnsi"/>
        </w:rPr>
        <w:t xml:space="preserve">. The building code complements </w:t>
      </w:r>
      <w:r w:rsidR="00474CF6" w:rsidRPr="00480F0A">
        <w:rPr>
          <w:rFonts w:asciiTheme="minorHAnsi" w:hAnsiTheme="minorHAnsi" w:cstheme="minorHAnsi"/>
        </w:rPr>
        <w:t>several</w:t>
      </w:r>
      <w:r w:rsidR="00F7213C" w:rsidRPr="00480F0A">
        <w:rPr>
          <w:rFonts w:asciiTheme="minorHAnsi" w:hAnsiTheme="minorHAnsi" w:cstheme="minorHAnsi"/>
        </w:rPr>
        <w:t xml:space="preserve"> other requirements such as the Building Energy Disclosure program which is also administered by the same body – the California Energy Commission. </w:t>
      </w:r>
      <w:r w:rsidR="00A05258" w:rsidRPr="00480F0A">
        <w:rPr>
          <w:rFonts w:asciiTheme="minorHAnsi" w:hAnsiTheme="minorHAnsi" w:cstheme="minorHAnsi"/>
        </w:rPr>
        <w:t>Similarly</w:t>
      </w:r>
      <w:r w:rsidR="00F7213C" w:rsidRPr="00480F0A">
        <w:rPr>
          <w:rFonts w:asciiTheme="minorHAnsi" w:hAnsiTheme="minorHAnsi" w:cstheme="minorHAnsi"/>
        </w:rPr>
        <w:t xml:space="preserve">, </w:t>
      </w:r>
      <w:r w:rsidRPr="00480F0A">
        <w:rPr>
          <w:rFonts w:asciiTheme="minorHAnsi" w:hAnsiTheme="minorHAnsi" w:cstheme="minorHAnsi"/>
        </w:rPr>
        <w:t xml:space="preserve">Denmark's building code, which combines </w:t>
      </w:r>
      <w:r w:rsidRPr="00480F0A">
        <w:rPr>
          <w:rFonts w:asciiTheme="minorHAnsi" w:hAnsiTheme="minorHAnsi" w:cstheme="minorHAnsi"/>
        </w:rPr>
        <w:lastRenderedPageBreak/>
        <w:t>performance and attribute requirements. Denmark's code now includes a focus on carbon emissions, with a requirement for life cycle assessment and an emissions limit for new buildings</w:t>
      </w:r>
      <w:r w:rsidR="00054539" w:rsidRPr="00054539">
        <w:rPr>
          <w:rFonts w:ascii="ZWAdobeF" w:eastAsia="Times New Roman" w:hAnsi="ZWAdobeF" w:cs="ZWAdobeF"/>
          <w:bCs/>
          <w:i/>
          <w:iCs/>
          <w:color w:val="auto"/>
          <w:sz w:val="2"/>
          <w:szCs w:val="2"/>
        </w:rPr>
        <w:t xml:space="preserve"> </w:t>
      </w:r>
      <w:r w:rsidR="00054539">
        <w:rPr>
          <w:rFonts w:ascii="ZWAdobeF" w:eastAsia="Times New Roman" w:hAnsi="ZWAdobeF" w:cs="ZWAdobeF"/>
          <w:bCs/>
          <w:i/>
          <w:iCs/>
          <w:color w:val="auto"/>
          <w:sz w:val="2"/>
          <w:szCs w:val="2"/>
        </w:rPr>
        <w:t>F</w:t>
      </w:r>
      <w:r w:rsidR="00626378">
        <w:rPr>
          <w:rFonts w:ascii="ZWAdobeF" w:eastAsia="Times New Roman" w:hAnsi="ZWAdobeF" w:cs="ZWAdobeF"/>
          <w:bCs/>
          <w:iCs/>
          <w:color w:val="auto"/>
          <w:sz w:val="2"/>
          <w:szCs w:val="2"/>
        </w:rPr>
        <w:t>83F</w:t>
      </w:r>
      <w:r w:rsidR="00413811">
        <w:rPr>
          <w:rFonts w:ascii="ZWAdobeF" w:eastAsia="Times New Roman" w:hAnsi="ZWAdobeF" w:cs="ZWAdobeF"/>
          <w:bCs/>
          <w:iCs/>
          <w:color w:val="auto"/>
          <w:sz w:val="2"/>
          <w:szCs w:val="2"/>
        </w:rPr>
        <w:t>83F</w:t>
      </w:r>
      <w:r w:rsidR="002C327C">
        <w:rPr>
          <w:rFonts w:ascii="ZWAdobeF" w:eastAsia="Times New Roman" w:hAnsi="ZWAdobeF" w:cs="ZWAdobeF"/>
          <w:bCs/>
          <w:iCs/>
          <w:color w:val="auto"/>
          <w:sz w:val="2"/>
          <w:szCs w:val="2"/>
        </w:rPr>
        <w:t>83F</w:t>
      </w:r>
      <w:r w:rsidR="00D24A06">
        <w:rPr>
          <w:rFonts w:ascii="ZWAdobeF" w:eastAsia="Times New Roman" w:hAnsi="ZWAdobeF" w:cs="ZWAdobeF"/>
          <w:bCs/>
          <w:iCs/>
          <w:color w:val="auto"/>
          <w:sz w:val="2"/>
          <w:szCs w:val="2"/>
        </w:rPr>
        <w:t>83F</w:t>
      </w:r>
      <w:r w:rsidR="00054539" w:rsidRPr="00054539">
        <w:rPr>
          <w:rStyle w:val="FootnoteReference"/>
          <w:rFonts w:ascii="Calibri" w:eastAsia="Times New Roman" w:hAnsi="Calibri" w:cs="Times New Roman"/>
          <w:color w:val="auto"/>
          <w:szCs w:val="18"/>
        </w:rPr>
        <w:footnoteReference w:id="85"/>
      </w:r>
      <w:r w:rsidRPr="00480F0A">
        <w:rPr>
          <w:rFonts w:asciiTheme="minorHAnsi" w:hAnsiTheme="minorHAnsi" w:cstheme="minorHAnsi"/>
        </w:rPr>
        <w:t>. This approach combines data analysis and a cap on emissions to drive continuous improvement in building efficiency</w:t>
      </w:r>
      <w:r w:rsidR="002D41AB">
        <w:rPr>
          <w:rFonts w:asciiTheme="minorHAnsi" w:hAnsiTheme="minorHAnsi" w:cstheme="minorHAnsi"/>
        </w:rPr>
        <w:fldChar w:fldCharType="begin" w:fldLock="1"/>
      </w:r>
      <w:r w:rsidR="002D41AB">
        <w:rPr>
          <w:rFonts w:asciiTheme="minorHAnsi" w:hAnsiTheme="minorHAnsi" w:cstheme="minorHAnsi"/>
        </w:rPr>
        <w:instrText xml:space="preserve"> REF _Ref133843630 \h </w:instrText>
      </w:r>
      <w:r w:rsidR="002D41AB">
        <w:rPr>
          <w:rFonts w:asciiTheme="minorHAnsi" w:hAnsiTheme="minorHAnsi" w:cstheme="minorHAnsi"/>
        </w:rPr>
      </w:r>
      <w:r w:rsidR="00000000">
        <w:rPr>
          <w:rFonts w:asciiTheme="minorHAnsi" w:hAnsiTheme="minorHAnsi" w:cstheme="minorHAnsi"/>
        </w:rPr>
        <w:fldChar w:fldCharType="separate"/>
      </w:r>
      <w:r w:rsidR="002D41AB">
        <w:rPr>
          <w:rFonts w:asciiTheme="minorHAnsi" w:hAnsiTheme="minorHAnsi" w:cstheme="minorHAnsi"/>
        </w:rPr>
        <w:fldChar w:fldCharType="end"/>
      </w:r>
      <w:r w:rsidR="001C3D7D">
        <w:rPr>
          <w:rFonts w:asciiTheme="minorHAnsi" w:hAnsiTheme="minorHAnsi" w:cstheme="minorHAnsi"/>
        </w:rPr>
        <w:t xml:space="preserve">. </w:t>
      </w:r>
      <w:r w:rsidR="00142F4E" w:rsidRPr="00480F0A">
        <w:rPr>
          <w:rFonts w:asciiTheme="minorHAnsi" w:hAnsiTheme="minorHAnsi" w:cstheme="minorHAnsi"/>
        </w:rPr>
        <w:t>In this approach, Denmark has opted to focus on instigating improvements at the construction and design phase with limited additional requirements or policies targeted on existing buildings, aside from broader EU-wide policies.</w:t>
      </w:r>
    </w:p>
    <w:p w14:paraId="7EC48BD9" w14:textId="40E79EDA" w:rsidR="00F859CE" w:rsidRPr="00966C86" w:rsidRDefault="00805D60" w:rsidP="00D438FB">
      <w:pPr>
        <w:pStyle w:val="BodyText"/>
        <w:rPr>
          <w:rFonts w:asciiTheme="minorHAnsi" w:hAnsiTheme="minorHAnsi" w:cstheme="minorHAnsi"/>
        </w:rPr>
      </w:pPr>
      <w:r w:rsidRPr="00966C86">
        <w:rPr>
          <w:rFonts w:asciiTheme="minorHAnsi" w:hAnsiTheme="minorHAnsi" w:cstheme="minorHAnsi"/>
        </w:rPr>
        <w:t xml:space="preserve">One global trend </w:t>
      </w:r>
      <w:r w:rsidR="00E877B7" w:rsidRPr="00966C86">
        <w:rPr>
          <w:rFonts w:asciiTheme="minorHAnsi" w:hAnsiTheme="minorHAnsi" w:cstheme="minorHAnsi"/>
        </w:rPr>
        <w:t xml:space="preserve">relevant to new builds and major renovations is calculating </w:t>
      </w:r>
      <w:r w:rsidR="00E877B7" w:rsidRPr="00966C86">
        <w:rPr>
          <w:rFonts w:asciiTheme="minorHAnsi" w:hAnsiTheme="minorHAnsi" w:cstheme="minorHAnsi"/>
          <w:b/>
        </w:rPr>
        <w:t>embodied energy/ embodied carbon</w:t>
      </w:r>
      <w:r w:rsidR="00E877B7" w:rsidRPr="00966C86">
        <w:rPr>
          <w:rFonts w:asciiTheme="minorHAnsi" w:hAnsiTheme="minorHAnsi" w:cstheme="minorHAnsi"/>
        </w:rPr>
        <w:t xml:space="preserve"> in the </w:t>
      </w:r>
      <w:r w:rsidR="00771074" w:rsidRPr="00966C86">
        <w:rPr>
          <w:rFonts w:asciiTheme="minorHAnsi" w:hAnsiTheme="minorHAnsi" w:cstheme="minorHAnsi"/>
        </w:rPr>
        <w:t>construction phase.</w:t>
      </w:r>
      <w:r w:rsidR="00F75FF0" w:rsidRPr="00966C86">
        <w:rPr>
          <w:rFonts w:asciiTheme="minorHAnsi" w:hAnsiTheme="minorHAnsi" w:cstheme="minorHAnsi"/>
        </w:rPr>
        <w:t xml:space="preserve"> </w:t>
      </w:r>
      <w:r w:rsidR="002D59A4" w:rsidRPr="00966C86">
        <w:rPr>
          <w:rFonts w:asciiTheme="minorHAnsi" w:hAnsiTheme="minorHAnsi" w:cstheme="minorHAnsi"/>
        </w:rPr>
        <w:t>For example, Netherland’s current and Finland and Sweden’s planned embodied carbon emissions limits for new buildings, the US’s procurement policy to promote ‘Low Embodied Energy and Carbon Materials by Federal Agencies’ for state infrastructure projects, and Canada has Zero Carbon Building Design Standards with a limit on embodied carbon through absolute embodied carbon targets or relative improvements over a baseline. The UK is currently consulting on how to cost carbon in construction and will introduce the necessary legislation in 2024 on its approach and interventions (market driven or government incentives/requirements).</w:t>
      </w:r>
      <w:r w:rsidR="00D20E44" w:rsidRPr="00966C86">
        <w:rPr>
          <w:rFonts w:asciiTheme="minorHAnsi" w:hAnsiTheme="minorHAnsi" w:cstheme="minorHAnsi"/>
        </w:rPr>
        <w:t xml:space="preserve"> </w:t>
      </w:r>
      <w:r w:rsidR="00771074" w:rsidRPr="00966C86">
        <w:rPr>
          <w:rFonts w:asciiTheme="minorHAnsi" w:hAnsiTheme="minorHAnsi" w:cstheme="minorHAnsi"/>
        </w:rPr>
        <w:t xml:space="preserve"> </w:t>
      </w:r>
    </w:p>
    <w:p w14:paraId="3E956A1D" w14:textId="23A90A14" w:rsidR="00C84841" w:rsidRPr="00966C86" w:rsidRDefault="0011748F" w:rsidP="00214D42">
      <w:pPr>
        <w:pStyle w:val="Heading3"/>
        <w:rPr>
          <w:rFonts w:asciiTheme="minorHAnsi" w:hAnsiTheme="minorHAnsi" w:cstheme="minorHAnsi"/>
        </w:rPr>
      </w:pPr>
      <w:bookmarkStart w:id="156" w:name="_Toc133844037"/>
      <w:bookmarkStart w:id="157" w:name="_Toc136286382"/>
      <w:r w:rsidRPr="00966C86">
        <w:rPr>
          <w:rFonts w:asciiTheme="minorHAnsi" w:hAnsiTheme="minorHAnsi" w:cstheme="minorHAnsi"/>
        </w:rPr>
        <w:t>Emission</w:t>
      </w:r>
      <w:r w:rsidR="00DB25AF" w:rsidRPr="00966C86">
        <w:rPr>
          <w:rFonts w:asciiTheme="minorHAnsi" w:hAnsiTheme="minorHAnsi" w:cstheme="minorHAnsi"/>
        </w:rPr>
        <w:t xml:space="preserve"> </w:t>
      </w:r>
      <w:r w:rsidR="00B515EC" w:rsidRPr="00966C86">
        <w:rPr>
          <w:rFonts w:asciiTheme="minorHAnsi" w:hAnsiTheme="minorHAnsi" w:cstheme="minorHAnsi"/>
        </w:rPr>
        <w:t>pricing policies</w:t>
      </w:r>
      <w:bookmarkEnd w:id="154"/>
      <w:bookmarkEnd w:id="155"/>
      <w:bookmarkEnd w:id="156"/>
      <w:bookmarkEnd w:id="157"/>
    </w:p>
    <w:p w14:paraId="7F4953F2" w14:textId="4CBC98D8" w:rsidR="00142F4E" w:rsidRPr="00966C86" w:rsidRDefault="00142F4E" w:rsidP="00142F4E">
      <w:pPr>
        <w:pStyle w:val="BodyText"/>
        <w:rPr>
          <w:rFonts w:asciiTheme="minorHAnsi" w:hAnsiTheme="minorHAnsi" w:cstheme="minorHAnsi"/>
        </w:rPr>
      </w:pPr>
      <w:r w:rsidRPr="00966C86">
        <w:rPr>
          <w:rFonts w:asciiTheme="minorHAnsi" w:hAnsiTheme="minorHAnsi" w:cstheme="minorHAnsi"/>
        </w:rPr>
        <w:t>Emission pricing policies can incentivi</w:t>
      </w:r>
      <w:r w:rsidR="002836C9" w:rsidRPr="00966C86">
        <w:rPr>
          <w:rFonts w:asciiTheme="minorHAnsi" w:hAnsiTheme="minorHAnsi" w:cstheme="minorHAnsi"/>
        </w:rPr>
        <w:t>s</w:t>
      </w:r>
      <w:r w:rsidRPr="00966C86">
        <w:rPr>
          <w:rFonts w:asciiTheme="minorHAnsi" w:hAnsiTheme="minorHAnsi" w:cstheme="minorHAnsi"/>
        </w:rPr>
        <w:t xml:space="preserve">e energy efficiency by creating a financial incentive to reduce emissions. While the building sector has seen limited adoption of emission pricing, there are some examples where this policy has been implemented. </w:t>
      </w:r>
    </w:p>
    <w:p w14:paraId="7C46D5B5" w14:textId="62331B40" w:rsidR="00D25DF8" w:rsidRPr="00966C86" w:rsidRDefault="00142F4E" w:rsidP="00D25DF8">
      <w:pPr>
        <w:pStyle w:val="BodyText"/>
        <w:rPr>
          <w:rFonts w:asciiTheme="minorHAnsi" w:hAnsiTheme="minorHAnsi" w:cstheme="minorHAnsi"/>
        </w:rPr>
      </w:pPr>
      <w:r w:rsidRPr="00966C86">
        <w:rPr>
          <w:rFonts w:asciiTheme="minorHAnsi" w:hAnsiTheme="minorHAnsi" w:cstheme="minorHAnsi"/>
        </w:rPr>
        <w:t xml:space="preserve">The </w:t>
      </w:r>
      <w:r w:rsidRPr="00966C86">
        <w:rPr>
          <w:rFonts w:asciiTheme="minorHAnsi" w:hAnsiTheme="minorHAnsi" w:cstheme="minorHAnsi"/>
          <w:b/>
        </w:rPr>
        <w:t>Tokyo Emissions Trading Scheme</w:t>
      </w:r>
      <w:r w:rsidRPr="00966C86">
        <w:rPr>
          <w:rFonts w:asciiTheme="minorHAnsi" w:hAnsiTheme="minorHAnsi" w:cstheme="minorHAnsi"/>
        </w:rPr>
        <w:t xml:space="preserve"> </w:t>
      </w:r>
      <w:r w:rsidR="00C5523F" w:rsidRPr="00966C86">
        <w:rPr>
          <w:rFonts w:asciiTheme="minorHAnsi" w:hAnsiTheme="minorHAnsi" w:cstheme="minorHAnsi"/>
        </w:rPr>
        <w:t xml:space="preserve">(ETS) </w:t>
      </w:r>
      <w:r w:rsidRPr="00966C86">
        <w:rPr>
          <w:rFonts w:asciiTheme="minorHAnsi" w:hAnsiTheme="minorHAnsi" w:cstheme="minorHAnsi"/>
        </w:rPr>
        <w:t xml:space="preserve">focuses on commercial and office buildings and measures emissions at the point of energy consumption, effectively increasing the cost of electricity. </w:t>
      </w:r>
      <w:r w:rsidR="00D25DF8" w:rsidRPr="00966C86">
        <w:rPr>
          <w:rFonts w:asciiTheme="minorHAnsi" w:hAnsiTheme="minorHAnsi" w:cstheme="minorHAnsi"/>
        </w:rPr>
        <w:t>A 2020 study of the scheme found that it was effective in reducing emissions from buildings through elevated electricity prices, noting there were other factors also contributing to electricity prices over the period such as the Japanese earthquake of 2011.</w:t>
      </w:r>
      <w:r w:rsidR="00723239">
        <w:rPr>
          <w:rFonts w:ascii="ZWAdobeF" w:hAnsi="ZWAdobeF" w:cs="ZWAdobeF"/>
          <w:color w:val="auto"/>
          <w:sz w:val="2"/>
          <w:szCs w:val="2"/>
        </w:rPr>
        <w:t>84F</w:t>
      </w:r>
      <w:r w:rsidR="00EE36E3">
        <w:rPr>
          <w:rFonts w:ascii="ZWAdobeF" w:hAnsi="ZWAdobeF" w:cs="ZWAdobeF"/>
          <w:color w:val="auto"/>
          <w:sz w:val="2"/>
          <w:szCs w:val="2"/>
        </w:rPr>
        <w:t>84F</w:t>
      </w:r>
      <w:r w:rsidR="00122C48">
        <w:rPr>
          <w:rFonts w:ascii="ZWAdobeF" w:hAnsi="ZWAdobeF" w:cs="ZWAdobeF"/>
          <w:color w:val="auto"/>
          <w:sz w:val="2"/>
          <w:szCs w:val="2"/>
        </w:rPr>
        <w:t>84F</w:t>
      </w:r>
      <w:r w:rsidR="00F73A23">
        <w:rPr>
          <w:rFonts w:ascii="ZWAdobeF" w:hAnsi="ZWAdobeF" w:cs="ZWAdobeF"/>
          <w:color w:val="auto"/>
          <w:sz w:val="2"/>
          <w:szCs w:val="2"/>
        </w:rPr>
        <w:t>84F</w:t>
      </w:r>
      <w:r w:rsidR="00626378">
        <w:rPr>
          <w:rFonts w:ascii="ZWAdobeF" w:hAnsi="ZWAdobeF" w:cs="ZWAdobeF"/>
          <w:color w:val="auto"/>
          <w:sz w:val="2"/>
          <w:szCs w:val="2"/>
        </w:rPr>
        <w:t>84F</w:t>
      </w:r>
      <w:r w:rsidR="00413811">
        <w:rPr>
          <w:rFonts w:ascii="ZWAdobeF" w:hAnsi="ZWAdobeF" w:cs="ZWAdobeF"/>
          <w:color w:val="auto"/>
          <w:sz w:val="2"/>
          <w:szCs w:val="2"/>
        </w:rPr>
        <w:t>84F</w:t>
      </w:r>
      <w:r w:rsidR="002C327C">
        <w:rPr>
          <w:rFonts w:ascii="ZWAdobeF" w:hAnsi="ZWAdobeF" w:cs="ZWAdobeF"/>
          <w:color w:val="auto"/>
          <w:sz w:val="2"/>
          <w:szCs w:val="2"/>
        </w:rPr>
        <w:t>84F</w:t>
      </w:r>
      <w:r w:rsidR="00D24A06">
        <w:rPr>
          <w:rFonts w:ascii="ZWAdobeF" w:hAnsi="ZWAdobeF" w:cs="ZWAdobeF"/>
          <w:color w:val="auto"/>
          <w:sz w:val="2"/>
          <w:szCs w:val="2"/>
        </w:rPr>
        <w:t>84F</w:t>
      </w:r>
      <w:r w:rsidR="00B6529A" w:rsidRPr="00966C86">
        <w:rPr>
          <w:rStyle w:val="FootnoteReference"/>
          <w:rFonts w:asciiTheme="minorHAnsi" w:hAnsiTheme="minorHAnsi" w:cstheme="minorHAnsi"/>
        </w:rPr>
        <w:footnoteReference w:id="86"/>
      </w:r>
    </w:p>
    <w:p w14:paraId="48F71187" w14:textId="701A24AD" w:rsidR="00142F4E" w:rsidRPr="00966C86" w:rsidRDefault="00142F4E" w:rsidP="00142F4E">
      <w:pPr>
        <w:pStyle w:val="BodyText"/>
        <w:rPr>
          <w:rFonts w:asciiTheme="minorHAnsi" w:hAnsiTheme="minorHAnsi" w:cstheme="minorHAnsi"/>
        </w:rPr>
      </w:pPr>
      <w:r w:rsidRPr="00966C86">
        <w:rPr>
          <w:rFonts w:asciiTheme="minorHAnsi" w:hAnsiTheme="minorHAnsi" w:cstheme="minorHAnsi"/>
        </w:rPr>
        <w:t xml:space="preserve">In </w:t>
      </w:r>
      <w:r w:rsidRPr="00966C86">
        <w:rPr>
          <w:rFonts w:asciiTheme="minorHAnsi" w:hAnsiTheme="minorHAnsi" w:cstheme="minorHAnsi"/>
          <w:b/>
        </w:rPr>
        <w:t>France</w:t>
      </w:r>
      <w:r w:rsidRPr="00966C86">
        <w:rPr>
          <w:rFonts w:asciiTheme="minorHAnsi" w:hAnsiTheme="minorHAnsi" w:cstheme="minorHAnsi"/>
        </w:rPr>
        <w:t>, a carbon tax targets scope 1 emissions from heating in buildings, levying taxes on oil products, natural gas, and coal</w:t>
      </w:r>
      <w:r w:rsidR="00863750" w:rsidRPr="00966C86">
        <w:rPr>
          <w:rFonts w:asciiTheme="minorHAnsi" w:hAnsiTheme="minorHAnsi" w:cstheme="minorHAnsi"/>
        </w:rPr>
        <w:t xml:space="preserve"> excluding the consumption of electricity (which is captured under the broader EU ETS). This tax is based on the relative emissions per unit of product and mainly impacts the transport and building sectors.</w:t>
      </w:r>
    </w:p>
    <w:p w14:paraId="49684DF2" w14:textId="5DA94170" w:rsidR="00142F4E" w:rsidRPr="00966C86" w:rsidRDefault="00142F4E" w:rsidP="00142F4E">
      <w:pPr>
        <w:pStyle w:val="BodyText"/>
        <w:rPr>
          <w:rFonts w:asciiTheme="minorHAnsi" w:hAnsiTheme="minorHAnsi" w:cstheme="minorHAnsi"/>
        </w:rPr>
      </w:pPr>
      <w:r w:rsidRPr="00966C86">
        <w:rPr>
          <w:rFonts w:asciiTheme="minorHAnsi" w:hAnsiTheme="minorHAnsi" w:cstheme="minorHAnsi"/>
        </w:rPr>
        <w:t xml:space="preserve">The </w:t>
      </w:r>
      <w:r w:rsidRPr="00966C86">
        <w:rPr>
          <w:rFonts w:asciiTheme="minorHAnsi" w:hAnsiTheme="minorHAnsi" w:cstheme="minorHAnsi"/>
          <w:b/>
        </w:rPr>
        <w:t>EU</w:t>
      </w:r>
      <w:r w:rsidRPr="00966C86">
        <w:rPr>
          <w:rFonts w:asciiTheme="minorHAnsi" w:hAnsiTheme="minorHAnsi" w:cstheme="minorHAnsi"/>
        </w:rPr>
        <w:t xml:space="preserve"> has announced plans for a targeted ETS for buildings and road transport, which would operate independently of the existing EU ETS and is scheduled to begin in 2027</w:t>
      </w:r>
      <w:r w:rsidR="00723239">
        <w:rPr>
          <w:rFonts w:ascii="ZWAdobeF" w:hAnsi="ZWAdobeF" w:cs="ZWAdobeF"/>
          <w:color w:val="auto"/>
          <w:sz w:val="2"/>
          <w:szCs w:val="2"/>
        </w:rPr>
        <w:t>85F</w:t>
      </w:r>
      <w:r w:rsidR="00EE36E3">
        <w:rPr>
          <w:rFonts w:ascii="ZWAdobeF" w:hAnsi="ZWAdobeF" w:cs="ZWAdobeF"/>
          <w:color w:val="auto"/>
          <w:sz w:val="2"/>
          <w:szCs w:val="2"/>
        </w:rPr>
        <w:t>85F</w:t>
      </w:r>
      <w:r w:rsidR="00122C48">
        <w:rPr>
          <w:rFonts w:ascii="ZWAdobeF" w:hAnsi="ZWAdobeF" w:cs="ZWAdobeF"/>
          <w:color w:val="auto"/>
          <w:sz w:val="2"/>
          <w:szCs w:val="2"/>
        </w:rPr>
        <w:t>85F</w:t>
      </w:r>
      <w:r w:rsidR="00F73A23">
        <w:rPr>
          <w:rFonts w:ascii="ZWAdobeF" w:hAnsi="ZWAdobeF" w:cs="ZWAdobeF"/>
          <w:color w:val="auto"/>
          <w:sz w:val="2"/>
          <w:szCs w:val="2"/>
        </w:rPr>
        <w:t>85F</w:t>
      </w:r>
      <w:r w:rsidR="00626378">
        <w:rPr>
          <w:rFonts w:ascii="ZWAdobeF" w:hAnsi="ZWAdobeF" w:cs="ZWAdobeF"/>
          <w:color w:val="auto"/>
          <w:sz w:val="2"/>
          <w:szCs w:val="2"/>
        </w:rPr>
        <w:t>85F</w:t>
      </w:r>
      <w:r w:rsidR="00413811">
        <w:rPr>
          <w:rFonts w:ascii="ZWAdobeF" w:hAnsi="ZWAdobeF" w:cs="ZWAdobeF"/>
          <w:color w:val="auto"/>
          <w:sz w:val="2"/>
          <w:szCs w:val="2"/>
        </w:rPr>
        <w:t>85F</w:t>
      </w:r>
      <w:r w:rsidR="002C327C">
        <w:rPr>
          <w:rFonts w:ascii="ZWAdobeF" w:hAnsi="ZWAdobeF" w:cs="ZWAdobeF"/>
          <w:color w:val="auto"/>
          <w:sz w:val="2"/>
          <w:szCs w:val="2"/>
        </w:rPr>
        <w:t>85F</w:t>
      </w:r>
      <w:r w:rsidR="00D24A06">
        <w:rPr>
          <w:rFonts w:ascii="ZWAdobeF" w:hAnsi="ZWAdobeF" w:cs="ZWAdobeF"/>
          <w:color w:val="auto"/>
          <w:sz w:val="2"/>
          <w:szCs w:val="2"/>
        </w:rPr>
        <w:t>85F</w:t>
      </w:r>
      <w:r w:rsidR="004F5542" w:rsidRPr="00966C86">
        <w:rPr>
          <w:rStyle w:val="FootnoteReference"/>
          <w:rFonts w:asciiTheme="minorHAnsi" w:hAnsiTheme="minorHAnsi" w:cstheme="minorHAnsi"/>
        </w:rPr>
        <w:footnoteReference w:id="87"/>
      </w:r>
      <w:r w:rsidR="00AE40A7" w:rsidRPr="00966C86">
        <w:rPr>
          <w:rFonts w:asciiTheme="minorHAnsi" w:hAnsiTheme="minorHAnsi" w:cstheme="minorHAnsi"/>
        </w:rPr>
        <w:t>.</w:t>
      </w:r>
      <w:r w:rsidRPr="00966C86">
        <w:rPr>
          <w:rFonts w:asciiTheme="minorHAnsi" w:hAnsiTheme="minorHAnsi" w:cstheme="minorHAnsi"/>
        </w:rPr>
        <w:t>Compliance and enforcement issues in the building sector may be addressed by enforcing the ETS upstream at the fuel distributor level. These policies, along with other measures and targets, aim to accelerate behavioural change and promote energy efficiency in the building sector.</w:t>
      </w:r>
    </w:p>
    <w:p w14:paraId="6F303E6B" w14:textId="050513CE" w:rsidR="00870A44" w:rsidRPr="00966C86" w:rsidRDefault="00870A44" w:rsidP="00214D42">
      <w:pPr>
        <w:pStyle w:val="Heading3"/>
        <w:rPr>
          <w:rFonts w:asciiTheme="minorHAnsi" w:hAnsiTheme="minorHAnsi" w:cstheme="minorHAnsi"/>
        </w:rPr>
      </w:pPr>
      <w:bookmarkStart w:id="158" w:name="_Toc132295384"/>
      <w:bookmarkStart w:id="159" w:name="_Toc132380907"/>
      <w:bookmarkStart w:id="160" w:name="_Toc133844038"/>
      <w:bookmarkStart w:id="161" w:name="_Toc136286383"/>
      <w:r w:rsidRPr="00966C86">
        <w:rPr>
          <w:rFonts w:asciiTheme="minorHAnsi" w:hAnsiTheme="minorHAnsi" w:cstheme="minorHAnsi"/>
        </w:rPr>
        <w:t xml:space="preserve">Incentive </w:t>
      </w:r>
      <w:r w:rsidR="00AC5159" w:rsidRPr="00966C86">
        <w:rPr>
          <w:rFonts w:asciiTheme="minorHAnsi" w:hAnsiTheme="minorHAnsi" w:cstheme="minorHAnsi"/>
        </w:rPr>
        <w:t>and adjustment p</w:t>
      </w:r>
      <w:r w:rsidRPr="00966C86">
        <w:rPr>
          <w:rFonts w:asciiTheme="minorHAnsi" w:hAnsiTheme="minorHAnsi" w:cstheme="minorHAnsi"/>
        </w:rPr>
        <w:t>olicies</w:t>
      </w:r>
      <w:bookmarkEnd w:id="158"/>
      <w:bookmarkEnd w:id="159"/>
      <w:bookmarkEnd w:id="160"/>
      <w:bookmarkEnd w:id="161"/>
    </w:p>
    <w:p w14:paraId="42232B5F" w14:textId="59254BF7" w:rsidR="002C669C" w:rsidRPr="00966C86" w:rsidRDefault="00AA60A3" w:rsidP="00AA60A3">
      <w:pPr>
        <w:pStyle w:val="BodyText"/>
        <w:rPr>
          <w:rFonts w:asciiTheme="minorHAnsi" w:hAnsiTheme="minorHAnsi" w:cstheme="minorHAnsi"/>
        </w:rPr>
      </w:pPr>
      <w:r w:rsidRPr="00966C86">
        <w:rPr>
          <w:rFonts w:asciiTheme="minorHAnsi" w:hAnsiTheme="minorHAnsi" w:cstheme="minorHAnsi"/>
        </w:rPr>
        <w:t>Governments and institutions employ various incentives to drive action and compliance with energy efficiency and emissions reduction policies in the building sector. These incentives include grants, loans, subsidies, energy efficiency mortgages, green bonds, and financial assistance programs. Examples include the Swedish government's grants for energy-efficient renovations, the UK's Green Homes Grant</w:t>
      </w:r>
      <w:r w:rsidR="00723239">
        <w:rPr>
          <w:rFonts w:ascii="ZWAdobeF" w:hAnsi="ZWAdobeF" w:cs="ZWAdobeF"/>
          <w:color w:val="auto"/>
          <w:sz w:val="2"/>
          <w:szCs w:val="2"/>
        </w:rPr>
        <w:t>86F</w:t>
      </w:r>
      <w:r w:rsidR="00EE36E3">
        <w:rPr>
          <w:rFonts w:ascii="ZWAdobeF" w:hAnsi="ZWAdobeF" w:cs="ZWAdobeF"/>
          <w:color w:val="auto"/>
          <w:sz w:val="2"/>
          <w:szCs w:val="2"/>
        </w:rPr>
        <w:t>86F</w:t>
      </w:r>
      <w:r w:rsidR="00122C48">
        <w:rPr>
          <w:rFonts w:ascii="ZWAdobeF" w:hAnsi="ZWAdobeF" w:cs="ZWAdobeF"/>
          <w:color w:val="auto"/>
          <w:sz w:val="2"/>
          <w:szCs w:val="2"/>
        </w:rPr>
        <w:t>86F</w:t>
      </w:r>
      <w:r w:rsidR="00F73A23">
        <w:rPr>
          <w:rFonts w:ascii="ZWAdobeF" w:hAnsi="ZWAdobeF" w:cs="ZWAdobeF"/>
          <w:color w:val="auto"/>
          <w:sz w:val="2"/>
          <w:szCs w:val="2"/>
        </w:rPr>
        <w:t>86F</w:t>
      </w:r>
      <w:r w:rsidR="00626378">
        <w:rPr>
          <w:rFonts w:ascii="ZWAdobeF" w:hAnsi="ZWAdobeF" w:cs="ZWAdobeF"/>
          <w:color w:val="auto"/>
          <w:sz w:val="2"/>
          <w:szCs w:val="2"/>
        </w:rPr>
        <w:t>86F</w:t>
      </w:r>
      <w:r w:rsidR="00413811">
        <w:rPr>
          <w:rFonts w:ascii="ZWAdobeF" w:hAnsi="ZWAdobeF" w:cs="ZWAdobeF"/>
          <w:color w:val="auto"/>
          <w:sz w:val="2"/>
          <w:szCs w:val="2"/>
        </w:rPr>
        <w:t>86F</w:t>
      </w:r>
      <w:r w:rsidR="002C327C">
        <w:rPr>
          <w:rFonts w:ascii="ZWAdobeF" w:hAnsi="ZWAdobeF" w:cs="ZWAdobeF"/>
          <w:color w:val="auto"/>
          <w:sz w:val="2"/>
          <w:szCs w:val="2"/>
        </w:rPr>
        <w:t>86F</w:t>
      </w:r>
      <w:r w:rsidR="00D24A06">
        <w:rPr>
          <w:rFonts w:ascii="ZWAdobeF" w:hAnsi="ZWAdobeF" w:cs="ZWAdobeF"/>
          <w:color w:val="auto"/>
          <w:sz w:val="2"/>
          <w:szCs w:val="2"/>
        </w:rPr>
        <w:t>86F</w:t>
      </w:r>
      <w:r w:rsidR="007A3FD7" w:rsidRPr="00966C86">
        <w:rPr>
          <w:rStyle w:val="FootnoteReference"/>
          <w:rFonts w:asciiTheme="minorHAnsi" w:hAnsiTheme="minorHAnsi" w:cstheme="minorHAnsi"/>
        </w:rPr>
        <w:footnoteReference w:id="88"/>
      </w:r>
      <w:r w:rsidRPr="00966C86">
        <w:rPr>
          <w:rFonts w:asciiTheme="minorHAnsi" w:hAnsiTheme="minorHAnsi" w:cstheme="minorHAnsi"/>
        </w:rPr>
        <w:t xml:space="preserve">, the US Department of Energy </w:t>
      </w:r>
      <w:r w:rsidR="00C07925" w:rsidRPr="00966C86">
        <w:rPr>
          <w:rFonts w:asciiTheme="minorHAnsi" w:hAnsiTheme="minorHAnsi" w:cstheme="minorHAnsi"/>
        </w:rPr>
        <w:t>and</w:t>
      </w:r>
      <w:r w:rsidRPr="00966C86">
        <w:rPr>
          <w:rFonts w:asciiTheme="minorHAnsi" w:hAnsiTheme="minorHAnsi" w:cstheme="minorHAnsi"/>
        </w:rPr>
        <w:t xml:space="preserve"> Environment's Green Building Grant Funds, and Germany's Federal Funding for Efficient Buildings (BEG) funding scheme.</w:t>
      </w:r>
      <w:r w:rsidR="00723239">
        <w:rPr>
          <w:rFonts w:ascii="ZWAdobeF" w:hAnsi="ZWAdobeF" w:cs="ZWAdobeF"/>
          <w:color w:val="auto"/>
          <w:sz w:val="2"/>
          <w:szCs w:val="2"/>
        </w:rPr>
        <w:t>87F</w:t>
      </w:r>
      <w:r w:rsidR="00EE36E3">
        <w:rPr>
          <w:rFonts w:ascii="ZWAdobeF" w:hAnsi="ZWAdobeF" w:cs="ZWAdobeF"/>
          <w:color w:val="auto"/>
          <w:sz w:val="2"/>
          <w:szCs w:val="2"/>
        </w:rPr>
        <w:t>87F</w:t>
      </w:r>
      <w:r w:rsidR="00122C48">
        <w:rPr>
          <w:rFonts w:ascii="ZWAdobeF" w:hAnsi="ZWAdobeF" w:cs="ZWAdobeF"/>
          <w:color w:val="auto"/>
          <w:sz w:val="2"/>
          <w:szCs w:val="2"/>
        </w:rPr>
        <w:t>87F</w:t>
      </w:r>
      <w:r w:rsidR="00F73A23">
        <w:rPr>
          <w:rFonts w:ascii="ZWAdobeF" w:hAnsi="ZWAdobeF" w:cs="ZWAdobeF"/>
          <w:color w:val="auto"/>
          <w:sz w:val="2"/>
          <w:szCs w:val="2"/>
        </w:rPr>
        <w:t>87F</w:t>
      </w:r>
      <w:r w:rsidR="00626378">
        <w:rPr>
          <w:rFonts w:ascii="ZWAdobeF" w:hAnsi="ZWAdobeF" w:cs="ZWAdobeF"/>
          <w:color w:val="auto"/>
          <w:sz w:val="2"/>
          <w:szCs w:val="2"/>
        </w:rPr>
        <w:t>87F</w:t>
      </w:r>
      <w:r w:rsidR="00413811">
        <w:rPr>
          <w:rFonts w:ascii="ZWAdobeF" w:hAnsi="ZWAdobeF" w:cs="ZWAdobeF"/>
          <w:color w:val="auto"/>
          <w:sz w:val="2"/>
          <w:szCs w:val="2"/>
        </w:rPr>
        <w:t>87F</w:t>
      </w:r>
      <w:r w:rsidR="002C327C">
        <w:rPr>
          <w:rFonts w:ascii="ZWAdobeF" w:hAnsi="ZWAdobeF" w:cs="ZWAdobeF"/>
          <w:color w:val="auto"/>
          <w:sz w:val="2"/>
          <w:szCs w:val="2"/>
        </w:rPr>
        <w:t>87F</w:t>
      </w:r>
      <w:r w:rsidR="00D24A06">
        <w:rPr>
          <w:rFonts w:ascii="ZWAdobeF" w:hAnsi="ZWAdobeF" w:cs="ZWAdobeF"/>
          <w:color w:val="auto"/>
          <w:sz w:val="2"/>
          <w:szCs w:val="2"/>
        </w:rPr>
        <w:t>87F</w:t>
      </w:r>
      <w:r w:rsidR="00071A26" w:rsidRPr="00966C86">
        <w:rPr>
          <w:rStyle w:val="FootnoteReference"/>
          <w:rFonts w:asciiTheme="minorHAnsi" w:hAnsiTheme="minorHAnsi" w:cstheme="minorHAnsi"/>
        </w:rPr>
        <w:footnoteReference w:id="89"/>
      </w:r>
      <w:r w:rsidRPr="00966C86">
        <w:rPr>
          <w:rFonts w:asciiTheme="minorHAnsi" w:hAnsiTheme="minorHAnsi" w:cstheme="minorHAnsi"/>
        </w:rPr>
        <w:t xml:space="preserve"> </w:t>
      </w:r>
    </w:p>
    <w:p w14:paraId="7DC698C3" w14:textId="5BEFE29D" w:rsidR="00AA60A3" w:rsidRPr="00966C86" w:rsidRDefault="00AA60A3" w:rsidP="00AA60A3">
      <w:pPr>
        <w:pStyle w:val="BodyText"/>
        <w:rPr>
          <w:rFonts w:asciiTheme="minorHAnsi" w:hAnsiTheme="minorHAnsi" w:cstheme="minorHAnsi"/>
        </w:rPr>
      </w:pPr>
      <w:r w:rsidRPr="00966C86">
        <w:rPr>
          <w:rFonts w:asciiTheme="minorHAnsi" w:hAnsiTheme="minorHAnsi" w:cstheme="minorHAnsi"/>
        </w:rPr>
        <w:t>In addition, the EU's social climate fund</w:t>
      </w:r>
      <w:r w:rsidR="00723239">
        <w:rPr>
          <w:rFonts w:ascii="ZWAdobeF" w:hAnsi="ZWAdobeF" w:cs="ZWAdobeF"/>
          <w:color w:val="auto"/>
          <w:sz w:val="2"/>
          <w:szCs w:val="2"/>
        </w:rPr>
        <w:t>88F</w:t>
      </w:r>
      <w:r w:rsidR="00EE36E3">
        <w:rPr>
          <w:rFonts w:ascii="ZWAdobeF" w:hAnsi="ZWAdobeF" w:cs="ZWAdobeF"/>
          <w:color w:val="auto"/>
          <w:sz w:val="2"/>
          <w:szCs w:val="2"/>
        </w:rPr>
        <w:t>88F</w:t>
      </w:r>
      <w:r w:rsidR="00122C48">
        <w:rPr>
          <w:rFonts w:ascii="ZWAdobeF" w:hAnsi="ZWAdobeF" w:cs="ZWAdobeF"/>
          <w:color w:val="auto"/>
          <w:sz w:val="2"/>
          <w:szCs w:val="2"/>
        </w:rPr>
        <w:t>88F</w:t>
      </w:r>
      <w:r w:rsidR="00F73A23">
        <w:rPr>
          <w:rFonts w:ascii="ZWAdobeF" w:hAnsi="ZWAdobeF" w:cs="ZWAdobeF"/>
          <w:color w:val="auto"/>
          <w:sz w:val="2"/>
          <w:szCs w:val="2"/>
        </w:rPr>
        <w:t>88F</w:t>
      </w:r>
      <w:r w:rsidR="00626378">
        <w:rPr>
          <w:rFonts w:ascii="ZWAdobeF" w:hAnsi="ZWAdobeF" w:cs="ZWAdobeF"/>
          <w:color w:val="auto"/>
          <w:sz w:val="2"/>
          <w:szCs w:val="2"/>
        </w:rPr>
        <w:t>88F</w:t>
      </w:r>
      <w:r w:rsidR="00413811">
        <w:rPr>
          <w:rFonts w:ascii="ZWAdobeF" w:hAnsi="ZWAdobeF" w:cs="ZWAdobeF"/>
          <w:color w:val="auto"/>
          <w:sz w:val="2"/>
          <w:szCs w:val="2"/>
        </w:rPr>
        <w:t>88F</w:t>
      </w:r>
      <w:r w:rsidR="002C327C">
        <w:rPr>
          <w:rFonts w:ascii="ZWAdobeF" w:hAnsi="ZWAdobeF" w:cs="ZWAdobeF"/>
          <w:color w:val="auto"/>
          <w:sz w:val="2"/>
          <w:szCs w:val="2"/>
        </w:rPr>
        <w:t>88F</w:t>
      </w:r>
      <w:r w:rsidR="00D24A06">
        <w:rPr>
          <w:rFonts w:ascii="ZWAdobeF" w:hAnsi="ZWAdobeF" w:cs="ZWAdobeF"/>
          <w:color w:val="auto"/>
          <w:sz w:val="2"/>
          <w:szCs w:val="2"/>
        </w:rPr>
        <w:t>88F</w:t>
      </w:r>
      <w:r w:rsidR="00BF4C04" w:rsidRPr="00966C86">
        <w:rPr>
          <w:rStyle w:val="FootnoteReference"/>
          <w:rFonts w:asciiTheme="minorHAnsi" w:hAnsiTheme="minorHAnsi" w:cstheme="minorHAnsi"/>
        </w:rPr>
        <w:footnoteReference w:id="90"/>
      </w:r>
      <w:r w:rsidRPr="00966C86">
        <w:rPr>
          <w:rFonts w:asciiTheme="minorHAnsi" w:hAnsiTheme="minorHAnsi" w:cstheme="minorHAnsi"/>
        </w:rPr>
        <w:t xml:space="preserve"> and the development of green bonds</w:t>
      </w:r>
      <w:r w:rsidR="00723239">
        <w:rPr>
          <w:rFonts w:ascii="ZWAdobeF" w:hAnsi="ZWAdobeF" w:cs="ZWAdobeF"/>
          <w:color w:val="auto"/>
          <w:sz w:val="2"/>
          <w:szCs w:val="2"/>
        </w:rPr>
        <w:t>89F</w:t>
      </w:r>
      <w:r w:rsidR="00EE36E3">
        <w:rPr>
          <w:rFonts w:ascii="ZWAdobeF" w:hAnsi="ZWAdobeF" w:cs="ZWAdobeF"/>
          <w:color w:val="auto"/>
          <w:sz w:val="2"/>
          <w:szCs w:val="2"/>
        </w:rPr>
        <w:t>89F</w:t>
      </w:r>
      <w:r w:rsidR="00122C48">
        <w:rPr>
          <w:rFonts w:ascii="ZWAdobeF" w:hAnsi="ZWAdobeF" w:cs="ZWAdobeF"/>
          <w:color w:val="auto"/>
          <w:sz w:val="2"/>
          <w:szCs w:val="2"/>
        </w:rPr>
        <w:t>89F</w:t>
      </w:r>
      <w:r w:rsidR="00F73A23">
        <w:rPr>
          <w:rFonts w:ascii="ZWAdobeF" w:hAnsi="ZWAdobeF" w:cs="ZWAdobeF"/>
          <w:color w:val="auto"/>
          <w:sz w:val="2"/>
          <w:szCs w:val="2"/>
        </w:rPr>
        <w:t>89F</w:t>
      </w:r>
      <w:r w:rsidR="00626378">
        <w:rPr>
          <w:rFonts w:ascii="ZWAdobeF" w:hAnsi="ZWAdobeF" w:cs="ZWAdobeF"/>
          <w:color w:val="auto"/>
          <w:sz w:val="2"/>
          <w:szCs w:val="2"/>
        </w:rPr>
        <w:t>89F</w:t>
      </w:r>
      <w:r w:rsidR="00413811">
        <w:rPr>
          <w:rFonts w:ascii="ZWAdobeF" w:hAnsi="ZWAdobeF" w:cs="ZWAdobeF"/>
          <w:color w:val="auto"/>
          <w:sz w:val="2"/>
          <w:szCs w:val="2"/>
        </w:rPr>
        <w:t>89F</w:t>
      </w:r>
      <w:r w:rsidR="002C327C">
        <w:rPr>
          <w:rFonts w:ascii="ZWAdobeF" w:hAnsi="ZWAdobeF" w:cs="ZWAdobeF"/>
          <w:color w:val="auto"/>
          <w:sz w:val="2"/>
          <w:szCs w:val="2"/>
        </w:rPr>
        <w:t>89F</w:t>
      </w:r>
      <w:r w:rsidR="00D24A06">
        <w:rPr>
          <w:rFonts w:ascii="ZWAdobeF" w:hAnsi="ZWAdobeF" w:cs="ZWAdobeF"/>
          <w:color w:val="auto"/>
          <w:sz w:val="2"/>
          <w:szCs w:val="2"/>
        </w:rPr>
        <w:t>89F</w:t>
      </w:r>
      <w:r w:rsidR="00C04CE8" w:rsidRPr="00966C86">
        <w:rPr>
          <w:rStyle w:val="FootnoteReference"/>
          <w:rFonts w:asciiTheme="minorHAnsi" w:hAnsiTheme="minorHAnsi" w:cstheme="minorHAnsi"/>
        </w:rPr>
        <w:footnoteReference w:id="91"/>
      </w:r>
      <w:r w:rsidRPr="00966C86">
        <w:rPr>
          <w:rFonts w:asciiTheme="minorHAnsi" w:hAnsiTheme="minorHAnsi" w:cstheme="minorHAnsi"/>
        </w:rPr>
        <w:t xml:space="preserve"> provide additional sources of financing for green building upgrades. Tax incentives, such as tax deductibility for energy-related building refurbishment measures in Germany, are also utilized</w:t>
      </w:r>
      <w:r w:rsidR="00723239">
        <w:rPr>
          <w:rFonts w:ascii="ZWAdobeF" w:hAnsi="ZWAdobeF" w:cs="ZWAdobeF"/>
          <w:color w:val="auto"/>
          <w:sz w:val="2"/>
          <w:szCs w:val="2"/>
        </w:rPr>
        <w:t>90F</w:t>
      </w:r>
      <w:r w:rsidR="00EE36E3">
        <w:rPr>
          <w:rFonts w:ascii="ZWAdobeF" w:hAnsi="ZWAdobeF" w:cs="ZWAdobeF"/>
          <w:color w:val="auto"/>
          <w:sz w:val="2"/>
          <w:szCs w:val="2"/>
        </w:rPr>
        <w:t>90F</w:t>
      </w:r>
      <w:r w:rsidR="00122C48">
        <w:rPr>
          <w:rFonts w:ascii="ZWAdobeF" w:hAnsi="ZWAdobeF" w:cs="ZWAdobeF"/>
          <w:color w:val="auto"/>
          <w:sz w:val="2"/>
          <w:szCs w:val="2"/>
        </w:rPr>
        <w:t>90F</w:t>
      </w:r>
      <w:r w:rsidR="00F73A23">
        <w:rPr>
          <w:rFonts w:ascii="ZWAdobeF" w:hAnsi="ZWAdobeF" w:cs="ZWAdobeF"/>
          <w:color w:val="auto"/>
          <w:sz w:val="2"/>
          <w:szCs w:val="2"/>
        </w:rPr>
        <w:t>90F</w:t>
      </w:r>
      <w:r w:rsidR="00626378">
        <w:rPr>
          <w:rFonts w:ascii="ZWAdobeF" w:hAnsi="ZWAdobeF" w:cs="ZWAdobeF"/>
          <w:color w:val="auto"/>
          <w:sz w:val="2"/>
          <w:szCs w:val="2"/>
        </w:rPr>
        <w:t>90F</w:t>
      </w:r>
      <w:r w:rsidR="00413811">
        <w:rPr>
          <w:rFonts w:ascii="ZWAdobeF" w:hAnsi="ZWAdobeF" w:cs="ZWAdobeF"/>
          <w:color w:val="auto"/>
          <w:sz w:val="2"/>
          <w:szCs w:val="2"/>
        </w:rPr>
        <w:t>90F</w:t>
      </w:r>
      <w:r w:rsidR="002C327C">
        <w:rPr>
          <w:rFonts w:ascii="ZWAdobeF" w:hAnsi="ZWAdobeF" w:cs="ZWAdobeF"/>
          <w:color w:val="auto"/>
          <w:sz w:val="2"/>
          <w:szCs w:val="2"/>
        </w:rPr>
        <w:t>90F</w:t>
      </w:r>
      <w:r w:rsidR="00D24A06">
        <w:rPr>
          <w:rFonts w:ascii="ZWAdobeF" w:hAnsi="ZWAdobeF" w:cs="ZWAdobeF"/>
          <w:color w:val="auto"/>
          <w:sz w:val="2"/>
          <w:szCs w:val="2"/>
        </w:rPr>
        <w:t>90F</w:t>
      </w:r>
      <w:r w:rsidR="00B05614" w:rsidRPr="00966C86">
        <w:rPr>
          <w:rStyle w:val="FootnoteReference"/>
          <w:rFonts w:asciiTheme="minorHAnsi" w:hAnsiTheme="minorHAnsi" w:cstheme="minorHAnsi"/>
        </w:rPr>
        <w:footnoteReference w:id="92"/>
      </w:r>
      <w:r w:rsidRPr="00966C86">
        <w:rPr>
          <w:rFonts w:asciiTheme="minorHAnsi" w:hAnsiTheme="minorHAnsi" w:cstheme="minorHAnsi"/>
        </w:rPr>
        <w:t>. These incentives aim to encourage investment in energy efficiency measures, facilitate compliance with stricter regulations, and drive improvements in the building sector's environmental performance.</w:t>
      </w:r>
    </w:p>
    <w:p w14:paraId="7D0BAEAF" w14:textId="042032F1" w:rsidR="004B3541" w:rsidRPr="00966C86" w:rsidRDefault="004B3541" w:rsidP="00214D42">
      <w:pPr>
        <w:pStyle w:val="Heading3"/>
        <w:rPr>
          <w:rFonts w:asciiTheme="minorHAnsi" w:hAnsiTheme="minorHAnsi" w:cstheme="minorHAnsi"/>
        </w:rPr>
      </w:pPr>
      <w:bookmarkStart w:id="162" w:name="_Toc133844039"/>
      <w:bookmarkStart w:id="163" w:name="_Toc136286384"/>
      <w:r w:rsidRPr="00966C86">
        <w:rPr>
          <w:rFonts w:asciiTheme="minorHAnsi" w:hAnsiTheme="minorHAnsi" w:cstheme="minorHAnsi"/>
        </w:rPr>
        <w:t>Public</w:t>
      </w:r>
      <w:r w:rsidR="00095564" w:rsidRPr="00966C86">
        <w:rPr>
          <w:rFonts w:asciiTheme="minorHAnsi" w:hAnsiTheme="minorHAnsi" w:cstheme="minorHAnsi"/>
        </w:rPr>
        <w:t xml:space="preserve"> </w:t>
      </w:r>
      <w:r w:rsidR="00CE7C18" w:rsidRPr="00966C86">
        <w:rPr>
          <w:rFonts w:asciiTheme="minorHAnsi" w:hAnsiTheme="minorHAnsi" w:cstheme="minorHAnsi"/>
        </w:rPr>
        <w:t>building standards</w:t>
      </w:r>
      <w:bookmarkEnd w:id="162"/>
      <w:bookmarkEnd w:id="163"/>
    </w:p>
    <w:p w14:paraId="1E917788" w14:textId="77777777" w:rsidR="00C44DC7" w:rsidRPr="00966C86" w:rsidRDefault="00C44DC7" w:rsidP="00C44DC7">
      <w:pPr>
        <w:pStyle w:val="BodyText"/>
        <w:rPr>
          <w:rFonts w:asciiTheme="minorHAnsi" w:hAnsiTheme="minorHAnsi" w:cstheme="minorHAnsi"/>
        </w:rPr>
      </w:pPr>
      <w:r w:rsidRPr="00966C86">
        <w:rPr>
          <w:rFonts w:asciiTheme="minorHAnsi" w:hAnsiTheme="minorHAnsi" w:cstheme="minorHAnsi"/>
        </w:rPr>
        <w:t xml:space="preserve">Many governments have implemented higher energy efficiency and emissions standards for government-owned buildings to serve as examples and signals to the wider market. Public buildings typically include offices occupied by public authorities, public hospitals, schools, and sometimes heritage sites and museums. </w:t>
      </w:r>
    </w:p>
    <w:p w14:paraId="2063ADEB" w14:textId="2F28AB62" w:rsidR="002415D4" w:rsidRPr="00966C86" w:rsidRDefault="00C44DC7" w:rsidP="00C44DC7">
      <w:pPr>
        <w:pStyle w:val="BodyText"/>
        <w:rPr>
          <w:rFonts w:asciiTheme="minorHAnsi" w:hAnsiTheme="minorHAnsi" w:cstheme="minorHAnsi"/>
        </w:rPr>
      </w:pPr>
      <w:r w:rsidRPr="00966C86">
        <w:rPr>
          <w:rFonts w:asciiTheme="minorHAnsi" w:hAnsiTheme="minorHAnsi" w:cstheme="minorHAnsi"/>
        </w:rPr>
        <w:lastRenderedPageBreak/>
        <w:t>Examples of public building standards include Korea's Energy Performance Index (EPI) requirements</w:t>
      </w:r>
      <w:r w:rsidR="00723239">
        <w:rPr>
          <w:rFonts w:ascii="ZWAdobeF" w:hAnsi="ZWAdobeF" w:cs="ZWAdobeF"/>
          <w:color w:val="auto"/>
          <w:sz w:val="2"/>
          <w:szCs w:val="2"/>
        </w:rPr>
        <w:t>91F</w:t>
      </w:r>
      <w:r w:rsidR="00EE36E3">
        <w:rPr>
          <w:rFonts w:ascii="ZWAdobeF" w:hAnsi="ZWAdobeF" w:cs="ZWAdobeF"/>
          <w:color w:val="auto"/>
          <w:sz w:val="2"/>
          <w:szCs w:val="2"/>
        </w:rPr>
        <w:t>91F</w:t>
      </w:r>
      <w:r w:rsidR="00122C48">
        <w:rPr>
          <w:rFonts w:ascii="ZWAdobeF" w:hAnsi="ZWAdobeF" w:cs="ZWAdobeF"/>
          <w:color w:val="auto"/>
          <w:sz w:val="2"/>
          <w:szCs w:val="2"/>
        </w:rPr>
        <w:t>91F</w:t>
      </w:r>
      <w:r w:rsidR="00F73A23">
        <w:rPr>
          <w:rFonts w:ascii="ZWAdobeF" w:hAnsi="ZWAdobeF" w:cs="ZWAdobeF"/>
          <w:color w:val="auto"/>
          <w:sz w:val="2"/>
          <w:szCs w:val="2"/>
        </w:rPr>
        <w:t>91F</w:t>
      </w:r>
      <w:r w:rsidR="00626378">
        <w:rPr>
          <w:rFonts w:ascii="ZWAdobeF" w:hAnsi="ZWAdobeF" w:cs="ZWAdobeF"/>
          <w:color w:val="auto"/>
          <w:sz w:val="2"/>
          <w:szCs w:val="2"/>
        </w:rPr>
        <w:t>91F</w:t>
      </w:r>
      <w:r w:rsidR="00413811">
        <w:rPr>
          <w:rFonts w:ascii="ZWAdobeF" w:hAnsi="ZWAdobeF" w:cs="ZWAdobeF"/>
          <w:color w:val="auto"/>
          <w:sz w:val="2"/>
          <w:szCs w:val="2"/>
        </w:rPr>
        <w:t>91F</w:t>
      </w:r>
      <w:r w:rsidR="002C327C">
        <w:rPr>
          <w:rFonts w:ascii="ZWAdobeF" w:hAnsi="ZWAdobeF" w:cs="ZWAdobeF"/>
          <w:color w:val="auto"/>
          <w:sz w:val="2"/>
          <w:szCs w:val="2"/>
        </w:rPr>
        <w:t>91F</w:t>
      </w:r>
      <w:r w:rsidR="00D24A06">
        <w:rPr>
          <w:rFonts w:ascii="ZWAdobeF" w:hAnsi="ZWAdobeF" w:cs="ZWAdobeF"/>
          <w:color w:val="auto"/>
          <w:sz w:val="2"/>
          <w:szCs w:val="2"/>
        </w:rPr>
        <w:t>91F</w:t>
      </w:r>
      <w:r w:rsidRPr="00966C86">
        <w:rPr>
          <w:rStyle w:val="FootnoteReference"/>
          <w:rFonts w:asciiTheme="minorHAnsi" w:hAnsiTheme="minorHAnsi" w:cstheme="minorHAnsi"/>
        </w:rPr>
        <w:footnoteReference w:id="93"/>
      </w:r>
      <w:r w:rsidRPr="00966C86">
        <w:rPr>
          <w:rFonts w:asciiTheme="minorHAnsi" w:hAnsiTheme="minorHAnsi" w:cstheme="minorHAnsi"/>
        </w:rPr>
        <w:t>, Japan's Zero Energy Buildings initiative for public buildings</w:t>
      </w:r>
      <w:r w:rsidR="00723239">
        <w:rPr>
          <w:rFonts w:ascii="ZWAdobeF" w:hAnsi="ZWAdobeF" w:cs="ZWAdobeF"/>
          <w:color w:val="auto"/>
          <w:sz w:val="2"/>
          <w:szCs w:val="2"/>
        </w:rPr>
        <w:t>92F</w:t>
      </w:r>
      <w:r w:rsidR="00EE36E3">
        <w:rPr>
          <w:rFonts w:ascii="ZWAdobeF" w:hAnsi="ZWAdobeF" w:cs="ZWAdobeF"/>
          <w:color w:val="auto"/>
          <w:sz w:val="2"/>
          <w:szCs w:val="2"/>
        </w:rPr>
        <w:t>92F</w:t>
      </w:r>
      <w:r w:rsidR="00122C48">
        <w:rPr>
          <w:rFonts w:ascii="ZWAdobeF" w:hAnsi="ZWAdobeF" w:cs="ZWAdobeF"/>
          <w:color w:val="auto"/>
          <w:sz w:val="2"/>
          <w:szCs w:val="2"/>
        </w:rPr>
        <w:t>92F</w:t>
      </w:r>
      <w:r w:rsidR="00F73A23">
        <w:rPr>
          <w:rFonts w:ascii="ZWAdobeF" w:hAnsi="ZWAdobeF" w:cs="ZWAdobeF"/>
          <w:color w:val="auto"/>
          <w:sz w:val="2"/>
          <w:szCs w:val="2"/>
        </w:rPr>
        <w:t>92F</w:t>
      </w:r>
      <w:r w:rsidR="00626378">
        <w:rPr>
          <w:rFonts w:ascii="ZWAdobeF" w:hAnsi="ZWAdobeF" w:cs="ZWAdobeF"/>
          <w:color w:val="auto"/>
          <w:sz w:val="2"/>
          <w:szCs w:val="2"/>
        </w:rPr>
        <w:t>92F</w:t>
      </w:r>
      <w:r w:rsidR="00413811">
        <w:rPr>
          <w:rFonts w:ascii="ZWAdobeF" w:hAnsi="ZWAdobeF" w:cs="ZWAdobeF"/>
          <w:color w:val="auto"/>
          <w:sz w:val="2"/>
          <w:szCs w:val="2"/>
        </w:rPr>
        <w:t>92F</w:t>
      </w:r>
      <w:r w:rsidR="002C327C">
        <w:rPr>
          <w:rFonts w:ascii="ZWAdobeF" w:hAnsi="ZWAdobeF" w:cs="ZWAdobeF"/>
          <w:color w:val="auto"/>
          <w:sz w:val="2"/>
          <w:szCs w:val="2"/>
        </w:rPr>
        <w:t>92F</w:t>
      </w:r>
      <w:r w:rsidR="00D24A06">
        <w:rPr>
          <w:rFonts w:ascii="ZWAdobeF" w:hAnsi="ZWAdobeF" w:cs="ZWAdobeF"/>
          <w:color w:val="auto"/>
          <w:sz w:val="2"/>
          <w:szCs w:val="2"/>
        </w:rPr>
        <w:t>92F</w:t>
      </w:r>
      <w:r w:rsidR="007D5EFE" w:rsidRPr="00966C86">
        <w:rPr>
          <w:rStyle w:val="FootnoteReference"/>
          <w:rFonts w:asciiTheme="minorHAnsi" w:hAnsiTheme="minorHAnsi" w:cstheme="minorHAnsi"/>
        </w:rPr>
        <w:footnoteReference w:id="94"/>
      </w:r>
      <w:r w:rsidRPr="00966C86">
        <w:rPr>
          <w:rFonts w:asciiTheme="minorHAnsi" w:hAnsiTheme="minorHAnsi" w:cstheme="minorHAnsi"/>
        </w:rPr>
        <w:t>, Washington DC's Building Energy Performance Standards</w:t>
      </w:r>
      <w:r w:rsidR="00723239">
        <w:rPr>
          <w:rFonts w:ascii="ZWAdobeF" w:hAnsi="ZWAdobeF" w:cs="ZWAdobeF"/>
          <w:color w:val="auto"/>
          <w:sz w:val="2"/>
          <w:szCs w:val="2"/>
        </w:rPr>
        <w:t>93F</w:t>
      </w:r>
      <w:r w:rsidR="00EE36E3">
        <w:rPr>
          <w:rFonts w:ascii="ZWAdobeF" w:hAnsi="ZWAdobeF" w:cs="ZWAdobeF"/>
          <w:color w:val="auto"/>
          <w:sz w:val="2"/>
          <w:szCs w:val="2"/>
        </w:rPr>
        <w:t>93F</w:t>
      </w:r>
      <w:r w:rsidR="00122C48">
        <w:rPr>
          <w:rFonts w:ascii="ZWAdobeF" w:hAnsi="ZWAdobeF" w:cs="ZWAdobeF"/>
          <w:color w:val="auto"/>
          <w:sz w:val="2"/>
          <w:szCs w:val="2"/>
        </w:rPr>
        <w:t>93F</w:t>
      </w:r>
      <w:r w:rsidR="00F73A23">
        <w:rPr>
          <w:rFonts w:ascii="ZWAdobeF" w:hAnsi="ZWAdobeF" w:cs="ZWAdobeF"/>
          <w:color w:val="auto"/>
          <w:sz w:val="2"/>
          <w:szCs w:val="2"/>
        </w:rPr>
        <w:t>93F</w:t>
      </w:r>
      <w:r w:rsidR="00626378">
        <w:rPr>
          <w:rFonts w:ascii="ZWAdobeF" w:hAnsi="ZWAdobeF" w:cs="ZWAdobeF"/>
          <w:color w:val="auto"/>
          <w:sz w:val="2"/>
          <w:szCs w:val="2"/>
        </w:rPr>
        <w:t>93F</w:t>
      </w:r>
      <w:r w:rsidR="00413811">
        <w:rPr>
          <w:rFonts w:ascii="ZWAdobeF" w:hAnsi="ZWAdobeF" w:cs="ZWAdobeF"/>
          <w:color w:val="auto"/>
          <w:sz w:val="2"/>
          <w:szCs w:val="2"/>
        </w:rPr>
        <w:t>93F</w:t>
      </w:r>
      <w:r w:rsidR="002C327C">
        <w:rPr>
          <w:rFonts w:ascii="ZWAdobeF" w:hAnsi="ZWAdobeF" w:cs="ZWAdobeF"/>
          <w:color w:val="auto"/>
          <w:sz w:val="2"/>
          <w:szCs w:val="2"/>
        </w:rPr>
        <w:t>93F</w:t>
      </w:r>
      <w:r w:rsidR="00D24A06">
        <w:rPr>
          <w:rFonts w:ascii="ZWAdobeF" w:hAnsi="ZWAdobeF" w:cs="ZWAdobeF"/>
          <w:color w:val="auto"/>
          <w:sz w:val="2"/>
          <w:szCs w:val="2"/>
        </w:rPr>
        <w:t>93F</w:t>
      </w:r>
      <w:r w:rsidR="007D5EFE" w:rsidRPr="00966C86">
        <w:rPr>
          <w:rStyle w:val="FootnoteReference"/>
          <w:rFonts w:asciiTheme="minorHAnsi" w:hAnsiTheme="minorHAnsi" w:cstheme="minorHAnsi"/>
        </w:rPr>
        <w:footnoteReference w:id="95"/>
      </w:r>
      <w:r w:rsidRPr="00966C86">
        <w:rPr>
          <w:rFonts w:asciiTheme="minorHAnsi" w:hAnsiTheme="minorHAnsi" w:cstheme="minorHAnsi"/>
        </w:rPr>
        <w:t>, the EU's requirement for zero emissions in new publicly owned buildings by 2028 and privately owned buildings by 2030</w:t>
      </w:r>
      <w:r w:rsidR="00723239">
        <w:rPr>
          <w:rFonts w:ascii="ZWAdobeF" w:hAnsi="ZWAdobeF" w:cs="ZWAdobeF"/>
          <w:color w:val="auto"/>
          <w:sz w:val="2"/>
          <w:szCs w:val="2"/>
        </w:rPr>
        <w:t>94F</w:t>
      </w:r>
      <w:r w:rsidR="00EE36E3">
        <w:rPr>
          <w:rFonts w:ascii="ZWAdobeF" w:hAnsi="ZWAdobeF" w:cs="ZWAdobeF"/>
          <w:color w:val="auto"/>
          <w:sz w:val="2"/>
          <w:szCs w:val="2"/>
        </w:rPr>
        <w:t>94F</w:t>
      </w:r>
      <w:r w:rsidR="00122C48">
        <w:rPr>
          <w:rFonts w:ascii="ZWAdobeF" w:hAnsi="ZWAdobeF" w:cs="ZWAdobeF"/>
          <w:color w:val="auto"/>
          <w:sz w:val="2"/>
          <w:szCs w:val="2"/>
        </w:rPr>
        <w:t>94F</w:t>
      </w:r>
      <w:r w:rsidR="00F73A23">
        <w:rPr>
          <w:rFonts w:ascii="ZWAdobeF" w:hAnsi="ZWAdobeF" w:cs="ZWAdobeF"/>
          <w:color w:val="auto"/>
          <w:sz w:val="2"/>
          <w:szCs w:val="2"/>
        </w:rPr>
        <w:t>94F</w:t>
      </w:r>
      <w:r w:rsidR="00626378">
        <w:rPr>
          <w:rFonts w:ascii="ZWAdobeF" w:hAnsi="ZWAdobeF" w:cs="ZWAdobeF"/>
          <w:color w:val="auto"/>
          <w:sz w:val="2"/>
          <w:szCs w:val="2"/>
        </w:rPr>
        <w:t>94F</w:t>
      </w:r>
      <w:r w:rsidR="00413811">
        <w:rPr>
          <w:rFonts w:ascii="ZWAdobeF" w:hAnsi="ZWAdobeF" w:cs="ZWAdobeF"/>
          <w:color w:val="auto"/>
          <w:sz w:val="2"/>
          <w:szCs w:val="2"/>
        </w:rPr>
        <w:t>94F</w:t>
      </w:r>
      <w:r w:rsidR="002C327C">
        <w:rPr>
          <w:rFonts w:ascii="ZWAdobeF" w:hAnsi="ZWAdobeF" w:cs="ZWAdobeF"/>
          <w:color w:val="auto"/>
          <w:sz w:val="2"/>
          <w:szCs w:val="2"/>
        </w:rPr>
        <w:t>94F</w:t>
      </w:r>
      <w:r w:rsidR="00D24A06">
        <w:rPr>
          <w:rFonts w:ascii="ZWAdobeF" w:hAnsi="ZWAdobeF" w:cs="ZWAdobeF"/>
          <w:color w:val="auto"/>
          <w:sz w:val="2"/>
          <w:szCs w:val="2"/>
        </w:rPr>
        <w:t>94F</w:t>
      </w:r>
      <w:r w:rsidR="002415D4" w:rsidRPr="00966C86">
        <w:rPr>
          <w:rStyle w:val="FootnoteReference"/>
          <w:rFonts w:asciiTheme="minorHAnsi" w:hAnsiTheme="minorHAnsi" w:cstheme="minorHAnsi"/>
        </w:rPr>
        <w:footnoteReference w:id="96"/>
      </w:r>
      <w:r w:rsidRPr="00966C86">
        <w:rPr>
          <w:rFonts w:asciiTheme="minorHAnsi" w:hAnsiTheme="minorHAnsi" w:cstheme="minorHAnsi"/>
        </w:rPr>
        <w:t>, Germany's renewable energy use requirements for public buildings, and the Netherlands' agreement with the social housing sector for an EPC rating B</w:t>
      </w:r>
      <w:r w:rsidR="00723239">
        <w:rPr>
          <w:rFonts w:ascii="ZWAdobeF" w:hAnsi="ZWAdobeF" w:cs="ZWAdobeF"/>
          <w:color w:val="auto"/>
          <w:sz w:val="2"/>
          <w:szCs w:val="2"/>
        </w:rPr>
        <w:t>95F</w:t>
      </w:r>
      <w:r w:rsidR="00EE36E3">
        <w:rPr>
          <w:rFonts w:ascii="ZWAdobeF" w:hAnsi="ZWAdobeF" w:cs="ZWAdobeF"/>
          <w:color w:val="auto"/>
          <w:sz w:val="2"/>
          <w:szCs w:val="2"/>
        </w:rPr>
        <w:t>95F</w:t>
      </w:r>
      <w:r w:rsidR="00122C48">
        <w:rPr>
          <w:rFonts w:ascii="ZWAdobeF" w:hAnsi="ZWAdobeF" w:cs="ZWAdobeF"/>
          <w:color w:val="auto"/>
          <w:sz w:val="2"/>
          <w:szCs w:val="2"/>
        </w:rPr>
        <w:t>95F</w:t>
      </w:r>
      <w:r w:rsidR="00F73A23">
        <w:rPr>
          <w:rFonts w:ascii="ZWAdobeF" w:hAnsi="ZWAdobeF" w:cs="ZWAdobeF"/>
          <w:color w:val="auto"/>
          <w:sz w:val="2"/>
          <w:szCs w:val="2"/>
        </w:rPr>
        <w:t>95F</w:t>
      </w:r>
      <w:r w:rsidR="00626378">
        <w:rPr>
          <w:rFonts w:ascii="ZWAdobeF" w:hAnsi="ZWAdobeF" w:cs="ZWAdobeF"/>
          <w:color w:val="auto"/>
          <w:sz w:val="2"/>
          <w:szCs w:val="2"/>
        </w:rPr>
        <w:t>95F</w:t>
      </w:r>
      <w:r w:rsidR="00413811">
        <w:rPr>
          <w:rFonts w:ascii="ZWAdobeF" w:hAnsi="ZWAdobeF" w:cs="ZWAdobeF"/>
          <w:color w:val="auto"/>
          <w:sz w:val="2"/>
          <w:szCs w:val="2"/>
        </w:rPr>
        <w:t>95F</w:t>
      </w:r>
      <w:r w:rsidR="002C327C">
        <w:rPr>
          <w:rFonts w:ascii="ZWAdobeF" w:hAnsi="ZWAdobeF" w:cs="ZWAdobeF"/>
          <w:color w:val="auto"/>
          <w:sz w:val="2"/>
          <w:szCs w:val="2"/>
        </w:rPr>
        <w:t>95F</w:t>
      </w:r>
      <w:r w:rsidR="00D24A06">
        <w:rPr>
          <w:rFonts w:ascii="ZWAdobeF" w:hAnsi="ZWAdobeF" w:cs="ZWAdobeF"/>
          <w:color w:val="auto"/>
          <w:sz w:val="2"/>
          <w:szCs w:val="2"/>
        </w:rPr>
        <w:t>95F</w:t>
      </w:r>
      <w:r w:rsidR="002415D4" w:rsidRPr="00966C86">
        <w:rPr>
          <w:rStyle w:val="FootnoteReference"/>
          <w:rFonts w:asciiTheme="minorHAnsi" w:hAnsiTheme="minorHAnsi" w:cstheme="minorHAnsi"/>
        </w:rPr>
        <w:footnoteReference w:id="97"/>
      </w:r>
      <w:r w:rsidRPr="00966C86">
        <w:rPr>
          <w:rFonts w:asciiTheme="minorHAnsi" w:hAnsiTheme="minorHAnsi" w:cstheme="minorHAnsi"/>
        </w:rPr>
        <w:t xml:space="preserve">. </w:t>
      </w:r>
    </w:p>
    <w:p w14:paraId="6EEA8106" w14:textId="32667A04" w:rsidR="00C44DC7" w:rsidRPr="00966C86" w:rsidRDefault="00C44DC7" w:rsidP="00C44DC7">
      <w:pPr>
        <w:pStyle w:val="BodyText"/>
        <w:rPr>
          <w:rFonts w:asciiTheme="minorHAnsi" w:hAnsiTheme="minorHAnsi" w:cstheme="minorHAnsi"/>
        </w:rPr>
      </w:pPr>
      <w:r w:rsidRPr="00966C86">
        <w:rPr>
          <w:rFonts w:asciiTheme="minorHAnsi" w:hAnsiTheme="minorHAnsi" w:cstheme="minorHAnsi"/>
        </w:rPr>
        <w:t>Using public buildings as test cases and demonstrating successful energy efficiency implementation can be a valuable tool in introducing new standards and driving broader adoption in the market.</w:t>
      </w:r>
    </w:p>
    <w:p w14:paraId="70ED1F13" w14:textId="31C8E94A" w:rsidR="00870A44" w:rsidRPr="00F81ADB" w:rsidRDefault="005F7EF5" w:rsidP="00214D42">
      <w:pPr>
        <w:pStyle w:val="Heading2"/>
        <w:rPr>
          <w:rFonts w:cstheme="minorHAnsi"/>
        </w:rPr>
      </w:pPr>
      <w:bookmarkStart w:id="164" w:name="_Toc132295385"/>
      <w:bookmarkStart w:id="165" w:name="_Toc132295411"/>
      <w:bookmarkStart w:id="166" w:name="_Toc133844040"/>
      <w:bookmarkStart w:id="167" w:name="_Toc136286385"/>
      <w:bookmarkStart w:id="168" w:name="_Toc154059372"/>
      <w:r w:rsidRPr="00F81ADB">
        <w:rPr>
          <w:rFonts w:cstheme="minorHAnsi"/>
        </w:rPr>
        <w:t>Outcomes from</w:t>
      </w:r>
      <w:r w:rsidR="00870A44" w:rsidRPr="00F81ADB">
        <w:rPr>
          <w:rFonts w:cstheme="minorHAnsi"/>
        </w:rPr>
        <w:t xml:space="preserve"> Regulation and Other Policy Levers</w:t>
      </w:r>
      <w:bookmarkEnd w:id="164"/>
      <w:bookmarkEnd w:id="165"/>
      <w:bookmarkEnd w:id="166"/>
      <w:bookmarkEnd w:id="167"/>
      <w:bookmarkEnd w:id="168"/>
    </w:p>
    <w:p w14:paraId="53CE14E9" w14:textId="570F5C2B" w:rsidR="00870A44" w:rsidRPr="00966C86" w:rsidRDefault="00870A44" w:rsidP="00214D42">
      <w:pPr>
        <w:pStyle w:val="Heading3"/>
        <w:rPr>
          <w:rFonts w:asciiTheme="minorHAnsi" w:hAnsiTheme="minorHAnsi" w:cstheme="minorHAnsi"/>
        </w:rPr>
      </w:pPr>
      <w:bookmarkStart w:id="169" w:name="_Toc132295386"/>
      <w:bookmarkStart w:id="170" w:name="_Toc132380909"/>
      <w:bookmarkStart w:id="171" w:name="_Toc133844041"/>
      <w:bookmarkStart w:id="172" w:name="_Toc136286386"/>
      <w:r w:rsidRPr="00966C86">
        <w:rPr>
          <w:rFonts w:asciiTheme="minorHAnsi" w:hAnsiTheme="minorHAnsi" w:cstheme="minorHAnsi"/>
        </w:rPr>
        <w:t>Energy</w:t>
      </w:r>
      <w:r w:rsidR="006013B8" w:rsidRPr="00966C86">
        <w:rPr>
          <w:rFonts w:asciiTheme="minorHAnsi" w:hAnsiTheme="minorHAnsi" w:cstheme="minorHAnsi"/>
        </w:rPr>
        <w:t xml:space="preserve">, </w:t>
      </w:r>
      <w:r w:rsidRPr="00966C86">
        <w:rPr>
          <w:rFonts w:asciiTheme="minorHAnsi" w:hAnsiTheme="minorHAnsi" w:cstheme="minorHAnsi"/>
        </w:rPr>
        <w:t xml:space="preserve">Emissions </w:t>
      </w:r>
      <w:r w:rsidR="006013B8" w:rsidRPr="00966C86">
        <w:rPr>
          <w:rFonts w:asciiTheme="minorHAnsi" w:hAnsiTheme="minorHAnsi" w:cstheme="minorHAnsi"/>
        </w:rPr>
        <w:t xml:space="preserve">and Building Quality </w:t>
      </w:r>
      <w:r w:rsidRPr="00966C86">
        <w:rPr>
          <w:rFonts w:asciiTheme="minorHAnsi" w:hAnsiTheme="minorHAnsi" w:cstheme="minorHAnsi"/>
        </w:rPr>
        <w:t>Outcomes</w:t>
      </w:r>
      <w:bookmarkEnd w:id="169"/>
      <w:bookmarkEnd w:id="170"/>
      <w:bookmarkEnd w:id="171"/>
      <w:bookmarkEnd w:id="172"/>
    </w:p>
    <w:p w14:paraId="72F21AF3" w14:textId="06267251" w:rsidR="00547CBB" w:rsidRPr="00966C86" w:rsidRDefault="00547CBB" w:rsidP="00547CBB">
      <w:pPr>
        <w:pStyle w:val="BodyText"/>
        <w:rPr>
          <w:rFonts w:asciiTheme="minorHAnsi" w:hAnsiTheme="minorHAnsi" w:cstheme="minorHAnsi"/>
        </w:rPr>
      </w:pPr>
      <w:bookmarkStart w:id="173" w:name="_Toc133844042"/>
      <w:bookmarkStart w:id="174" w:name="_Toc136286387"/>
      <w:bookmarkStart w:id="175" w:name="_Toc132295387"/>
      <w:bookmarkStart w:id="176" w:name="_Toc132380910"/>
      <w:r w:rsidRPr="00966C86">
        <w:rPr>
          <w:rFonts w:asciiTheme="minorHAnsi" w:hAnsiTheme="minorHAnsi" w:cstheme="minorHAnsi"/>
        </w:rPr>
        <w:t xml:space="preserve">Comparable jurisdictions to Australia have implemented various energy efficiency policies and programs, with some evidence of improvements in energy and emissions performance and building quality improvement. However, the overall sectoral impact may be limited due to low participation rates in certain programs. </w:t>
      </w:r>
    </w:p>
    <w:p w14:paraId="1CF2F104" w14:textId="54395DE1" w:rsidR="00547CBB" w:rsidRPr="00966C86" w:rsidRDefault="00547CBB" w:rsidP="00547CBB">
      <w:pPr>
        <w:pStyle w:val="BodyText"/>
        <w:rPr>
          <w:rFonts w:asciiTheme="minorHAnsi" w:hAnsiTheme="minorHAnsi" w:cstheme="minorHAnsi"/>
        </w:rPr>
      </w:pPr>
      <w:r w:rsidRPr="00966C86">
        <w:rPr>
          <w:rFonts w:asciiTheme="minorHAnsi" w:hAnsiTheme="minorHAnsi" w:cstheme="minorHAnsi"/>
        </w:rPr>
        <w:t xml:space="preserve">Based on evidence, mandatory requirements for disclosure and </w:t>
      </w:r>
      <w:proofErr w:type="spellStart"/>
      <w:r w:rsidRPr="00966C86">
        <w:rPr>
          <w:rFonts w:asciiTheme="minorHAnsi" w:hAnsiTheme="minorHAnsi" w:cstheme="minorHAnsi"/>
        </w:rPr>
        <w:t>MEPS</w:t>
      </w:r>
      <w:proofErr w:type="spellEnd"/>
      <w:r w:rsidRPr="00966C86">
        <w:rPr>
          <w:rFonts w:asciiTheme="minorHAnsi" w:hAnsiTheme="minorHAnsi" w:cstheme="minorHAnsi"/>
        </w:rPr>
        <w:t xml:space="preserve"> have shown effectiveness in reaching a greater number of buildings</w:t>
      </w:r>
      <w:r w:rsidR="002A6495">
        <w:rPr>
          <w:rFonts w:asciiTheme="minorHAnsi" w:hAnsiTheme="minorHAnsi" w:cstheme="minorHAnsi"/>
        </w:rPr>
        <w:t>.</w:t>
      </w:r>
      <w:r>
        <w:rPr>
          <w:rFonts w:asciiTheme="minorHAnsi" w:hAnsiTheme="minorHAnsi" w:cstheme="minorHAnsi"/>
        </w:rPr>
        <w:t xml:space="preserve"> </w:t>
      </w:r>
      <w:r w:rsidRPr="00966C86">
        <w:rPr>
          <w:rFonts w:asciiTheme="minorHAnsi" w:hAnsiTheme="minorHAnsi" w:cstheme="minorHAnsi"/>
        </w:rPr>
        <w:t xml:space="preserve">For example, Japan transitioned from a voluntary reduction program to a mandatory emissions trading scheme and one key factor was the limited success of the voluntary program. </w:t>
      </w:r>
    </w:p>
    <w:p w14:paraId="7749345B" w14:textId="2790EBBB" w:rsidR="00547CBB" w:rsidRPr="00966C86" w:rsidRDefault="00547CBB" w:rsidP="00547CBB">
      <w:pPr>
        <w:pStyle w:val="BodyText"/>
        <w:rPr>
          <w:rFonts w:asciiTheme="minorHAnsi" w:hAnsiTheme="minorHAnsi" w:cstheme="minorHAnsi"/>
        </w:rPr>
      </w:pPr>
      <w:proofErr w:type="gramStart"/>
      <w:r w:rsidRPr="00966C86">
        <w:rPr>
          <w:rFonts w:asciiTheme="minorHAnsi" w:hAnsiTheme="minorHAnsi" w:cstheme="minorHAnsi"/>
        </w:rPr>
        <w:t>Similar to</w:t>
      </w:r>
      <w:proofErr w:type="gramEnd"/>
      <w:r w:rsidRPr="00966C86">
        <w:rPr>
          <w:rFonts w:asciiTheme="minorHAnsi" w:hAnsiTheme="minorHAnsi" w:cstheme="minorHAnsi"/>
        </w:rPr>
        <w:t xml:space="preserve"> the NABERS in Australia, many schemes have been shown to be effective for the particular cohort that use the scheme. Specific schemes like the South Korean </w:t>
      </w:r>
      <w:proofErr w:type="spellStart"/>
      <w:r w:rsidRPr="00966C86">
        <w:rPr>
          <w:rFonts w:asciiTheme="minorHAnsi" w:hAnsiTheme="minorHAnsi" w:cstheme="minorHAnsi"/>
        </w:rPr>
        <w:t>BEECS</w:t>
      </w:r>
      <w:proofErr w:type="spellEnd"/>
      <w:r w:rsidRPr="00966C86">
        <w:rPr>
          <w:rFonts w:asciiTheme="minorHAnsi" w:hAnsiTheme="minorHAnsi" w:cstheme="minorHAnsi"/>
        </w:rPr>
        <w:t xml:space="preserve">, Washington State program, </w:t>
      </w:r>
      <w:r w:rsidR="00D41182" w:rsidRPr="00966C86">
        <w:rPr>
          <w:rFonts w:asciiTheme="minorHAnsi" w:hAnsiTheme="minorHAnsi" w:cstheme="minorHAnsi"/>
        </w:rPr>
        <w:t xml:space="preserve">UK ESOS </w:t>
      </w:r>
      <w:r w:rsidRPr="00966C86">
        <w:rPr>
          <w:rFonts w:asciiTheme="minorHAnsi" w:hAnsiTheme="minorHAnsi" w:cstheme="minorHAnsi"/>
        </w:rPr>
        <w:t xml:space="preserve">and ENERGY STAR buildings have demonstrated energy savings for participating buildings. </w:t>
      </w:r>
    </w:p>
    <w:p w14:paraId="090B6F8D" w14:textId="0CB300F4" w:rsidR="006F0674" w:rsidRPr="00E63900" w:rsidRDefault="00547CBB" w:rsidP="00547CBB">
      <w:pPr>
        <w:pStyle w:val="BodyText"/>
        <w:rPr>
          <w:rFonts w:asciiTheme="minorHAnsi" w:hAnsiTheme="minorHAnsi" w:cstheme="minorHAnsi"/>
        </w:rPr>
      </w:pPr>
      <w:r w:rsidRPr="00966C86">
        <w:rPr>
          <w:rFonts w:asciiTheme="minorHAnsi" w:hAnsiTheme="minorHAnsi" w:cstheme="minorHAnsi"/>
        </w:rPr>
        <w:t>Studies assessing the broader effectiveness of building energy efficiency policies are limited but show improvements in energy ratings and certifications. One UK study has found a weak correlation between attribute-based measures like EPC scores and actual energy performance of larger</w:t>
      </w:r>
      <w:r>
        <w:rPr>
          <w:rFonts w:asciiTheme="minorHAnsi" w:hAnsiTheme="minorHAnsi" w:cstheme="minorHAnsi"/>
        </w:rPr>
        <w:t xml:space="preserve"> </w:t>
      </w:r>
      <w:r w:rsidR="006F0674">
        <w:rPr>
          <w:rFonts w:asciiTheme="minorHAnsi" w:hAnsiTheme="minorHAnsi" w:cstheme="minorHAnsi"/>
        </w:rPr>
        <w:t>existing</w:t>
      </w:r>
      <w:r w:rsidRPr="00966C86">
        <w:rPr>
          <w:rFonts w:asciiTheme="minorHAnsi" w:hAnsiTheme="minorHAnsi" w:cstheme="minorHAnsi"/>
        </w:rPr>
        <w:t xml:space="preserve"> buildings, leading to consideration of schemes based on actual performance. </w:t>
      </w:r>
    </w:p>
    <w:p w14:paraId="68258E2C" w14:textId="4A53FF52" w:rsidR="00547CBB" w:rsidRPr="00480F0A" w:rsidRDefault="00547CBB" w:rsidP="00547CBB">
      <w:pPr>
        <w:pStyle w:val="BodyText"/>
        <w:rPr>
          <w:rFonts w:asciiTheme="minorHAnsi" w:hAnsiTheme="minorHAnsi" w:cstheme="minorHAnsi"/>
        </w:rPr>
      </w:pPr>
      <w:r>
        <w:rPr>
          <w:rFonts w:asciiTheme="minorHAnsi" w:hAnsiTheme="minorHAnsi" w:cstheme="minorHAnsi"/>
        </w:rPr>
        <w:t>A</w:t>
      </w:r>
      <w:r w:rsidRPr="00480F0A">
        <w:rPr>
          <w:rFonts w:asciiTheme="minorHAnsi" w:hAnsiTheme="minorHAnsi" w:cstheme="minorHAnsi"/>
        </w:rPr>
        <w:t>n international review</w:t>
      </w:r>
      <w:r w:rsidR="00723239">
        <w:rPr>
          <w:rFonts w:ascii="ZWAdobeF" w:hAnsi="ZWAdobeF" w:cs="ZWAdobeF"/>
          <w:color w:val="auto"/>
          <w:sz w:val="2"/>
          <w:szCs w:val="2"/>
        </w:rPr>
        <w:t>96F</w:t>
      </w:r>
      <w:r w:rsidR="00EE36E3">
        <w:rPr>
          <w:rFonts w:ascii="ZWAdobeF" w:hAnsi="ZWAdobeF" w:cs="ZWAdobeF"/>
          <w:color w:val="auto"/>
          <w:sz w:val="2"/>
          <w:szCs w:val="2"/>
        </w:rPr>
        <w:t>96F</w:t>
      </w:r>
      <w:r w:rsidR="00122C48">
        <w:rPr>
          <w:rFonts w:ascii="ZWAdobeF" w:hAnsi="ZWAdobeF" w:cs="ZWAdobeF"/>
          <w:color w:val="auto"/>
          <w:sz w:val="2"/>
          <w:szCs w:val="2"/>
        </w:rPr>
        <w:t>96F</w:t>
      </w:r>
      <w:r w:rsidR="00F73A23">
        <w:rPr>
          <w:rFonts w:ascii="ZWAdobeF" w:hAnsi="ZWAdobeF" w:cs="ZWAdobeF"/>
          <w:color w:val="auto"/>
          <w:sz w:val="2"/>
          <w:szCs w:val="2"/>
        </w:rPr>
        <w:t>96F</w:t>
      </w:r>
      <w:r w:rsidR="00626378">
        <w:rPr>
          <w:rFonts w:ascii="ZWAdobeF" w:hAnsi="ZWAdobeF" w:cs="ZWAdobeF"/>
          <w:color w:val="auto"/>
          <w:sz w:val="2"/>
          <w:szCs w:val="2"/>
        </w:rPr>
        <w:t>96F</w:t>
      </w:r>
      <w:r w:rsidR="00413811">
        <w:rPr>
          <w:rFonts w:ascii="ZWAdobeF" w:hAnsi="ZWAdobeF" w:cs="ZWAdobeF"/>
          <w:color w:val="auto"/>
          <w:sz w:val="2"/>
          <w:szCs w:val="2"/>
        </w:rPr>
        <w:t>96F</w:t>
      </w:r>
      <w:r w:rsidR="002C327C">
        <w:rPr>
          <w:rFonts w:ascii="ZWAdobeF" w:hAnsi="ZWAdobeF" w:cs="ZWAdobeF"/>
          <w:color w:val="auto"/>
          <w:sz w:val="2"/>
          <w:szCs w:val="2"/>
        </w:rPr>
        <w:t>96F</w:t>
      </w:r>
      <w:r w:rsidR="00D24A06">
        <w:rPr>
          <w:rFonts w:ascii="ZWAdobeF" w:hAnsi="ZWAdobeF" w:cs="ZWAdobeF"/>
          <w:color w:val="auto"/>
          <w:sz w:val="2"/>
          <w:szCs w:val="2"/>
        </w:rPr>
        <w:t>96F</w:t>
      </w:r>
      <w:r w:rsidRPr="00480F0A">
        <w:rPr>
          <w:rFonts w:asciiTheme="minorHAnsi" w:hAnsiTheme="minorHAnsi" w:cstheme="minorHAnsi"/>
          <w:vertAlign w:val="superscript"/>
        </w:rPr>
        <w:footnoteReference w:id="98"/>
      </w:r>
      <w:r w:rsidRPr="00480F0A">
        <w:rPr>
          <w:rFonts w:asciiTheme="minorHAnsi" w:hAnsiTheme="minorHAnsi" w:cstheme="minorHAnsi"/>
        </w:rPr>
        <w:t xml:space="preserve"> of public policy impact on building efficiency found mandatory and regulatory measures, such as energy building codes and standards, are generally considered cost-effective for long-term behaviour change. Other policy instruments include certificates and labels, utility programs</w:t>
      </w:r>
      <w:r w:rsidR="00723239">
        <w:rPr>
          <w:rFonts w:ascii="ZWAdobeF" w:hAnsi="ZWAdobeF" w:cs="ZWAdobeF"/>
          <w:color w:val="auto"/>
          <w:sz w:val="2"/>
          <w:szCs w:val="2"/>
        </w:rPr>
        <w:t>97F</w:t>
      </w:r>
      <w:r w:rsidR="00EE36E3">
        <w:rPr>
          <w:rFonts w:ascii="ZWAdobeF" w:hAnsi="ZWAdobeF" w:cs="ZWAdobeF"/>
          <w:color w:val="auto"/>
          <w:sz w:val="2"/>
          <w:szCs w:val="2"/>
        </w:rPr>
        <w:t>97F</w:t>
      </w:r>
      <w:r w:rsidR="00122C48">
        <w:rPr>
          <w:rFonts w:ascii="ZWAdobeF" w:hAnsi="ZWAdobeF" w:cs="ZWAdobeF"/>
          <w:color w:val="auto"/>
          <w:sz w:val="2"/>
          <w:szCs w:val="2"/>
        </w:rPr>
        <w:t>97F</w:t>
      </w:r>
      <w:r w:rsidR="00F73A23">
        <w:rPr>
          <w:rFonts w:ascii="ZWAdobeF" w:hAnsi="ZWAdobeF" w:cs="ZWAdobeF"/>
          <w:color w:val="auto"/>
          <w:sz w:val="2"/>
          <w:szCs w:val="2"/>
        </w:rPr>
        <w:t>97F</w:t>
      </w:r>
      <w:r w:rsidR="00626378">
        <w:rPr>
          <w:rFonts w:ascii="ZWAdobeF" w:hAnsi="ZWAdobeF" w:cs="ZWAdobeF"/>
          <w:color w:val="auto"/>
          <w:sz w:val="2"/>
          <w:szCs w:val="2"/>
        </w:rPr>
        <w:t>97F</w:t>
      </w:r>
      <w:r w:rsidR="00413811">
        <w:rPr>
          <w:rFonts w:ascii="ZWAdobeF" w:hAnsi="ZWAdobeF" w:cs="ZWAdobeF"/>
          <w:color w:val="auto"/>
          <w:sz w:val="2"/>
          <w:szCs w:val="2"/>
        </w:rPr>
        <w:t>97F</w:t>
      </w:r>
      <w:r w:rsidR="002C327C">
        <w:rPr>
          <w:rFonts w:ascii="ZWAdobeF" w:hAnsi="ZWAdobeF" w:cs="ZWAdobeF"/>
          <w:color w:val="auto"/>
          <w:sz w:val="2"/>
          <w:szCs w:val="2"/>
        </w:rPr>
        <w:t>97F</w:t>
      </w:r>
      <w:r w:rsidR="00D24A06">
        <w:rPr>
          <w:rFonts w:ascii="ZWAdobeF" w:hAnsi="ZWAdobeF" w:cs="ZWAdobeF"/>
          <w:color w:val="auto"/>
          <w:sz w:val="2"/>
          <w:szCs w:val="2"/>
        </w:rPr>
        <w:t>97F</w:t>
      </w:r>
      <w:r w:rsidRPr="00480F0A">
        <w:rPr>
          <w:rStyle w:val="FootnoteReference"/>
          <w:rFonts w:asciiTheme="minorHAnsi" w:hAnsiTheme="minorHAnsi" w:cstheme="minorHAnsi"/>
        </w:rPr>
        <w:footnoteReference w:id="99"/>
      </w:r>
      <w:r w:rsidRPr="00480F0A">
        <w:rPr>
          <w:rFonts w:asciiTheme="minorHAnsi" w:hAnsiTheme="minorHAnsi" w:cstheme="minorHAnsi"/>
        </w:rPr>
        <w:t>, Energy Service Companies (</w:t>
      </w:r>
      <w:proofErr w:type="spellStart"/>
      <w:r w:rsidRPr="00480F0A">
        <w:rPr>
          <w:rFonts w:asciiTheme="minorHAnsi" w:hAnsiTheme="minorHAnsi" w:cstheme="minorHAnsi"/>
        </w:rPr>
        <w:t>ESCOs</w:t>
      </w:r>
      <w:proofErr w:type="spellEnd"/>
      <w:r w:rsidRPr="00480F0A">
        <w:rPr>
          <w:rFonts w:asciiTheme="minorHAnsi" w:hAnsiTheme="minorHAnsi" w:cstheme="minorHAnsi"/>
        </w:rPr>
        <w:t>)</w:t>
      </w:r>
      <w:proofErr w:type="spellStart"/>
      <w:r w:rsidR="00723239">
        <w:rPr>
          <w:rFonts w:ascii="ZWAdobeF" w:hAnsi="ZWAdobeF" w:cs="ZWAdobeF"/>
          <w:color w:val="auto"/>
          <w:sz w:val="2"/>
          <w:szCs w:val="2"/>
        </w:rPr>
        <w:t>98F</w:t>
      </w:r>
      <w:r w:rsidR="00EE36E3">
        <w:rPr>
          <w:rFonts w:ascii="ZWAdobeF" w:hAnsi="ZWAdobeF" w:cs="ZWAdobeF"/>
          <w:color w:val="auto"/>
          <w:sz w:val="2"/>
          <w:szCs w:val="2"/>
        </w:rPr>
        <w:t>98F</w:t>
      </w:r>
      <w:r w:rsidR="00122C48">
        <w:rPr>
          <w:rFonts w:ascii="ZWAdobeF" w:hAnsi="ZWAdobeF" w:cs="ZWAdobeF"/>
          <w:color w:val="auto"/>
          <w:sz w:val="2"/>
          <w:szCs w:val="2"/>
        </w:rPr>
        <w:t>98F</w:t>
      </w:r>
      <w:r w:rsidR="00F73A23">
        <w:rPr>
          <w:rFonts w:ascii="ZWAdobeF" w:hAnsi="ZWAdobeF" w:cs="ZWAdobeF"/>
          <w:color w:val="auto"/>
          <w:sz w:val="2"/>
          <w:szCs w:val="2"/>
        </w:rPr>
        <w:t>98F</w:t>
      </w:r>
      <w:r w:rsidR="00626378">
        <w:rPr>
          <w:rFonts w:ascii="ZWAdobeF" w:hAnsi="ZWAdobeF" w:cs="ZWAdobeF"/>
          <w:color w:val="auto"/>
          <w:sz w:val="2"/>
          <w:szCs w:val="2"/>
        </w:rPr>
        <w:t>98F</w:t>
      </w:r>
      <w:r w:rsidR="00413811">
        <w:rPr>
          <w:rFonts w:ascii="ZWAdobeF" w:hAnsi="ZWAdobeF" w:cs="ZWAdobeF"/>
          <w:color w:val="auto"/>
          <w:sz w:val="2"/>
          <w:szCs w:val="2"/>
        </w:rPr>
        <w:t>98F</w:t>
      </w:r>
      <w:r w:rsidR="002C327C">
        <w:rPr>
          <w:rFonts w:ascii="ZWAdobeF" w:hAnsi="ZWAdobeF" w:cs="ZWAdobeF"/>
          <w:color w:val="auto"/>
          <w:sz w:val="2"/>
          <w:szCs w:val="2"/>
        </w:rPr>
        <w:t>98F</w:t>
      </w:r>
      <w:r w:rsidR="00D24A06">
        <w:rPr>
          <w:rFonts w:ascii="ZWAdobeF" w:hAnsi="ZWAdobeF" w:cs="ZWAdobeF"/>
          <w:color w:val="auto"/>
          <w:sz w:val="2"/>
          <w:szCs w:val="2"/>
        </w:rPr>
        <w:t>98F</w:t>
      </w:r>
      <w:proofErr w:type="spellEnd"/>
      <w:r w:rsidRPr="00480F0A">
        <w:rPr>
          <w:rStyle w:val="FootnoteReference"/>
          <w:rFonts w:asciiTheme="minorHAnsi" w:hAnsiTheme="minorHAnsi" w:cstheme="minorHAnsi"/>
        </w:rPr>
        <w:footnoteReference w:id="100"/>
      </w:r>
      <w:r w:rsidRPr="00480F0A">
        <w:rPr>
          <w:rFonts w:asciiTheme="minorHAnsi" w:hAnsiTheme="minorHAnsi" w:cstheme="minorHAnsi"/>
        </w:rPr>
        <w:t>, audits, and taxes.</w:t>
      </w:r>
    </w:p>
    <w:p w14:paraId="0561BFE7" w14:textId="77777777" w:rsidR="00A71ABE" w:rsidRDefault="00A71ABE">
      <w:pPr>
        <w:spacing w:before="0" w:after="160" w:line="259" w:lineRule="auto"/>
        <w:rPr>
          <w:rFonts w:ascii="Calibri" w:eastAsia="Times New Roman" w:hAnsi="Calibri" w:cs="Times New Roman"/>
          <w:b/>
          <w:bCs/>
          <w:color w:val="auto"/>
          <w:sz w:val="24"/>
          <w:szCs w:val="18"/>
        </w:rPr>
      </w:pPr>
      <w:bookmarkStart w:id="177" w:name="_Ref136251953"/>
      <w:r>
        <w:rPr>
          <w:rFonts w:ascii="Calibri" w:eastAsia="Times New Roman" w:hAnsi="Calibri" w:cs="Times New Roman"/>
          <w:b/>
          <w:bCs/>
          <w:i/>
          <w:iCs/>
          <w:color w:val="auto"/>
          <w:sz w:val="24"/>
        </w:rPr>
        <w:br w:type="page"/>
      </w:r>
    </w:p>
    <w:p w14:paraId="24CF9A57" w14:textId="73802466" w:rsidR="00547CBB" w:rsidRPr="004E3937" w:rsidRDefault="00547CBB" w:rsidP="004E3937">
      <w:pPr>
        <w:pStyle w:val="Caption"/>
        <w:keepNext/>
        <w:spacing w:after="120"/>
        <w:rPr>
          <w:rFonts w:ascii="Calibri" w:eastAsia="Times New Roman" w:hAnsi="Calibri" w:cs="Times New Roman"/>
          <w:b/>
          <w:bCs/>
          <w:i w:val="0"/>
          <w:iCs w:val="0"/>
          <w:color w:val="auto"/>
          <w:sz w:val="24"/>
        </w:rPr>
      </w:pPr>
      <w:bookmarkStart w:id="178" w:name="_Toc162535446"/>
      <w:r w:rsidRPr="004E3937">
        <w:rPr>
          <w:rFonts w:ascii="Calibri" w:eastAsia="Times New Roman" w:hAnsi="Calibri" w:cs="Times New Roman"/>
          <w:b/>
          <w:bCs/>
          <w:i w:val="0"/>
          <w:iCs w:val="0"/>
          <w:color w:val="auto"/>
          <w:sz w:val="24"/>
        </w:rPr>
        <w:lastRenderedPageBreak/>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10</w:t>
      </w:r>
      <w:r w:rsidRPr="004E3937">
        <w:rPr>
          <w:rFonts w:ascii="Calibri" w:eastAsia="Times New Roman" w:hAnsi="Calibri" w:cs="Times New Roman"/>
          <w:b/>
          <w:bCs/>
          <w:i w:val="0"/>
          <w:iCs w:val="0"/>
          <w:color w:val="auto"/>
          <w:sz w:val="24"/>
        </w:rPr>
        <w:fldChar w:fldCharType="end"/>
      </w:r>
      <w:bookmarkEnd w:id="177"/>
      <w:r w:rsidRPr="004E3937">
        <w:rPr>
          <w:rFonts w:ascii="Calibri" w:eastAsia="Times New Roman" w:hAnsi="Calibri" w:cs="Times New Roman"/>
          <w:b/>
          <w:bCs/>
          <w:i w:val="0"/>
          <w:iCs w:val="0"/>
          <w:color w:val="auto"/>
          <w:sz w:val="24"/>
        </w:rPr>
        <w:t xml:space="preserve">: Building energy, emissions </w:t>
      </w:r>
      <w:r w:rsidR="00C21FCC" w:rsidRPr="004E3937">
        <w:rPr>
          <w:rFonts w:ascii="Calibri" w:eastAsia="Times New Roman" w:hAnsi="Calibri" w:cs="Times New Roman"/>
          <w:b/>
          <w:bCs/>
          <w:i w:val="0"/>
          <w:iCs w:val="0"/>
          <w:color w:val="auto"/>
          <w:sz w:val="24"/>
        </w:rPr>
        <w:t xml:space="preserve">changes </w:t>
      </w:r>
      <w:r w:rsidRPr="004E3937">
        <w:rPr>
          <w:rFonts w:ascii="Calibri" w:eastAsia="Times New Roman" w:hAnsi="Calibri" w:cs="Times New Roman"/>
          <w:b/>
          <w:bCs/>
          <w:i w:val="0"/>
          <w:iCs w:val="0"/>
          <w:color w:val="auto"/>
          <w:sz w:val="24"/>
        </w:rPr>
        <w:t>from policy introduction</w:t>
      </w:r>
      <w:bookmarkEnd w:id="178"/>
      <w:r w:rsidRPr="004E3937">
        <w:rPr>
          <w:rFonts w:ascii="Calibri" w:eastAsia="Times New Roman" w:hAnsi="Calibri" w:cs="Times New Roman"/>
          <w:b/>
          <w:bCs/>
          <w:i w:val="0"/>
          <w:iCs w:val="0"/>
          <w:color w:val="auto"/>
          <w:sz w:val="24"/>
        </w:rPr>
        <w:t xml:space="preserve"> </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2169"/>
        <w:gridCol w:w="6706"/>
      </w:tblGrid>
      <w:tr w:rsidR="00547CBB" w14:paraId="4F92110F" w14:textId="77777777" w:rsidTr="007159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7" w:type="pct"/>
            <w:tcBorders>
              <w:top w:val="single" w:sz="4" w:space="0" w:color="auto"/>
              <w:left w:val="single" w:sz="4" w:space="0" w:color="auto"/>
              <w:bottom w:val="single" w:sz="12" w:space="0" w:color="auto"/>
            </w:tcBorders>
            <w:shd w:val="clear" w:color="auto" w:fill="auto"/>
            <w:vAlign w:val="center"/>
          </w:tcPr>
          <w:p w14:paraId="6CA8B6D7" w14:textId="77777777" w:rsidR="00547CBB" w:rsidRPr="00A71ABE" w:rsidRDefault="00547CBB">
            <w:pPr>
              <w:pStyle w:val="BodyText"/>
              <w:spacing w:after="0"/>
              <w:jc w:val="center"/>
              <w:rPr>
                <w:rFonts w:asciiTheme="minorHAnsi" w:hAnsiTheme="minorHAnsi" w:cstheme="minorHAnsi"/>
                <w:sz w:val="18"/>
                <w:szCs w:val="18"/>
              </w:rPr>
            </w:pPr>
            <w:r w:rsidRPr="00A71ABE">
              <w:rPr>
                <w:rFonts w:asciiTheme="minorHAnsi" w:hAnsiTheme="minorHAnsi" w:cstheme="minorHAnsi"/>
                <w:sz w:val="18"/>
                <w:szCs w:val="18"/>
              </w:rPr>
              <w:t>Jurisdiction</w:t>
            </w:r>
          </w:p>
        </w:tc>
        <w:tc>
          <w:tcPr>
            <w:tcW w:w="1064" w:type="pct"/>
            <w:tcBorders>
              <w:top w:val="single" w:sz="4" w:space="0" w:color="auto"/>
              <w:bottom w:val="single" w:sz="12" w:space="0" w:color="auto"/>
            </w:tcBorders>
            <w:shd w:val="clear" w:color="auto" w:fill="auto"/>
            <w:vAlign w:val="center"/>
          </w:tcPr>
          <w:p w14:paraId="1F7B4BBF" w14:textId="77777777" w:rsidR="00547CBB" w:rsidRPr="00A71ABE" w:rsidRDefault="00547CBB">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71ABE">
              <w:rPr>
                <w:rFonts w:asciiTheme="minorHAnsi" w:hAnsiTheme="minorHAnsi" w:cstheme="minorHAnsi"/>
                <w:sz w:val="18"/>
                <w:szCs w:val="18"/>
              </w:rPr>
              <w:t>Scheme/policy</w:t>
            </w:r>
          </w:p>
        </w:tc>
        <w:tc>
          <w:tcPr>
            <w:tcW w:w="3289" w:type="pct"/>
            <w:tcBorders>
              <w:top w:val="single" w:sz="4" w:space="0" w:color="auto"/>
              <w:bottom w:val="single" w:sz="12" w:space="0" w:color="auto"/>
              <w:right w:val="single" w:sz="4" w:space="0" w:color="auto"/>
            </w:tcBorders>
            <w:shd w:val="clear" w:color="auto" w:fill="auto"/>
            <w:vAlign w:val="center"/>
          </w:tcPr>
          <w:p w14:paraId="581598C1" w14:textId="75AA1530" w:rsidR="00547CBB" w:rsidRPr="00A71ABE" w:rsidRDefault="00547CBB">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71ABE">
              <w:rPr>
                <w:rFonts w:asciiTheme="minorHAnsi" w:hAnsiTheme="minorHAnsi" w:cstheme="minorHAnsi"/>
                <w:sz w:val="18"/>
                <w:szCs w:val="18"/>
              </w:rPr>
              <w:t xml:space="preserve">Evidence (or lack of) of effectiveness </w:t>
            </w:r>
          </w:p>
        </w:tc>
      </w:tr>
      <w:tr w:rsidR="00547CBB" w14:paraId="06685600" w14:textId="77777777" w:rsidTr="00715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Borders>
              <w:top w:val="single" w:sz="12" w:space="0" w:color="auto"/>
            </w:tcBorders>
            <w:shd w:val="clear" w:color="auto" w:fill="auto"/>
            <w:vAlign w:val="center"/>
          </w:tcPr>
          <w:p w14:paraId="31A54A56"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UK</w:t>
            </w:r>
          </w:p>
        </w:tc>
        <w:tc>
          <w:tcPr>
            <w:tcW w:w="1064" w:type="pct"/>
            <w:tcBorders>
              <w:top w:val="single" w:sz="12" w:space="0" w:color="auto"/>
            </w:tcBorders>
            <w:shd w:val="clear" w:color="auto" w:fill="auto"/>
            <w:vAlign w:val="center"/>
          </w:tcPr>
          <w:p w14:paraId="2D218F93" w14:textId="77777777" w:rsidR="00547CBB" w:rsidRPr="00480F0A"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spellStart"/>
            <w:r w:rsidRPr="00480F0A">
              <w:rPr>
                <w:rFonts w:asciiTheme="minorHAnsi" w:hAnsiTheme="minorHAnsi" w:cstheme="minorHAnsi"/>
                <w:sz w:val="18"/>
                <w:szCs w:val="18"/>
              </w:rPr>
              <w:t>EPBD</w:t>
            </w:r>
            <w:proofErr w:type="spellEnd"/>
            <w:r w:rsidRPr="00480F0A">
              <w:rPr>
                <w:rFonts w:asciiTheme="minorHAnsi" w:hAnsiTheme="minorHAnsi" w:cstheme="minorHAnsi"/>
                <w:sz w:val="18"/>
                <w:szCs w:val="18"/>
              </w:rPr>
              <w:t xml:space="preserve"> requiring </w:t>
            </w:r>
            <w:proofErr w:type="spellStart"/>
            <w:r w:rsidRPr="00480F0A">
              <w:rPr>
                <w:rFonts w:asciiTheme="minorHAnsi" w:hAnsiTheme="minorHAnsi" w:cstheme="minorHAnsi"/>
                <w:sz w:val="18"/>
                <w:szCs w:val="18"/>
              </w:rPr>
              <w:t>EPCs</w:t>
            </w:r>
            <w:proofErr w:type="spellEnd"/>
            <w:r w:rsidRPr="00480F0A">
              <w:rPr>
                <w:rFonts w:asciiTheme="minorHAnsi" w:hAnsiTheme="minorHAnsi" w:cstheme="minorHAnsi"/>
                <w:sz w:val="18"/>
                <w:szCs w:val="18"/>
              </w:rPr>
              <w:t xml:space="preserve"> on sale or lease</w:t>
            </w:r>
          </w:p>
        </w:tc>
        <w:tc>
          <w:tcPr>
            <w:tcW w:w="3289" w:type="pct"/>
            <w:tcBorders>
              <w:top w:val="single" w:sz="12" w:space="0" w:color="auto"/>
            </w:tcBorders>
            <w:shd w:val="clear" w:color="auto" w:fill="auto"/>
            <w:vAlign w:val="center"/>
          </w:tcPr>
          <w:p w14:paraId="7B8DB511" w14:textId="1376C4D5" w:rsidR="00547CBB" w:rsidRPr="00480F0A"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Contributed to carbon emissions in buildings falling 14% (most impact from 2008-2015 and the study notes other factors contributed to the reduction)</w:t>
            </w:r>
            <w:r w:rsidR="001E7BA0" w:rsidRPr="00A71ABE">
              <w:rPr>
                <w:rFonts w:asciiTheme="minorHAnsi" w:hAnsiTheme="minorHAnsi" w:cstheme="minorHAnsi"/>
                <w:sz w:val="2"/>
                <w:szCs w:val="2"/>
              </w:rPr>
              <w:t>101F</w:t>
            </w:r>
            <w:r w:rsidR="00723239" w:rsidRPr="00A71ABE">
              <w:rPr>
                <w:rFonts w:ascii="ZWAdobeF" w:hAnsi="ZWAdobeF" w:cs="ZWAdobeF"/>
                <w:sz w:val="2"/>
                <w:szCs w:val="2"/>
              </w:rPr>
              <w:t>99F</w:t>
            </w:r>
            <w:r w:rsidR="00EE36E3" w:rsidRPr="00A71ABE">
              <w:rPr>
                <w:rFonts w:ascii="ZWAdobeF" w:hAnsi="ZWAdobeF" w:cs="ZWAdobeF"/>
                <w:sz w:val="2"/>
                <w:szCs w:val="2"/>
              </w:rPr>
              <w:t>99F</w:t>
            </w:r>
            <w:r w:rsidR="00122C48" w:rsidRPr="00A71ABE">
              <w:rPr>
                <w:rFonts w:ascii="ZWAdobeF" w:hAnsi="ZWAdobeF" w:cs="ZWAdobeF"/>
                <w:sz w:val="2"/>
                <w:szCs w:val="2"/>
              </w:rPr>
              <w:t>99F</w:t>
            </w:r>
            <w:r w:rsidR="00F73A23" w:rsidRPr="00A71ABE">
              <w:rPr>
                <w:rFonts w:ascii="ZWAdobeF" w:hAnsi="ZWAdobeF" w:cs="ZWAdobeF"/>
                <w:sz w:val="2"/>
                <w:szCs w:val="2"/>
              </w:rPr>
              <w:t>99F</w:t>
            </w:r>
            <w:r w:rsidR="00626378">
              <w:rPr>
                <w:rFonts w:ascii="ZWAdobeF" w:hAnsi="ZWAdobeF" w:cs="ZWAdobeF"/>
                <w:color w:val="auto"/>
                <w:sz w:val="2"/>
                <w:szCs w:val="2"/>
              </w:rPr>
              <w:t>99F</w:t>
            </w:r>
            <w:r w:rsidR="00413811">
              <w:rPr>
                <w:rFonts w:ascii="ZWAdobeF" w:hAnsi="ZWAdobeF" w:cs="ZWAdobeF"/>
                <w:color w:val="auto"/>
                <w:sz w:val="2"/>
                <w:szCs w:val="2"/>
              </w:rPr>
              <w:t>99F</w:t>
            </w:r>
            <w:r w:rsidR="002C327C">
              <w:rPr>
                <w:rFonts w:ascii="ZWAdobeF" w:hAnsi="ZWAdobeF" w:cs="ZWAdobeF"/>
                <w:color w:val="auto"/>
                <w:sz w:val="2"/>
                <w:szCs w:val="2"/>
              </w:rPr>
              <w:t>99F</w:t>
            </w:r>
            <w:r w:rsidR="00D24A06">
              <w:rPr>
                <w:rFonts w:ascii="ZWAdobeF" w:hAnsi="ZWAdobeF" w:cs="ZWAdobeF"/>
                <w:color w:val="auto"/>
                <w:sz w:val="2"/>
                <w:szCs w:val="2"/>
              </w:rPr>
              <w:t>99F</w:t>
            </w:r>
            <w:r w:rsidRPr="00480F0A">
              <w:rPr>
                <w:rStyle w:val="FootnoteReference"/>
                <w:rFonts w:asciiTheme="minorHAnsi" w:hAnsiTheme="minorHAnsi" w:cstheme="minorHAnsi"/>
                <w:sz w:val="18"/>
                <w:szCs w:val="18"/>
              </w:rPr>
              <w:footnoteReference w:id="101"/>
            </w:r>
          </w:p>
        </w:tc>
      </w:tr>
      <w:tr w:rsidR="00547CBB" w14:paraId="481CA178" w14:textId="77777777" w:rsidTr="00A71ABE">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6BB7E52F" w14:textId="73BC2AEB" w:rsidR="00547CBB" w:rsidRPr="00480F0A" w:rsidRDefault="00A71ABE">
            <w:pPr>
              <w:pStyle w:val="BodyText"/>
              <w:spacing w:after="0"/>
              <w:jc w:val="center"/>
              <w:rPr>
                <w:rFonts w:asciiTheme="minorHAnsi" w:hAnsiTheme="minorHAnsi" w:cstheme="minorHAnsi"/>
                <w:sz w:val="18"/>
                <w:szCs w:val="18"/>
              </w:rPr>
            </w:pPr>
            <w:r>
              <w:rPr>
                <w:rFonts w:asciiTheme="minorHAnsi" w:hAnsiTheme="minorHAnsi" w:cstheme="minorHAnsi"/>
                <w:sz w:val="18"/>
                <w:szCs w:val="18"/>
              </w:rPr>
              <w:t>UK</w:t>
            </w:r>
          </w:p>
        </w:tc>
        <w:tc>
          <w:tcPr>
            <w:tcW w:w="1064" w:type="pct"/>
            <w:shd w:val="clear" w:color="auto" w:fill="auto"/>
            <w:vAlign w:val="center"/>
          </w:tcPr>
          <w:p w14:paraId="08E03C35" w14:textId="77777777" w:rsidR="00547CBB" w:rsidRPr="00480F0A"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80F0A">
              <w:rPr>
                <w:rFonts w:asciiTheme="minorHAnsi" w:hAnsiTheme="minorHAnsi" w:cstheme="minorHAnsi"/>
                <w:sz w:val="18"/>
                <w:szCs w:val="18"/>
              </w:rPr>
              <w:t>EPCs</w:t>
            </w:r>
            <w:proofErr w:type="spellEnd"/>
            <w:r w:rsidRPr="00480F0A">
              <w:rPr>
                <w:rFonts w:asciiTheme="minorHAnsi" w:hAnsiTheme="minorHAnsi" w:cstheme="minorHAnsi"/>
                <w:sz w:val="18"/>
                <w:szCs w:val="18"/>
              </w:rPr>
              <w:t xml:space="preserve"> on sale or lease</w:t>
            </w:r>
          </w:p>
        </w:tc>
        <w:tc>
          <w:tcPr>
            <w:tcW w:w="3289" w:type="pct"/>
            <w:shd w:val="clear" w:color="auto" w:fill="auto"/>
            <w:vAlign w:val="center"/>
          </w:tcPr>
          <w:p w14:paraId="1D7261BF" w14:textId="4E69E343" w:rsidR="00547CBB" w:rsidRPr="00480F0A"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Weak correlation between the EPC score and actual energy performance of larger buildings (&gt; 1,000 square metres)</w:t>
            </w:r>
            <w:r w:rsidR="00723239" w:rsidRPr="00A71ABE">
              <w:rPr>
                <w:rFonts w:ascii="ZWAdobeF" w:hAnsi="ZWAdobeF" w:cs="ZWAdobeF"/>
                <w:sz w:val="2"/>
                <w:szCs w:val="2"/>
              </w:rPr>
              <w:t>100F</w:t>
            </w:r>
            <w:r w:rsidR="00EE36E3" w:rsidRPr="00A71ABE">
              <w:rPr>
                <w:rFonts w:ascii="ZWAdobeF" w:hAnsi="ZWAdobeF" w:cs="ZWAdobeF"/>
                <w:sz w:val="2"/>
                <w:szCs w:val="2"/>
              </w:rPr>
              <w:t>100F</w:t>
            </w:r>
            <w:r w:rsidR="00122C48" w:rsidRPr="00A71ABE">
              <w:rPr>
                <w:rFonts w:ascii="ZWAdobeF" w:hAnsi="ZWAdobeF" w:cs="ZWAdobeF"/>
                <w:sz w:val="2"/>
                <w:szCs w:val="2"/>
              </w:rPr>
              <w:t>100F</w:t>
            </w:r>
            <w:r w:rsidR="00F73A23" w:rsidRPr="00A71ABE">
              <w:rPr>
                <w:rFonts w:ascii="ZWAdobeF" w:hAnsi="ZWAdobeF" w:cs="ZWAdobeF"/>
                <w:sz w:val="2"/>
                <w:szCs w:val="2"/>
              </w:rPr>
              <w:t>100F</w:t>
            </w:r>
            <w:r w:rsidR="00626378">
              <w:rPr>
                <w:rFonts w:ascii="ZWAdobeF" w:hAnsi="ZWAdobeF" w:cs="ZWAdobeF"/>
                <w:color w:val="auto"/>
                <w:sz w:val="2"/>
                <w:szCs w:val="2"/>
              </w:rPr>
              <w:t>100F</w:t>
            </w:r>
            <w:r w:rsidR="00413811">
              <w:rPr>
                <w:rFonts w:ascii="ZWAdobeF" w:hAnsi="ZWAdobeF" w:cs="ZWAdobeF"/>
                <w:color w:val="auto"/>
                <w:sz w:val="2"/>
                <w:szCs w:val="2"/>
              </w:rPr>
              <w:t>100F</w:t>
            </w:r>
            <w:r w:rsidR="002C327C">
              <w:rPr>
                <w:rFonts w:ascii="ZWAdobeF" w:hAnsi="ZWAdobeF" w:cs="ZWAdobeF"/>
                <w:color w:val="auto"/>
                <w:sz w:val="2"/>
                <w:szCs w:val="2"/>
              </w:rPr>
              <w:t>100F</w:t>
            </w:r>
            <w:r w:rsidR="00D24A06">
              <w:rPr>
                <w:rFonts w:ascii="ZWAdobeF" w:hAnsi="ZWAdobeF" w:cs="ZWAdobeF"/>
                <w:color w:val="auto"/>
                <w:sz w:val="2"/>
                <w:szCs w:val="2"/>
              </w:rPr>
              <w:t>100F</w:t>
            </w:r>
            <w:r w:rsidRPr="00480F0A">
              <w:rPr>
                <w:rStyle w:val="FootnoteReference"/>
                <w:rFonts w:asciiTheme="minorHAnsi" w:hAnsiTheme="minorHAnsi" w:cstheme="minorHAnsi"/>
                <w:sz w:val="18"/>
                <w:szCs w:val="18"/>
              </w:rPr>
              <w:footnoteReference w:id="102"/>
            </w:r>
            <w:r w:rsidRPr="00480F0A">
              <w:rPr>
                <w:rFonts w:asciiTheme="minorHAnsi" w:hAnsiTheme="minorHAnsi" w:cstheme="minorHAnsi"/>
                <w:sz w:val="18"/>
                <w:szCs w:val="18"/>
              </w:rPr>
              <w:t xml:space="preserve"> </w:t>
            </w:r>
          </w:p>
        </w:tc>
      </w:tr>
      <w:tr w:rsidR="00547CBB" w14:paraId="354D60EA" w14:textId="77777777" w:rsidTr="00A7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0D6B6492" w14:textId="407F1188" w:rsidR="00547CBB" w:rsidRPr="00480F0A" w:rsidRDefault="00A71ABE">
            <w:pPr>
              <w:pStyle w:val="BodyText"/>
              <w:spacing w:after="0"/>
              <w:jc w:val="center"/>
              <w:rPr>
                <w:rFonts w:asciiTheme="minorHAnsi" w:hAnsiTheme="minorHAnsi" w:cstheme="minorHAnsi"/>
                <w:sz w:val="18"/>
                <w:szCs w:val="18"/>
              </w:rPr>
            </w:pPr>
            <w:r>
              <w:rPr>
                <w:rFonts w:asciiTheme="minorHAnsi" w:hAnsiTheme="minorHAnsi" w:cstheme="minorHAnsi"/>
                <w:sz w:val="18"/>
                <w:szCs w:val="18"/>
              </w:rPr>
              <w:t>UK</w:t>
            </w:r>
          </w:p>
        </w:tc>
        <w:tc>
          <w:tcPr>
            <w:tcW w:w="1064" w:type="pct"/>
            <w:shd w:val="clear" w:color="auto" w:fill="auto"/>
            <w:vAlign w:val="center"/>
          </w:tcPr>
          <w:p w14:paraId="6BFDDEB2" w14:textId="4F4070E8" w:rsidR="00547CBB" w:rsidRPr="00480F0A"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Energy Savings Opportunity Scheme (ESOS)</w:t>
            </w:r>
            <w:r w:rsidR="00723239" w:rsidRPr="00A71ABE">
              <w:rPr>
                <w:rFonts w:ascii="ZWAdobeF" w:hAnsi="ZWAdobeF" w:cs="ZWAdobeF"/>
                <w:sz w:val="2"/>
                <w:szCs w:val="2"/>
              </w:rPr>
              <w:t>101F</w:t>
            </w:r>
            <w:r w:rsidR="00EE36E3" w:rsidRPr="00A71ABE">
              <w:rPr>
                <w:rFonts w:ascii="ZWAdobeF" w:hAnsi="ZWAdobeF" w:cs="ZWAdobeF"/>
                <w:sz w:val="2"/>
                <w:szCs w:val="2"/>
              </w:rPr>
              <w:t>101F</w:t>
            </w:r>
            <w:r w:rsidR="00122C48" w:rsidRPr="00A71ABE">
              <w:rPr>
                <w:rFonts w:ascii="ZWAdobeF" w:hAnsi="ZWAdobeF" w:cs="ZWAdobeF"/>
                <w:sz w:val="2"/>
                <w:szCs w:val="2"/>
              </w:rPr>
              <w:t>101F</w:t>
            </w:r>
            <w:r w:rsidR="00F73A23" w:rsidRPr="00A71ABE">
              <w:rPr>
                <w:rFonts w:ascii="ZWAdobeF" w:hAnsi="ZWAdobeF" w:cs="ZWAdobeF"/>
                <w:sz w:val="2"/>
                <w:szCs w:val="2"/>
              </w:rPr>
              <w:t>101F</w:t>
            </w:r>
            <w:r w:rsidR="00626378">
              <w:rPr>
                <w:rFonts w:ascii="ZWAdobeF" w:hAnsi="ZWAdobeF" w:cs="ZWAdobeF"/>
                <w:color w:val="auto"/>
                <w:sz w:val="2"/>
                <w:szCs w:val="2"/>
              </w:rPr>
              <w:t>101F</w:t>
            </w:r>
            <w:r w:rsidR="00413811">
              <w:rPr>
                <w:rFonts w:ascii="ZWAdobeF" w:hAnsi="ZWAdobeF" w:cs="ZWAdobeF"/>
                <w:color w:val="auto"/>
                <w:sz w:val="2"/>
                <w:szCs w:val="2"/>
              </w:rPr>
              <w:t>101F</w:t>
            </w:r>
            <w:r w:rsidR="002C327C">
              <w:rPr>
                <w:rFonts w:ascii="ZWAdobeF" w:hAnsi="ZWAdobeF" w:cs="ZWAdobeF"/>
                <w:color w:val="auto"/>
                <w:sz w:val="2"/>
                <w:szCs w:val="2"/>
              </w:rPr>
              <w:t>101F</w:t>
            </w:r>
            <w:r w:rsidR="00D24A06">
              <w:rPr>
                <w:rFonts w:ascii="ZWAdobeF" w:hAnsi="ZWAdobeF" w:cs="ZWAdobeF"/>
                <w:color w:val="auto"/>
                <w:sz w:val="2"/>
                <w:szCs w:val="2"/>
              </w:rPr>
              <w:t>101F</w:t>
            </w:r>
            <w:r w:rsidRPr="00480F0A">
              <w:rPr>
                <w:rStyle w:val="FootnoteReference"/>
                <w:rFonts w:asciiTheme="minorHAnsi" w:hAnsiTheme="minorHAnsi" w:cstheme="minorHAnsi"/>
                <w:sz w:val="18"/>
                <w:szCs w:val="18"/>
              </w:rPr>
              <w:footnoteReference w:id="103"/>
            </w:r>
          </w:p>
        </w:tc>
        <w:tc>
          <w:tcPr>
            <w:tcW w:w="3289" w:type="pct"/>
            <w:shd w:val="clear" w:color="auto" w:fill="auto"/>
            <w:vAlign w:val="center"/>
          </w:tcPr>
          <w:p w14:paraId="05555292" w14:textId="76385FE0" w:rsidR="00547CBB" w:rsidRPr="00480F0A"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Existing buildings includes 11,900 businesses incl. not-for-profits but not public companies: net cost savings of 37 per cent, </w:t>
            </w:r>
            <w:proofErr w:type="gramStart"/>
            <w:r w:rsidRPr="00480F0A">
              <w:rPr>
                <w:rFonts w:asciiTheme="minorHAnsi" w:hAnsiTheme="minorHAnsi" w:cstheme="minorHAnsi"/>
                <w:sz w:val="18"/>
                <w:szCs w:val="18"/>
              </w:rPr>
              <w:t>energy</w:t>
            </w:r>
            <w:proofErr w:type="gramEnd"/>
            <w:r w:rsidRPr="00480F0A">
              <w:rPr>
                <w:rFonts w:asciiTheme="minorHAnsi" w:hAnsiTheme="minorHAnsi" w:cstheme="minorHAnsi"/>
                <w:sz w:val="18"/>
                <w:szCs w:val="18"/>
              </w:rPr>
              <w:t xml:space="preserve"> and fuel efficiency improvement ~1.65 TWh from buildings (138 MWh per business)</w:t>
            </w:r>
            <w:r w:rsidR="00723239" w:rsidRPr="00A71ABE">
              <w:rPr>
                <w:rFonts w:ascii="ZWAdobeF" w:hAnsi="ZWAdobeF" w:cs="ZWAdobeF"/>
                <w:sz w:val="2"/>
                <w:szCs w:val="2"/>
              </w:rPr>
              <w:t>102F</w:t>
            </w:r>
            <w:r w:rsidR="00EE36E3" w:rsidRPr="00A71ABE">
              <w:rPr>
                <w:rFonts w:ascii="ZWAdobeF" w:hAnsi="ZWAdobeF" w:cs="ZWAdobeF"/>
                <w:sz w:val="2"/>
                <w:szCs w:val="2"/>
              </w:rPr>
              <w:t>102F</w:t>
            </w:r>
            <w:r w:rsidR="00122C48" w:rsidRPr="00A71ABE">
              <w:rPr>
                <w:rFonts w:ascii="ZWAdobeF" w:hAnsi="ZWAdobeF" w:cs="ZWAdobeF"/>
                <w:sz w:val="2"/>
                <w:szCs w:val="2"/>
              </w:rPr>
              <w:t>102F</w:t>
            </w:r>
            <w:r w:rsidR="00F73A23" w:rsidRPr="00A71ABE">
              <w:rPr>
                <w:rFonts w:ascii="ZWAdobeF" w:hAnsi="ZWAdobeF" w:cs="ZWAdobeF"/>
                <w:sz w:val="2"/>
                <w:szCs w:val="2"/>
              </w:rPr>
              <w:t>102F</w:t>
            </w:r>
            <w:r w:rsidR="00626378">
              <w:rPr>
                <w:rFonts w:ascii="ZWAdobeF" w:hAnsi="ZWAdobeF" w:cs="ZWAdobeF"/>
                <w:color w:val="auto"/>
                <w:sz w:val="2"/>
                <w:szCs w:val="2"/>
              </w:rPr>
              <w:t>102F</w:t>
            </w:r>
            <w:r w:rsidR="00413811">
              <w:rPr>
                <w:rFonts w:ascii="ZWAdobeF" w:hAnsi="ZWAdobeF" w:cs="ZWAdobeF"/>
                <w:color w:val="auto"/>
                <w:sz w:val="2"/>
                <w:szCs w:val="2"/>
              </w:rPr>
              <w:t>102F</w:t>
            </w:r>
            <w:r w:rsidR="002C327C">
              <w:rPr>
                <w:rFonts w:ascii="ZWAdobeF" w:hAnsi="ZWAdobeF" w:cs="ZWAdobeF"/>
                <w:color w:val="auto"/>
                <w:sz w:val="2"/>
                <w:szCs w:val="2"/>
              </w:rPr>
              <w:t>102F</w:t>
            </w:r>
            <w:r w:rsidR="00D24A06">
              <w:rPr>
                <w:rFonts w:ascii="ZWAdobeF" w:hAnsi="ZWAdobeF" w:cs="ZWAdobeF"/>
                <w:color w:val="auto"/>
                <w:sz w:val="2"/>
                <w:szCs w:val="2"/>
              </w:rPr>
              <w:t>102F</w:t>
            </w:r>
            <w:r w:rsidRPr="00480F0A">
              <w:rPr>
                <w:rFonts w:asciiTheme="minorHAnsi" w:hAnsiTheme="minorHAnsi" w:cstheme="minorHAnsi"/>
                <w:sz w:val="18"/>
                <w:szCs w:val="18"/>
                <w:vertAlign w:val="superscript"/>
              </w:rPr>
              <w:footnoteReference w:id="104"/>
            </w:r>
          </w:p>
        </w:tc>
      </w:tr>
      <w:tr w:rsidR="00547CBB" w14:paraId="0C236025" w14:textId="77777777" w:rsidTr="00A71ABE">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748BBB7C"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Netherlands</w:t>
            </w:r>
          </w:p>
        </w:tc>
        <w:tc>
          <w:tcPr>
            <w:tcW w:w="1064" w:type="pct"/>
            <w:shd w:val="clear" w:color="auto" w:fill="auto"/>
            <w:vAlign w:val="center"/>
          </w:tcPr>
          <w:p w14:paraId="2FA47304" w14:textId="77777777" w:rsidR="00547CBB" w:rsidRPr="00480F0A"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480F0A">
              <w:rPr>
                <w:rFonts w:asciiTheme="minorHAnsi" w:hAnsiTheme="minorHAnsi" w:cstheme="minorHAnsi"/>
                <w:sz w:val="18"/>
                <w:szCs w:val="18"/>
              </w:rPr>
              <w:t>EPBD</w:t>
            </w:r>
            <w:proofErr w:type="spellEnd"/>
            <w:r w:rsidRPr="00480F0A">
              <w:rPr>
                <w:rFonts w:asciiTheme="minorHAnsi" w:hAnsiTheme="minorHAnsi" w:cstheme="minorHAnsi"/>
                <w:sz w:val="18"/>
                <w:szCs w:val="18"/>
              </w:rPr>
              <w:t xml:space="preserve"> requiring </w:t>
            </w:r>
            <w:proofErr w:type="spellStart"/>
            <w:r w:rsidRPr="00480F0A">
              <w:rPr>
                <w:rFonts w:asciiTheme="minorHAnsi" w:hAnsiTheme="minorHAnsi" w:cstheme="minorHAnsi"/>
                <w:sz w:val="18"/>
                <w:szCs w:val="18"/>
              </w:rPr>
              <w:t>EPCs</w:t>
            </w:r>
            <w:proofErr w:type="spellEnd"/>
            <w:r w:rsidRPr="00480F0A">
              <w:rPr>
                <w:rFonts w:asciiTheme="minorHAnsi" w:hAnsiTheme="minorHAnsi" w:cstheme="minorHAnsi"/>
                <w:sz w:val="18"/>
                <w:szCs w:val="18"/>
              </w:rPr>
              <w:t xml:space="preserve"> on sale or lease</w:t>
            </w:r>
          </w:p>
        </w:tc>
        <w:tc>
          <w:tcPr>
            <w:tcW w:w="3289" w:type="pct"/>
            <w:shd w:val="clear" w:color="auto" w:fill="auto"/>
            <w:vAlign w:val="center"/>
          </w:tcPr>
          <w:p w14:paraId="52DD3ABE" w14:textId="6BC30E48" w:rsidR="00547CBB" w:rsidRPr="00480F0A"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Non-profit housing associations: average energy index between 2017 and 2020 improved from 1.73 to 1.51 in 2020</w:t>
            </w:r>
            <w:r w:rsidR="00723239" w:rsidRPr="00A71ABE">
              <w:rPr>
                <w:rFonts w:ascii="ZWAdobeF" w:hAnsi="ZWAdobeF" w:cs="ZWAdobeF"/>
                <w:sz w:val="2"/>
                <w:szCs w:val="2"/>
              </w:rPr>
              <w:t>103F</w:t>
            </w:r>
            <w:r w:rsidR="00EE36E3" w:rsidRPr="00A71ABE">
              <w:rPr>
                <w:rFonts w:ascii="ZWAdobeF" w:hAnsi="ZWAdobeF" w:cs="ZWAdobeF"/>
                <w:sz w:val="2"/>
                <w:szCs w:val="2"/>
              </w:rPr>
              <w:t>103F</w:t>
            </w:r>
            <w:r w:rsidR="00122C48" w:rsidRPr="00A71ABE">
              <w:rPr>
                <w:rFonts w:ascii="ZWAdobeF" w:hAnsi="ZWAdobeF" w:cs="ZWAdobeF"/>
                <w:sz w:val="2"/>
                <w:szCs w:val="2"/>
              </w:rPr>
              <w:t>103F</w:t>
            </w:r>
            <w:r w:rsidR="00F73A23" w:rsidRPr="00A71ABE">
              <w:rPr>
                <w:rFonts w:ascii="ZWAdobeF" w:hAnsi="ZWAdobeF" w:cs="ZWAdobeF"/>
                <w:sz w:val="2"/>
                <w:szCs w:val="2"/>
              </w:rPr>
              <w:t>103F</w:t>
            </w:r>
            <w:r w:rsidR="00626378">
              <w:rPr>
                <w:rFonts w:ascii="ZWAdobeF" w:hAnsi="ZWAdobeF" w:cs="ZWAdobeF"/>
                <w:color w:val="auto"/>
                <w:sz w:val="2"/>
                <w:szCs w:val="2"/>
              </w:rPr>
              <w:t>103F</w:t>
            </w:r>
            <w:r w:rsidR="00413811">
              <w:rPr>
                <w:rFonts w:ascii="ZWAdobeF" w:hAnsi="ZWAdobeF" w:cs="ZWAdobeF"/>
                <w:color w:val="auto"/>
                <w:sz w:val="2"/>
                <w:szCs w:val="2"/>
              </w:rPr>
              <w:t>103F</w:t>
            </w:r>
            <w:r w:rsidR="002C327C">
              <w:rPr>
                <w:rFonts w:ascii="ZWAdobeF" w:hAnsi="ZWAdobeF" w:cs="ZWAdobeF"/>
                <w:color w:val="auto"/>
                <w:sz w:val="2"/>
                <w:szCs w:val="2"/>
              </w:rPr>
              <w:t>103F</w:t>
            </w:r>
            <w:r w:rsidR="00D24A06">
              <w:rPr>
                <w:rFonts w:ascii="ZWAdobeF" w:hAnsi="ZWAdobeF" w:cs="ZWAdobeF"/>
                <w:color w:val="auto"/>
                <w:sz w:val="2"/>
                <w:szCs w:val="2"/>
              </w:rPr>
              <w:t>103F</w:t>
            </w:r>
            <w:r w:rsidRPr="00480F0A">
              <w:rPr>
                <w:rStyle w:val="FootnoteReference"/>
                <w:rFonts w:asciiTheme="minorHAnsi" w:hAnsiTheme="minorHAnsi" w:cstheme="minorHAnsi"/>
                <w:sz w:val="18"/>
                <w:szCs w:val="18"/>
              </w:rPr>
              <w:footnoteReference w:id="105"/>
            </w:r>
            <w:r w:rsidRPr="00480F0A">
              <w:rPr>
                <w:rStyle w:val="FootnoteReference"/>
                <w:rFonts w:asciiTheme="minorHAnsi" w:hAnsiTheme="minorHAnsi" w:cstheme="minorHAnsi"/>
                <w:sz w:val="18"/>
                <w:szCs w:val="18"/>
                <w:vertAlign w:val="baseline"/>
              </w:rPr>
              <w:t xml:space="preserve"> (</w:t>
            </w:r>
            <w:r w:rsidRPr="00480F0A">
              <w:rPr>
                <w:rFonts w:asciiTheme="minorHAnsi" w:hAnsiTheme="minorHAnsi" w:cstheme="minorHAnsi"/>
                <w:sz w:val="18"/>
                <w:szCs w:val="18"/>
              </w:rPr>
              <w:t>12.7per cent improvement). Changes attributed to PV systems, heat pumps and district heating</w:t>
            </w:r>
            <w:r w:rsidRPr="00480F0A">
              <w:rPr>
                <w:rFonts w:asciiTheme="minorHAnsi" w:hAnsiTheme="minorHAnsi" w:cstheme="minorHAnsi"/>
              </w:rPr>
              <w:t>.</w:t>
            </w:r>
          </w:p>
        </w:tc>
      </w:tr>
      <w:tr w:rsidR="00547CBB" w14:paraId="675991F3" w14:textId="77777777" w:rsidTr="00A7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442C2C1B"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Washington state</w:t>
            </w:r>
          </w:p>
        </w:tc>
        <w:tc>
          <w:tcPr>
            <w:tcW w:w="1064" w:type="pct"/>
            <w:shd w:val="clear" w:color="auto" w:fill="auto"/>
            <w:vAlign w:val="center"/>
          </w:tcPr>
          <w:p w14:paraId="6DA4D847" w14:textId="77777777" w:rsidR="00547CBB" w:rsidRPr="00A71ABE"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Washington State Energy Code (</w:t>
            </w:r>
            <w:proofErr w:type="spellStart"/>
            <w:r w:rsidRPr="00480F0A">
              <w:rPr>
                <w:rFonts w:asciiTheme="minorHAnsi" w:hAnsiTheme="minorHAnsi" w:cstheme="minorHAnsi"/>
                <w:sz w:val="18"/>
                <w:szCs w:val="18"/>
              </w:rPr>
              <w:t>WSEC</w:t>
            </w:r>
            <w:proofErr w:type="spellEnd"/>
            <w:r w:rsidRPr="00480F0A">
              <w:rPr>
                <w:rFonts w:asciiTheme="minorHAnsi" w:hAnsiTheme="minorHAnsi" w:cstheme="minorHAnsi"/>
                <w:sz w:val="18"/>
                <w:szCs w:val="18"/>
              </w:rPr>
              <w:t xml:space="preserve">): State law (RCW 19.27A.160) </w:t>
            </w:r>
          </w:p>
        </w:tc>
        <w:tc>
          <w:tcPr>
            <w:tcW w:w="3289" w:type="pct"/>
            <w:shd w:val="clear" w:color="auto" w:fill="auto"/>
            <w:vAlign w:val="center"/>
          </w:tcPr>
          <w:p w14:paraId="680A1F24" w14:textId="77777777" w:rsidR="00547CBB" w:rsidRPr="00480F0A"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Commercial sector modelled energy consumption is estimated at 69% of 2006 levels (31% improvement in energy use intensity (EUI, </w:t>
            </w:r>
            <w:proofErr w:type="spellStart"/>
            <w:r w:rsidRPr="00480F0A">
              <w:rPr>
                <w:rFonts w:asciiTheme="minorHAnsi" w:hAnsiTheme="minorHAnsi" w:cstheme="minorHAnsi"/>
                <w:sz w:val="18"/>
                <w:szCs w:val="18"/>
              </w:rPr>
              <w:t>kBtu</w:t>
            </w:r>
            <w:proofErr w:type="spellEnd"/>
            <w:r w:rsidRPr="00480F0A">
              <w:rPr>
                <w:rFonts w:asciiTheme="minorHAnsi" w:hAnsiTheme="minorHAnsi" w:cstheme="minorHAnsi"/>
                <w:sz w:val="18"/>
                <w:szCs w:val="18"/>
              </w:rPr>
              <w:t>/</w:t>
            </w:r>
            <w:proofErr w:type="spellStart"/>
            <w:r w:rsidRPr="00480F0A">
              <w:rPr>
                <w:rFonts w:asciiTheme="minorHAnsi" w:hAnsiTheme="minorHAnsi" w:cstheme="minorHAnsi"/>
                <w:sz w:val="18"/>
                <w:szCs w:val="18"/>
              </w:rPr>
              <w:t>sqft</w:t>
            </w:r>
            <w:proofErr w:type="spellEnd"/>
            <w:r w:rsidRPr="00480F0A">
              <w:rPr>
                <w:rFonts w:asciiTheme="minorHAnsi" w:hAnsiTheme="minorHAnsi" w:cstheme="minorHAnsi"/>
                <w:sz w:val="18"/>
                <w:szCs w:val="18"/>
              </w:rPr>
              <w:t>/</w:t>
            </w:r>
            <w:proofErr w:type="spellStart"/>
            <w:r w:rsidRPr="00480F0A">
              <w:rPr>
                <w:rFonts w:asciiTheme="minorHAnsi" w:hAnsiTheme="minorHAnsi" w:cstheme="minorHAnsi"/>
                <w:sz w:val="18"/>
                <w:szCs w:val="18"/>
              </w:rPr>
              <w:t>yr</w:t>
            </w:r>
            <w:proofErr w:type="spellEnd"/>
            <w:r w:rsidRPr="00480F0A">
              <w:rPr>
                <w:rFonts w:asciiTheme="minorHAnsi" w:hAnsiTheme="minorHAnsi" w:cstheme="minorHAnsi"/>
                <w:sz w:val="18"/>
                <w:szCs w:val="18"/>
              </w:rPr>
              <w:t xml:space="preserve">)). More impacted: retail strip-malls, retail stand-alone, warehouse unrefrigerated, offices. </w:t>
            </w:r>
          </w:p>
        </w:tc>
      </w:tr>
      <w:tr w:rsidR="00547CBB" w14:paraId="4903D564" w14:textId="77777777" w:rsidTr="00A71ABE">
        <w:trPr>
          <w:trHeight w:val="674"/>
        </w:trPr>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72410A5D"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Washington DC</w:t>
            </w:r>
          </w:p>
        </w:tc>
        <w:tc>
          <w:tcPr>
            <w:tcW w:w="1064" w:type="pct"/>
            <w:shd w:val="clear" w:color="auto" w:fill="auto"/>
            <w:vAlign w:val="center"/>
          </w:tcPr>
          <w:p w14:paraId="443791FD" w14:textId="77777777" w:rsidR="00547CBB" w:rsidRPr="00480F0A"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A71ABE">
              <w:rPr>
                <w:rFonts w:asciiTheme="minorHAnsi" w:hAnsiTheme="minorHAnsi" w:cstheme="minorHAnsi"/>
                <w:sz w:val="18"/>
                <w:szCs w:val="18"/>
              </w:rPr>
              <w:t>CleanEnergy</w:t>
            </w:r>
            <w:proofErr w:type="spellEnd"/>
            <w:r w:rsidRPr="00A71ABE">
              <w:rPr>
                <w:rFonts w:asciiTheme="minorHAnsi" w:hAnsiTheme="minorHAnsi" w:cstheme="minorHAnsi"/>
                <w:sz w:val="18"/>
                <w:szCs w:val="18"/>
              </w:rPr>
              <w:t xml:space="preserve"> DC Omnibus Amendment Act of 2218, BEPS Program </w:t>
            </w:r>
          </w:p>
        </w:tc>
        <w:tc>
          <w:tcPr>
            <w:tcW w:w="3289" w:type="pct"/>
            <w:shd w:val="clear" w:color="auto" w:fill="auto"/>
            <w:vAlign w:val="center"/>
          </w:tcPr>
          <w:p w14:paraId="22E868A9" w14:textId="3507CE60" w:rsidR="00547CBB" w:rsidRPr="00480F0A"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Assessment</w:t>
            </w:r>
            <w:r w:rsidR="00723239" w:rsidRPr="00A71ABE">
              <w:rPr>
                <w:rFonts w:ascii="ZWAdobeF" w:hAnsi="ZWAdobeF" w:cs="ZWAdobeF"/>
                <w:sz w:val="2"/>
                <w:szCs w:val="2"/>
              </w:rPr>
              <w:t>104F</w:t>
            </w:r>
            <w:r w:rsidR="00EE36E3" w:rsidRPr="00A71ABE">
              <w:rPr>
                <w:rFonts w:ascii="ZWAdobeF" w:hAnsi="ZWAdobeF" w:cs="ZWAdobeF"/>
                <w:sz w:val="2"/>
                <w:szCs w:val="2"/>
              </w:rPr>
              <w:t>104F</w:t>
            </w:r>
            <w:r w:rsidR="00122C48" w:rsidRPr="00A71ABE">
              <w:rPr>
                <w:rFonts w:ascii="ZWAdobeF" w:hAnsi="ZWAdobeF" w:cs="ZWAdobeF"/>
                <w:sz w:val="2"/>
                <w:szCs w:val="2"/>
              </w:rPr>
              <w:t>104F</w:t>
            </w:r>
            <w:r w:rsidR="00F73A23" w:rsidRPr="00A71ABE">
              <w:rPr>
                <w:rFonts w:ascii="ZWAdobeF" w:hAnsi="ZWAdobeF" w:cs="ZWAdobeF"/>
                <w:sz w:val="2"/>
                <w:szCs w:val="2"/>
              </w:rPr>
              <w:t>104F</w:t>
            </w:r>
            <w:r w:rsidR="00626378">
              <w:rPr>
                <w:rFonts w:ascii="ZWAdobeF" w:hAnsi="ZWAdobeF" w:cs="ZWAdobeF"/>
                <w:color w:val="auto"/>
                <w:sz w:val="2"/>
                <w:szCs w:val="2"/>
              </w:rPr>
              <w:t>104F</w:t>
            </w:r>
            <w:r w:rsidR="00413811">
              <w:rPr>
                <w:rFonts w:ascii="ZWAdobeF" w:hAnsi="ZWAdobeF" w:cs="ZWAdobeF"/>
                <w:color w:val="auto"/>
                <w:sz w:val="2"/>
                <w:szCs w:val="2"/>
              </w:rPr>
              <w:t>104F</w:t>
            </w:r>
            <w:r w:rsidR="002C327C">
              <w:rPr>
                <w:rFonts w:ascii="ZWAdobeF" w:hAnsi="ZWAdobeF" w:cs="ZWAdobeF"/>
                <w:color w:val="auto"/>
                <w:sz w:val="2"/>
                <w:szCs w:val="2"/>
              </w:rPr>
              <w:t>104F</w:t>
            </w:r>
            <w:r w:rsidR="00D24A06">
              <w:rPr>
                <w:rFonts w:ascii="ZWAdobeF" w:hAnsi="ZWAdobeF" w:cs="ZWAdobeF"/>
                <w:color w:val="auto"/>
                <w:sz w:val="2"/>
                <w:szCs w:val="2"/>
              </w:rPr>
              <w:t>104F</w:t>
            </w:r>
            <w:r w:rsidRPr="00480F0A">
              <w:rPr>
                <w:rStyle w:val="FootnoteReference"/>
                <w:rFonts w:asciiTheme="minorHAnsi" w:hAnsiTheme="minorHAnsi" w:cstheme="minorHAnsi"/>
                <w:sz w:val="18"/>
                <w:szCs w:val="18"/>
              </w:rPr>
              <w:footnoteReference w:id="106"/>
            </w:r>
            <w:r w:rsidRPr="00480F0A">
              <w:rPr>
                <w:rFonts w:asciiTheme="minorHAnsi" w:hAnsiTheme="minorHAnsi" w:cstheme="minorHAnsi"/>
                <w:sz w:val="18"/>
                <w:szCs w:val="18"/>
              </w:rPr>
              <w:t>:  Buildings with packages costing more than $10 per square foot averaged a 32% Site EUI reduction.</w:t>
            </w:r>
          </w:p>
        </w:tc>
      </w:tr>
      <w:tr w:rsidR="00547CBB" w14:paraId="38B51CDC" w14:textId="77777777" w:rsidTr="00A7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331E276F"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US</w:t>
            </w:r>
          </w:p>
        </w:tc>
        <w:tc>
          <w:tcPr>
            <w:tcW w:w="1064" w:type="pct"/>
            <w:shd w:val="clear" w:color="auto" w:fill="auto"/>
            <w:vAlign w:val="center"/>
          </w:tcPr>
          <w:p w14:paraId="26DB9974" w14:textId="77777777" w:rsidR="00547CBB" w:rsidRPr="00480F0A"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 xml:space="preserve">Energy Star Rating Scheme </w:t>
            </w:r>
          </w:p>
        </w:tc>
        <w:tc>
          <w:tcPr>
            <w:tcW w:w="3289" w:type="pct"/>
            <w:shd w:val="clear" w:color="auto" w:fill="auto"/>
            <w:vAlign w:val="center"/>
          </w:tcPr>
          <w:p w14:paraId="519ABF98" w14:textId="184B3B39" w:rsidR="00547CBB" w:rsidRPr="00480F0A"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Energy star: those with rating 75 or above are one-third more energy efficient than average US office building and annual energy bills 35per cent lower than average office building</w:t>
            </w:r>
            <w:r w:rsidR="00723239" w:rsidRPr="00A71ABE">
              <w:rPr>
                <w:rFonts w:ascii="ZWAdobeF" w:hAnsi="ZWAdobeF" w:cs="ZWAdobeF"/>
                <w:sz w:val="2"/>
                <w:szCs w:val="2"/>
              </w:rPr>
              <w:t>105F</w:t>
            </w:r>
            <w:r w:rsidR="00EE36E3" w:rsidRPr="00A71ABE">
              <w:rPr>
                <w:rFonts w:ascii="ZWAdobeF" w:hAnsi="ZWAdobeF" w:cs="ZWAdobeF"/>
                <w:sz w:val="2"/>
                <w:szCs w:val="2"/>
              </w:rPr>
              <w:t>105F</w:t>
            </w:r>
            <w:r w:rsidR="00122C48" w:rsidRPr="00A71ABE">
              <w:rPr>
                <w:rFonts w:ascii="ZWAdobeF" w:hAnsi="ZWAdobeF" w:cs="ZWAdobeF"/>
                <w:sz w:val="2"/>
                <w:szCs w:val="2"/>
              </w:rPr>
              <w:t>105F</w:t>
            </w:r>
            <w:r w:rsidR="00F73A23" w:rsidRPr="00A71ABE">
              <w:rPr>
                <w:rFonts w:ascii="ZWAdobeF" w:hAnsi="ZWAdobeF" w:cs="ZWAdobeF"/>
                <w:sz w:val="2"/>
                <w:szCs w:val="2"/>
              </w:rPr>
              <w:t>105F</w:t>
            </w:r>
            <w:r w:rsidR="00626378">
              <w:rPr>
                <w:rFonts w:ascii="ZWAdobeF" w:hAnsi="ZWAdobeF" w:cs="ZWAdobeF"/>
                <w:color w:val="auto"/>
                <w:sz w:val="2"/>
                <w:szCs w:val="2"/>
              </w:rPr>
              <w:t>105F</w:t>
            </w:r>
            <w:r w:rsidR="00413811">
              <w:rPr>
                <w:rFonts w:ascii="ZWAdobeF" w:hAnsi="ZWAdobeF" w:cs="ZWAdobeF"/>
                <w:color w:val="auto"/>
                <w:sz w:val="2"/>
                <w:szCs w:val="2"/>
              </w:rPr>
              <w:t>105F</w:t>
            </w:r>
            <w:r w:rsidR="002C327C">
              <w:rPr>
                <w:rFonts w:ascii="ZWAdobeF" w:hAnsi="ZWAdobeF" w:cs="ZWAdobeF"/>
                <w:color w:val="auto"/>
                <w:sz w:val="2"/>
                <w:szCs w:val="2"/>
              </w:rPr>
              <w:t>105F</w:t>
            </w:r>
            <w:r w:rsidR="00D24A06">
              <w:rPr>
                <w:rFonts w:ascii="ZWAdobeF" w:hAnsi="ZWAdobeF" w:cs="ZWAdobeF"/>
                <w:color w:val="auto"/>
                <w:sz w:val="2"/>
                <w:szCs w:val="2"/>
              </w:rPr>
              <w:t>105F</w:t>
            </w:r>
            <w:r w:rsidRPr="00480F0A">
              <w:rPr>
                <w:rStyle w:val="FootnoteReference"/>
                <w:rFonts w:asciiTheme="minorHAnsi" w:hAnsiTheme="minorHAnsi" w:cstheme="minorHAnsi"/>
                <w:sz w:val="18"/>
                <w:szCs w:val="18"/>
              </w:rPr>
              <w:footnoteReference w:id="107"/>
            </w:r>
            <w:r w:rsidRPr="00480F0A">
              <w:rPr>
                <w:rFonts w:asciiTheme="minorHAnsi" w:hAnsiTheme="minorHAnsi" w:cstheme="minorHAnsi"/>
                <w:sz w:val="18"/>
                <w:szCs w:val="18"/>
              </w:rPr>
              <w:t>; buildings on average are 20per cent more energy efficient in year six that the first year; over 70 per cent of buildings with a rating have reduced their energy consumption</w:t>
            </w:r>
            <w:r w:rsidR="00723239" w:rsidRPr="00A71ABE">
              <w:rPr>
                <w:rFonts w:ascii="ZWAdobeF" w:hAnsi="ZWAdobeF" w:cs="ZWAdobeF"/>
                <w:sz w:val="2"/>
                <w:szCs w:val="2"/>
              </w:rPr>
              <w:t>106F</w:t>
            </w:r>
            <w:r w:rsidR="00EE36E3" w:rsidRPr="00A71ABE">
              <w:rPr>
                <w:rFonts w:ascii="ZWAdobeF" w:hAnsi="ZWAdobeF" w:cs="ZWAdobeF"/>
                <w:sz w:val="2"/>
                <w:szCs w:val="2"/>
              </w:rPr>
              <w:t>106F</w:t>
            </w:r>
            <w:r w:rsidR="00122C48" w:rsidRPr="00A71ABE">
              <w:rPr>
                <w:rFonts w:ascii="ZWAdobeF" w:hAnsi="ZWAdobeF" w:cs="ZWAdobeF"/>
                <w:sz w:val="2"/>
                <w:szCs w:val="2"/>
              </w:rPr>
              <w:t>106F</w:t>
            </w:r>
            <w:r w:rsidR="00F73A23" w:rsidRPr="00A71ABE">
              <w:rPr>
                <w:rFonts w:ascii="ZWAdobeF" w:hAnsi="ZWAdobeF" w:cs="ZWAdobeF"/>
                <w:sz w:val="2"/>
                <w:szCs w:val="2"/>
              </w:rPr>
              <w:t>106F</w:t>
            </w:r>
            <w:r w:rsidR="00626378">
              <w:rPr>
                <w:rFonts w:ascii="ZWAdobeF" w:hAnsi="ZWAdobeF" w:cs="ZWAdobeF"/>
                <w:color w:val="auto"/>
                <w:sz w:val="2"/>
                <w:szCs w:val="2"/>
              </w:rPr>
              <w:t>106F</w:t>
            </w:r>
            <w:r w:rsidR="00413811">
              <w:rPr>
                <w:rFonts w:ascii="ZWAdobeF" w:hAnsi="ZWAdobeF" w:cs="ZWAdobeF"/>
                <w:color w:val="auto"/>
                <w:sz w:val="2"/>
                <w:szCs w:val="2"/>
              </w:rPr>
              <w:t>106F</w:t>
            </w:r>
            <w:r w:rsidR="002C327C">
              <w:rPr>
                <w:rFonts w:ascii="ZWAdobeF" w:hAnsi="ZWAdobeF" w:cs="ZWAdobeF"/>
                <w:color w:val="auto"/>
                <w:sz w:val="2"/>
                <w:szCs w:val="2"/>
              </w:rPr>
              <w:t>106F</w:t>
            </w:r>
            <w:r w:rsidR="00D24A06">
              <w:rPr>
                <w:rFonts w:ascii="ZWAdobeF" w:hAnsi="ZWAdobeF" w:cs="ZWAdobeF"/>
                <w:color w:val="auto"/>
                <w:sz w:val="2"/>
                <w:szCs w:val="2"/>
              </w:rPr>
              <w:t>106F</w:t>
            </w:r>
            <w:r w:rsidRPr="00480F0A">
              <w:rPr>
                <w:rStyle w:val="FootnoteReference"/>
                <w:rFonts w:asciiTheme="minorHAnsi" w:hAnsiTheme="minorHAnsi" w:cstheme="minorHAnsi"/>
                <w:sz w:val="18"/>
                <w:szCs w:val="18"/>
              </w:rPr>
              <w:footnoteReference w:id="108"/>
            </w:r>
            <w:r w:rsidRPr="00480F0A">
              <w:rPr>
                <w:rFonts w:asciiTheme="minorHAnsi" w:hAnsiTheme="minorHAnsi" w:cstheme="minorHAnsi"/>
                <w:sz w:val="18"/>
                <w:szCs w:val="18"/>
              </w:rPr>
              <w:t>.</w:t>
            </w:r>
          </w:p>
        </w:tc>
      </w:tr>
      <w:tr w:rsidR="00547CBB" w:rsidRPr="00826B25" w14:paraId="44151F15" w14:textId="77777777" w:rsidTr="00A71ABE">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1720FA51" w14:textId="77777777" w:rsidR="00547CBB" w:rsidRPr="00A71ABE" w:rsidRDefault="00547CBB">
            <w:pPr>
              <w:pStyle w:val="BodyText"/>
              <w:spacing w:after="0"/>
              <w:jc w:val="center"/>
              <w:rPr>
                <w:rFonts w:asciiTheme="minorHAnsi" w:hAnsiTheme="minorHAnsi" w:cstheme="minorHAnsi"/>
                <w:sz w:val="18"/>
                <w:szCs w:val="18"/>
              </w:rPr>
            </w:pPr>
            <w:r w:rsidRPr="00A71ABE">
              <w:rPr>
                <w:rFonts w:asciiTheme="minorHAnsi" w:hAnsiTheme="minorHAnsi" w:cstheme="minorHAnsi"/>
                <w:sz w:val="18"/>
                <w:szCs w:val="18"/>
              </w:rPr>
              <w:t>Japan</w:t>
            </w:r>
          </w:p>
        </w:tc>
        <w:tc>
          <w:tcPr>
            <w:tcW w:w="1064" w:type="pct"/>
            <w:shd w:val="clear" w:color="auto" w:fill="auto"/>
            <w:vAlign w:val="center"/>
          </w:tcPr>
          <w:p w14:paraId="672FB975" w14:textId="77777777" w:rsidR="00547CBB" w:rsidRPr="00A71ABE"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71ABE">
              <w:rPr>
                <w:rFonts w:asciiTheme="minorHAnsi" w:hAnsiTheme="minorHAnsi" w:cstheme="minorHAnsi"/>
                <w:sz w:val="18"/>
                <w:szCs w:val="18"/>
              </w:rPr>
              <w:t>Emissions Trading Scheme (mandatory)</w:t>
            </w:r>
          </w:p>
        </w:tc>
        <w:tc>
          <w:tcPr>
            <w:tcW w:w="3289" w:type="pct"/>
            <w:shd w:val="clear" w:color="auto" w:fill="auto"/>
            <w:vAlign w:val="center"/>
          </w:tcPr>
          <w:p w14:paraId="2CEABB03" w14:textId="192BB6A0" w:rsidR="00547CBB" w:rsidRPr="00A71ABE"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A71ABE">
              <w:rPr>
                <w:rFonts w:asciiTheme="minorHAnsi" w:hAnsiTheme="minorHAnsi" w:cstheme="minorHAnsi"/>
                <w:sz w:val="18"/>
                <w:szCs w:val="18"/>
              </w:rPr>
              <w:t>Two figures reported. Figure that considers impact of factors outside of the scheme (and therefore more likely to reflect actual change in performance) indicates a 6.9% annual reduction in CO2 emissions from buildings</w:t>
            </w:r>
            <w:r w:rsidR="00723239" w:rsidRPr="00A71ABE">
              <w:rPr>
                <w:rFonts w:ascii="ZWAdobeF" w:hAnsi="ZWAdobeF" w:cs="ZWAdobeF"/>
                <w:sz w:val="2"/>
                <w:szCs w:val="2"/>
              </w:rPr>
              <w:t>107F</w:t>
            </w:r>
            <w:r w:rsidR="00EE36E3" w:rsidRPr="00A71ABE">
              <w:rPr>
                <w:rFonts w:ascii="ZWAdobeF" w:hAnsi="ZWAdobeF" w:cs="ZWAdobeF"/>
                <w:sz w:val="2"/>
                <w:szCs w:val="2"/>
              </w:rPr>
              <w:t>107F</w:t>
            </w:r>
            <w:r w:rsidR="00122C48" w:rsidRPr="00A71ABE">
              <w:rPr>
                <w:rFonts w:ascii="ZWAdobeF" w:hAnsi="ZWAdobeF" w:cs="ZWAdobeF"/>
                <w:sz w:val="2"/>
                <w:szCs w:val="2"/>
              </w:rPr>
              <w:t>107F</w:t>
            </w:r>
            <w:r w:rsidR="00F73A23" w:rsidRPr="00A71ABE">
              <w:rPr>
                <w:rFonts w:ascii="ZWAdobeF" w:hAnsi="ZWAdobeF" w:cs="ZWAdobeF"/>
                <w:sz w:val="2"/>
                <w:szCs w:val="2"/>
              </w:rPr>
              <w:t>107F</w:t>
            </w:r>
            <w:r w:rsidR="00626378">
              <w:rPr>
                <w:rFonts w:ascii="ZWAdobeF" w:hAnsi="ZWAdobeF" w:cs="ZWAdobeF"/>
                <w:color w:val="auto"/>
                <w:sz w:val="2"/>
                <w:szCs w:val="2"/>
              </w:rPr>
              <w:t>107F</w:t>
            </w:r>
            <w:r w:rsidR="00413811">
              <w:rPr>
                <w:rFonts w:ascii="ZWAdobeF" w:hAnsi="ZWAdobeF" w:cs="ZWAdobeF"/>
                <w:color w:val="auto"/>
                <w:sz w:val="2"/>
                <w:szCs w:val="2"/>
              </w:rPr>
              <w:t>107F</w:t>
            </w:r>
            <w:r w:rsidR="002C327C">
              <w:rPr>
                <w:rFonts w:ascii="ZWAdobeF" w:hAnsi="ZWAdobeF" w:cs="ZWAdobeF"/>
                <w:color w:val="auto"/>
                <w:sz w:val="2"/>
                <w:szCs w:val="2"/>
              </w:rPr>
              <w:t>107F</w:t>
            </w:r>
            <w:r w:rsidR="00D24A06">
              <w:rPr>
                <w:rFonts w:ascii="ZWAdobeF" w:hAnsi="ZWAdobeF" w:cs="ZWAdobeF"/>
                <w:color w:val="auto"/>
                <w:sz w:val="2"/>
                <w:szCs w:val="2"/>
              </w:rPr>
              <w:t>107F</w:t>
            </w:r>
            <w:r w:rsidRPr="00A71ABE">
              <w:rPr>
                <w:rStyle w:val="FootnoteReference"/>
                <w:rFonts w:asciiTheme="minorHAnsi" w:hAnsiTheme="minorHAnsi" w:cstheme="minorHAnsi"/>
                <w:sz w:val="18"/>
                <w:szCs w:val="18"/>
              </w:rPr>
              <w:footnoteReference w:id="109"/>
            </w:r>
            <w:r w:rsidRPr="00A71ABE">
              <w:rPr>
                <w:rFonts w:asciiTheme="minorHAnsi" w:hAnsiTheme="minorHAnsi" w:cstheme="minorHAnsi"/>
                <w:sz w:val="18"/>
                <w:szCs w:val="18"/>
              </w:rPr>
              <w:t>.</w:t>
            </w:r>
          </w:p>
        </w:tc>
      </w:tr>
      <w:tr w:rsidR="00547CBB" w14:paraId="0DA31904" w14:textId="77777777" w:rsidTr="00A7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79563CEC"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Japan</w:t>
            </w:r>
          </w:p>
        </w:tc>
        <w:tc>
          <w:tcPr>
            <w:tcW w:w="1064" w:type="pct"/>
            <w:shd w:val="clear" w:color="auto" w:fill="auto"/>
            <w:vAlign w:val="center"/>
          </w:tcPr>
          <w:p w14:paraId="7C6C10D5" w14:textId="77777777" w:rsidR="00547CBB" w:rsidRPr="00480F0A"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Emissions reduction program, no trading (voluntary reduction, mandatory reporting)</w:t>
            </w:r>
          </w:p>
        </w:tc>
        <w:tc>
          <w:tcPr>
            <w:tcW w:w="3289" w:type="pct"/>
            <w:shd w:val="clear" w:color="auto" w:fill="auto"/>
            <w:vAlign w:val="center"/>
          </w:tcPr>
          <w:p w14:paraId="58CEB92F" w14:textId="3D09E574" w:rsidR="00547CBB" w:rsidRPr="00480F0A"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Limited success (specific performance not identified)</w:t>
            </w:r>
            <w:r w:rsidR="00723239" w:rsidRPr="00A71ABE">
              <w:rPr>
                <w:rFonts w:ascii="ZWAdobeF" w:hAnsi="ZWAdobeF" w:cs="ZWAdobeF"/>
                <w:sz w:val="2"/>
                <w:szCs w:val="2"/>
              </w:rPr>
              <w:t>108F</w:t>
            </w:r>
            <w:r w:rsidR="00EE36E3" w:rsidRPr="00A71ABE">
              <w:rPr>
                <w:rFonts w:ascii="ZWAdobeF" w:hAnsi="ZWAdobeF" w:cs="ZWAdobeF"/>
                <w:sz w:val="2"/>
                <w:szCs w:val="2"/>
              </w:rPr>
              <w:t>108F</w:t>
            </w:r>
            <w:r w:rsidR="00122C48" w:rsidRPr="00A71ABE">
              <w:rPr>
                <w:rFonts w:ascii="ZWAdobeF" w:hAnsi="ZWAdobeF" w:cs="ZWAdobeF"/>
                <w:sz w:val="2"/>
                <w:szCs w:val="2"/>
              </w:rPr>
              <w:t>108F</w:t>
            </w:r>
            <w:r w:rsidR="00F73A23" w:rsidRPr="00A71ABE">
              <w:rPr>
                <w:rFonts w:ascii="ZWAdobeF" w:hAnsi="ZWAdobeF" w:cs="ZWAdobeF"/>
                <w:sz w:val="2"/>
                <w:szCs w:val="2"/>
              </w:rPr>
              <w:t>108F</w:t>
            </w:r>
            <w:r w:rsidR="00626378">
              <w:rPr>
                <w:rFonts w:ascii="ZWAdobeF" w:hAnsi="ZWAdobeF" w:cs="ZWAdobeF"/>
                <w:color w:val="auto"/>
                <w:sz w:val="2"/>
                <w:szCs w:val="2"/>
              </w:rPr>
              <w:t>108F</w:t>
            </w:r>
            <w:r w:rsidR="00413811">
              <w:rPr>
                <w:rFonts w:ascii="ZWAdobeF" w:hAnsi="ZWAdobeF" w:cs="ZWAdobeF"/>
                <w:color w:val="auto"/>
                <w:sz w:val="2"/>
                <w:szCs w:val="2"/>
              </w:rPr>
              <w:t>108F</w:t>
            </w:r>
            <w:r w:rsidR="002C327C">
              <w:rPr>
                <w:rFonts w:ascii="ZWAdobeF" w:hAnsi="ZWAdobeF" w:cs="ZWAdobeF"/>
                <w:color w:val="auto"/>
                <w:sz w:val="2"/>
                <w:szCs w:val="2"/>
              </w:rPr>
              <w:t>108F</w:t>
            </w:r>
            <w:r w:rsidR="00D24A06">
              <w:rPr>
                <w:rFonts w:ascii="ZWAdobeF" w:hAnsi="ZWAdobeF" w:cs="ZWAdobeF"/>
                <w:color w:val="auto"/>
                <w:sz w:val="2"/>
                <w:szCs w:val="2"/>
              </w:rPr>
              <w:t>108F</w:t>
            </w:r>
            <w:r w:rsidRPr="00480F0A">
              <w:rPr>
                <w:rStyle w:val="FootnoteReference"/>
                <w:rFonts w:asciiTheme="minorHAnsi" w:hAnsiTheme="minorHAnsi" w:cstheme="minorHAnsi"/>
                <w:sz w:val="18"/>
                <w:szCs w:val="18"/>
              </w:rPr>
              <w:footnoteReference w:id="110"/>
            </w:r>
            <w:r w:rsidRPr="00480F0A">
              <w:rPr>
                <w:rFonts w:asciiTheme="minorHAnsi" w:hAnsiTheme="minorHAnsi" w:cstheme="minorHAnsi"/>
                <w:sz w:val="18"/>
                <w:szCs w:val="18"/>
              </w:rPr>
              <w:t>. When voluntary, compliance rates in their scheme were reaching 36 per cent to 51 per cent in 2015 depending on the building size, and it is expected that there will be close to full compliance now that the standards are mandatory.</w:t>
            </w:r>
          </w:p>
        </w:tc>
      </w:tr>
      <w:tr w:rsidR="00547CBB" w14:paraId="349F844F" w14:textId="77777777" w:rsidTr="00A71ABE">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4503793B"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Japan</w:t>
            </w:r>
          </w:p>
        </w:tc>
        <w:tc>
          <w:tcPr>
            <w:tcW w:w="1064" w:type="pct"/>
            <w:shd w:val="clear" w:color="auto" w:fill="auto"/>
            <w:vAlign w:val="center"/>
          </w:tcPr>
          <w:p w14:paraId="314EB0EA" w14:textId="77777777" w:rsidR="00547CBB" w:rsidRPr="00480F0A"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Zero Energy Buildings (ZEBs), new buildings only</w:t>
            </w:r>
          </w:p>
        </w:tc>
        <w:tc>
          <w:tcPr>
            <w:tcW w:w="3289" w:type="pct"/>
            <w:shd w:val="clear" w:color="auto" w:fill="auto"/>
            <w:vAlign w:val="center"/>
          </w:tcPr>
          <w:p w14:paraId="32E5CABD" w14:textId="3FB45800" w:rsidR="00547CBB" w:rsidRPr="00480F0A"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Although ZEBs perform well, by the end of 2018, the number of ZEBs reached 70 or 0.1 per cent of total buildings constructed</w:t>
            </w:r>
            <w:r w:rsidR="00723239" w:rsidRPr="00A71ABE">
              <w:rPr>
                <w:rFonts w:ascii="ZWAdobeF" w:hAnsi="ZWAdobeF" w:cs="ZWAdobeF"/>
                <w:sz w:val="2"/>
                <w:szCs w:val="2"/>
              </w:rPr>
              <w:t>109F</w:t>
            </w:r>
            <w:r w:rsidR="00EE36E3" w:rsidRPr="00A71ABE">
              <w:rPr>
                <w:rFonts w:ascii="ZWAdobeF" w:hAnsi="ZWAdobeF" w:cs="ZWAdobeF"/>
                <w:sz w:val="2"/>
                <w:szCs w:val="2"/>
              </w:rPr>
              <w:t>109F</w:t>
            </w:r>
            <w:r w:rsidR="00122C48" w:rsidRPr="00A71ABE">
              <w:rPr>
                <w:rFonts w:ascii="ZWAdobeF" w:hAnsi="ZWAdobeF" w:cs="ZWAdobeF"/>
                <w:sz w:val="2"/>
                <w:szCs w:val="2"/>
              </w:rPr>
              <w:t>109F</w:t>
            </w:r>
            <w:r w:rsidR="00F73A23" w:rsidRPr="00A71ABE">
              <w:rPr>
                <w:rFonts w:ascii="ZWAdobeF" w:hAnsi="ZWAdobeF" w:cs="ZWAdobeF"/>
                <w:sz w:val="2"/>
                <w:szCs w:val="2"/>
              </w:rPr>
              <w:t>109F</w:t>
            </w:r>
            <w:r w:rsidR="00626378">
              <w:rPr>
                <w:rFonts w:ascii="ZWAdobeF" w:hAnsi="ZWAdobeF" w:cs="ZWAdobeF"/>
                <w:color w:val="auto"/>
                <w:sz w:val="2"/>
                <w:szCs w:val="2"/>
              </w:rPr>
              <w:t>109F</w:t>
            </w:r>
            <w:r w:rsidR="00413811">
              <w:rPr>
                <w:rFonts w:ascii="ZWAdobeF" w:hAnsi="ZWAdobeF" w:cs="ZWAdobeF"/>
                <w:color w:val="auto"/>
                <w:sz w:val="2"/>
                <w:szCs w:val="2"/>
              </w:rPr>
              <w:t>109F</w:t>
            </w:r>
            <w:r w:rsidR="002C327C">
              <w:rPr>
                <w:rFonts w:ascii="ZWAdobeF" w:hAnsi="ZWAdobeF" w:cs="ZWAdobeF"/>
                <w:color w:val="auto"/>
                <w:sz w:val="2"/>
                <w:szCs w:val="2"/>
              </w:rPr>
              <w:t>109F</w:t>
            </w:r>
            <w:r w:rsidR="00D24A06">
              <w:rPr>
                <w:rFonts w:ascii="ZWAdobeF" w:hAnsi="ZWAdobeF" w:cs="ZWAdobeF"/>
                <w:color w:val="auto"/>
                <w:sz w:val="2"/>
                <w:szCs w:val="2"/>
              </w:rPr>
              <w:t>109F</w:t>
            </w:r>
            <w:r w:rsidRPr="00480F0A">
              <w:rPr>
                <w:rStyle w:val="FootnoteReference"/>
                <w:rFonts w:asciiTheme="minorHAnsi" w:hAnsiTheme="minorHAnsi" w:cstheme="minorHAnsi"/>
                <w:sz w:val="18"/>
                <w:szCs w:val="18"/>
              </w:rPr>
              <w:footnoteReference w:id="111"/>
            </w:r>
            <w:r w:rsidRPr="00480F0A">
              <w:rPr>
                <w:rFonts w:asciiTheme="minorHAnsi" w:hAnsiTheme="minorHAnsi" w:cstheme="minorHAnsi"/>
                <w:sz w:val="18"/>
                <w:szCs w:val="18"/>
              </w:rPr>
              <w:t>.</w:t>
            </w:r>
          </w:p>
        </w:tc>
      </w:tr>
      <w:tr w:rsidR="00547CBB" w14:paraId="537ABB03" w14:textId="77777777" w:rsidTr="00A71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shd w:val="clear" w:color="auto" w:fill="auto"/>
            <w:vAlign w:val="center"/>
          </w:tcPr>
          <w:p w14:paraId="66A3A7C2" w14:textId="77777777" w:rsidR="00547CBB" w:rsidRPr="00480F0A" w:rsidRDefault="00547CBB">
            <w:pPr>
              <w:pStyle w:val="BodyText"/>
              <w:spacing w:after="0"/>
              <w:jc w:val="center"/>
              <w:rPr>
                <w:rFonts w:asciiTheme="minorHAnsi" w:hAnsiTheme="minorHAnsi" w:cstheme="minorHAnsi"/>
                <w:sz w:val="18"/>
                <w:szCs w:val="18"/>
              </w:rPr>
            </w:pPr>
            <w:r w:rsidRPr="00480F0A">
              <w:rPr>
                <w:rFonts w:asciiTheme="minorHAnsi" w:hAnsiTheme="minorHAnsi" w:cstheme="minorHAnsi"/>
                <w:sz w:val="18"/>
                <w:szCs w:val="18"/>
              </w:rPr>
              <w:t>South Korea</w:t>
            </w:r>
          </w:p>
        </w:tc>
        <w:tc>
          <w:tcPr>
            <w:tcW w:w="1064" w:type="pct"/>
            <w:shd w:val="clear" w:color="auto" w:fill="auto"/>
            <w:vAlign w:val="center"/>
          </w:tcPr>
          <w:p w14:paraId="2F67AE3F" w14:textId="04A0CF12" w:rsidR="00547CBB" w:rsidRPr="00480F0A"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Building Energy Efficiency Certification (</w:t>
            </w:r>
            <w:proofErr w:type="spellStart"/>
            <w:r w:rsidRPr="00480F0A">
              <w:rPr>
                <w:rFonts w:asciiTheme="minorHAnsi" w:hAnsiTheme="minorHAnsi" w:cstheme="minorHAnsi"/>
                <w:sz w:val="18"/>
                <w:szCs w:val="18"/>
              </w:rPr>
              <w:t>BEECS</w:t>
            </w:r>
            <w:proofErr w:type="spellEnd"/>
            <w:r w:rsidRPr="00480F0A">
              <w:rPr>
                <w:rFonts w:asciiTheme="minorHAnsi" w:hAnsiTheme="minorHAnsi" w:cstheme="minorHAnsi"/>
                <w:sz w:val="18"/>
                <w:szCs w:val="18"/>
              </w:rPr>
              <w:t>)</w:t>
            </w:r>
            <w:proofErr w:type="spellStart"/>
            <w:r w:rsidR="00723239" w:rsidRPr="00A71ABE">
              <w:rPr>
                <w:rFonts w:ascii="ZWAdobeF" w:hAnsi="ZWAdobeF" w:cs="ZWAdobeF"/>
                <w:sz w:val="2"/>
                <w:szCs w:val="2"/>
              </w:rPr>
              <w:t>110F</w:t>
            </w:r>
            <w:r w:rsidR="00EE36E3" w:rsidRPr="00A71ABE">
              <w:rPr>
                <w:rFonts w:ascii="ZWAdobeF" w:hAnsi="ZWAdobeF" w:cs="ZWAdobeF"/>
                <w:sz w:val="2"/>
                <w:szCs w:val="2"/>
              </w:rPr>
              <w:t>110F</w:t>
            </w:r>
            <w:r w:rsidR="00122C48" w:rsidRPr="00A71ABE">
              <w:rPr>
                <w:rFonts w:ascii="ZWAdobeF" w:hAnsi="ZWAdobeF" w:cs="ZWAdobeF"/>
                <w:sz w:val="2"/>
                <w:szCs w:val="2"/>
              </w:rPr>
              <w:t>110F</w:t>
            </w:r>
            <w:r w:rsidR="00F73A23" w:rsidRPr="00A71ABE">
              <w:rPr>
                <w:rFonts w:ascii="ZWAdobeF" w:hAnsi="ZWAdobeF" w:cs="ZWAdobeF"/>
                <w:sz w:val="2"/>
                <w:szCs w:val="2"/>
              </w:rPr>
              <w:t>110F</w:t>
            </w:r>
            <w:r w:rsidR="00626378">
              <w:rPr>
                <w:rFonts w:ascii="ZWAdobeF" w:hAnsi="ZWAdobeF" w:cs="ZWAdobeF"/>
                <w:color w:val="auto"/>
                <w:sz w:val="2"/>
                <w:szCs w:val="2"/>
              </w:rPr>
              <w:t>110F</w:t>
            </w:r>
            <w:r w:rsidR="00413811">
              <w:rPr>
                <w:rFonts w:ascii="ZWAdobeF" w:hAnsi="ZWAdobeF" w:cs="ZWAdobeF"/>
                <w:color w:val="auto"/>
                <w:sz w:val="2"/>
                <w:szCs w:val="2"/>
              </w:rPr>
              <w:t>110F</w:t>
            </w:r>
            <w:r w:rsidR="002C327C">
              <w:rPr>
                <w:rFonts w:ascii="ZWAdobeF" w:hAnsi="ZWAdobeF" w:cs="ZWAdobeF"/>
                <w:color w:val="auto"/>
                <w:sz w:val="2"/>
                <w:szCs w:val="2"/>
              </w:rPr>
              <w:t>110F</w:t>
            </w:r>
            <w:r w:rsidR="00D24A06">
              <w:rPr>
                <w:rFonts w:ascii="ZWAdobeF" w:hAnsi="ZWAdobeF" w:cs="ZWAdobeF"/>
                <w:color w:val="auto"/>
                <w:sz w:val="2"/>
                <w:szCs w:val="2"/>
              </w:rPr>
              <w:t>110F</w:t>
            </w:r>
            <w:proofErr w:type="spellEnd"/>
            <w:r w:rsidRPr="00480F0A">
              <w:rPr>
                <w:rStyle w:val="FootnoteReference"/>
                <w:rFonts w:asciiTheme="minorHAnsi" w:hAnsiTheme="minorHAnsi" w:cstheme="minorHAnsi"/>
                <w:sz w:val="18"/>
                <w:szCs w:val="18"/>
              </w:rPr>
              <w:footnoteReference w:id="112"/>
            </w:r>
          </w:p>
        </w:tc>
        <w:tc>
          <w:tcPr>
            <w:tcW w:w="3289" w:type="pct"/>
            <w:shd w:val="clear" w:color="auto" w:fill="auto"/>
            <w:vAlign w:val="center"/>
          </w:tcPr>
          <w:p w14:paraId="37946886" w14:textId="28349B90" w:rsidR="00547CBB" w:rsidRPr="00480F0A"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80F0A">
              <w:rPr>
                <w:rFonts w:asciiTheme="minorHAnsi" w:hAnsiTheme="minorHAnsi" w:cstheme="minorHAnsi"/>
                <w:sz w:val="18"/>
                <w:szCs w:val="18"/>
              </w:rPr>
              <w:t>Mean annual primary energy consumption of certified non-residential buildings investigated changed from 265.5 kWh/m2a to 224.8 kWh/m2a in 2014 (15per cent decrease</w:t>
            </w:r>
            <w:r w:rsidR="00723239" w:rsidRPr="00A71ABE">
              <w:rPr>
                <w:rFonts w:ascii="ZWAdobeF" w:hAnsi="ZWAdobeF" w:cs="ZWAdobeF"/>
                <w:sz w:val="2"/>
                <w:szCs w:val="2"/>
              </w:rPr>
              <w:t>111F</w:t>
            </w:r>
            <w:r w:rsidR="00EE36E3" w:rsidRPr="00A71ABE">
              <w:rPr>
                <w:rFonts w:ascii="ZWAdobeF" w:hAnsi="ZWAdobeF" w:cs="ZWAdobeF"/>
                <w:sz w:val="2"/>
                <w:szCs w:val="2"/>
              </w:rPr>
              <w:t>111F</w:t>
            </w:r>
            <w:r w:rsidR="00122C48" w:rsidRPr="00A71ABE">
              <w:rPr>
                <w:rFonts w:ascii="ZWAdobeF" w:hAnsi="ZWAdobeF" w:cs="ZWAdobeF"/>
                <w:sz w:val="2"/>
                <w:szCs w:val="2"/>
              </w:rPr>
              <w:t>111F</w:t>
            </w:r>
            <w:r w:rsidR="00F73A23" w:rsidRPr="00A71ABE">
              <w:rPr>
                <w:rFonts w:ascii="ZWAdobeF" w:hAnsi="ZWAdobeF" w:cs="ZWAdobeF"/>
                <w:sz w:val="2"/>
                <w:szCs w:val="2"/>
              </w:rPr>
              <w:t>111F</w:t>
            </w:r>
            <w:r w:rsidR="00626378">
              <w:rPr>
                <w:rFonts w:ascii="ZWAdobeF" w:hAnsi="ZWAdobeF" w:cs="ZWAdobeF"/>
                <w:color w:val="auto"/>
                <w:sz w:val="2"/>
                <w:szCs w:val="2"/>
              </w:rPr>
              <w:t>111F</w:t>
            </w:r>
            <w:r w:rsidR="00413811">
              <w:rPr>
                <w:rFonts w:ascii="ZWAdobeF" w:hAnsi="ZWAdobeF" w:cs="ZWAdobeF"/>
                <w:color w:val="auto"/>
                <w:sz w:val="2"/>
                <w:szCs w:val="2"/>
              </w:rPr>
              <w:t>111F</w:t>
            </w:r>
            <w:r w:rsidR="002C327C">
              <w:rPr>
                <w:rFonts w:ascii="ZWAdobeF" w:hAnsi="ZWAdobeF" w:cs="ZWAdobeF"/>
                <w:color w:val="auto"/>
                <w:sz w:val="2"/>
                <w:szCs w:val="2"/>
              </w:rPr>
              <w:t>111F</w:t>
            </w:r>
            <w:r w:rsidR="00D24A06">
              <w:rPr>
                <w:rFonts w:ascii="ZWAdobeF" w:hAnsi="ZWAdobeF" w:cs="ZWAdobeF"/>
                <w:color w:val="auto"/>
                <w:sz w:val="2"/>
                <w:szCs w:val="2"/>
              </w:rPr>
              <w:t>111F</w:t>
            </w:r>
            <w:r w:rsidRPr="00480F0A">
              <w:rPr>
                <w:rFonts w:asciiTheme="minorHAnsi" w:hAnsiTheme="minorHAnsi" w:cstheme="minorHAnsi"/>
                <w:vertAlign w:val="superscript"/>
              </w:rPr>
              <w:footnoteReference w:id="113"/>
            </w:r>
            <w:r w:rsidR="00640EE0" w:rsidRPr="00A71ABE">
              <w:rPr>
                <w:rFonts w:asciiTheme="minorHAnsi" w:hAnsiTheme="minorHAnsi" w:cstheme="minorHAnsi"/>
                <w:sz w:val="18"/>
                <w:szCs w:val="18"/>
              </w:rPr>
              <w:t>)</w:t>
            </w:r>
            <w:r w:rsidRPr="00480F0A">
              <w:rPr>
                <w:rFonts w:asciiTheme="minorHAnsi" w:hAnsiTheme="minorHAnsi" w:cstheme="minorHAnsi"/>
                <w:sz w:val="18"/>
                <w:szCs w:val="18"/>
              </w:rPr>
              <w:t>. This is a voluntary scheme so does not include all buildings.</w:t>
            </w:r>
            <w:r w:rsidRPr="00A71ABE">
              <w:rPr>
                <w:rFonts w:asciiTheme="minorHAnsi" w:hAnsiTheme="minorHAnsi" w:cstheme="minorHAnsi"/>
                <w:sz w:val="18"/>
                <w:szCs w:val="18"/>
                <w:shd w:val="clear" w:color="auto" w:fill="FFFFFF"/>
              </w:rPr>
              <w:t xml:space="preserve"> </w:t>
            </w:r>
          </w:p>
        </w:tc>
      </w:tr>
    </w:tbl>
    <w:p w14:paraId="114C4D10" w14:textId="77777777" w:rsidR="008F5EBC" w:rsidRPr="00480F0A" w:rsidRDefault="008F5EBC">
      <w:pPr>
        <w:spacing w:before="0" w:after="160" w:line="259" w:lineRule="auto"/>
        <w:rPr>
          <w:rFonts w:asciiTheme="minorHAnsi" w:hAnsiTheme="minorHAnsi" w:cstheme="minorHAnsi"/>
        </w:rPr>
      </w:pPr>
      <w:r w:rsidRPr="00480F0A">
        <w:rPr>
          <w:rFonts w:asciiTheme="minorHAnsi" w:hAnsiTheme="minorHAnsi" w:cstheme="minorHAnsi"/>
        </w:rPr>
        <w:br w:type="page"/>
      </w:r>
    </w:p>
    <w:p w14:paraId="47AC805D" w14:textId="4C59724C" w:rsidR="00547CBB" w:rsidRDefault="00547CBB" w:rsidP="00547CBB">
      <w:pPr>
        <w:pStyle w:val="BodyText"/>
        <w:rPr>
          <w:rFonts w:asciiTheme="minorHAnsi" w:hAnsiTheme="minorHAnsi" w:cstheme="minorHAnsi"/>
        </w:rPr>
      </w:pPr>
      <w:r w:rsidRPr="00480F0A">
        <w:rPr>
          <w:rFonts w:asciiTheme="minorHAnsi" w:hAnsiTheme="minorHAnsi" w:cstheme="minorHAnsi"/>
        </w:rPr>
        <w:lastRenderedPageBreak/>
        <w:t xml:space="preserve">The United States Environment Protection Agency (US EPA) assessed the impact of energy savings by building type from 2008-2011 and found the biggest impact for retail, </w:t>
      </w:r>
      <w:proofErr w:type="gramStart"/>
      <w:r w:rsidRPr="00480F0A">
        <w:rPr>
          <w:rFonts w:asciiTheme="minorHAnsi" w:hAnsiTheme="minorHAnsi" w:cstheme="minorHAnsi"/>
        </w:rPr>
        <w:t>offices</w:t>
      </w:r>
      <w:proofErr w:type="gramEnd"/>
      <w:r w:rsidRPr="00480F0A">
        <w:rPr>
          <w:rFonts w:asciiTheme="minorHAnsi" w:hAnsiTheme="minorHAnsi" w:cstheme="minorHAnsi"/>
        </w:rPr>
        <w:t xml:space="preserve"> and warehouses</w:t>
      </w:r>
      <w:r w:rsidR="006D20E9">
        <w:rPr>
          <w:rFonts w:asciiTheme="minorHAnsi" w:hAnsiTheme="minorHAnsi" w:cstheme="minorHAnsi"/>
        </w:rPr>
        <w:t xml:space="preserve"> (see </w:t>
      </w:r>
      <w:r w:rsidR="00C4716B">
        <w:rPr>
          <w:rFonts w:asciiTheme="minorHAnsi" w:hAnsiTheme="minorHAnsi" w:cstheme="minorHAnsi"/>
        </w:rPr>
        <w:fldChar w:fldCharType="begin" w:fldLock="1"/>
      </w:r>
      <w:r w:rsidR="00C4716B">
        <w:rPr>
          <w:rFonts w:asciiTheme="minorHAnsi" w:hAnsiTheme="minorHAnsi" w:cstheme="minorHAnsi"/>
        </w:rPr>
        <w:instrText xml:space="preserve"> REF _Ref152334331 \h  \* MERGEFORMAT </w:instrText>
      </w:r>
      <w:r w:rsidR="00C4716B">
        <w:rPr>
          <w:rFonts w:asciiTheme="minorHAnsi" w:hAnsiTheme="minorHAnsi" w:cstheme="minorHAnsi"/>
        </w:rPr>
      </w:r>
      <w:r w:rsidR="00C4716B">
        <w:rPr>
          <w:rFonts w:asciiTheme="minorHAnsi" w:hAnsiTheme="minorHAnsi" w:cstheme="minorHAnsi"/>
        </w:rPr>
        <w:fldChar w:fldCharType="separate"/>
      </w:r>
      <w:r w:rsidR="00C4716B" w:rsidRPr="00C4716B">
        <w:rPr>
          <w:rFonts w:asciiTheme="minorHAnsi" w:hAnsiTheme="minorHAnsi" w:cstheme="minorHAnsi"/>
        </w:rPr>
        <w:t xml:space="preserve">Figure </w:t>
      </w:r>
      <w:r w:rsidR="005C33F7" w:rsidRPr="005C33F7">
        <w:rPr>
          <w:rFonts w:asciiTheme="minorHAnsi" w:hAnsiTheme="minorHAnsi" w:cstheme="minorHAnsi"/>
        </w:rPr>
        <w:t>11</w:t>
      </w:r>
      <w:r w:rsidR="00C4716B">
        <w:rPr>
          <w:rFonts w:asciiTheme="minorHAnsi" w:hAnsiTheme="minorHAnsi" w:cstheme="minorHAnsi"/>
        </w:rPr>
        <w:fldChar w:fldCharType="end"/>
      </w:r>
      <w:r w:rsidR="006D20E9">
        <w:rPr>
          <w:rFonts w:asciiTheme="minorHAnsi" w:hAnsiTheme="minorHAnsi" w:cstheme="minorHAnsi"/>
        </w:rPr>
        <w:t>)</w:t>
      </w:r>
      <w:r w:rsidRPr="00480F0A">
        <w:rPr>
          <w:rFonts w:asciiTheme="minorHAnsi" w:hAnsiTheme="minorHAnsi" w:cstheme="minorHAnsi"/>
        </w:rPr>
        <w:t>.</w:t>
      </w:r>
    </w:p>
    <w:p w14:paraId="3795E842" w14:textId="13A4BA43" w:rsidR="002A56DB" w:rsidRPr="00F576A3" w:rsidRDefault="002A56DB" w:rsidP="00F576A3">
      <w:pPr>
        <w:pStyle w:val="Caption"/>
        <w:keepNext/>
        <w:spacing w:after="120"/>
        <w:jc w:val="center"/>
        <w:rPr>
          <w:rFonts w:ascii="Calibri" w:eastAsia="Times New Roman" w:hAnsi="Calibri" w:cs="Times New Roman"/>
          <w:b/>
          <w:bCs/>
          <w:i w:val="0"/>
          <w:iCs w:val="0"/>
          <w:color w:val="auto"/>
          <w:sz w:val="24"/>
        </w:rPr>
      </w:pPr>
      <w:bookmarkStart w:id="179" w:name="_Ref152334331"/>
      <w:bookmarkStart w:id="180" w:name="_Toc157687016"/>
      <w:r w:rsidRPr="00F576A3">
        <w:rPr>
          <w:rFonts w:ascii="Calibri" w:eastAsia="Times New Roman" w:hAnsi="Calibri" w:cs="Times New Roman"/>
          <w:b/>
          <w:bCs/>
          <w:i w:val="0"/>
          <w:iCs w:val="0"/>
          <w:color w:val="auto"/>
          <w:sz w:val="24"/>
        </w:rPr>
        <w:t xml:space="preserve">Figure </w:t>
      </w:r>
      <w:r w:rsidRPr="00F576A3">
        <w:rPr>
          <w:rFonts w:ascii="Calibri" w:eastAsia="Times New Roman" w:hAnsi="Calibri" w:cs="Times New Roman"/>
          <w:b/>
          <w:bCs/>
          <w:i w:val="0"/>
          <w:iCs w:val="0"/>
          <w:color w:val="auto"/>
          <w:sz w:val="24"/>
        </w:rPr>
        <w:fldChar w:fldCharType="begin"/>
      </w:r>
      <w:r w:rsidRPr="00F576A3">
        <w:rPr>
          <w:rFonts w:ascii="Calibri" w:eastAsia="Times New Roman" w:hAnsi="Calibri" w:cs="Times New Roman"/>
          <w:b/>
          <w:bCs/>
          <w:i w:val="0"/>
          <w:iCs w:val="0"/>
          <w:color w:val="auto"/>
          <w:sz w:val="24"/>
        </w:rPr>
        <w:instrText>SEQ Figure \* ARABIC</w:instrText>
      </w:r>
      <w:r w:rsidRPr="00F576A3">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11</w:t>
      </w:r>
      <w:r w:rsidRPr="00F576A3">
        <w:rPr>
          <w:rFonts w:ascii="Calibri" w:eastAsia="Times New Roman" w:hAnsi="Calibri" w:cs="Times New Roman"/>
          <w:b/>
          <w:bCs/>
          <w:i w:val="0"/>
          <w:iCs w:val="0"/>
          <w:color w:val="auto"/>
          <w:sz w:val="24"/>
        </w:rPr>
        <w:fldChar w:fldCharType="end"/>
      </w:r>
      <w:bookmarkEnd w:id="179"/>
      <w:r w:rsidRPr="00F576A3">
        <w:rPr>
          <w:rFonts w:ascii="Calibri" w:eastAsia="Times New Roman" w:hAnsi="Calibri" w:cs="Times New Roman"/>
          <w:b/>
          <w:bCs/>
          <w:i w:val="0"/>
          <w:iCs w:val="0"/>
          <w:color w:val="auto"/>
          <w:sz w:val="24"/>
        </w:rPr>
        <w:t>: Energy savings from ENERGY STAR scheme by building type (US)</w:t>
      </w:r>
      <w:r w:rsidR="00F73A23">
        <w:rPr>
          <w:rFonts w:ascii="ZWAdobeF" w:eastAsia="Times New Roman" w:hAnsi="ZWAdobeF" w:cs="ZWAdobeF"/>
          <w:bCs/>
          <w:i w:val="0"/>
          <w:iCs w:val="0"/>
          <w:color w:val="auto"/>
          <w:sz w:val="2"/>
          <w:szCs w:val="2"/>
        </w:rPr>
        <w:t>112F</w:t>
      </w:r>
      <w:r w:rsidR="00626378">
        <w:rPr>
          <w:rFonts w:ascii="ZWAdobeF" w:eastAsia="Times New Roman" w:hAnsi="ZWAdobeF" w:cs="ZWAdobeF"/>
          <w:bCs/>
          <w:i w:val="0"/>
          <w:iCs w:val="0"/>
          <w:color w:val="auto"/>
          <w:sz w:val="2"/>
          <w:szCs w:val="2"/>
        </w:rPr>
        <w:t>112F</w:t>
      </w:r>
      <w:r w:rsidR="00413811">
        <w:rPr>
          <w:rFonts w:ascii="ZWAdobeF" w:eastAsia="Times New Roman" w:hAnsi="ZWAdobeF" w:cs="ZWAdobeF"/>
          <w:bCs/>
          <w:i w:val="0"/>
          <w:iCs w:val="0"/>
          <w:color w:val="auto"/>
          <w:sz w:val="2"/>
          <w:szCs w:val="2"/>
        </w:rPr>
        <w:t>112F</w:t>
      </w:r>
      <w:r w:rsidR="002C327C">
        <w:rPr>
          <w:rFonts w:ascii="ZWAdobeF" w:eastAsia="Times New Roman" w:hAnsi="ZWAdobeF" w:cs="ZWAdobeF"/>
          <w:bCs/>
          <w:i w:val="0"/>
          <w:iCs w:val="0"/>
          <w:color w:val="auto"/>
          <w:sz w:val="2"/>
          <w:szCs w:val="2"/>
        </w:rPr>
        <w:t>112F</w:t>
      </w:r>
      <w:r w:rsidR="00D24A06">
        <w:rPr>
          <w:rFonts w:ascii="ZWAdobeF" w:eastAsia="Times New Roman" w:hAnsi="ZWAdobeF" w:cs="ZWAdobeF"/>
          <w:bCs/>
          <w:i w:val="0"/>
          <w:iCs w:val="0"/>
          <w:color w:val="auto"/>
          <w:sz w:val="2"/>
          <w:szCs w:val="2"/>
        </w:rPr>
        <w:t>112F</w:t>
      </w:r>
      <w:r w:rsidR="00F576A3">
        <w:rPr>
          <w:rStyle w:val="FootnoteReference"/>
          <w:rFonts w:ascii="Calibri" w:eastAsia="Times New Roman" w:hAnsi="Calibri" w:cs="Times New Roman"/>
          <w:b/>
          <w:bCs/>
          <w:i w:val="0"/>
          <w:iCs w:val="0"/>
          <w:color w:val="auto"/>
          <w:sz w:val="24"/>
        </w:rPr>
        <w:footnoteReference w:id="114"/>
      </w:r>
      <w:bookmarkEnd w:id="180"/>
    </w:p>
    <w:p w14:paraId="3FC54E6C" w14:textId="75976ACF" w:rsidR="00547CBB" w:rsidRPr="00480F0A" w:rsidRDefault="00547CBB" w:rsidP="00547CBB">
      <w:pPr>
        <w:pStyle w:val="BodyText"/>
        <w:jc w:val="center"/>
        <w:rPr>
          <w:rFonts w:asciiTheme="minorHAnsi" w:hAnsiTheme="minorHAnsi" w:cstheme="minorHAnsi"/>
        </w:rPr>
      </w:pPr>
      <w:r w:rsidRPr="00480F0A">
        <w:rPr>
          <w:rFonts w:asciiTheme="minorHAnsi" w:hAnsiTheme="minorHAnsi" w:cstheme="minorHAnsi"/>
          <w:noProof/>
        </w:rPr>
        <w:drawing>
          <wp:inline distT="0" distB="0" distL="0" distR="0" wp14:anchorId="6F16AEA8" wp14:editId="65665F10">
            <wp:extent cx="2836334" cy="2526801"/>
            <wp:effectExtent l="0" t="0" r="2540" b="6985"/>
            <wp:docPr id="18" name="Picture 18" descr="Percentage savings between 2008-2011 for different building types. Retail had the largest (~11%) and hospitals had he smallest (~2%). The underlying data for this figure is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centage savings between 2008-2011 for different building types. Retail had the largest (~11%) and hospitals had he smallest (~2%). The underlying data for this figure is unavailable."/>
                    <pic:cNvPicPr/>
                  </pic:nvPicPr>
                  <pic:blipFill>
                    <a:blip r:embed="rId43"/>
                    <a:stretch>
                      <a:fillRect/>
                    </a:stretch>
                  </pic:blipFill>
                  <pic:spPr>
                    <a:xfrm>
                      <a:off x="0" y="0"/>
                      <a:ext cx="2852770" cy="2541444"/>
                    </a:xfrm>
                    <a:prstGeom prst="rect">
                      <a:avLst/>
                    </a:prstGeom>
                  </pic:spPr>
                </pic:pic>
              </a:graphicData>
            </a:graphic>
          </wp:inline>
        </w:drawing>
      </w:r>
    </w:p>
    <w:p w14:paraId="2F10F481" w14:textId="03DA8980" w:rsidR="00547CBB" w:rsidRPr="007253BC" w:rsidRDefault="00547CBB" w:rsidP="00547CBB">
      <w:pPr>
        <w:rPr>
          <w:rFonts w:asciiTheme="minorHAnsi" w:hAnsiTheme="minorHAnsi" w:cstheme="minorHAnsi"/>
          <w:szCs w:val="20"/>
        </w:rPr>
      </w:pPr>
      <w:r w:rsidRPr="00480F0A">
        <w:rPr>
          <w:rFonts w:asciiTheme="minorHAnsi" w:hAnsiTheme="minorHAnsi" w:cstheme="minorHAnsi"/>
          <w:szCs w:val="20"/>
        </w:rPr>
        <w:t xml:space="preserve">While not </w:t>
      </w:r>
      <w:r w:rsidRPr="007253BC">
        <w:rPr>
          <w:rFonts w:asciiTheme="minorHAnsi" w:hAnsiTheme="minorHAnsi" w:cstheme="minorHAnsi"/>
          <w:szCs w:val="20"/>
        </w:rPr>
        <w:t>measuring energy and emissions from buildings, adoption of rating schemes can give an indication of building stock improvement</w:t>
      </w:r>
      <w:r w:rsidR="00480F0A">
        <w:rPr>
          <w:rFonts w:asciiTheme="minorHAnsi" w:hAnsiTheme="minorHAnsi" w:cstheme="minorHAnsi"/>
          <w:szCs w:val="20"/>
        </w:rPr>
        <w:t xml:space="preserve">, as set out in the </w:t>
      </w:r>
      <w:r w:rsidR="00F83FFF">
        <w:rPr>
          <w:rFonts w:asciiTheme="minorHAnsi" w:hAnsiTheme="minorHAnsi" w:cstheme="minorHAnsi"/>
          <w:szCs w:val="20"/>
        </w:rPr>
        <w:fldChar w:fldCharType="begin" w:fldLock="1"/>
      </w:r>
      <w:r w:rsidR="00F83FFF">
        <w:rPr>
          <w:rFonts w:asciiTheme="minorHAnsi" w:hAnsiTheme="minorHAnsi" w:cstheme="minorHAnsi"/>
          <w:szCs w:val="20"/>
        </w:rPr>
        <w:instrText xml:space="preserve"> REF _Ref136420646 \h  \* MERGEFORMAT </w:instrText>
      </w:r>
      <w:r w:rsidR="00F83FFF">
        <w:rPr>
          <w:rFonts w:asciiTheme="minorHAnsi" w:hAnsiTheme="minorHAnsi" w:cstheme="minorHAnsi"/>
          <w:szCs w:val="20"/>
        </w:rPr>
      </w:r>
      <w:r w:rsidR="00F83FFF">
        <w:rPr>
          <w:rFonts w:asciiTheme="minorHAnsi" w:hAnsiTheme="minorHAnsi" w:cstheme="minorHAnsi"/>
          <w:szCs w:val="20"/>
        </w:rPr>
        <w:fldChar w:fldCharType="separate"/>
      </w:r>
      <w:r w:rsidR="00F83FFF" w:rsidRPr="00F83FFF">
        <w:rPr>
          <w:rFonts w:asciiTheme="minorHAnsi" w:hAnsiTheme="minorHAnsi" w:cstheme="minorHAnsi"/>
          <w:szCs w:val="20"/>
        </w:rPr>
        <w:t>Table 11</w:t>
      </w:r>
      <w:r w:rsidR="00F83FFF">
        <w:rPr>
          <w:rFonts w:asciiTheme="minorHAnsi" w:hAnsiTheme="minorHAnsi" w:cstheme="minorHAnsi"/>
          <w:szCs w:val="20"/>
        </w:rPr>
        <w:fldChar w:fldCharType="end"/>
      </w:r>
      <w:r w:rsidR="00480F0A">
        <w:rPr>
          <w:rFonts w:asciiTheme="minorHAnsi" w:hAnsiTheme="minorHAnsi" w:cstheme="minorHAnsi"/>
          <w:szCs w:val="20"/>
        </w:rPr>
        <w:t xml:space="preserve"> below.</w:t>
      </w:r>
      <w:r w:rsidRPr="007253BC">
        <w:rPr>
          <w:rFonts w:asciiTheme="minorHAnsi" w:hAnsiTheme="minorHAnsi" w:cstheme="minorHAnsi"/>
          <w:szCs w:val="20"/>
        </w:rPr>
        <w:t xml:space="preserve"> </w:t>
      </w:r>
    </w:p>
    <w:p w14:paraId="3880B8B4" w14:textId="29906622" w:rsidR="00547CBB" w:rsidRPr="004E3937" w:rsidRDefault="00547CBB" w:rsidP="004E3937">
      <w:pPr>
        <w:pStyle w:val="Caption"/>
        <w:keepNext/>
        <w:spacing w:after="120"/>
        <w:rPr>
          <w:rFonts w:ascii="Calibri" w:eastAsia="Times New Roman" w:hAnsi="Calibri" w:cs="Times New Roman"/>
          <w:b/>
          <w:bCs/>
          <w:i w:val="0"/>
          <w:iCs w:val="0"/>
          <w:color w:val="auto"/>
          <w:sz w:val="24"/>
        </w:rPr>
      </w:pPr>
      <w:bookmarkStart w:id="181" w:name="_Ref136420646"/>
      <w:bookmarkStart w:id="182" w:name="_Toc162535447"/>
      <w:r w:rsidRPr="004E3937">
        <w:rPr>
          <w:rFonts w:ascii="Calibri" w:eastAsia="Times New Roman" w:hAnsi="Calibri" w:cs="Times New Roman"/>
          <w:b/>
          <w:bCs/>
          <w:i w:val="0"/>
          <w:iCs w:val="0"/>
          <w:color w:val="auto"/>
          <w:sz w:val="24"/>
        </w:rPr>
        <w:t xml:space="preserve">Table </w:t>
      </w:r>
      <w:r w:rsidRPr="004E3937">
        <w:rPr>
          <w:rFonts w:ascii="Calibri" w:eastAsia="Times New Roman" w:hAnsi="Calibri" w:cs="Times New Roman"/>
          <w:b/>
          <w:bCs/>
          <w:i w:val="0"/>
          <w:iCs w:val="0"/>
          <w:color w:val="auto"/>
          <w:sz w:val="24"/>
        </w:rPr>
        <w:fldChar w:fldCharType="begin"/>
      </w:r>
      <w:r w:rsidRPr="004E3937">
        <w:rPr>
          <w:rFonts w:ascii="Calibri" w:eastAsia="Times New Roman" w:hAnsi="Calibri" w:cs="Times New Roman"/>
          <w:b/>
          <w:bCs/>
          <w:i w:val="0"/>
          <w:iCs w:val="0"/>
          <w:color w:val="auto"/>
          <w:sz w:val="24"/>
        </w:rPr>
        <w:instrText>SEQ Table \* ARABIC</w:instrText>
      </w:r>
      <w:r w:rsidRPr="004E3937">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11</w:t>
      </w:r>
      <w:r w:rsidRPr="004E3937">
        <w:rPr>
          <w:rFonts w:ascii="Calibri" w:eastAsia="Times New Roman" w:hAnsi="Calibri" w:cs="Times New Roman"/>
          <w:b/>
          <w:bCs/>
          <w:i w:val="0"/>
          <w:iCs w:val="0"/>
          <w:color w:val="auto"/>
          <w:sz w:val="24"/>
        </w:rPr>
        <w:fldChar w:fldCharType="end"/>
      </w:r>
      <w:bookmarkEnd w:id="181"/>
      <w:r w:rsidRPr="004E3937">
        <w:rPr>
          <w:rFonts w:ascii="Calibri" w:eastAsia="Times New Roman" w:hAnsi="Calibri" w:cs="Times New Roman"/>
          <w:b/>
          <w:bCs/>
          <w:i w:val="0"/>
          <w:iCs w:val="0"/>
          <w:color w:val="auto"/>
          <w:sz w:val="24"/>
        </w:rPr>
        <w:t>: Adoption of rating schemes</w:t>
      </w:r>
      <w:bookmarkEnd w:id="182"/>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00"/>
        <w:gridCol w:w="7364"/>
      </w:tblGrid>
      <w:tr w:rsidR="00547CBB" w14:paraId="2AC2D29C" w14:textId="77777777" w:rsidTr="00DB69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4" w:type="pct"/>
            <w:tcBorders>
              <w:top w:val="single" w:sz="4" w:space="0" w:color="auto"/>
              <w:left w:val="single" w:sz="4" w:space="0" w:color="auto"/>
              <w:bottom w:val="single" w:sz="12" w:space="0" w:color="auto"/>
            </w:tcBorders>
            <w:shd w:val="clear" w:color="auto" w:fill="auto"/>
            <w:vAlign w:val="center"/>
          </w:tcPr>
          <w:p w14:paraId="3D3AA1F0" w14:textId="77777777" w:rsidR="00547CBB" w:rsidRPr="005C33F7" w:rsidRDefault="00547CBB">
            <w:pPr>
              <w:pStyle w:val="BodyText"/>
              <w:spacing w:after="0"/>
              <w:jc w:val="center"/>
              <w:rPr>
                <w:rFonts w:asciiTheme="minorHAnsi" w:hAnsiTheme="minorHAnsi" w:cstheme="minorHAnsi"/>
                <w:sz w:val="18"/>
                <w:szCs w:val="18"/>
              </w:rPr>
            </w:pPr>
            <w:r w:rsidRPr="005C33F7">
              <w:rPr>
                <w:rFonts w:asciiTheme="minorHAnsi" w:hAnsiTheme="minorHAnsi" w:cstheme="minorHAnsi"/>
                <w:sz w:val="18"/>
                <w:szCs w:val="18"/>
              </w:rPr>
              <w:t>Jurisdiction</w:t>
            </w:r>
          </w:p>
        </w:tc>
        <w:tc>
          <w:tcPr>
            <w:tcW w:w="834" w:type="pct"/>
            <w:tcBorders>
              <w:top w:val="single" w:sz="4" w:space="0" w:color="auto"/>
              <w:bottom w:val="single" w:sz="12" w:space="0" w:color="auto"/>
            </w:tcBorders>
            <w:shd w:val="clear" w:color="auto" w:fill="auto"/>
            <w:vAlign w:val="center"/>
          </w:tcPr>
          <w:p w14:paraId="0D635825" w14:textId="77777777" w:rsidR="00547CBB" w:rsidRPr="005C33F7" w:rsidRDefault="00547CBB">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33F7">
              <w:rPr>
                <w:rFonts w:asciiTheme="minorHAnsi" w:hAnsiTheme="minorHAnsi" w:cstheme="minorHAnsi"/>
                <w:sz w:val="18"/>
                <w:szCs w:val="18"/>
              </w:rPr>
              <w:t>Scheme</w:t>
            </w:r>
          </w:p>
        </w:tc>
        <w:tc>
          <w:tcPr>
            <w:tcW w:w="3612" w:type="pct"/>
            <w:tcBorders>
              <w:top w:val="single" w:sz="4" w:space="0" w:color="auto"/>
              <w:bottom w:val="single" w:sz="12" w:space="0" w:color="auto"/>
              <w:right w:val="single" w:sz="4" w:space="0" w:color="auto"/>
            </w:tcBorders>
            <w:shd w:val="clear" w:color="auto" w:fill="auto"/>
            <w:vAlign w:val="center"/>
          </w:tcPr>
          <w:p w14:paraId="373942C2" w14:textId="77777777" w:rsidR="00547CBB" w:rsidRPr="005C33F7" w:rsidRDefault="00547CBB">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C33F7">
              <w:rPr>
                <w:rFonts w:asciiTheme="minorHAnsi" w:hAnsiTheme="minorHAnsi" w:cstheme="minorHAnsi"/>
                <w:sz w:val="18"/>
                <w:szCs w:val="18"/>
              </w:rPr>
              <w:t>Adoption</w:t>
            </w:r>
          </w:p>
        </w:tc>
      </w:tr>
      <w:tr w:rsidR="00547CBB" w14:paraId="2F7FABDB" w14:textId="77777777" w:rsidTr="00DB6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Borders>
              <w:top w:val="single" w:sz="12" w:space="0" w:color="auto"/>
            </w:tcBorders>
            <w:shd w:val="clear" w:color="auto" w:fill="auto"/>
            <w:vAlign w:val="center"/>
          </w:tcPr>
          <w:p w14:paraId="0F16851D" w14:textId="77777777" w:rsidR="00547CBB" w:rsidRPr="007253BC" w:rsidRDefault="00547CBB">
            <w:pPr>
              <w:pStyle w:val="BodyText"/>
              <w:spacing w:after="0"/>
              <w:jc w:val="center"/>
              <w:rPr>
                <w:rFonts w:asciiTheme="minorHAnsi" w:hAnsiTheme="minorHAnsi" w:cstheme="minorHAnsi"/>
                <w:sz w:val="18"/>
                <w:szCs w:val="18"/>
              </w:rPr>
            </w:pPr>
            <w:r w:rsidRPr="007253BC">
              <w:rPr>
                <w:rFonts w:asciiTheme="minorHAnsi" w:hAnsiTheme="minorHAnsi" w:cstheme="minorHAnsi"/>
                <w:sz w:val="18"/>
                <w:szCs w:val="18"/>
              </w:rPr>
              <w:t>UK</w:t>
            </w:r>
          </w:p>
        </w:tc>
        <w:tc>
          <w:tcPr>
            <w:tcW w:w="834" w:type="pct"/>
            <w:tcBorders>
              <w:top w:val="single" w:sz="12" w:space="0" w:color="auto"/>
            </w:tcBorders>
            <w:shd w:val="clear" w:color="auto" w:fill="auto"/>
            <w:vAlign w:val="center"/>
          </w:tcPr>
          <w:p w14:paraId="6DFD6639" w14:textId="77777777" w:rsidR="00547CBB" w:rsidRPr="007253BC"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EPC</w:t>
            </w:r>
          </w:p>
        </w:tc>
        <w:tc>
          <w:tcPr>
            <w:tcW w:w="3612" w:type="pct"/>
            <w:tcBorders>
              <w:top w:val="single" w:sz="12" w:space="0" w:color="auto"/>
            </w:tcBorders>
            <w:shd w:val="clear" w:color="auto" w:fill="auto"/>
            <w:vAlign w:val="center"/>
          </w:tcPr>
          <w:p w14:paraId="2D479DDB" w14:textId="1F6EB54D" w:rsidR="00547CBB" w:rsidRPr="007253BC"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C33F7">
              <w:rPr>
                <w:rFonts w:asciiTheme="minorHAnsi" w:hAnsiTheme="minorHAnsi" w:cstheme="minorHAnsi"/>
                <w:szCs w:val="20"/>
              </w:rPr>
              <w:t>The number of homes with an EPC rating of C or above has increased from 13</w:t>
            </w:r>
            <w:r w:rsidR="00AE40A7" w:rsidRPr="005C33F7">
              <w:rPr>
                <w:rFonts w:asciiTheme="minorHAnsi" w:hAnsiTheme="minorHAnsi" w:cstheme="minorHAnsi"/>
                <w:szCs w:val="20"/>
              </w:rPr>
              <w:t xml:space="preserve"> </w:t>
            </w:r>
            <w:r w:rsidRPr="005C33F7">
              <w:rPr>
                <w:rFonts w:asciiTheme="minorHAnsi" w:hAnsiTheme="minorHAnsi" w:cstheme="minorHAnsi"/>
                <w:szCs w:val="20"/>
              </w:rPr>
              <w:t>per cent in 2010 to 46</w:t>
            </w:r>
            <w:r w:rsidR="00AE40A7" w:rsidRPr="005C33F7">
              <w:rPr>
                <w:rFonts w:asciiTheme="minorHAnsi" w:hAnsiTheme="minorHAnsi" w:cstheme="minorHAnsi"/>
                <w:szCs w:val="20"/>
              </w:rPr>
              <w:t xml:space="preserve"> </w:t>
            </w:r>
            <w:r w:rsidRPr="005C33F7">
              <w:rPr>
                <w:rFonts w:asciiTheme="minorHAnsi" w:hAnsiTheme="minorHAnsi" w:cstheme="minorHAnsi"/>
                <w:szCs w:val="20"/>
              </w:rPr>
              <w:t>per cent in 2022</w:t>
            </w:r>
            <w:r w:rsidR="007253BC" w:rsidRPr="005C33F7">
              <w:rPr>
                <w:rFonts w:asciiTheme="minorHAnsi" w:hAnsiTheme="minorHAnsi" w:cstheme="minorHAnsi"/>
                <w:szCs w:val="20"/>
              </w:rPr>
              <w:t>.</w:t>
            </w:r>
            <w:r w:rsidR="00723239" w:rsidRPr="005C33F7">
              <w:rPr>
                <w:rFonts w:ascii="ZWAdobeF" w:hAnsi="ZWAdobeF" w:cs="ZWAdobeF"/>
                <w:sz w:val="2"/>
                <w:szCs w:val="2"/>
              </w:rPr>
              <w:t>113F</w:t>
            </w:r>
            <w:r w:rsidR="00EE36E3" w:rsidRPr="005C33F7">
              <w:rPr>
                <w:rFonts w:ascii="ZWAdobeF" w:hAnsi="ZWAdobeF" w:cs="ZWAdobeF"/>
                <w:sz w:val="2"/>
                <w:szCs w:val="2"/>
              </w:rPr>
              <w:t>113F</w:t>
            </w:r>
            <w:r w:rsidR="00122C48" w:rsidRPr="005C33F7">
              <w:rPr>
                <w:rFonts w:ascii="ZWAdobeF" w:hAnsi="ZWAdobeF" w:cs="ZWAdobeF"/>
                <w:sz w:val="2"/>
                <w:szCs w:val="2"/>
              </w:rPr>
              <w:t>113F</w:t>
            </w:r>
            <w:r w:rsidR="00F73A23" w:rsidRPr="005C33F7">
              <w:rPr>
                <w:rFonts w:ascii="ZWAdobeF" w:hAnsi="ZWAdobeF" w:cs="ZWAdobeF"/>
                <w:sz w:val="2"/>
                <w:szCs w:val="2"/>
              </w:rPr>
              <w:t>113F</w:t>
            </w:r>
            <w:r w:rsidR="00626378">
              <w:rPr>
                <w:rFonts w:ascii="ZWAdobeF" w:hAnsi="ZWAdobeF" w:cs="ZWAdobeF"/>
                <w:color w:val="auto"/>
                <w:sz w:val="2"/>
                <w:szCs w:val="2"/>
              </w:rPr>
              <w:t>113F</w:t>
            </w:r>
            <w:r w:rsidR="00413811">
              <w:rPr>
                <w:rFonts w:ascii="ZWAdobeF" w:hAnsi="ZWAdobeF" w:cs="ZWAdobeF"/>
                <w:color w:val="auto"/>
                <w:sz w:val="2"/>
                <w:szCs w:val="2"/>
              </w:rPr>
              <w:t>113F</w:t>
            </w:r>
            <w:r w:rsidR="002C327C">
              <w:rPr>
                <w:rFonts w:ascii="ZWAdobeF" w:hAnsi="ZWAdobeF" w:cs="ZWAdobeF"/>
                <w:color w:val="auto"/>
                <w:sz w:val="2"/>
                <w:szCs w:val="2"/>
              </w:rPr>
              <w:t>113F</w:t>
            </w:r>
            <w:r w:rsidR="00D24A06">
              <w:rPr>
                <w:rFonts w:ascii="ZWAdobeF" w:hAnsi="ZWAdobeF" w:cs="ZWAdobeF"/>
                <w:color w:val="auto"/>
                <w:sz w:val="2"/>
                <w:szCs w:val="2"/>
              </w:rPr>
              <w:t>113F</w:t>
            </w:r>
            <w:r w:rsidRPr="007253BC">
              <w:rPr>
                <w:rStyle w:val="FootnoteReference"/>
                <w:rFonts w:asciiTheme="minorHAnsi" w:hAnsiTheme="minorHAnsi" w:cstheme="minorHAnsi"/>
                <w:szCs w:val="20"/>
              </w:rPr>
              <w:footnoteReference w:id="115"/>
            </w:r>
            <w:r w:rsidRPr="005C33F7">
              <w:rPr>
                <w:rFonts w:asciiTheme="minorHAnsi" w:hAnsiTheme="minorHAnsi" w:cstheme="minorHAnsi"/>
                <w:szCs w:val="20"/>
              </w:rPr>
              <w:t xml:space="preserve"> Although this statistic relates to households it demonstrates how mandatory disclosure and minimum energy performance standards can impact building stock.  </w:t>
            </w:r>
          </w:p>
        </w:tc>
      </w:tr>
      <w:tr w:rsidR="00547CBB" w14:paraId="254BB7E8" w14:textId="77777777" w:rsidTr="005C33F7">
        <w:trPr>
          <w:trHeight w:val="367"/>
        </w:trPr>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4FF0CD78" w14:textId="77777777" w:rsidR="00547CBB" w:rsidRPr="007253BC" w:rsidRDefault="00547CBB">
            <w:pPr>
              <w:pStyle w:val="BodyText"/>
              <w:spacing w:after="0"/>
              <w:jc w:val="center"/>
              <w:rPr>
                <w:rFonts w:asciiTheme="minorHAnsi" w:hAnsiTheme="minorHAnsi" w:cstheme="minorHAnsi"/>
                <w:sz w:val="18"/>
                <w:szCs w:val="18"/>
              </w:rPr>
            </w:pPr>
            <w:r w:rsidRPr="007253BC">
              <w:rPr>
                <w:rFonts w:asciiTheme="minorHAnsi" w:hAnsiTheme="minorHAnsi" w:cstheme="minorHAnsi"/>
                <w:sz w:val="18"/>
                <w:szCs w:val="18"/>
              </w:rPr>
              <w:t>Norway</w:t>
            </w:r>
          </w:p>
        </w:tc>
        <w:tc>
          <w:tcPr>
            <w:tcW w:w="834" w:type="pct"/>
            <w:shd w:val="clear" w:color="auto" w:fill="auto"/>
            <w:vAlign w:val="center"/>
          </w:tcPr>
          <w:p w14:paraId="6407576C" w14:textId="77777777" w:rsidR="00547CBB" w:rsidRPr="007253BC"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EPC</w:t>
            </w:r>
          </w:p>
        </w:tc>
        <w:tc>
          <w:tcPr>
            <w:tcW w:w="3612" w:type="pct"/>
            <w:shd w:val="clear" w:color="auto" w:fill="auto"/>
            <w:vAlign w:val="center"/>
          </w:tcPr>
          <w:p w14:paraId="08B1BA7B" w14:textId="752DFF92" w:rsidR="00547CBB" w:rsidRPr="007253BC" w:rsidRDefault="00547CBB" w:rsidP="0098431E">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53BC">
              <w:rPr>
                <w:rFonts w:asciiTheme="minorHAnsi" w:hAnsiTheme="minorHAnsi" w:cstheme="minorHAnsi"/>
                <w:szCs w:val="20"/>
              </w:rPr>
              <w:t xml:space="preserve">By the end of 2016 </w:t>
            </w:r>
            <w:r w:rsidRPr="005C33F7">
              <w:rPr>
                <w:rFonts w:asciiTheme="minorHAnsi" w:hAnsiTheme="minorHAnsi" w:cstheme="minorHAnsi"/>
                <w:szCs w:val="20"/>
                <w:shd w:val="clear" w:color="auto" w:fill="FFFFFF"/>
              </w:rPr>
              <w:t xml:space="preserve">approximately 24,000 </w:t>
            </w:r>
            <w:proofErr w:type="spellStart"/>
            <w:r w:rsidRPr="005C33F7">
              <w:rPr>
                <w:rFonts w:asciiTheme="minorHAnsi" w:hAnsiTheme="minorHAnsi" w:cstheme="minorHAnsi"/>
                <w:szCs w:val="20"/>
                <w:shd w:val="clear" w:color="auto" w:fill="FFFFFF"/>
              </w:rPr>
              <w:t>EPCs</w:t>
            </w:r>
            <w:proofErr w:type="spellEnd"/>
            <w:r w:rsidRPr="005C33F7">
              <w:rPr>
                <w:rFonts w:asciiTheme="minorHAnsi" w:hAnsiTheme="minorHAnsi" w:cstheme="minorHAnsi"/>
                <w:szCs w:val="20"/>
                <w:shd w:val="clear" w:color="auto" w:fill="FFFFFF"/>
              </w:rPr>
              <w:t xml:space="preserve"> has been issued to non‐residential buildings</w:t>
            </w:r>
            <w:r w:rsidR="007253BC" w:rsidRPr="005C33F7">
              <w:rPr>
                <w:rFonts w:asciiTheme="minorHAnsi" w:hAnsiTheme="minorHAnsi" w:cstheme="minorHAnsi"/>
                <w:szCs w:val="20"/>
                <w:shd w:val="clear" w:color="auto" w:fill="FFFFFF"/>
              </w:rPr>
              <w:t>.</w:t>
            </w:r>
            <w:r w:rsidR="00723239" w:rsidRPr="005C33F7">
              <w:rPr>
                <w:rFonts w:ascii="ZWAdobeF" w:hAnsi="ZWAdobeF" w:cs="ZWAdobeF"/>
                <w:sz w:val="2"/>
                <w:szCs w:val="2"/>
                <w:shd w:val="clear" w:color="auto" w:fill="FFFFFF"/>
              </w:rPr>
              <w:t>114F</w:t>
            </w:r>
            <w:r w:rsidR="00EE36E3" w:rsidRPr="005C33F7">
              <w:rPr>
                <w:rFonts w:ascii="ZWAdobeF" w:hAnsi="ZWAdobeF" w:cs="ZWAdobeF"/>
                <w:sz w:val="2"/>
                <w:szCs w:val="2"/>
                <w:shd w:val="clear" w:color="auto" w:fill="FFFFFF"/>
              </w:rPr>
              <w:t>114F</w:t>
            </w:r>
            <w:r w:rsidR="00122C48" w:rsidRPr="005C33F7">
              <w:rPr>
                <w:rFonts w:ascii="ZWAdobeF" w:hAnsi="ZWAdobeF" w:cs="ZWAdobeF"/>
                <w:sz w:val="2"/>
                <w:szCs w:val="2"/>
                <w:shd w:val="clear" w:color="auto" w:fill="FFFFFF"/>
              </w:rPr>
              <w:t>114F</w:t>
            </w:r>
            <w:r w:rsidR="00F73A23" w:rsidRPr="005C33F7">
              <w:rPr>
                <w:rFonts w:ascii="ZWAdobeF" w:hAnsi="ZWAdobeF" w:cs="ZWAdobeF"/>
                <w:sz w:val="2"/>
                <w:szCs w:val="2"/>
                <w:shd w:val="clear" w:color="auto" w:fill="FFFFFF"/>
              </w:rPr>
              <w:t>114F</w:t>
            </w:r>
            <w:r w:rsidR="00626378">
              <w:rPr>
                <w:rFonts w:ascii="ZWAdobeF" w:hAnsi="ZWAdobeF" w:cs="ZWAdobeF"/>
                <w:color w:val="auto"/>
                <w:sz w:val="2"/>
                <w:szCs w:val="2"/>
                <w:shd w:val="clear" w:color="auto" w:fill="FFFFFF"/>
              </w:rPr>
              <w:t>114F</w:t>
            </w:r>
            <w:r w:rsidR="00413811">
              <w:rPr>
                <w:rFonts w:ascii="ZWAdobeF" w:hAnsi="ZWAdobeF" w:cs="ZWAdobeF"/>
                <w:color w:val="auto"/>
                <w:sz w:val="2"/>
                <w:szCs w:val="2"/>
                <w:shd w:val="clear" w:color="auto" w:fill="FFFFFF"/>
              </w:rPr>
              <w:t>114F</w:t>
            </w:r>
            <w:r w:rsidR="002C327C">
              <w:rPr>
                <w:rFonts w:ascii="ZWAdobeF" w:hAnsi="ZWAdobeF" w:cs="ZWAdobeF"/>
                <w:color w:val="auto"/>
                <w:sz w:val="2"/>
                <w:szCs w:val="2"/>
                <w:shd w:val="clear" w:color="auto" w:fill="FFFFFF"/>
              </w:rPr>
              <w:t>114F</w:t>
            </w:r>
            <w:r w:rsidR="00D24A06">
              <w:rPr>
                <w:rFonts w:ascii="ZWAdobeF" w:hAnsi="ZWAdobeF" w:cs="ZWAdobeF"/>
                <w:color w:val="auto"/>
                <w:sz w:val="2"/>
                <w:szCs w:val="2"/>
                <w:shd w:val="clear" w:color="auto" w:fill="FFFFFF"/>
              </w:rPr>
              <w:t>114F</w:t>
            </w:r>
            <w:r w:rsidRPr="005C33F7">
              <w:rPr>
                <w:rStyle w:val="FootnoteReference"/>
                <w:rFonts w:asciiTheme="minorHAnsi" w:hAnsiTheme="minorHAnsi" w:cstheme="minorHAnsi"/>
                <w:szCs w:val="20"/>
                <w:shd w:val="clear" w:color="auto" w:fill="FFFFFF"/>
              </w:rPr>
              <w:footnoteReference w:id="116"/>
            </w:r>
          </w:p>
        </w:tc>
      </w:tr>
      <w:tr w:rsidR="00547CBB" w14:paraId="45A8F39F" w14:textId="77777777" w:rsidTr="005C3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64DB1419" w14:textId="77777777" w:rsidR="00547CBB" w:rsidRPr="007253BC" w:rsidRDefault="00547CBB">
            <w:pPr>
              <w:pStyle w:val="BodyText"/>
              <w:spacing w:after="0"/>
              <w:jc w:val="center"/>
              <w:rPr>
                <w:rFonts w:asciiTheme="minorHAnsi" w:hAnsiTheme="minorHAnsi" w:cstheme="minorHAnsi"/>
                <w:sz w:val="18"/>
                <w:szCs w:val="18"/>
              </w:rPr>
            </w:pPr>
            <w:r w:rsidRPr="007253BC">
              <w:rPr>
                <w:rFonts w:asciiTheme="minorHAnsi" w:hAnsiTheme="minorHAnsi" w:cstheme="minorHAnsi"/>
                <w:sz w:val="18"/>
                <w:szCs w:val="18"/>
              </w:rPr>
              <w:t>Japan</w:t>
            </w:r>
          </w:p>
        </w:tc>
        <w:tc>
          <w:tcPr>
            <w:tcW w:w="834" w:type="pct"/>
            <w:shd w:val="clear" w:color="auto" w:fill="auto"/>
            <w:vAlign w:val="center"/>
          </w:tcPr>
          <w:p w14:paraId="439EF499" w14:textId="77777777" w:rsidR="00547CBB" w:rsidRPr="007253BC"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 xml:space="preserve">Certification under Building Energy Efficiency Act </w:t>
            </w:r>
          </w:p>
        </w:tc>
        <w:tc>
          <w:tcPr>
            <w:tcW w:w="3612" w:type="pct"/>
            <w:shd w:val="clear" w:color="auto" w:fill="auto"/>
            <w:vAlign w:val="center"/>
          </w:tcPr>
          <w:p w14:paraId="441A728A" w14:textId="00B27183" w:rsidR="00547CBB" w:rsidRPr="007253BC" w:rsidRDefault="00547CB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253BC">
              <w:rPr>
                <w:rFonts w:asciiTheme="minorHAnsi" w:hAnsiTheme="minorHAnsi" w:cstheme="minorHAnsi"/>
                <w:szCs w:val="20"/>
              </w:rPr>
              <w:t>As of late 2019, nearly 93,000 buildings had been certified (in line with 2015 Building Energy Efficiency Act)</w:t>
            </w:r>
            <w:r w:rsidR="00723239" w:rsidRPr="005C33F7">
              <w:rPr>
                <w:rFonts w:ascii="ZWAdobeF" w:hAnsi="ZWAdobeF" w:cs="ZWAdobeF"/>
                <w:sz w:val="2"/>
                <w:szCs w:val="2"/>
              </w:rPr>
              <w:t>115F</w:t>
            </w:r>
            <w:r w:rsidR="00EE36E3" w:rsidRPr="005C33F7">
              <w:rPr>
                <w:rFonts w:ascii="ZWAdobeF" w:hAnsi="ZWAdobeF" w:cs="ZWAdobeF"/>
                <w:sz w:val="2"/>
                <w:szCs w:val="2"/>
              </w:rPr>
              <w:t>115F</w:t>
            </w:r>
            <w:r w:rsidR="00122C48" w:rsidRPr="005C33F7">
              <w:rPr>
                <w:rFonts w:ascii="ZWAdobeF" w:hAnsi="ZWAdobeF" w:cs="ZWAdobeF"/>
                <w:sz w:val="2"/>
                <w:szCs w:val="2"/>
              </w:rPr>
              <w:t>115F</w:t>
            </w:r>
            <w:r w:rsidR="00F73A23" w:rsidRPr="005C33F7">
              <w:rPr>
                <w:rFonts w:ascii="ZWAdobeF" w:hAnsi="ZWAdobeF" w:cs="ZWAdobeF"/>
                <w:sz w:val="2"/>
                <w:szCs w:val="2"/>
              </w:rPr>
              <w:t>115F</w:t>
            </w:r>
            <w:r w:rsidR="00626378">
              <w:rPr>
                <w:rFonts w:ascii="ZWAdobeF" w:hAnsi="ZWAdobeF" w:cs="ZWAdobeF"/>
                <w:color w:val="auto"/>
                <w:sz w:val="2"/>
                <w:szCs w:val="2"/>
              </w:rPr>
              <w:t>115F</w:t>
            </w:r>
            <w:r w:rsidR="00413811">
              <w:rPr>
                <w:rFonts w:ascii="ZWAdobeF" w:hAnsi="ZWAdobeF" w:cs="ZWAdobeF"/>
                <w:color w:val="auto"/>
                <w:sz w:val="2"/>
                <w:szCs w:val="2"/>
              </w:rPr>
              <w:t>115F</w:t>
            </w:r>
            <w:r w:rsidR="002C327C">
              <w:rPr>
                <w:rFonts w:ascii="ZWAdobeF" w:hAnsi="ZWAdobeF" w:cs="ZWAdobeF"/>
                <w:color w:val="auto"/>
                <w:sz w:val="2"/>
                <w:szCs w:val="2"/>
              </w:rPr>
              <w:t>115F</w:t>
            </w:r>
            <w:r w:rsidR="00D24A06">
              <w:rPr>
                <w:rFonts w:ascii="ZWAdobeF" w:hAnsi="ZWAdobeF" w:cs="ZWAdobeF"/>
                <w:color w:val="auto"/>
                <w:sz w:val="2"/>
                <w:szCs w:val="2"/>
              </w:rPr>
              <w:t>115F</w:t>
            </w:r>
            <w:r w:rsidRPr="007253BC">
              <w:rPr>
                <w:rStyle w:val="FootnoteReference"/>
                <w:rFonts w:asciiTheme="minorHAnsi" w:hAnsiTheme="minorHAnsi" w:cstheme="minorHAnsi"/>
                <w:szCs w:val="20"/>
              </w:rPr>
              <w:footnoteReference w:id="117"/>
            </w:r>
          </w:p>
        </w:tc>
      </w:tr>
      <w:tr w:rsidR="00547CBB" w14:paraId="1E126BF9" w14:textId="77777777" w:rsidTr="005C33F7">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7D96EC48" w14:textId="77777777" w:rsidR="00547CBB" w:rsidRPr="007253BC" w:rsidRDefault="00547CBB">
            <w:pPr>
              <w:pStyle w:val="BodyText"/>
              <w:spacing w:after="0"/>
              <w:jc w:val="center"/>
              <w:rPr>
                <w:rFonts w:asciiTheme="minorHAnsi" w:hAnsiTheme="minorHAnsi" w:cstheme="minorHAnsi"/>
                <w:sz w:val="18"/>
                <w:szCs w:val="18"/>
              </w:rPr>
            </w:pPr>
            <w:r w:rsidRPr="007253BC">
              <w:rPr>
                <w:rFonts w:asciiTheme="minorHAnsi" w:hAnsiTheme="minorHAnsi" w:cstheme="minorHAnsi"/>
                <w:sz w:val="18"/>
                <w:szCs w:val="18"/>
              </w:rPr>
              <w:t>US</w:t>
            </w:r>
          </w:p>
        </w:tc>
        <w:tc>
          <w:tcPr>
            <w:tcW w:w="834" w:type="pct"/>
            <w:shd w:val="clear" w:color="auto" w:fill="auto"/>
            <w:vAlign w:val="center"/>
          </w:tcPr>
          <w:p w14:paraId="21F377F9" w14:textId="77777777" w:rsidR="00547CBB" w:rsidRPr="007253BC"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ENERGY STAR</w:t>
            </w:r>
          </w:p>
        </w:tc>
        <w:tc>
          <w:tcPr>
            <w:tcW w:w="3612" w:type="pct"/>
            <w:shd w:val="clear" w:color="auto" w:fill="auto"/>
            <w:vAlign w:val="center"/>
          </w:tcPr>
          <w:p w14:paraId="144E6201" w14:textId="6DD46379" w:rsidR="00547CBB" w:rsidRPr="007253BC"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Cs w:val="20"/>
              </w:rPr>
              <w:t>26,000 buildings have used the Energy Star rating scheme and more than 40per cent are offices</w:t>
            </w:r>
            <w:r w:rsidR="007253BC">
              <w:rPr>
                <w:rFonts w:asciiTheme="minorHAnsi" w:hAnsiTheme="minorHAnsi" w:cstheme="minorHAnsi"/>
                <w:szCs w:val="20"/>
              </w:rPr>
              <w:t>.</w:t>
            </w:r>
            <w:r w:rsidR="00723239" w:rsidRPr="005C33F7">
              <w:rPr>
                <w:rFonts w:ascii="ZWAdobeF" w:hAnsi="ZWAdobeF" w:cs="ZWAdobeF"/>
                <w:sz w:val="2"/>
                <w:szCs w:val="2"/>
              </w:rPr>
              <w:t>116F</w:t>
            </w:r>
            <w:r w:rsidR="00EE36E3" w:rsidRPr="005C33F7">
              <w:rPr>
                <w:rFonts w:ascii="ZWAdobeF" w:hAnsi="ZWAdobeF" w:cs="ZWAdobeF"/>
                <w:sz w:val="2"/>
                <w:szCs w:val="2"/>
              </w:rPr>
              <w:t>116F</w:t>
            </w:r>
            <w:r w:rsidR="00122C48" w:rsidRPr="005C33F7">
              <w:rPr>
                <w:rFonts w:ascii="ZWAdobeF" w:hAnsi="ZWAdobeF" w:cs="ZWAdobeF"/>
                <w:sz w:val="2"/>
                <w:szCs w:val="2"/>
              </w:rPr>
              <w:t>116F</w:t>
            </w:r>
            <w:r w:rsidR="00F73A23" w:rsidRPr="005C33F7">
              <w:rPr>
                <w:rFonts w:ascii="ZWAdobeF" w:hAnsi="ZWAdobeF" w:cs="ZWAdobeF"/>
                <w:sz w:val="2"/>
                <w:szCs w:val="2"/>
              </w:rPr>
              <w:t>116F</w:t>
            </w:r>
            <w:r w:rsidR="00626378">
              <w:rPr>
                <w:rFonts w:ascii="ZWAdobeF" w:hAnsi="ZWAdobeF" w:cs="ZWAdobeF"/>
                <w:color w:val="auto"/>
                <w:sz w:val="2"/>
                <w:szCs w:val="2"/>
              </w:rPr>
              <w:t>116F</w:t>
            </w:r>
            <w:r w:rsidR="00413811">
              <w:rPr>
                <w:rFonts w:ascii="ZWAdobeF" w:hAnsi="ZWAdobeF" w:cs="ZWAdobeF"/>
                <w:color w:val="auto"/>
                <w:sz w:val="2"/>
                <w:szCs w:val="2"/>
              </w:rPr>
              <w:t>116F</w:t>
            </w:r>
            <w:r w:rsidR="002C327C">
              <w:rPr>
                <w:rFonts w:ascii="ZWAdobeF" w:hAnsi="ZWAdobeF" w:cs="ZWAdobeF"/>
                <w:color w:val="auto"/>
                <w:sz w:val="2"/>
                <w:szCs w:val="2"/>
              </w:rPr>
              <w:t>116F</w:t>
            </w:r>
            <w:r w:rsidR="00D24A06">
              <w:rPr>
                <w:rFonts w:ascii="ZWAdobeF" w:hAnsi="ZWAdobeF" w:cs="ZWAdobeF"/>
                <w:color w:val="auto"/>
                <w:sz w:val="2"/>
                <w:szCs w:val="2"/>
              </w:rPr>
              <w:t>116F</w:t>
            </w:r>
            <w:r w:rsidRPr="007253BC">
              <w:rPr>
                <w:rStyle w:val="FootnoteReference"/>
                <w:rFonts w:asciiTheme="minorHAnsi" w:hAnsiTheme="minorHAnsi" w:cstheme="minorHAnsi"/>
                <w:szCs w:val="20"/>
              </w:rPr>
              <w:footnoteReference w:id="118"/>
            </w:r>
            <w:r w:rsidRPr="007253BC">
              <w:rPr>
                <w:rFonts w:asciiTheme="minorHAnsi" w:hAnsiTheme="minorHAnsi" w:cstheme="minorHAnsi"/>
                <w:szCs w:val="20"/>
              </w:rPr>
              <w:t xml:space="preserve"> There is 230 million square metres of energy star certified commercial space across the US</w:t>
            </w:r>
            <w:r w:rsidR="007253BC">
              <w:rPr>
                <w:rFonts w:asciiTheme="minorHAnsi" w:hAnsiTheme="minorHAnsi" w:cstheme="minorHAnsi"/>
                <w:szCs w:val="20"/>
              </w:rPr>
              <w:t>.</w:t>
            </w:r>
            <w:r w:rsidR="00723239" w:rsidRPr="005C33F7">
              <w:rPr>
                <w:rFonts w:ascii="ZWAdobeF" w:hAnsi="ZWAdobeF" w:cs="ZWAdobeF"/>
                <w:sz w:val="2"/>
                <w:szCs w:val="2"/>
              </w:rPr>
              <w:t>117F</w:t>
            </w:r>
            <w:r w:rsidR="00EE36E3" w:rsidRPr="005C33F7">
              <w:rPr>
                <w:rFonts w:ascii="ZWAdobeF" w:hAnsi="ZWAdobeF" w:cs="ZWAdobeF"/>
                <w:sz w:val="2"/>
                <w:szCs w:val="2"/>
              </w:rPr>
              <w:t>117F</w:t>
            </w:r>
            <w:r w:rsidR="00122C48" w:rsidRPr="005C33F7">
              <w:rPr>
                <w:rFonts w:ascii="ZWAdobeF" w:hAnsi="ZWAdobeF" w:cs="ZWAdobeF"/>
                <w:sz w:val="2"/>
                <w:szCs w:val="2"/>
              </w:rPr>
              <w:t>117F</w:t>
            </w:r>
            <w:r w:rsidR="00F73A23" w:rsidRPr="005C33F7">
              <w:rPr>
                <w:rFonts w:ascii="ZWAdobeF" w:hAnsi="ZWAdobeF" w:cs="ZWAdobeF"/>
                <w:sz w:val="2"/>
                <w:szCs w:val="2"/>
              </w:rPr>
              <w:t>117F</w:t>
            </w:r>
            <w:r w:rsidR="00626378">
              <w:rPr>
                <w:rFonts w:ascii="ZWAdobeF" w:hAnsi="ZWAdobeF" w:cs="ZWAdobeF"/>
                <w:color w:val="auto"/>
                <w:sz w:val="2"/>
                <w:szCs w:val="2"/>
              </w:rPr>
              <w:t>117F</w:t>
            </w:r>
            <w:r w:rsidR="00413811">
              <w:rPr>
                <w:rFonts w:ascii="ZWAdobeF" w:hAnsi="ZWAdobeF" w:cs="ZWAdobeF"/>
                <w:color w:val="auto"/>
                <w:sz w:val="2"/>
                <w:szCs w:val="2"/>
              </w:rPr>
              <w:t>117F</w:t>
            </w:r>
            <w:r w:rsidR="002C327C">
              <w:rPr>
                <w:rFonts w:ascii="ZWAdobeF" w:hAnsi="ZWAdobeF" w:cs="ZWAdobeF"/>
                <w:color w:val="auto"/>
                <w:sz w:val="2"/>
                <w:szCs w:val="2"/>
              </w:rPr>
              <w:t>117F</w:t>
            </w:r>
            <w:r w:rsidR="00D24A06">
              <w:rPr>
                <w:rFonts w:ascii="ZWAdobeF" w:hAnsi="ZWAdobeF" w:cs="ZWAdobeF"/>
                <w:color w:val="auto"/>
                <w:sz w:val="2"/>
                <w:szCs w:val="2"/>
              </w:rPr>
              <w:t>117F</w:t>
            </w:r>
            <w:r w:rsidRPr="007253BC">
              <w:rPr>
                <w:rStyle w:val="FootnoteReference"/>
                <w:rFonts w:asciiTheme="minorHAnsi" w:hAnsiTheme="minorHAnsi" w:cstheme="minorHAnsi"/>
                <w:szCs w:val="20"/>
              </w:rPr>
              <w:footnoteReference w:id="119"/>
            </w:r>
            <w:r w:rsidRPr="007253BC">
              <w:rPr>
                <w:rFonts w:asciiTheme="minorHAnsi" w:hAnsiTheme="minorHAnsi" w:cstheme="minorHAnsi"/>
                <w:szCs w:val="20"/>
              </w:rPr>
              <w:t xml:space="preserve"> This is 2.5per cent of the US commercial building floor space</w:t>
            </w:r>
            <w:r w:rsidR="007253BC">
              <w:rPr>
                <w:rFonts w:asciiTheme="minorHAnsi" w:hAnsiTheme="minorHAnsi" w:cstheme="minorHAnsi"/>
                <w:szCs w:val="20"/>
              </w:rPr>
              <w:t>.</w:t>
            </w:r>
            <w:r w:rsidR="00723239" w:rsidRPr="005C33F7">
              <w:rPr>
                <w:rFonts w:ascii="ZWAdobeF" w:hAnsi="ZWAdobeF" w:cs="ZWAdobeF"/>
                <w:sz w:val="2"/>
                <w:szCs w:val="2"/>
              </w:rPr>
              <w:t>118F</w:t>
            </w:r>
            <w:r w:rsidR="00EE36E3" w:rsidRPr="005C33F7">
              <w:rPr>
                <w:rFonts w:ascii="ZWAdobeF" w:hAnsi="ZWAdobeF" w:cs="ZWAdobeF"/>
                <w:sz w:val="2"/>
                <w:szCs w:val="2"/>
              </w:rPr>
              <w:t>118F</w:t>
            </w:r>
            <w:r w:rsidR="00122C48" w:rsidRPr="005C33F7">
              <w:rPr>
                <w:rFonts w:ascii="ZWAdobeF" w:hAnsi="ZWAdobeF" w:cs="ZWAdobeF"/>
                <w:sz w:val="2"/>
                <w:szCs w:val="2"/>
              </w:rPr>
              <w:t>118F</w:t>
            </w:r>
            <w:r w:rsidR="00F73A23" w:rsidRPr="005C33F7">
              <w:rPr>
                <w:rFonts w:ascii="ZWAdobeF" w:hAnsi="ZWAdobeF" w:cs="ZWAdobeF"/>
                <w:sz w:val="2"/>
                <w:szCs w:val="2"/>
              </w:rPr>
              <w:t>118F</w:t>
            </w:r>
            <w:r w:rsidR="00626378">
              <w:rPr>
                <w:rFonts w:ascii="ZWAdobeF" w:hAnsi="ZWAdobeF" w:cs="ZWAdobeF"/>
                <w:color w:val="auto"/>
                <w:sz w:val="2"/>
                <w:szCs w:val="2"/>
              </w:rPr>
              <w:t>118F</w:t>
            </w:r>
            <w:r w:rsidR="00413811">
              <w:rPr>
                <w:rFonts w:ascii="ZWAdobeF" w:hAnsi="ZWAdobeF" w:cs="ZWAdobeF"/>
                <w:color w:val="auto"/>
                <w:sz w:val="2"/>
                <w:szCs w:val="2"/>
              </w:rPr>
              <w:t>118F</w:t>
            </w:r>
            <w:r w:rsidR="002C327C">
              <w:rPr>
                <w:rFonts w:ascii="ZWAdobeF" w:hAnsi="ZWAdobeF" w:cs="ZWAdobeF"/>
                <w:color w:val="auto"/>
                <w:sz w:val="2"/>
                <w:szCs w:val="2"/>
              </w:rPr>
              <w:t>118F</w:t>
            </w:r>
            <w:r w:rsidR="00D24A06">
              <w:rPr>
                <w:rFonts w:ascii="ZWAdobeF" w:hAnsi="ZWAdobeF" w:cs="ZWAdobeF"/>
                <w:color w:val="auto"/>
                <w:sz w:val="2"/>
                <w:szCs w:val="2"/>
              </w:rPr>
              <w:t>118F</w:t>
            </w:r>
            <w:r w:rsidRPr="007253BC">
              <w:rPr>
                <w:rStyle w:val="FootnoteReference"/>
                <w:rFonts w:asciiTheme="minorHAnsi" w:hAnsiTheme="minorHAnsi" w:cstheme="minorHAnsi"/>
                <w:szCs w:val="20"/>
              </w:rPr>
              <w:footnoteReference w:id="120"/>
            </w:r>
          </w:p>
        </w:tc>
      </w:tr>
      <w:tr w:rsidR="00547CBB" w14:paraId="70680C8E" w14:textId="77777777" w:rsidTr="005C3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43C4FE5B" w14:textId="726901A1" w:rsidR="00547CBB" w:rsidRPr="007253BC" w:rsidRDefault="00010682">
            <w:pPr>
              <w:pStyle w:val="BodyText"/>
              <w:spacing w:after="0"/>
              <w:jc w:val="center"/>
              <w:rPr>
                <w:rFonts w:asciiTheme="minorHAnsi" w:hAnsiTheme="minorHAnsi" w:cstheme="minorHAnsi"/>
                <w:sz w:val="18"/>
                <w:szCs w:val="18"/>
              </w:rPr>
            </w:pPr>
            <w:r>
              <w:rPr>
                <w:rFonts w:asciiTheme="minorHAnsi" w:hAnsiTheme="minorHAnsi" w:cstheme="minorHAnsi"/>
                <w:sz w:val="18"/>
                <w:szCs w:val="18"/>
              </w:rPr>
              <w:t>US</w:t>
            </w:r>
          </w:p>
        </w:tc>
        <w:tc>
          <w:tcPr>
            <w:tcW w:w="834" w:type="pct"/>
            <w:shd w:val="clear" w:color="auto" w:fill="auto"/>
            <w:vAlign w:val="center"/>
          </w:tcPr>
          <w:p w14:paraId="775ECD29" w14:textId="77777777" w:rsidR="00547CBB" w:rsidRPr="007253BC"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LEED</w:t>
            </w:r>
          </w:p>
        </w:tc>
        <w:tc>
          <w:tcPr>
            <w:tcW w:w="3612" w:type="pct"/>
            <w:shd w:val="clear" w:color="auto" w:fill="auto"/>
            <w:vAlign w:val="center"/>
          </w:tcPr>
          <w:p w14:paraId="0AF19183" w14:textId="07F9017C" w:rsidR="00547CBB" w:rsidRPr="007253BC"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Cs w:val="20"/>
              </w:rPr>
              <w:t>140 million square metres of LEED certified commercial space</w:t>
            </w:r>
            <w:r w:rsidR="00723239" w:rsidRPr="005C33F7">
              <w:rPr>
                <w:rFonts w:ascii="ZWAdobeF" w:hAnsi="ZWAdobeF" w:cs="ZWAdobeF"/>
                <w:sz w:val="2"/>
                <w:szCs w:val="2"/>
              </w:rPr>
              <w:t>119F</w:t>
            </w:r>
            <w:r w:rsidR="00EE36E3" w:rsidRPr="005C33F7">
              <w:rPr>
                <w:rFonts w:ascii="ZWAdobeF" w:hAnsi="ZWAdobeF" w:cs="ZWAdobeF"/>
                <w:sz w:val="2"/>
                <w:szCs w:val="2"/>
              </w:rPr>
              <w:t>119F</w:t>
            </w:r>
            <w:r w:rsidR="00122C48" w:rsidRPr="005C33F7">
              <w:rPr>
                <w:rFonts w:ascii="ZWAdobeF" w:hAnsi="ZWAdobeF" w:cs="ZWAdobeF"/>
                <w:sz w:val="2"/>
                <w:szCs w:val="2"/>
              </w:rPr>
              <w:t>119F</w:t>
            </w:r>
            <w:r w:rsidR="00F73A23" w:rsidRPr="005C33F7">
              <w:rPr>
                <w:rFonts w:ascii="ZWAdobeF" w:hAnsi="ZWAdobeF" w:cs="ZWAdobeF"/>
                <w:sz w:val="2"/>
                <w:szCs w:val="2"/>
              </w:rPr>
              <w:t>119F</w:t>
            </w:r>
            <w:r w:rsidR="00626378">
              <w:rPr>
                <w:rFonts w:ascii="ZWAdobeF" w:hAnsi="ZWAdobeF" w:cs="ZWAdobeF"/>
                <w:color w:val="auto"/>
                <w:sz w:val="2"/>
                <w:szCs w:val="2"/>
              </w:rPr>
              <w:t>119F</w:t>
            </w:r>
            <w:r w:rsidR="00413811">
              <w:rPr>
                <w:rFonts w:ascii="ZWAdobeF" w:hAnsi="ZWAdobeF" w:cs="ZWAdobeF"/>
                <w:color w:val="auto"/>
                <w:sz w:val="2"/>
                <w:szCs w:val="2"/>
              </w:rPr>
              <w:t>119F</w:t>
            </w:r>
            <w:r w:rsidR="002C327C">
              <w:rPr>
                <w:rFonts w:ascii="ZWAdobeF" w:hAnsi="ZWAdobeF" w:cs="ZWAdobeF"/>
                <w:color w:val="auto"/>
                <w:sz w:val="2"/>
                <w:szCs w:val="2"/>
              </w:rPr>
              <w:t>119F</w:t>
            </w:r>
            <w:r w:rsidR="00D24A06">
              <w:rPr>
                <w:rFonts w:ascii="ZWAdobeF" w:hAnsi="ZWAdobeF" w:cs="ZWAdobeF"/>
                <w:color w:val="auto"/>
                <w:sz w:val="2"/>
                <w:szCs w:val="2"/>
              </w:rPr>
              <w:t>119F</w:t>
            </w:r>
            <w:r w:rsidRPr="007253BC">
              <w:rPr>
                <w:rStyle w:val="FootnoteReference"/>
                <w:rFonts w:asciiTheme="minorHAnsi" w:hAnsiTheme="minorHAnsi" w:cstheme="minorHAnsi"/>
                <w:szCs w:val="20"/>
              </w:rPr>
              <w:footnoteReference w:id="121"/>
            </w:r>
          </w:p>
        </w:tc>
      </w:tr>
      <w:tr w:rsidR="00547CBB" w14:paraId="1D357105" w14:textId="77777777" w:rsidTr="005C33F7">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62B685BD" w14:textId="5833D811" w:rsidR="00547CBB" w:rsidRPr="007253BC" w:rsidRDefault="00547CBB">
            <w:pPr>
              <w:pStyle w:val="BodyText"/>
              <w:spacing w:after="0"/>
              <w:jc w:val="center"/>
              <w:rPr>
                <w:rFonts w:asciiTheme="minorHAnsi" w:hAnsiTheme="minorHAnsi" w:cstheme="minorHAnsi"/>
                <w:sz w:val="18"/>
                <w:szCs w:val="18"/>
              </w:rPr>
            </w:pPr>
            <w:r w:rsidRPr="007253BC">
              <w:rPr>
                <w:rFonts w:asciiTheme="minorHAnsi" w:hAnsiTheme="minorHAnsi" w:cstheme="minorHAnsi"/>
                <w:sz w:val="18"/>
                <w:szCs w:val="18"/>
              </w:rPr>
              <w:t>Washington DC</w:t>
            </w:r>
            <w:r w:rsidR="001E7BA0" w:rsidRPr="005C33F7">
              <w:rPr>
                <w:rFonts w:asciiTheme="minorHAnsi" w:hAnsiTheme="minorHAnsi" w:cstheme="minorHAnsi"/>
                <w:sz w:val="2"/>
                <w:szCs w:val="2"/>
              </w:rPr>
              <w:t>122F</w:t>
            </w:r>
          </w:p>
        </w:tc>
        <w:tc>
          <w:tcPr>
            <w:tcW w:w="834" w:type="pct"/>
            <w:shd w:val="clear" w:color="auto" w:fill="auto"/>
            <w:vAlign w:val="center"/>
          </w:tcPr>
          <w:p w14:paraId="0F35A211" w14:textId="77777777" w:rsidR="00547CBB" w:rsidRPr="007253BC"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ENERGY STAR</w:t>
            </w:r>
          </w:p>
        </w:tc>
        <w:tc>
          <w:tcPr>
            <w:tcW w:w="3612" w:type="pct"/>
            <w:shd w:val="clear" w:color="auto" w:fill="auto"/>
            <w:vAlign w:val="center"/>
          </w:tcPr>
          <w:p w14:paraId="17972A10" w14:textId="76BAB481" w:rsidR="00547CBB" w:rsidRPr="007253BC"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Cs w:val="20"/>
              </w:rPr>
              <w:t>Increase from &lt;10 buildings in 1999 to 200+ buildings in 2011</w:t>
            </w:r>
            <w:r w:rsidR="00723239" w:rsidRPr="005C33F7">
              <w:rPr>
                <w:rFonts w:ascii="ZWAdobeF" w:hAnsi="ZWAdobeF" w:cs="ZWAdobeF"/>
                <w:sz w:val="2"/>
                <w:szCs w:val="2"/>
              </w:rPr>
              <w:t>120F</w:t>
            </w:r>
            <w:r w:rsidR="00EE36E3" w:rsidRPr="005C33F7">
              <w:rPr>
                <w:rFonts w:ascii="ZWAdobeF" w:hAnsi="ZWAdobeF" w:cs="ZWAdobeF"/>
                <w:sz w:val="2"/>
                <w:szCs w:val="2"/>
              </w:rPr>
              <w:t>120F</w:t>
            </w:r>
            <w:r w:rsidR="00122C48" w:rsidRPr="005C33F7">
              <w:rPr>
                <w:rFonts w:ascii="ZWAdobeF" w:hAnsi="ZWAdobeF" w:cs="ZWAdobeF"/>
                <w:sz w:val="2"/>
                <w:szCs w:val="2"/>
              </w:rPr>
              <w:t>120F</w:t>
            </w:r>
            <w:r w:rsidR="00F73A23" w:rsidRPr="005C33F7">
              <w:rPr>
                <w:rFonts w:ascii="ZWAdobeF" w:hAnsi="ZWAdobeF" w:cs="ZWAdobeF"/>
                <w:sz w:val="2"/>
                <w:szCs w:val="2"/>
              </w:rPr>
              <w:t>120F</w:t>
            </w:r>
            <w:bookmarkStart w:id="183" w:name="_Ref147321242"/>
            <w:r w:rsidR="00626378">
              <w:rPr>
                <w:rFonts w:ascii="ZWAdobeF" w:hAnsi="ZWAdobeF" w:cs="ZWAdobeF"/>
                <w:color w:val="auto"/>
                <w:sz w:val="2"/>
                <w:szCs w:val="2"/>
              </w:rPr>
              <w:t>120F</w:t>
            </w:r>
            <w:r w:rsidR="00413811">
              <w:rPr>
                <w:rFonts w:ascii="ZWAdobeF" w:hAnsi="ZWAdobeF" w:cs="ZWAdobeF"/>
                <w:color w:val="auto"/>
                <w:sz w:val="2"/>
                <w:szCs w:val="2"/>
              </w:rPr>
              <w:t>120F</w:t>
            </w:r>
            <w:r w:rsidR="002C327C">
              <w:rPr>
                <w:rFonts w:ascii="ZWAdobeF" w:hAnsi="ZWAdobeF" w:cs="ZWAdobeF"/>
                <w:color w:val="auto"/>
                <w:sz w:val="2"/>
                <w:szCs w:val="2"/>
              </w:rPr>
              <w:t>120F</w:t>
            </w:r>
            <w:r w:rsidR="00D24A06">
              <w:rPr>
                <w:rFonts w:ascii="ZWAdobeF" w:hAnsi="ZWAdobeF" w:cs="ZWAdobeF"/>
                <w:color w:val="auto"/>
                <w:sz w:val="2"/>
                <w:szCs w:val="2"/>
              </w:rPr>
              <w:t>120F</w:t>
            </w:r>
            <w:r w:rsidR="003563A5" w:rsidRPr="007253BC">
              <w:rPr>
                <w:rStyle w:val="FootnoteReference"/>
                <w:rFonts w:asciiTheme="minorHAnsi" w:hAnsiTheme="minorHAnsi" w:cstheme="minorHAnsi"/>
                <w:szCs w:val="20"/>
              </w:rPr>
              <w:footnoteReference w:id="122"/>
            </w:r>
            <w:bookmarkEnd w:id="183"/>
          </w:p>
        </w:tc>
      </w:tr>
      <w:tr w:rsidR="00547CBB" w14:paraId="7112951E" w14:textId="77777777" w:rsidTr="005C3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263D920D" w14:textId="378391C2" w:rsidR="00547CBB" w:rsidRPr="007253BC" w:rsidRDefault="00010682">
            <w:pPr>
              <w:pStyle w:val="BodyText"/>
              <w:spacing w:after="0"/>
              <w:jc w:val="center"/>
              <w:rPr>
                <w:rFonts w:asciiTheme="minorHAnsi" w:hAnsiTheme="minorHAnsi" w:cstheme="minorHAnsi"/>
                <w:sz w:val="18"/>
                <w:szCs w:val="18"/>
              </w:rPr>
            </w:pPr>
            <w:r w:rsidRPr="005C33F7">
              <w:rPr>
                <w:rFonts w:asciiTheme="minorHAnsi" w:hAnsiTheme="minorHAnsi" w:cstheme="minorHAnsi"/>
                <w:sz w:val="18"/>
                <w:szCs w:val="18"/>
              </w:rPr>
              <w:t>Washington DC</w:t>
            </w:r>
            <w:r w:rsidRPr="005C33F7">
              <w:rPr>
                <w:rFonts w:asciiTheme="minorHAnsi" w:hAnsiTheme="minorHAnsi" w:cstheme="minorHAnsi"/>
                <w:sz w:val="2"/>
                <w:szCs w:val="2"/>
              </w:rPr>
              <w:t>122F</w:t>
            </w:r>
          </w:p>
        </w:tc>
        <w:tc>
          <w:tcPr>
            <w:tcW w:w="834" w:type="pct"/>
            <w:shd w:val="clear" w:color="auto" w:fill="auto"/>
            <w:vAlign w:val="center"/>
          </w:tcPr>
          <w:p w14:paraId="2318D045" w14:textId="77777777" w:rsidR="00547CBB" w:rsidRPr="007253BC"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LEED</w:t>
            </w:r>
          </w:p>
        </w:tc>
        <w:tc>
          <w:tcPr>
            <w:tcW w:w="3612" w:type="pct"/>
            <w:shd w:val="clear" w:color="auto" w:fill="auto"/>
            <w:vAlign w:val="center"/>
          </w:tcPr>
          <w:p w14:paraId="09FAAEDA" w14:textId="64A2137E" w:rsidR="00547CBB" w:rsidRPr="007253BC"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253BC">
              <w:rPr>
                <w:rFonts w:asciiTheme="minorHAnsi" w:hAnsiTheme="minorHAnsi" w:cstheme="minorHAnsi"/>
                <w:szCs w:val="20"/>
              </w:rPr>
              <w:t>Increase from ~10 buildings in 2004 to almost 1,400 buildings either registered or certified in 2012</w:t>
            </w:r>
          </w:p>
        </w:tc>
      </w:tr>
      <w:tr w:rsidR="00547CBB" w14:paraId="1D98CF35" w14:textId="77777777" w:rsidTr="005C33F7">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70EF9B61" w14:textId="77777777" w:rsidR="00547CBB" w:rsidRPr="007253BC" w:rsidRDefault="00547CBB">
            <w:pPr>
              <w:pStyle w:val="BodyText"/>
              <w:spacing w:after="0"/>
              <w:jc w:val="center"/>
              <w:rPr>
                <w:rFonts w:asciiTheme="minorHAnsi" w:hAnsiTheme="minorHAnsi" w:cstheme="minorHAnsi"/>
                <w:sz w:val="18"/>
                <w:szCs w:val="18"/>
              </w:rPr>
            </w:pPr>
            <w:r w:rsidRPr="007253BC">
              <w:rPr>
                <w:rFonts w:asciiTheme="minorHAnsi" w:hAnsiTheme="minorHAnsi" w:cstheme="minorHAnsi"/>
                <w:sz w:val="18"/>
                <w:szCs w:val="18"/>
              </w:rPr>
              <w:t>California</w:t>
            </w:r>
          </w:p>
        </w:tc>
        <w:tc>
          <w:tcPr>
            <w:tcW w:w="834" w:type="pct"/>
            <w:shd w:val="clear" w:color="auto" w:fill="auto"/>
            <w:vAlign w:val="center"/>
          </w:tcPr>
          <w:p w14:paraId="3328BF44" w14:textId="77777777" w:rsidR="00547CBB" w:rsidRPr="007253BC" w:rsidRDefault="00547CBB">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LEED</w:t>
            </w:r>
          </w:p>
        </w:tc>
        <w:tc>
          <w:tcPr>
            <w:tcW w:w="3612" w:type="pct"/>
            <w:shd w:val="clear" w:color="auto" w:fill="auto"/>
            <w:vAlign w:val="center"/>
          </w:tcPr>
          <w:p w14:paraId="3D3E6440" w14:textId="73ABBD7C" w:rsidR="00547CBB" w:rsidRPr="007253BC" w:rsidRDefault="00547CBB">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253BC">
              <w:rPr>
                <w:rFonts w:asciiTheme="minorHAnsi" w:hAnsiTheme="minorHAnsi" w:cstheme="minorHAnsi"/>
                <w:szCs w:val="20"/>
              </w:rPr>
              <w:t xml:space="preserve">273 </w:t>
            </w:r>
            <w:proofErr w:type="gramStart"/>
            <w:r w:rsidRPr="007253BC">
              <w:rPr>
                <w:rFonts w:asciiTheme="minorHAnsi" w:hAnsiTheme="minorHAnsi" w:cstheme="minorHAnsi"/>
                <w:szCs w:val="20"/>
              </w:rPr>
              <w:t>state</w:t>
            </w:r>
            <w:proofErr w:type="gramEnd"/>
            <w:r w:rsidRPr="007253BC">
              <w:rPr>
                <w:rFonts w:asciiTheme="minorHAnsi" w:hAnsiTheme="minorHAnsi" w:cstheme="minorHAnsi"/>
                <w:szCs w:val="20"/>
              </w:rPr>
              <w:t xml:space="preserve"> leased or owned buildings have completed the LEED certification, covering 25M square feet (or 2.3M square metres)</w:t>
            </w:r>
            <w:r w:rsidR="007253BC">
              <w:rPr>
                <w:rFonts w:asciiTheme="minorHAnsi" w:hAnsiTheme="minorHAnsi" w:cstheme="minorHAnsi"/>
                <w:szCs w:val="20"/>
              </w:rPr>
              <w:t>.</w:t>
            </w:r>
            <w:r w:rsidR="00723239" w:rsidRPr="005C33F7">
              <w:rPr>
                <w:rFonts w:ascii="ZWAdobeF" w:hAnsi="ZWAdobeF" w:cs="ZWAdobeF"/>
                <w:sz w:val="2"/>
                <w:szCs w:val="2"/>
              </w:rPr>
              <w:t>121F</w:t>
            </w:r>
            <w:r w:rsidR="00EE36E3" w:rsidRPr="005C33F7">
              <w:rPr>
                <w:rFonts w:ascii="ZWAdobeF" w:hAnsi="ZWAdobeF" w:cs="ZWAdobeF"/>
                <w:sz w:val="2"/>
                <w:szCs w:val="2"/>
              </w:rPr>
              <w:t>121F</w:t>
            </w:r>
            <w:r w:rsidR="00122C48" w:rsidRPr="005C33F7">
              <w:rPr>
                <w:rFonts w:ascii="ZWAdobeF" w:hAnsi="ZWAdobeF" w:cs="ZWAdobeF"/>
                <w:sz w:val="2"/>
                <w:szCs w:val="2"/>
              </w:rPr>
              <w:t>121F</w:t>
            </w:r>
            <w:r w:rsidR="00F73A23" w:rsidRPr="005C33F7">
              <w:rPr>
                <w:rFonts w:ascii="ZWAdobeF" w:hAnsi="ZWAdobeF" w:cs="ZWAdobeF"/>
                <w:sz w:val="2"/>
                <w:szCs w:val="2"/>
              </w:rPr>
              <w:t>121F</w:t>
            </w:r>
            <w:r w:rsidR="00626378">
              <w:rPr>
                <w:rFonts w:ascii="ZWAdobeF" w:hAnsi="ZWAdobeF" w:cs="ZWAdobeF"/>
                <w:color w:val="auto"/>
                <w:sz w:val="2"/>
                <w:szCs w:val="2"/>
              </w:rPr>
              <w:t>121F</w:t>
            </w:r>
            <w:r w:rsidR="00413811">
              <w:rPr>
                <w:rFonts w:ascii="ZWAdobeF" w:hAnsi="ZWAdobeF" w:cs="ZWAdobeF"/>
                <w:color w:val="auto"/>
                <w:sz w:val="2"/>
                <w:szCs w:val="2"/>
              </w:rPr>
              <w:t>121F</w:t>
            </w:r>
            <w:r w:rsidR="002C327C">
              <w:rPr>
                <w:rFonts w:ascii="ZWAdobeF" w:hAnsi="ZWAdobeF" w:cs="ZWAdobeF"/>
                <w:color w:val="auto"/>
                <w:sz w:val="2"/>
                <w:szCs w:val="2"/>
              </w:rPr>
              <w:t>121F</w:t>
            </w:r>
            <w:r w:rsidR="00D24A06">
              <w:rPr>
                <w:rFonts w:ascii="ZWAdobeF" w:hAnsi="ZWAdobeF" w:cs="ZWAdobeF"/>
                <w:color w:val="auto"/>
                <w:sz w:val="2"/>
                <w:szCs w:val="2"/>
              </w:rPr>
              <w:t>121F</w:t>
            </w:r>
            <w:r w:rsidRPr="007253BC">
              <w:rPr>
                <w:rStyle w:val="FootnoteReference"/>
                <w:rFonts w:asciiTheme="minorHAnsi" w:hAnsiTheme="minorHAnsi" w:cstheme="minorHAnsi"/>
                <w:szCs w:val="20"/>
              </w:rPr>
              <w:footnoteReference w:id="123"/>
            </w:r>
          </w:p>
        </w:tc>
      </w:tr>
      <w:tr w:rsidR="00547CBB" w14:paraId="168B0A4B" w14:textId="77777777" w:rsidTr="005C33F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54" w:type="pct"/>
            <w:shd w:val="clear" w:color="auto" w:fill="auto"/>
            <w:vAlign w:val="center"/>
          </w:tcPr>
          <w:p w14:paraId="0A51E392" w14:textId="77777777" w:rsidR="00547CBB" w:rsidRPr="007253BC" w:rsidRDefault="00547CBB">
            <w:pPr>
              <w:pStyle w:val="BodyText"/>
              <w:spacing w:after="0"/>
              <w:jc w:val="center"/>
              <w:rPr>
                <w:rFonts w:asciiTheme="minorHAnsi" w:hAnsiTheme="minorHAnsi" w:cstheme="minorHAnsi"/>
                <w:sz w:val="18"/>
                <w:szCs w:val="18"/>
              </w:rPr>
            </w:pPr>
            <w:r w:rsidRPr="007253BC">
              <w:rPr>
                <w:rFonts w:asciiTheme="minorHAnsi" w:hAnsiTheme="minorHAnsi" w:cstheme="minorHAnsi"/>
                <w:sz w:val="18"/>
                <w:szCs w:val="18"/>
              </w:rPr>
              <w:lastRenderedPageBreak/>
              <w:t>New York City</w:t>
            </w:r>
          </w:p>
        </w:tc>
        <w:tc>
          <w:tcPr>
            <w:tcW w:w="834" w:type="pct"/>
            <w:shd w:val="clear" w:color="auto" w:fill="auto"/>
            <w:vAlign w:val="center"/>
          </w:tcPr>
          <w:p w14:paraId="02941E2D" w14:textId="77777777" w:rsidR="00547CBB" w:rsidRPr="007253BC" w:rsidRDefault="00547CBB">
            <w:pPr>
              <w:pStyle w:val="Body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7253BC">
              <w:rPr>
                <w:rFonts w:asciiTheme="minorHAnsi" w:hAnsiTheme="minorHAnsi" w:cstheme="minorHAnsi"/>
                <w:sz w:val="18"/>
                <w:szCs w:val="18"/>
              </w:rPr>
              <w:t>ENERGY STAR</w:t>
            </w:r>
          </w:p>
        </w:tc>
        <w:tc>
          <w:tcPr>
            <w:tcW w:w="3612" w:type="pct"/>
            <w:shd w:val="clear" w:color="auto" w:fill="auto"/>
            <w:vAlign w:val="center"/>
          </w:tcPr>
          <w:p w14:paraId="0756586D" w14:textId="42398F96" w:rsidR="00547CBB" w:rsidRPr="007253BC" w:rsidRDefault="00547CBB">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C33F7">
              <w:rPr>
                <w:rFonts w:asciiTheme="minorHAnsi" w:hAnsiTheme="minorHAnsi" w:cstheme="minorHAnsi"/>
                <w:szCs w:val="20"/>
              </w:rPr>
              <w:t>The disclosure policy covers</w:t>
            </w:r>
            <w:r w:rsidRPr="007253BC">
              <w:rPr>
                <w:rFonts w:asciiTheme="minorHAnsi" w:hAnsiTheme="minorHAnsi" w:cstheme="minorHAnsi"/>
                <w:szCs w:val="20"/>
              </w:rPr>
              <w:t xml:space="preserve"> approximately 40,000 New York City buildings and although this is around 4%</w:t>
            </w:r>
            <w:r w:rsidR="00723239" w:rsidRPr="005C33F7">
              <w:rPr>
                <w:rFonts w:ascii="ZWAdobeF" w:hAnsi="ZWAdobeF" w:cs="ZWAdobeF"/>
                <w:sz w:val="2"/>
                <w:szCs w:val="2"/>
              </w:rPr>
              <w:t>122F</w:t>
            </w:r>
            <w:r w:rsidR="00EE36E3" w:rsidRPr="005C33F7">
              <w:rPr>
                <w:rFonts w:ascii="ZWAdobeF" w:hAnsi="ZWAdobeF" w:cs="ZWAdobeF"/>
                <w:sz w:val="2"/>
                <w:szCs w:val="2"/>
              </w:rPr>
              <w:t>122F</w:t>
            </w:r>
            <w:r w:rsidR="00122C48" w:rsidRPr="005C33F7">
              <w:rPr>
                <w:rFonts w:ascii="ZWAdobeF" w:hAnsi="ZWAdobeF" w:cs="ZWAdobeF"/>
                <w:sz w:val="2"/>
                <w:szCs w:val="2"/>
              </w:rPr>
              <w:t>122F</w:t>
            </w:r>
            <w:r w:rsidR="00F73A23" w:rsidRPr="005C33F7">
              <w:rPr>
                <w:rFonts w:ascii="ZWAdobeF" w:hAnsi="ZWAdobeF" w:cs="ZWAdobeF"/>
                <w:sz w:val="2"/>
                <w:szCs w:val="2"/>
              </w:rPr>
              <w:t>122F</w:t>
            </w:r>
            <w:r w:rsidR="00626378">
              <w:rPr>
                <w:rFonts w:ascii="ZWAdobeF" w:hAnsi="ZWAdobeF" w:cs="ZWAdobeF"/>
                <w:color w:val="auto"/>
                <w:sz w:val="2"/>
                <w:szCs w:val="2"/>
              </w:rPr>
              <w:t>122F</w:t>
            </w:r>
            <w:r w:rsidR="00413811">
              <w:rPr>
                <w:rFonts w:ascii="ZWAdobeF" w:hAnsi="ZWAdobeF" w:cs="ZWAdobeF"/>
                <w:color w:val="auto"/>
                <w:sz w:val="2"/>
                <w:szCs w:val="2"/>
              </w:rPr>
              <w:t>122F</w:t>
            </w:r>
            <w:r w:rsidR="002C327C">
              <w:rPr>
                <w:rFonts w:ascii="ZWAdobeF" w:hAnsi="ZWAdobeF" w:cs="ZWAdobeF"/>
                <w:color w:val="auto"/>
                <w:sz w:val="2"/>
                <w:szCs w:val="2"/>
              </w:rPr>
              <w:t>122F</w:t>
            </w:r>
            <w:r w:rsidR="00D24A06">
              <w:rPr>
                <w:rFonts w:ascii="ZWAdobeF" w:hAnsi="ZWAdobeF" w:cs="ZWAdobeF"/>
                <w:color w:val="auto"/>
                <w:sz w:val="2"/>
                <w:szCs w:val="2"/>
              </w:rPr>
              <w:t>122F</w:t>
            </w:r>
            <w:r w:rsidRPr="007253BC">
              <w:rPr>
                <w:rStyle w:val="FootnoteReference"/>
                <w:rFonts w:asciiTheme="minorHAnsi" w:hAnsiTheme="minorHAnsi" w:cstheme="minorHAnsi"/>
                <w:szCs w:val="20"/>
              </w:rPr>
              <w:footnoteReference w:id="124"/>
            </w:r>
            <w:r w:rsidRPr="007253BC">
              <w:rPr>
                <w:rFonts w:asciiTheme="minorHAnsi" w:hAnsiTheme="minorHAnsi" w:cstheme="minorHAnsi"/>
                <w:szCs w:val="20"/>
              </w:rPr>
              <w:t xml:space="preserve"> this covers nearly 60 percent of the city's building area</w:t>
            </w:r>
            <w:r w:rsidR="00723239" w:rsidRPr="005C33F7">
              <w:rPr>
                <w:rFonts w:ascii="ZWAdobeF" w:hAnsi="ZWAdobeF" w:cs="ZWAdobeF"/>
                <w:sz w:val="2"/>
                <w:szCs w:val="2"/>
              </w:rPr>
              <w:t>123F</w:t>
            </w:r>
            <w:r w:rsidR="00EE36E3" w:rsidRPr="005C33F7">
              <w:rPr>
                <w:rFonts w:ascii="ZWAdobeF" w:hAnsi="ZWAdobeF" w:cs="ZWAdobeF"/>
                <w:sz w:val="2"/>
                <w:szCs w:val="2"/>
              </w:rPr>
              <w:t>123F</w:t>
            </w:r>
            <w:r w:rsidR="00122C48" w:rsidRPr="005C33F7">
              <w:rPr>
                <w:rFonts w:ascii="ZWAdobeF" w:hAnsi="ZWAdobeF" w:cs="ZWAdobeF"/>
                <w:sz w:val="2"/>
                <w:szCs w:val="2"/>
              </w:rPr>
              <w:t>123F</w:t>
            </w:r>
            <w:r w:rsidR="00F73A23" w:rsidRPr="005C33F7">
              <w:rPr>
                <w:rFonts w:ascii="ZWAdobeF" w:hAnsi="ZWAdobeF" w:cs="ZWAdobeF"/>
                <w:sz w:val="2"/>
                <w:szCs w:val="2"/>
              </w:rPr>
              <w:t>123F</w:t>
            </w:r>
            <w:r w:rsidR="00626378">
              <w:rPr>
                <w:rFonts w:ascii="ZWAdobeF" w:hAnsi="ZWAdobeF" w:cs="ZWAdobeF"/>
                <w:color w:val="auto"/>
                <w:sz w:val="2"/>
                <w:szCs w:val="2"/>
              </w:rPr>
              <w:t>123F</w:t>
            </w:r>
            <w:r w:rsidR="00413811">
              <w:rPr>
                <w:rFonts w:ascii="ZWAdobeF" w:hAnsi="ZWAdobeF" w:cs="ZWAdobeF"/>
                <w:color w:val="auto"/>
                <w:sz w:val="2"/>
                <w:szCs w:val="2"/>
              </w:rPr>
              <w:t>123F</w:t>
            </w:r>
            <w:r w:rsidR="002C327C">
              <w:rPr>
                <w:rFonts w:ascii="ZWAdobeF" w:hAnsi="ZWAdobeF" w:cs="ZWAdobeF"/>
                <w:color w:val="auto"/>
                <w:sz w:val="2"/>
                <w:szCs w:val="2"/>
              </w:rPr>
              <w:t>123F</w:t>
            </w:r>
            <w:r w:rsidR="00D24A06">
              <w:rPr>
                <w:rFonts w:ascii="ZWAdobeF" w:hAnsi="ZWAdobeF" w:cs="ZWAdobeF"/>
                <w:color w:val="auto"/>
                <w:sz w:val="2"/>
                <w:szCs w:val="2"/>
              </w:rPr>
              <w:t>123F</w:t>
            </w:r>
            <w:r w:rsidRPr="007253BC">
              <w:rPr>
                <w:rStyle w:val="FootnoteReference"/>
                <w:rFonts w:asciiTheme="minorHAnsi" w:hAnsiTheme="minorHAnsi" w:cstheme="minorHAnsi"/>
                <w:szCs w:val="20"/>
              </w:rPr>
              <w:footnoteReference w:id="125"/>
            </w:r>
          </w:p>
        </w:tc>
      </w:tr>
    </w:tbl>
    <w:p w14:paraId="64BBB834" w14:textId="74F5906E" w:rsidR="00EB1CAA" w:rsidRPr="007253BC" w:rsidRDefault="003F1B30" w:rsidP="00214D42">
      <w:pPr>
        <w:pStyle w:val="Heading3"/>
        <w:rPr>
          <w:rFonts w:asciiTheme="minorHAnsi" w:hAnsiTheme="minorHAnsi" w:cstheme="minorHAnsi"/>
        </w:rPr>
      </w:pPr>
      <w:r w:rsidRPr="007253BC">
        <w:rPr>
          <w:rFonts w:asciiTheme="minorHAnsi" w:hAnsiTheme="minorHAnsi" w:cstheme="minorHAnsi"/>
        </w:rPr>
        <w:t>Market impacts</w:t>
      </w:r>
      <w:bookmarkEnd w:id="173"/>
      <w:bookmarkEnd w:id="174"/>
    </w:p>
    <w:p w14:paraId="6B45BB10" w14:textId="31A2E0F8" w:rsidR="00D61563" w:rsidRPr="007253BC" w:rsidRDefault="009C055E" w:rsidP="00AE0C9A">
      <w:pPr>
        <w:pStyle w:val="CVHeading"/>
        <w:rPr>
          <w:rFonts w:asciiTheme="minorHAnsi" w:hAnsiTheme="minorHAnsi" w:cstheme="minorHAnsi"/>
          <w:szCs w:val="20"/>
        </w:rPr>
      </w:pPr>
      <w:r w:rsidRPr="007253BC">
        <w:rPr>
          <w:rFonts w:asciiTheme="minorHAnsi" w:hAnsiTheme="minorHAnsi" w:cstheme="minorHAnsi"/>
        </w:rPr>
        <w:t>Asset price (</w:t>
      </w:r>
      <w:r w:rsidRPr="007253BC">
        <w:rPr>
          <w:rFonts w:asciiTheme="minorHAnsi" w:hAnsiTheme="minorHAnsi" w:cstheme="minorHAnsi"/>
          <w:szCs w:val="20"/>
        </w:rPr>
        <w:t>rent or purchase)</w:t>
      </w:r>
      <w:r w:rsidR="002D5141" w:rsidRPr="007253BC">
        <w:rPr>
          <w:rFonts w:asciiTheme="minorHAnsi" w:hAnsiTheme="minorHAnsi" w:cstheme="minorHAnsi"/>
          <w:szCs w:val="20"/>
        </w:rPr>
        <w:t xml:space="preserve"> </w:t>
      </w:r>
      <w:r w:rsidR="00F46DC4" w:rsidRPr="007253BC">
        <w:rPr>
          <w:rFonts w:asciiTheme="minorHAnsi" w:hAnsiTheme="minorHAnsi" w:cstheme="minorHAnsi"/>
          <w:szCs w:val="20"/>
        </w:rPr>
        <w:t xml:space="preserve">changes </w:t>
      </w:r>
      <w:r w:rsidR="002D5141" w:rsidRPr="007253BC">
        <w:rPr>
          <w:rFonts w:asciiTheme="minorHAnsi" w:hAnsiTheme="minorHAnsi" w:cstheme="minorHAnsi"/>
          <w:szCs w:val="20"/>
        </w:rPr>
        <w:t>and operational savings</w:t>
      </w:r>
    </w:p>
    <w:p w14:paraId="530077C3" w14:textId="658CE9A4" w:rsidR="00605096" w:rsidRPr="0081652A" w:rsidRDefault="00605096" w:rsidP="00605096">
      <w:pPr>
        <w:spacing w:line="259" w:lineRule="auto"/>
        <w:rPr>
          <w:rFonts w:asciiTheme="minorHAnsi" w:eastAsia="Courier New" w:hAnsiTheme="minorHAnsi" w:cstheme="minorHAnsi"/>
        </w:rPr>
      </w:pPr>
      <w:r w:rsidRPr="007253BC">
        <w:rPr>
          <w:rFonts w:asciiTheme="minorHAnsi" w:eastAsia="Courier New" w:hAnsiTheme="minorHAnsi" w:cstheme="minorHAnsi"/>
        </w:rPr>
        <w:t>Research suggests that improved energy efficiency in buildings can have an impact on prices, although most studies focus on the residential sector. In the US, a study found that a one-point increase in the Home Energy Score (</w:t>
      </w:r>
      <w:proofErr w:type="spellStart"/>
      <w:r w:rsidRPr="007253BC">
        <w:rPr>
          <w:rFonts w:asciiTheme="minorHAnsi" w:eastAsia="Courier New" w:hAnsiTheme="minorHAnsi" w:cstheme="minorHAnsi"/>
        </w:rPr>
        <w:t>HES</w:t>
      </w:r>
      <w:proofErr w:type="spellEnd"/>
      <w:r w:rsidRPr="007253BC">
        <w:rPr>
          <w:rFonts w:asciiTheme="minorHAnsi" w:eastAsia="Courier New" w:hAnsiTheme="minorHAnsi" w:cstheme="minorHAnsi"/>
        </w:rPr>
        <w:t>) was associated with a 0.5 per cent increase in sale price</w:t>
      </w:r>
      <w:r w:rsidR="00723239">
        <w:rPr>
          <w:rFonts w:ascii="ZWAdobeF" w:eastAsia="Courier New" w:hAnsi="ZWAdobeF" w:cs="ZWAdobeF"/>
          <w:color w:val="auto"/>
          <w:sz w:val="2"/>
          <w:szCs w:val="2"/>
        </w:rPr>
        <w:t>124F</w:t>
      </w:r>
      <w:r w:rsidR="00EE36E3">
        <w:rPr>
          <w:rFonts w:ascii="ZWAdobeF" w:eastAsia="Courier New" w:hAnsi="ZWAdobeF" w:cs="ZWAdobeF"/>
          <w:color w:val="auto"/>
          <w:sz w:val="2"/>
          <w:szCs w:val="2"/>
        </w:rPr>
        <w:t>124F</w:t>
      </w:r>
      <w:r w:rsidR="00122C48">
        <w:rPr>
          <w:rFonts w:ascii="ZWAdobeF" w:eastAsia="Courier New" w:hAnsi="ZWAdobeF" w:cs="ZWAdobeF"/>
          <w:color w:val="auto"/>
          <w:sz w:val="2"/>
          <w:szCs w:val="2"/>
        </w:rPr>
        <w:t>124F</w:t>
      </w:r>
      <w:r w:rsidR="00F73A23">
        <w:rPr>
          <w:rFonts w:ascii="ZWAdobeF" w:eastAsia="Courier New" w:hAnsi="ZWAdobeF" w:cs="ZWAdobeF"/>
          <w:color w:val="auto"/>
          <w:sz w:val="2"/>
          <w:szCs w:val="2"/>
        </w:rPr>
        <w:t>124F</w:t>
      </w:r>
      <w:r w:rsidR="00626378">
        <w:rPr>
          <w:rFonts w:ascii="ZWAdobeF" w:eastAsia="Courier New" w:hAnsi="ZWAdobeF" w:cs="ZWAdobeF"/>
          <w:color w:val="auto"/>
          <w:sz w:val="2"/>
          <w:szCs w:val="2"/>
        </w:rPr>
        <w:t>124F</w:t>
      </w:r>
      <w:r w:rsidR="00413811">
        <w:rPr>
          <w:rFonts w:ascii="ZWAdobeF" w:eastAsia="Courier New" w:hAnsi="ZWAdobeF" w:cs="ZWAdobeF"/>
          <w:color w:val="auto"/>
          <w:sz w:val="2"/>
          <w:szCs w:val="2"/>
        </w:rPr>
        <w:t>124F</w:t>
      </w:r>
      <w:r w:rsidR="002C327C">
        <w:rPr>
          <w:rFonts w:ascii="ZWAdobeF" w:eastAsia="Courier New" w:hAnsi="ZWAdobeF" w:cs="ZWAdobeF"/>
          <w:color w:val="auto"/>
          <w:sz w:val="2"/>
          <w:szCs w:val="2"/>
        </w:rPr>
        <w:t>124F</w:t>
      </w:r>
      <w:r w:rsidR="00D24A06">
        <w:rPr>
          <w:rFonts w:ascii="ZWAdobeF" w:eastAsia="Courier New" w:hAnsi="ZWAdobeF" w:cs="ZWAdobeF"/>
          <w:color w:val="auto"/>
          <w:sz w:val="2"/>
          <w:szCs w:val="2"/>
        </w:rPr>
        <w:t>124F</w:t>
      </w:r>
      <w:r w:rsidRPr="0081652A">
        <w:rPr>
          <w:rStyle w:val="FootnoteReference"/>
          <w:rFonts w:asciiTheme="minorHAnsi" w:eastAsia="Courier New" w:hAnsiTheme="minorHAnsi" w:cstheme="minorHAnsi"/>
        </w:rPr>
        <w:footnoteReference w:id="126"/>
      </w:r>
      <w:r w:rsidR="00AE40A7" w:rsidRPr="0081652A">
        <w:rPr>
          <w:rFonts w:asciiTheme="minorHAnsi" w:eastAsia="Arial" w:hAnsiTheme="minorHAnsi" w:cstheme="minorHAnsi"/>
        </w:rPr>
        <w:t>.</w:t>
      </w:r>
      <w:r w:rsidRPr="0081652A">
        <w:rPr>
          <w:rFonts w:asciiTheme="minorHAnsi" w:eastAsia="Arial" w:hAnsiTheme="minorHAnsi" w:cstheme="minorHAnsi"/>
        </w:rPr>
        <w:t xml:space="preserve"> </w:t>
      </w:r>
      <w:r w:rsidRPr="0081652A">
        <w:rPr>
          <w:rFonts w:asciiTheme="minorHAnsi" w:eastAsia="Courier New" w:hAnsiTheme="minorHAnsi" w:cstheme="minorHAnsi"/>
        </w:rPr>
        <w:t>A global review by the European Commission</w:t>
      </w:r>
      <w:r w:rsidR="00723239">
        <w:rPr>
          <w:rFonts w:ascii="ZWAdobeF" w:eastAsia="Courier New" w:hAnsi="ZWAdobeF" w:cs="ZWAdobeF"/>
          <w:color w:val="auto"/>
          <w:sz w:val="2"/>
          <w:szCs w:val="2"/>
        </w:rPr>
        <w:t>125F</w:t>
      </w:r>
      <w:r w:rsidR="00EE36E3">
        <w:rPr>
          <w:rFonts w:ascii="ZWAdobeF" w:eastAsia="Courier New" w:hAnsi="ZWAdobeF" w:cs="ZWAdobeF"/>
          <w:color w:val="auto"/>
          <w:sz w:val="2"/>
          <w:szCs w:val="2"/>
        </w:rPr>
        <w:t>125F</w:t>
      </w:r>
      <w:r w:rsidR="00122C48">
        <w:rPr>
          <w:rFonts w:ascii="ZWAdobeF" w:eastAsia="Courier New" w:hAnsi="ZWAdobeF" w:cs="ZWAdobeF"/>
          <w:color w:val="auto"/>
          <w:sz w:val="2"/>
          <w:szCs w:val="2"/>
        </w:rPr>
        <w:t>125F</w:t>
      </w:r>
      <w:r w:rsidR="00F73A23">
        <w:rPr>
          <w:rFonts w:ascii="ZWAdobeF" w:eastAsia="Courier New" w:hAnsi="ZWAdobeF" w:cs="ZWAdobeF"/>
          <w:color w:val="auto"/>
          <w:sz w:val="2"/>
          <w:szCs w:val="2"/>
        </w:rPr>
        <w:t>125F</w:t>
      </w:r>
      <w:r w:rsidR="00626378">
        <w:rPr>
          <w:rFonts w:ascii="ZWAdobeF" w:eastAsia="Courier New" w:hAnsi="ZWAdobeF" w:cs="ZWAdobeF"/>
          <w:color w:val="auto"/>
          <w:sz w:val="2"/>
          <w:szCs w:val="2"/>
        </w:rPr>
        <w:t>125F</w:t>
      </w:r>
      <w:r w:rsidR="00413811">
        <w:rPr>
          <w:rFonts w:ascii="ZWAdobeF" w:eastAsia="Courier New" w:hAnsi="ZWAdobeF" w:cs="ZWAdobeF"/>
          <w:color w:val="auto"/>
          <w:sz w:val="2"/>
          <w:szCs w:val="2"/>
        </w:rPr>
        <w:t>125F</w:t>
      </w:r>
      <w:r w:rsidR="002C327C">
        <w:rPr>
          <w:rFonts w:ascii="ZWAdobeF" w:eastAsia="Courier New" w:hAnsi="ZWAdobeF" w:cs="ZWAdobeF"/>
          <w:color w:val="auto"/>
          <w:sz w:val="2"/>
          <w:szCs w:val="2"/>
        </w:rPr>
        <w:t>125F</w:t>
      </w:r>
      <w:r w:rsidR="00D24A06">
        <w:rPr>
          <w:rFonts w:ascii="ZWAdobeF" w:eastAsia="Courier New" w:hAnsi="ZWAdobeF" w:cs="ZWAdobeF"/>
          <w:color w:val="auto"/>
          <w:sz w:val="2"/>
          <w:szCs w:val="2"/>
        </w:rPr>
        <w:t>125F</w:t>
      </w:r>
      <w:r w:rsidRPr="0081652A">
        <w:rPr>
          <w:rStyle w:val="FootnoteReference"/>
          <w:rFonts w:asciiTheme="minorHAnsi" w:eastAsia="Courier New" w:hAnsiTheme="minorHAnsi" w:cstheme="minorHAnsi"/>
        </w:rPr>
        <w:footnoteReference w:id="127"/>
      </w:r>
      <w:r w:rsidRPr="0081652A">
        <w:rPr>
          <w:rFonts w:asciiTheme="minorHAnsi" w:eastAsia="Courier New" w:hAnsiTheme="minorHAnsi" w:cstheme="minorHAnsi"/>
        </w:rPr>
        <w:t xml:space="preserve"> indicated increases in both sale and rental prices for Energy Star buildings in the US, ranging from 8 per cent to 26 per cent increases in sale price and around a 3 per cent increase in rent prices for offices.</w:t>
      </w:r>
    </w:p>
    <w:p w14:paraId="004DC2B5" w14:textId="69EC3029" w:rsidR="00605096" w:rsidRDefault="00605096" w:rsidP="00605096">
      <w:pPr>
        <w:spacing w:line="259" w:lineRule="auto"/>
        <w:rPr>
          <w:rFonts w:asciiTheme="minorHAnsi" w:eastAsia="Courier New" w:hAnsiTheme="minorHAnsi" w:cstheme="minorHAnsi"/>
        </w:rPr>
      </w:pPr>
      <w:r w:rsidRPr="0081652A">
        <w:rPr>
          <w:rFonts w:asciiTheme="minorHAnsi" w:eastAsia="Courier New" w:hAnsiTheme="minorHAnsi" w:cstheme="minorHAnsi"/>
        </w:rPr>
        <w:t>In terms of operational savings, Energy Star research</w:t>
      </w:r>
      <w:r w:rsidR="00723239">
        <w:rPr>
          <w:rFonts w:ascii="ZWAdobeF" w:eastAsia="Courier New" w:hAnsi="ZWAdobeF" w:cs="ZWAdobeF"/>
          <w:color w:val="auto"/>
          <w:sz w:val="2"/>
          <w:szCs w:val="2"/>
        </w:rPr>
        <w:t>126F</w:t>
      </w:r>
      <w:r w:rsidR="00EE36E3">
        <w:rPr>
          <w:rFonts w:ascii="ZWAdobeF" w:eastAsia="Courier New" w:hAnsi="ZWAdobeF" w:cs="ZWAdobeF"/>
          <w:color w:val="auto"/>
          <w:sz w:val="2"/>
          <w:szCs w:val="2"/>
        </w:rPr>
        <w:t>126F</w:t>
      </w:r>
      <w:r w:rsidR="00122C48">
        <w:rPr>
          <w:rFonts w:ascii="ZWAdobeF" w:eastAsia="Courier New" w:hAnsi="ZWAdobeF" w:cs="ZWAdobeF"/>
          <w:color w:val="auto"/>
          <w:sz w:val="2"/>
          <w:szCs w:val="2"/>
        </w:rPr>
        <w:t>126F</w:t>
      </w:r>
      <w:r w:rsidR="00F73A23">
        <w:rPr>
          <w:rFonts w:ascii="ZWAdobeF" w:eastAsia="Courier New" w:hAnsi="ZWAdobeF" w:cs="ZWAdobeF"/>
          <w:color w:val="auto"/>
          <w:sz w:val="2"/>
          <w:szCs w:val="2"/>
        </w:rPr>
        <w:t>126F</w:t>
      </w:r>
      <w:r w:rsidR="00626378">
        <w:rPr>
          <w:rFonts w:ascii="ZWAdobeF" w:eastAsia="Courier New" w:hAnsi="ZWAdobeF" w:cs="ZWAdobeF"/>
          <w:color w:val="auto"/>
          <w:sz w:val="2"/>
          <w:szCs w:val="2"/>
        </w:rPr>
        <w:t>126F</w:t>
      </w:r>
      <w:r w:rsidR="00413811">
        <w:rPr>
          <w:rFonts w:ascii="ZWAdobeF" w:eastAsia="Courier New" w:hAnsi="ZWAdobeF" w:cs="ZWAdobeF"/>
          <w:color w:val="auto"/>
          <w:sz w:val="2"/>
          <w:szCs w:val="2"/>
        </w:rPr>
        <w:t>126F</w:t>
      </w:r>
      <w:r w:rsidR="002C327C">
        <w:rPr>
          <w:rFonts w:ascii="ZWAdobeF" w:eastAsia="Courier New" w:hAnsi="ZWAdobeF" w:cs="ZWAdobeF"/>
          <w:color w:val="auto"/>
          <w:sz w:val="2"/>
          <w:szCs w:val="2"/>
        </w:rPr>
        <w:t>126F</w:t>
      </w:r>
      <w:r w:rsidR="00D24A06">
        <w:rPr>
          <w:rFonts w:ascii="ZWAdobeF" w:eastAsia="Courier New" w:hAnsi="ZWAdobeF" w:cs="ZWAdobeF"/>
          <w:color w:val="auto"/>
          <w:sz w:val="2"/>
          <w:szCs w:val="2"/>
        </w:rPr>
        <w:t>126F</w:t>
      </w:r>
      <w:r w:rsidRPr="0081652A">
        <w:rPr>
          <w:rStyle w:val="FootnoteReference"/>
          <w:rFonts w:asciiTheme="minorHAnsi" w:eastAsia="Courier New" w:hAnsiTheme="minorHAnsi" w:cstheme="minorHAnsi"/>
        </w:rPr>
        <w:footnoteReference w:id="128"/>
      </w:r>
      <w:r w:rsidRPr="0081652A">
        <w:rPr>
          <w:rFonts w:asciiTheme="minorHAnsi" w:eastAsia="Courier New" w:hAnsiTheme="minorHAnsi" w:cstheme="minorHAnsi"/>
        </w:rPr>
        <w:t xml:space="preserve"> showed a range of benefits in addition to reduced emissions (costs, revenue, asset value, </w:t>
      </w:r>
      <w:r w:rsidR="00837B5B">
        <w:rPr>
          <w:rFonts w:asciiTheme="minorHAnsi" w:eastAsia="Courier New" w:hAnsiTheme="minorHAnsi" w:cstheme="minorHAnsi"/>
        </w:rPr>
        <w:t xml:space="preserve">see </w:t>
      </w:r>
      <w:r w:rsidR="00AD6925">
        <w:rPr>
          <w:rFonts w:asciiTheme="minorHAnsi" w:eastAsia="Courier New" w:hAnsiTheme="minorHAnsi" w:cstheme="minorHAnsi"/>
        </w:rPr>
        <w:fldChar w:fldCharType="begin" w:fldLock="1"/>
      </w:r>
      <w:r w:rsidR="00AD6925">
        <w:rPr>
          <w:rFonts w:asciiTheme="minorHAnsi" w:eastAsia="Courier New" w:hAnsiTheme="minorHAnsi" w:cstheme="minorHAnsi"/>
        </w:rPr>
        <w:instrText xml:space="preserve"> REF _Ref136422107 \h  \* MERGEFORMAT </w:instrText>
      </w:r>
      <w:r w:rsidR="00AD6925">
        <w:rPr>
          <w:rFonts w:asciiTheme="minorHAnsi" w:eastAsia="Courier New" w:hAnsiTheme="minorHAnsi" w:cstheme="minorHAnsi"/>
        </w:rPr>
      </w:r>
      <w:r w:rsidR="00AD6925">
        <w:rPr>
          <w:rFonts w:asciiTheme="minorHAnsi" w:eastAsia="Courier New" w:hAnsiTheme="minorHAnsi" w:cstheme="minorHAnsi"/>
        </w:rPr>
        <w:fldChar w:fldCharType="separate"/>
      </w:r>
      <w:r w:rsidR="00AD6925" w:rsidRPr="00AD6925">
        <w:rPr>
          <w:rFonts w:asciiTheme="minorHAnsi" w:eastAsia="Courier New" w:hAnsiTheme="minorHAnsi" w:cstheme="minorHAnsi"/>
        </w:rPr>
        <w:t xml:space="preserve">Figure </w:t>
      </w:r>
      <w:r w:rsidR="005C33F7" w:rsidRPr="005C33F7">
        <w:rPr>
          <w:rFonts w:asciiTheme="minorHAnsi" w:eastAsia="Courier New" w:hAnsiTheme="minorHAnsi" w:cstheme="minorHAnsi"/>
        </w:rPr>
        <w:t>12</w:t>
      </w:r>
      <w:r w:rsidR="00AD6925">
        <w:rPr>
          <w:rFonts w:asciiTheme="minorHAnsi" w:eastAsia="Courier New" w:hAnsiTheme="minorHAnsi" w:cstheme="minorHAnsi"/>
        </w:rPr>
        <w:fldChar w:fldCharType="end"/>
      </w:r>
      <w:r w:rsidR="00AD6925">
        <w:rPr>
          <w:rFonts w:asciiTheme="minorHAnsi" w:eastAsia="Courier New" w:hAnsiTheme="minorHAnsi" w:cstheme="minorHAnsi"/>
        </w:rPr>
        <w:t>)</w:t>
      </w:r>
      <w:r w:rsidRPr="0081652A">
        <w:rPr>
          <w:rFonts w:asciiTheme="minorHAnsi" w:eastAsia="Courier New" w:hAnsiTheme="minorHAnsi" w:cstheme="minorHAnsi"/>
        </w:rPr>
        <w:t xml:space="preserve">. </w:t>
      </w:r>
    </w:p>
    <w:p w14:paraId="42335B2B" w14:textId="7674B464" w:rsidR="00605096" w:rsidRPr="00C25DFC" w:rsidRDefault="002A56DB" w:rsidP="00C25DFC">
      <w:pPr>
        <w:pStyle w:val="Caption"/>
        <w:keepNext/>
        <w:spacing w:after="120"/>
        <w:jc w:val="center"/>
        <w:rPr>
          <w:rFonts w:ascii="Calibri" w:eastAsia="Times New Roman" w:hAnsi="Calibri" w:cs="Times New Roman"/>
          <w:b/>
          <w:bCs/>
          <w:i w:val="0"/>
          <w:iCs w:val="0"/>
          <w:color w:val="auto"/>
          <w:sz w:val="24"/>
        </w:rPr>
      </w:pPr>
      <w:bookmarkStart w:id="184" w:name="_Ref136422107"/>
      <w:bookmarkStart w:id="185" w:name="_Toc157687017"/>
      <w:r w:rsidRPr="007C7CE9">
        <w:rPr>
          <w:rFonts w:ascii="Calibri" w:eastAsia="Times New Roman" w:hAnsi="Calibri" w:cs="Times New Roman"/>
          <w:b/>
          <w:bCs/>
          <w:i w:val="0"/>
          <w:iCs w:val="0"/>
          <w:color w:val="auto"/>
          <w:sz w:val="24"/>
        </w:rPr>
        <w:t xml:space="preserve">Figure </w:t>
      </w:r>
      <w:r w:rsidRPr="007C7CE9">
        <w:rPr>
          <w:rFonts w:ascii="Calibri" w:eastAsia="Times New Roman" w:hAnsi="Calibri" w:cs="Times New Roman"/>
          <w:b/>
          <w:bCs/>
          <w:i w:val="0"/>
          <w:iCs w:val="0"/>
          <w:color w:val="auto"/>
          <w:sz w:val="24"/>
        </w:rPr>
        <w:fldChar w:fldCharType="begin"/>
      </w:r>
      <w:r w:rsidRPr="007C7CE9">
        <w:rPr>
          <w:rFonts w:ascii="Calibri" w:eastAsia="Times New Roman" w:hAnsi="Calibri" w:cs="Times New Roman"/>
          <w:b/>
          <w:bCs/>
          <w:i w:val="0"/>
          <w:iCs w:val="0"/>
          <w:color w:val="auto"/>
          <w:sz w:val="24"/>
        </w:rPr>
        <w:instrText>SEQ Figure \* ARABIC</w:instrText>
      </w:r>
      <w:r w:rsidRPr="007C7CE9">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12</w:t>
      </w:r>
      <w:r w:rsidRPr="007C7CE9">
        <w:rPr>
          <w:rFonts w:ascii="Calibri" w:eastAsia="Times New Roman" w:hAnsi="Calibri" w:cs="Times New Roman"/>
          <w:b/>
          <w:bCs/>
          <w:i w:val="0"/>
          <w:iCs w:val="0"/>
          <w:color w:val="auto"/>
          <w:sz w:val="24"/>
        </w:rPr>
        <w:fldChar w:fldCharType="end"/>
      </w:r>
      <w:bookmarkEnd w:id="184"/>
      <w:r w:rsidRPr="007C7CE9">
        <w:rPr>
          <w:rFonts w:ascii="Calibri" w:eastAsia="Times New Roman" w:hAnsi="Calibri" w:cs="Times New Roman"/>
          <w:b/>
          <w:bCs/>
          <w:i w:val="0"/>
          <w:iCs w:val="0"/>
          <w:color w:val="auto"/>
          <w:sz w:val="24"/>
        </w:rPr>
        <w:t>: Other benefits to the ENERGY STAR scheme in the US</w:t>
      </w:r>
      <w:r w:rsidR="00F73A23">
        <w:rPr>
          <w:rFonts w:ascii="ZWAdobeF" w:eastAsia="Times New Roman" w:hAnsi="ZWAdobeF" w:cs="ZWAdobeF"/>
          <w:bCs/>
          <w:i w:val="0"/>
          <w:iCs w:val="0"/>
          <w:color w:val="auto"/>
          <w:sz w:val="2"/>
          <w:szCs w:val="2"/>
        </w:rPr>
        <w:t>127F</w:t>
      </w:r>
      <w:r w:rsidR="00626378">
        <w:rPr>
          <w:rFonts w:ascii="ZWAdobeF" w:eastAsia="Times New Roman" w:hAnsi="ZWAdobeF" w:cs="ZWAdobeF"/>
          <w:bCs/>
          <w:i w:val="0"/>
          <w:iCs w:val="0"/>
          <w:color w:val="auto"/>
          <w:sz w:val="2"/>
          <w:szCs w:val="2"/>
        </w:rPr>
        <w:t>127F</w:t>
      </w:r>
      <w:r w:rsidR="00413811">
        <w:rPr>
          <w:rFonts w:ascii="ZWAdobeF" w:eastAsia="Times New Roman" w:hAnsi="ZWAdobeF" w:cs="ZWAdobeF"/>
          <w:bCs/>
          <w:i w:val="0"/>
          <w:iCs w:val="0"/>
          <w:color w:val="auto"/>
          <w:sz w:val="2"/>
          <w:szCs w:val="2"/>
        </w:rPr>
        <w:t>127F</w:t>
      </w:r>
      <w:r w:rsidR="002C327C">
        <w:rPr>
          <w:rFonts w:ascii="ZWAdobeF" w:eastAsia="Times New Roman" w:hAnsi="ZWAdobeF" w:cs="ZWAdobeF"/>
          <w:bCs/>
          <w:i w:val="0"/>
          <w:iCs w:val="0"/>
          <w:color w:val="auto"/>
          <w:sz w:val="2"/>
          <w:szCs w:val="2"/>
        </w:rPr>
        <w:t>127F</w:t>
      </w:r>
      <w:r w:rsidR="00D24A06">
        <w:rPr>
          <w:rFonts w:ascii="ZWAdobeF" w:eastAsia="Times New Roman" w:hAnsi="ZWAdobeF" w:cs="ZWAdobeF"/>
          <w:bCs/>
          <w:i w:val="0"/>
          <w:iCs w:val="0"/>
          <w:color w:val="auto"/>
          <w:sz w:val="2"/>
          <w:szCs w:val="2"/>
        </w:rPr>
        <w:t>127F</w:t>
      </w:r>
      <w:r w:rsidR="007C7CE9">
        <w:rPr>
          <w:rStyle w:val="FootnoteReference"/>
          <w:rFonts w:ascii="Calibri" w:eastAsia="Times New Roman" w:hAnsi="Calibri" w:cs="Times New Roman"/>
          <w:b/>
          <w:bCs/>
          <w:i w:val="0"/>
          <w:iCs w:val="0"/>
          <w:color w:val="auto"/>
          <w:sz w:val="24"/>
        </w:rPr>
        <w:footnoteReference w:id="129"/>
      </w:r>
      <w:bookmarkEnd w:id="185"/>
    </w:p>
    <w:tbl>
      <w:tblPr>
        <w:tblStyle w:val="PlainTable1"/>
        <w:tblW w:w="0" w:type="auto"/>
        <w:tblLook w:val="04A0" w:firstRow="1" w:lastRow="0" w:firstColumn="1" w:lastColumn="0" w:noHBand="0" w:noVBand="1"/>
      </w:tblPr>
      <w:tblGrid>
        <w:gridCol w:w="3256"/>
        <w:gridCol w:w="6938"/>
      </w:tblGrid>
      <w:tr w:rsidR="00EF1EE7" w14:paraId="172B9D51" w14:textId="77777777" w:rsidTr="00606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83337E" w14:textId="04CC85E9" w:rsidR="00EF1EE7" w:rsidRDefault="00606B05" w:rsidP="00E509F5">
            <w:pPr>
              <w:spacing w:line="259" w:lineRule="auto"/>
              <w:jc w:val="center"/>
              <w:rPr>
                <w:rFonts w:asciiTheme="minorHAnsi" w:eastAsia="Courier New" w:hAnsiTheme="minorHAnsi" w:cstheme="minorHAnsi"/>
              </w:rPr>
            </w:pPr>
            <w:r>
              <w:rPr>
                <w:rFonts w:asciiTheme="minorHAnsi" w:eastAsia="Courier New" w:hAnsiTheme="minorHAnsi" w:cstheme="minorHAnsi"/>
              </w:rPr>
              <w:t>Property</w:t>
            </w:r>
          </w:p>
        </w:tc>
        <w:tc>
          <w:tcPr>
            <w:tcW w:w="6938" w:type="dxa"/>
          </w:tcPr>
          <w:p w14:paraId="105B3C79" w14:textId="37754B39" w:rsidR="00EF1EE7" w:rsidRDefault="00606B05" w:rsidP="00605096">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ourier New" w:hAnsiTheme="minorHAnsi" w:cstheme="minorHAnsi"/>
              </w:rPr>
            </w:pPr>
            <w:r>
              <w:rPr>
                <w:rFonts w:asciiTheme="minorHAnsi" w:eastAsia="Courier New" w:hAnsiTheme="minorHAnsi" w:cstheme="minorHAnsi"/>
              </w:rPr>
              <w:t>Benefit</w:t>
            </w:r>
          </w:p>
        </w:tc>
      </w:tr>
      <w:tr w:rsidR="00EF1EE7" w14:paraId="6D3DDFC3" w14:textId="77777777" w:rsidTr="0060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F3ED81B" w14:textId="20228F4B" w:rsidR="00EF1EE7" w:rsidRPr="00606B05" w:rsidRDefault="00E509F5" w:rsidP="00605096">
            <w:pPr>
              <w:spacing w:line="259" w:lineRule="auto"/>
              <w:jc w:val="center"/>
              <w:rPr>
                <w:rFonts w:asciiTheme="minorHAnsi" w:eastAsia="Courier New" w:hAnsiTheme="minorHAnsi" w:cstheme="minorHAnsi"/>
                <w:b w:val="0"/>
                <w:bCs w:val="0"/>
              </w:rPr>
            </w:pPr>
            <w:r w:rsidRPr="00606B05">
              <w:rPr>
                <w:rFonts w:asciiTheme="minorHAnsi" w:eastAsia="Courier New" w:hAnsiTheme="minorHAnsi" w:cstheme="minorHAnsi"/>
                <w:b w:val="0"/>
                <w:bCs w:val="0"/>
              </w:rPr>
              <w:t>500,000 f</w:t>
            </w:r>
            <w:r w:rsidR="00606B05" w:rsidRPr="00606B05">
              <w:rPr>
                <w:rFonts w:asciiTheme="minorHAnsi" w:eastAsia="Courier New" w:hAnsiTheme="minorHAnsi" w:cstheme="minorHAnsi"/>
                <w:b w:val="0"/>
                <w:bCs w:val="0"/>
              </w:rPr>
              <w:t>t</w:t>
            </w:r>
            <w:r w:rsidRPr="00606B05">
              <w:rPr>
                <w:rFonts w:asciiTheme="minorHAnsi" w:eastAsia="Courier New" w:hAnsiTheme="minorHAnsi" w:cstheme="minorHAnsi"/>
                <w:b w:val="0"/>
                <w:bCs w:val="0"/>
                <w:vertAlign w:val="superscript"/>
              </w:rPr>
              <w:t>2</w:t>
            </w:r>
            <w:r w:rsidRPr="00606B05">
              <w:rPr>
                <w:rFonts w:asciiTheme="minorHAnsi" w:eastAsia="Courier New" w:hAnsiTheme="minorHAnsi" w:cstheme="minorHAnsi"/>
                <w:b w:val="0"/>
                <w:bCs w:val="0"/>
              </w:rPr>
              <w:t xml:space="preserve"> office building</w:t>
            </w:r>
          </w:p>
        </w:tc>
        <w:tc>
          <w:tcPr>
            <w:tcW w:w="6938" w:type="dxa"/>
          </w:tcPr>
          <w:p w14:paraId="28F5800B" w14:textId="33DD6A12" w:rsidR="00EF1EE7" w:rsidRDefault="00606B05" w:rsidP="00605096">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ourier New" w:hAnsiTheme="minorHAnsi" w:cstheme="minorHAnsi"/>
              </w:rPr>
            </w:pPr>
            <w:r>
              <w:rPr>
                <w:rFonts w:asciiTheme="minorHAnsi" w:eastAsia="Courier New" w:hAnsiTheme="minorHAnsi" w:cstheme="minorHAnsi"/>
              </w:rPr>
              <w:t>C</w:t>
            </w:r>
            <w:r w:rsidR="00E509F5" w:rsidRPr="00E509F5">
              <w:rPr>
                <w:rFonts w:asciiTheme="minorHAnsi" w:eastAsia="Courier New" w:hAnsiTheme="minorHAnsi" w:cstheme="minorHAnsi"/>
              </w:rPr>
              <w:t>umulative cost savings of $120,00, increase in asset value of over $1million</w:t>
            </w:r>
          </w:p>
        </w:tc>
      </w:tr>
      <w:tr w:rsidR="00EF1EE7" w14:paraId="4A1413D0" w14:textId="77777777" w:rsidTr="00606B05">
        <w:tc>
          <w:tcPr>
            <w:cnfStyle w:val="001000000000" w:firstRow="0" w:lastRow="0" w:firstColumn="1" w:lastColumn="0" w:oddVBand="0" w:evenVBand="0" w:oddHBand="0" w:evenHBand="0" w:firstRowFirstColumn="0" w:firstRowLastColumn="0" w:lastRowFirstColumn="0" w:lastRowLastColumn="0"/>
            <w:tcW w:w="3256" w:type="dxa"/>
          </w:tcPr>
          <w:p w14:paraId="79BE3DC3" w14:textId="50019420" w:rsidR="00EF1EE7" w:rsidRPr="00606B05" w:rsidRDefault="00606B05" w:rsidP="00605096">
            <w:pPr>
              <w:spacing w:line="259" w:lineRule="auto"/>
              <w:jc w:val="center"/>
              <w:rPr>
                <w:rFonts w:asciiTheme="minorHAnsi" w:eastAsia="Courier New" w:hAnsiTheme="minorHAnsi" w:cstheme="minorHAnsi"/>
                <w:b w:val="0"/>
                <w:bCs w:val="0"/>
              </w:rPr>
            </w:pPr>
            <w:r w:rsidRPr="00606B05">
              <w:rPr>
                <w:rFonts w:asciiTheme="minorHAnsi" w:eastAsia="Courier New" w:hAnsiTheme="minorHAnsi" w:cstheme="minorHAnsi"/>
                <w:b w:val="0"/>
                <w:bCs w:val="0"/>
              </w:rPr>
              <w:t>M</w:t>
            </w:r>
            <w:r w:rsidR="00E509F5" w:rsidRPr="00606B05">
              <w:rPr>
                <w:rFonts w:asciiTheme="minorHAnsi" w:eastAsia="Courier New" w:hAnsiTheme="minorHAnsi" w:cstheme="minorHAnsi"/>
                <w:b w:val="0"/>
                <w:bCs w:val="0"/>
              </w:rPr>
              <w:t>edium box retailer with 500 stores</w:t>
            </w:r>
          </w:p>
        </w:tc>
        <w:tc>
          <w:tcPr>
            <w:tcW w:w="6938" w:type="dxa"/>
          </w:tcPr>
          <w:p w14:paraId="125460D9" w14:textId="04A370EA" w:rsidR="00EF1EE7" w:rsidRDefault="00606B05" w:rsidP="0060509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ourier New" w:hAnsiTheme="minorHAnsi" w:cstheme="minorHAnsi"/>
              </w:rPr>
            </w:pPr>
            <w:r>
              <w:rPr>
                <w:rFonts w:asciiTheme="minorHAnsi" w:eastAsia="Courier New" w:hAnsiTheme="minorHAnsi" w:cstheme="minorHAnsi"/>
              </w:rPr>
              <w:t>C</w:t>
            </w:r>
            <w:r w:rsidR="00E509F5" w:rsidRPr="00E509F5">
              <w:rPr>
                <w:rFonts w:asciiTheme="minorHAnsi" w:eastAsia="Courier New" w:hAnsiTheme="minorHAnsi" w:cstheme="minorHAnsi"/>
              </w:rPr>
              <w:t>umulative energy savings of $2.5m, increase in sales of 0.89%</w:t>
            </w:r>
          </w:p>
        </w:tc>
      </w:tr>
      <w:tr w:rsidR="00EF1EE7" w14:paraId="72C9A10D" w14:textId="77777777" w:rsidTr="00606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F48E821" w14:textId="7556199C" w:rsidR="00EF1EE7" w:rsidRPr="00606B05" w:rsidRDefault="00606B05" w:rsidP="00605096">
            <w:pPr>
              <w:spacing w:line="259" w:lineRule="auto"/>
              <w:jc w:val="center"/>
              <w:rPr>
                <w:rFonts w:asciiTheme="minorHAnsi" w:eastAsia="Courier New" w:hAnsiTheme="minorHAnsi" w:cstheme="minorHAnsi"/>
                <w:b w:val="0"/>
                <w:bCs w:val="0"/>
              </w:rPr>
            </w:pPr>
            <w:r w:rsidRPr="00606B05">
              <w:rPr>
                <w:rFonts w:asciiTheme="minorHAnsi" w:eastAsia="Courier New" w:hAnsiTheme="minorHAnsi" w:cstheme="minorHAnsi"/>
                <w:b w:val="0"/>
                <w:bCs w:val="0"/>
              </w:rPr>
              <w:t>F</w:t>
            </w:r>
            <w:r w:rsidR="00E509F5" w:rsidRPr="00606B05">
              <w:rPr>
                <w:rFonts w:asciiTheme="minorHAnsi" w:eastAsia="Courier New" w:hAnsiTheme="minorHAnsi" w:cstheme="minorHAnsi"/>
                <w:b w:val="0"/>
                <w:bCs w:val="0"/>
              </w:rPr>
              <w:t>ull</w:t>
            </w:r>
            <w:r w:rsidRPr="00606B05">
              <w:rPr>
                <w:rFonts w:asciiTheme="minorHAnsi" w:eastAsia="Courier New" w:hAnsiTheme="minorHAnsi" w:cstheme="minorHAnsi"/>
                <w:b w:val="0"/>
                <w:bCs w:val="0"/>
              </w:rPr>
              <w:t>-</w:t>
            </w:r>
            <w:r w:rsidR="00E509F5" w:rsidRPr="00606B05">
              <w:rPr>
                <w:rFonts w:asciiTheme="minorHAnsi" w:eastAsia="Courier New" w:hAnsiTheme="minorHAnsi" w:cstheme="minorHAnsi"/>
                <w:b w:val="0"/>
                <w:bCs w:val="0"/>
              </w:rPr>
              <w:t>service hotel chain with 100 properties</w:t>
            </w:r>
          </w:p>
        </w:tc>
        <w:tc>
          <w:tcPr>
            <w:tcW w:w="6938" w:type="dxa"/>
          </w:tcPr>
          <w:p w14:paraId="2AFE2477" w14:textId="1CC42952" w:rsidR="00EF1EE7" w:rsidRDefault="00E509F5" w:rsidP="00E509F5">
            <w:pPr>
              <w:spacing w:line="25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ourier New" w:hAnsiTheme="minorHAnsi" w:cstheme="minorHAnsi"/>
              </w:rPr>
            </w:pPr>
            <w:r w:rsidRPr="00E509F5">
              <w:rPr>
                <w:rFonts w:asciiTheme="minorHAnsi" w:eastAsia="Courier New" w:hAnsiTheme="minorHAnsi" w:cstheme="minorHAnsi"/>
              </w:rPr>
              <w:t>Cumulative energy cost saving of $4.1m, increase in revenue per available room of $1.41</w:t>
            </w:r>
          </w:p>
        </w:tc>
      </w:tr>
      <w:tr w:rsidR="00EF1EE7" w14:paraId="7B03DEE4" w14:textId="77777777" w:rsidTr="00606B05">
        <w:tc>
          <w:tcPr>
            <w:cnfStyle w:val="001000000000" w:firstRow="0" w:lastRow="0" w:firstColumn="1" w:lastColumn="0" w:oddVBand="0" w:evenVBand="0" w:oddHBand="0" w:evenHBand="0" w:firstRowFirstColumn="0" w:firstRowLastColumn="0" w:lastRowFirstColumn="0" w:lastRowLastColumn="0"/>
            <w:tcW w:w="3256" w:type="dxa"/>
          </w:tcPr>
          <w:p w14:paraId="3C3455ED" w14:textId="4F41B730" w:rsidR="00EF1EE7" w:rsidRPr="00606B05" w:rsidRDefault="00E509F5" w:rsidP="00605096">
            <w:pPr>
              <w:spacing w:line="259" w:lineRule="auto"/>
              <w:jc w:val="center"/>
              <w:rPr>
                <w:rFonts w:asciiTheme="minorHAnsi" w:eastAsia="Courier New" w:hAnsiTheme="minorHAnsi" w:cstheme="minorHAnsi"/>
                <w:b w:val="0"/>
                <w:bCs w:val="0"/>
              </w:rPr>
            </w:pPr>
            <w:r w:rsidRPr="00606B05">
              <w:rPr>
                <w:rFonts w:asciiTheme="minorHAnsi" w:eastAsia="Courier New" w:hAnsiTheme="minorHAnsi" w:cstheme="minorHAnsi"/>
                <w:b w:val="0"/>
                <w:bCs w:val="0"/>
              </w:rPr>
              <w:t xml:space="preserve">800,000 </w:t>
            </w:r>
            <w:r w:rsidR="00606B05" w:rsidRPr="00606B05">
              <w:rPr>
                <w:rFonts w:asciiTheme="minorHAnsi" w:eastAsia="Courier New" w:hAnsiTheme="minorHAnsi" w:cstheme="minorHAnsi"/>
                <w:b w:val="0"/>
                <w:bCs w:val="0"/>
              </w:rPr>
              <w:t>ft</w:t>
            </w:r>
            <w:r w:rsidR="00606B05" w:rsidRPr="00606B05">
              <w:rPr>
                <w:rFonts w:asciiTheme="minorHAnsi" w:eastAsia="Courier New" w:hAnsiTheme="minorHAnsi" w:cstheme="minorHAnsi"/>
                <w:b w:val="0"/>
                <w:bCs w:val="0"/>
                <w:vertAlign w:val="superscript"/>
              </w:rPr>
              <w:t>2</w:t>
            </w:r>
            <w:r w:rsidRPr="00606B05">
              <w:rPr>
                <w:rFonts w:asciiTheme="minorHAnsi" w:eastAsia="Courier New" w:hAnsiTheme="minorHAnsi" w:cstheme="minorHAnsi"/>
                <w:b w:val="0"/>
                <w:bCs w:val="0"/>
              </w:rPr>
              <w:t xml:space="preserve"> school district</w:t>
            </w:r>
          </w:p>
        </w:tc>
        <w:tc>
          <w:tcPr>
            <w:tcW w:w="6938" w:type="dxa"/>
          </w:tcPr>
          <w:p w14:paraId="3ED135A5" w14:textId="70834B7E" w:rsidR="00EF1EE7" w:rsidRDefault="00606B05" w:rsidP="00605096">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ourier New" w:hAnsiTheme="minorHAnsi" w:cstheme="minorHAnsi"/>
              </w:rPr>
            </w:pPr>
            <w:r>
              <w:rPr>
                <w:rFonts w:asciiTheme="minorHAnsi" w:eastAsia="Courier New" w:hAnsiTheme="minorHAnsi" w:cstheme="minorHAnsi"/>
              </w:rPr>
              <w:t>C</w:t>
            </w:r>
            <w:r w:rsidR="00E509F5" w:rsidRPr="00E509F5">
              <w:rPr>
                <w:rFonts w:asciiTheme="minorHAnsi" w:eastAsia="Courier New" w:hAnsiTheme="minorHAnsi" w:cstheme="minorHAnsi"/>
              </w:rPr>
              <w:t>umulative energy cost saving of $140,00, salary of 1.2 full time teachers each year.</w:t>
            </w:r>
          </w:p>
        </w:tc>
      </w:tr>
    </w:tbl>
    <w:p w14:paraId="346777A0" w14:textId="77777777" w:rsidR="00EF1EE7" w:rsidRPr="0081652A" w:rsidRDefault="00EF1EE7" w:rsidP="00605096">
      <w:pPr>
        <w:spacing w:line="259" w:lineRule="auto"/>
        <w:jc w:val="center"/>
        <w:rPr>
          <w:rFonts w:asciiTheme="minorHAnsi" w:eastAsia="Courier New" w:hAnsiTheme="minorHAnsi" w:cstheme="minorHAnsi"/>
        </w:rPr>
      </w:pPr>
    </w:p>
    <w:p w14:paraId="734025BD" w14:textId="25B69031" w:rsidR="00605096" w:rsidRPr="0081652A" w:rsidRDefault="00605096" w:rsidP="00605096">
      <w:pPr>
        <w:spacing w:line="259" w:lineRule="auto"/>
        <w:rPr>
          <w:rFonts w:asciiTheme="minorHAnsi" w:eastAsia="Courier New" w:hAnsiTheme="minorHAnsi" w:cstheme="minorHAnsi"/>
        </w:rPr>
      </w:pPr>
      <w:r w:rsidRPr="0081652A">
        <w:rPr>
          <w:rFonts w:asciiTheme="minorHAnsi" w:eastAsia="Courier New" w:hAnsiTheme="minorHAnsi" w:cstheme="minorHAnsi"/>
        </w:rPr>
        <w:t>In specific programs, the DC Property Assessed Clean Energy (PACE) program</w:t>
      </w:r>
      <w:r w:rsidR="00723239">
        <w:rPr>
          <w:rFonts w:ascii="ZWAdobeF" w:eastAsia="Courier New" w:hAnsi="ZWAdobeF" w:cs="ZWAdobeF"/>
          <w:color w:val="auto"/>
          <w:sz w:val="2"/>
          <w:szCs w:val="2"/>
        </w:rPr>
        <w:t>128F</w:t>
      </w:r>
      <w:r w:rsidR="00EE36E3">
        <w:rPr>
          <w:rFonts w:ascii="ZWAdobeF" w:eastAsia="Courier New" w:hAnsi="ZWAdobeF" w:cs="ZWAdobeF"/>
          <w:color w:val="auto"/>
          <w:sz w:val="2"/>
          <w:szCs w:val="2"/>
        </w:rPr>
        <w:t>128F</w:t>
      </w:r>
      <w:r w:rsidR="00122C48">
        <w:rPr>
          <w:rFonts w:ascii="ZWAdobeF" w:eastAsia="Courier New" w:hAnsi="ZWAdobeF" w:cs="ZWAdobeF"/>
          <w:color w:val="auto"/>
          <w:sz w:val="2"/>
          <w:szCs w:val="2"/>
        </w:rPr>
        <w:t>128F</w:t>
      </w:r>
      <w:r w:rsidR="00F73A23">
        <w:rPr>
          <w:rFonts w:ascii="ZWAdobeF" w:eastAsia="Courier New" w:hAnsi="ZWAdobeF" w:cs="ZWAdobeF"/>
          <w:color w:val="auto"/>
          <w:sz w:val="2"/>
          <w:szCs w:val="2"/>
        </w:rPr>
        <w:t>128F</w:t>
      </w:r>
      <w:r w:rsidR="00626378">
        <w:rPr>
          <w:rFonts w:ascii="ZWAdobeF" w:eastAsia="Courier New" w:hAnsi="ZWAdobeF" w:cs="ZWAdobeF"/>
          <w:color w:val="auto"/>
          <w:sz w:val="2"/>
          <w:szCs w:val="2"/>
        </w:rPr>
        <w:t>128F</w:t>
      </w:r>
      <w:r w:rsidR="00413811">
        <w:rPr>
          <w:rFonts w:ascii="ZWAdobeF" w:eastAsia="Courier New" w:hAnsi="ZWAdobeF" w:cs="ZWAdobeF"/>
          <w:color w:val="auto"/>
          <w:sz w:val="2"/>
          <w:szCs w:val="2"/>
        </w:rPr>
        <w:t>128F</w:t>
      </w:r>
      <w:r w:rsidR="002C327C">
        <w:rPr>
          <w:rFonts w:ascii="ZWAdobeF" w:eastAsia="Courier New" w:hAnsi="ZWAdobeF" w:cs="ZWAdobeF"/>
          <w:color w:val="auto"/>
          <w:sz w:val="2"/>
          <w:szCs w:val="2"/>
        </w:rPr>
        <w:t>128F</w:t>
      </w:r>
      <w:r w:rsidR="00D24A06">
        <w:rPr>
          <w:rFonts w:ascii="ZWAdobeF" w:eastAsia="Courier New" w:hAnsi="ZWAdobeF" w:cs="ZWAdobeF"/>
          <w:color w:val="auto"/>
          <w:sz w:val="2"/>
          <w:szCs w:val="2"/>
        </w:rPr>
        <w:t>128F</w:t>
      </w:r>
      <w:r w:rsidRPr="0081652A">
        <w:rPr>
          <w:rStyle w:val="FootnoteReference"/>
          <w:rFonts w:asciiTheme="minorHAnsi" w:eastAsia="Courier New" w:hAnsiTheme="minorHAnsi" w:cstheme="minorHAnsi"/>
        </w:rPr>
        <w:footnoteReference w:id="130"/>
      </w:r>
      <w:r w:rsidRPr="0081652A">
        <w:rPr>
          <w:rFonts w:asciiTheme="minorHAnsi" w:eastAsia="Courier New" w:hAnsiTheme="minorHAnsi" w:cstheme="minorHAnsi"/>
        </w:rPr>
        <w:t xml:space="preserve"> in the US generated nearly $86 million AUD in savings for property owners through lower utility bills. In the UK, the Energy Savings Opportunity Scheme (ESOS) found net cost savings of 37 per cent for businesses that participated</w:t>
      </w:r>
      <w:r w:rsidR="00723239">
        <w:rPr>
          <w:rFonts w:ascii="ZWAdobeF" w:eastAsia="Courier New" w:hAnsi="ZWAdobeF" w:cs="ZWAdobeF"/>
          <w:color w:val="auto"/>
          <w:sz w:val="2"/>
          <w:szCs w:val="2"/>
        </w:rPr>
        <w:t>129F</w:t>
      </w:r>
      <w:r w:rsidR="00EE36E3">
        <w:rPr>
          <w:rFonts w:ascii="ZWAdobeF" w:eastAsia="Courier New" w:hAnsi="ZWAdobeF" w:cs="ZWAdobeF"/>
          <w:color w:val="auto"/>
          <w:sz w:val="2"/>
          <w:szCs w:val="2"/>
        </w:rPr>
        <w:t>129F</w:t>
      </w:r>
      <w:r w:rsidR="00122C48">
        <w:rPr>
          <w:rFonts w:ascii="ZWAdobeF" w:eastAsia="Courier New" w:hAnsi="ZWAdobeF" w:cs="ZWAdobeF"/>
          <w:color w:val="auto"/>
          <w:sz w:val="2"/>
          <w:szCs w:val="2"/>
        </w:rPr>
        <w:t>129F</w:t>
      </w:r>
      <w:r w:rsidR="00F73A23">
        <w:rPr>
          <w:rFonts w:ascii="ZWAdobeF" w:eastAsia="Courier New" w:hAnsi="ZWAdobeF" w:cs="ZWAdobeF"/>
          <w:color w:val="auto"/>
          <w:sz w:val="2"/>
          <w:szCs w:val="2"/>
        </w:rPr>
        <w:t>129F</w:t>
      </w:r>
      <w:r w:rsidR="00626378">
        <w:rPr>
          <w:rFonts w:ascii="ZWAdobeF" w:eastAsia="Courier New" w:hAnsi="ZWAdobeF" w:cs="ZWAdobeF"/>
          <w:color w:val="auto"/>
          <w:sz w:val="2"/>
          <w:szCs w:val="2"/>
        </w:rPr>
        <w:t>129F</w:t>
      </w:r>
      <w:r w:rsidR="00413811">
        <w:rPr>
          <w:rFonts w:ascii="ZWAdobeF" w:eastAsia="Courier New" w:hAnsi="ZWAdobeF" w:cs="ZWAdobeF"/>
          <w:color w:val="auto"/>
          <w:sz w:val="2"/>
          <w:szCs w:val="2"/>
        </w:rPr>
        <w:t>129F</w:t>
      </w:r>
      <w:r w:rsidR="002C327C">
        <w:rPr>
          <w:rFonts w:ascii="ZWAdobeF" w:eastAsia="Courier New" w:hAnsi="ZWAdobeF" w:cs="ZWAdobeF"/>
          <w:color w:val="auto"/>
          <w:sz w:val="2"/>
          <w:szCs w:val="2"/>
        </w:rPr>
        <w:t>129F</w:t>
      </w:r>
      <w:r w:rsidR="00D24A06">
        <w:rPr>
          <w:rFonts w:ascii="ZWAdobeF" w:eastAsia="Courier New" w:hAnsi="ZWAdobeF" w:cs="ZWAdobeF"/>
          <w:color w:val="auto"/>
          <w:sz w:val="2"/>
          <w:szCs w:val="2"/>
        </w:rPr>
        <w:t>129F</w:t>
      </w:r>
      <w:r w:rsidRPr="0081652A">
        <w:rPr>
          <w:rStyle w:val="FootnoteReference"/>
          <w:rFonts w:asciiTheme="minorHAnsi" w:eastAsia="Courier New" w:hAnsiTheme="minorHAnsi" w:cstheme="minorHAnsi"/>
        </w:rPr>
        <w:footnoteReference w:id="131"/>
      </w:r>
      <w:r w:rsidR="00AE40A7" w:rsidRPr="0081652A">
        <w:rPr>
          <w:rFonts w:asciiTheme="minorHAnsi" w:eastAsia="Arial" w:hAnsiTheme="minorHAnsi" w:cstheme="minorHAnsi"/>
        </w:rPr>
        <w:t>.</w:t>
      </w:r>
      <w:r w:rsidRPr="0081652A">
        <w:rPr>
          <w:rFonts w:asciiTheme="minorHAnsi" w:eastAsia="Arial" w:hAnsiTheme="minorHAnsi" w:cstheme="minorHAnsi"/>
        </w:rPr>
        <w:t xml:space="preserve"> </w:t>
      </w:r>
      <w:r w:rsidRPr="0081652A">
        <w:rPr>
          <w:rFonts w:asciiTheme="minorHAnsi" w:eastAsia="Courier New" w:hAnsiTheme="minorHAnsi" w:cstheme="minorHAnsi"/>
        </w:rPr>
        <w:t>It should be noted that these programs are not exclusively focused on building performance but encompass broader energy efficiency measures.</w:t>
      </w:r>
    </w:p>
    <w:p w14:paraId="7EF4A643" w14:textId="77777777" w:rsidR="00605096" w:rsidRPr="0081652A" w:rsidRDefault="00605096" w:rsidP="00605096">
      <w:pPr>
        <w:spacing w:line="259" w:lineRule="auto"/>
        <w:rPr>
          <w:rFonts w:asciiTheme="minorHAnsi" w:eastAsia="Courier New" w:hAnsiTheme="minorHAnsi" w:cstheme="minorHAnsi"/>
        </w:rPr>
      </w:pPr>
      <w:r w:rsidRPr="0081652A">
        <w:rPr>
          <w:rFonts w:asciiTheme="minorHAnsi" w:eastAsia="Courier New" w:hAnsiTheme="minorHAnsi" w:cstheme="minorHAnsi"/>
        </w:rPr>
        <w:t>Overall, the evidence suggests that improved energy efficiency in buildings can have positive financial implications, including increased property prices, operational cost savings, and improved business outcomes.</w:t>
      </w:r>
    </w:p>
    <w:p w14:paraId="4E21CC45" w14:textId="4D494D5F" w:rsidR="00B01623" w:rsidRPr="0081652A" w:rsidRDefault="004A7C2B" w:rsidP="00AE0C9A">
      <w:pPr>
        <w:pStyle w:val="CVHeading"/>
        <w:rPr>
          <w:rFonts w:asciiTheme="minorHAnsi" w:hAnsiTheme="minorHAnsi" w:cstheme="minorHAnsi"/>
          <w:szCs w:val="20"/>
        </w:rPr>
      </w:pPr>
      <w:r w:rsidRPr="0081652A">
        <w:rPr>
          <w:rFonts w:asciiTheme="minorHAnsi" w:hAnsiTheme="minorHAnsi" w:cstheme="minorHAnsi"/>
        </w:rPr>
        <w:t>Lending institutions</w:t>
      </w:r>
    </w:p>
    <w:p w14:paraId="6A9FBA0C" w14:textId="67C6628B" w:rsidR="005138C3" w:rsidRPr="0081652A" w:rsidRDefault="005138C3" w:rsidP="005138C3">
      <w:pPr>
        <w:spacing w:before="0" w:after="160" w:line="259" w:lineRule="auto"/>
        <w:rPr>
          <w:rFonts w:asciiTheme="minorHAnsi" w:hAnsiTheme="minorHAnsi" w:cstheme="minorHAnsi"/>
        </w:rPr>
      </w:pPr>
      <w:r w:rsidRPr="0081652A">
        <w:rPr>
          <w:rFonts w:asciiTheme="minorHAnsi" w:hAnsiTheme="minorHAnsi" w:cstheme="minorHAnsi"/>
        </w:rPr>
        <w:t>Government policies aimed at reducing building emissions can have an impact on lending institutions and the products they offer. Financial institutions may make changes to their product offerings in response to both government policies and their own internal climate goals.</w:t>
      </w:r>
      <w:r w:rsidR="00723239">
        <w:rPr>
          <w:rFonts w:ascii="ZWAdobeF" w:hAnsi="ZWAdobeF" w:cs="ZWAdobeF"/>
          <w:color w:val="auto"/>
          <w:sz w:val="2"/>
          <w:szCs w:val="2"/>
        </w:rPr>
        <w:t>130F</w:t>
      </w:r>
      <w:r w:rsidR="00EE36E3">
        <w:rPr>
          <w:rFonts w:ascii="ZWAdobeF" w:hAnsi="ZWAdobeF" w:cs="ZWAdobeF"/>
          <w:color w:val="auto"/>
          <w:sz w:val="2"/>
          <w:szCs w:val="2"/>
        </w:rPr>
        <w:t>130F</w:t>
      </w:r>
      <w:r w:rsidR="00122C48">
        <w:rPr>
          <w:rFonts w:ascii="ZWAdobeF" w:hAnsi="ZWAdobeF" w:cs="ZWAdobeF"/>
          <w:color w:val="auto"/>
          <w:sz w:val="2"/>
          <w:szCs w:val="2"/>
        </w:rPr>
        <w:t>130F</w:t>
      </w:r>
      <w:r w:rsidR="00F73A23">
        <w:rPr>
          <w:rFonts w:ascii="ZWAdobeF" w:hAnsi="ZWAdobeF" w:cs="ZWAdobeF"/>
          <w:color w:val="auto"/>
          <w:sz w:val="2"/>
          <w:szCs w:val="2"/>
        </w:rPr>
        <w:t>130F</w:t>
      </w:r>
      <w:r w:rsidR="00626378">
        <w:rPr>
          <w:rFonts w:ascii="ZWAdobeF" w:hAnsi="ZWAdobeF" w:cs="ZWAdobeF"/>
          <w:color w:val="auto"/>
          <w:sz w:val="2"/>
          <w:szCs w:val="2"/>
        </w:rPr>
        <w:t>130F</w:t>
      </w:r>
      <w:r w:rsidR="00413811">
        <w:rPr>
          <w:rFonts w:ascii="ZWAdobeF" w:hAnsi="ZWAdobeF" w:cs="ZWAdobeF"/>
          <w:color w:val="auto"/>
          <w:sz w:val="2"/>
          <w:szCs w:val="2"/>
        </w:rPr>
        <w:t>130F</w:t>
      </w:r>
      <w:r w:rsidR="002C327C">
        <w:rPr>
          <w:rFonts w:ascii="ZWAdobeF" w:hAnsi="ZWAdobeF" w:cs="ZWAdobeF"/>
          <w:color w:val="auto"/>
          <w:sz w:val="2"/>
          <w:szCs w:val="2"/>
        </w:rPr>
        <w:t>130F</w:t>
      </w:r>
      <w:r w:rsidR="00D24A06">
        <w:rPr>
          <w:rFonts w:ascii="ZWAdobeF" w:hAnsi="ZWAdobeF" w:cs="ZWAdobeF"/>
          <w:color w:val="auto"/>
          <w:sz w:val="2"/>
          <w:szCs w:val="2"/>
        </w:rPr>
        <w:t>130F</w:t>
      </w:r>
      <w:r w:rsidR="00F57BDC" w:rsidRPr="0081652A">
        <w:rPr>
          <w:rStyle w:val="FootnoteReference"/>
          <w:rFonts w:asciiTheme="minorHAnsi" w:hAnsiTheme="minorHAnsi" w:cstheme="minorHAnsi"/>
        </w:rPr>
        <w:footnoteReference w:id="132"/>
      </w:r>
    </w:p>
    <w:p w14:paraId="0D690905" w14:textId="079CC205" w:rsidR="005138C3" w:rsidRPr="0081652A" w:rsidRDefault="005138C3" w:rsidP="005138C3">
      <w:pPr>
        <w:spacing w:before="0" w:after="160" w:line="259" w:lineRule="auto"/>
        <w:rPr>
          <w:rFonts w:asciiTheme="minorHAnsi" w:hAnsiTheme="minorHAnsi" w:cstheme="minorHAnsi"/>
        </w:rPr>
      </w:pPr>
      <w:r w:rsidRPr="0081652A">
        <w:rPr>
          <w:rFonts w:asciiTheme="minorHAnsi" w:hAnsiTheme="minorHAnsi" w:cstheme="minorHAnsi"/>
        </w:rPr>
        <w:t xml:space="preserve">One example is the </w:t>
      </w:r>
      <w:r w:rsidRPr="0081652A">
        <w:rPr>
          <w:rFonts w:asciiTheme="minorHAnsi" w:hAnsiTheme="minorHAnsi" w:cstheme="minorHAnsi"/>
          <w:b/>
        </w:rPr>
        <w:t>Glasgow Financial Alliance for Net Zero</w:t>
      </w:r>
      <w:r w:rsidRPr="0081652A">
        <w:rPr>
          <w:rFonts w:asciiTheme="minorHAnsi" w:hAnsiTheme="minorHAnsi" w:cstheme="minorHAnsi"/>
        </w:rPr>
        <w:t xml:space="preserve"> (</w:t>
      </w:r>
      <w:proofErr w:type="spellStart"/>
      <w:r w:rsidRPr="0081652A">
        <w:rPr>
          <w:rFonts w:asciiTheme="minorHAnsi" w:hAnsiTheme="minorHAnsi" w:cstheme="minorHAnsi"/>
        </w:rPr>
        <w:t>GFANZ</w:t>
      </w:r>
      <w:proofErr w:type="spellEnd"/>
      <w:r w:rsidRPr="0081652A">
        <w:rPr>
          <w:rFonts w:asciiTheme="minorHAnsi" w:hAnsiTheme="minorHAnsi" w:cstheme="minorHAnsi"/>
        </w:rPr>
        <w:t>)</w:t>
      </w:r>
      <w:proofErr w:type="spellStart"/>
      <w:r w:rsidR="00723239">
        <w:rPr>
          <w:rFonts w:ascii="ZWAdobeF" w:hAnsi="ZWAdobeF" w:cs="ZWAdobeF"/>
          <w:color w:val="auto"/>
          <w:sz w:val="2"/>
          <w:szCs w:val="2"/>
        </w:rPr>
        <w:t>131F</w:t>
      </w:r>
      <w:r w:rsidR="00EE36E3">
        <w:rPr>
          <w:rFonts w:ascii="ZWAdobeF" w:hAnsi="ZWAdobeF" w:cs="ZWAdobeF"/>
          <w:color w:val="auto"/>
          <w:sz w:val="2"/>
          <w:szCs w:val="2"/>
        </w:rPr>
        <w:t>131F</w:t>
      </w:r>
      <w:r w:rsidR="00122C48">
        <w:rPr>
          <w:rFonts w:ascii="ZWAdobeF" w:hAnsi="ZWAdobeF" w:cs="ZWAdobeF"/>
          <w:color w:val="auto"/>
          <w:sz w:val="2"/>
          <w:szCs w:val="2"/>
        </w:rPr>
        <w:t>131F</w:t>
      </w:r>
      <w:r w:rsidR="00F73A23">
        <w:rPr>
          <w:rFonts w:ascii="ZWAdobeF" w:hAnsi="ZWAdobeF" w:cs="ZWAdobeF"/>
          <w:color w:val="auto"/>
          <w:sz w:val="2"/>
          <w:szCs w:val="2"/>
        </w:rPr>
        <w:t>131F</w:t>
      </w:r>
      <w:r w:rsidR="00626378">
        <w:rPr>
          <w:rFonts w:ascii="ZWAdobeF" w:hAnsi="ZWAdobeF" w:cs="ZWAdobeF"/>
          <w:color w:val="auto"/>
          <w:sz w:val="2"/>
          <w:szCs w:val="2"/>
        </w:rPr>
        <w:t>131F</w:t>
      </w:r>
      <w:r w:rsidR="00413811">
        <w:rPr>
          <w:rFonts w:ascii="ZWAdobeF" w:hAnsi="ZWAdobeF" w:cs="ZWAdobeF"/>
          <w:color w:val="auto"/>
          <w:sz w:val="2"/>
          <w:szCs w:val="2"/>
        </w:rPr>
        <w:t>131F</w:t>
      </w:r>
      <w:r w:rsidR="002C327C">
        <w:rPr>
          <w:rFonts w:ascii="ZWAdobeF" w:hAnsi="ZWAdobeF" w:cs="ZWAdobeF"/>
          <w:color w:val="auto"/>
          <w:sz w:val="2"/>
          <w:szCs w:val="2"/>
        </w:rPr>
        <w:t>131F</w:t>
      </w:r>
      <w:r w:rsidR="00D24A06">
        <w:rPr>
          <w:rFonts w:ascii="ZWAdobeF" w:hAnsi="ZWAdobeF" w:cs="ZWAdobeF"/>
          <w:color w:val="auto"/>
          <w:sz w:val="2"/>
          <w:szCs w:val="2"/>
        </w:rPr>
        <w:t>131F</w:t>
      </w:r>
      <w:proofErr w:type="spellEnd"/>
      <w:r w:rsidR="00F57BDC" w:rsidRPr="0081652A">
        <w:rPr>
          <w:rStyle w:val="FootnoteReference"/>
          <w:rFonts w:asciiTheme="minorHAnsi" w:hAnsiTheme="minorHAnsi" w:cstheme="minorHAnsi"/>
        </w:rPr>
        <w:footnoteReference w:id="133"/>
      </w:r>
      <w:r w:rsidRPr="0081652A">
        <w:rPr>
          <w:rFonts w:asciiTheme="minorHAnsi" w:hAnsiTheme="minorHAnsi" w:cstheme="minorHAnsi"/>
        </w:rPr>
        <w:t>, which brought together 43 banks from 23 countries with $28.5 trillion in assets. These banks committed to align their credit and investment portfolios with net-zero CO2 emissions by 2050 and set mid-term targets for 2030.</w:t>
      </w:r>
      <w:r w:rsidR="00D46A09" w:rsidRPr="0081652A">
        <w:rPr>
          <w:rFonts w:asciiTheme="minorHAnsi" w:hAnsiTheme="minorHAnsi" w:cstheme="minorHAnsi"/>
        </w:rPr>
        <w:t xml:space="preserve"> </w:t>
      </w:r>
      <w:r w:rsidRPr="0081652A">
        <w:rPr>
          <w:rFonts w:asciiTheme="minorHAnsi" w:hAnsiTheme="minorHAnsi" w:cstheme="minorHAnsi"/>
        </w:rPr>
        <w:t xml:space="preserve">In the </w:t>
      </w:r>
      <w:r w:rsidRPr="0081652A">
        <w:rPr>
          <w:rFonts w:asciiTheme="minorHAnsi" w:hAnsiTheme="minorHAnsi" w:cstheme="minorHAnsi"/>
          <w:b/>
        </w:rPr>
        <w:t>UK</w:t>
      </w:r>
      <w:r w:rsidRPr="0081652A">
        <w:rPr>
          <w:rFonts w:asciiTheme="minorHAnsi" w:hAnsiTheme="minorHAnsi" w:cstheme="minorHAnsi"/>
        </w:rPr>
        <w:t>, Barclays Bank</w:t>
      </w:r>
      <w:r w:rsidR="00723239">
        <w:rPr>
          <w:rFonts w:ascii="ZWAdobeF" w:hAnsi="ZWAdobeF" w:cs="ZWAdobeF"/>
          <w:color w:val="auto"/>
          <w:sz w:val="2"/>
          <w:szCs w:val="2"/>
        </w:rPr>
        <w:t>132F</w:t>
      </w:r>
      <w:r w:rsidR="00EE36E3">
        <w:rPr>
          <w:rFonts w:ascii="ZWAdobeF" w:hAnsi="ZWAdobeF" w:cs="ZWAdobeF"/>
          <w:color w:val="auto"/>
          <w:sz w:val="2"/>
          <w:szCs w:val="2"/>
        </w:rPr>
        <w:t>132F</w:t>
      </w:r>
      <w:r w:rsidR="00122C48">
        <w:rPr>
          <w:rFonts w:ascii="ZWAdobeF" w:hAnsi="ZWAdobeF" w:cs="ZWAdobeF"/>
          <w:color w:val="auto"/>
          <w:sz w:val="2"/>
          <w:szCs w:val="2"/>
        </w:rPr>
        <w:t>132F</w:t>
      </w:r>
      <w:r w:rsidR="00F73A23">
        <w:rPr>
          <w:rFonts w:ascii="ZWAdobeF" w:hAnsi="ZWAdobeF" w:cs="ZWAdobeF"/>
          <w:color w:val="auto"/>
          <w:sz w:val="2"/>
          <w:szCs w:val="2"/>
        </w:rPr>
        <w:t>132F</w:t>
      </w:r>
      <w:r w:rsidR="00626378">
        <w:rPr>
          <w:rFonts w:ascii="ZWAdobeF" w:hAnsi="ZWAdobeF" w:cs="ZWAdobeF"/>
          <w:color w:val="auto"/>
          <w:sz w:val="2"/>
          <w:szCs w:val="2"/>
        </w:rPr>
        <w:t>132F</w:t>
      </w:r>
      <w:r w:rsidR="00413811">
        <w:rPr>
          <w:rFonts w:ascii="ZWAdobeF" w:hAnsi="ZWAdobeF" w:cs="ZWAdobeF"/>
          <w:color w:val="auto"/>
          <w:sz w:val="2"/>
          <w:szCs w:val="2"/>
        </w:rPr>
        <w:t>132F</w:t>
      </w:r>
      <w:r w:rsidR="002C327C">
        <w:rPr>
          <w:rFonts w:ascii="ZWAdobeF" w:hAnsi="ZWAdobeF" w:cs="ZWAdobeF"/>
          <w:color w:val="auto"/>
          <w:sz w:val="2"/>
          <w:szCs w:val="2"/>
        </w:rPr>
        <w:t>132F</w:t>
      </w:r>
      <w:r w:rsidR="00D24A06">
        <w:rPr>
          <w:rFonts w:ascii="ZWAdobeF" w:hAnsi="ZWAdobeF" w:cs="ZWAdobeF"/>
          <w:color w:val="auto"/>
          <w:sz w:val="2"/>
          <w:szCs w:val="2"/>
        </w:rPr>
        <w:t>132F</w:t>
      </w:r>
      <w:r w:rsidR="00D825F0" w:rsidRPr="0081652A">
        <w:rPr>
          <w:rStyle w:val="FootnoteReference"/>
          <w:rFonts w:asciiTheme="minorHAnsi" w:hAnsiTheme="minorHAnsi" w:cstheme="minorHAnsi"/>
        </w:rPr>
        <w:footnoteReference w:id="134"/>
      </w:r>
      <w:r w:rsidRPr="0081652A">
        <w:rPr>
          <w:rFonts w:asciiTheme="minorHAnsi" w:hAnsiTheme="minorHAnsi" w:cstheme="minorHAnsi"/>
        </w:rPr>
        <w:t xml:space="preserve"> aims to provide up to £500 million in Green Bond and Green Home Mortgages by 2027. Green mortgages in the residential sector often offer lower mortgage </w:t>
      </w:r>
      <w:r w:rsidRPr="0081652A">
        <w:rPr>
          <w:rFonts w:asciiTheme="minorHAnsi" w:hAnsiTheme="minorHAnsi" w:cstheme="minorHAnsi"/>
        </w:rPr>
        <w:lastRenderedPageBreak/>
        <w:t>rates for energy-efficient homes. Barclays requires a property to have an energy efficiency rating of 81 or above, or be in energy efficiency bands A or B, to qualify for lower rates on certain fixed-term mortgages.</w:t>
      </w:r>
    </w:p>
    <w:p w14:paraId="118BC0B0" w14:textId="23CBDFA8" w:rsidR="005138C3" w:rsidRPr="0081652A" w:rsidRDefault="005138C3" w:rsidP="005138C3">
      <w:pPr>
        <w:spacing w:before="0" w:after="160" w:line="259" w:lineRule="auto"/>
        <w:rPr>
          <w:rFonts w:asciiTheme="minorHAnsi" w:hAnsiTheme="minorHAnsi" w:cstheme="minorHAnsi"/>
        </w:rPr>
      </w:pPr>
      <w:r w:rsidRPr="0081652A">
        <w:rPr>
          <w:rFonts w:asciiTheme="minorHAnsi" w:hAnsiTheme="minorHAnsi" w:cstheme="minorHAnsi"/>
        </w:rPr>
        <w:t xml:space="preserve">In </w:t>
      </w:r>
      <w:r w:rsidRPr="0081652A">
        <w:rPr>
          <w:rFonts w:asciiTheme="minorHAnsi" w:hAnsiTheme="minorHAnsi" w:cstheme="minorHAnsi"/>
          <w:b/>
        </w:rPr>
        <w:t>Australia</w:t>
      </w:r>
      <w:r w:rsidRPr="0081652A">
        <w:rPr>
          <w:rFonts w:asciiTheme="minorHAnsi" w:hAnsiTheme="minorHAnsi" w:cstheme="minorHAnsi"/>
        </w:rPr>
        <w:t>, the Commonwealth Bank</w:t>
      </w:r>
      <w:r w:rsidR="00AB4CE9" w:rsidRPr="0081652A">
        <w:rPr>
          <w:rFonts w:asciiTheme="minorHAnsi" w:hAnsiTheme="minorHAnsi" w:cstheme="minorHAnsi"/>
        </w:rPr>
        <w:t xml:space="preserve"> of Australia</w:t>
      </w:r>
      <w:r w:rsidR="00723239">
        <w:rPr>
          <w:rFonts w:ascii="ZWAdobeF" w:hAnsi="ZWAdobeF" w:cs="ZWAdobeF"/>
          <w:color w:val="auto"/>
          <w:sz w:val="2"/>
          <w:szCs w:val="2"/>
        </w:rPr>
        <w:t>133F</w:t>
      </w:r>
      <w:r w:rsidR="00EE36E3">
        <w:rPr>
          <w:rFonts w:ascii="ZWAdobeF" w:hAnsi="ZWAdobeF" w:cs="ZWAdobeF"/>
          <w:color w:val="auto"/>
          <w:sz w:val="2"/>
          <w:szCs w:val="2"/>
        </w:rPr>
        <w:t>133F</w:t>
      </w:r>
      <w:r w:rsidR="00122C48">
        <w:rPr>
          <w:rFonts w:ascii="ZWAdobeF" w:hAnsi="ZWAdobeF" w:cs="ZWAdobeF"/>
          <w:color w:val="auto"/>
          <w:sz w:val="2"/>
          <w:szCs w:val="2"/>
        </w:rPr>
        <w:t>133F</w:t>
      </w:r>
      <w:r w:rsidR="00F73A23">
        <w:rPr>
          <w:rFonts w:ascii="ZWAdobeF" w:hAnsi="ZWAdobeF" w:cs="ZWAdobeF"/>
          <w:color w:val="auto"/>
          <w:sz w:val="2"/>
          <w:szCs w:val="2"/>
        </w:rPr>
        <w:t>133F</w:t>
      </w:r>
      <w:r w:rsidR="00626378">
        <w:rPr>
          <w:rFonts w:ascii="ZWAdobeF" w:hAnsi="ZWAdobeF" w:cs="ZWAdobeF"/>
          <w:color w:val="auto"/>
          <w:sz w:val="2"/>
          <w:szCs w:val="2"/>
        </w:rPr>
        <w:t>133F</w:t>
      </w:r>
      <w:r w:rsidR="00413811">
        <w:rPr>
          <w:rFonts w:ascii="ZWAdobeF" w:hAnsi="ZWAdobeF" w:cs="ZWAdobeF"/>
          <w:color w:val="auto"/>
          <w:sz w:val="2"/>
          <w:szCs w:val="2"/>
        </w:rPr>
        <w:t>133F</w:t>
      </w:r>
      <w:r w:rsidR="002C327C">
        <w:rPr>
          <w:rFonts w:ascii="ZWAdobeF" w:hAnsi="ZWAdobeF" w:cs="ZWAdobeF"/>
          <w:color w:val="auto"/>
          <w:sz w:val="2"/>
          <w:szCs w:val="2"/>
        </w:rPr>
        <w:t>133F</w:t>
      </w:r>
      <w:r w:rsidR="00D24A06">
        <w:rPr>
          <w:rFonts w:ascii="ZWAdobeF" w:hAnsi="ZWAdobeF" w:cs="ZWAdobeF"/>
          <w:color w:val="auto"/>
          <w:sz w:val="2"/>
          <w:szCs w:val="2"/>
        </w:rPr>
        <w:t>133F</w:t>
      </w:r>
      <w:r w:rsidR="00AB1C1D" w:rsidRPr="0081652A">
        <w:rPr>
          <w:rStyle w:val="FootnoteReference"/>
          <w:rFonts w:asciiTheme="minorHAnsi" w:hAnsiTheme="minorHAnsi" w:cstheme="minorHAnsi"/>
        </w:rPr>
        <w:footnoteReference w:id="135"/>
      </w:r>
      <w:r w:rsidR="00AB4CE9" w:rsidRPr="0081652A">
        <w:rPr>
          <w:rFonts w:asciiTheme="minorHAnsi" w:hAnsiTheme="minorHAnsi" w:cstheme="minorHAnsi"/>
        </w:rPr>
        <w:t xml:space="preserve"> </w:t>
      </w:r>
      <w:r w:rsidRPr="0081652A">
        <w:rPr>
          <w:rFonts w:asciiTheme="minorHAnsi" w:hAnsiTheme="minorHAnsi" w:cstheme="minorHAnsi"/>
        </w:rPr>
        <w:t>offers the Property Sustainability Upgrade Loan for commercial properties. This program allows businesses to increase their loan amount by up to 20</w:t>
      </w:r>
      <w:r w:rsidR="00AB1C1D" w:rsidRPr="0081652A">
        <w:rPr>
          <w:rFonts w:asciiTheme="minorHAnsi" w:hAnsiTheme="minorHAnsi" w:cstheme="minorHAnsi"/>
        </w:rPr>
        <w:t xml:space="preserve"> per cent </w:t>
      </w:r>
      <w:r w:rsidRPr="0081652A">
        <w:rPr>
          <w:rFonts w:asciiTheme="minorHAnsi" w:hAnsiTheme="minorHAnsi" w:cstheme="minorHAnsi"/>
        </w:rPr>
        <w:t>for property sustainability upgrades that improve NABERS ratings or reduce carbon emissions, with zero margin and zero fees.</w:t>
      </w:r>
    </w:p>
    <w:p w14:paraId="311683C7" w14:textId="1B1B712A" w:rsidR="005138C3" w:rsidRPr="0081652A" w:rsidRDefault="00D46A09" w:rsidP="005138C3">
      <w:pPr>
        <w:spacing w:before="0" w:after="160" w:line="259" w:lineRule="auto"/>
        <w:rPr>
          <w:rFonts w:asciiTheme="minorHAnsi" w:hAnsiTheme="minorHAnsi" w:cstheme="minorHAnsi"/>
        </w:rPr>
      </w:pPr>
      <w:r w:rsidRPr="0081652A">
        <w:rPr>
          <w:rFonts w:asciiTheme="minorHAnsi" w:hAnsiTheme="minorHAnsi" w:cstheme="minorHAnsi"/>
        </w:rPr>
        <w:t>The EU has a range of funds and loans, for example t</w:t>
      </w:r>
      <w:r w:rsidR="005138C3" w:rsidRPr="0081652A">
        <w:rPr>
          <w:rFonts w:asciiTheme="minorHAnsi" w:hAnsiTheme="minorHAnsi" w:cstheme="minorHAnsi"/>
        </w:rPr>
        <w:t xml:space="preserve">he </w:t>
      </w:r>
      <w:r w:rsidR="005138C3" w:rsidRPr="0081652A">
        <w:rPr>
          <w:rFonts w:asciiTheme="minorHAnsi" w:hAnsiTheme="minorHAnsi" w:cstheme="minorHAnsi"/>
          <w:b/>
        </w:rPr>
        <w:t>Netherlands</w:t>
      </w:r>
      <w:r w:rsidR="005138C3" w:rsidRPr="0081652A">
        <w:rPr>
          <w:rFonts w:asciiTheme="minorHAnsi" w:hAnsiTheme="minorHAnsi" w:cstheme="minorHAnsi"/>
        </w:rPr>
        <w:t xml:space="preserve"> National Heating Fund</w:t>
      </w:r>
      <w:r w:rsidR="00723239">
        <w:rPr>
          <w:rFonts w:ascii="ZWAdobeF" w:hAnsi="ZWAdobeF" w:cs="ZWAdobeF"/>
          <w:color w:val="auto"/>
          <w:sz w:val="2"/>
          <w:szCs w:val="2"/>
        </w:rPr>
        <w:t>134F</w:t>
      </w:r>
      <w:r w:rsidR="00EE36E3">
        <w:rPr>
          <w:rFonts w:ascii="ZWAdobeF" w:hAnsi="ZWAdobeF" w:cs="ZWAdobeF"/>
          <w:color w:val="auto"/>
          <w:sz w:val="2"/>
          <w:szCs w:val="2"/>
        </w:rPr>
        <w:t>134F</w:t>
      </w:r>
      <w:r w:rsidR="00122C48">
        <w:rPr>
          <w:rFonts w:ascii="ZWAdobeF" w:hAnsi="ZWAdobeF" w:cs="ZWAdobeF"/>
          <w:color w:val="auto"/>
          <w:sz w:val="2"/>
          <w:szCs w:val="2"/>
        </w:rPr>
        <w:t>134F</w:t>
      </w:r>
      <w:r w:rsidR="00F73A23">
        <w:rPr>
          <w:rFonts w:ascii="ZWAdobeF" w:hAnsi="ZWAdobeF" w:cs="ZWAdobeF"/>
          <w:color w:val="auto"/>
          <w:sz w:val="2"/>
          <w:szCs w:val="2"/>
        </w:rPr>
        <w:t>134F</w:t>
      </w:r>
      <w:r w:rsidR="00626378">
        <w:rPr>
          <w:rFonts w:ascii="ZWAdobeF" w:hAnsi="ZWAdobeF" w:cs="ZWAdobeF"/>
          <w:color w:val="auto"/>
          <w:sz w:val="2"/>
          <w:szCs w:val="2"/>
        </w:rPr>
        <w:t>134F</w:t>
      </w:r>
      <w:r w:rsidR="00413811">
        <w:rPr>
          <w:rFonts w:ascii="ZWAdobeF" w:hAnsi="ZWAdobeF" w:cs="ZWAdobeF"/>
          <w:color w:val="auto"/>
          <w:sz w:val="2"/>
          <w:szCs w:val="2"/>
        </w:rPr>
        <w:t>134F</w:t>
      </w:r>
      <w:r w:rsidR="002C327C">
        <w:rPr>
          <w:rFonts w:ascii="ZWAdobeF" w:hAnsi="ZWAdobeF" w:cs="ZWAdobeF"/>
          <w:color w:val="auto"/>
          <w:sz w:val="2"/>
          <w:szCs w:val="2"/>
        </w:rPr>
        <w:t>134F</w:t>
      </w:r>
      <w:r w:rsidR="00D24A06">
        <w:rPr>
          <w:rFonts w:ascii="ZWAdobeF" w:hAnsi="ZWAdobeF" w:cs="ZWAdobeF"/>
          <w:color w:val="auto"/>
          <w:sz w:val="2"/>
          <w:szCs w:val="2"/>
        </w:rPr>
        <w:t>134F</w:t>
      </w:r>
      <w:r w:rsidR="00AB1C1D" w:rsidRPr="0081652A">
        <w:rPr>
          <w:rStyle w:val="FootnoteReference"/>
          <w:rFonts w:asciiTheme="minorHAnsi" w:hAnsiTheme="minorHAnsi" w:cstheme="minorHAnsi"/>
        </w:rPr>
        <w:footnoteReference w:id="136"/>
      </w:r>
      <w:r w:rsidR="005138C3" w:rsidRPr="0081652A">
        <w:rPr>
          <w:rFonts w:asciiTheme="minorHAnsi" w:hAnsiTheme="minorHAnsi" w:cstheme="minorHAnsi"/>
        </w:rPr>
        <w:t xml:space="preserve"> </w:t>
      </w:r>
      <w:r w:rsidRPr="0081652A">
        <w:rPr>
          <w:rFonts w:asciiTheme="minorHAnsi" w:hAnsiTheme="minorHAnsi" w:cstheme="minorHAnsi"/>
        </w:rPr>
        <w:t>(</w:t>
      </w:r>
      <w:r w:rsidR="005138C3" w:rsidRPr="0081652A">
        <w:rPr>
          <w:rFonts w:asciiTheme="minorHAnsi" w:hAnsiTheme="minorHAnsi" w:cstheme="minorHAnsi"/>
        </w:rPr>
        <w:t xml:space="preserve">a loan of AUD $330 million from the Council of Europe Development Bank to finance energy efficiency measures for individual homeowners and </w:t>
      </w:r>
      <w:r w:rsidRPr="0081652A">
        <w:rPr>
          <w:rFonts w:asciiTheme="minorHAnsi" w:hAnsiTheme="minorHAnsi" w:cstheme="minorHAnsi"/>
        </w:rPr>
        <w:t xml:space="preserve">schools with </w:t>
      </w:r>
      <w:r w:rsidR="005138C3" w:rsidRPr="0081652A">
        <w:rPr>
          <w:rFonts w:asciiTheme="minorHAnsi" w:hAnsiTheme="minorHAnsi" w:cstheme="minorHAnsi"/>
        </w:rPr>
        <w:t>low-interest rates with favourable lending conditions</w:t>
      </w:r>
      <w:r w:rsidRPr="0081652A">
        <w:rPr>
          <w:rFonts w:asciiTheme="minorHAnsi" w:hAnsiTheme="minorHAnsi" w:cstheme="minorHAnsi"/>
        </w:rPr>
        <w:t xml:space="preserve">), </w:t>
      </w:r>
      <w:r w:rsidR="005138C3" w:rsidRPr="0081652A">
        <w:rPr>
          <w:rFonts w:asciiTheme="minorHAnsi" w:hAnsiTheme="minorHAnsi" w:cstheme="minorHAnsi"/>
        </w:rPr>
        <w:t xml:space="preserve">Danske Bank in </w:t>
      </w:r>
      <w:r w:rsidR="005138C3" w:rsidRPr="0081652A">
        <w:rPr>
          <w:rFonts w:asciiTheme="minorHAnsi" w:hAnsiTheme="minorHAnsi" w:cstheme="minorHAnsi"/>
          <w:b/>
        </w:rPr>
        <w:t>Denmark</w:t>
      </w:r>
      <w:r w:rsidR="005138C3" w:rsidRPr="0081652A">
        <w:rPr>
          <w:rFonts w:asciiTheme="minorHAnsi" w:hAnsiTheme="minorHAnsi" w:cstheme="minorHAnsi"/>
        </w:rPr>
        <w:t xml:space="preserve"> provides Green Loans and has established a "Green Finance Framework"</w:t>
      </w:r>
      <w:r w:rsidR="00723239">
        <w:rPr>
          <w:rFonts w:ascii="ZWAdobeF" w:hAnsi="ZWAdobeF" w:cs="ZWAdobeF"/>
          <w:color w:val="auto"/>
          <w:sz w:val="2"/>
          <w:szCs w:val="2"/>
        </w:rPr>
        <w:t>135F</w:t>
      </w:r>
      <w:r w:rsidR="00EE36E3">
        <w:rPr>
          <w:rFonts w:ascii="ZWAdobeF" w:hAnsi="ZWAdobeF" w:cs="ZWAdobeF"/>
          <w:color w:val="auto"/>
          <w:sz w:val="2"/>
          <w:szCs w:val="2"/>
        </w:rPr>
        <w:t>135F</w:t>
      </w:r>
      <w:r w:rsidR="00122C48">
        <w:rPr>
          <w:rFonts w:ascii="ZWAdobeF" w:hAnsi="ZWAdobeF" w:cs="ZWAdobeF"/>
          <w:color w:val="auto"/>
          <w:sz w:val="2"/>
          <w:szCs w:val="2"/>
        </w:rPr>
        <w:t>135F</w:t>
      </w:r>
      <w:r w:rsidR="00F73A23">
        <w:rPr>
          <w:rFonts w:ascii="ZWAdobeF" w:hAnsi="ZWAdobeF" w:cs="ZWAdobeF"/>
          <w:color w:val="auto"/>
          <w:sz w:val="2"/>
          <w:szCs w:val="2"/>
        </w:rPr>
        <w:t>135F</w:t>
      </w:r>
      <w:r w:rsidR="00626378">
        <w:rPr>
          <w:rFonts w:ascii="ZWAdobeF" w:hAnsi="ZWAdobeF" w:cs="ZWAdobeF"/>
          <w:color w:val="auto"/>
          <w:sz w:val="2"/>
          <w:szCs w:val="2"/>
        </w:rPr>
        <w:t>135F</w:t>
      </w:r>
      <w:r w:rsidR="00413811">
        <w:rPr>
          <w:rFonts w:ascii="ZWAdobeF" w:hAnsi="ZWAdobeF" w:cs="ZWAdobeF"/>
          <w:color w:val="auto"/>
          <w:sz w:val="2"/>
          <w:szCs w:val="2"/>
        </w:rPr>
        <w:t>135F</w:t>
      </w:r>
      <w:r w:rsidR="002C327C">
        <w:rPr>
          <w:rFonts w:ascii="ZWAdobeF" w:hAnsi="ZWAdobeF" w:cs="ZWAdobeF"/>
          <w:color w:val="auto"/>
          <w:sz w:val="2"/>
          <w:szCs w:val="2"/>
        </w:rPr>
        <w:t>135F</w:t>
      </w:r>
      <w:r w:rsidR="00D24A06">
        <w:rPr>
          <w:rFonts w:ascii="ZWAdobeF" w:hAnsi="ZWAdobeF" w:cs="ZWAdobeF"/>
          <w:color w:val="auto"/>
          <w:sz w:val="2"/>
          <w:szCs w:val="2"/>
        </w:rPr>
        <w:t>135F</w:t>
      </w:r>
      <w:r w:rsidR="000E723B" w:rsidRPr="0081652A">
        <w:rPr>
          <w:rStyle w:val="FootnoteReference"/>
          <w:rFonts w:asciiTheme="minorHAnsi" w:hAnsiTheme="minorHAnsi" w:cstheme="minorHAnsi"/>
        </w:rPr>
        <w:footnoteReference w:id="137"/>
      </w:r>
      <w:r w:rsidR="005138C3" w:rsidRPr="0081652A">
        <w:rPr>
          <w:rFonts w:asciiTheme="minorHAnsi" w:hAnsiTheme="minorHAnsi" w:cstheme="minorHAnsi"/>
        </w:rPr>
        <w:t xml:space="preserve"> </w:t>
      </w:r>
      <w:r w:rsidRPr="0081652A">
        <w:rPr>
          <w:rFonts w:asciiTheme="minorHAnsi" w:hAnsiTheme="minorHAnsi" w:cstheme="minorHAnsi"/>
        </w:rPr>
        <w:t>with</w:t>
      </w:r>
      <w:r w:rsidR="005138C3" w:rsidRPr="0081652A">
        <w:rPr>
          <w:rFonts w:asciiTheme="minorHAnsi" w:hAnsiTheme="minorHAnsi" w:cstheme="minorHAnsi"/>
        </w:rPr>
        <w:t xml:space="preserve"> loans for the construction, acquisition, and ownership of buildings to convert them into green buildings</w:t>
      </w:r>
      <w:r w:rsidR="00ED2E40" w:rsidRPr="0081652A">
        <w:rPr>
          <w:rFonts w:asciiTheme="minorHAnsi" w:hAnsiTheme="minorHAnsi" w:cstheme="minorHAnsi"/>
        </w:rPr>
        <w:t xml:space="preserve"> and i</w:t>
      </w:r>
      <w:r w:rsidR="005138C3" w:rsidRPr="0081652A">
        <w:rPr>
          <w:rFonts w:asciiTheme="minorHAnsi" w:hAnsiTheme="minorHAnsi" w:cstheme="minorHAnsi"/>
        </w:rPr>
        <w:t xml:space="preserve">n the </w:t>
      </w:r>
      <w:r w:rsidR="005138C3" w:rsidRPr="0081652A">
        <w:rPr>
          <w:rFonts w:asciiTheme="minorHAnsi" w:hAnsiTheme="minorHAnsi" w:cstheme="minorHAnsi"/>
          <w:b/>
        </w:rPr>
        <w:t>Netherlands</w:t>
      </w:r>
      <w:r w:rsidR="00ED2E40" w:rsidRPr="0081652A">
        <w:rPr>
          <w:rFonts w:asciiTheme="minorHAnsi" w:hAnsiTheme="minorHAnsi" w:cstheme="minorHAnsi"/>
        </w:rPr>
        <w:t xml:space="preserve"> where </w:t>
      </w:r>
      <w:r w:rsidR="005138C3" w:rsidRPr="0081652A">
        <w:rPr>
          <w:rFonts w:asciiTheme="minorHAnsi" w:hAnsiTheme="minorHAnsi" w:cstheme="minorHAnsi"/>
        </w:rPr>
        <w:t>the Minimum Energy Performance Standards (</w:t>
      </w:r>
      <w:proofErr w:type="spellStart"/>
      <w:r w:rsidR="005138C3" w:rsidRPr="0081652A">
        <w:rPr>
          <w:rFonts w:asciiTheme="minorHAnsi" w:hAnsiTheme="minorHAnsi" w:cstheme="minorHAnsi"/>
        </w:rPr>
        <w:t>MEPS</w:t>
      </w:r>
      <w:proofErr w:type="spellEnd"/>
      <w:r w:rsidR="005138C3" w:rsidRPr="0081652A">
        <w:rPr>
          <w:rFonts w:asciiTheme="minorHAnsi" w:hAnsiTheme="minorHAnsi" w:cstheme="minorHAnsi"/>
        </w:rPr>
        <w:t>) policy requires all offices to meet an EPC rating of 'C' by 2023</w:t>
      </w:r>
      <w:r w:rsidR="00723239">
        <w:rPr>
          <w:rFonts w:ascii="ZWAdobeF" w:hAnsi="ZWAdobeF" w:cs="ZWAdobeF"/>
          <w:color w:val="auto"/>
          <w:sz w:val="2"/>
          <w:szCs w:val="2"/>
        </w:rPr>
        <w:t>136F</w:t>
      </w:r>
      <w:r w:rsidR="00EE36E3">
        <w:rPr>
          <w:rFonts w:ascii="ZWAdobeF" w:hAnsi="ZWAdobeF" w:cs="ZWAdobeF"/>
          <w:color w:val="auto"/>
          <w:sz w:val="2"/>
          <w:szCs w:val="2"/>
        </w:rPr>
        <w:t>136F</w:t>
      </w:r>
      <w:r w:rsidR="00122C48">
        <w:rPr>
          <w:rFonts w:ascii="ZWAdobeF" w:hAnsi="ZWAdobeF" w:cs="ZWAdobeF"/>
          <w:color w:val="auto"/>
          <w:sz w:val="2"/>
          <w:szCs w:val="2"/>
        </w:rPr>
        <w:t>136F</w:t>
      </w:r>
      <w:r w:rsidR="00F73A23">
        <w:rPr>
          <w:rFonts w:ascii="ZWAdobeF" w:hAnsi="ZWAdobeF" w:cs="ZWAdobeF"/>
          <w:color w:val="auto"/>
          <w:sz w:val="2"/>
          <w:szCs w:val="2"/>
        </w:rPr>
        <w:t>136F</w:t>
      </w:r>
      <w:r w:rsidR="00626378">
        <w:rPr>
          <w:rFonts w:ascii="ZWAdobeF" w:hAnsi="ZWAdobeF" w:cs="ZWAdobeF"/>
          <w:color w:val="auto"/>
          <w:sz w:val="2"/>
          <w:szCs w:val="2"/>
        </w:rPr>
        <w:t>136F</w:t>
      </w:r>
      <w:r w:rsidR="00413811">
        <w:rPr>
          <w:rFonts w:ascii="ZWAdobeF" w:hAnsi="ZWAdobeF" w:cs="ZWAdobeF"/>
          <w:color w:val="auto"/>
          <w:sz w:val="2"/>
          <w:szCs w:val="2"/>
        </w:rPr>
        <w:t>136F</w:t>
      </w:r>
      <w:r w:rsidR="002C327C">
        <w:rPr>
          <w:rFonts w:ascii="ZWAdobeF" w:hAnsi="ZWAdobeF" w:cs="ZWAdobeF"/>
          <w:color w:val="auto"/>
          <w:sz w:val="2"/>
          <w:szCs w:val="2"/>
        </w:rPr>
        <w:t>136F</w:t>
      </w:r>
      <w:r w:rsidR="00D24A06">
        <w:rPr>
          <w:rFonts w:ascii="ZWAdobeF" w:hAnsi="ZWAdobeF" w:cs="ZWAdobeF"/>
          <w:color w:val="auto"/>
          <w:sz w:val="2"/>
          <w:szCs w:val="2"/>
        </w:rPr>
        <w:t>136F</w:t>
      </w:r>
      <w:r w:rsidR="00C57592" w:rsidRPr="0081652A">
        <w:rPr>
          <w:rStyle w:val="FootnoteReference"/>
          <w:rFonts w:asciiTheme="minorHAnsi" w:hAnsiTheme="minorHAnsi" w:cstheme="minorHAnsi"/>
        </w:rPr>
        <w:footnoteReference w:id="138"/>
      </w:r>
      <w:r w:rsidR="00ED2E40" w:rsidRPr="0081652A">
        <w:rPr>
          <w:rFonts w:asciiTheme="minorHAnsi" w:hAnsiTheme="minorHAnsi" w:cstheme="minorHAnsi"/>
        </w:rPr>
        <w:t>, t</w:t>
      </w:r>
      <w:r w:rsidR="005138C3" w:rsidRPr="0081652A">
        <w:rPr>
          <w:rFonts w:asciiTheme="minorHAnsi" w:hAnsiTheme="minorHAnsi" w:cstheme="minorHAnsi"/>
        </w:rPr>
        <w:t>he government has worked with banks to align their lending strategies to promote compliance with the policy. ING Bank, for example, only offers new financing for office buildings that have an EPC rating of 'A,' 'B,' or 'C'.</w:t>
      </w:r>
    </w:p>
    <w:p w14:paraId="47CA2A41" w14:textId="66C08875" w:rsidR="005138C3" w:rsidRPr="0081652A" w:rsidRDefault="005138C3" w:rsidP="005138C3">
      <w:pPr>
        <w:spacing w:before="0" w:after="160" w:line="259" w:lineRule="auto"/>
        <w:rPr>
          <w:rFonts w:asciiTheme="minorHAnsi" w:hAnsiTheme="minorHAnsi" w:cstheme="minorHAnsi"/>
        </w:rPr>
      </w:pPr>
      <w:r w:rsidRPr="0081652A">
        <w:rPr>
          <w:rFonts w:asciiTheme="minorHAnsi" w:hAnsiTheme="minorHAnsi" w:cstheme="minorHAnsi"/>
        </w:rPr>
        <w:t>On-bill financing (</w:t>
      </w:r>
      <w:proofErr w:type="spellStart"/>
      <w:r w:rsidRPr="0081652A">
        <w:rPr>
          <w:rFonts w:asciiTheme="minorHAnsi" w:hAnsiTheme="minorHAnsi" w:cstheme="minorHAnsi"/>
        </w:rPr>
        <w:t>OBF</w:t>
      </w:r>
      <w:proofErr w:type="spellEnd"/>
      <w:r w:rsidRPr="0081652A">
        <w:rPr>
          <w:rFonts w:asciiTheme="minorHAnsi" w:hAnsiTheme="minorHAnsi" w:cstheme="minorHAnsi"/>
        </w:rPr>
        <w:t xml:space="preserve">) is another approach to funding building energy efficiency upgrades, where repayments are made through an electricity utility as part of an energy </w:t>
      </w:r>
      <w:proofErr w:type="spellStart"/>
      <w:r w:rsidRPr="0081652A">
        <w:rPr>
          <w:rFonts w:asciiTheme="minorHAnsi" w:hAnsiTheme="minorHAnsi" w:cstheme="minorHAnsi"/>
        </w:rPr>
        <w:t>bill.</w:t>
      </w:r>
      <w:r w:rsidR="00723239">
        <w:rPr>
          <w:rFonts w:ascii="ZWAdobeF" w:hAnsi="ZWAdobeF" w:cs="ZWAdobeF"/>
          <w:color w:val="auto"/>
          <w:sz w:val="2"/>
          <w:szCs w:val="2"/>
        </w:rPr>
        <w:t>137F</w:t>
      </w:r>
      <w:r w:rsidR="00EE36E3">
        <w:rPr>
          <w:rFonts w:ascii="ZWAdobeF" w:hAnsi="ZWAdobeF" w:cs="ZWAdobeF"/>
          <w:color w:val="auto"/>
          <w:sz w:val="2"/>
          <w:szCs w:val="2"/>
        </w:rPr>
        <w:t>137F</w:t>
      </w:r>
      <w:r w:rsidR="00122C48">
        <w:rPr>
          <w:rFonts w:ascii="ZWAdobeF" w:hAnsi="ZWAdobeF" w:cs="ZWAdobeF"/>
          <w:color w:val="auto"/>
          <w:sz w:val="2"/>
          <w:szCs w:val="2"/>
        </w:rPr>
        <w:t>137F</w:t>
      </w:r>
      <w:r w:rsidR="00F73A23">
        <w:rPr>
          <w:rFonts w:ascii="ZWAdobeF" w:hAnsi="ZWAdobeF" w:cs="ZWAdobeF"/>
          <w:color w:val="auto"/>
          <w:sz w:val="2"/>
          <w:szCs w:val="2"/>
        </w:rPr>
        <w:t>137F</w:t>
      </w:r>
      <w:r w:rsidR="00626378">
        <w:rPr>
          <w:rFonts w:ascii="ZWAdobeF" w:hAnsi="ZWAdobeF" w:cs="ZWAdobeF"/>
          <w:color w:val="auto"/>
          <w:sz w:val="2"/>
          <w:szCs w:val="2"/>
        </w:rPr>
        <w:t>137F</w:t>
      </w:r>
      <w:r w:rsidR="00413811">
        <w:rPr>
          <w:rFonts w:ascii="ZWAdobeF" w:hAnsi="ZWAdobeF" w:cs="ZWAdobeF"/>
          <w:color w:val="auto"/>
          <w:sz w:val="2"/>
          <w:szCs w:val="2"/>
        </w:rPr>
        <w:t>137F</w:t>
      </w:r>
      <w:r w:rsidR="002C327C">
        <w:rPr>
          <w:rFonts w:ascii="ZWAdobeF" w:hAnsi="ZWAdobeF" w:cs="ZWAdobeF"/>
          <w:color w:val="auto"/>
          <w:sz w:val="2"/>
          <w:szCs w:val="2"/>
        </w:rPr>
        <w:t>137F</w:t>
      </w:r>
      <w:r w:rsidR="00D24A06">
        <w:rPr>
          <w:rFonts w:ascii="ZWAdobeF" w:hAnsi="ZWAdobeF" w:cs="ZWAdobeF"/>
          <w:color w:val="auto"/>
          <w:sz w:val="2"/>
          <w:szCs w:val="2"/>
        </w:rPr>
        <w:t>137F</w:t>
      </w:r>
      <w:proofErr w:type="spellEnd"/>
      <w:r w:rsidR="008226B6" w:rsidRPr="0081652A">
        <w:rPr>
          <w:rStyle w:val="FootnoteReference"/>
          <w:rFonts w:asciiTheme="minorHAnsi" w:hAnsiTheme="minorHAnsi" w:cstheme="minorHAnsi"/>
        </w:rPr>
        <w:footnoteReference w:id="139"/>
      </w:r>
      <w:r w:rsidRPr="0081652A">
        <w:rPr>
          <w:rFonts w:asciiTheme="minorHAnsi" w:hAnsiTheme="minorHAnsi" w:cstheme="minorHAnsi"/>
        </w:rPr>
        <w:t xml:space="preserve"> </w:t>
      </w:r>
      <w:proofErr w:type="spellStart"/>
      <w:r w:rsidRPr="0081652A">
        <w:rPr>
          <w:rFonts w:asciiTheme="minorHAnsi" w:hAnsiTheme="minorHAnsi" w:cstheme="minorHAnsi"/>
        </w:rPr>
        <w:t>OBF</w:t>
      </w:r>
      <w:proofErr w:type="spellEnd"/>
      <w:r w:rsidRPr="0081652A">
        <w:rPr>
          <w:rFonts w:asciiTheme="minorHAnsi" w:hAnsiTheme="minorHAnsi" w:cstheme="minorHAnsi"/>
        </w:rPr>
        <w:t xml:space="preserve"> programs have been successful in the </w:t>
      </w:r>
      <w:r w:rsidRPr="0081652A">
        <w:rPr>
          <w:rFonts w:asciiTheme="minorHAnsi" w:hAnsiTheme="minorHAnsi" w:cstheme="minorHAnsi"/>
          <w:b/>
        </w:rPr>
        <w:t>USA</w:t>
      </w:r>
      <w:r w:rsidRPr="0081652A">
        <w:rPr>
          <w:rFonts w:asciiTheme="minorHAnsi" w:hAnsiTheme="minorHAnsi" w:cstheme="minorHAnsi"/>
        </w:rPr>
        <w:t xml:space="preserve"> and </w:t>
      </w:r>
      <w:r w:rsidRPr="0081652A">
        <w:rPr>
          <w:rFonts w:asciiTheme="minorHAnsi" w:hAnsiTheme="minorHAnsi" w:cstheme="minorHAnsi"/>
          <w:b/>
        </w:rPr>
        <w:t>Canada</w:t>
      </w:r>
      <w:r w:rsidRPr="0081652A">
        <w:rPr>
          <w:rFonts w:asciiTheme="minorHAnsi" w:hAnsiTheme="minorHAnsi" w:cstheme="minorHAnsi"/>
        </w:rPr>
        <w:t xml:space="preserve">. For instance, the Tennessee Valley Authority (TVA) has offered financing programs for homeowners and commercial building owners for nearly 30 years, funding energy-efficiency retrofit projects worth nearly </w:t>
      </w:r>
      <w:proofErr w:type="spellStart"/>
      <w:r w:rsidRPr="0081652A">
        <w:rPr>
          <w:rFonts w:asciiTheme="minorHAnsi" w:hAnsiTheme="minorHAnsi" w:cstheme="minorHAnsi"/>
        </w:rPr>
        <w:t>US$500</w:t>
      </w:r>
      <w:proofErr w:type="spellEnd"/>
      <w:r w:rsidRPr="0081652A">
        <w:rPr>
          <w:rFonts w:asciiTheme="minorHAnsi" w:hAnsiTheme="minorHAnsi" w:cstheme="minorHAnsi"/>
        </w:rPr>
        <w:t xml:space="preserve"> </w:t>
      </w:r>
      <w:proofErr w:type="spellStart"/>
      <w:r w:rsidRPr="0081652A">
        <w:rPr>
          <w:rFonts w:asciiTheme="minorHAnsi" w:hAnsiTheme="minorHAnsi" w:cstheme="minorHAnsi"/>
        </w:rPr>
        <w:t>million</w:t>
      </w:r>
      <w:r>
        <w:rPr>
          <w:rFonts w:asciiTheme="minorHAnsi" w:hAnsiTheme="minorHAnsi" w:cstheme="minorHAnsi"/>
        </w:rPr>
        <w:t>.</w:t>
      </w:r>
      <w:r w:rsidR="00723239">
        <w:rPr>
          <w:rFonts w:ascii="ZWAdobeF" w:hAnsi="ZWAdobeF" w:cs="ZWAdobeF"/>
          <w:color w:val="auto"/>
          <w:sz w:val="2"/>
          <w:szCs w:val="2"/>
        </w:rPr>
        <w:t>138F</w:t>
      </w:r>
      <w:r w:rsidR="00EE36E3">
        <w:rPr>
          <w:rFonts w:ascii="ZWAdobeF" w:hAnsi="ZWAdobeF" w:cs="ZWAdobeF"/>
          <w:color w:val="auto"/>
          <w:sz w:val="2"/>
          <w:szCs w:val="2"/>
        </w:rPr>
        <w:t>138F</w:t>
      </w:r>
      <w:r w:rsidR="00122C48">
        <w:rPr>
          <w:rFonts w:ascii="ZWAdobeF" w:hAnsi="ZWAdobeF" w:cs="ZWAdobeF"/>
          <w:color w:val="auto"/>
          <w:sz w:val="2"/>
          <w:szCs w:val="2"/>
        </w:rPr>
        <w:t>138F</w:t>
      </w:r>
      <w:r w:rsidR="00F73A23">
        <w:rPr>
          <w:rFonts w:ascii="ZWAdobeF" w:hAnsi="ZWAdobeF" w:cs="ZWAdobeF"/>
          <w:color w:val="auto"/>
          <w:sz w:val="2"/>
          <w:szCs w:val="2"/>
        </w:rPr>
        <w:t>138F</w:t>
      </w:r>
      <w:r w:rsidR="00626378">
        <w:rPr>
          <w:rFonts w:ascii="ZWAdobeF" w:hAnsi="ZWAdobeF" w:cs="ZWAdobeF"/>
          <w:color w:val="auto"/>
          <w:sz w:val="2"/>
          <w:szCs w:val="2"/>
        </w:rPr>
        <w:t>138F</w:t>
      </w:r>
      <w:r w:rsidR="00413811">
        <w:rPr>
          <w:rFonts w:ascii="ZWAdobeF" w:hAnsi="ZWAdobeF" w:cs="ZWAdobeF"/>
          <w:color w:val="auto"/>
          <w:sz w:val="2"/>
          <w:szCs w:val="2"/>
        </w:rPr>
        <w:t>138F</w:t>
      </w:r>
      <w:r w:rsidR="002C327C">
        <w:rPr>
          <w:rFonts w:ascii="ZWAdobeF" w:hAnsi="ZWAdobeF" w:cs="ZWAdobeF"/>
          <w:color w:val="auto"/>
          <w:sz w:val="2"/>
          <w:szCs w:val="2"/>
        </w:rPr>
        <w:t>138F</w:t>
      </w:r>
      <w:r w:rsidR="00D24A06">
        <w:rPr>
          <w:rFonts w:ascii="ZWAdobeF" w:hAnsi="ZWAdobeF" w:cs="ZWAdobeF"/>
          <w:color w:val="auto"/>
          <w:sz w:val="2"/>
          <w:szCs w:val="2"/>
        </w:rPr>
        <w:t>138F</w:t>
      </w:r>
      <w:proofErr w:type="spellEnd"/>
      <w:r w:rsidR="008226B6" w:rsidRPr="0081652A">
        <w:rPr>
          <w:rStyle w:val="FootnoteReference"/>
          <w:rFonts w:asciiTheme="minorHAnsi" w:hAnsiTheme="minorHAnsi" w:cstheme="minorHAnsi"/>
        </w:rPr>
        <w:footnoteReference w:id="140"/>
      </w:r>
      <w:r w:rsidRPr="0081652A">
        <w:rPr>
          <w:rFonts w:asciiTheme="minorHAnsi" w:hAnsiTheme="minorHAnsi" w:cstheme="minorHAnsi"/>
        </w:rPr>
        <w:t xml:space="preserve"> The </w:t>
      </w:r>
      <w:proofErr w:type="spellStart"/>
      <w:r w:rsidRPr="0081652A">
        <w:rPr>
          <w:rFonts w:asciiTheme="minorHAnsi" w:hAnsiTheme="minorHAnsi" w:cstheme="minorHAnsi"/>
          <w:i/>
        </w:rPr>
        <w:t>How$mart</w:t>
      </w:r>
      <w:proofErr w:type="spellEnd"/>
      <w:r w:rsidRPr="0081652A">
        <w:rPr>
          <w:rFonts w:asciiTheme="minorHAnsi" w:hAnsiTheme="minorHAnsi" w:cstheme="minorHAnsi"/>
          <w:i/>
        </w:rPr>
        <w:t>®</w:t>
      </w:r>
      <w:r w:rsidRPr="0081652A">
        <w:rPr>
          <w:rFonts w:asciiTheme="minorHAnsi" w:hAnsiTheme="minorHAnsi" w:cstheme="minorHAnsi"/>
        </w:rPr>
        <w:t xml:space="preserve"> Program by Midwest Energy provides financing for energy efficiency improvements, with customers repaying the funds through energy savings on their energy bills.</w:t>
      </w:r>
      <w:r w:rsidR="00723239">
        <w:rPr>
          <w:rFonts w:ascii="ZWAdobeF" w:hAnsi="ZWAdobeF" w:cs="ZWAdobeF"/>
          <w:color w:val="auto"/>
          <w:sz w:val="2"/>
          <w:szCs w:val="2"/>
        </w:rPr>
        <w:t>139F</w:t>
      </w:r>
      <w:r w:rsidR="00EE36E3">
        <w:rPr>
          <w:rFonts w:ascii="ZWAdobeF" w:hAnsi="ZWAdobeF" w:cs="ZWAdobeF"/>
          <w:color w:val="auto"/>
          <w:sz w:val="2"/>
          <w:szCs w:val="2"/>
        </w:rPr>
        <w:t>139F</w:t>
      </w:r>
      <w:r w:rsidR="00122C48">
        <w:rPr>
          <w:rFonts w:ascii="ZWAdobeF" w:hAnsi="ZWAdobeF" w:cs="ZWAdobeF"/>
          <w:color w:val="auto"/>
          <w:sz w:val="2"/>
          <w:szCs w:val="2"/>
        </w:rPr>
        <w:t>139F</w:t>
      </w:r>
      <w:r w:rsidR="00F73A23">
        <w:rPr>
          <w:rFonts w:ascii="ZWAdobeF" w:hAnsi="ZWAdobeF" w:cs="ZWAdobeF"/>
          <w:color w:val="auto"/>
          <w:sz w:val="2"/>
          <w:szCs w:val="2"/>
        </w:rPr>
        <w:t>139F</w:t>
      </w:r>
      <w:r w:rsidR="00626378">
        <w:rPr>
          <w:rFonts w:ascii="ZWAdobeF" w:hAnsi="ZWAdobeF" w:cs="ZWAdobeF"/>
          <w:color w:val="auto"/>
          <w:sz w:val="2"/>
          <w:szCs w:val="2"/>
        </w:rPr>
        <w:t>139F</w:t>
      </w:r>
      <w:r w:rsidR="00413811">
        <w:rPr>
          <w:rFonts w:ascii="ZWAdobeF" w:hAnsi="ZWAdobeF" w:cs="ZWAdobeF"/>
          <w:color w:val="auto"/>
          <w:sz w:val="2"/>
          <w:szCs w:val="2"/>
        </w:rPr>
        <w:t>139F</w:t>
      </w:r>
      <w:r w:rsidR="002C327C">
        <w:rPr>
          <w:rFonts w:ascii="ZWAdobeF" w:hAnsi="ZWAdobeF" w:cs="ZWAdobeF"/>
          <w:color w:val="auto"/>
          <w:sz w:val="2"/>
          <w:szCs w:val="2"/>
        </w:rPr>
        <w:t>139F</w:t>
      </w:r>
      <w:r w:rsidR="00D24A06">
        <w:rPr>
          <w:rFonts w:ascii="ZWAdobeF" w:hAnsi="ZWAdobeF" w:cs="ZWAdobeF"/>
          <w:color w:val="auto"/>
          <w:sz w:val="2"/>
          <w:szCs w:val="2"/>
        </w:rPr>
        <w:t>139F</w:t>
      </w:r>
      <w:r w:rsidR="00DB402C" w:rsidRPr="0081652A">
        <w:rPr>
          <w:rStyle w:val="FootnoteReference"/>
          <w:rFonts w:asciiTheme="minorHAnsi" w:hAnsiTheme="minorHAnsi" w:cstheme="minorHAnsi"/>
        </w:rPr>
        <w:footnoteReference w:id="141"/>
      </w:r>
    </w:p>
    <w:p w14:paraId="412AF18C" w14:textId="588B0E38" w:rsidR="00AB191C" w:rsidRPr="0081652A" w:rsidRDefault="005138C3">
      <w:pPr>
        <w:spacing w:before="0" w:after="160" w:line="259" w:lineRule="auto"/>
        <w:rPr>
          <w:rFonts w:asciiTheme="minorHAnsi" w:hAnsiTheme="minorHAnsi" w:cstheme="minorHAnsi"/>
        </w:rPr>
      </w:pPr>
      <w:r w:rsidRPr="0081652A">
        <w:rPr>
          <w:rFonts w:asciiTheme="minorHAnsi" w:hAnsiTheme="minorHAnsi" w:cstheme="minorHAnsi"/>
        </w:rPr>
        <w:t>These examples demonstrate how government policies and initiatives can influence lending institutions to offer loans and change their products or policies to incentivize energy-saving measures in buildings.</w:t>
      </w:r>
    </w:p>
    <w:p w14:paraId="3546E620" w14:textId="5A0F4CAC" w:rsidR="00ED18B6" w:rsidRPr="0081652A" w:rsidRDefault="003F14F8" w:rsidP="003F14F8">
      <w:pPr>
        <w:pStyle w:val="CVHeading"/>
        <w:rPr>
          <w:rFonts w:asciiTheme="minorHAnsi" w:hAnsiTheme="minorHAnsi" w:cstheme="minorHAnsi"/>
        </w:rPr>
      </w:pPr>
      <w:r w:rsidRPr="0081652A">
        <w:rPr>
          <w:rFonts w:asciiTheme="minorHAnsi" w:hAnsiTheme="minorHAnsi" w:cstheme="minorHAnsi"/>
        </w:rPr>
        <w:t xml:space="preserve">Costs </w:t>
      </w:r>
      <w:r w:rsidR="00AB191C" w:rsidRPr="0081652A">
        <w:rPr>
          <w:rFonts w:asciiTheme="minorHAnsi" w:hAnsiTheme="minorHAnsi" w:cstheme="minorHAnsi"/>
        </w:rPr>
        <w:t xml:space="preserve">and financing available </w:t>
      </w:r>
      <w:r w:rsidRPr="0081652A">
        <w:rPr>
          <w:rFonts w:asciiTheme="minorHAnsi" w:hAnsiTheme="minorHAnsi" w:cstheme="minorHAnsi"/>
        </w:rPr>
        <w:t xml:space="preserve">to building </w:t>
      </w:r>
      <w:proofErr w:type="gramStart"/>
      <w:r w:rsidRPr="0081652A">
        <w:rPr>
          <w:rFonts w:asciiTheme="minorHAnsi" w:hAnsiTheme="minorHAnsi" w:cstheme="minorHAnsi"/>
        </w:rPr>
        <w:t>owners</w:t>
      </w:r>
      <w:proofErr w:type="gramEnd"/>
    </w:p>
    <w:p w14:paraId="10FD9E91" w14:textId="4389E963" w:rsidR="001D265B" w:rsidRPr="0081652A" w:rsidRDefault="001D265B" w:rsidP="001D265B">
      <w:pPr>
        <w:rPr>
          <w:rFonts w:asciiTheme="minorHAnsi" w:hAnsiTheme="minorHAnsi" w:cstheme="minorHAnsi"/>
        </w:rPr>
      </w:pPr>
      <w:r w:rsidRPr="0081652A">
        <w:rPr>
          <w:rFonts w:asciiTheme="minorHAnsi" w:hAnsiTheme="minorHAnsi" w:cstheme="minorHAnsi"/>
        </w:rPr>
        <w:t>The cost to upgrade a building to meet minimum energy performance standards (</w:t>
      </w:r>
      <w:proofErr w:type="spellStart"/>
      <w:r w:rsidRPr="0081652A">
        <w:rPr>
          <w:rFonts w:asciiTheme="minorHAnsi" w:hAnsiTheme="minorHAnsi" w:cstheme="minorHAnsi"/>
        </w:rPr>
        <w:t>MEPS</w:t>
      </w:r>
      <w:proofErr w:type="spellEnd"/>
      <w:r w:rsidRPr="0081652A">
        <w:rPr>
          <w:rFonts w:asciiTheme="minorHAnsi" w:hAnsiTheme="minorHAnsi" w:cstheme="minorHAnsi"/>
        </w:rPr>
        <w:t>) can vary depending on various factors. For households, renovation costs to meet energy efficiency requirements have been estimated to range from AUD $25,000 to $170,000.</w:t>
      </w:r>
      <w:r w:rsidR="00723239">
        <w:rPr>
          <w:rFonts w:ascii="ZWAdobeF" w:hAnsi="ZWAdobeF" w:cs="ZWAdobeF"/>
          <w:color w:val="auto"/>
          <w:sz w:val="2"/>
          <w:szCs w:val="2"/>
        </w:rPr>
        <w:t>140F</w:t>
      </w:r>
      <w:r w:rsidR="00EE36E3">
        <w:rPr>
          <w:rFonts w:ascii="ZWAdobeF" w:hAnsi="ZWAdobeF" w:cs="ZWAdobeF"/>
          <w:color w:val="auto"/>
          <w:sz w:val="2"/>
          <w:szCs w:val="2"/>
        </w:rPr>
        <w:t>140F</w:t>
      </w:r>
      <w:r w:rsidR="00122C48">
        <w:rPr>
          <w:rFonts w:ascii="ZWAdobeF" w:hAnsi="ZWAdobeF" w:cs="ZWAdobeF"/>
          <w:color w:val="auto"/>
          <w:sz w:val="2"/>
          <w:szCs w:val="2"/>
        </w:rPr>
        <w:t>140F</w:t>
      </w:r>
      <w:r w:rsidR="00F73A23">
        <w:rPr>
          <w:rFonts w:ascii="ZWAdobeF" w:hAnsi="ZWAdobeF" w:cs="ZWAdobeF"/>
          <w:color w:val="auto"/>
          <w:sz w:val="2"/>
          <w:szCs w:val="2"/>
        </w:rPr>
        <w:t>140F</w:t>
      </w:r>
      <w:r w:rsidR="00626378">
        <w:rPr>
          <w:rFonts w:ascii="ZWAdobeF" w:hAnsi="ZWAdobeF" w:cs="ZWAdobeF"/>
          <w:color w:val="auto"/>
          <w:sz w:val="2"/>
          <w:szCs w:val="2"/>
        </w:rPr>
        <w:t>140F</w:t>
      </w:r>
      <w:r w:rsidR="00413811">
        <w:rPr>
          <w:rFonts w:ascii="ZWAdobeF" w:hAnsi="ZWAdobeF" w:cs="ZWAdobeF"/>
          <w:color w:val="auto"/>
          <w:sz w:val="2"/>
          <w:szCs w:val="2"/>
        </w:rPr>
        <w:t>140F</w:t>
      </w:r>
      <w:r w:rsidR="002C327C">
        <w:rPr>
          <w:rFonts w:ascii="ZWAdobeF" w:hAnsi="ZWAdobeF" w:cs="ZWAdobeF"/>
          <w:color w:val="auto"/>
          <w:sz w:val="2"/>
          <w:szCs w:val="2"/>
        </w:rPr>
        <w:t>140F</w:t>
      </w:r>
      <w:r w:rsidR="00D24A06">
        <w:rPr>
          <w:rFonts w:ascii="ZWAdobeF" w:hAnsi="ZWAdobeF" w:cs="ZWAdobeF"/>
          <w:color w:val="auto"/>
          <w:sz w:val="2"/>
          <w:szCs w:val="2"/>
        </w:rPr>
        <w:t>140F</w:t>
      </w:r>
      <w:r w:rsidRPr="0081652A">
        <w:rPr>
          <w:rStyle w:val="FootnoteReference"/>
          <w:rFonts w:asciiTheme="minorHAnsi" w:hAnsiTheme="minorHAnsi" w:cstheme="minorHAnsi"/>
        </w:rPr>
        <w:footnoteReference w:id="142"/>
      </w:r>
      <w:r w:rsidR="002B48AA" w:rsidRPr="0081652A">
        <w:rPr>
          <w:rFonts w:asciiTheme="minorHAnsi" w:hAnsiTheme="minorHAnsi" w:cstheme="minorHAnsi"/>
        </w:rPr>
        <w:t xml:space="preserve"> An evaluation of </w:t>
      </w:r>
      <w:r w:rsidR="00AB2EDA" w:rsidRPr="0081652A">
        <w:rPr>
          <w:rFonts w:asciiTheme="minorHAnsi" w:hAnsiTheme="minorHAnsi" w:cstheme="minorHAnsi"/>
        </w:rPr>
        <w:t>BEPS program in Washington DC showed compliance costs building owners an average of USD10 per square foot (</w:t>
      </w:r>
      <w:r w:rsidR="00007D64" w:rsidRPr="0081652A">
        <w:rPr>
          <w:rFonts w:asciiTheme="minorHAnsi" w:hAnsiTheme="minorHAnsi" w:cstheme="minorHAnsi"/>
        </w:rPr>
        <w:t>~$165 Australian per square metre)</w:t>
      </w:r>
      <w:r w:rsidR="00723239">
        <w:rPr>
          <w:rFonts w:ascii="ZWAdobeF" w:hAnsi="ZWAdobeF" w:cs="ZWAdobeF"/>
          <w:color w:val="auto"/>
          <w:sz w:val="2"/>
          <w:szCs w:val="2"/>
        </w:rPr>
        <w:t>141F</w:t>
      </w:r>
      <w:r w:rsidR="00EE36E3">
        <w:rPr>
          <w:rFonts w:ascii="ZWAdobeF" w:hAnsi="ZWAdobeF" w:cs="ZWAdobeF"/>
          <w:color w:val="auto"/>
          <w:sz w:val="2"/>
          <w:szCs w:val="2"/>
        </w:rPr>
        <w:t>141F</w:t>
      </w:r>
      <w:r w:rsidR="00122C48">
        <w:rPr>
          <w:rFonts w:ascii="ZWAdobeF" w:hAnsi="ZWAdobeF" w:cs="ZWAdobeF"/>
          <w:color w:val="auto"/>
          <w:sz w:val="2"/>
          <w:szCs w:val="2"/>
        </w:rPr>
        <w:t>141F</w:t>
      </w:r>
      <w:r w:rsidR="00F73A23">
        <w:rPr>
          <w:rFonts w:ascii="ZWAdobeF" w:hAnsi="ZWAdobeF" w:cs="ZWAdobeF"/>
          <w:color w:val="auto"/>
          <w:sz w:val="2"/>
          <w:szCs w:val="2"/>
        </w:rPr>
        <w:t>141F</w:t>
      </w:r>
      <w:r w:rsidR="00626378">
        <w:rPr>
          <w:rFonts w:ascii="ZWAdobeF" w:hAnsi="ZWAdobeF" w:cs="ZWAdobeF"/>
          <w:color w:val="auto"/>
          <w:sz w:val="2"/>
          <w:szCs w:val="2"/>
        </w:rPr>
        <w:t>141F</w:t>
      </w:r>
      <w:r w:rsidR="00413811">
        <w:rPr>
          <w:rFonts w:ascii="ZWAdobeF" w:hAnsi="ZWAdobeF" w:cs="ZWAdobeF"/>
          <w:color w:val="auto"/>
          <w:sz w:val="2"/>
          <w:szCs w:val="2"/>
        </w:rPr>
        <w:t>141F</w:t>
      </w:r>
      <w:r w:rsidR="002C327C">
        <w:rPr>
          <w:rFonts w:ascii="ZWAdobeF" w:hAnsi="ZWAdobeF" w:cs="ZWAdobeF"/>
          <w:color w:val="auto"/>
          <w:sz w:val="2"/>
          <w:szCs w:val="2"/>
        </w:rPr>
        <w:t>141F</w:t>
      </w:r>
      <w:r w:rsidR="00D24A06">
        <w:rPr>
          <w:rFonts w:ascii="ZWAdobeF" w:hAnsi="ZWAdobeF" w:cs="ZWAdobeF"/>
          <w:color w:val="auto"/>
          <w:sz w:val="2"/>
          <w:szCs w:val="2"/>
        </w:rPr>
        <w:t>141F</w:t>
      </w:r>
      <w:r w:rsidR="00007D64" w:rsidRPr="0081652A">
        <w:rPr>
          <w:rStyle w:val="FootnoteReference"/>
          <w:rFonts w:asciiTheme="minorHAnsi" w:hAnsiTheme="minorHAnsi" w:cstheme="minorHAnsi"/>
        </w:rPr>
        <w:footnoteReference w:id="143"/>
      </w:r>
      <w:r w:rsidR="00007D64" w:rsidRPr="0081652A">
        <w:rPr>
          <w:rFonts w:asciiTheme="minorHAnsi" w:hAnsiTheme="minorHAnsi" w:cstheme="minorHAnsi"/>
        </w:rPr>
        <w:t xml:space="preserve">. </w:t>
      </w:r>
    </w:p>
    <w:p w14:paraId="6CB8DB1E" w14:textId="1CCB5BC7" w:rsidR="001D265B" w:rsidRPr="0081652A" w:rsidRDefault="001D265B" w:rsidP="001D265B">
      <w:pPr>
        <w:rPr>
          <w:rFonts w:asciiTheme="minorHAnsi" w:hAnsiTheme="minorHAnsi" w:cstheme="minorHAnsi"/>
        </w:rPr>
      </w:pPr>
      <w:r w:rsidRPr="0081652A">
        <w:rPr>
          <w:rFonts w:asciiTheme="minorHAnsi" w:hAnsiTheme="minorHAnsi" w:cstheme="minorHAnsi"/>
        </w:rPr>
        <w:t>In the Netherlands, the requirement for all buildings to meet an EPC rating of 'C' is estimated to have a cumulative cost of 860 million Euros in 2023</w:t>
      </w:r>
      <w:r w:rsidR="00723239">
        <w:rPr>
          <w:rFonts w:ascii="ZWAdobeF" w:hAnsi="ZWAdobeF" w:cs="ZWAdobeF"/>
          <w:color w:val="auto"/>
          <w:sz w:val="2"/>
          <w:szCs w:val="2"/>
        </w:rPr>
        <w:t>142F</w:t>
      </w:r>
      <w:r w:rsidR="00EE36E3">
        <w:rPr>
          <w:rFonts w:ascii="ZWAdobeF" w:hAnsi="ZWAdobeF" w:cs="ZWAdobeF"/>
          <w:color w:val="auto"/>
          <w:sz w:val="2"/>
          <w:szCs w:val="2"/>
        </w:rPr>
        <w:t>142F</w:t>
      </w:r>
      <w:r w:rsidR="00122C48">
        <w:rPr>
          <w:rFonts w:ascii="ZWAdobeF" w:hAnsi="ZWAdobeF" w:cs="ZWAdobeF"/>
          <w:color w:val="auto"/>
          <w:sz w:val="2"/>
          <w:szCs w:val="2"/>
        </w:rPr>
        <w:t>142F</w:t>
      </w:r>
      <w:r w:rsidR="00F73A23">
        <w:rPr>
          <w:rFonts w:ascii="ZWAdobeF" w:hAnsi="ZWAdobeF" w:cs="ZWAdobeF"/>
          <w:color w:val="auto"/>
          <w:sz w:val="2"/>
          <w:szCs w:val="2"/>
        </w:rPr>
        <w:t>142F</w:t>
      </w:r>
      <w:r w:rsidR="00626378">
        <w:rPr>
          <w:rFonts w:ascii="ZWAdobeF" w:hAnsi="ZWAdobeF" w:cs="ZWAdobeF"/>
          <w:color w:val="auto"/>
          <w:sz w:val="2"/>
          <w:szCs w:val="2"/>
        </w:rPr>
        <w:t>142F</w:t>
      </w:r>
      <w:r w:rsidR="00413811">
        <w:rPr>
          <w:rFonts w:ascii="ZWAdobeF" w:hAnsi="ZWAdobeF" w:cs="ZWAdobeF"/>
          <w:color w:val="auto"/>
          <w:sz w:val="2"/>
          <w:szCs w:val="2"/>
        </w:rPr>
        <w:t>142F</w:t>
      </w:r>
      <w:r w:rsidR="002C327C">
        <w:rPr>
          <w:rFonts w:ascii="ZWAdobeF" w:hAnsi="ZWAdobeF" w:cs="ZWAdobeF"/>
          <w:color w:val="auto"/>
          <w:sz w:val="2"/>
          <w:szCs w:val="2"/>
        </w:rPr>
        <w:t>142F</w:t>
      </w:r>
      <w:r w:rsidR="00D24A06">
        <w:rPr>
          <w:rFonts w:ascii="ZWAdobeF" w:hAnsi="ZWAdobeF" w:cs="ZWAdobeF"/>
          <w:color w:val="auto"/>
          <w:sz w:val="2"/>
          <w:szCs w:val="2"/>
        </w:rPr>
        <w:t>142F</w:t>
      </w:r>
      <w:r w:rsidRPr="0081652A">
        <w:rPr>
          <w:rStyle w:val="FootnoteReference"/>
          <w:rFonts w:asciiTheme="minorHAnsi" w:hAnsiTheme="minorHAnsi" w:cstheme="minorHAnsi"/>
        </w:rPr>
        <w:footnoteReference w:id="144"/>
      </w:r>
      <w:r w:rsidR="00AE40A7" w:rsidRPr="0081652A">
        <w:rPr>
          <w:rFonts w:asciiTheme="minorHAnsi" w:hAnsiTheme="minorHAnsi" w:cstheme="minorHAnsi"/>
        </w:rPr>
        <w:t>.</w:t>
      </w:r>
      <w:r w:rsidRPr="0081652A">
        <w:rPr>
          <w:rFonts w:asciiTheme="minorHAnsi" w:hAnsiTheme="minorHAnsi" w:cstheme="minorHAnsi"/>
        </w:rPr>
        <w:t xml:space="preserve"> The payback times for investments in energy efficiency improvements in these buildings are estimated to average between three and six and a half years.</w:t>
      </w:r>
      <w:r w:rsidR="00773381" w:rsidRPr="0081652A">
        <w:rPr>
          <w:rFonts w:asciiTheme="minorHAnsi" w:hAnsiTheme="minorHAnsi" w:cstheme="minorHAnsi"/>
        </w:rPr>
        <w:t xml:space="preserve"> In the UK, if the payback period of the change is greater than seven years, owners do not have to implement the </w:t>
      </w:r>
      <w:proofErr w:type="spellStart"/>
      <w:r w:rsidR="00773381" w:rsidRPr="0081652A">
        <w:rPr>
          <w:rFonts w:asciiTheme="minorHAnsi" w:hAnsiTheme="minorHAnsi" w:cstheme="minorHAnsi"/>
        </w:rPr>
        <w:t>MEPS</w:t>
      </w:r>
      <w:proofErr w:type="spellEnd"/>
      <w:r w:rsidR="00773381" w:rsidRPr="0081652A">
        <w:rPr>
          <w:rFonts w:asciiTheme="minorHAnsi" w:hAnsiTheme="minorHAnsi" w:cstheme="minorHAnsi"/>
        </w:rPr>
        <w:t>.</w:t>
      </w:r>
    </w:p>
    <w:p w14:paraId="366D4D23" w14:textId="408C9F7C" w:rsidR="000C7CF8" w:rsidRPr="0081652A" w:rsidRDefault="001D265B" w:rsidP="001D265B">
      <w:pPr>
        <w:rPr>
          <w:rFonts w:asciiTheme="minorHAnsi" w:hAnsiTheme="minorHAnsi" w:cstheme="minorHAnsi"/>
        </w:rPr>
      </w:pPr>
      <w:r w:rsidRPr="0081652A">
        <w:rPr>
          <w:rFonts w:asciiTheme="minorHAnsi" w:hAnsiTheme="minorHAnsi" w:cstheme="minorHAnsi"/>
        </w:rPr>
        <w:t>Split incentives and asymmetrical information between landlords and tenants can pose barriers to energy efficiency improvements. When landlords do not invest in energy efficiency at the same rate as tenants who pay the electricity bills, it can lead to higher energy bills, as shown in a US study</w:t>
      </w:r>
      <w:r w:rsidR="00723239">
        <w:rPr>
          <w:rFonts w:ascii="ZWAdobeF" w:hAnsi="ZWAdobeF" w:cs="ZWAdobeF"/>
          <w:color w:val="auto"/>
          <w:sz w:val="2"/>
          <w:szCs w:val="2"/>
        </w:rPr>
        <w:t>143F</w:t>
      </w:r>
      <w:r w:rsidR="00EE36E3">
        <w:rPr>
          <w:rFonts w:ascii="ZWAdobeF" w:hAnsi="ZWAdobeF" w:cs="ZWAdobeF"/>
          <w:color w:val="auto"/>
          <w:sz w:val="2"/>
          <w:szCs w:val="2"/>
        </w:rPr>
        <w:t>143F</w:t>
      </w:r>
      <w:r w:rsidR="00122C48">
        <w:rPr>
          <w:rFonts w:ascii="ZWAdobeF" w:hAnsi="ZWAdobeF" w:cs="ZWAdobeF"/>
          <w:color w:val="auto"/>
          <w:sz w:val="2"/>
          <w:szCs w:val="2"/>
        </w:rPr>
        <w:t>143F</w:t>
      </w:r>
      <w:r w:rsidR="00F73A23">
        <w:rPr>
          <w:rFonts w:ascii="ZWAdobeF" w:hAnsi="ZWAdobeF" w:cs="ZWAdobeF"/>
          <w:color w:val="auto"/>
          <w:sz w:val="2"/>
          <w:szCs w:val="2"/>
        </w:rPr>
        <w:t>143F</w:t>
      </w:r>
      <w:r w:rsidR="00626378">
        <w:rPr>
          <w:rFonts w:ascii="ZWAdobeF" w:hAnsi="ZWAdobeF" w:cs="ZWAdobeF"/>
          <w:color w:val="auto"/>
          <w:sz w:val="2"/>
          <w:szCs w:val="2"/>
        </w:rPr>
        <w:t>143F</w:t>
      </w:r>
      <w:r w:rsidR="00413811">
        <w:rPr>
          <w:rFonts w:ascii="ZWAdobeF" w:hAnsi="ZWAdobeF" w:cs="ZWAdobeF"/>
          <w:color w:val="auto"/>
          <w:sz w:val="2"/>
          <w:szCs w:val="2"/>
        </w:rPr>
        <w:t>143F</w:t>
      </w:r>
      <w:r w:rsidR="002C327C">
        <w:rPr>
          <w:rFonts w:ascii="ZWAdobeF" w:hAnsi="ZWAdobeF" w:cs="ZWAdobeF"/>
          <w:color w:val="auto"/>
          <w:sz w:val="2"/>
          <w:szCs w:val="2"/>
        </w:rPr>
        <w:t>143F</w:t>
      </w:r>
      <w:r w:rsidR="00D24A06">
        <w:rPr>
          <w:rFonts w:ascii="ZWAdobeF" w:hAnsi="ZWAdobeF" w:cs="ZWAdobeF"/>
          <w:color w:val="auto"/>
          <w:sz w:val="2"/>
          <w:szCs w:val="2"/>
        </w:rPr>
        <w:t>143F</w:t>
      </w:r>
      <w:r w:rsidR="00E912DE" w:rsidRPr="0081652A">
        <w:rPr>
          <w:rStyle w:val="FootnoteReference"/>
          <w:rFonts w:asciiTheme="minorHAnsi" w:hAnsiTheme="minorHAnsi" w:cstheme="minorHAnsi"/>
        </w:rPr>
        <w:footnoteReference w:id="145"/>
      </w:r>
      <w:r w:rsidR="00AE40A7" w:rsidRPr="0081652A">
        <w:rPr>
          <w:rFonts w:asciiTheme="minorHAnsi" w:hAnsiTheme="minorHAnsi" w:cstheme="minorHAnsi"/>
        </w:rPr>
        <w:t>.</w:t>
      </w:r>
      <w:r w:rsidRPr="0081652A">
        <w:rPr>
          <w:rFonts w:asciiTheme="minorHAnsi" w:hAnsiTheme="minorHAnsi" w:cstheme="minorHAnsi"/>
        </w:rPr>
        <w:t xml:space="preserve"> </w:t>
      </w:r>
      <w:r w:rsidR="000C7CF8" w:rsidRPr="0081652A">
        <w:rPr>
          <w:rFonts w:asciiTheme="minorHAnsi" w:hAnsiTheme="minorHAnsi" w:cstheme="minorHAnsi"/>
        </w:rPr>
        <w:t>Options t</w:t>
      </w:r>
      <w:r w:rsidRPr="0081652A">
        <w:rPr>
          <w:rFonts w:asciiTheme="minorHAnsi" w:hAnsiTheme="minorHAnsi" w:cstheme="minorHAnsi"/>
        </w:rPr>
        <w:t>o address this issue</w:t>
      </w:r>
      <w:r w:rsidR="000C7CF8" w:rsidRPr="0081652A">
        <w:rPr>
          <w:rFonts w:asciiTheme="minorHAnsi" w:hAnsiTheme="minorHAnsi" w:cstheme="minorHAnsi"/>
        </w:rPr>
        <w:t xml:space="preserve"> include:</w:t>
      </w:r>
    </w:p>
    <w:p w14:paraId="65DE9129" w14:textId="6DCF28BE" w:rsidR="000C7CF8" w:rsidRPr="0081652A" w:rsidRDefault="000C7CF8" w:rsidP="00214D42">
      <w:pPr>
        <w:pStyle w:val="ListParagraph"/>
        <w:numPr>
          <w:ilvl w:val="0"/>
          <w:numId w:val="23"/>
        </w:numPr>
        <w:spacing w:after="100"/>
        <w:ind w:left="284"/>
        <w:contextualSpacing w:val="0"/>
        <w:rPr>
          <w:rFonts w:asciiTheme="minorHAnsi" w:hAnsiTheme="minorHAnsi" w:cstheme="minorHAnsi"/>
        </w:rPr>
      </w:pPr>
      <w:r w:rsidRPr="0081652A">
        <w:rPr>
          <w:rFonts w:asciiTheme="minorHAnsi" w:hAnsiTheme="minorHAnsi" w:cstheme="minorHAnsi"/>
        </w:rPr>
        <w:t>P</w:t>
      </w:r>
      <w:r w:rsidR="001D265B" w:rsidRPr="0081652A">
        <w:rPr>
          <w:rFonts w:asciiTheme="minorHAnsi" w:hAnsiTheme="minorHAnsi" w:cstheme="minorHAnsi"/>
        </w:rPr>
        <w:t xml:space="preserve">olicies that </w:t>
      </w:r>
      <w:r w:rsidR="001D265B" w:rsidRPr="0081652A">
        <w:rPr>
          <w:rFonts w:asciiTheme="minorHAnsi" w:hAnsiTheme="minorHAnsi" w:cstheme="minorHAnsi"/>
          <w:b/>
        </w:rPr>
        <w:t>incentivi</w:t>
      </w:r>
      <w:r w:rsidRPr="0081652A">
        <w:rPr>
          <w:rFonts w:asciiTheme="minorHAnsi" w:hAnsiTheme="minorHAnsi" w:cstheme="minorHAnsi"/>
          <w:b/>
        </w:rPr>
        <w:t>s</w:t>
      </w:r>
      <w:r w:rsidR="001D265B" w:rsidRPr="0081652A">
        <w:rPr>
          <w:rFonts w:asciiTheme="minorHAnsi" w:hAnsiTheme="minorHAnsi" w:cstheme="minorHAnsi"/>
          <w:b/>
        </w:rPr>
        <w:t>e both landlords and tenants</w:t>
      </w:r>
      <w:r w:rsidR="001D265B" w:rsidRPr="0081652A">
        <w:rPr>
          <w:rFonts w:asciiTheme="minorHAnsi" w:hAnsiTheme="minorHAnsi" w:cstheme="minorHAnsi"/>
        </w:rPr>
        <w:t xml:space="preserve"> to improve energy efficiency. For example, France's Article 175 requires both landlords and tenants of buildings over 1000 square meters to annually declare energy performance achieved by buildings, and non-compliance can result in fines.</w:t>
      </w:r>
      <w:r w:rsidR="00723239">
        <w:rPr>
          <w:rFonts w:ascii="ZWAdobeF" w:hAnsi="ZWAdobeF" w:cs="ZWAdobeF"/>
          <w:sz w:val="2"/>
          <w:szCs w:val="2"/>
        </w:rPr>
        <w:t>144F</w:t>
      </w:r>
      <w:r w:rsidR="00EE36E3">
        <w:rPr>
          <w:rFonts w:ascii="ZWAdobeF" w:hAnsi="ZWAdobeF" w:cs="ZWAdobeF"/>
          <w:sz w:val="2"/>
          <w:szCs w:val="2"/>
        </w:rPr>
        <w:t>144F</w:t>
      </w:r>
      <w:r w:rsidR="00122C48">
        <w:rPr>
          <w:rFonts w:ascii="ZWAdobeF" w:hAnsi="ZWAdobeF" w:cs="ZWAdobeF"/>
          <w:sz w:val="2"/>
          <w:szCs w:val="2"/>
        </w:rPr>
        <w:t>144F</w:t>
      </w:r>
      <w:r w:rsidR="00F73A23">
        <w:rPr>
          <w:rFonts w:ascii="ZWAdobeF" w:hAnsi="ZWAdobeF" w:cs="ZWAdobeF"/>
          <w:sz w:val="2"/>
          <w:szCs w:val="2"/>
        </w:rPr>
        <w:t>144F</w:t>
      </w:r>
      <w:r w:rsidR="00626378">
        <w:rPr>
          <w:rFonts w:ascii="ZWAdobeF" w:hAnsi="ZWAdobeF" w:cs="ZWAdobeF"/>
          <w:sz w:val="2"/>
          <w:szCs w:val="2"/>
        </w:rPr>
        <w:t>144F</w:t>
      </w:r>
      <w:r w:rsidR="00413811">
        <w:rPr>
          <w:rFonts w:ascii="ZWAdobeF" w:hAnsi="ZWAdobeF" w:cs="ZWAdobeF"/>
          <w:sz w:val="2"/>
          <w:szCs w:val="2"/>
        </w:rPr>
        <w:t>144F</w:t>
      </w:r>
      <w:r w:rsidR="002C327C">
        <w:rPr>
          <w:rFonts w:ascii="ZWAdobeF" w:hAnsi="ZWAdobeF" w:cs="ZWAdobeF"/>
          <w:sz w:val="2"/>
          <w:szCs w:val="2"/>
        </w:rPr>
        <w:t>144F</w:t>
      </w:r>
      <w:r w:rsidR="00D24A06">
        <w:rPr>
          <w:rFonts w:ascii="ZWAdobeF" w:hAnsi="ZWAdobeF" w:cs="ZWAdobeF"/>
          <w:sz w:val="2"/>
          <w:szCs w:val="2"/>
        </w:rPr>
        <w:t>144F</w:t>
      </w:r>
      <w:r w:rsidR="00E912DE" w:rsidRPr="0081652A">
        <w:rPr>
          <w:rStyle w:val="FootnoteReference"/>
          <w:rFonts w:asciiTheme="minorHAnsi" w:hAnsiTheme="minorHAnsi" w:cstheme="minorHAnsi"/>
        </w:rPr>
        <w:footnoteReference w:id="146"/>
      </w:r>
    </w:p>
    <w:p w14:paraId="5AC45B3D" w14:textId="3F5AF2EA" w:rsidR="00786136" w:rsidRPr="0081652A" w:rsidRDefault="001D265B" w:rsidP="00214D42">
      <w:pPr>
        <w:pStyle w:val="ListParagraph"/>
        <w:numPr>
          <w:ilvl w:val="0"/>
          <w:numId w:val="23"/>
        </w:numPr>
        <w:spacing w:after="100"/>
        <w:ind w:left="284"/>
        <w:contextualSpacing w:val="0"/>
        <w:rPr>
          <w:rFonts w:asciiTheme="minorHAnsi" w:hAnsiTheme="minorHAnsi" w:cstheme="minorHAnsi"/>
        </w:rPr>
      </w:pPr>
      <w:r w:rsidRPr="0081652A">
        <w:rPr>
          <w:rFonts w:asciiTheme="minorHAnsi" w:hAnsiTheme="minorHAnsi" w:cstheme="minorHAnsi"/>
          <w:b/>
        </w:rPr>
        <w:t>On-bill financing schemes</w:t>
      </w:r>
      <w:r w:rsidRPr="0081652A">
        <w:rPr>
          <w:rFonts w:asciiTheme="minorHAnsi" w:hAnsiTheme="minorHAnsi" w:cstheme="minorHAnsi"/>
        </w:rPr>
        <w:t xml:space="preserve"> have been identified as an effective way to address split incentives, particularly for low-income tenants.</w:t>
      </w:r>
      <w:r w:rsidR="00723239">
        <w:rPr>
          <w:rFonts w:ascii="ZWAdobeF" w:hAnsi="ZWAdobeF" w:cs="ZWAdobeF"/>
          <w:sz w:val="2"/>
          <w:szCs w:val="2"/>
        </w:rPr>
        <w:t>145F</w:t>
      </w:r>
      <w:r w:rsidR="00EE36E3">
        <w:rPr>
          <w:rFonts w:ascii="ZWAdobeF" w:hAnsi="ZWAdobeF" w:cs="ZWAdobeF"/>
          <w:sz w:val="2"/>
          <w:szCs w:val="2"/>
        </w:rPr>
        <w:t>145F</w:t>
      </w:r>
      <w:r w:rsidR="00122C48">
        <w:rPr>
          <w:rFonts w:ascii="ZWAdobeF" w:hAnsi="ZWAdobeF" w:cs="ZWAdobeF"/>
          <w:sz w:val="2"/>
          <w:szCs w:val="2"/>
        </w:rPr>
        <w:t>145F</w:t>
      </w:r>
      <w:r w:rsidR="00F73A23">
        <w:rPr>
          <w:rFonts w:ascii="ZWAdobeF" w:hAnsi="ZWAdobeF" w:cs="ZWAdobeF"/>
          <w:sz w:val="2"/>
          <w:szCs w:val="2"/>
        </w:rPr>
        <w:t>145F</w:t>
      </w:r>
      <w:r w:rsidR="00626378">
        <w:rPr>
          <w:rFonts w:ascii="ZWAdobeF" w:hAnsi="ZWAdobeF" w:cs="ZWAdobeF"/>
          <w:sz w:val="2"/>
          <w:szCs w:val="2"/>
        </w:rPr>
        <w:t>145F</w:t>
      </w:r>
      <w:r w:rsidR="00413811">
        <w:rPr>
          <w:rFonts w:ascii="ZWAdobeF" w:hAnsi="ZWAdobeF" w:cs="ZWAdobeF"/>
          <w:sz w:val="2"/>
          <w:szCs w:val="2"/>
        </w:rPr>
        <w:t>145F</w:t>
      </w:r>
      <w:r w:rsidR="002C327C">
        <w:rPr>
          <w:rFonts w:ascii="ZWAdobeF" w:hAnsi="ZWAdobeF" w:cs="ZWAdobeF"/>
          <w:sz w:val="2"/>
          <w:szCs w:val="2"/>
        </w:rPr>
        <w:t>145F</w:t>
      </w:r>
      <w:r w:rsidR="00D24A06">
        <w:rPr>
          <w:rFonts w:ascii="ZWAdobeF" w:hAnsi="ZWAdobeF" w:cs="ZWAdobeF"/>
          <w:sz w:val="2"/>
          <w:szCs w:val="2"/>
        </w:rPr>
        <w:t>145F</w:t>
      </w:r>
      <w:r w:rsidR="00531868" w:rsidRPr="0081652A">
        <w:rPr>
          <w:rStyle w:val="FootnoteReference"/>
          <w:rFonts w:asciiTheme="minorHAnsi" w:hAnsiTheme="minorHAnsi" w:cstheme="minorHAnsi"/>
        </w:rPr>
        <w:footnoteReference w:id="147"/>
      </w:r>
      <w:r w:rsidRPr="0081652A">
        <w:rPr>
          <w:rFonts w:asciiTheme="minorHAnsi" w:hAnsiTheme="minorHAnsi" w:cstheme="minorHAnsi"/>
        </w:rPr>
        <w:t xml:space="preserve"> These schemes provide incentives to both landlords and tenants by having a loan paid off through reduced electricity costs, with the remaining funds split between the landlord and tenant. The tenant's reduced electricity bills </w:t>
      </w:r>
      <w:r w:rsidRPr="0081652A">
        <w:rPr>
          <w:rFonts w:asciiTheme="minorHAnsi" w:hAnsiTheme="minorHAnsi" w:cstheme="minorHAnsi"/>
        </w:rPr>
        <w:lastRenderedPageBreak/>
        <w:t>contribute to paying off the loan, while the landlord receives a payment. This approach allows both parties to benefit from energy efficiency improvements.</w:t>
      </w:r>
    </w:p>
    <w:p w14:paraId="7C97ED0E" w14:textId="1F25D872" w:rsidR="00786136" w:rsidRPr="0081652A" w:rsidRDefault="001D265B" w:rsidP="00214D42">
      <w:pPr>
        <w:pStyle w:val="ListParagraph"/>
        <w:numPr>
          <w:ilvl w:val="0"/>
          <w:numId w:val="23"/>
        </w:numPr>
        <w:spacing w:after="100"/>
        <w:ind w:left="284"/>
        <w:contextualSpacing w:val="0"/>
        <w:rPr>
          <w:rFonts w:asciiTheme="minorHAnsi" w:hAnsiTheme="minorHAnsi" w:cstheme="minorHAnsi"/>
        </w:rPr>
      </w:pPr>
      <w:r w:rsidRPr="0081652A">
        <w:rPr>
          <w:rFonts w:asciiTheme="minorHAnsi" w:hAnsiTheme="minorHAnsi" w:cstheme="minorHAnsi"/>
          <w:b/>
        </w:rPr>
        <w:t>Minimum standards for rental properties and green leases</w:t>
      </w:r>
      <w:r w:rsidRPr="0081652A">
        <w:rPr>
          <w:rFonts w:asciiTheme="minorHAnsi" w:hAnsiTheme="minorHAnsi" w:cstheme="minorHAnsi"/>
        </w:rPr>
        <w:t xml:space="preserve"> are suggested as methods to overcome split incentive issues.</w:t>
      </w:r>
      <w:r w:rsidR="00723239">
        <w:rPr>
          <w:rFonts w:ascii="ZWAdobeF" w:hAnsi="ZWAdobeF" w:cs="ZWAdobeF"/>
          <w:sz w:val="2"/>
          <w:szCs w:val="2"/>
        </w:rPr>
        <w:t>146F</w:t>
      </w:r>
      <w:r w:rsidR="00EE36E3">
        <w:rPr>
          <w:rFonts w:ascii="ZWAdobeF" w:hAnsi="ZWAdobeF" w:cs="ZWAdobeF"/>
          <w:sz w:val="2"/>
          <w:szCs w:val="2"/>
        </w:rPr>
        <w:t>146F</w:t>
      </w:r>
      <w:r w:rsidR="00122C48">
        <w:rPr>
          <w:rFonts w:ascii="ZWAdobeF" w:hAnsi="ZWAdobeF" w:cs="ZWAdobeF"/>
          <w:sz w:val="2"/>
          <w:szCs w:val="2"/>
        </w:rPr>
        <w:t>146F</w:t>
      </w:r>
      <w:r w:rsidR="00F73A23">
        <w:rPr>
          <w:rFonts w:ascii="ZWAdobeF" w:hAnsi="ZWAdobeF" w:cs="ZWAdobeF"/>
          <w:sz w:val="2"/>
          <w:szCs w:val="2"/>
        </w:rPr>
        <w:t>146F</w:t>
      </w:r>
      <w:r w:rsidR="00626378">
        <w:rPr>
          <w:rFonts w:ascii="ZWAdobeF" w:hAnsi="ZWAdobeF" w:cs="ZWAdobeF"/>
          <w:sz w:val="2"/>
          <w:szCs w:val="2"/>
        </w:rPr>
        <w:t>146F</w:t>
      </w:r>
      <w:r w:rsidR="00413811">
        <w:rPr>
          <w:rFonts w:ascii="ZWAdobeF" w:hAnsi="ZWAdobeF" w:cs="ZWAdobeF"/>
          <w:sz w:val="2"/>
          <w:szCs w:val="2"/>
        </w:rPr>
        <w:t>146F</w:t>
      </w:r>
      <w:r w:rsidR="002C327C">
        <w:rPr>
          <w:rFonts w:ascii="ZWAdobeF" w:hAnsi="ZWAdobeF" w:cs="ZWAdobeF"/>
          <w:sz w:val="2"/>
          <w:szCs w:val="2"/>
        </w:rPr>
        <w:t>146F</w:t>
      </w:r>
      <w:r w:rsidR="00D24A06">
        <w:rPr>
          <w:rFonts w:ascii="ZWAdobeF" w:hAnsi="ZWAdobeF" w:cs="ZWAdobeF"/>
          <w:sz w:val="2"/>
          <w:szCs w:val="2"/>
        </w:rPr>
        <w:t>146F</w:t>
      </w:r>
      <w:r w:rsidR="00F11093" w:rsidRPr="0081652A">
        <w:rPr>
          <w:rStyle w:val="FootnoteReference"/>
          <w:rFonts w:asciiTheme="minorHAnsi" w:hAnsiTheme="minorHAnsi" w:cstheme="minorHAnsi"/>
        </w:rPr>
        <w:footnoteReference w:id="148"/>
      </w:r>
      <w:r w:rsidRPr="0081652A">
        <w:rPr>
          <w:rFonts w:asciiTheme="minorHAnsi" w:hAnsiTheme="minorHAnsi" w:cstheme="minorHAnsi"/>
        </w:rPr>
        <w:t xml:space="preserve"> Minimum standards can ensure that rental properties meet energy efficiency requirements, making it necessary for landlords to invest in improvements to lease their properties. Green leases can include provisions on the distribution of funding when energy efficiency upgrades are undertaken, allowing for contributions from saved energy costs by tenants.</w:t>
      </w:r>
    </w:p>
    <w:p w14:paraId="57A9DABE" w14:textId="48CD0725" w:rsidR="001D265B" w:rsidRPr="0081652A" w:rsidRDefault="001D265B" w:rsidP="00214D42">
      <w:pPr>
        <w:pStyle w:val="ListParagraph"/>
        <w:numPr>
          <w:ilvl w:val="0"/>
          <w:numId w:val="23"/>
        </w:numPr>
        <w:spacing w:after="100"/>
        <w:ind w:left="284"/>
        <w:contextualSpacing w:val="0"/>
        <w:rPr>
          <w:rFonts w:asciiTheme="minorHAnsi" w:hAnsiTheme="minorHAnsi" w:cstheme="minorHAnsi"/>
        </w:rPr>
      </w:pPr>
      <w:r w:rsidRPr="0081652A">
        <w:rPr>
          <w:rFonts w:asciiTheme="minorHAnsi" w:hAnsiTheme="minorHAnsi" w:cstheme="minorHAnsi"/>
          <w:b/>
        </w:rPr>
        <w:t>Individual metering and monitoring</w:t>
      </w:r>
      <w:r w:rsidRPr="0081652A">
        <w:rPr>
          <w:rFonts w:asciiTheme="minorHAnsi" w:hAnsiTheme="minorHAnsi" w:cstheme="minorHAnsi"/>
        </w:rPr>
        <w:t xml:space="preserve"> can help redistribute costs and benefits among tenants and landlords. For example, if heating costs are covered in the rent, tenants can receive compensation when less energy is consumed. Energy </w:t>
      </w:r>
      <w:r w:rsidR="00D32EA5" w:rsidRPr="0081652A">
        <w:rPr>
          <w:rFonts w:asciiTheme="minorHAnsi" w:hAnsiTheme="minorHAnsi" w:cstheme="minorHAnsi"/>
        </w:rPr>
        <w:t>labelling</w:t>
      </w:r>
      <w:r w:rsidRPr="0081652A">
        <w:rPr>
          <w:rFonts w:asciiTheme="minorHAnsi" w:hAnsiTheme="minorHAnsi" w:cstheme="minorHAnsi"/>
        </w:rPr>
        <w:t xml:space="preserve"> can also assist tenants in making more informed decisions during sale and lease transactions, addressing information asymmetry issues that can exacerbate split incentive </w:t>
      </w:r>
      <w:r w:rsidR="00D32EA5" w:rsidRPr="0081652A">
        <w:rPr>
          <w:rFonts w:asciiTheme="minorHAnsi" w:hAnsiTheme="minorHAnsi" w:cstheme="minorHAnsi"/>
        </w:rPr>
        <w:t>behaviour</w:t>
      </w:r>
      <w:r w:rsidRPr="0081652A">
        <w:rPr>
          <w:rFonts w:asciiTheme="minorHAnsi" w:hAnsiTheme="minorHAnsi" w:cstheme="minorHAnsi"/>
        </w:rPr>
        <w:t>.</w:t>
      </w:r>
    </w:p>
    <w:p w14:paraId="2A399F9D" w14:textId="09ED544D" w:rsidR="001D265B" w:rsidRPr="0081652A" w:rsidRDefault="00135934" w:rsidP="00214D42">
      <w:pPr>
        <w:pStyle w:val="ListParagraph"/>
        <w:numPr>
          <w:ilvl w:val="0"/>
          <w:numId w:val="23"/>
        </w:numPr>
        <w:spacing w:after="100"/>
        <w:ind w:left="284"/>
        <w:contextualSpacing w:val="0"/>
        <w:rPr>
          <w:rFonts w:asciiTheme="minorHAnsi" w:hAnsiTheme="minorHAnsi" w:cstheme="minorHAnsi"/>
        </w:rPr>
      </w:pPr>
      <w:r w:rsidRPr="0081652A">
        <w:rPr>
          <w:rFonts w:asciiTheme="minorHAnsi" w:hAnsiTheme="minorHAnsi" w:cstheme="minorHAnsi"/>
        </w:rPr>
        <w:t xml:space="preserve">Mandate </w:t>
      </w:r>
      <w:r w:rsidRPr="0081652A">
        <w:rPr>
          <w:rFonts w:asciiTheme="minorHAnsi" w:hAnsiTheme="minorHAnsi" w:cstheme="minorHAnsi"/>
          <w:b/>
        </w:rPr>
        <w:t>utilities companies</w:t>
      </w:r>
      <w:r w:rsidRPr="0081652A">
        <w:rPr>
          <w:rFonts w:asciiTheme="minorHAnsi" w:hAnsiTheme="minorHAnsi" w:cstheme="minorHAnsi"/>
        </w:rPr>
        <w:t xml:space="preserve"> </w:t>
      </w:r>
      <w:r w:rsidR="00461FF4" w:rsidRPr="0081652A">
        <w:rPr>
          <w:rFonts w:asciiTheme="minorHAnsi" w:hAnsiTheme="minorHAnsi" w:cstheme="minorHAnsi"/>
        </w:rPr>
        <w:t xml:space="preserve">to </w:t>
      </w:r>
      <w:r w:rsidRPr="0081652A">
        <w:rPr>
          <w:rFonts w:asciiTheme="minorHAnsi" w:hAnsiTheme="minorHAnsi" w:cstheme="minorHAnsi"/>
        </w:rPr>
        <w:t xml:space="preserve">incentivise </w:t>
      </w:r>
      <w:r w:rsidR="00461FF4" w:rsidRPr="0081652A">
        <w:rPr>
          <w:rFonts w:asciiTheme="minorHAnsi" w:hAnsiTheme="minorHAnsi" w:cstheme="minorHAnsi"/>
        </w:rPr>
        <w:t xml:space="preserve">reduced emissions. </w:t>
      </w:r>
      <w:r w:rsidR="001D265B" w:rsidRPr="0081652A">
        <w:rPr>
          <w:rFonts w:asciiTheme="minorHAnsi" w:hAnsiTheme="minorHAnsi" w:cstheme="minorHAnsi"/>
        </w:rPr>
        <w:t>In Washington State, utilities companies are involved in the Early Adopter Incentive Program, which requires compliance with the Clean Buildings standard. Utilities companies with more than 25,000 customers must participate in administering incentive payments to eligible building owners.</w:t>
      </w:r>
      <w:r w:rsidR="00723239">
        <w:rPr>
          <w:rFonts w:ascii="ZWAdobeF" w:hAnsi="ZWAdobeF" w:cs="ZWAdobeF"/>
          <w:sz w:val="2"/>
          <w:szCs w:val="2"/>
        </w:rPr>
        <w:t>147F</w:t>
      </w:r>
      <w:r w:rsidR="00EE36E3">
        <w:rPr>
          <w:rFonts w:ascii="ZWAdobeF" w:hAnsi="ZWAdobeF" w:cs="ZWAdobeF"/>
          <w:sz w:val="2"/>
          <w:szCs w:val="2"/>
        </w:rPr>
        <w:t>147F</w:t>
      </w:r>
      <w:r w:rsidR="00122C48">
        <w:rPr>
          <w:rFonts w:ascii="ZWAdobeF" w:hAnsi="ZWAdobeF" w:cs="ZWAdobeF"/>
          <w:sz w:val="2"/>
          <w:szCs w:val="2"/>
        </w:rPr>
        <w:t>147F</w:t>
      </w:r>
      <w:r w:rsidR="00F73A23">
        <w:rPr>
          <w:rFonts w:ascii="ZWAdobeF" w:hAnsi="ZWAdobeF" w:cs="ZWAdobeF"/>
          <w:sz w:val="2"/>
          <w:szCs w:val="2"/>
        </w:rPr>
        <w:t>147F</w:t>
      </w:r>
      <w:r w:rsidR="00626378">
        <w:rPr>
          <w:rFonts w:ascii="ZWAdobeF" w:hAnsi="ZWAdobeF" w:cs="ZWAdobeF"/>
          <w:sz w:val="2"/>
          <w:szCs w:val="2"/>
        </w:rPr>
        <w:t>147F</w:t>
      </w:r>
      <w:r w:rsidR="00413811">
        <w:rPr>
          <w:rFonts w:ascii="ZWAdobeF" w:hAnsi="ZWAdobeF" w:cs="ZWAdobeF"/>
          <w:sz w:val="2"/>
          <w:szCs w:val="2"/>
        </w:rPr>
        <w:t>147F</w:t>
      </w:r>
      <w:r w:rsidR="002C327C">
        <w:rPr>
          <w:rFonts w:ascii="ZWAdobeF" w:hAnsi="ZWAdobeF" w:cs="ZWAdobeF"/>
          <w:sz w:val="2"/>
          <w:szCs w:val="2"/>
        </w:rPr>
        <w:t>147F</w:t>
      </w:r>
      <w:r w:rsidR="00D24A06">
        <w:rPr>
          <w:rFonts w:ascii="ZWAdobeF" w:hAnsi="ZWAdobeF" w:cs="ZWAdobeF"/>
          <w:sz w:val="2"/>
          <w:szCs w:val="2"/>
        </w:rPr>
        <w:t>147F</w:t>
      </w:r>
      <w:r w:rsidR="00503D61" w:rsidRPr="0081652A">
        <w:rPr>
          <w:rStyle w:val="FootnoteReference"/>
          <w:rFonts w:asciiTheme="minorHAnsi" w:hAnsiTheme="minorHAnsi" w:cstheme="minorHAnsi"/>
        </w:rPr>
        <w:footnoteReference w:id="149"/>
      </w:r>
    </w:p>
    <w:p w14:paraId="21FBCD0D" w14:textId="59156AAE" w:rsidR="00831C8F" w:rsidRPr="0081652A" w:rsidRDefault="001D265B" w:rsidP="001D265B">
      <w:pPr>
        <w:rPr>
          <w:rFonts w:asciiTheme="minorHAnsi" w:hAnsiTheme="minorHAnsi" w:cstheme="minorHAnsi"/>
        </w:rPr>
      </w:pPr>
      <w:r w:rsidRPr="0081652A">
        <w:rPr>
          <w:rFonts w:asciiTheme="minorHAnsi" w:hAnsiTheme="minorHAnsi" w:cstheme="minorHAnsi"/>
        </w:rPr>
        <w:t>These examples highlight various approaches and strategies to address split incentives, encourage energy efficiency improvements, and provide financial incentives to overcome the upfront costs associated with upgrading buildings to meet energy performance standards</w:t>
      </w:r>
      <w:r w:rsidR="000359CB" w:rsidRPr="0081652A">
        <w:rPr>
          <w:rFonts w:asciiTheme="minorHAnsi" w:hAnsiTheme="minorHAnsi" w:cstheme="minorHAnsi"/>
        </w:rPr>
        <w:t xml:space="preserve">. </w:t>
      </w:r>
    </w:p>
    <w:p w14:paraId="2E1F06CA" w14:textId="38FA1AE6" w:rsidR="00870A44" w:rsidRPr="0081652A" w:rsidRDefault="003F1B30" w:rsidP="00214D42">
      <w:pPr>
        <w:pStyle w:val="Heading3"/>
        <w:rPr>
          <w:rFonts w:asciiTheme="minorHAnsi" w:hAnsiTheme="minorHAnsi" w:cstheme="minorHAnsi"/>
        </w:rPr>
      </w:pPr>
      <w:bookmarkStart w:id="186" w:name="_Toc133844043"/>
      <w:bookmarkStart w:id="187" w:name="_Toc136286388"/>
      <w:r w:rsidRPr="0081652A">
        <w:rPr>
          <w:rFonts w:asciiTheme="minorHAnsi" w:hAnsiTheme="minorHAnsi" w:cstheme="minorHAnsi"/>
        </w:rPr>
        <w:t>A</w:t>
      </w:r>
      <w:r w:rsidR="00BE1AAB" w:rsidRPr="0081652A">
        <w:rPr>
          <w:rFonts w:asciiTheme="minorHAnsi" w:hAnsiTheme="minorHAnsi" w:cstheme="minorHAnsi"/>
        </w:rPr>
        <w:t xml:space="preserve">dministration </w:t>
      </w:r>
      <w:r w:rsidR="00870A44" w:rsidRPr="0081652A">
        <w:rPr>
          <w:rFonts w:asciiTheme="minorHAnsi" w:hAnsiTheme="minorHAnsi" w:cstheme="minorHAnsi"/>
        </w:rPr>
        <w:t>Costs</w:t>
      </w:r>
      <w:bookmarkEnd w:id="175"/>
      <w:bookmarkEnd w:id="176"/>
      <w:bookmarkEnd w:id="186"/>
      <w:bookmarkEnd w:id="187"/>
    </w:p>
    <w:p w14:paraId="3CDC30F2" w14:textId="7BC807C7" w:rsidR="003C45AB" w:rsidRPr="0081652A" w:rsidRDefault="00E113CA" w:rsidP="001A2C42">
      <w:pPr>
        <w:pStyle w:val="BodyText"/>
        <w:jc w:val="both"/>
        <w:rPr>
          <w:rFonts w:asciiTheme="minorHAnsi" w:hAnsiTheme="minorHAnsi" w:cstheme="minorHAnsi"/>
        </w:rPr>
      </w:pPr>
      <w:r w:rsidRPr="0081652A">
        <w:rPr>
          <w:rFonts w:asciiTheme="minorHAnsi" w:hAnsiTheme="minorHAnsi" w:cstheme="minorHAnsi"/>
        </w:rPr>
        <w:t>E</w:t>
      </w:r>
      <w:r w:rsidR="003A65A6" w:rsidRPr="0081652A">
        <w:rPr>
          <w:rFonts w:asciiTheme="minorHAnsi" w:hAnsiTheme="minorHAnsi" w:cstheme="minorHAnsi"/>
        </w:rPr>
        <w:t xml:space="preserve">very </w:t>
      </w:r>
      <w:r w:rsidRPr="0081652A">
        <w:rPr>
          <w:rFonts w:asciiTheme="minorHAnsi" w:hAnsiTheme="minorHAnsi" w:cstheme="minorHAnsi"/>
        </w:rPr>
        <w:t xml:space="preserve">government-driven policy or mechanism requires </w:t>
      </w:r>
      <w:r w:rsidR="00A72636" w:rsidRPr="0081652A">
        <w:rPr>
          <w:rFonts w:asciiTheme="minorHAnsi" w:hAnsiTheme="minorHAnsi" w:cstheme="minorHAnsi"/>
        </w:rPr>
        <w:t xml:space="preserve">resourcing from government agency(s). This includes both financial and human resourcing. </w:t>
      </w:r>
      <w:r w:rsidR="00B73C2C" w:rsidRPr="0081652A">
        <w:rPr>
          <w:rFonts w:asciiTheme="minorHAnsi" w:hAnsiTheme="minorHAnsi" w:cstheme="minorHAnsi"/>
        </w:rPr>
        <w:t xml:space="preserve">It is challenging to determine the exact </w:t>
      </w:r>
      <w:r w:rsidR="00EE3B32" w:rsidRPr="0081652A">
        <w:rPr>
          <w:rFonts w:asciiTheme="minorHAnsi" w:hAnsiTheme="minorHAnsi" w:cstheme="minorHAnsi"/>
        </w:rPr>
        <w:t xml:space="preserve">resourcing requirements </w:t>
      </w:r>
      <w:r w:rsidR="000417F8" w:rsidRPr="0081652A">
        <w:rPr>
          <w:rFonts w:asciiTheme="minorHAnsi" w:hAnsiTheme="minorHAnsi" w:cstheme="minorHAnsi"/>
        </w:rPr>
        <w:t xml:space="preserve">for each program. </w:t>
      </w:r>
      <w:r w:rsidR="00CA2238" w:rsidRPr="0081652A">
        <w:rPr>
          <w:rFonts w:asciiTheme="minorHAnsi" w:hAnsiTheme="minorHAnsi" w:cstheme="minorHAnsi"/>
        </w:rPr>
        <w:t xml:space="preserve">Fines and fees can be used to recoup some of the costs involved in program management. </w:t>
      </w:r>
      <w:r w:rsidR="000417F8" w:rsidRPr="0081652A">
        <w:rPr>
          <w:rFonts w:asciiTheme="minorHAnsi" w:hAnsiTheme="minorHAnsi" w:cstheme="minorHAnsi"/>
        </w:rPr>
        <w:t xml:space="preserve">The </w:t>
      </w:r>
      <w:r w:rsidR="003C45AB" w:rsidRPr="0081652A">
        <w:rPr>
          <w:rFonts w:asciiTheme="minorHAnsi" w:hAnsiTheme="minorHAnsi" w:cstheme="minorHAnsi"/>
        </w:rPr>
        <w:t>UK</w:t>
      </w:r>
      <w:r w:rsidR="00B767B5" w:rsidRPr="0081652A">
        <w:rPr>
          <w:rFonts w:asciiTheme="minorHAnsi" w:hAnsiTheme="minorHAnsi" w:cstheme="minorHAnsi"/>
        </w:rPr>
        <w:t xml:space="preserve"> Energy Savings Opportunity Scheme (</w:t>
      </w:r>
      <w:r w:rsidR="003C45AB" w:rsidRPr="0081652A">
        <w:rPr>
          <w:rFonts w:asciiTheme="minorHAnsi" w:hAnsiTheme="minorHAnsi" w:cstheme="minorHAnsi"/>
        </w:rPr>
        <w:t>ESOS</w:t>
      </w:r>
      <w:r w:rsidR="00B767B5" w:rsidRPr="0081652A">
        <w:rPr>
          <w:rFonts w:asciiTheme="minorHAnsi" w:hAnsiTheme="minorHAnsi" w:cstheme="minorHAnsi"/>
        </w:rPr>
        <w:t>)</w:t>
      </w:r>
      <w:r w:rsidR="003C45AB" w:rsidRPr="0081652A">
        <w:rPr>
          <w:rFonts w:asciiTheme="minorHAnsi" w:hAnsiTheme="minorHAnsi" w:cstheme="minorHAnsi"/>
        </w:rPr>
        <w:t xml:space="preserve"> </w:t>
      </w:r>
      <w:r w:rsidR="000417F8" w:rsidRPr="0081652A">
        <w:rPr>
          <w:rFonts w:asciiTheme="minorHAnsi" w:hAnsiTheme="minorHAnsi" w:cstheme="minorHAnsi"/>
        </w:rPr>
        <w:t>program c</w:t>
      </w:r>
      <w:r w:rsidR="003C45AB" w:rsidRPr="0081652A">
        <w:rPr>
          <w:rFonts w:asciiTheme="minorHAnsi" w:hAnsiTheme="minorHAnsi" w:cstheme="minorHAnsi"/>
        </w:rPr>
        <w:t>overs 11,900 UK businesses</w:t>
      </w:r>
      <w:r w:rsidR="000417F8" w:rsidRPr="0081652A">
        <w:rPr>
          <w:rFonts w:asciiTheme="minorHAnsi" w:hAnsiTheme="minorHAnsi" w:cstheme="minorHAnsi"/>
        </w:rPr>
        <w:t xml:space="preserve"> and is administered by the</w:t>
      </w:r>
      <w:r w:rsidR="003C45AB" w:rsidRPr="0081652A">
        <w:rPr>
          <w:rFonts w:asciiTheme="minorHAnsi" w:hAnsiTheme="minorHAnsi" w:cstheme="minorHAnsi"/>
        </w:rPr>
        <w:t xml:space="preserve"> Environment Agency.</w:t>
      </w:r>
      <w:r w:rsidR="000417F8" w:rsidRPr="0081652A">
        <w:rPr>
          <w:rFonts w:asciiTheme="minorHAnsi" w:hAnsiTheme="minorHAnsi" w:cstheme="minorHAnsi"/>
        </w:rPr>
        <w:t xml:space="preserve"> This would take significant resourcing to manage</w:t>
      </w:r>
      <w:r w:rsidR="007B53E5" w:rsidRPr="0081652A">
        <w:rPr>
          <w:rFonts w:asciiTheme="minorHAnsi" w:hAnsiTheme="minorHAnsi" w:cstheme="minorHAnsi"/>
        </w:rPr>
        <w:t>. Costs can be recovered though - f</w:t>
      </w:r>
      <w:r w:rsidR="003C45AB" w:rsidRPr="0081652A">
        <w:rPr>
          <w:rFonts w:asciiTheme="minorHAnsi" w:hAnsiTheme="minorHAnsi" w:cstheme="minorHAnsi"/>
        </w:rPr>
        <w:t>or Phase 2</w:t>
      </w:r>
      <w:r w:rsidR="007B53E5" w:rsidRPr="0081652A">
        <w:rPr>
          <w:rFonts w:asciiTheme="minorHAnsi" w:hAnsiTheme="minorHAnsi" w:cstheme="minorHAnsi"/>
        </w:rPr>
        <w:t xml:space="preserve"> of this program</w:t>
      </w:r>
      <w:r w:rsidR="003C45AB" w:rsidRPr="0081652A">
        <w:rPr>
          <w:rFonts w:asciiTheme="minorHAnsi" w:hAnsiTheme="minorHAnsi" w:cstheme="minorHAnsi"/>
        </w:rPr>
        <w:t>, the Environment Agency has issued 82 civil penalties amounting to £1.3M.</w:t>
      </w:r>
      <w:r w:rsidR="007B53E5" w:rsidRPr="0081652A">
        <w:rPr>
          <w:rFonts w:asciiTheme="minorHAnsi" w:hAnsiTheme="minorHAnsi" w:cstheme="minorHAnsi"/>
        </w:rPr>
        <w:t xml:space="preserve"> In France, the French </w:t>
      </w:r>
      <w:r w:rsidR="00D10055" w:rsidRPr="0081652A">
        <w:rPr>
          <w:rFonts w:asciiTheme="minorHAnsi" w:hAnsiTheme="minorHAnsi" w:cstheme="minorHAnsi"/>
        </w:rPr>
        <w:t>Environment and Energy Management Agency runs</w:t>
      </w:r>
      <w:r w:rsidR="00EB6651" w:rsidRPr="0081652A">
        <w:rPr>
          <w:rFonts w:asciiTheme="minorHAnsi" w:hAnsiTheme="minorHAnsi" w:cstheme="minorHAnsi"/>
        </w:rPr>
        <w:t xml:space="preserve"> the online tool used to track building energy efficiencies (</w:t>
      </w:r>
      <w:proofErr w:type="spellStart"/>
      <w:r w:rsidR="007F15A3" w:rsidRPr="0081652A">
        <w:rPr>
          <w:rFonts w:asciiTheme="minorHAnsi" w:hAnsiTheme="minorHAnsi" w:cstheme="minorHAnsi"/>
        </w:rPr>
        <w:t>OPERAT</w:t>
      </w:r>
      <w:proofErr w:type="spellEnd"/>
      <w:r w:rsidR="00EB6651" w:rsidRPr="0081652A">
        <w:rPr>
          <w:rFonts w:asciiTheme="minorHAnsi" w:hAnsiTheme="minorHAnsi" w:cstheme="minorHAnsi"/>
        </w:rPr>
        <w:t>)</w:t>
      </w:r>
      <w:r w:rsidR="00197DF4" w:rsidRPr="0081652A">
        <w:rPr>
          <w:rFonts w:asciiTheme="minorHAnsi" w:hAnsiTheme="minorHAnsi" w:cstheme="minorHAnsi"/>
        </w:rPr>
        <w:t>, which would take technical expertise</w:t>
      </w:r>
      <w:r w:rsidR="00EB6651" w:rsidRPr="0081652A">
        <w:rPr>
          <w:rFonts w:asciiTheme="minorHAnsi" w:hAnsiTheme="minorHAnsi" w:cstheme="minorHAnsi"/>
        </w:rPr>
        <w:t xml:space="preserve">. </w:t>
      </w:r>
    </w:p>
    <w:p w14:paraId="5AAC67CD" w14:textId="081628DB" w:rsidR="00016C22" w:rsidRPr="00480F0A" w:rsidRDefault="0034454B" w:rsidP="00C16B52">
      <w:pPr>
        <w:pStyle w:val="BodyText"/>
        <w:jc w:val="both"/>
        <w:rPr>
          <w:rFonts w:asciiTheme="minorHAnsi" w:hAnsiTheme="minorHAnsi" w:cstheme="minorHAnsi"/>
          <w:color w:val="auto"/>
          <w:sz w:val="16"/>
          <w:szCs w:val="16"/>
          <w:vertAlign w:val="superscript"/>
        </w:rPr>
      </w:pPr>
      <w:r w:rsidRPr="0081652A">
        <w:rPr>
          <w:rFonts w:asciiTheme="minorHAnsi" w:hAnsiTheme="minorHAnsi" w:cstheme="minorHAnsi"/>
        </w:rPr>
        <w:t>Other resourcing requirements include providing training</w:t>
      </w:r>
      <w:r w:rsidR="00936CA7" w:rsidRPr="0081652A">
        <w:rPr>
          <w:rFonts w:asciiTheme="minorHAnsi" w:hAnsiTheme="minorHAnsi" w:cstheme="minorHAnsi"/>
        </w:rPr>
        <w:t xml:space="preserve">, </w:t>
      </w:r>
      <w:r w:rsidR="00F4768D" w:rsidRPr="0081652A">
        <w:rPr>
          <w:rFonts w:asciiTheme="minorHAnsi" w:hAnsiTheme="minorHAnsi" w:cstheme="minorHAnsi"/>
        </w:rPr>
        <w:t>documentation to support programs</w:t>
      </w:r>
      <w:r w:rsidR="00F90ACC" w:rsidRPr="0081652A">
        <w:rPr>
          <w:rFonts w:asciiTheme="minorHAnsi" w:hAnsiTheme="minorHAnsi" w:cstheme="minorHAnsi"/>
        </w:rPr>
        <w:t xml:space="preserve">, </w:t>
      </w:r>
      <w:proofErr w:type="gramStart"/>
      <w:r w:rsidR="00F90ACC" w:rsidRPr="0081652A">
        <w:rPr>
          <w:rFonts w:asciiTheme="minorHAnsi" w:hAnsiTheme="minorHAnsi" w:cstheme="minorHAnsi"/>
        </w:rPr>
        <w:t>toolkits</w:t>
      </w:r>
      <w:proofErr w:type="gramEnd"/>
      <w:r w:rsidR="00936CA7" w:rsidRPr="0081652A">
        <w:rPr>
          <w:rFonts w:asciiTheme="minorHAnsi" w:hAnsiTheme="minorHAnsi" w:cstheme="minorHAnsi"/>
        </w:rPr>
        <w:t xml:space="preserve"> </w:t>
      </w:r>
      <w:r w:rsidR="00041926" w:rsidRPr="0081652A">
        <w:rPr>
          <w:rFonts w:asciiTheme="minorHAnsi" w:hAnsiTheme="minorHAnsi" w:cstheme="minorHAnsi"/>
        </w:rPr>
        <w:t>and certification</w:t>
      </w:r>
      <w:r w:rsidR="00C16B52" w:rsidRPr="0081652A">
        <w:rPr>
          <w:rFonts w:asciiTheme="minorHAnsi" w:hAnsiTheme="minorHAnsi" w:cstheme="minorHAnsi"/>
        </w:rPr>
        <w:t>. In the US</w:t>
      </w:r>
      <w:r w:rsidR="00F24F9A" w:rsidRPr="0081652A">
        <w:rPr>
          <w:rFonts w:asciiTheme="minorHAnsi" w:hAnsiTheme="minorHAnsi" w:cstheme="minorHAnsi"/>
        </w:rPr>
        <w:t xml:space="preserve"> for example</w:t>
      </w:r>
      <w:r w:rsidR="00C16B52" w:rsidRPr="0081652A">
        <w:rPr>
          <w:rFonts w:asciiTheme="minorHAnsi" w:hAnsiTheme="minorHAnsi" w:cstheme="minorHAnsi"/>
        </w:rPr>
        <w:t>, Washington DC government will develop a green building workforce by training-built environment professionals and building operations staff in the latest green skills</w:t>
      </w:r>
      <w:r w:rsidR="00723239">
        <w:rPr>
          <w:rFonts w:ascii="ZWAdobeF" w:hAnsi="ZWAdobeF" w:cs="ZWAdobeF"/>
          <w:color w:val="auto"/>
          <w:sz w:val="2"/>
          <w:szCs w:val="2"/>
        </w:rPr>
        <w:t>148F</w:t>
      </w:r>
      <w:r w:rsidR="00EE36E3">
        <w:rPr>
          <w:rFonts w:ascii="ZWAdobeF" w:hAnsi="ZWAdobeF" w:cs="ZWAdobeF"/>
          <w:color w:val="auto"/>
          <w:sz w:val="2"/>
          <w:szCs w:val="2"/>
        </w:rPr>
        <w:t>148F</w:t>
      </w:r>
      <w:r w:rsidR="00122C48">
        <w:rPr>
          <w:rFonts w:ascii="ZWAdobeF" w:hAnsi="ZWAdobeF" w:cs="ZWAdobeF"/>
          <w:color w:val="auto"/>
          <w:sz w:val="2"/>
          <w:szCs w:val="2"/>
        </w:rPr>
        <w:t>148F</w:t>
      </w:r>
      <w:r w:rsidR="00F73A23">
        <w:rPr>
          <w:rFonts w:ascii="ZWAdobeF" w:hAnsi="ZWAdobeF" w:cs="ZWAdobeF"/>
          <w:color w:val="auto"/>
          <w:sz w:val="2"/>
          <w:szCs w:val="2"/>
        </w:rPr>
        <w:t>148F</w:t>
      </w:r>
      <w:r w:rsidR="00626378">
        <w:rPr>
          <w:rFonts w:ascii="ZWAdobeF" w:hAnsi="ZWAdobeF" w:cs="ZWAdobeF"/>
          <w:color w:val="auto"/>
          <w:sz w:val="2"/>
          <w:szCs w:val="2"/>
        </w:rPr>
        <w:t>148F</w:t>
      </w:r>
      <w:r w:rsidR="00413811">
        <w:rPr>
          <w:rFonts w:ascii="ZWAdobeF" w:hAnsi="ZWAdobeF" w:cs="ZWAdobeF"/>
          <w:color w:val="auto"/>
          <w:sz w:val="2"/>
          <w:szCs w:val="2"/>
        </w:rPr>
        <w:t>148F</w:t>
      </w:r>
      <w:r w:rsidR="002C327C">
        <w:rPr>
          <w:rFonts w:ascii="ZWAdobeF" w:hAnsi="ZWAdobeF" w:cs="ZWAdobeF"/>
          <w:color w:val="auto"/>
          <w:sz w:val="2"/>
          <w:szCs w:val="2"/>
        </w:rPr>
        <w:t>148F</w:t>
      </w:r>
      <w:r w:rsidR="00D24A06">
        <w:rPr>
          <w:rFonts w:ascii="ZWAdobeF" w:hAnsi="ZWAdobeF" w:cs="ZWAdobeF"/>
          <w:color w:val="auto"/>
          <w:sz w:val="2"/>
          <w:szCs w:val="2"/>
        </w:rPr>
        <w:t>148F</w:t>
      </w:r>
      <w:r w:rsidR="00C16B52" w:rsidRPr="0081652A">
        <w:rPr>
          <w:rStyle w:val="FootnoteReference"/>
          <w:rFonts w:asciiTheme="minorHAnsi" w:hAnsiTheme="minorHAnsi" w:cstheme="minorHAnsi"/>
        </w:rPr>
        <w:footnoteReference w:id="150"/>
      </w:r>
      <w:r w:rsidR="00C16B52" w:rsidRPr="0081652A">
        <w:rPr>
          <w:rFonts w:asciiTheme="minorHAnsi" w:hAnsiTheme="minorHAnsi" w:cstheme="minorHAnsi"/>
        </w:rPr>
        <w:t xml:space="preserve">, </w:t>
      </w:r>
      <w:r w:rsidR="004F0F45" w:rsidRPr="0081652A">
        <w:rPr>
          <w:rFonts w:asciiTheme="minorHAnsi" w:hAnsiTheme="minorHAnsi" w:cstheme="minorHAnsi"/>
        </w:rPr>
        <w:t xml:space="preserve">Washington </w:t>
      </w:r>
      <w:r w:rsidR="34C6B929" w:rsidRPr="0081652A">
        <w:rPr>
          <w:rFonts w:asciiTheme="minorHAnsi" w:hAnsiTheme="minorHAnsi" w:cstheme="minorHAnsi"/>
        </w:rPr>
        <w:t>S</w:t>
      </w:r>
      <w:r w:rsidR="004F0F45" w:rsidRPr="0081652A">
        <w:rPr>
          <w:rFonts w:asciiTheme="minorHAnsi" w:hAnsiTheme="minorHAnsi" w:cstheme="minorHAnsi"/>
        </w:rPr>
        <w:t xml:space="preserve">tate </w:t>
      </w:r>
      <w:r w:rsidR="004D2F99" w:rsidRPr="0081652A">
        <w:rPr>
          <w:rFonts w:asciiTheme="minorHAnsi" w:hAnsiTheme="minorHAnsi" w:cstheme="minorHAnsi"/>
        </w:rPr>
        <w:t xml:space="preserve">has developed a detailed </w:t>
      </w:r>
      <w:r w:rsidR="00764006" w:rsidRPr="0081652A">
        <w:rPr>
          <w:rFonts w:asciiTheme="minorHAnsi" w:hAnsiTheme="minorHAnsi" w:cstheme="minorHAnsi"/>
        </w:rPr>
        <w:t>Program Guidebook</w:t>
      </w:r>
      <w:r w:rsidR="00723239">
        <w:rPr>
          <w:rFonts w:ascii="ZWAdobeF" w:hAnsi="ZWAdobeF" w:cs="ZWAdobeF"/>
          <w:color w:val="auto"/>
          <w:sz w:val="2"/>
          <w:szCs w:val="2"/>
        </w:rPr>
        <w:t>149F</w:t>
      </w:r>
      <w:r w:rsidR="00EE36E3">
        <w:rPr>
          <w:rFonts w:ascii="ZWAdobeF" w:hAnsi="ZWAdobeF" w:cs="ZWAdobeF"/>
          <w:color w:val="auto"/>
          <w:sz w:val="2"/>
          <w:szCs w:val="2"/>
        </w:rPr>
        <w:t>149F</w:t>
      </w:r>
      <w:r w:rsidR="00122C48">
        <w:rPr>
          <w:rFonts w:ascii="ZWAdobeF" w:hAnsi="ZWAdobeF" w:cs="ZWAdobeF"/>
          <w:color w:val="auto"/>
          <w:sz w:val="2"/>
          <w:szCs w:val="2"/>
        </w:rPr>
        <w:t>149F</w:t>
      </w:r>
      <w:r w:rsidR="00F73A23">
        <w:rPr>
          <w:rFonts w:ascii="ZWAdobeF" w:hAnsi="ZWAdobeF" w:cs="ZWAdobeF"/>
          <w:color w:val="auto"/>
          <w:sz w:val="2"/>
          <w:szCs w:val="2"/>
        </w:rPr>
        <w:t>149F</w:t>
      </w:r>
      <w:r w:rsidR="00626378">
        <w:rPr>
          <w:rFonts w:ascii="ZWAdobeF" w:hAnsi="ZWAdobeF" w:cs="ZWAdobeF"/>
          <w:color w:val="auto"/>
          <w:sz w:val="2"/>
          <w:szCs w:val="2"/>
        </w:rPr>
        <w:t>149F</w:t>
      </w:r>
      <w:r w:rsidR="00413811">
        <w:rPr>
          <w:rFonts w:ascii="ZWAdobeF" w:hAnsi="ZWAdobeF" w:cs="ZWAdobeF"/>
          <w:color w:val="auto"/>
          <w:sz w:val="2"/>
          <w:szCs w:val="2"/>
        </w:rPr>
        <w:t>149F</w:t>
      </w:r>
      <w:r w:rsidR="002C327C">
        <w:rPr>
          <w:rFonts w:ascii="ZWAdobeF" w:hAnsi="ZWAdobeF" w:cs="ZWAdobeF"/>
          <w:color w:val="auto"/>
          <w:sz w:val="2"/>
          <w:szCs w:val="2"/>
        </w:rPr>
        <w:t>149F</w:t>
      </w:r>
      <w:r w:rsidR="00D24A06">
        <w:rPr>
          <w:rFonts w:ascii="ZWAdobeF" w:hAnsi="ZWAdobeF" w:cs="ZWAdobeF"/>
          <w:color w:val="auto"/>
          <w:sz w:val="2"/>
          <w:szCs w:val="2"/>
        </w:rPr>
        <w:t>149F</w:t>
      </w:r>
      <w:r w:rsidR="004D2F99" w:rsidRPr="0081652A">
        <w:rPr>
          <w:rStyle w:val="FootnoteReference"/>
          <w:rFonts w:asciiTheme="minorHAnsi" w:hAnsiTheme="minorHAnsi" w:cstheme="minorHAnsi"/>
        </w:rPr>
        <w:footnoteReference w:id="151"/>
      </w:r>
      <w:r w:rsidR="00C16B52" w:rsidRPr="0081652A">
        <w:rPr>
          <w:rFonts w:asciiTheme="minorHAnsi" w:hAnsiTheme="minorHAnsi" w:cstheme="minorHAnsi"/>
          <w:color w:val="auto"/>
          <w:sz w:val="2"/>
          <w:szCs w:val="2"/>
        </w:rPr>
        <w:t xml:space="preserve">, </w:t>
      </w:r>
      <w:r w:rsidR="00C16B52" w:rsidRPr="0081652A">
        <w:rPr>
          <w:rFonts w:asciiTheme="minorHAnsi" w:hAnsiTheme="minorHAnsi" w:cstheme="minorHAnsi"/>
        </w:rPr>
        <w:t>, in New York, outreach, education, and assistance programs are being created to assist owners of covered buildings</w:t>
      </w:r>
      <w:r w:rsidR="001F69C4" w:rsidRPr="0081652A">
        <w:rPr>
          <w:rFonts w:asciiTheme="minorHAnsi" w:hAnsiTheme="minorHAnsi" w:cstheme="minorHAnsi"/>
        </w:rPr>
        <w:t xml:space="preserve"> </w:t>
      </w:r>
      <w:r w:rsidR="007E2367" w:rsidRPr="0081652A">
        <w:rPr>
          <w:rFonts w:asciiTheme="minorHAnsi" w:hAnsiTheme="minorHAnsi" w:cstheme="minorHAnsi"/>
        </w:rPr>
        <w:t xml:space="preserve">and </w:t>
      </w:r>
      <w:r w:rsidR="001F69C4" w:rsidRPr="0081652A">
        <w:rPr>
          <w:rFonts w:asciiTheme="minorHAnsi" w:hAnsiTheme="minorHAnsi" w:cstheme="minorHAnsi"/>
        </w:rPr>
        <w:t>t</w:t>
      </w:r>
      <w:r w:rsidR="007E2367" w:rsidRPr="0081652A">
        <w:rPr>
          <w:rFonts w:asciiTheme="minorHAnsi" w:hAnsiTheme="minorHAnsi" w:cstheme="minorHAnsi"/>
        </w:rPr>
        <w:t>he Act requires the government to conduct a feasibility study for a citywide GHG trading program</w:t>
      </w:r>
      <w:r w:rsidR="00723239">
        <w:rPr>
          <w:rFonts w:ascii="ZWAdobeF" w:hAnsi="ZWAdobeF" w:cs="ZWAdobeF"/>
          <w:color w:val="auto"/>
          <w:sz w:val="2"/>
          <w:szCs w:val="2"/>
        </w:rPr>
        <w:t>150F</w:t>
      </w:r>
      <w:r w:rsidR="00EE36E3">
        <w:rPr>
          <w:rFonts w:ascii="ZWAdobeF" w:hAnsi="ZWAdobeF" w:cs="ZWAdobeF"/>
          <w:color w:val="auto"/>
          <w:sz w:val="2"/>
          <w:szCs w:val="2"/>
        </w:rPr>
        <w:t>150F</w:t>
      </w:r>
      <w:r w:rsidR="00122C48">
        <w:rPr>
          <w:rFonts w:ascii="ZWAdobeF" w:hAnsi="ZWAdobeF" w:cs="ZWAdobeF"/>
          <w:color w:val="auto"/>
          <w:sz w:val="2"/>
          <w:szCs w:val="2"/>
        </w:rPr>
        <w:t>150F</w:t>
      </w:r>
      <w:r w:rsidR="00F73A23">
        <w:rPr>
          <w:rFonts w:ascii="ZWAdobeF" w:hAnsi="ZWAdobeF" w:cs="ZWAdobeF"/>
          <w:color w:val="auto"/>
          <w:sz w:val="2"/>
          <w:szCs w:val="2"/>
        </w:rPr>
        <w:t>150F</w:t>
      </w:r>
      <w:r w:rsidR="00626378">
        <w:rPr>
          <w:rFonts w:ascii="ZWAdobeF" w:hAnsi="ZWAdobeF" w:cs="ZWAdobeF"/>
          <w:color w:val="auto"/>
          <w:sz w:val="2"/>
          <w:szCs w:val="2"/>
        </w:rPr>
        <w:t>150F</w:t>
      </w:r>
      <w:r w:rsidR="00413811">
        <w:rPr>
          <w:rFonts w:ascii="ZWAdobeF" w:hAnsi="ZWAdobeF" w:cs="ZWAdobeF"/>
          <w:color w:val="auto"/>
          <w:sz w:val="2"/>
          <w:szCs w:val="2"/>
        </w:rPr>
        <w:t>150F</w:t>
      </w:r>
      <w:r w:rsidR="002C327C">
        <w:rPr>
          <w:rFonts w:ascii="ZWAdobeF" w:hAnsi="ZWAdobeF" w:cs="ZWAdobeF"/>
          <w:color w:val="auto"/>
          <w:sz w:val="2"/>
          <w:szCs w:val="2"/>
        </w:rPr>
        <w:t>150F</w:t>
      </w:r>
      <w:r w:rsidR="00D24A06">
        <w:rPr>
          <w:rFonts w:ascii="ZWAdobeF" w:hAnsi="ZWAdobeF" w:cs="ZWAdobeF"/>
          <w:color w:val="auto"/>
          <w:sz w:val="2"/>
          <w:szCs w:val="2"/>
        </w:rPr>
        <w:t>150F</w:t>
      </w:r>
      <w:r w:rsidR="00C16B52" w:rsidRPr="0081652A">
        <w:rPr>
          <w:rStyle w:val="FootnoteReference"/>
          <w:rFonts w:asciiTheme="minorHAnsi" w:hAnsiTheme="minorHAnsi" w:cstheme="minorHAnsi"/>
        </w:rPr>
        <w:footnoteReference w:id="152"/>
      </w:r>
      <w:r w:rsidR="00A5646A" w:rsidRPr="0081652A">
        <w:rPr>
          <w:rFonts w:asciiTheme="minorHAnsi" w:hAnsiTheme="minorHAnsi" w:cstheme="minorHAnsi"/>
        </w:rPr>
        <w:t xml:space="preserve">, </w:t>
      </w:r>
      <w:r w:rsidR="00C16B52" w:rsidRPr="0081652A">
        <w:rPr>
          <w:rFonts w:asciiTheme="minorHAnsi" w:hAnsiTheme="minorHAnsi" w:cstheme="minorHAnsi"/>
        </w:rPr>
        <w:t>and t</w:t>
      </w:r>
      <w:r w:rsidR="00F90ACC" w:rsidRPr="0081652A">
        <w:rPr>
          <w:rFonts w:asciiTheme="minorHAnsi" w:hAnsiTheme="minorHAnsi" w:cstheme="minorHAnsi"/>
        </w:rPr>
        <w:t xml:space="preserve">he US Department of Energy </w:t>
      </w:r>
      <w:r w:rsidR="000A4BF3" w:rsidRPr="0081652A">
        <w:rPr>
          <w:rFonts w:asciiTheme="minorHAnsi" w:hAnsiTheme="minorHAnsi" w:cstheme="minorHAnsi"/>
        </w:rPr>
        <w:t xml:space="preserve">has a toolkit for Commercial Property Assessed Clean Energy </w:t>
      </w:r>
      <w:r w:rsidR="00473DB6" w:rsidRPr="0081652A">
        <w:rPr>
          <w:rFonts w:asciiTheme="minorHAnsi" w:hAnsiTheme="minorHAnsi" w:cstheme="minorHAnsi"/>
        </w:rPr>
        <w:t xml:space="preserve">program </w:t>
      </w:r>
      <w:r w:rsidR="000A4BF3" w:rsidRPr="0081652A">
        <w:rPr>
          <w:rFonts w:asciiTheme="minorHAnsi" w:hAnsiTheme="minorHAnsi" w:cstheme="minorHAnsi"/>
        </w:rPr>
        <w:t>(C-PACE</w:t>
      </w:r>
      <w:r w:rsidR="00473DB6" w:rsidRPr="0081652A">
        <w:rPr>
          <w:rFonts w:asciiTheme="minorHAnsi" w:hAnsiTheme="minorHAnsi" w:cstheme="minorHAnsi"/>
        </w:rPr>
        <w:t>).</w:t>
      </w:r>
      <w:r w:rsidR="00DF28A0" w:rsidRPr="0081652A">
        <w:rPr>
          <w:rFonts w:asciiTheme="minorHAnsi" w:hAnsiTheme="minorHAnsi" w:cstheme="minorHAnsi"/>
        </w:rPr>
        <w:t xml:space="preserve"> </w:t>
      </w:r>
      <w:r w:rsidR="004A1E34" w:rsidRPr="0081652A">
        <w:rPr>
          <w:rFonts w:asciiTheme="minorHAnsi" w:hAnsiTheme="minorHAnsi" w:cstheme="minorHAnsi"/>
        </w:rPr>
        <w:t xml:space="preserve">The Department had to collaborate with more than 70 participants, including more than 30 state and local government participants </w:t>
      </w:r>
      <w:r w:rsidR="00AB58A0" w:rsidRPr="0081652A">
        <w:rPr>
          <w:rFonts w:asciiTheme="minorHAnsi" w:hAnsiTheme="minorHAnsi" w:cstheme="minorHAnsi"/>
        </w:rPr>
        <w:t>to develop the tools and resources</w:t>
      </w:r>
      <w:r w:rsidR="00723239">
        <w:rPr>
          <w:rFonts w:ascii="ZWAdobeF" w:hAnsi="ZWAdobeF" w:cs="ZWAdobeF"/>
          <w:color w:val="auto"/>
          <w:sz w:val="2"/>
          <w:szCs w:val="2"/>
        </w:rPr>
        <w:t>151F</w:t>
      </w:r>
      <w:r w:rsidR="00EE36E3">
        <w:rPr>
          <w:rFonts w:ascii="ZWAdobeF" w:hAnsi="ZWAdobeF" w:cs="ZWAdobeF"/>
          <w:color w:val="auto"/>
          <w:sz w:val="2"/>
          <w:szCs w:val="2"/>
        </w:rPr>
        <w:t>151F</w:t>
      </w:r>
      <w:r w:rsidR="00122C48">
        <w:rPr>
          <w:rFonts w:ascii="ZWAdobeF" w:hAnsi="ZWAdobeF" w:cs="ZWAdobeF"/>
          <w:color w:val="auto"/>
          <w:sz w:val="2"/>
          <w:szCs w:val="2"/>
        </w:rPr>
        <w:t>151F</w:t>
      </w:r>
      <w:r w:rsidR="00F73A23">
        <w:rPr>
          <w:rFonts w:ascii="ZWAdobeF" w:hAnsi="ZWAdobeF" w:cs="ZWAdobeF"/>
          <w:color w:val="auto"/>
          <w:sz w:val="2"/>
          <w:szCs w:val="2"/>
        </w:rPr>
        <w:t>151F</w:t>
      </w:r>
      <w:r w:rsidR="00626378">
        <w:rPr>
          <w:rFonts w:ascii="ZWAdobeF" w:hAnsi="ZWAdobeF" w:cs="ZWAdobeF"/>
          <w:color w:val="auto"/>
          <w:sz w:val="2"/>
          <w:szCs w:val="2"/>
        </w:rPr>
        <w:t>151F</w:t>
      </w:r>
      <w:r w:rsidR="00413811">
        <w:rPr>
          <w:rFonts w:ascii="ZWAdobeF" w:hAnsi="ZWAdobeF" w:cs="ZWAdobeF"/>
          <w:color w:val="auto"/>
          <w:sz w:val="2"/>
          <w:szCs w:val="2"/>
        </w:rPr>
        <w:t>151F</w:t>
      </w:r>
      <w:r w:rsidR="002C327C">
        <w:rPr>
          <w:rFonts w:ascii="ZWAdobeF" w:hAnsi="ZWAdobeF" w:cs="ZWAdobeF"/>
          <w:color w:val="auto"/>
          <w:sz w:val="2"/>
          <w:szCs w:val="2"/>
        </w:rPr>
        <w:t>151F</w:t>
      </w:r>
      <w:r w:rsidR="00D24A06">
        <w:rPr>
          <w:rFonts w:ascii="ZWAdobeF" w:hAnsi="ZWAdobeF" w:cs="ZWAdobeF"/>
          <w:color w:val="auto"/>
          <w:sz w:val="2"/>
          <w:szCs w:val="2"/>
        </w:rPr>
        <w:t>151F</w:t>
      </w:r>
      <w:r w:rsidR="00032217" w:rsidRPr="0081652A">
        <w:rPr>
          <w:rStyle w:val="FootnoteReference"/>
          <w:rFonts w:asciiTheme="minorHAnsi" w:hAnsiTheme="minorHAnsi" w:cstheme="minorHAnsi"/>
        </w:rPr>
        <w:footnoteReference w:id="153"/>
      </w:r>
      <w:r w:rsidR="00B47CAF" w:rsidRPr="0081652A">
        <w:rPr>
          <w:rFonts w:asciiTheme="minorHAnsi" w:hAnsiTheme="minorHAnsi" w:cstheme="minorHAnsi"/>
        </w:rPr>
        <w:t xml:space="preserve">. </w:t>
      </w:r>
      <w:r w:rsidR="00C16B52" w:rsidRPr="0081652A">
        <w:rPr>
          <w:rFonts w:asciiTheme="minorHAnsi" w:hAnsiTheme="minorHAnsi" w:cstheme="minorHAnsi"/>
        </w:rPr>
        <w:t>In the EU, t</w:t>
      </w:r>
      <w:r w:rsidR="00CD7DF7" w:rsidRPr="0081652A">
        <w:rPr>
          <w:rFonts w:asciiTheme="minorHAnsi" w:hAnsiTheme="minorHAnsi" w:cstheme="minorHAnsi"/>
        </w:rPr>
        <w:t xml:space="preserve">he </w:t>
      </w:r>
      <w:r w:rsidR="00F24F9A" w:rsidRPr="0081652A">
        <w:rPr>
          <w:rFonts w:asciiTheme="minorHAnsi" w:hAnsiTheme="minorHAnsi" w:cstheme="minorHAnsi"/>
        </w:rPr>
        <w:t>EU</w:t>
      </w:r>
      <w:r w:rsidR="00CD7DF7" w:rsidRPr="0081652A">
        <w:rPr>
          <w:rFonts w:asciiTheme="minorHAnsi" w:hAnsiTheme="minorHAnsi" w:cstheme="minorHAnsi"/>
        </w:rPr>
        <w:t xml:space="preserve"> Commission monitors the progress made by EU countries to increase the number of nearly zero energy buildings (</w:t>
      </w:r>
      <w:proofErr w:type="spellStart"/>
      <w:r w:rsidR="00CD7DF7" w:rsidRPr="0081652A">
        <w:rPr>
          <w:rFonts w:asciiTheme="minorHAnsi" w:hAnsiTheme="minorHAnsi" w:cstheme="minorHAnsi"/>
        </w:rPr>
        <w:t>NZEBs</w:t>
      </w:r>
      <w:proofErr w:type="spellEnd"/>
      <w:r w:rsidR="00CD7DF7" w:rsidRPr="0081652A">
        <w:rPr>
          <w:rFonts w:asciiTheme="minorHAnsi" w:hAnsiTheme="minorHAnsi" w:cstheme="minorHAnsi"/>
        </w:rPr>
        <w:t xml:space="preserve">), </w:t>
      </w:r>
      <w:r w:rsidR="00432E5D" w:rsidRPr="0081652A">
        <w:rPr>
          <w:rFonts w:asciiTheme="minorHAnsi" w:hAnsiTheme="minorHAnsi" w:cstheme="minorHAnsi"/>
        </w:rPr>
        <w:t xml:space="preserve">requiring resources to </w:t>
      </w:r>
      <w:r w:rsidR="0060464B" w:rsidRPr="0081652A">
        <w:rPr>
          <w:rFonts w:asciiTheme="minorHAnsi" w:hAnsiTheme="minorHAnsi" w:cstheme="minorHAnsi"/>
        </w:rPr>
        <w:t>track these in each country</w:t>
      </w:r>
      <w:r w:rsidR="0081652A">
        <w:rPr>
          <w:rFonts w:asciiTheme="minorHAnsi" w:hAnsiTheme="minorHAnsi" w:cstheme="minorHAnsi"/>
        </w:rPr>
        <w:t>.</w:t>
      </w:r>
      <w:r w:rsidR="00723239">
        <w:rPr>
          <w:rFonts w:ascii="ZWAdobeF" w:hAnsi="ZWAdobeF" w:cs="ZWAdobeF"/>
          <w:color w:val="auto"/>
          <w:sz w:val="2"/>
          <w:szCs w:val="2"/>
        </w:rPr>
        <w:t>152F</w:t>
      </w:r>
      <w:r w:rsidR="00EE36E3">
        <w:rPr>
          <w:rFonts w:ascii="ZWAdobeF" w:hAnsi="ZWAdobeF" w:cs="ZWAdobeF"/>
          <w:color w:val="auto"/>
          <w:sz w:val="2"/>
          <w:szCs w:val="2"/>
        </w:rPr>
        <w:t>152F</w:t>
      </w:r>
      <w:r w:rsidR="00122C48">
        <w:rPr>
          <w:rFonts w:ascii="ZWAdobeF" w:hAnsi="ZWAdobeF" w:cs="ZWAdobeF"/>
          <w:color w:val="auto"/>
          <w:sz w:val="2"/>
          <w:szCs w:val="2"/>
        </w:rPr>
        <w:t>152F</w:t>
      </w:r>
      <w:r w:rsidR="00F73A23">
        <w:rPr>
          <w:rFonts w:ascii="ZWAdobeF" w:hAnsi="ZWAdobeF" w:cs="ZWAdobeF"/>
          <w:color w:val="auto"/>
          <w:sz w:val="2"/>
          <w:szCs w:val="2"/>
        </w:rPr>
        <w:t>152F</w:t>
      </w:r>
      <w:r w:rsidR="00626378">
        <w:rPr>
          <w:rFonts w:ascii="ZWAdobeF" w:hAnsi="ZWAdobeF" w:cs="ZWAdobeF"/>
          <w:color w:val="auto"/>
          <w:sz w:val="2"/>
          <w:szCs w:val="2"/>
        </w:rPr>
        <w:t>152F</w:t>
      </w:r>
      <w:r w:rsidR="00413811">
        <w:rPr>
          <w:rFonts w:ascii="ZWAdobeF" w:hAnsi="ZWAdobeF" w:cs="ZWAdobeF"/>
          <w:color w:val="auto"/>
          <w:sz w:val="2"/>
          <w:szCs w:val="2"/>
        </w:rPr>
        <w:t>152F</w:t>
      </w:r>
      <w:r w:rsidR="002C327C">
        <w:rPr>
          <w:rFonts w:ascii="ZWAdobeF" w:hAnsi="ZWAdobeF" w:cs="ZWAdobeF"/>
          <w:color w:val="auto"/>
          <w:sz w:val="2"/>
          <w:szCs w:val="2"/>
        </w:rPr>
        <w:t>152F</w:t>
      </w:r>
      <w:r w:rsidR="00D24A06">
        <w:rPr>
          <w:rFonts w:ascii="ZWAdobeF" w:hAnsi="ZWAdobeF" w:cs="ZWAdobeF"/>
          <w:color w:val="auto"/>
          <w:sz w:val="2"/>
          <w:szCs w:val="2"/>
        </w:rPr>
        <w:t>152F</w:t>
      </w:r>
      <w:r w:rsidR="00DD7DF1" w:rsidRPr="0081652A">
        <w:rPr>
          <w:rStyle w:val="FootnoteReference"/>
          <w:rFonts w:asciiTheme="minorHAnsi" w:hAnsiTheme="minorHAnsi" w:cstheme="minorHAnsi"/>
        </w:rPr>
        <w:footnoteReference w:id="154"/>
      </w:r>
      <w:bookmarkStart w:id="188" w:name="_Toc133844044"/>
    </w:p>
    <w:p w14:paraId="5ED6649D" w14:textId="77777777" w:rsidR="007022AE" w:rsidRPr="00480F0A" w:rsidRDefault="007022AE" w:rsidP="00E8286F">
      <w:pPr>
        <w:pStyle w:val="BodyText"/>
        <w:rPr>
          <w:rFonts w:asciiTheme="minorHAnsi" w:hAnsiTheme="minorHAnsi" w:cstheme="minorHAnsi"/>
        </w:rPr>
      </w:pPr>
      <w:bookmarkStart w:id="189" w:name="_Toc136286389"/>
    </w:p>
    <w:p w14:paraId="12085C6A" w14:textId="3232D9DA" w:rsidR="00D4338E" w:rsidRPr="00480F0A" w:rsidRDefault="00D4338E">
      <w:pPr>
        <w:spacing w:before="0" w:after="160" w:line="259" w:lineRule="auto"/>
        <w:rPr>
          <w:rFonts w:asciiTheme="minorHAnsi" w:hAnsiTheme="minorHAnsi" w:cstheme="minorHAnsi"/>
        </w:rPr>
      </w:pPr>
      <w:r w:rsidRPr="00480F0A">
        <w:rPr>
          <w:rFonts w:asciiTheme="minorHAnsi" w:hAnsiTheme="minorHAnsi" w:cstheme="minorHAnsi"/>
        </w:rPr>
        <w:br w:type="page"/>
      </w:r>
    </w:p>
    <w:p w14:paraId="08457D74" w14:textId="0932E98D" w:rsidR="004A4C6D" w:rsidRDefault="00B15CDB" w:rsidP="00214D42">
      <w:pPr>
        <w:pStyle w:val="Heading1"/>
      </w:pPr>
      <w:bookmarkStart w:id="190" w:name="_Toc154059373"/>
      <w:r>
        <w:lastRenderedPageBreak/>
        <w:t>Considerations</w:t>
      </w:r>
      <w:r w:rsidR="008E0675">
        <w:t xml:space="preserve"> for Australia</w:t>
      </w:r>
      <w:bookmarkEnd w:id="188"/>
      <w:bookmarkEnd w:id="189"/>
      <w:bookmarkEnd w:id="190"/>
      <w:r w:rsidR="008E0675">
        <w:t xml:space="preserve"> </w:t>
      </w:r>
    </w:p>
    <w:p w14:paraId="5E9385D8" w14:textId="77777777" w:rsidR="00F47526" w:rsidRDefault="00A965EC" w:rsidP="004A4C6D">
      <w:pPr>
        <w:rPr>
          <w:rFonts w:asciiTheme="minorHAnsi" w:hAnsiTheme="minorHAnsi" w:cstheme="minorHAnsi"/>
        </w:rPr>
      </w:pPr>
      <w:r w:rsidRPr="002817D8">
        <w:rPr>
          <w:rFonts w:asciiTheme="minorHAnsi" w:hAnsiTheme="minorHAnsi" w:cstheme="minorHAnsi"/>
        </w:rPr>
        <w:t xml:space="preserve">Building on </w:t>
      </w:r>
      <w:r w:rsidR="00E93C7F" w:rsidRPr="002817D8">
        <w:rPr>
          <w:rFonts w:asciiTheme="minorHAnsi" w:hAnsiTheme="minorHAnsi" w:cstheme="minorHAnsi"/>
        </w:rPr>
        <w:t xml:space="preserve">Australia’s own </w:t>
      </w:r>
      <w:r w:rsidR="00C835F2" w:rsidRPr="002817D8">
        <w:rPr>
          <w:rFonts w:asciiTheme="minorHAnsi" w:hAnsiTheme="minorHAnsi" w:cstheme="minorHAnsi"/>
        </w:rPr>
        <w:t xml:space="preserve">policy </w:t>
      </w:r>
      <w:r w:rsidR="00E93C7F" w:rsidRPr="002817D8">
        <w:rPr>
          <w:rFonts w:asciiTheme="minorHAnsi" w:hAnsiTheme="minorHAnsi" w:cstheme="minorHAnsi"/>
        </w:rPr>
        <w:t>history</w:t>
      </w:r>
      <w:r w:rsidR="0057348F" w:rsidRPr="002817D8">
        <w:rPr>
          <w:rFonts w:asciiTheme="minorHAnsi" w:hAnsiTheme="minorHAnsi" w:cstheme="minorHAnsi"/>
        </w:rPr>
        <w:t xml:space="preserve">, </w:t>
      </w:r>
      <w:r w:rsidRPr="002817D8">
        <w:rPr>
          <w:rFonts w:asciiTheme="minorHAnsi" w:hAnsiTheme="minorHAnsi" w:cstheme="minorHAnsi"/>
        </w:rPr>
        <w:t xml:space="preserve">the </w:t>
      </w:r>
      <w:r w:rsidR="00720944" w:rsidRPr="002817D8">
        <w:rPr>
          <w:rFonts w:asciiTheme="minorHAnsi" w:hAnsiTheme="minorHAnsi" w:cstheme="minorHAnsi"/>
        </w:rPr>
        <w:t xml:space="preserve">review of </w:t>
      </w:r>
      <w:r w:rsidR="00C018C5" w:rsidRPr="002817D8">
        <w:rPr>
          <w:rFonts w:asciiTheme="minorHAnsi" w:hAnsiTheme="minorHAnsi" w:cstheme="minorHAnsi"/>
        </w:rPr>
        <w:t xml:space="preserve">comparable jurisdictions </w:t>
      </w:r>
      <w:r w:rsidR="009053E9" w:rsidRPr="002817D8">
        <w:rPr>
          <w:rFonts w:asciiTheme="minorHAnsi" w:hAnsiTheme="minorHAnsi" w:cstheme="minorHAnsi"/>
        </w:rPr>
        <w:t xml:space="preserve">suggests </w:t>
      </w:r>
      <w:r w:rsidR="00723B90" w:rsidRPr="002817D8">
        <w:rPr>
          <w:rFonts w:asciiTheme="minorHAnsi" w:hAnsiTheme="minorHAnsi" w:cstheme="minorHAnsi"/>
        </w:rPr>
        <w:t xml:space="preserve">the following </w:t>
      </w:r>
      <w:r w:rsidR="00C018C5" w:rsidRPr="002817D8">
        <w:rPr>
          <w:rFonts w:asciiTheme="minorHAnsi" w:hAnsiTheme="minorHAnsi" w:cstheme="minorHAnsi"/>
        </w:rPr>
        <w:t xml:space="preserve">options </w:t>
      </w:r>
      <w:r w:rsidR="00550530" w:rsidRPr="002817D8">
        <w:rPr>
          <w:rFonts w:asciiTheme="minorHAnsi" w:hAnsiTheme="minorHAnsi" w:cstheme="minorHAnsi"/>
        </w:rPr>
        <w:t>c</w:t>
      </w:r>
      <w:r w:rsidR="00723B90" w:rsidRPr="002817D8">
        <w:rPr>
          <w:rFonts w:asciiTheme="minorHAnsi" w:hAnsiTheme="minorHAnsi" w:cstheme="minorHAnsi"/>
        </w:rPr>
        <w:t xml:space="preserve">ould be </w:t>
      </w:r>
      <w:r w:rsidR="00550530" w:rsidRPr="002817D8">
        <w:rPr>
          <w:rFonts w:asciiTheme="minorHAnsi" w:hAnsiTheme="minorHAnsi" w:cstheme="minorHAnsi"/>
        </w:rPr>
        <w:t>investigated further</w:t>
      </w:r>
      <w:r w:rsidR="0048222D" w:rsidRPr="002817D8">
        <w:rPr>
          <w:rFonts w:asciiTheme="minorHAnsi" w:hAnsiTheme="minorHAnsi" w:cstheme="minorHAnsi"/>
        </w:rPr>
        <w:t xml:space="preserve"> in the next phases of </w:t>
      </w:r>
      <w:r w:rsidR="00B06F05" w:rsidRPr="002817D8">
        <w:rPr>
          <w:rFonts w:asciiTheme="minorHAnsi" w:hAnsiTheme="minorHAnsi" w:cstheme="minorHAnsi"/>
        </w:rPr>
        <w:t>this project</w:t>
      </w:r>
      <w:r w:rsidR="007157BF" w:rsidRPr="002817D8">
        <w:rPr>
          <w:rFonts w:asciiTheme="minorHAnsi" w:hAnsiTheme="minorHAnsi" w:cstheme="minorHAnsi"/>
        </w:rPr>
        <w:t xml:space="preserve"> to understand </w:t>
      </w:r>
      <w:r w:rsidR="001760CB" w:rsidRPr="002817D8">
        <w:rPr>
          <w:rFonts w:asciiTheme="minorHAnsi" w:hAnsiTheme="minorHAnsi" w:cstheme="minorHAnsi"/>
        </w:rPr>
        <w:t xml:space="preserve">relative </w:t>
      </w:r>
      <w:r w:rsidR="007157BF" w:rsidRPr="002817D8">
        <w:rPr>
          <w:rFonts w:asciiTheme="minorHAnsi" w:hAnsiTheme="minorHAnsi" w:cstheme="minorHAnsi"/>
        </w:rPr>
        <w:t xml:space="preserve">costs, </w:t>
      </w:r>
      <w:proofErr w:type="gramStart"/>
      <w:r w:rsidR="007157BF" w:rsidRPr="002817D8">
        <w:rPr>
          <w:rFonts w:asciiTheme="minorHAnsi" w:hAnsiTheme="minorHAnsi" w:cstheme="minorHAnsi"/>
        </w:rPr>
        <w:t>benefits</w:t>
      </w:r>
      <w:proofErr w:type="gramEnd"/>
      <w:r w:rsidR="007157BF" w:rsidRPr="002817D8">
        <w:rPr>
          <w:rFonts w:asciiTheme="minorHAnsi" w:hAnsiTheme="minorHAnsi" w:cstheme="minorHAnsi"/>
        </w:rPr>
        <w:t xml:space="preserve"> and feasibility</w:t>
      </w:r>
      <w:r w:rsidR="000C1D00" w:rsidRPr="002817D8">
        <w:rPr>
          <w:rFonts w:asciiTheme="minorHAnsi" w:hAnsiTheme="minorHAnsi" w:cstheme="minorHAnsi"/>
        </w:rPr>
        <w:t>,</w:t>
      </w:r>
      <w:r w:rsidR="005A6570" w:rsidRPr="002817D8">
        <w:rPr>
          <w:rFonts w:asciiTheme="minorHAnsi" w:hAnsiTheme="minorHAnsi" w:cstheme="minorHAnsi"/>
        </w:rPr>
        <w:t xml:space="preserve"> and </w:t>
      </w:r>
      <w:r w:rsidR="00E52ADD" w:rsidRPr="002817D8">
        <w:rPr>
          <w:rFonts w:asciiTheme="minorHAnsi" w:hAnsiTheme="minorHAnsi" w:cstheme="minorHAnsi"/>
        </w:rPr>
        <w:t>con</w:t>
      </w:r>
      <w:r w:rsidR="00BD170B" w:rsidRPr="002817D8">
        <w:rPr>
          <w:rFonts w:asciiTheme="minorHAnsi" w:hAnsiTheme="minorHAnsi" w:cstheme="minorHAnsi"/>
        </w:rPr>
        <w:t xml:space="preserve">sidered as part of </w:t>
      </w:r>
      <w:r w:rsidR="005A6570" w:rsidRPr="002817D8">
        <w:rPr>
          <w:rFonts w:asciiTheme="minorHAnsi" w:hAnsiTheme="minorHAnsi" w:cstheme="minorHAnsi"/>
        </w:rPr>
        <w:t>broader reforms outside the scope of this project</w:t>
      </w:r>
      <w:r w:rsidR="006A48E1" w:rsidRPr="002817D8">
        <w:rPr>
          <w:rFonts w:asciiTheme="minorHAnsi" w:hAnsiTheme="minorHAnsi" w:cstheme="minorHAnsi"/>
        </w:rPr>
        <w:t>.</w:t>
      </w:r>
    </w:p>
    <w:p w14:paraId="09D615AE" w14:textId="696C2BD7" w:rsidR="004B2992" w:rsidRDefault="004B2992" w:rsidP="00205596">
      <w:pPr>
        <w:spacing w:before="120"/>
        <w:rPr>
          <w:rFonts w:asciiTheme="minorHAnsi" w:hAnsiTheme="minorHAnsi" w:cstheme="minorHAnsi"/>
          <w:b/>
          <w:bCs/>
        </w:rPr>
      </w:pPr>
      <w:r w:rsidRPr="004B2992">
        <w:rPr>
          <w:rFonts w:asciiTheme="minorHAnsi" w:hAnsiTheme="minorHAnsi" w:cstheme="minorHAnsi"/>
          <w:b/>
          <w:bCs/>
        </w:rPr>
        <w:t>Buildings ratings systems</w:t>
      </w:r>
    </w:p>
    <w:p w14:paraId="1E98E6AF" w14:textId="3758B72F" w:rsidR="007A5BE1" w:rsidRPr="007A5BE1" w:rsidRDefault="007A5BE1" w:rsidP="00A253E6">
      <w:pPr>
        <w:pStyle w:val="ListParagraph"/>
        <w:numPr>
          <w:ilvl w:val="0"/>
          <w:numId w:val="64"/>
        </w:numPr>
        <w:spacing w:before="120" w:after="0"/>
        <w:rPr>
          <w:rFonts w:asciiTheme="minorHAnsi" w:hAnsiTheme="minorHAnsi" w:cstheme="minorHAnsi"/>
        </w:rPr>
      </w:pPr>
      <w:r w:rsidRPr="00326B06">
        <w:rPr>
          <w:rFonts w:asciiTheme="minorHAnsi" w:hAnsiTheme="minorHAnsi" w:cstheme="minorHAnsi"/>
          <w:szCs w:val="20"/>
        </w:rPr>
        <w:t xml:space="preserve">The review of international experience has reinforced the strengths of the Australian </w:t>
      </w:r>
      <w:proofErr w:type="gramStart"/>
      <w:r w:rsidRPr="00326B06">
        <w:rPr>
          <w:rFonts w:asciiTheme="minorHAnsi" w:hAnsiTheme="minorHAnsi" w:cstheme="minorHAnsi"/>
          <w:szCs w:val="20"/>
        </w:rPr>
        <w:t>performance-based</w:t>
      </w:r>
      <w:proofErr w:type="gramEnd"/>
      <w:r w:rsidRPr="00326B06">
        <w:rPr>
          <w:rFonts w:asciiTheme="minorHAnsi" w:hAnsiTheme="minorHAnsi" w:cstheme="minorHAnsi"/>
          <w:szCs w:val="20"/>
        </w:rPr>
        <w:t xml:space="preserve"> NABERS system of rating</w:t>
      </w:r>
    </w:p>
    <w:p w14:paraId="3EEE3BED" w14:textId="5575FEE8" w:rsidR="007A5BE1" w:rsidRPr="007A5BE1" w:rsidRDefault="007A5BE1" w:rsidP="00A253E6">
      <w:pPr>
        <w:pStyle w:val="BodyText"/>
        <w:numPr>
          <w:ilvl w:val="0"/>
          <w:numId w:val="64"/>
        </w:numPr>
        <w:spacing w:after="60"/>
        <w:rPr>
          <w:rFonts w:asciiTheme="minorHAnsi" w:hAnsiTheme="minorHAnsi" w:cstheme="minorHAnsi"/>
          <w:szCs w:val="20"/>
        </w:rPr>
      </w:pPr>
      <w:r w:rsidRPr="00205596">
        <w:rPr>
          <w:rFonts w:asciiTheme="minorHAnsi" w:hAnsiTheme="minorHAnsi" w:cstheme="minorHAnsi"/>
          <w:szCs w:val="20"/>
        </w:rPr>
        <w:t>While the scale of the regulation being implemented internationally is larger than that currently in place in Australia, the reliance on attribute compliance measurement (which is easier to implement at scale) has likely limited effectiveness. Many countries are now opting for performance-based compliance measurement as it is seen to be more effective (though it requires greater attention to phasing to implement at scale</w:t>
      </w:r>
      <w:r w:rsidR="00296BFF">
        <w:rPr>
          <w:rFonts w:asciiTheme="minorHAnsi" w:hAnsiTheme="minorHAnsi" w:cstheme="minorHAnsi"/>
          <w:szCs w:val="20"/>
        </w:rPr>
        <w:t>)</w:t>
      </w:r>
    </w:p>
    <w:p w14:paraId="2FC9FCC2" w14:textId="41F9D26C" w:rsidR="00205596" w:rsidRDefault="00205596" w:rsidP="00205596">
      <w:pPr>
        <w:spacing w:before="120"/>
        <w:rPr>
          <w:rFonts w:asciiTheme="minorHAnsi" w:hAnsiTheme="minorHAnsi" w:cstheme="minorHAnsi"/>
        </w:rPr>
      </w:pPr>
      <w:r w:rsidRPr="00205596">
        <w:rPr>
          <w:rFonts w:asciiTheme="minorHAnsi" w:hAnsiTheme="minorHAnsi" w:cstheme="minorHAnsi"/>
          <w:b/>
          <w:bCs/>
        </w:rPr>
        <w:t>Commercial buildings disclosure</w:t>
      </w:r>
      <w:r>
        <w:rPr>
          <w:rFonts w:asciiTheme="minorHAnsi" w:hAnsiTheme="minorHAnsi" w:cstheme="minorHAnsi"/>
        </w:rPr>
        <w:t xml:space="preserve"> </w:t>
      </w:r>
    </w:p>
    <w:p w14:paraId="24163A6D" w14:textId="0FD83820" w:rsidR="00A166B0" w:rsidRPr="004813A9" w:rsidRDefault="00A166B0" w:rsidP="00A253E6">
      <w:pPr>
        <w:pStyle w:val="ListParagraph"/>
        <w:numPr>
          <w:ilvl w:val="0"/>
          <w:numId w:val="65"/>
        </w:numPr>
        <w:spacing w:before="120"/>
      </w:pPr>
      <w:r w:rsidRPr="007A5BE1">
        <w:rPr>
          <w:rFonts w:asciiTheme="minorHAnsi" w:hAnsiTheme="minorHAnsi" w:cstheme="minorHAnsi"/>
          <w:szCs w:val="20"/>
        </w:rPr>
        <w:t>Consider expanding building types covered, from office buildings to all commercial buildings including larger short-</w:t>
      </w:r>
      <w:r w:rsidR="00E83C74" w:rsidRPr="007A5BE1">
        <w:rPr>
          <w:rFonts w:asciiTheme="minorHAnsi" w:hAnsiTheme="minorHAnsi" w:cstheme="minorHAnsi"/>
          <w:szCs w:val="20"/>
        </w:rPr>
        <w:t>term</w:t>
      </w:r>
      <w:r w:rsidR="00E83C74">
        <w:rPr>
          <w:rFonts w:asciiTheme="minorHAnsi" w:hAnsiTheme="minorHAnsi" w:cstheme="minorHAnsi"/>
          <w:szCs w:val="20"/>
        </w:rPr>
        <w:t xml:space="preserve"> </w:t>
      </w:r>
      <w:r w:rsidR="00E83C74" w:rsidRPr="007A5BE1">
        <w:rPr>
          <w:rFonts w:asciiTheme="minorHAnsi" w:hAnsiTheme="minorHAnsi" w:cstheme="minorHAnsi"/>
          <w:szCs w:val="20"/>
        </w:rPr>
        <w:t>accommodation</w:t>
      </w:r>
      <w:r w:rsidRPr="007A5BE1">
        <w:rPr>
          <w:rFonts w:asciiTheme="minorHAnsi" w:hAnsiTheme="minorHAnsi" w:cstheme="minorHAnsi"/>
          <w:szCs w:val="20"/>
        </w:rPr>
        <w:t xml:space="preserve"> and retail</w:t>
      </w:r>
      <w:r w:rsidR="004813A9">
        <w:rPr>
          <w:rFonts w:asciiTheme="minorHAnsi" w:hAnsiTheme="minorHAnsi" w:cstheme="minorHAnsi"/>
          <w:szCs w:val="20"/>
        </w:rPr>
        <w:t xml:space="preserve"> </w:t>
      </w:r>
      <w:r w:rsidR="00E83C74">
        <w:rPr>
          <w:rFonts w:asciiTheme="minorHAnsi" w:hAnsiTheme="minorHAnsi" w:cstheme="minorHAnsi"/>
          <w:szCs w:val="20"/>
        </w:rPr>
        <w:t>buildings.</w:t>
      </w:r>
    </w:p>
    <w:p w14:paraId="00029953" w14:textId="0CFAB4E5" w:rsidR="004813A9" w:rsidRPr="004813A9" w:rsidRDefault="004813A9" w:rsidP="00A253E6">
      <w:pPr>
        <w:pStyle w:val="ListParagraph"/>
        <w:numPr>
          <w:ilvl w:val="0"/>
          <w:numId w:val="65"/>
        </w:numPr>
        <w:spacing w:before="120"/>
      </w:pPr>
      <w:r w:rsidRPr="00121748">
        <w:rPr>
          <w:rFonts w:asciiTheme="minorHAnsi" w:hAnsiTheme="minorHAnsi" w:cstheme="minorHAnsi"/>
          <w:szCs w:val="20"/>
        </w:rPr>
        <w:t>Consider reducing the regulated threshold for CBD for office buildings, with 500m</w:t>
      </w:r>
      <w:r w:rsidRPr="00121748">
        <w:rPr>
          <w:rFonts w:asciiTheme="minorHAnsi" w:hAnsiTheme="minorHAnsi" w:cstheme="minorHAnsi"/>
          <w:szCs w:val="20"/>
          <w:vertAlign w:val="superscript"/>
        </w:rPr>
        <w:t>2</w:t>
      </w:r>
      <w:r w:rsidRPr="00121748">
        <w:rPr>
          <w:rFonts w:asciiTheme="minorHAnsi" w:hAnsiTheme="minorHAnsi" w:cstheme="minorHAnsi"/>
          <w:szCs w:val="20"/>
        </w:rPr>
        <w:t xml:space="preserve"> being one option referenced in similar</w:t>
      </w:r>
      <w:r>
        <w:rPr>
          <w:rFonts w:asciiTheme="minorHAnsi" w:hAnsiTheme="minorHAnsi" w:cstheme="minorHAnsi"/>
          <w:szCs w:val="20"/>
        </w:rPr>
        <w:t xml:space="preserve"> </w:t>
      </w:r>
      <w:r w:rsidR="00E83C74">
        <w:rPr>
          <w:rFonts w:asciiTheme="minorHAnsi" w:hAnsiTheme="minorHAnsi" w:cstheme="minorHAnsi"/>
          <w:szCs w:val="20"/>
        </w:rPr>
        <w:t>jurisdictions.</w:t>
      </w:r>
      <w:r>
        <w:rPr>
          <w:rFonts w:asciiTheme="minorHAnsi" w:hAnsiTheme="minorHAnsi" w:cstheme="minorHAnsi"/>
          <w:szCs w:val="20"/>
        </w:rPr>
        <w:t xml:space="preserve"> </w:t>
      </w:r>
    </w:p>
    <w:p w14:paraId="1659059E" w14:textId="36AA194B" w:rsidR="004813A9" w:rsidRPr="00A166B0" w:rsidRDefault="004813A9" w:rsidP="00A253E6">
      <w:pPr>
        <w:pStyle w:val="ListParagraph"/>
        <w:numPr>
          <w:ilvl w:val="0"/>
          <w:numId w:val="65"/>
        </w:numPr>
        <w:spacing w:before="120"/>
      </w:pPr>
      <w:r w:rsidRPr="004B2992">
        <w:rPr>
          <w:rFonts w:asciiTheme="minorHAnsi" w:hAnsiTheme="minorHAnsi" w:cstheme="minorHAnsi"/>
          <w:szCs w:val="20"/>
        </w:rPr>
        <w:t xml:space="preserve">Consider mandatory disclosure of itemised scope 1 emissions from NABERS assessments in addition to other </w:t>
      </w:r>
      <w:r w:rsidRPr="004B2992">
        <w:rPr>
          <w:rFonts w:asciiTheme="minorHAnsi" w:hAnsiTheme="minorHAnsi" w:cstheme="minorHAnsi"/>
        </w:rPr>
        <w:t>current data points</w:t>
      </w:r>
      <w:r w:rsidR="00313A10">
        <w:rPr>
          <w:rFonts w:asciiTheme="minorHAnsi" w:hAnsiTheme="minorHAnsi" w:cstheme="minorHAnsi"/>
        </w:rPr>
        <w:t>.</w:t>
      </w:r>
    </w:p>
    <w:p w14:paraId="370E0A1C" w14:textId="4DB197E7" w:rsidR="00313A10" w:rsidRDefault="004B2992" w:rsidP="004A4C6D">
      <w:pPr>
        <w:rPr>
          <w:rFonts w:asciiTheme="minorHAnsi" w:hAnsiTheme="minorHAnsi" w:cstheme="minorHAnsi"/>
          <w:b/>
          <w:bCs/>
        </w:rPr>
      </w:pPr>
      <w:r w:rsidRPr="004B2992">
        <w:rPr>
          <w:rFonts w:asciiTheme="minorHAnsi" w:hAnsiTheme="minorHAnsi" w:cstheme="minorHAnsi"/>
          <w:b/>
          <w:bCs/>
        </w:rPr>
        <w:t>Minimum energy performance standards</w:t>
      </w:r>
    </w:p>
    <w:p w14:paraId="4FC149C6" w14:textId="77777777" w:rsidR="00313A10" w:rsidRPr="00121748" w:rsidRDefault="00313A10" w:rsidP="00313A10">
      <w:pPr>
        <w:pStyle w:val="ListParagraph"/>
        <w:numPr>
          <w:ilvl w:val="0"/>
          <w:numId w:val="13"/>
        </w:numPr>
        <w:tabs>
          <w:tab w:val="clear" w:pos="340"/>
        </w:tabs>
        <w:rPr>
          <w:rFonts w:asciiTheme="minorHAnsi" w:hAnsiTheme="minorHAnsi" w:cstheme="minorHAnsi"/>
        </w:rPr>
      </w:pPr>
      <w:r w:rsidRPr="00121748">
        <w:rPr>
          <w:rFonts w:asciiTheme="minorHAnsi" w:hAnsiTheme="minorHAnsi" w:cstheme="minorHAnsi"/>
        </w:rPr>
        <w:t>Consider a phased introduction of a minimum star rating for building performance at point of sale or lease, commencing with office buildings currently captured by CBD.</w:t>
      </w:r>
    </w:p>
    <w:p w14:paraId="45381AE1" w14:textId="350679AA" w:rsidR="00313A10" w:rsidRDefault="00313A10" w:rsidP="00313A10">
      <w:pPr>
        <w:pStyle w:val="ListParagraph"/>
        <w:numPr>
          <w:ilvl w:val="0"/>
          <w:numId w:val="13"/>
        </w:numPr>
        <w:tabs>
          <w:tab w:val="clear" w:pos="340"/>
        </w:tabs>
        <w:rPr>
          <w:rFonts w:asciiTheme="minorHAnsi" w:hAnsiTheme="minorHAnsi" w:cstheme="minorHAnsi"/>
        </w:rPr>
      </w:pPr>
      <w:r w:rsidRPr="00121748">
        <w:rPr>
          <w:rFonts w:asciiTheme="minorHAnsi" w:hAnsiTheme="minorHAnsi" w:cstheme="minorHAnsi"/>
        </w:rPr>
        <w:t>The introduction of minimum standards for lighting standards at sale or lease.</w:t>
      </w:r>
    </w:p>
    <w:p w14:paraId="4B6D2020" w14:textId="057DEB8A" w:rsidR="00313A10" w:rsidRPr="00365F7E" w:rsidRDefault="00365F7E" w:rsidP="004A4C6D">
      <w:pPr>
        <w:pStyle w:val="ListParagraph"/>
        <w:numPr>
          <w:ilvl w:val="0"/>
          <w:numId w:val="13"/>
        </w:numPr>
        <w:tabs>
          <w:tab w:val="clear" w:pos="340"/>
        </w:tabs>
        <w:rPr>
          <w:rFonts w:asciiTheme="minorHAnsi" w:hAnsiTheme="minorHAnsi" w:cstheme="minorHAnsi"/>
        </w:rPr>
      </w:pPr>
      <w:r w:rsidRPr="004B2992">
        <w:rPr>
          <w:rFonts w:asciiTheme="minorHAnsi" w:hAnsiTheme="minorHAnsi" w:cstheme="minorHAnsi"/>
        </w:rPr>
        <w:t>Many northern hemisphere jurisdictions are considering or implementing regulatory phase out of new or replacement installation of fossil fuel-based boilers. Consideration in Australia needs to take account of differences in their significance in terms of energy and emissions, given climate and non-regulatory</w:t>
      </w:r>
      <w:r>
        <w:rPr>
          <w:rFonts w:asciiTheme="minorHAnsi" w:hAnsiTheme="minorHAnsi" w:cstheme="minorHAnsi"/>
        </w:rPr>
        <w:t xml:space="preserve"> trends</w:t>
      </w:r>
      <w:r w:rsidR="00EC6EEB">
        <w:rPr>
          <w:rFonts w:asciiTheme="minorHAnsi" w:hAnsiTheme="minorHAnsi" w:cstheme="minorHAnsi"/>
        </w:rPr>
        <w:t>.</w:t>
      </w:r>
    </w:p>
    <w:p w14:paraId="2B403540" w14:textId="6B8D1DBD" w:rsidR="008D632B" w:rsidRDefault="00205596" w:rsidP="00205596">
      <w:pPr>
        <w:spacing w:after="0"/>
        <w:rPr>
          <w:rFonts w:asciiTheme="minorHAnsi" w:hAnsiTheme="minorHAnsi" w:cstheme="minorHAnsi"/>
          <w:b/>
          <w:bCs/>
        </w:rPr>
      </w:pPr>
      <w:r w:rsidRPr="00205596">
        <w:rPr>
          <w:rFonts w:asciiTheme="minorHAnsi" w:hAnsiTheme="minorHAnsi" w:cstheme="minorHAnsi"/>
          <w:b/>
          <w:bCs/>
        </w:rPr>
        <w:t>Broader policies and reforms</w:t>
      </w:r>
    </w:p>
    <w:p w14:paraId="5D32CECF" w14:textId="4518E0DE" w:rsidR="00365F7E" w:rsidRDefault="00365F7E" w:rsidP="00A253E6">
      <w:pPr>
        <w:pStyle w:val="ListParagraph"/>
        <w:numPr>
          <w:ilvl w:val="0"/>
          <w:numId w:val="66"/>
        </w:numPr>
        <w:spacing w:after="0"/>
        <w:rPr>
          <w:rFonts w:asciiTheme="minorHAnsi" w:hAnsiTheme="minorHAnsi" w:cstheme="minorHAnsi"/>
        </w:rPr>
      </w:pPr>
      <w:r w:rsidRPr="00121748">
        <w:rPr>
          <w:rFonts w:asciiTheme="minorHAnsi" w:hAnsiTheme="minorHAnsi" w:cstheme="minorHAnsi"/>
        </w:rPr>
        <w:t xml:space="preserve">For government-owned or operated buildings, consideration of a nationally coordinated approach to procurement and energy management across the jurisdictions may complement regulatory changes for private buildings. This could include aligned approaches to procurement to secure high performance and resilient office, </w:t>
      </w:r>
      <w:proofErr w:type="gramStart"/>
      <w:r w:rsidRPr="00121748">
        <w:rPr>
          <w:rFonts w:asciiTheme="minorHAnsi" w:hAnsiTheme="minorHAnsi" w:cstheme="minorHAnsi"/>
        </w:rPr>
        <w:t>health</w:t>
      </w:r>
      <w:proofErr w:type="gramEnd"/>
      <w:r w:rsidRPr="00121748">
        <w:rPr>
          <w:rFonts w:asciiTheme="minorHAnsi" w:hAnsiTheme="minorHAnsi" w:cstheme="minorHAnsi"/>
        </w:rPr>
        <w:t xml:space="preserve"> and school buildings</w:t>
      </w:r>
      <w:r w:rsidR="0075465A">
        <w:rPr>
          <w:rFonts w:asciiTheme="minorHAnsi" w:hAnsiTheme="minorHAnsi" w:cstheme="minorHAnsi"/>
        </w:rPr>
        <w:t>.</w:t>
      </w:r>
    </w:p>
    <w:p w14:paraId="0FA14594" w14:textId="4AC1CA59" w:rsidR="0075465A" w:rsidRDefault="0075465A" w:rsidP="00A253E6">
      <w:pPr>
        <w:pStyle w:val="ListParagraph"/>
        <w:numPr>
          <w:ilvl w:val="0"/>
          <w:numId w:val="66"/>
        </w:numPr>
        <w:spacing w:after="0"/>
        <w:rPr>
          <w:rFonts w:asciiTheme="minorHAnsi" w:hAnsiTheme="minorHAnsi" w:cstheme="minorHAnsi"/>
        </w:rPr>
      </w:pPr>
      <w:r w:rsidRPr="00121748">
        <w:rPr>
          <w:rFonts w:asciiTheme="minorHAnsi" w:hAnsiTheme="minorHAnsi" w:cstheme="minorHAnsi"/>
        </w:rPr>
        <w:t xml:space="preserve">Consider improvements to the National Construction Code to achieve high performance energy and emissions by design, including to complement broader improvements to CBD and </w:t>
      </w:r>
      <w:proofErr w:type="spellStart"/>
      <w:r w:rsidRPr="00121748">
        <w:rPr>
          <w:rFonts w:asciiTheme="minorHAnsi" w:hAnsiTheme="minorHAnsi" w:cstheme="minorHAnsi"/>
        </w:rPr>
        <w:t>MEPS</w:t>
      </w:r>
      <w:proofErr w:type="spellEnd"/>
      <w:r w:rsidRPr="00121748">
        <w:rPr>
          <w:rFonts w:asciiTheme="minorHAnsi" w:hAnsiTheme="minorHAnsi" w:cstheme="minorHAnsi"/>
        </w:rPr>
        <w:t xml:space="preserve"> over time</w:t>
      </w:r>
      <w:r w:rsidR="00EC6EEB">
        <w:rPr>
          <w:rFonts w:asciiTheme="minorHAnsi" w:hAnsiTheme="minorHAnsi" w:cstheme="minorHAnsi"/>
        </w:rPr>
        <w:t>.</w:t>
      </w:r>
    </w:p>
    <w:p w14:paraId="5BEFB524" w14:textId="77777777" w:rsidR="0075465A" w:rsidRPr="00121748" w:rsidRDefault="0075465A" w:rsidP="00A253E6">
      <w:pPr>
        <w:pStyle w:val="ListParagraph"/>
        <w:numPr>
          <w:ilvl w:val="0"/>
          <w:numId w:val="66"/>
        </w:numPr>
        <w:rPr>
          <w:rFonts w:asciiTheme="minorHAnsi" w:hAnsiTheme="minorHAnsi" w:cstheme="minorHAnsi"/>
        </w:rPr>
      </w:pPr>
      <w:r w:rsidRPr="00121748">
        <w:rPr>
          <w:rFonts w:asciiTheme="minorHAnsi" w:hAnsiTheme="minorHAnsi" w:cstheme="minorHAnsi"/>
        </w:rPr>
        <w:t xml:space="preserve">Complementary measures to assist and incentivise owners and tenants to adjust to, and beat, regulated minimums outlined above, </w:t>
      </w:r>
      <w:proofErr w:type="gramStart"/>
      <w:r w:rsidRPr="00121748">
        <w:rPr>
          <w:rFonts w:asciiTheme="minorHAnsi" w:hAnsiTheme="minorHAnsi" w:cstheme="minorHAnsi"/>
        </w:rPr>
        <w:t>including</w:t>
      </w:r>
      <w:proofErr w:type="gramEnd"/>
    </w:p>
    <w:p w14:paraId="6BF9744E" w14:textId="30DE74EB" w:rsidR="0075465A" w:rsidRDefault="0075465A" w:rsidP="00A253E6">
      <w:pPr>
        <w:pStyle w:val="ListParagraph"/>
        <w:numPr>
          <w:ilvl w:val="0"/>
          <w:numId w:val="67"/>
        </w:numPr>
        <w:spacing w:after="0"/>
        <w:rPr>
          <w:rFonts w:asciiTheme="minorHAnsi" w:hAnsiTheme="minorHAnsi" w:cstheme="minorHAnsi"/>
        </w:rPr>
      </w:pPr>
      <w:r w:rsidRPr="00121748">
        <w:rPr>
          <w:rFonts w:asciiTheme="minorHAnsi" w:hAnsiTheme="minorHAnsi" w:cstheme="minorHAnsi"/>
        </w:rPr>
        <w:t>Access to green and/or innovative financing, including approaches enabling on-bill financing, or other structures aligning payments to energy cost</w:t>
      </w:r>
      <w:r>
        <w:rPr>
          <w:rFonts w:asciiTheme="minorHAnsi" w:hAnsiTheme="minorHAnsi" w:cstheme="minorHAnsi"/>
        </w:rPr>
        <w:t xml:space="preserve"> savings</w:t>
      </w:r>
      <w:r w:rsidR="00DC6D36">
        <w:rPr>
          <w:rFonts w:asciiTheme="minorHAnsi" w:hAnsiTheme="minorHAnsi" w:cstheme="minorHAnsi"/>
        </w:rPr>
        <w:t>.</w:t>
      </w:r>
    </w:p>
    <w:p w14:paraId="4261991D" w14:textId="0DAFEB31" w:rsidR="0075465A" w:rsidRPr="00365F7E" w:rsidRDefault="0075465A" w:rsidP="00A253E6">
      <w:pPr>
        <w:pStyle w:val="ListParagraph"/>
        <w:numPr>
          <w:ilvl w:val="0"/>
          <w:numId w:val="67"/>
        </w:numPr>
        <w:spacing w:after="0"/>
        <w:rPr>
          <w:rFonts w:asciiTheme="minorHAnsi" w:hAnsiTheme="minorHAnsi" w:cstheme="minorHAnsi"/>
        </w:rPr>
      </w:pPr>
      <w:r w:rsidRPr="00205596">
        <w:rPr>
          <w:rFonts w:asciiTheme="minorHAnsi" w:hAnsiTheme="minorHAnsi" w:cstheme="minorHAnsi"/>
        </w:rPr>
        <w:t xml:space="preserve">Targeted assistance especially related to upgrades to meet </w:t>
      </w:r>
      <w:proofErr w:type="spellStart"/>
      <w:r w:rsidRPr="00205596">
        <w:rPr>
          <w:rFonts w:asciiTheme="minorHAnsi" w:hAnsiTheme="minorHAnsi" w:cstheme="minorHAnsi"/>
        </w:rPr>
        <w:t>MEPS</w:t>
      </w:r>
      <w:proofErr w:type="spellEnd"/>
      <w:r w:rsidRPr="00205596">
        <w:rPr>
          <w:rFonts w:asciiTheme="minorHAnsi" w:hAnsiTheme="minorHAnsi" w:cstheme="minorHAnsi"/>
        </w:rPr>
        <w:t>-related mandates</w:t>
      </w:r>
      <w:r w:rsidR="00DC6D36">
        <w:rPr>
          <w:rFonts w:asciiTheme="minorHAnsi" w:hAnsiTheme="minorHAnsi" w:cstheme="minorHAnsi"/>
        </w:rPr>
        <w:t>.</w:t>
      </w:r>
    </w:p>
    <w:p w14:paraId="64134ED5" w14:textId="77777777" w:rsidR="0075465A" w:rsidRDefault="0075465A">
      <w:pPr>
        <w:spacing w:before="0" w:after="160" w:line="259" w:lineRule="auto"/>
        <w:rPr>
          <w:rFonts w:ascii="KPMG Bold" w:eastAsiaTheme="majorEastAsia" w:hAnsi="KPMG Bold" w:cstheme="majorBidi"/>
          <w:color w:val="00338D" w:themeColor="text2"/>
          <w:sz w:val="96"/>
          <w:szCs w:val="32"/>
        </w:rPr>
      </w:pPr>
      <w:bookmarkStart w:id="191" w:name="_Toc136286390"/>
      <w:bookmarkStart w:id="192" w:name="_Ref145071609"/>
      <w:bookmarkStart w:id="193" w:name="_Toc154059374"/>
      <w:bookmarkStart w:id="194" w:name="_Toc132295391"/>
      <w:bookmarkStart w:id="195" w:name="_Toc132295412"/>
      <w:bookmarkStart w:id="196" w:name="_Toc133844045"/>
      <w:r>
        <w:br w:type="page"/>
      </w:r>
    </w:p>
    <w:p w14:paraId="233C0445" w14:textId="0E155966" w:rsidR="00697A89" w:rsidRDefault="003213C9" w:rsidP="00214D42">
      <w:pPr>
        <w:pStyle w:val="Heading1"/>
      </w:pPr>
      <w:r>
        <w:lastRenderedPageBreak/>
        <w:t>Initial o</w:t>
      </w:r>
      <w:r w:rsidR="00697A89">
        <w:t xml:space="preserve">ptions </w:t>
      </w:r>
      <w:bookmarkEnd w:id="191"/>
      <w:r>
        <w:t>a</w:t>
      </w:r>
      <w:r w:rsidR="00985C6B">
        <w:t>sse</w:t>
      </w:r>
      <w:r w:rsidR="0027063F">
        <w:t>ss</w:t>
      </w:r>
      <w:r w:rsidR="00985C6B">
        <w:t>ment</w:t>
      </w:r>
      <w:bookmarkEnd w:id="192"/>
      <w:bookmarkEnd w:id="193"/>
      <w:r w:rsidR="00697A89">
        <w:t xml:space="preserve"> </w:t>
      </w:r>
    </w:p>
    <w:p w14:paraId="38EA7A17" w14:textId="6A0A56ED" w:rsidR="00374B74" w:rsidRPr="00F81ADB" w:rsidRDefault="003213C9" w:rsidP="00214D42">
      <w:pPr>
        <w:pStyle w:val="Heading2"/>
        <w:rPr>
          <w:rFonts w:cstheme="minorHAnsi"/>
        </w:rPr>
      </w:pPr>
      <w:bookmarkStart w:id="197" w:name="_Toc154059375"/>
      <w:bookmarkStart w:id="198" w:name="_Toc136286391"/>
      <w:r w:rsidRPr="00F81ADB">
        <w:rPr>
          <w:rFonts w:cstheme="minorHAnsi"/>
        </w:rPr>
        <w:t>Overview</w:t>
      </w:r>
      <w:bookmarkEnd w:id="197"/>
    </w:p>
    <w:p w14:paraId="71C03392" w14:textId="0FC23028" w:rsidR="00AD595F" w:rsidRPr="005E764F" w:rsidRDefault="006F52E7" w:rsidP="00374B74">
      <w:pPr>
        <w:pStyle w:val="BodyText"/>
        <w:rPr>
          <w:rFonts w:asciiTheme="minorHAnsi" w:hAnsiTheme="minorHAnsi" w:cstheme="minorHAnsi"/>
        </w:rPr>
      </w:pPr>
      <w:r w:rsidRPr="005E764F">
        <w:rPr>
          <w:rFonts w:asciiTheme="minorHAnsi" w:hAnsiTheme="minorHAnsi" w:cstheme="minorHAnsi"/>
        </w:rPr>
        <w:t xml:space="preserve">Based on the </w:t>
      </w:r>
      <w:r w:rsidR="00D74A76" w:rsidRPr="005E764F">
        <w:rPr>
          <w:rFonts w:asciiTheme="minorHAnsi" w:hAnsiTheme="minorHAnsi" w:cstheme="minorHAnsi"/>
        </w:rPr>
        <w:t xml:space="preserve">literature review and </w:t>
      </w:r>
      <w:r w:rsidR="00E25BBA" w:rsidRPr="005E764F">
        <w:rPr>
          <w:rFonts w:asciiTheme="minorHAnsi" w:hAnsiTheme="minorHAnsi" w:cstheme="minorHAnsi"/>
        </w:rPr>
        <w:t xml:space="preserve">assessment of </w:t>
      </w:r>
      <w:r w:rsidR="003269EC" w:rsidRPr="005E764F">
        <w:rPr>
          <w:rFonts w:asciiTheme="minorHAnsi" w:hAnsiTheme="minorHAnsi" w:cstheme="minorHAnsi"/>
        </w:rPr>
        <w:t xml:space="preserve">global policies, a range of policy options were </w:t>
      </w:r>
      <w:r w:rsidR="006670E2" w:rsidRPr="005E764F">
        <w:rPr>
          <w:rFonts w:asciiTheme="minorHAnsi" w:hAnsiTheme="minorHAnsi" w:cstheme="minorHAnsi"/>
        </w:rPr>
        <w:t xml:space="preserve">identified for both commercial building disclosure and </w:t>
      </w:r>
      <w:proofErr w:type="spellStart"/>
      <w:r w:rsidR="006670E2" w:rsidRPr="005E764F">
        <w:rPr>
          <w:rFonts w:asciiTheme="minorHAnsi" w:hAnsiTheme="minorHAnsi" w:cstheme="minorHAnsi"/>
        </w:rPr>
        <w:t>MEPS</w:t>
      </w:r>
      <w:proofErr w:type="spellEnd"/>
      <w:r w:rsidR="006670E2" w:rsidRPr="005E764F">
        <w:rPr>
          <w:rFonts w:asciiTheme="minorHAnsi" w:hAnsiTheme="minorHAnsi" w:cstheme="minorHAnsi"/>
        </w:rPr>
        <w:t xml:space="preserve"> that could be considered in the Australian context. This chapter explores </w:t>
      </w:r>
      <w:r w:rsidR="002C097B" w:rsidRPr="005E764F">
        <w:rPr>
          <w:rFonts w:asciiTheme="minorHAnsi" w:hAnsiTheme="minorHAnsi" w:cstheme="minorHAnsi"/>
        </w:rPr>
        <w:t xml:space="preserve">a range of these </w:t>
      </w:r>
      <w:r w:rsidR="00AC3C69" w:rsidRPr="005E764F">
        <w:rPr>
          <w:rFonts w:asciiTheme="minorHAnsi" w:hAnsiTheme="minorHAnsi" w:cstheme="minorHAnsi"/>
        </w:rPr>
        <w:t>options and</w:t>
      </w:r>
      <w:r w:rsidR="002C097B" w:rsidRPr="005E764F">
        <w:rPr>
          <w:rFonts w:asciiTheme="minorHAnsi" w:hAnsiTheme="minorHAnsi" w:cstheme="minorHAnsi"/>
        </w:rPr>
        <w:t xml:space="preserve"> assesses them against a simplified assessment </w:t>
      </w:r>
      <w:r w:rsidR="00587812" w:rsidRPr="005E764F">
        <w:rPr>
          <w:rFonts w:asciiTheme="minorHAnsi" w:hAnsiTheme="minorHAnsi" w:cstheme="minorHAnsi"/>
        </w:rPr>
        <w:t>criterion</w:t>
      </w:r>
      <w:r w:rsidR="002C097B" w:rsidRPr="005E764F">
        <w:rPr>
          <w:rFonts w:asciiTheme="minorHAnsi" w:hAnsiTheme="minorHAnsi" w:cstheme="minorHAnsi"/>
        </w:rPr>
        <w:t xml:space="preserve">. </w:t>
      </w:r>
    </w:p>
    <w:p w14:paraId="65A8B06D" w14:textId="29637F90" w:rsidR="00AD595F" w:rsidRPr="00F81ADB" w:rsidRDefault="00E87C7C" w:rsidP="00214D42">
      <w:pPr>
        <w:pStyle w:val="Heading2"/>
        <w:rPr>
          <w:rFonts w:cstheme="minorHAnsi"/>
        </w:rPr>
      </w:pPr>
      <w:bookmarkStart w:id="199" w:name="_Toc154059376"/>
      <w:r w:rsidRPr="00F81ADB">
        <w:rPr>
          <w:rFonts w:cstheme="minorHAnsi"/>
        </w:rPr>
        <w:t>Design con</w:t>
      </w:r>
      <w:r w:rsidR="004F48AF" w:rsidRPr="00F81ADB">
        <w:rPr>
          <w:rFonts w:cstheme="minorHAnsi"/>
        </w:rPr>
        <w:t xml:space="preserve">siderations for </w:t>
      </w:r>
      <w:r w:rsidRPr="00F81ADB">
        <w:rPr>
          <w:rFonts w:cstheme="minorHAnsi"/>
        </w:rPr>
        <w:t xml:space="preserve">policy </w:t>
      </w:r>
      <w:proofErr w:type="gramStart"/>
      <w:r w:rsidR="004F48AF" w:rsidRPr="00F81ADB">
        <w:rPr>
          <w:rFonts w:cstheme="minorHAnsi"/>
        </w:rPr>
        <w:t>options</w:t>
      </w:r>
      <w:bookmarkEnd w:id="199"/>
      <w:proofErr w:type="gramEnd"/>
    </w:p>
    <w:p w14:paraId="657416F7" w14:textId="77777777" w:rsidR="00752000" w:rsidRPr="00E63900" w:rsidRDefault="00752000" w:rsidP="00752000">
      <w:pPr>
        <w:pStyle w:val="BodyText"/>
        <w:rPr>
          <w:rFonts w:asciiTheme="minorHAnsi" w:hAnsiTheme="minorHAnsi" w:cstheme="minorHAnsi"/>
        </w:rPr>
      </w:pPr>
      <w:r w:rsidRPr="00E63900">
        <w:rPr>
          <w:rFonts w:asciiTheme="minorHAnsi" w:hAnsiTheme="minorHAnsi" w:cstheme="minorHAnsi"/>
        </w:rPr>
        <w:t>Each option for expanding the CBD program will consider changes across several variables. These variables make up a framework which includes:</w:t>
      </w:r>
    </w:p>
    <w:p w14:paraId="64B6D5EB" w14:textId="40FB33EB" w:rsidR="00A725C9" w:rsidRPr="00E63900" w:rsidRDefault="00A725C9">
      <w:pPr>
        <w:pStyle w:val="BodyText"/>
        <w:numPr>
          <w:ilvl w:val="0"/>
          <w:numId w:val="24"/>
        </w:numPr>
        <w:rPr>
          <w:rFonts w:asciiTheme="minorHAnsi" w:hAnsiTheme="minorHAnsi" w:cstheme="minorHAnsi"/>
        </w:rPr>
      </w:pPr>
      <w:r w:rsidRPr="00E63900">
        <w:rPr>
          <w:rFonts w:asciiTheme="minorHAnsi" w:hAnsiTheme="minorHAnsi" w:cstheme="minorHAnsi"/>
        </w:rPr>
        <w:t>Performance</w:t>
      </w:r>
      <w:r w:rsidR="00A74767" w:rsidRPr="00E63900">
        <w:rPr>
          <w:rFonts w:asciiTheme="minorHAnsi" w:hAnsiTheme="minorHAnsi" w:cstheme="minorHAnsi"/>
        </w:rPr>
        <w:t>-</w:t>
      </w:r>
      <w:r w:rsidRPr="00E63900">
        <w:rPr>
          <w:rFonts w:asciiTheme="minorHAnsi" w:hAnsiTheme="minorHAnsi" w:cstheme="minorHAnsi"/>
        </w:rPr>
        <w:t xml:space="preserve"> vs attribute</w:t>
      </w:r>
      <w:r w:rsidR="00A74767" w:rsidRPr="00E63900">
        <w:rPr>
          <w:rFonts w:asciiTheme="minorHAnsi" w:hAnsiTheme="minorHAnsi" w:cstheme="minorHAnsi"/>
        </w:rPr>
        <w:t>-</w:t>
      </w:r>
      <w:r w:rsidR="00E951C5" w:rsidRPr="00E63900">
        <w:rPr>
          <w:rFonts w:asciiTheme="minorHAnsi" w:hAnsiTheme="minorHAnsi" w:cstheme="minorHAnsi"/>
        </w:rPr>
        <w:t>based assessment</w:t>
      </w:r>
      <w:r w:rsidR="007734EB" w:rsidRPr="00E63900">
        <w:rPr>
          <w:rFonts w:asciiTheme="minorHAnsi" w:hAnsiTheme="minorHAnsi" w:cstheme="minorHAnsi"/>
        </w:rPr>
        <w:t>s</w:t>
      </w:r>
    </w:p>
    <w:p w14:paraId="376BD527" w14:textId="67F608A7" w:rsidR="00EA0A74" w:rsidRPr="00E63900" w:rsidRDefault="00EA0A74">
      <w:pPr>
        <w:pStyle w:val="BodyText"/>
        <w:numPr>
          <w:ilvl w:val="0"/>
          <w:numId w:val="24"/>
        </w:numPr>
        <w:rPr>
          <w:rFonts w:asciiTheme="minorHAnsi" w:hAnsiTheme="minorHAnsi" w:cstheme="minorHAnsi"/>
        </w:rPr>
      </w:pPr>
      <w:r w:rsidRPr="00E63900">
        <w:rPr>
          <w:rFonts w:asciiTheme="minorHAnsi" w:hAnsiTheme="minorHAnsi" w:cstheme="minorHAnsi"/>
        </w:rPr>
        <w:t xml:space="preserve">Coverage and exemptions </w:t>
      </w:r>
    </w:p>
    <w:p w14:paraId="7847A0BF" w14:textId="6C9CC2B5" w:rsidR="00EA0A74" w:rsidRPr="00E63900" w:rsidRDefault="00EA0A74">
      <w:pPr>
        <w:pStyle w:val="BodyText"/>
        <w:numPr>
          <w:ilvl w:val="0"/>
          <w:numId w:val="24"/>
        </w:numPr>
        <w:rPr>
          <w:rFonts w:asciiTheme="minorHAnsi" w:hAnsiTheme="minorHAnsi" w:cstheme="minorHAnsi"/>
        </w:rPr>
      </w:pPr>
      <w:r w:rsidRPr="00E63900">
        <w:rPr>
          <w:rFonts w:asciiTheme="minorHAnsi" w:hAnsiTheme="minorHAnsi" w:cstheme="minorHAnsi"/>
        </w:rPr>
        <w:t xml:space="preserve">Reporting </w:t>
      </w:r>
    </w:p>
    <w:p w14:paraId="2715F68D" w14:textId="71BC3FDD" w:rsidR="00CE35F4" w:rsidRPr="00E63900" w:rsidRDefault="00CE35F4">
      <w:pPr>
        <w:pStyle w:val="BodyText"/>
        <w:numPr>
          <w:ilvl w:val="0"/>
          <w:numId w:val="24"/>
        </w:numPr>
        <w:rPr>
          <w:rFonts w:asciiTheme="minorHAnsi" w:hAnsiTheme="minorHAnsi" w:cstheme="minorHAnsi"/>
        </w:rPr>
      </w:pPr>
      <w:r w:rsidRPr="00E63900">
        <w:rPr>
          <w:rFonts w:asciiTheme="minorHAnsi" w:hAnsiTheme="minorHAnsi" w:cstheme="minorHAnsi"/>
        </w:rPr>
        <w:t xml:space="preserve">Compliance </w:t>
      </w:r>
    </w:p>
    <w:p w14:paraId="3EBED536" w14:textId="3920ABEC" w:rsidR="00CE35F4" w:rsidRPr="00E63900" w:rsidRDefault="00CE35F4">
      <w:pPr>
        <w:pStyle w:val="BodyText"/>
        <w:numPr>
          <w:ilvl w:val="0"/>
          <w:numId w:val="24"/>
        </w:numPr>
        <w:rPr>
          <w:rFonts w:asciiTheme="minorHAnsi" w:hAnsiTheme="minorHAnsi" w:cstheme="minorHAnsi"/>
        </w:rPr>
      </w:pPr>
      <w:r w:rsidRPr="00E63900">
        <w:rPr>
          <w:rFonts w:asciiTheme="minorHAnsi" w:hAnsiTheme="minorHAnsi" w:cstheme="minorHAnsi"/>
        </w:rPr>
        <w:t>Display of rating</w:t>
      </w:r>
    </w:p>
    <w:p w14:paraId="29B086C5" w14:textId="4935109A" w:rsidR="00752000" w:rsidRPr="00E63900" w:rsidRDefault="00752000" w:rsidP="00752000">
      <w:pPr>
        <w:pStyle w:val="BodyText"/>
        <w:rPr>
          <w:rFonts w:asciiTheme="minorHAnsi" w:hAnsiTheme="minorHAnsi" w:cstheme="minorHAnsi"/>
          <w:szCs w:val="20"/>
        </w:rPr>
      </w:pPr>
      <w:r w:rsidRPr="00E63900">
        <w:rPr>
          <w:rFonts w:asciiTheme="minorHAnsi" w:hAnsiTheme="minorHAnsi" w:cstheme="minorHAnsi"/>
          <w:szCs w:val="20"/>
        </w:rPr>
        <w:t xml:space="preserve">Further details </w:t>
      </w:r>
      <w:r w:rsidR="00CE35F4" w:rsidRPr="00E63900">
        <w:rPr>
          <w:rFonts w:asciiTheme="minorHAnsi" w:hAnsiTheme="minorHAnsi" w:cstheme="minorHAnsi"/>
          <w:szCs w:val="20"/>
        </w:rPr>
        <w:t>and associated</w:t>
      </w:r>
      <w:r w:rsidRPr="00E63900">
        <w:rPr>
          <w:rFonts w:asciiTheme="minorHAnsi" w:hAnsiTheme="minorHAnsi" w:cstheme="minorHAnsi"/>
          <w:szCs w:val="20"/>
        </w:rPr>
        <w:t xml:space="preserve"> trade-off</w:t>
      </w:r>
      <w:r w:rsidR="00CE35F4" w:rsidRPr="00E63900">
        <w:rPr>
          <w:rFonts w:asciiTheme="minorHAnsi" w:hAnsiTheme="minorHAnsi" w:cstheme="minorHAnsi"/>
          <w:szCs w:val="20"/>
        </w:rPr>
        <w:t>s</w:t>
      </w:r>
      <w:r w:rsidRPr="00E63900">
        <w:rPr>
          <w:rFonts w:asciiTheme="minorHAnsi" w:hAnsiTheme="minorHAnsi" w:cstheme="minorHAnsi"/>
          <w:szCs w:val="20"/>
        </w:rPr>
        <w:t xml:space="preserve"> </w:t>
      </w:r>
      <w:r w:rsidR="00CE35F4" w:rsidRPr="00E63900">
        <w:rPr>
          <w:rFonts w:asciiTheme="minorHAnsi" w:hAnsiTheme="minorHAnsi" w:cstheme="minorHAnsi"/>
          <w:szCs w:val="20"/>
        </w:rPr>
        <w:t>are</w:t>
      </w:r>
      <w:r w:rsidRPr="00E63900">
        <w:rPr>
          <w:rFonts w:asciiTheme="minorHAnsi" w:hAnsiTheme="minorHAnsi" w:cstheme="minorHAnsi"/>
          <w:szCs w:val="20"/>
        </w:rPr>
        <w:t xml:space="preserve"> provided below. This also includes the requirements for the current CBD program. </w:t>
      </w:r>
    </w:p>
    <w:p w14:paraId="17392DA2" w14:textId="74F5A4AC" w:rsidR="00E951C5" w:rsidRPr="00E63900" w:rsidRDefault="00E951C5" w:rsidP="00752000">
      <w:pPr>
        <w:pStyle w:val="BodyText"/>
        <w:rPr>
          <w:rFonts w:asciiTheme="minorHAnsi" w:hAnsiTheme="minorHAnsi" w:cstheme="minorHAnsi"/>
          <w:b/>
          <w:szCs w:val="20"/>
        </w:rPr>
      </w:pPr>
      <w:r w:rsidRPr="00E63900">
        <w:rPr>
          <w:rFonts w:asciiTheme="minorHAnsi" w:hAnsiTheme="minorHAnsi" w:cstheme="minorHAnsi"/>
          <w:b/>
          <w:szCs w:val="20"/>
        </w:rPr>
        <w:t>Performance</w:t>
      </w:r>
      <w:r w:rsidR="00A74767" w:rsidRPr="00E63900">
        <w:rPr>
          <w:rFonts w:asciiTheme="minorHAnsi" w:hAnsiTheme="minorHAnsi" w:cstheme="minorHAnsi"/>
          <w:b/>
          <w:szCs w:val="20"/>
        </w:rPr>
        <w:t>-</w:t>
      </w:r>
      <w:r w:rsidRPr="00E63900">
        <w:rPr>
          <w:rFonts w:asciiTheme="minorHAnsi" w:hAnsiTheme="minorHAnsi" w:cstheme="minorHAnsi"/>
          <w:b/>
          <w:szCs w:val="20"/>
        </w:rPr>
        <w:t xml:space="preserve"> versus </w:t>
      </w:r>
      <w:r w:rsidR="00A74767" w:rsidRPr="00E63900">
        <w:rPr>
          <w:rFonts w:asciiTheme="minorHAnsi" w:hAnsiTheme="minorHAnsi" w:cstheme="minorHAnsi"/>
          <w:b/>
          <w:szCs w:val="20"/>
        </w:rPr>
        <w:t>attribute-based</w:t>
      </w:r>
      <w:r w:rsidRPr="00E63900">
        <w:rPr>
          <w:rFonts w:asciiTheme="minorHAnsi" w:hAnsiTheme="minorHAnsi" w:cstheme="minorHAnsi"/>
          <w:b/>
          <w:szCs w:val="20"/>
        </w:rPr>
        <w:t xml:space="preserve"> assessment</w:t>
      </w:r>
      <w:r w:rsidR="007734EB" w:rsidRPr="00E63900">
        <w:rPr>
          <w:rFonts w:asciiTheme="minorHAnsi" w:hAnsiTheme="minorHAnsi" w:cstheme="minorHAnsi"/>
          <w:b/>
          <w:szCs w:val="20"/>
        </w:rPr>
        <w:t>s</w:t>
      </w:r>
    </w:p>
    <w:p w14:paraId="7510D1A1" w14:textId="65AF0F79" w:rsidR="00E951C5" w:rsidRPr="00E63900" w:rsidRDefault="00DC7C00" w:rsidP="00752000">
      <w:pPr>
        <w:pStyle w:val="BodyText"/>
        <w:rPr>
          <w:rFonts w:asciiTheme="minorHAnsi" w:hAnsiTheme="minorHAnsi" w:cstheme="minorHAnsi"/>
          <w:szCs w:val="20"/>
        </w:rPr>
      </w:pPr>
      <w:r w:rsidRPr="00E63900">
        <w:rPr>
          <w:rFonts w:asciiTheme="minorHAnsi" w:hAnsiTheme="minorHAnsi" w:cstheme="minorHAnsi"/>
          <w:szCs w:val="20"/>
        </w:rPr>
        <w:t>The international research indicate</w:t>
      </w:r>
      <w:r w:rsidR="00212556" w:rsidRPr="00E63900">
        <w:rPr>
          <w:rFonts w:asciiTheme="minorHAnsi" w:hAnsiTheme="minorHAnsi" w:cstheme="minorHAnsi"/>
          <w:szCs w:val="20"/>
        </w:rPr>
        <w:t>s</w:t>
      </w:r>
      <w:r w:rsidRPr="00E63900">
        <w:rPr>
          <w:rFonts w:asciiTheme="minorHAnsi" w:hAnsiTheme="minorHAnsi" w:cstheme="minorHAnsi"/>
          <w:szCs w:val="20"/>
        </w:rPr>
        <w:t xml:space="preserve"> a trend towards performance-based </w:t>
      </w:r>
      <w:r w:rsidR="00A72C19" w:rsidRPr="00E63900">
        <w:rPr>
          <w:rFonts w:asciiTheme="minorHAnsi" w:hAnsiTheme="minorHAnsi" w:cstheme="minorHAnsi"/>
          <w:szCs w:val="20"/>
        </w:rPr>
        <w:t>assessments. Although attribute-based may more easily achieve s</w:t>
      </w:r>
      <w:r w:rsidR="009A117A" w:rsidRPr="00E63900">
        <w:rPr>
          <w:rFonts w:asciiTheme="minorHAnsi" w:hAnsiTheme="minorHAnsi" w:cstheme="minorHAnsi"/>
          <w:szCs w:val="20"/>
        </w:rPr>
        <w:t>cale</w:t>
      </w:r>
      <w:r w:rsidR="00F42084" w:rsidRPr="00E63900">
        <w:rPr>
          <w:rFonts w:asciiTheme="minorHAnsi" w:hAnsiTheme="minorHAnsi" w:cstheme="minorHAnsi"/>
          <w:szCs w:val="20"/>
        </w:rPr>
        <w:t xml:space="preserve"> as it is eas</w:t>
      </w:r>
      <w:r w:rsidR="00D05BD9" w:rsidRPr="00E63900">
        <w:rPr>
          <w:rFonts w:asciiTheme="minorHAnsi" w:hAnsiTheme="minorHAnsi" w:cstheme="minorHAnsi"/>
          <w:szCs w:val="20"/>
        </w:rPr>
        <w:t>y</w:t>
      </w:r>
      <w:r w:rsidR="00F42084" w:rsidRPr="00E63900">
        <w:rPr>
          <w:rFonts w:asciiTheme="minorHAnsi" w:hAnsiTheme="minorHAnsi" w:cstheme="minorHAnsi"/>
          <w:szCs w:val="20"/>
        </w:rPr>
        <w:t xml:space="preserve"> to assess building attributes</w:t>
      </w:r>
      <w:r w:rsidR="00E001B8" w:rsidRPr="00E63900">
        <w:rPr>
          <w:rFonts w:asciiTheme="minorHAnsi" w:hAnsiTheme="minorHAnsi" w:cstheme="minorHAnsi"/>
          <w:szCs w:val="20"/>
        </w:rPr>
        <w:t xml:space="preserve">, </w:t>
      </w:r>
      <w:r w:rsidR="00F42084" w:rsidRPr="00E63900">
        <w:rPr>
          <w:rFonts w:asciiTheme="minorHAnsi" w:hAnsiTheme="minorHAnsi" w:cstheme="minorHAnsi"/>
          <w:szCs w:val="20"/>
        </w:rPr>
        <w:t>the research highlights</w:t>
      </w:r>
      <w:r w:rsidR="00E001B8" w:rsidRPr="00E63900">
        <w:rPr>
          <w:rFonts w:asciiTheme="minorHAnsi" w:hAnsiTheme="minorHAnsi" w:cstheme="minorHAnsi"/>
          <w:szCs w:val="20"/>
        </w:rPr>
        <w:t xml:space="preserve"> </w:t>
      </w:r>
      <w:proofErr w:type="gramStart"/>
      <w:r w:rsidR="00E001B8" w:rsidRPr="00E63900">
        <w:rPr>
          <w:rFonts w:asciiTheme="minorHAnsi" w:hAnsiTheme="minorHAnsi" w:cstheme="minorHAnsi"/>
          <w:szCs w:val="20"/>
        </w:rPr>
        <w:t>concerns</w:t>
      </w:r>
      <w:proofErr w:type="gramEnd"/>
      <w:r w:rsidR="00E001B8" w:rsidRPr="00E63900">
        <w:rPr>
          <w:rFonts w:asciiTheme="minorHAnsi" w:hAnsiTheme="minorHAnsi" w:cstheme="minorHAnsi"/>
          <w:szCs w:val="20"/>
        </w:rPr>
        <w:t xml:space="preserve"> that </w:t>
      </w:r>
      <w:r w:rsidR="00F42084" w:rsidRPr="00E63900">
        <w:rPr>
          <w:rFonts w:asciiTheme="minorHAnsi" w:hAnsiTheme="minorHAnsi" w:cstheme="minorHAnsi"/>
          <w:szCs w:val="20"/>
        </w:rPr>
        <w:t xml:space="preserve">assessing </w:t>
      </w:r>
      <w:r w:rsidR="00E001B8" w:rsidRPr="00E63900">
        <w:rPr>
          <w:rFonts w:asciiTheme="minorHAnsi" w:hAnsiTheme="minorHAnsi" w:cstheme="minorHAnsi"/>
          <w:szCs w:val="20"/>
        </w:rPr>
        <w:t>attribute</w:t>
      </w:r>
      <w:r w:rsidR="00F42084" w:rsidRPr="00E63900">
        <w:rPr>
          <w:rFonts w:asciiTheme="minorHAnsi" w:hAnsiTheme="minorHAnsi" w:cstheme="minorHAnsi"/>
          <w:szCs w:val="20"/>
        </w:rPr>
        <w:t>s only does</w:t>
      </w:r>
      <w:r w:rsidR="00E001B8" w:rsidRPr="00E63900">
        <w:rPr>
          <w:rFonts w:asciiTheme="minorHAnsi" w:hAnsiTheme="minorHAnsi" w:cstheme="minorHAnsi"/>
          <w:szCs w:val="20"/>
        </w:rPr>
        <w:t xml:space="preserve"> not lead to </w:t>
      </w:r>
      <w:r w:rsidR="007734EB" w:rsidRPr="00E63900">
        <w:rPr>
          <w:rFonts w:asciiTheme="minorHAnsi" w:hAnsiTheme="minorHAnsi" w:cstheme="minorHAnsi"/>
          <w:szCs w:val="20"/>
        </w:rPr>
        <w:t>sufficient</w:t>
      </w:r>
      <w:r w:rsidR="00E001B8" w:rsidRPr="00E63900">
        <w:rPr>
          <w:rFonts w:asciiTheme="minorHAnsi" w:hAnsiTheme="minorHAnsi" w:cstheme="minorHAnsi"/>
          <w:szCs w:val="20"/>
        </w:rPr>
        <w:t xml:space="preserve"> change in </w:t>
      </w:r>
      <w:r w:rsidR="00E60321" w:rsidRPr="00E63900">
        <w:rPr>
          <w:rFonts w:asciiTheme="minorHAnsi" w:hAnsiTheme="minorHAnsi" w:cstheme="minorHAnsi"/>
          <w:szCs w:val="20"/>
        </w:rPr>
        <w:t xml:space="preserve">building </w:t>
      </w:r>
      <w:r w:rsidR="00E001B8" w:rsidRPr="00E63900">
        <w:rPr>
          <w:rFonts w:asciiTheme="minorHAnsi" w:hAnsiTheme="minorHAnsi" w:cstheme="minorHAnsi"/>
          <w:szCs w:val="20"/>
        </w:rPr>
        <w:t>energy use</w:t>
      </w:r>
      <w:r w:rsidR="00E60321" w:rsidRPr="00E63900">
        <w:rPr>
          <w:rFonts w:asciiTheme="minorHAnsi" w:hAnsiTheme="minorHAnsi" w:cstheme="minorHAnsi"/>
          <w:szCs w:val="20"/>
        </w:rPr>
        <w:t>. For this</w:t>
      </w:r>
      <w:r w:rsidR="00120818" w:rsidRPr="00E63900">
        <w:rPr>
          <w:rFonts w:asciiTheme="minorHAnsi" w:hAnsiTheme="minorHAnsi" w:cstheme="minorHAnsi"/>
          <w:szCs w:val="20"/>
        </w:rPr>
        <w:t xml:space="preserve"> reason, a performance</w:t>
      </w:r>
      <w:r w:rsidR="00144902" w:rsidRPr="00E63900">
        <w:rPr>
          <w:rFonts w:asciiTheme="minorHAnsi" w:hAnsiTheme="minorHAnsi" w:cstheme="minorHAnsi"/>
          <w:szCs w:val="20"/>
        </w:rPr>
        <w:t>-</w:t>
      </w:r>
      <w:r w:rsidR="00120818" w:rsidRPr="00E63900">
        <w:rPr>
          <w:rFonts w:asciiTheme="minorHAnsi" w:hAnsiTheme="minorHAnsi" w:cstheme="minorHAnsi"/>
          <w:szCs w:val="20"/>
        </w:rPr>
        <w:t>based</w:t>
      </w:r>
      <w:r w:rsidR="00E60321" w:rsidRPr="00E63900">
        <w:rPr>
          <w:rFonts w:asciiTheme="minorHAnsi" w:hAnsiTheme="minorHAnsi" w:cstheme="minorHAnsi"/>
          <w:szCs w:val="20"/>
        </w:rPr>
        <w:t xml:space="preserve"> </w:t>
      </w:r>
      <w:r w:rsidR="00120818" w:rsidRPr="00E63900">
        <w:rPr>
          <w:rFonts w:asciiTheme="minorHAnsi" w:hAnsiTheme="minorHAnsi" w:cstheme="minorHAnsi"/>
          <w:szCs w:val="20"/>
        </w:rPr>
        <w:t>tool is recommended</w:t>
      </w:r>
      <w:r w:rsidR="00694ADA" w:rsidRPr="00E63900">
        <w:rPr>
          <w:rFonts w:asciiTheme="minorHAnsi" w:hAnsiTheme="minorHAnsi" w:cstheme="minorHAnsi"/>
          <w:szCs w:val="20"/>
        </w:rPr>
        <w:t>. A</w:t>
      </w:r>
      <w:r w:rsidR="009B5240" w:rsidRPr="00E63900">
        <w:rPr>
          <w:rFonts w:asciiTheme="minorHAnsi" w:hAnsiTheme="minorHAnsi" w:cstheme="minorHAnsi"/>
          <w:szCs w:val="20"/>
        </w:rPr>
        <w:t xml:space="preserve">s NABERS is </w:t>
      </w:r>
      <w:r w:rsidR="00694ADA" w:rsidRPr="00E63900">
        <w:rPr>
          <w:rFonts w:asciiTheme="minorHAnsi" w:hAnsiTheme="minorHAnsi" w:cstheme="minorHAnsi"/>
          <w:szCs w:val="20"/>
        </w:rPr>
        <w:t>the current CBD program tool</w:t>
      </w:r>
      <w:r w:rsidR="00144902" w:rsidRPr="00E63900">
        <w:rPr>
          <w:rFonts w:asciiTheme="minorHAnsi" w:hAnsiTheme="minorHAnsi" w:cstheme="minorHAnsi"/>
          <w:szCs w:val="20"/>
        </w:rPr>
        <w:t xml:space="preserve">, </w:t>
      </w:r>
      <w:r w:rsidR="00694ADA" w:rsidRPr="00E63900">
        <w:rPr>
          <w:rFonts w:asciiTheme="minorHAnsi" w:hAnsiTheme="minorHAnsi" w:cstheme="minorHAnsi"/>
          <w:szCs w:val="20"/>
        </w:rPr>
        <w:t>the expanded program</w:t>
      </w:r>
      <w:r w:rsidR="000B2D97" w:rsidRPr="00E63900">
        <w:rPr>
          <w:rFonts w:asciiTheme="minorHAnsi" w:hAnsiTheme="minorHAnsi" w:cstheme="minorHAnsi"/>
          <w:szCs w:val="20"/>
        </w:rPr>
        <w:t xml:space="preserve"> can continue to </w:t>
      </w:r>
      <w:r w:rsidR="00694ADA" w:rsidRPr="00E63900">
        <w:rPr>
          <w:rFonts w:asciiTheme="minorHAnsi" w:hAnsiTheme="minorHAnsi" w:cstheme="minorHAnsi"/>
          <w:szCs w:val="20"/>
        </w:rPr>
        <w:t>use NABERS</w:t>
      </w:r>
      <w:r w:rsidR="006678CA" w:rsidRPr="00E63900">
        <w:rPr>
          <w:rFonts w:asciiTheme="minorHAnsi" w:hAnsiTheme="minorHAnsi" w:cstheme="minorHAnsi"/>
          <w:szCs w:val="20"/>
        </w:rPr>
        <w:t xml:space="preserve">, making sure it </w:t>
      </w:r>
      <w:r w:rsidR="0003091B" w:rsidRPr="00E63900">
        <w:rPr>
          <w:rFonts w:asciiTheme="minorHAnsi" w:hAnsiTheme="minorHAnsi" w:cstheme="minorHAnsi"/>
          <w:szCs w:val="20"/>
        </w:rPr>
        <w:t>can be used for</w:t>
      </w:r>
      <w:r w:rsidR="000B2D97" w:rsidRPr="00E63900">
        <w:rPr>
          <w:rFonts w:asciiTheme="minorHAnsi" w:hAnsiTheme="minorHAnsi" w:cstheme="minorHAnsi"/>
          <w:szCs w:val="20"/>
        </w:rPr>
        <w:t xml:space="preserve"> building types</w:t>
      </w:r>
      <w:r w:rsidR="0003091B" w:rsidRPr="00E63900">
        <w:rPr>
          <w:rFonts w:asciiTheme="minorHAnsi" w:hAnsiTheme="minorHAnsi" w:cstheme="minorHAnsi"/>
          <w:szCs w:val="20"/>
        </w:rPr>
        <w:t xml:space="preserve"> that are part of the </w:t>
      </w:r>
      <w:r w:rsidR="00DD6017" w:rsidRPr="00E63900">
        <w:rPr>
          <w:rFonts w:asciiTheme="minorHAnsi" w:hAnsiTheme="minorHAnsi" w:cstheme="minorHAnsi"/>
          <w:szCs w:val="20"/>
        </w:rPr>
        <w:t>expanded program.</w:t>
      </w:r>
      <w:r w:rsidR="008831AA" w:rsidRPr="00E63900">
        <w:rPr>
          <w:rFonts w:asciiTheme="minorHAnsi" w:hAnsiTheme="minorHAnsi" w:cstheme="minorHAnsi"/>
          <w:szCs w:val="20"/>
        </w:rPr>
        <w:t xml:space="preserve"> </w:t>
      </w:r>
    </w:p>
    <w:p w14:paraId="61AC330A" w14:textId="0CAD7291" w:rsidR="00CE35F4" w:rsidRPr="00E63900" w:rsidRDefault="00CE35F4" w:rsidP="00752000">
      <w:pPr>
        <w:pStyle w:val="BodyText"/>
        <w:rPr>
          <w:rFonts w:asciiTheme="minorHAnsi" w:hAnsiTheme="minorHAnsi" w:cstheme="minorHAnsi"/>
          <w:b/>
          <w:szCs w:val="20"/>
        </w:rPr>
      </w:pPr>
      <w:r w:rsidRPr="00E63900">
        <w:rPr>
          <w:rFonts w:asciiTheme="minorHAnsi" w:hAnsiTheme="minorHAnsi" w:cstheme="minorHAnsi"/>
          <w:b/>
          <w:szCs w:val="20"/>
        </w:rPr>
        <w:t>Coverage and exemptions</w:t>
      </w:r>
    </w:p>
    <w:p w14:paraId="39AA8C91" w14:textId="67B3D970" w:rsidR="007A436A" w:rsidRPr="00E63900" w:rsidRDefault="007A436A" w:rsidP="007A436A">
      <w:pPr>
        <w:pStyle w:val="BodyText"/>
        <w:rPr>
          <w:rFonts w:asciiTheme="minorHAnsi" w:hAnsiTheme="minorHAnsi" w:cstheme="minorHAnsi"/>
          <w:szCs w:val="20"/>
        </w:rPr>
      </w:pPr>
      <w:r w:rsidRPr="00E63900">
        <w:rPr>
          <w:rFonts w:asciiTheme="minorHAnsi" w:hAnsiTheme="minorHAnsi" w:cstheme="minorHAnsi"/>
          <w:szCs w:val="20"/>
        </w:rPr>
        <w:t>Coverage could be approached in a range of ways. A one size fits all approach could be implemented whereby all buildings, regardless of size or type</w:t>
      </w:r>
      <w:r w:rsidR="000C6688" w:rsidRPr="00E63900">
        <w:rPr>
          <w:rFonts w:asciiTheme="minorHAnsi" w:hAnsiTheme="minorHAnsi" w:cstheme="minorHAnsi"/>
          <w:szCs w:val="20"/>
        </w:rPr>
        <w:t>,</w:t>
      </w:r>
      <w:r w:rsidRPr="00E63900">
        <w:rPr>
          <w:rFonts w:asciiTheme="minorHAnsi" w:hAnsiTheme="minorHAnsi" w:cstheme="minorHAnsi"/>
          <w:szCs w:val="20"/>
        </w:rPr>
        <w:t xml:space="preserve"> would be included</w:t>
      </w:r>
      <w:r w:rsidR="0005223F" w:rsidRPr="00E63900">
        <w:rPr>
          <w:rFonts w:asciiTheme="minorHAnsi" w:hAnsiTheme="minorHAnsi" w:cstheme="minorHAnsi"/>
          <w:szCs w:val="20"/>
        </w:rPr>
        <w:t>. A</w:t>
      </w:r>
      <w:r w:rsidRPr="00E63900">
        <w:rPr>
          <w:rFonts w:asciiTheme="minorHAnsi" w:hAnsiTheme="minorHAnsi" w:cstheme="minorHAnsi"/>
          <w:szCs w:val="20"/>
        </w:rPr>
        <w:t xml:space="preserve">nother approach could focus on targeting larger emitting buildings before including smaller buildings. Each approach has associated benefits and trade-offs. By including all building types, </w:t>
      </w:r>
      <w:r w:rsidR="003275D3" w:rsidRPr="00E63900">
        <w:rPr>
          <w:rFonts w:asciiTheme="minorHAnsi" w:hAnsiTheme="minorHAnsi" w:cstheme="minorHAnsi"/>
          <w:szCs w:val="20"/>
        </w:rPr>
        <w:t>the p</w:t>
      </w:r>
      <w:r w:rsidR="00406320" w:rsidRPr="00E63900">
        <w:rPr>
          <w:rFonts w:asciiTheme="minorHAnsi" w:hAnsiTheme="minorHAnsi" w:cstheme="minorHAnsi"/>
          <w:szCs w:val="20"/>
        </w:rPr>
        <w:t xml:space="preserve">rogram would have </w:t>
      </w:r>
      <w:r w:rsidRPr="00E63900">
        <w:rPr>
          <w:rFonts w:asciiTheme="minorHAnsi" w:hAnsiTheme="minorHAnsi" w:cstheme="minorHAnsi"/>
          <w:szCs w:val="20"/>
        </w:rPr>
        <w:t xml:space="preserve">a greater reach </w:t>
      </w:r>
      <w:r w:rsidR="00406320" w:rsidRPr="00E63900">
        <w:rPr>
          <w:rFonts w:asciiTheme="minorHAnsi" w:hAnsiTheme="minorHAnsi" w:cstheme="minorHAnsi"/>
          <w:szCs w:val="20"/>
        </w:rPr>
        <w:t xml:space="preserve">and </w:t>
      </w:r>
      <w:r w:rsidRPr="00E63900">
        <w:rPr>
          <w:rFonts w:asciiTheme="minorHAnsi" w:hAnsiTheme="minorHAnsi" w:cstheme="minorHAnsi"/>
          <w:szCs w:val="20"/>
        </w:rPr>
        <w:t>provid</w:t>
      </w:r>
      <w:r w:rsidR="00406320" w:rsidRPr="00E63900">
        <w:rPr>
          <w:rFonts w:asciiTheme="minorHAnsi" w:hAnsiTheme="minorHAnsi" w:cstheme="minorHAnsi"/>
          <w:szCs w:val="20"/>
        </w:rPr>
        <w:t>e</w:t>
      </w:r>
      <w:r w:rsidRPr="00E63900">
        <w:rPr>
          <w:rFonts w:asciiTheme="minorHAnsi" w:hAnsiTheme="minorHAnsi" w:cstheme="minorHAnsi"/>
          <w:szCs w:val="20"/>
        </w:rPr>
        <w:t xml:space="preserve"> more opportunities for change</w:t>
      </w:r>
      <w:r w:rsidR="00406320" w:rsidRPr="00E63900">
        <w:rPr>
          <w:rFonts w:asciiTheme="minorHAnsi" w:hAnsiTheme="minorHAnsi" w:cstheme="minorHAnsi"/>
          <w:szCs w:val="20"/>
        </w:rPr>
        <w:t>. H</w:t>
      </w:r>
      <w:r w:rsidRPr="00E63900">
        <w:rPr>
          <w:rFonts w:asciiTheme="minorHAnsi" w:hAnsiTheme="minorHAnsi" w:cstheme="minorHAnsi"/>
          <w:szCs w:val="20"/>
        </w:rPr>
        <w:t>owever</w:t>
      </w:r>
      <w:r w:rsidR="00406320" w:rsidRPr="00E63900">
        <w:rPr>
          <w:rFonts w:asciiTheme="minorHAnsi" w:hAnsiTheme="minorHAnsi" w:cstheme="minorHAnsi"/>
          <w:szCs w:val="20"/>
        </w:rPr>
        <w:t>,</w:t>
      </w:r>
      <w:r w:rsidRPr="00E63900">
        <w:rPr>
          <w:rFonts w:asciiTheme="minorHAnsi" w:hAnsiTheme="minorHAnsi" w:cstheme="minorHAnsi"/>
          <w:szCs w:val="20"/>
        </w:rPr>
        <w:t xml:space="preserve"> certain building types and sizes may find it more difficult to pay for and report energy efficiency ratings, and NABERS ratings are not available for all types of buildings. Focusing on larger buildings initially would increase the scale of impact, </w:t>
      </w:r>
      <w:r w:rsidR="00B1427D" w:rsidRPr="00E63900">
        <w:rPr>
          <w:rFonts w:asciiTheme="minorHAnsi" w:hAnsiTheme="minorHAnsi" w:cstheme="minorHAnsi"/>
          <w:szCs w:val="20"/>
        </w:rPr>
        <w:t>as</w:t>
      </w:r>
      <w:r w:rsidRPr="00E63900">
        <w:rPr>
          <w:rFonts w:asciiTheme="minorHAnsi" w:hAnsiTheme="minorHAnsi" w:cstheme="minorHAnsi"/>
          <w:szCs w:val="20"/>
        </w:rPr>
        <w:t xml:space="preserve"> a small proportion of larger buildings would cover a high proportion of </w:t>
      </w:r>
      <w:r w:rsidR="00C8286B" w:rsidRPr="00E63900">
        <w:rPr>
          <w:rFonts w:asciiTheme="minorHAnsi" w:hAnsiTheme="minorHAnsi" w:cstheme="minorHAnsi"/>
          <w:szCs w:val="20"/>
        </w:rPr>
        <w:t>overall</w:t>
      </w:r>
      <w:r w:rsidRPr="00E63900">
        <w:rPr>
          <w:rFonts w:asciiTheme="minorHAnsi" w:hAnsiTheme="minorHAnsi" w:cstheme="minorHAnsi"/>
          <w:szCs w:val="20"/>
        </w:rPr>
        <w:t xml:space="preserve"> </w:t>
      </w:r>
      <w:proofErr w:type="spellStart"/>
      <w:r w:rsidRPr="00E63900">
        <w:rPr>
          <w:rFonts w:asciiTheme="minorHAnsi" w:hAnsiTheme="minorHAnsi" w:cstheme="minorHAnsi"/>
          <w:szCs w:val="20"/>
        </w:rPr>
        <w:t>GFA</w:t>
      </w:r>
      <w:proofErr w:type="spellEnd"/>
      <w:r w:rsidR="00DF290C" w:rsidRPr="00E63900">
        <w:rPr>
          <w:rFonts w:asciiTheme="minorHAnsi" w:hAnsiTheme="minorHAnsi" w:cstheme="minorHAnsi"/>
          <w:szCs w:val="20"/>
        </w:rPr>
        <w:t xml:space="preserve"> and </w:t>
      </w:r>
      <w:r w:rsidR="00023196" w:rsidRPr="00E63900">
        <w:rPr>
          <w:rFonts w:asciiTheme="minorHAnsi" w:hAnsiTheme="minorHAnsi" w:cstheme="minorHAnsi"/>
          <w:szCs w:val="20"/>
        </w:rPr>
        <w:t>energy use</w:t>
      </w:r>
      <w:r w:rsidRPr="00E63900">
        <w:rPr>
          <w:rFonts w:asciiTheme="minorHAnsi" w:hAnsiTheme="minorHAnsi" w:cstheme="minorHAnsi"/>
          <w:szCs w:val="20"/>
        </w:rPr>
        <w:t xml:space="preserve">.  </w:t>
      </w:r>
    </w:p>
    <w:p w14:paraId="045F82F5" w14:textId="5EDF784E" w:rsidR="00CE35F4" w:rsidRPr="00E63900" w:rsidRDefault="007A436A" w:rsidP="00752000">
      <w:pPr>
        <w:pStyle w:val="BodyText"/>
        <w:rPr>
          <w:rFonts w:asciiTheme="minorHAnsi" w:hAnsiTheme="minorHAnsi" w:cstheme="minorHAnsi"/>
          <w:szCs w:val="20"/>
        </w:rPr>
      </w:pPr>
      <w:r w:rsidRPr="00E63900">
        <w:rPr>
          <w:rFonts w:asciiTheme="minorHAnsi" w:hAnsiTheme="minorHAnsi" w:cstheme="minorHAnsi"/>
          <w:szCs w:val="20"/>
        </w:rPr>
        <w:t>The current CBD program focuses on buildings that are majority offices &gt;1,000m2.</w:t>
      </w:r>
    </w:p>
    <w:p w14:paraId="67F9375D" w14:textId="767F5978" w:rsidR="007A436A" w:rsidRPr="00E63900" w:rsidRDefault="007545C0" w:rsidP="007A436A">
      <w:pPr>
        <w:pStyle w:val="BodyText"/>
        <w:rPr>
          <w:rFonts w:asciiTheme="minorHAnsi" w:hAnsiTheme="minorHAnsi" w:cstheme="minorHAnsi"/>
          <w:szCs w:val="20"/>
        </w:rPr>
      </w:pPr>
      <w:r w:rsidRPr="00E63900">
        <w:rPr>
          <w:rFonts w:asciiTheme="minorHAnsi" w:hAnsiTheme="minorHAnsi" w:cstheme="minorHAnsi"/>
          <w:szCs w:val="20"/>
        </w:rPr>
        <w:t>Exceptions</w:t>
      </w:r>
      <w:r w:rsidR="007A436A" w:rsidRPr="00E63900">
        <w:rPr>
          <w:rFonts w:asciiTheme="minorHAnsi" w:hAnsiTheme="minorHAnsi" w:cstheme="minorHAnsi"/>
          <w:szCs w:val="20"/>
        </w:rPr>
        <w:t xml:space="preserve"> to coverage are building types or situations where disclosure or </w:t>
      </w:r>
      <w:proofErr w:type="spellStart"/>
      <w:r w:rsidR="007A436A" w:rsidRPr="00E63900">
        <w:rPr>
          <w:rFonts w:asciiTheme="minorHAnsi" w:hAnsiTheme="minorHAnsi" w:cstheme="minorHAnsi"/>
          <w:szCs w:val="20"/>
        </w:rPr>
        <w:t>MEPS</w:t>
      </w:r>
      <w:proofErr w:type="spellEnd"/>
      <w:r w:rsidR="007A436A" w:rsidRPr="00E63900">
        <w:rPr>
          <w:rFonts w:asciiTheme="minorHAnsi" w:hAnsiTheme="minorHAnsi" w:cstheme="minorHAnsi"/>
          <w:szCs w:val="20"/>
        </w:rPr>
        <w:t xml:space="preserve"> are not required. </w:t>
      </w:r>
      <w:r w:rsidR="00BC4F8B" w:rsidRPr="00E63900">
        <w:rPr>
          <w:rFonts w:asciiTheme="minorHAnsi" w:hAnsiTheme="minorHAnsi" w:cstheme="minorHAnsi"/>
          <w:szCs w:val="20"/>
        </w:rPr>
        <w:t xml:space="preserve">A situation </w:t>
      </w:r>
      <w:r w:rsidR="00907C66" w:rsidRPr="00E63900">
        <w:rPr>
          <w:rFonts w:asciiTheme="minorHAnsi" w:hAnsiTheme="minorHAnsi" w:cstheme="minorHAnsi"/>
          <w:szCs w:val="20"/>
        </w:rPr>
        <w:t xml:space="preserve">that </w:t>
      </w:r>
      <w:r w:rsidR="00BC4F8B" w:rsidRPr="00E63900">
        <w:rPr>
          <w:rFonts w:asciiTheme="minorHAnsi" w:hAnsiTheme="minorHAnsi" w:cstheme="minorHAnsi"/>
          <w:szCs w:val="20"/>
        </w:rPr>
        <w:t>this</w:t>
      </w:r>
      <w:r w:rsidR="007A436A" w:rsidRPr="00E63900">
        <w:rPr>
          <w:rFonts w:asciiTheme="minorHAnsi" w:hAnsiTheme="minorHAnsi" w:cstheme="minorHAnsi"/>
          <w:szCs w:val="20"/>
        </w:rPr>
        <w:t xml:space="preserve"> may be implemented </w:t>
      </w:r>
      <w:r w:rsidR="00BC4F8B" w:rsidRPr="00E63900">
        <w:rPr>
          <w:rFonts w:asciiTheme="minorHAnsi" w:hAnsiTheme="minorHAnsi" w:cstheme="minorHAnsi"/>
          <w:szCs w:val="20"/>
        </w:rPr>
        <w:t>is</w:t>
      </w:r>
      <w:r w:rsidR="007A436A" w:rsidRPr="00E63900">
        <w:rPr>
          <w:rFonts w:asciiTheme="minorHAnsi" w:hAnsiTheme="minorHAnsi" w:cstheme="minorHAnsi"/>
          <w:szCs w:val="20"/>
        </w:rPr>
        <w:t xml:space="preserve"> where the disclosure would not impact behaviour and therefore it would only induce a cost with no tangible change. In the UK for example, buildings </w:t>
      </w:r>
      <w:r w:rsidR="0058640A" w:rsidRPr="00E63900">
        <w:rPr>
          <w:rFonts w:asciiTheme="minorHAnsi" w:hAnsiTheme="minorHAnsi" w:cstheme="minorHAnsi"/>
          <w:szCs w:val="20"/>
        </w:rPr>
        <w:t>with</w:t>
      </w:r>
      <w:r w:rsidR="007A436A" w:rsidRPr="00E63900">
        <w:rPr>
          <w:rFonts w:asciiTheme="minorHAnsi" w:hAnsiTheme="minorHAnsi" w:cstheme="minorHAnsi"/>
          <w:szCs w:val="20"/>
        </w:rPr>
        <w:t xml:space="preserve"> payback period</w:t>
      </w:r>
      <w:r w:rsidR="0058640A" w:rsidRPr="00E63900">
        <w:rPr>
          <w:rFonts w:asciiTheme="minorHAnsi" w:hAnsiTheme="minorHAnsi" w:cstheme="minorHAnsi"/>
          <w:szCs w:val="20"/>
        </w:rPr>
        <w:t>s</w:t>
      </w:r>
      <w:r w:rsidR="007A436A" w:rsidRPr="00E63900">
        <w:rPr>
          <w:rFonts w:asciiTheme="minorHAnsi" w:hAnsiTheme="minorHAnsi" w:cstheme="minorHAnsi"/>
          <w:szCs w:val="20"/>
        </w:rPr>
        <w:t xml:space="preserve"> &gt;7 years </w:t>
      </w:r>
      <w:r w:rsidR="0058640A" w:rsidRPr="00E63900">
        <w:rPr>
          <w:rFonts w:asciiTheme="minorHAnsi" w:hAnsiTheme="minorHAnsi" w:cstheme="minorHAnsi"/>
          <w:szCs w:val="20"/>
        </w:rPr>
        <w:t xml:space="preserve">for the required change </w:t>
      </w:r>
      <w:r w:rsidR="007A436A" w:rsidRPr="00E63900">
        <w:rPr>
          <w:rFonts w:asciiTheme="minorHAnsi" w:hAnsiTheme="minorHAnsi" w:cstheme="minorHAnsi"/>
          <w:szCs w:val="20"/>
        </w:rPr>
        <w:t xml:space="preserve">do not need to meet the </w:t>
      </w:r>
      <w:proofErr w:type="spellStart"/>
      <w:r w:rsidR="007A436A" w:rsidRPr="00E63900">
        <w:rPr>
          <w:rFonts w:asciiTheme="minorHAnsi" w:hAnsiTheme="minorHAnsi" w:cstheme="minorHAnsi"/>
          <w:szCs w:val="20"/>
        </w:rPr>
        <w:t>MEPS</w:t>
      </w:r>
      <w:proofErr w:type="spellEnd"/>
      <w:r w:rsidR="007A436A" w:rsidRPr="00E63900">
        <w:rPr>
          <w:rFonts w:asciiTheme="minorHAnsi" w:hAnsiTheme="minorHAnsi" w:cstheme="minorHAnsi"/>
          <w:szCs w:val="20"/>
        </w:rPr>
        <w:t xml:space="preserve">. </w:t>
      </w:r>
    </w:p>
    <w:p w14:paraId="53239439" w14:textId="5DAB99AB" w:rsidR="007A436A" w:rsidRPr="00E63900" w:rsidRDefault="007A436A" w:rsidP="007A436A">
      <w:pPr>
        <w:pStyle w:val="BodyText"/>
        <w:rPr>
          <w:rFonts w:asciiTheme="minorHAnsi" w:hAnsiTheme="minorHAnsi" w:cstheme="minorHAnsi"/>
          <w:szCs w:val="20"/>
        </w:rPr>
      </w:pPr>
      <w:r w:rsidRPr="00E63900">
        <w:rPr>
          <w:rFonts w:asciiTheme="minorHAnsi" w:hAnsiTheme="minorHAnsi" w:cstheme="minorHAnsi"/>
          <w:szCs w:val="20"/>
        </w:rPr>
        <w:t>The CBD program</w:t>
      </w:r>
      <w:r w:rsidRPr="00E63900" w:rsidDel="007545C0">
        <w:rPr>
          <w:rFonts w:asciiTheme="minorHAnsi" w:hAnsiTheme="minorHAnsi" w:cstheme="minorHAnsi"/>
          <w:szCs w:val="20"/>
        </w:rPr>
        <w:t xml:space="preserve"> </w:t>
      </w:r>
      <w:r w:rsidR="007545C0" w:rsidRPr="00E63900">
        <w:rPr>
          <w:rFonts w:asciiTheme="minorHAnsi" w:hAnsiTheme="minorHAnsi" w:cstheme="minorHAnsi"/>
          <w:szCs w:val="20"/>
        </w:rPr>
        <w:t>exceptions</w:t>
      </w:r>
      <w:r w:rsidRPr="00E63900">
        <w:rPr>
          <w:rFonts w:asciiTheme="minorHAnsi" w:hAnsiTheme="minorHAnsi" w:cstheme="minorHAnsi"/>
          <w:szCs w:val="20"/>
        </w:rPr>
        <w:t xml:space="preserve"> apply to new buildings and major refurbishments where a certificate of occupancy (or equivalent) has either not yet been issued or was issued less than two years earlier; strata-titled buildings; </w:t>
      </w:r>
      <w:r w:rsidR="008A77A2" w:rsidRPr="00E63900">
        <w:rPr>
          <w:rFonts w:asciiTheme="minorHAnsi" w:hAnsiTheme="minorHAnsi" w:cstheme="minorHAnsi"/>
          <w:szCs w:val="20"/>
        </w:rPr>
        <w:t xml:space="preserve">and </w:t>
      </w:r>
      <w:r w:rsidRPr="009118A6">
        <w:rPr>
          <w:rFonts w:asciiTheme="minorHAnsi" w:hAnsiTheme="minorHAnsi" w:cstheme="minorHAnsi"/>
          <w:szCs w:val="20"/>
        </w:rPr>
        <w:t>mixed</w:t>
      </w:r>
      <w:r w:rsidR="009118A6" w:rsidRPr="009118A6">
        <w:rPr>
          <w:rFonts w:asciiTheme="minorHAnsi" w:hAnsiTheme="minorHAnsi" w:cstheme="minorHAnsi"/>
          <w:szCs w:val="20"/>
        </w:rPr>
        <w:t>-</w:t>
      </w:r>
      <w:r w:rsidRPr="009118A6">
        <w:rPr>
          <w:rFonts w:asciiTheme="minorHAnsi" w:hAnsiTheme="minorHAnsi" w:cstheme="minorHAnsi"/>
          <w:szCs w:val="20"/>
        </w:rPr>
        <w:t>use</w:t>
      </w:r>
      <w:r w:rsidRPr="00E63900">
        <w:rPr>
          <w:rFonts w:asciiTheme="minorHAnsi" w:hAnsiTheme="minorHAnsi" w:cstheme="minorHAnsi"/>
          <w:szCs w:val="20"/>
        </w:rPr>
        <w:t xml:space="preserve"> buildings where total office space comprises less than 75 per cent of the NLA</w:t>
      </w:r>
      <w:r w:rsidR="008A77A2" w:rsidRPr="00E63900">
        <w:rPr>
          <w:rFonts w:asciiTheme="minorHAnsi" w:hAnsiTheme="minorHAnsi" w:cstheme="minorHAnsi"/>
          <w:szCs w:val="20"/>
        </w:rPr>
        <w:t xml:space="preserve">. The CBD program also has exemptions, which are </w:t>
      </w:r>
      <w:r w:rsidR="00C14F39" w:rsidRPr="00E63900">
        <w:rPr>
          <w:rFonts w:asciiTheme="minorHAnsi" w:hAnsiTheme="minorHAnsi" w:cstheme="minorHAnsi"/>
          <w:szCs w:val="20"/>
        </w:rPr>
        <w:t xml:space="preserve">buildings usually required to comply that must </w:t>
      </w:r>
      <w:proofErr w:type="gramStart"/>
      <w:r w:rsidR="00C14F39" w:rsidRPr="00E63900">
        <w:rPr>
          <w:rFonts w:asciiTheme="minorHAnsi" w:hAnsiTheme="minorHAnsi" w:cstheme="minorHAnsi"/>
          <w:szCs w:val="20"/>
        </w:rPr>
        <w:t>submit an application</w:t>
      </w:r>
      <w:proofErr w:type="gramEnd"/>
      <w:r w:rsidR="00C14F39" w:rsidRPr="00E63900">
        <w:rPr>
          <w:rFonts w:asciiTheme="minorHAnsi" w:hAnsiTheme="minorHAnsi" w:cstheme="minorHAnsi"/>
          <w:szCs w:val="20"/>
        </w:rPr>
        <w:t xml:space="preserve"> to be exempted from this requirement. Exemptions include when</w:t>
      </w:r>
      <w:r w:rsidRPr="00E63900" w:rsidDel="008A77A2">
        <w:rPr>
          <w:rFonts w:asciiTheme="minorHAnsi" w:hAnsiTheme="minorHAnsi" w:cstheme="minorHAnsi"/>
          <w:szCs w:val="20"/>
        </w:rPr>
        <w:t xml:space="preserve"> </w:t>
      </w:r>
      <w:r w:rsidRPr="00E63900">
        <w:rPr>
          <w:rFonts w:asciiTheme="minorHAnsi" w:hAnsiTheme="minorHAnsi" w:cstheme="minorHAnsi"/>
          <w:szCs w:val="20"/>
        </w:rPr>
        <w:t xml:space="preserve">the building or an area of </w:t>
      </w:r>
      <w:r w:rsidR="001F797E" w:rsidRPr="00E63900">
        <w:rPr>
          <w:rFonts w:asciiTheme="minorHAnsi" w:hAnsiTheme="minorHAnsi" w:cstheme="minorHAnsi"/>
          <w:szCs w:val="20"/>
        </w:rPr>
        <w:t xml:space="preserve">the </w:t>
      </w:r>
      <w:r w:rsidRPr="00E63900">
        <w:rPr>
          <w:rFonts w:asciiTheme="minorHAnsi" w:hAnsiTheme="minorHAnsi" w:cstheme="minorHAnsi"/>
          <w:szCs w:val="20"/>
        </w:rPr>
        <w:t xml:space="preserve">building is used for police or security operations; in cases where an energy </w:t>
      </w:r>
      <w:r w:rsidRPr="00E63900">
        <w:rPr>
          <w:rFonts w:asciiTheme="minorHAnsi" w:hAnsiTheme="minorHAnsi" w:cstheme="minorHAnsi"/>
          <w:szCs w:val="20"/>
        </w:rPr>
        <w:lastRenderedPageBreak/>
        <w:t>efficiency rating cannot be assigned because of the current characteristics of the building or an area of the building</w:t>
      </w:r>
      <w:r w:rsidR="001F797E" w:rsidRPr="00E63900">
        <w:rPr>
          <w:rFonts w:asciiTheme="minorHAnsi" w:hAnsiTheme="minorHAnsi" w:cstheme="minorHAnsi"/>
          <w:szCs w:val="20"/>
        </w:rPr>
        <w:t xml:space="preserve">, and </w:t>
      </w:r>
      <w:r w:rsidR="00CF38D3" w:rsidRPr="00E63900">
        <w:rPr>
          <w:rFonts w:asciiTheme="minorHAnsi" w:hAnsiTheme="minorHAnsi" w:cstheme="minorHAnsi"/>
          <w:szCs w:val="20"/>
        </w:rPr>
        <w:t>when a major refurbishment is in progress (the building is then an exception after the refurbishment is finished)</w:t>
      </w:r>
      <w:r w:rsidRPr="00E63900">
        <w:rPr>
          <w:rFonts w:asciiTheme="minorHAnsi" w:hAnsiTheme="minorHAnsi" w:cstheme="minorHAnsi"/>
          <w:szCs w:val="20"/>
        </w:rPr>
        <w:t>.</w:t>
      </w:r>
    </w:p>
    <w:p w14:paraId="2BAA1A67" w14:textId="77777777" w:rsidR="006A6572" w:rsidRDefault="006A6572">
      <w:pPr>
        <w:spacing w:before="0" w:after="160" w:line="259" w:lineRule="auto"/>
        <w:rPr>
          <w:rFonts w:asciiTheme="minorHAnsi" w:hAnsiTheme="minorHAnsi" w:cstheme="minorHAnsi"/>
          <w:b/>
          <w:szCs w:val="20"/>
        </w:rPr>
      </w:pPr>
      <w:r>
        <w:rPr>
          <w:rFonts w:asciiTheme="minorHAnsi" w:hAnsiTheme="minorHAnsi" w:cstheme="minorHAnsi"/>
          <w:b/>
          <w:szCs w:val="20"/>
        </w:rPr>
        <w:br w:type="page"/>
      </w:r>
    </w:p>
    <w:p w14:paraId="066454BA" w14:textId="255792DE" w:rsidR="00F43A73" w:rsidRPr="00E63900" w:rsidRDefault="00F43A73" w:rsidP="007A436A">
      <w:pPr>
        <w:pStyle w:val="BodyText"/>
        <w:rPr>
          <w:rFonts w:asciiTheme="minorHAnsi" w:hAnsiTheme="minorHAnsi" w:cstheme="minorHAnsi"/>
          <w:b/>
          <w:szCs w:val="20"/>
        </w:rPr>
      </w:pPr>
      <w:r w:rsidRPr="00E63900">
        <w:rPr>
          <w:rFonts w:asciiTheme="minorHAnsi" w:hAnsiTheme="minorHAnsi" w:cstheme="minorHAnsi"/>
          <w:b/>
          <w:szCs w:val="20"/>
        </w:rPr>
        <w:lastRenderedPageBreak/>
        <w:t xml:space="preserve">Reporting </w:t>
      </w:r>
      <w:r w:rsidR="003F79F8" w:rsidRPr="00E63900">
        <w:rPr>
          <w:rFonts w:asciiTheme="minorHAnsi" w:hAnsiTheme="minorHAnsi" w:cstheme="minorHAnsi"/>
          <w:b/>
          <w:szCs w:val="20"/>
        </w:rPr>
        <w:t xml:space="preserve">(continuous </w:t>
      </w:r>
      <w:r w:rsidR="002F1DEC" w:rsidRPr="00E63900">
        <w:rPr>
          <w:rFonts w:asciiTheme="minorHAnsi" w:hAnsiTheme="minorHAnsi" w:cstheme="minorHAnsi"/>
          <w:b/>
          <w:szCs w:val="20"/>
        </w:rPr>
        <w:t>reporting and frequency vs trigger point)</w:t>
      </w:r>
    </w:p>
    <w:p w14:paraId="1AD867D1" w14:textId="1B331E40" w:rsidR="002F1DEC" w:rsidRPr="00E63900" w:rsidRDefault="002F1DEC" w:rsidP="002F1DEC">
      <w:pPr>
        <w:pStyle w:val="BodyText"/>
        <w:rPr>
          <w:rFonts w:asciiTheme="minorHAnsi" w:hAnsiTheme="minorHAnsi" w:cstheme="minorHAnsi"/>
          <w:szCs w:val="20"/>
        </w:rPr>
      </w:pPr>
      <w:r w:rsidRPr="00E63900">
        <w:rPr>
          <w:rFonts w:asciiTheme="minorHAnsi" w:hAnsiTheme="minorHAnsi" w:cstheme="minorHAnsi"/>
          <w:szCs w:val="20"/>
        </w:rPr>
        <w:t xml:space="preserve">Reporting could occur in a multitude of ways </w:t>
      </w:r>
      <w:r w:rsidR="00F92508" w:rsidRPr="00E63900">
        <w:rPr>
          <w:rFonts w:asciiTheme="minorHAnsi" w:hAnsiTheme="minorHAnsi" w:cstheme="minorHAnsi"/>
          <w:szCs w:val="20"/>
        </w:rPr>
        <w:t>and cover</w:t>
      </w:r>
      <w:r w:rsidR="00F51BA4" w:rsidRPr="00E63900">
        <w:rPr>
          <w:rFonts w:asciiTheme="minorHAnsi" w:hAnsiTheme="minorHAnsi" w:cstheme="minorHAnsi"/>
          <w:szCs w:val="20"/>
        </w:rPr>
        <w:t xml:space="preserve"> </w:t>
      </w:r>
      <w:r w:rsidR="00F92508" w:rsidRPr="00E63900">
        <w:rPr>
          <w:rFonts w:asciiTheme="minorHAnsi" w:hAnsiTheme="minorHAnsi" w:cstheme="minorHAnsi"/>
          <w:szCs w:val="20"/>
        </w:rPr>
        <w:t xml:space="preserve">different </w:t>
      </w:r>
      <w:r w:rsidR="00F51BA4" w:rsidRPr="00E63900">
        <w:rPr>
          <w:rFonts w:asciiTheme="minorHAnsi" w:hAnsiTheme="minorHAnsi" w:cstheme="minorHAnsi"/>
          <w:szCs w:val="20"/>
        </w:rPr>
        <w:t xml:space="preserve">information. </w:t>
      </w:r>
      <w:r w:rsidR="00BC5BE3" w:rsidRPr="00E63900">
        <w:rPr>
          <w:rFonts w:asciiTheme="minorHAnsi" w:hAnsiTheme="minorHAnsi" w:cstheme="minorHAnsi"/>
          <w:szCs w:val="20"/>
        </w:rPr>
        <w:t>For example, the</w:t>
      </w:r>
      <w:r w:rsidR="00A84F6B" w:rsidRPr="00E63900">
        <w:rPr>
          <w:rFonts w:asciiTheme="minorHAnsi" w:hAnsiTheme="minorHAnsi" w:cstheme="minorHAnsi"/>
          <w:szCs w:val="20"/>
        </w:rPr>
        <w:t xml:space="preserve"> </w:t>
      </w:r>
      <w:r w:rsidRPr="00E63900">
        <w:rPr>
          <w:rFonts w:asciiTheme="minorHAnsi" w:hAnsiTheme="minorHAnsi" w:cstheme="minorHAnsi"/>
          <w:szCs w:val="20"/>
        </w:rPr>
        <w:t>approach</w:t>
      </w:r>
      <w:r w:rsidR="00A84F6B" w:rsidRPr="00E63900">
        <w:rPr>
          <w:rFonts w:asciiTheme="minorHAnsi" w:hAnsiTheme="minorHAnsi" w:cstheme="minorHAnsi"/>
          <w:szCs w:val="20"/>
        </w:rPr>
        <w:t xml:space="preserve"> may be</w:t>
      </w:r>
      <w:r w:rsidRPr="00E63900">
        <w:rPr>
          <w:rFonts w:asciiTheme="minorHAnsi" w:hAnsiTheme="minorHAnsi" w:cstheme="minorHAnsi"/>
          <w:szCs w:val="20"/>
        </w:rPr>
        <w:t xml:space="preserve"> setting an energy target or reporting requirement, emissions target or reporting requirement, or both. A key question to determine the approach used is</w:t>
      </w:r>
      <w:r w:rsidRPr="00E63900" w:rsidDel="0002472B">
        <w:rPr>
          <w:rFonts w:asciiTheme="minorHAnsi" w:hAnsiTheme="minorHAnsi" w:cstheme="minorHAnsi"/>
          <w:szCs w:val="20"/>
        </w:rPr>
        <w:t xml:space="preserve"> </w:t>
      </w:r>
      <w:r w:rsidRPr="00E63900">
        <w:rPr>
          <w:rFonts w:asciiTheme="minorHAnsi" w:hAnsiTheme="minorHAnsi" w:cstheme="minorHAnsi"/>
          <w:szCs w:val="20"/>
        </w:rPr>
        <w:t>whether energy or emissions is the priority</w:t>
      </w:r>
      <w:r w:rsidR="0002472B" w:rsidRPr="00E63900">
        <w:rPr>
          <w:rFonts w:asciiTheme="minorHAnsi" w:hAnsiTheme="minorHAnsi" w:cstheme="minorHAnsi"/>
          <w:szCs w:val="20"/>
        </w:rPr>
        <w:t>,</w:t>
      </w:r>
      <w:r w:rsidRPr="00E63900">
        <w:rPr>
          <w:rFonts w:asciiTheme="minorHAnsi" w:hAnsiTheme="minorHAnsi" w:cstheme="minorHAnsi"/>
          <w:szCs w:val="20"/>
        </w:rPr>
        <w:t xml:space="preserve"> as emissions can be substituted by purchasing Greenpower and does not provide a true representation of the </w:t>
      </w:r>
      <w:r w:rsidR="00185F7D" w:rsidRPr="00E63900">
        <w:rPr>
          <w:rFonts w:asciiTheme="minorHAnsi" w:hAnsiTheme="minorHAnsi" w:cstheme="minorHAnsi"/>
          <w:szCs w:val="20"/>
        </w:rPr>
        <w:t>building’s</w:t>
      </w:r>
      <w:r w:rsidRPr="00E63900">
        <w:rPr>
          <w:rFonts w:asciiTheme="minorHAnsi" w:hAnsiTheme="minorHAnsi" w:cstheme="minorHAnsi"/>
          <w:szCs w:val="20"/>
        </w:rPr>
        <w:t xml:space="preserve"> energy performance.</w:t>
      </w:r>
      <w:r w:rsidR="00E26DC3" w:rsidRPr="00E63900">
        <w:rPr>
          <w:rFonts w:asciiTheme="minorHAnsi" w:hAnsiTheme="minorHAnsi" w:cstheme="minorHAnsi"/>
          <w:szCs w:val="20"/>
        </w:rPr>
        <w:t xml:space="preserve"> Understanding the building’s energy performance, as highlighted earlier, is desirable.</w:t>
      </w:r>
      <w:r w:rsidRPr="00E63900">
        <w:rPr>
          <w:rFonts w:asciiTheme="minorHAnsi" w:hAnsiTheme="minorHAnsi" w:cstheme="minorHAnsi"/>
          <w:szCs w:val="20"/>
        </w:rPr>
        <w:t xml:space="preserve"> An emissions target would allow energy usage to remain similar if </w:t>
      </w:r>
      <w:proofErr w:type="spellStart"/>
      <w:r w:rsidRPr="00E63900">
        <w:rPr>
          <w:rFonts w:asciiTheme="minorHAnsi" w:hAnsiTheme="minorHAnsi" w:cstheme="minorHAnsi"/>
          <w:szCs w:val="20"/>
        </w:rPr>
        <w:t>Green</w:t>
      </w:r>
      <w:r w:rsidR="007E6166" w:rsidRPr="00E63900">
        <w:rPr>
          <w:rFonts w:asciiTheme="minorHAnsi" w:hAnsiTheme="minorHAnsi" w:cstheme="minorHAnsi"/>
          <w:szCs w:val="20"/>
        </w:rPr>
        <w:t>P</w:t>
      </w:r>
      <w:r w:rsidRPr="00E63900">
        <w:rPr>
          <w:rFonts w:asciiTheme="minorHAnsi" w:hAnsiTheme="minorHAnsi" w:cstheme="minorHAnsi"/>
          <w:szCs w:val="20"/>
        </w:rPr>
        <w:t>ower</w:t>
      </w:r>
      <w:proofErr w:type="spellEnd"/>
      <w:r w:rsidRPr="00E63900">
        <w:rPr>
          <w:rFonts w:asciiTheme="minorHAnsi" w:hAnsiTheme="minorHAnsi" w:cstheme="minorHAnsi"/>
          <w:szCs w:val="20"/>
        </w:rPr>
        <w:t xml:space="preserve"> were used, whereas an energy target would mean total energy usage (whether from green sources or otherwise) would need to be reduced to match the target. </w:t>
      </w:r>
    </w:p>
    <w:p w14:paraId="7B138B39" w14:textId="05A80865" w:rsidR="002F1DEC" w:rsidRPr="00E63900" w:rsidRDefault="002F1DEC" w:rsidP="002F1DEC">
      <w:pPr>
        <w:pStyle w:val="BodyText"/>
        <w:rPr>
          <w:rFonts w:asciiTheme="minorHAnsi" w:hAnsiTheme="minorHAnsi" w:cstheme="minorHAnsi"/>
          <w:szCs w:val="20"/>
        </w:rPr>
      </w:pPr>
      <w:r w:rsidRPr="00E63900">
        <w:rPr>
          <w:rFonts w:asciiTheme="minorHAnsi" w:hAnsiTheme="minorHAnsi" w:cstheme="minorHAnsi"/>
          <w:szCs w:val="20"/>
        </w:rPr>
        <w:t xml:space="preserve">The current CBD program has no target or </w:t>
      </w:r>
      <w:proofErr w:type="spellStart"/>
      <w:r w:rsidRPr="00E63900">
        <w:rPr>
          <w:rFonts w:asciiTheme="minorHAnsi" w:hAnsiTheme="minorHAnsi" w:cstheme="minorHAnsi"/>
          <w:szCs w:val="20"/>
        </w:rPr>
        <w:t>MEP</w:t>
      </w:r>
      <w:r w:rsidR="004848A7" w:rsidRPr="00E63900">
        <w:rPr>
          <w:rFonts w:asciiTheme="minorHAnsi" w:hAnsiTheme="minorHAnsi" w:cstheme="minorHAnsi"/>
          <w:szCs w:val="20"/>
        </w:rPr>
        <w:t>S</w:t>
      </w:r>
      <w:proofErr w:type="spellEnd"/>
      <w:r w:rsidRPr="00E63900">
        <w:rPr>
          <w:rFonts w:asciiTheme="minorHAnsi" w:hAnsiTheme="minorHAnsi" w:cstheme="minorHAnsi"/>
          <w:szCs w:val="20"/>
        </w:rPr>
        <w:t>. It is disclosure only and the Building Energy Efficiency Certificate (</w:t>
      </w:r>
      <w:proofErr w:type="spellStart"/>
      <w:r w:rsidRPr="00E63900">
        <w:rPr>
          <w:rFonts w:asciiTheme="minorHAnsi" w:hAnsiTheme="minorHAnsi" w:cstheme="minorHAnsi"/>
          <w:szCs w:val="20"/>
        </w:rPr>
        <w:t>BEEC</w:t>
      </w:r>
      <w:proofErr w:type="spellEnd"/>
      <w:r w:rsidRPr="00E63900">
        <w:rPr>
          <w:rFonts w:asciiTheme="minorHAnsi" w:hAnsiTheme="minorHAnsi" w:cstheme="minorHAnsi"/>
          <w:szCs w:val="20"/>
        </w:rPr>
        <w:t xml:space="preserve">) includes NABERS ratings (excluding </w:t>
      </w:r>
      <w:proofErr w:type="spellStart"/>
      <w:r w:rsidRPr="00E63900">
        <w:rPr>
          <w:rFonts w:asciiTheme="minorHAnsi" w:hAnsiTheme="minorHAnsi" w:cstheme="minorHAnsi"/>
          <w:szCs w:val="20"/>
        </w:rPr>
        <w:t>GreenPower</w:t>
      </w:r>
      <w:proofErr w:type="spellEnd"/>
      <w:r w:rsidRPr="00E63900">
        <w:rPr>
          <w:rFonts w:asciiTheme="minorHAnsi" w:hAnsiTheme="minorHAnsi" w:cstheme="minorHAnsi"/>
          <w:szCs w:val="20"/>
        </w:rPr>
        <w:t>) and Tenancy Lighting Assessment (</w:t>
      </w:r>
      <w:proofErr w:type="spellStart"/>
      <w:r w:rsidRPr="00E63900">
        <w:rPr>
          <w:rFonts w:asciiTheme="minorHAnsi" w:hAnsiTheme="minorHAnsi" w:cstheme="minorHAnsi"/>
          <w:szCs w:val="20"/>
        </w:rPr>
        <w:t>TLA</w:t>
      </w:r>
      <w:proofErr w:type="spellEnd"/>
      <w:r w:rsidRPr="00E63900">
        <w:rPr>
          <w:rFonts w:asciiTheme="minorHAnsi" w:hAnsiTheme="minorHAnsi" w:cstheme="minorHAnsi"/>
          <w:szCs w:val="20"/>
        </w:rPr>
        <w:t>).</w:t>
      </w:r>
    </w:p>
    <w:p w14:paraId="48B93C54" w14:textId="28C4F478" w:rsidR="002F1DEC" w:rsidRPr="00E63900" w:rsidRDefault="002F1DEC" w:rsidP="002F1DEC">
      <w:pPr>
        <w:pStyle w:val="BodyText"/>
        <w:rPr>
          <w:rFonts w:asciiTheme="minorHAnsi" w:hAnsiTheme="minorHAnsi" w:cstheme="minorHAnsi"/>
          <w:szCs w:val="20"/>
        </w:rPr>
      </w:pPr>
      <w:r w:rsidRPr="00E63900">
        <w:rPr>
          <w:rFonts w:asciiTheme="minorHAnsi" w:hAnsiTheme="minorHAnsi" w:cstheme="minorHAnsi"/>
          <w:szCs w:val="20"/>
        </w:rPr>
        <w:t xml:space="preserve">NABERS rating certificates are provided with </w:t>
      </w:r>
      <w:r w:rsidR="001805FD" w:rsidRPr="00E63900">
        <w:rPr>
          <w:rFonts w:asciiTheme="minorHAnsi" w:hAnsiTheme="minorHAnsi" w:cstheme="minorHAnsi"/>
          <w:szCs w:val="20"/>
        </w:rPr>
        <w:t xml:space="preserve">a </w:t>
      </w:r>
      <w:r w:rsidRPr="00E63900">
        <w:rPr>
          <w:rFonts w:asciiTheme="minorHAnsi" w:hAnsiTheme="minorHAnsi" w:cstheme="minorHAnsi"/>
          <w:szCs w:val="20"/>
        </w:rPr>
        <w:t xml:space="preserve">Greenpower score and in the </w:t>
      </w:r>
      <w:proofErr w:type="spellStart"/>
      <w:r w:rsidRPr="00E63900">
        <w:rPr>
          <w:rFonts w:asciiTheme="minorHAnsi" w:hAnsiTheme="minorHAnsi" w:cstheme="minorHAnsi"/>
          <w:szCs w:val="20"/>
        </w:rPr>
        <w:t>finer</w:t>
      </w:r>
      <w:proofErr w:type="spellEnd"/>
      <w:r w:rsidRPr="00E63900">
        <w:rPr>
          <w:rFonts w:asciiTheme="minorHAnsi" w:hAnsiTheme="minorHAnsi" w:cstheme="minorHAnsi"/>
          <w:szCs w:val="20"/>
        </w:rPr>
        <w:t xml:space="preserve"> print there is a mention of what rating would be achieved without </w:t>
      </w:r>
      <w:proofErr w:type="spellStart"/>
      <w:r w:rsidRPr="00E63900">
        <w:rPr>
          <w:rFonts w:asciiTheme="minorHAnsi" w:hAnsiTheme="minorHAnsi" w:cstheme="minorHAnsi"/>
          <w:szCs w:val="20"/>
        </w:rPr>
        <w:t>Green</w:t>
      </w:r>
      <w:r w:rsidR="00C54BD9" w:rsidRPr="00E63900">
        <w:rPr>
          <w:rFonts w:asciiTheme="minorHAnsi" w:hAnsiTheme="minorHAnsi" w:cstheme="minorHAnsi"/>
          <w:szCs w:val="20"/>
        </w:rPr>
        <w:t>P</w:t>
      </w:r>
      <w:r w:rsidRPr="00E63900">
        <w:rPr>
          <w:rFonts w:asciiTheme="minorHAnsi" w:hAnsiTheme="minorHAnsi" w:cstheme="minorHAnsi"/>
          <w:szCs w:val="20"/>
        </w:rPr>
        <w:t>ower</w:t>
      </w:r>
      <w:proofErr w:type="spellEnd"/>
      <w:r w:rsidRPr="00E63900">
        <w:rPr>
          <w:rFonts w:asciiTheme="minorHAnsi" w:hAnsiTheme="minorHAnsi" w:cstheme="minorHAnsi"/>
          <w:szCs w:val="20"/>
        </w:rPr>
        <w:t xml:space="preserve">. However, the NABERS rating displayed on the building advertising and </w:t>
      </w:r>
      <w:proofErr w:type="spellStart"/>
      <w:r w:rsidRPr="00E63900">
        <w:rPr>
          <w:rFonts w:asciiTheme="minorHAnsi" w:hAnsiTheme="minorHAnsi" w:cstheme="minorHAnsi"/>
          <w:szCs w:val="20"/>
        </w:rPr>
        <w:t>BEEC</w:t>
      </w:r>
      <w:proofErr w:type="spellEnd"/>
      <w:r w:rsidRPr="00E63900">
        <w:rPr>
          <w:rFonts w:asciiTheme="minorHAnsi" w:hAnsiTheme="minorHAnsi" w:cstheme="minorHAnsi"/>
          <w:szCs w:val="20"/>
        </w:rPr>
        <w:t xml:space="preserve"> is without </w:t>
      </w:r>
      <w:proofErr w:type="spellStart"/>
      <w:r w:rsidRPr="00E63900">
        <w:rPr>
          <w:rFonts w:asciiTheme="minorHAnsi" w:hAnsiTheme="minorHAnsi" w:cstheme="minorHAnsi"/>
          <w:szCs w:val="20"/>
        </w:rPr>
        <w:t>GreenPower</w:t>
      </w:r>
      <w:proofErr w:type="spellEnd"/>
      <w:r w:rsidRPr="00E63900">
        <w:rPr>
          <w:rFonts w:asciiTheme="minorHAnsi" w:hAnsiTheme="minorHAnsi" w:cstheme="minorHAnsi"/>
          <w:szCs w:val="20"/>
        </w:rPr>
        <w:t xml:space="preserve"> and is therefore a truer representation of the energy performance of the building.</w:t>
      </w:r>
      <w:r w:rsidR="00CC5826" w:rsidRPr="00E63900">
        <w:rPr>
          <w:rFonts w:asciiTheme="minorHAnsi" w:hAnsiTheme="minorHAnsi" w:cstheme="minorHAnsi"/>
          <w:szCs w:val="20"/>
        </w:rPr>
        <w:t xml:space="preserve"> </w:t>
      </w:r>
      <w:r w:rsidR="00500B00" w:rsidRPr="00E63900">
        <w:rPr>
          <w:rFonts w:asciiTheme="minorHAnsi" w:hAnsiTheme="minorHAnsi" w:cstheme="minorHAnsi"/>
          <w:szCs w:val="20"/>
        </w:rPr>
        <w:t xml:space="preserve">NABERS with Greenpower is being phased </w:t>
      </w:r>
      <w:r w:rsidR="009F2EC5" w:rsidRPr="00E63900">
        <w:rPr>
          <w:rFonts w:asciiTheme="minorHAnsi" w:hAnsiTheme="minorHAnsi" w:cstheme="minorHAnsi"/>
          <w:szCs w:val="20"/>
        </w:rPr>
        <w:t xml:space="preserve">out, with the NABERS </w:t>
      </w:r>
      <w:r w:rsidR="00620D45" w:rsidRPr="00E63900">
        <w:rPr>
          <w:rFonts w:asciiTheme="minorHAnsi" w:hAnsiTheme="minorHAnsi" w:cstheme="minorHAnsi"/>
          <w:szCs w:val="20"/>
        </w:rPr>
        <w:t xml:space="preserve">Renewable Energy Indicator provided alongside all NABERS Energy Ratings. </w:t>
      </w:r>
    </w:p>
    <w:p w14:paraId="6B503707" w14:textId="1EEA3E3C" w:rsidR="00E31A5D" w:rsidRPr="00E63900" w:rsidRDefault="00E31A5D" w:rsidP="00E31A5D">
      <w:pPr>
        <w:pStyle w:val="BodyText"/>
        <w:rPr>
          <w:rFonts w:asciiTheme="minorHAnsi" w:hAnsiTheme="minorHAnsi" w:cstheme="minorHAnsi"/>
          <w:szCs w:val="20"/>
        </w:rPr>
      </w:pPr>
      <w:r w:rsidRPr="00E63900">
        <w:rPr>
          <w:rFonts w:asciiTheme="minorHAnsi" w:hAnsiTheme="minorHAnsi" w:cstheme="minorHAnsi"/>
          <w:szCs w:val="20"/>
        </w:rPr>
        <w:t xml:space="preserve">It is also necessary to consider the frequency of reporting and monitoring </w:t>
      </w:r>
      <w:r w:rsidR="00072156" w:rsidRPr="00E63900">
        <w:rPr>
          <w:rFonts w:asciiTheme="minorHAnsi" w:hAnsiTheme="minorHAnsi" w:cstheme="minorHAnsi"/>
          <w:szCs w:val="20"/>
        </w:rPr>
        <w:t xml:space="preserve">and whether it </w:t>
      </w:r>
      <w:r w:rsidRPr="00E63900">
        <w:rPr>
          <w:rFonts w:asciiTheme="minorHAnsi" w:hAnsiTheme="minorHAnsi" w:cstheme="minorHAnsi"/>
          <w:szCs w:val="20"/>
        </w:rPr>
        <w:t xml:space="preserve">is required continually (e.g., for annual reports) or only at trigger points (e.g., at time of sale of new lease). Continuous monitoring allows for regular updates on whether progress is occurring, or whether activity is simply remaining the same. Whilst this can be beneficial, continuous monitoring can become a compliance burden. Comparatively, monitoring at trigger points does not provide regular oversight of progress, although it may incentivise action for improvement at the trigger point to ensure the rating is achieved. </w:t>
      </w:r>
      <w:r w:rsidR="00A665F6" w:rsidRPr="00E63900">
        <w:rPr>
          <w:rFonts w:asciiTheme="minorHAnsi" w:hAnsiTheme="minorHAnsi" w:cstheme="minorHAnsi"/>
          <w:szCs w:val="20"/>
        </w:rPr>
        <w:t>Building type</w:t>
      </w:r>
      <w:r w:rsidR="00AC11FF" w:rsidRPr="00E63900">
        <w:rPr>
          <w:rFonts w:asciiTheme="minorHAnsi" w:hAnsiTheme="minorHAnsi" w:cstheme="minorHAnsi"/>
          <w:szCs w:val="20"/>
        </w:rPr>
        <w:t xml:space="preserve"> also plays </w:t>
      </w:r>
      <w:r w:rsidR="00954823" w:rsidRPr="00E63900">
        <w:rPr>
          <w:rFonts w:asciiTheme="minorHAnsi" w:hAnsiTheme="minorHAnsi" w:cstheme="minorHAnsi"/>
          <w:szCs w:val="20"/>
        </w:rPr>
        <w:t xml:space="preserve">a role in determining the more effective trigger point. For example, offices are more regularly </w:t>
      </w:r>
      <w:r w:rsidR="0029037F" w:rsidRPr="00E63900">
        <w:rPr>
          <w:rFonts w:asciiTheme="minorHAnsi" w:hAnsiTheme="minorHAnsi" w:cstheme="minorHAnsi"/>
          <w:szCs w:val="20"/>
        </w:rPr>
        <w:t>sold or leased and so this trigger point may be appropriate, compared to a hotel which may change ownership or lease</w:t>
      </w:r>
      <w:r w:rsidR="00122E83" w:rsidRPr="00E63900">
        <w:rPr>
          <w:rFonts w:asciiTheme="minorHAnsi" w:hAnsiTheme="minorHAnsi" w:cstheme="minorHAnsi"/>
          <w:szCs w:val="20"/>
        </w:rPr>
        <w:t xml:space="preserve"> arrangements every 50-100 years</w:t>
      </w:r>
      <w:r w:rsidR="00A665F6" w:rsidRPr="00E63900">
        <w:rPr>
          <w:rFonts w:asciiTheme="minorHAnsi" w:hAnsiTheme="minorHAnsi" w:cstheme="minorHAnsi"/>
          <w:szCs w:val="20"/>
        </w:rPr>
        <w:t>.</w:t>
      </w:r>
      <w:r w:rsidR="00122E83" w:rsidRPr="00E63900">
        <w:rPr>
          <w:rFonts w:asciiTheme="minorHAnsi" w:hAnsiTheme="minorHAnsi" w:cstheme="minorHAnsi"/>
          <w:szCs w:val="20"/>
        </w:rPr>
        <w:t xml:space="preserve"> In these </w:t>
      </w:r>
      <w:proofErr w:type="gramStart"/>
      <w:r w:rsidR="00122E83" w:rsidRPr="00E63900">
        <w:rPr>
          <w:rFonts w:asciiTheme="minorHAnsi" w:hAnsiTheme="minorHAnsi" w:cstheme="minorHAnsi"/>
          <w:szCs w:val="20"/>
        </w:rPr>
        <w:t>cases</w:t>
      </w:r>
      <w:proofErr w:type="gramEnd"/>
      <w:r w:rsidR="00122E83" w:rsidRPr="00E63900">
        <w:rPr>
          <w:rFonts w:asciiTheme="minorHAnsi" w:hAnsiTheme="minorHAnsi" w:cstheme="minorHAnsi"/>
          <w:szCs w:val="20"/>
        </w:rPr>
        <w:t xml:space="preserve"> a frequent</w:t>
      </w:r>
      <w:r w:rsidR="00A665F6" w:rsidRPr="00E63900">
        <w:rPr>
          <w:rFonts w:asciiTheme="minorHAnsi" w:hAnsiTheme="minorHAnsi" w:cstheme="minorHAnsi"/>
          <w:szCs w:val="20"/>
        </w:rPr>
        <w:t xml:space="preserve"> </w:t>
      </w:r>
      <w:r w:rsidR="00122E83" w:rsidRPr="00E63900">
        <w:rPr>
          <w:rFonts w:asciiTheme="minorHAnsi" w:hAnsiTheme="minorHAnsi" w:cstheme="minorHAnsi"/>
          <w:szCs w:val="20"/>
        </w:rPr>
        <w:t xml:space="preserve">reporting period (e.g. every 1, 2, 5 years) is more appropriate. </w:t>
      </w:r>
    </w:p>
    <w:p w14:paraId="1699F907" w14:textId="7F5BF3E3" w:rsidR="00E31A5D" w:rsidRPr="00E63900" w:rsidRDefault="00E31A5D" w:rsidP="00E31A5D">
      <w:pPr>
        <w:pStyle w:val="BodyText"/>
        <w:rPr>
          <w:rFonts w:asciiTheme="minorHAnsi" w:hAnsiTheme="minorHAnsi" w:cstheme="minorHAnsi"/>
          <w:szCs w:val="20"/>
        </w:rPr>
      </w:pPr>
      <w:r w:rsidRPr="00E63900">
        <w:rPr>
          <w:rFonts w:asciiTheme="minorHAnsi" w:hAnsiTheme="minorHAnsi" w:cstheme="minorHAnsi"/>
          <w:szCs w:val="20"/>
        </w:rPr>
        <w:t xml:space="preserve">For the current CBD program, trigger points occur at the point of sale, lease, or sublease if the building or aggregate tenancy area is &gt;1000m2. Many buildings landlords keep their </w:t>
      </w:r>
      <w:proofErr w:type="spellStart"/>
      <w:r w:rsidRPr="00E63900">
        <w:rPr>
          <w:rFonts w:asciiTheme="minorHAnsi" w:hAnsiTheme="minorHAnsi" w:cstheme="minorHAnsi"/>
          <w:szCs w:val="20"/>
        </w:rPr>
        <w:t>BEEC</w:t>
      </w:r>
      <w:proofErr w:type="spellEnd"/>
      <w:r w:rsidRPr="00E63900">
        <w:rPr>
          <w:rFonts w:asciiTheme="minorHAnsi" w:hAnsiTheme="minorHAnsi" w:cstheme="minorHAnsi"/>
          <w:szCs w:val="20"/>
        </w:rPr>
        <w:t xml:space="preserve"> up to date annually to align with their NABERS ratings.</w:t>
      </w:r>
    </w:p>
    <w:p w14:paraId="3244CB39" w14:textId="04F921E5" w:rsidR="00072156" w:rsidRPr="00E63900" w:rsidRDefault="00072156" w:rsidP="00E31A5D">
      <w:pPr>
        <w:pStyle w:val="BodyText"/>
        <w:rPr>
          <w:rFonts w:asciiTheme="minorHAnsi" w:hAnsiTheme="minorHAnsi" w:cstheme="minorHAnsi"/>
          <w:b/>
          <w:szCs w:val="20"/>
        </w:rPr>
      </w:pPr>
      <w:r w:rsidRPr="00E63900">
        <w:rPr>
          <w:rFonts w:asciiTheme="minorHAnsi" w:hAnsiTheme="minorHAnsi" w:cstheme="minorHAnsi"/>
          <w:b/>
          <w:szCs w:val="20"/>
        </w:rPr>
        <w:t>Compliance</w:t>
      </w:r>
    </w:p>
    <w:p w14:paraId="23FB0AC4" w14:textId="77777777" w:rsidR="00072156" w:rsidRPr="00E63900" w:rsidRDefault="00072156" w:rsidP="00072156">
      <w:pPr>
        <w:pStyle w:val="BodyText"/>
        <w:rPr>
          <w:rFonts w:asciiTheme="minorHAnsi" w:hAnsiTheme="minorHAnsi" w:cstheme="minorHAnsi"/>
          <w:szCs w:val="20"/>
        </w:rPr>
      </w:pPr>
      <w:r w:rsidRPr="00E63900">
        <w:rPr>
          <w:rFonts w:asciiTheme="minorHAnsi" w:hAnsiTheme="minorHAnsi" w:cstheme="minorHAnsi"/>
          <w:szCs w:val="20"/>
        </w:rPr>
        <w:t xml:space="preserve">A range of methods can be implemented to assess and test a buildings compliance. Physical assessment by an accredited person can be undertaken or modelling can be used to attribute scores and ratings to a building. Assessment will provide more specific results whilst modelling may be a more cost-effective option.  </w:t>
      </w:r>
    </w:p>
    <w:p w14:paraId="324B72A7" w14:textId="131C2AA9" w:rsidR="00072156" w:rsidRPr="00E63900" w:rsidRDefault="00072156" w:rsidP="00072156">
      <w:pPr>
        <w:pStyle w:val="BodyText"/>
        <w:rPr>
          <w:rFonts w:asciiTheme="minorHAnsi" w:hAnsiTheme="minorHAnsi" w:cstheme="minorHAnsi"/>
          <w:szCs w:val="20"/>
        </w:rPr>
      </w:pPr>
      <w:r w:rsidRPr="00E63900">
        <w:rPr>
          <w:rFonts w:asciiTheme="minorHAnsi" w:hAnsiTheme="minorHAnsi" w:cstheme="minorHAnsi"/>
          <w:szCs w:val="20"/>
        </w:rPr>
        <w:t xml:space="preserve">For the current CBD program, </w:t>
      </w:r>
      <w:r w:rsidR="00E24B6E" w:rsidRPr="00E63900">
        <w:rPr>
          <w:rFonts w:asciiTheme="minorHAnsi" w:hAnsiTheme="minorHAnsi" w:cstheme="minorHAnsi"/>
          <w:szCs w:val="20"/>
        </w:rPr>
        <w:t xml:space="preserve">NABERS assessments are conducted by </w:t>
      </w:r>
      <w:r w:rsidRPr="00E63900">
        <w:rPr>
          <w:rFonts w:asciiTheme="minorHAnsi" w:hAnsiTheme="minorHAnsi" w:cstheme="minorHAnsi"/>
          <w:szCs w:val="20"/>
        </w:rPr>
        <w:t xml:space="preserve">NABERS and CBD accredited individuals. </w:t>
      </w:r>
      <w:r w:rsidR="00994B5D" w:rsidRPr="00E63900">
        <w:rPr>
          <w:rFonts w:asciiTheme="minorHAnsi" w:hAnsiTheme="minorHAnsi" w:cstheme="minorHAnsi"/>
          <w:szCs w:val="20"/>
        </w:rPr>
        <w:t xml:space="preserve">The Government </w:t>
      </w:r>
      <w:r w:rsidR="001B4130" w:rsidRPr="00E63900">
        <w:rPr>
          <w:rFonts w:asciiTheme="minorHAnsi" w:hAnsiTheme="minorHAnsi" w:cstheme="minorHAnsi"/>
          <w:szCs w:val="20"/>
        </w:rPr>
        <w:t xml:space="preserve">checks whether the building is </w:t>
      </w:r>
      <w:r w:rsidR="00AF24C7" w:rsidRPr="00E63900">
        <w:rPr>
          <w:rFonts w:asciiTheme="minorHAnsi" w:hAnsiTheme="minorHAnsi" w:cstheme="minorHAnsi"/>
          <w:szCs w:val="20"/>
        </w:rPr>
        <w:t xml:space="preserve">complying with disclosure obligations. </w:t>
      </w:r>
      <w:r w:rsidRPr="00E63900">
        <w:rPr>
          <w:rFonts w:asciiTheme="minorHAnsi" w:hAnsiTheme="minorHAnsi" w:cstheme="minorHAnsi"/>
          <w:szCs w:val="20"/>
        </w:rPr>
        <w:t>Government authorised representatives conduct checks of buildings for lease or sale to make sure information is displayed on advertising.</w:t>
      </w:r>
    </w:p>
    <w:p w14:paraId="10A204CD" w14:textId="23E1ADDF" w:rsidR="00072156" w:rsidRPr="00E63900" w:rsidRDefault="00072156" w:rsidP="00072156">
      <w:pPr>
        <w:pStyle w:val="BodyText"/>
        <w:rPr>
          <w:rFonts w:asciiTheme="minorHAnsi" w:hAnsiTheme="minorHAnsi" w:cstheme="minorHAnsi"/>
          <w:szCs w:val="20"/>
        </w:rPr>
      </w:pPr>
      <w:r w:rsidRPr="00E63900">
        <w:rPr>
          <w:rFonts w:asciiTheme="minorHAnsi" w:hAnsiTheme="minorHAnsi" w:cstheme="minorHAnsi"/>
          <w:szCs w:val="20"/>
        </w:rPr>
        <w:t xml:space="preserve">The level to which fines and other disincentives are used must also be determined. Large fines and disincentives are likely to ensure compliance however in some cases, if a successful program is in place, large fines may not be necessary. </w:t>
      </w:r>
    </w:p>
    <w:p w14:paraId="329EDBFA" w14:textId="73490FD9" w:rsidR="00072156" w:rsidRPr="00E63900" w:rsidRDefault="00072156" w:rsidP="00072156">
      <w:pPr>
        <w:pStyle w:val="BodyText"/>
        <w:rPr>
          <w:rFonts w:asciiTheme="minorHAnsi" w:hAnsiTheme="minorHAnsi" w:cstheme="minorHAnsi"/>
          <w:szCs w:val="20"/>
        </w:rPr>
      </w:pPr>
      <w:r w:rsidRPr="00E63900">
        <w:rPr>
          <w:rFonts w:asciiTheme="minorHAnsi" w:hAnsiTheme="minorHAnsi" w:cstheme="minorHAnsi"/>
          <w:szCs w:val="20"/>
        </w:rPr>
        <w:t xml:space="preserve">For the current CBD program, civil penalties may be imposed for non-compliance. DCCEEW may issue infringement notices in relation to contraventions. </w:t>
      </w:r>
      <w:r w:rsidR="00427675" w:rsidRPr="00E63900">
        <w:rPr>
          <w:rFonts w:asciiTheme="minorHAnsi" w:hAnsiTheme="minorHAnsi" w:cstheme="minorHAnsi"/>
          <w:szCs w:val="20"/>
        </w:rPr>
        <w:t xml:space="preserve">Civil penalties of up to $313,000 for </w:t>
      </w:r>
      <w:r w:rsidR="00C20037" w:rsidRPr="00E63900">
        <w:rPr>
          <w:rFonts w:asciiTheme="minorHAnsi" w:hAnsiTheme="minorHAnsi" w:cstheme="minorHAnsi"/>
          <w:szCs w:val="20"/>
        </w:rPr>
        <w:t>the first day of non-compliance</w:t>
      </w:r>
      <w:r w:rsidR="00427675" w:rsidRPr="00E63900">
        <w:rPr>
          <w:rFonts w:asciiTheme="minorHAnsi" w:hAnsiTheme="minorHAnsi" w:cstheme="minorHAnsi"/>
          <w:szCs w:val="20"/>
        </w:rPr>
        <w:t xml:space="preserve"> </w:t>
      </w:r>
      <w:r w:rsidR="00C20037" w:rsidRPr="00E63900">
        <w:rPr>
          <w:rFonts w:asciiTheme="minorHAnsi" w:hAnsiTheme="minorHAnsi" w:cstheme="minorHAnsi"/>
          <w:szCs w:val="20"/>
        </w:rPr>
        <w:t xml:space="preserve">for </w:t>
      </w:r>
      <w:r w:rsidR="00427675" w:rsidRPr="00E63900">
        <w:rPr>
          <w:rFonts w:asciiTheme="minorHAnsi" w:hAnsiTheme="minorHAnsi" w:cstheme="minorHAnsi"/>
          <w:szCs w:val="20"/>
        </w:rPr>
        <w:t xml:space="preserve">a body corporate and $109,550 for an individual may be imposed by a Court for failing to provide a </w:t>
      </w:r>
      <w:proofErr w:type="spellStart"/>
      <w:r w:rsidR="00427675" w:rsidRPr="00E63900">
        <w:rPr>
          <w:rFonts w:asciiTheme="minorHAnsi" w:hAnsiTheme="minorHAnsi" w:cstheme="minorHAnsi"/>
          <w:szCs w:val="20"/>
        </w:rPr>
        <w:t>BEEC</w:t>
      </w:r>
      <w:proofErr w:type="spellEnd"/>
      <w:r w:rsidR="00427675" w:rsidRPr="00E63900">
        <w:rPr>
          <w:rFonts w:asciiTheme="minorHAnsi" w:hAnsiTheme="minorHAnsi" w:cstheme="minorHAnsi"/>
          <w:szCs w:val="20"/>
        </w:rPr>
        <w:t xml:space="preserve"> in accordance with a section 12 obligation. Alternatively, the Secretary of the </w:t>
      </w:r>
      <w:r w:rsidR="00E8431E" w:rsidRPr="00E63900">
        <w:rPr>
          <w:rFonts w:asciiTheme="minorHAnsi" w:hAnsiTheme="minorHAnsi" w:cstheme="minorHAnsi"/>
          <w:szCs w:val="20"/>
        </w:rPr>
        <w:t>DCCEEW</w:t>
      </w:r>
      <w:r w:rsidR="00427675" w:rsidRPr="00E63900">
        <w:rPr>
          <w:rFonts w:asciiTheme="minorHAnsi" w:hAnsiTheme="minorHAnsi" w:cstheme="minorHAnsi"/>
          <w:szCs w:val="20"/>
        </w:rPr>
        <w:t xml:space="preserve"> may issue an infringement notice with a penalty of up to $31,300 for a body corporate or $10,955 for an individual</w:t>
      </w:r>
      <w:r w:rsidR="00CE44EF" w:rsidRPr="00E63900">
        <w:rPr>
          <w:rFonts w:asciiTheme="minorHAnsi" w:hAnsiTheme="minorHAnsi" w:cstheme="minorHAnsi"/>
          <w:szCs w:val="20"/>
        </w:rPr>
        <w:t xml:space="preserve"> for the first day</w:t>
      </w:r>
      <w:r w:rsidR="00F417C4" w:rsidRPr="00E63900">
        <w:rPr>
          <w:rFonts w:asciiTheme="minorHAnsi" w:hAnsiTheme="minorHAnsi" w:cstheme="minorHAnsi"/>
          <w:szCs w:val="20"/>
        </w:rPr>
        <w:t xml:space="preserve"> of non-compliance</w:t>
      </w:r>
      <w:r w:rsidR="00427675" w:rsidRPr="00E63900">
        <w:rPr>
          <w:rFonts w:asciiTheme="minorHAnsi" w:hAnsiTheme="minorHAnsi" w:cstheme="minorHAnsi"/>
          <w:szCs w:val="20"/>
        </w:rPr>
        <w:t>.</w:t>
      </w:r>
    </w:p>
    <w:p w14:paraId="7BE6FC91" w14:textId="083C1DE7" w:rsidR="00072156" w:rsidRPr="00E63900" w:rsidRDefault="00072156" w:rsidP="00072156">
      <w:pPr>
        <w:pStyle w:val="BodyText"/>
        <w:rPr>
          <w:rFonts w:asciiTheme="minorHAnsi" w:hAnsiTheme="minorHAnsi" w:cstheme="minorHAnsi"/>
          <w:szCs w:val="20"/>
        </w:rPr>
      </w:pPr>
      <w:r w:rsidRPr="00E63900">
        <w:rPr>
          <w:rFonts w:asciiTheme="minorHAnsi" w:hAnsiTheme="minorHAnsi" w:cstheme="minorHAnsi"/>
          <w:szCs w:val="20"/>
        </w:rPr>
        <w:t xml:space="preserve">The application fee for a </w:t>
      </w:r>
      <w:proofErr w:type="spellStart"/>
      <w:r w:rsidRPr="00E63900">
        <w:rPr>
          <w:rFonts w:asciiTheme="minorHAnsi" w:hAnsiTheme="minorHAnsi" w:cstheme="minorHAnsi"/>
          <w:szCs w:val="20"/>
        </w:rPr>
        <w:t>BEEC</w:t>
      </w:r>
      <w:proofErr w:type="spellEnd"/>
      <w:r w:rsidRPr="00E63900">
        <w:rPr>
          <w:rFonts w:asciiTheme="minorHAnsi" w:hAnsiTheme="minorHAnsi" w:cstheme="minorHAnsi"/>
          <w:szCs w:val="20"/>
        </w:rPr>
        <w:t xml:space="preserve"> is $4</w:t>
      </w:r>
      <w:r w:rsidR="0011523E" w:rsidRPr="00E63900">
        <w:rPr>
          <w:rFonts w:asciiTheme="minorHAnsi" w:hAnsiTheme="minorHAnsi" w:cstheme="minorHAnsi"/>
          <w:szCs w:val="20"/>
        </w:rPr>
        <w:t>83</w:t>
      </w:r>
      <w:r w:rsidR="008A01AB" w:rsidRPr="00E63900">
        <w:rPr>
          <w:rFonts w:asciiTheme="minorHAnsi" w:hAnsiTheme="minorHAnsi" w:cstheme="minorHAnsi"/>
          <w:szCs w:val="20"/>
        </w:rPr>
        <w:t>, indexed at the beginning of the financial year</w:t>
      </w:r>
      <w:r w:rsidRPr="00E63900">
        <w:rPr>
          <w:rFonts w:asciiTheme="minorHAnsi" w:hAnsiTheme="minorHAnsi" w:cstheme="minorHAnsi"/>
          <w:szCs w:val="20"/>
        </w:rPr>
        <w:t xml:space="preserve">. The application fee for NABERS </w:t>
      </w:r>
      <w:r w:rsidR="00002604" w:rsidRPr="00E63900">
        <w:rPr>
          <w:rFonts w:asciiTheme="minorHAnsi" w:hAnsiTheme="minorHAnsi" w:cstheme="minorHAnsi"/>
          <w:szCs w:val="20"/>
        </w:rPr>
        <w:t xml:space="preserve">energy rating for Offices &gt; 2,000m2 </w:t>
      </w:r>
      <w:r w:rsidRPr="00E63900">
        <w:rPr>
          <w:rFonts w:asciiTheme="minorHAnsi" w:hAnsiTheme="minorHAnsi" w:cstheme="minorHAnsi"/>
          <w:szCs w:val="20"/>
        </w:rPr>
        <w:t>is $1</w:t>
      </w:r>
      <w:r w:rsidR="00DF7A21" w:rsidRPr="00E63900">
        <w:rPr>
          <w:rFonts w:asciiTheme="minorHAnsi" w:hAnsiTheme="minorHAnsi" w:cstheme="minorHAnsi"/>
          <w:szCs w:val="20"/>
        </w:rPr>
        <w:t>,</w:t>
      </w:r>
      <w:r w:rsidR="00002604" w:rsidRPr="00E63900">
        <w:rPr>
          <w:rFonts w:asciiTheme="minorHAnsi" w:hAnsiTheme="minorHAnsi" w:cstheme="minorHAnsi"/>
          <w:szCs w:val="20"/>
        </w:rPr>
        <w:t>4</w:t>
      </w:r>
      <w:r w:rsidRPr="00E63900">
        <w:rPr>
          <w:rFonts w:asciiTheme="minorHAnsi" w:hAnsiTheme="minorHAnsi" w:cstheme="minorHAnsi"/>
          <w:szCs w:val="20"/>
        </w:rPr>
        <w:t>10.</w:t>
      </w:r>
      <w:r w:rsidRPr="00E63900" w:rsidDel="00D70EC8">
        <w:rPr>
          <w:rFonts w:asciiTheme="minorHAnsi" w:hAnsiTheme="minorHAnsi" w:cstheme="minorHAnsi"/>
          <w:szCs w:val="20"/>
        </w:rPr>
        <w:t xml:space="preserve"> </w:t>
      </w:r>
      <w:r w:rsidR="00D70EC8" w:rsidRPr="00E63900">
        <w:rPr>
          <w:rFonts w:asciiTheme="minorHAnsi" w:hAnsiTheme="minorHAnsi" w:cstheme="minorHAnsi"/>
          <w:szCs w:val="20"/>
        </w:rPr>
        <w:t>Assessor</w:t>
      </w:r>
      <w:r w:rsidRPr="00E63900">
        <w:rPr>
          <w:rFonts w:asciiTheme="minorHAnsi" w:hAnsiTheme="minorHAnsi" w:cstheme="minorHAnsi"/>
          <w:szCs w:val="20"/>
        </w:rPr>
        <w:t xml:space="preserve"> fees to obtain the NABERS and </w:t>
      </w:r>
      <w:proofErr w:type="spellStart"/>
      <w:r w:rsidRPr="00E63900">
        <w:rPr>
          <w:rFonts w:asciiTheme="minorHAnsi" w:hAnsiTheme="minorHAnsi" w:cstheme="minorHAnsi"/>
          <w:szCs w:val="20"/>
        </w:rPr>
        <w:t>BEEC</w:t>
      </w:r>
      <w:proofErr w:type="spellEnd"/>
      <w:r w:rsidRPr="00E63900">
        <w:rPr>
          <w:rFonts w:asciiTheme="minorHAnsi" w:hAnsiTheme="minorHAnsi" w:cstheme="minorHAnsi"/>
          <w:szCs w:val="20"/>
        </w:rPr>
        <w:t xml:space="preserve"> ratings can add significantly to the costs depending on the complexity and number of ratings the building has had historically.</w:t>
      </w:r>
    </w:p>
    <w:p w14:paraId="04CE8455" w14:textId="5418220A" w:rsidR="006C0B9A" w:rsidRPr="00E63900" w:rsidRDefault="006C0B9A" w:rsidP="00072156">
      <w:pPr>
        <w:pStyle w:val="BodyText"/>
        <w:rPr>
          <w:rFonts w:asciiTheme="minorHAnsi" w:hAnsiTheme="minorHAnsi" w:cstheme="minorHAnsi"/>
          <w:b/>
          <w:szCs w:val="20"/>
        </w:rPr>
      </w:pPr>
      <w:r w:rsidRPr="00E63900">
        <w:rPr>
          <w:rFonts w:asciiTheme="minorHAnsi" w:hAnsiTheme="minorHAnsi" w:cstheme="minorHAnsi"/>
          <w:b/>
          <w:szCs w:val="20"/>
        </w:rPr>
        <w:t xml:space="preserve">Display of rating </w:t>
      </w:r>
    </w:p>
    <w:p w14:paraId="2DB17CE2" w14:textId="7D27A3C6" w:rsidR="00752000" w:rsidRPr="00E63900" w:rsidRDefault="00752000" w:rsidP="00752000">
      <w:pPr>
        <w:pStyle w:val="BodyText"/>
        <w:rPr>
          <w:rFonts w:asciiTheme="minorHAnsi" w:hAnsiTheme="minorHAnsi" w:cstheme="minorHAnsi"/>
          <w:szCs w:val="20"/>
        </w:rPr>
      </w:pPr>
      <w:r w:rsidRPr="00E63900">
        <w:rPr>
          <w:rFonts w:asciiTheme="minorHAnsi" w:hAnsiTheme="minorHAnsi" w:cstheme="minorHAnsi"/>
          <w:szCs w:val="20"/>
        </w:rPr>
        <w:t>A range of options exist in terms of how the rating is displayed or disclosed. Possible options include requiring the rating to be physically displayed on the given building</w:t>
      </w:r>
      <w:r w:rsidR="00161B12" w:rsidRPr="00E63900">
        <w:rPr>
          <w:rFonts w:asciiTheme="minorHAnsi" w:hAnsiTheme="minorHAnsi" w:cstheme="minorHAnsi"/>
          <w:szCs w:val="20"/>
        </w:rPr>
        <w:t xml:space="preserve">, </w:t>
      </w:r>
      <w:r w:rsidRPr="00E63900">
        <w:rPr>
          <w:rFonts w:asciiTheme="minorHAnsi" w:hAnsiTheme="minorHAnsi" w:cstheme="minorHAnsi"/>
          <w:szCs w:val="20"/>
        </w:rPr>
        <w:t>posting the rating online</w:t>
      </w:r>
      <w:r w:rsidR="00161B12" w:rsidRPr="00E63900">
        <w:rPr>
          <w:rFonts w:asciiTheme="minorHAnsi" w:hAnsiTheme="minorHAnsi" w:cstheme="minorHAnsi"/>
          <w:szCs w:val="20"/>
        </w:rPr>
        <w:t xml:space="preserve">, or </w:t>
      </w:r>
      <w:r w:rsidR="00D65482" w:rsidRPr="00E63900">
        <w:rPr>
          <w:rFonts w:asciiTheme="minorHAnsi" w:hAnsiTheme="minorHAnsi" w:cstheme="minorHAnsi"/>
          <w:szCs w:val="20"/>
        </w:rPr>
        <w:t>notifying government of the rating</w:t>
      </w:r>
      <w:r w:rsidRPr="00E63900">
        <w:rPr>
          <w:rFonts w:asciiTheme="minorHAnsi" w:hAnsiTheme="minorHAnsi" w:cstheme="minorHAnsi"/>
          <w:szCs w:val="20"/>
        </w:rPr>
        <w:t>. The key consideration is ensuring visibility of the rating</w:t>
      </w:r>
      <w:r w:rsidR="00797D06" w:rsidRPr="00E63900">
        <w:rPr>
          <w:rFonts w:asciiTheme="minorHAnsi" w:hAnsiTheme="minorHAnsi" w:cstheme="minorHAnsi"/>
          <w:szCs w:val="20"/>
        </w:rPr>
        <w:t xml:space="preserve"> to motivate compliance and </w:t>
      </w:r>
      <w:r w:rsidR="00631E1B" w:rsidRPr="00E63900">
        <w:rPr>
          <w:rFonts w:asciiTheme="minorHAnsi" w:hAnsiTheme="minorHAnsi" w:cstheme="minorHAnsi"/>
          <w:szCs w:val="20"/>
        </w:rPr>
        <w:t xml:space="preserve">action to </w:t>
      </w:r>
      <w:r w:rsidR="00221281" w:rsidRPr="00E63900">
        <w:rPr>
          <w:rFonts w:asciiTheme="minorHAnsi" w:hAnsiTheme="minorHAnsi" w:cstheme="minorHAnsi"/>
          <w:szCs w:val="20"/>
        </w:rPr>
        <w:t xml:space="preserve">make </w:t>
      </w:r>
      <w:r w:rsidR="00631E1B" w:rsidRPr="00E63900">
        <w:rPr>
          <w:rFonts w:asciiTheme="minorHAnsi" w:hAnsiTheme="minorHAnsi" w:cstheme="minorHAnsi"/>
          <w:szCs w:val="20"/>
        </w:rPr>
        <w:t>improve</w:t>
      </w:r>
      <w:r w:rsidR="00221281" w:rsidRPr="00E63900">
        <w:rPr>
          <w:rFonts w:asciiTheme="minorHAnsi" w:hAnsiTheme="minorHAnsi" w:cstheme="minorHAnsi"/>
          <w:szCs w:val="20"/>
        </w:rPr>
        <w:t>ments</w:t>
      </w:r>
      <w:r w:rsidRPr="00E63900">
        <w:rPr>
          <w:rFonts w:asciiTheme="minorHAnsi" w:hAnsiTheme="minorHAnsi" w:cstheme="minorHAnsi"/>
          <w:szCs w:val="20"/>
        </w:rPr>
        <w:t xml:space="preserve">. </w:t>
      </w:r>
    </w:p>
    <w:p w14:paraId="76A08B82" w14:textId="72A4ABB3" w:rsidR="00AD595F" w:rsidRPr="00E63900" w:rsidRDefault="00752000" w:rsidP="00374B74">
      <w:pPr>
        <w:pStyle w:val="BodyText"/>
        <w:rPr>
          <w:rFonts w:asciiTheme="minorHAnsi" w:hAnsiTheme="minorHAnsi" w:cstheme="minorHAnsi"/>
        </w:rPr>
      </w:pPr>
      <w:r w:rsidRPr="00E63900">
        <w:rPr>
          <w:rFonts w:asciiTheme="minorHAnsi" w:hAnsiTheme="minorHAnsi" w:cstheme="minorHAnsi"/>
          <w:szCs w:val="20"/>
        </w:rPr>
        <w:t>For the current CBD program</w:t>
      </w:r>
      <w:r w:rsidR="00FA29F7" w:rsidRPr="00E63900">
        <w:rPr>
          <w:rFonts w:asciiTheme="minorHAnsi" w:hAnsiTheme="minorHAnsi" w:cstheme="minorHAnsi"/>
          <w:szCs w:val="20"/>
        </w:rPr>
        <w:t>,</w:t>
      </w:r>
      <w:r w:rsidRPr="00E63900">
        <w:rPr>
          <w:rFonts w:asciiTheme="minorHAnsi" w:hAnsiTheme="minorHAnsi" w:cstheme="minorHAnsi"/>
          <w:szCs w:val="20"/>
        </w:rPr>
        <w:t xml:space="preserve"> a valid </w:t>
      </w:r>
      <w:proofErr w:type="spellStart"/>
      <w:r w:rsidRPr="00E63900">
        <w:rPr>
          <w:rFonts w:asciiTheme="minorHAnsi" w:hAnsiTheme="minorHAnsi" w:cstheme="minorHAnsi"/>
          <w:szCs w:val="20"/>
        </w:rPr>
        <w:t>BEEC</w:t>
      </w:r>
      <w:proofErr w:type="spellEnd"/>
      <w:r w:rsidRPr="00E63900">
        <w:rPr>
          <w:rFonts w:asciiTheme="minorHAnsi" w:hAnsiTheme="minorHAnsi" w:cstheme="minorHAnsi"/>
          <w:szCs w:val="20"/>
        </w:rPr>
        <w:t xml:space="preserve"> must be provided to potential buyers or lessors free of charge. NABERS star rating must be included in any advertising material. </w:t>
      </w:r>
      <w:proofErr w:type="spellStart"/>
      <w:r w:rsidRPr="00E63900">
        <w:rPr>
          <w:rFonts w:asciiTheme="minorHAnsi" w:hAnsiTheme="minorHAnsi" w:cstheme="minorHAnsi"/>
          <w:szCs w:val="20"/>
        </w:rPr>
        <w:t>BEECs</w:t>
      </w:r>
      <w:proofErr w:type="spellEnd"/>
      <w:r w:rsidRPr="00E63900">
        <w:rPr>
          <w:rFonts w:asciiTheme="minorHAnsi" w:hAnsiTheme="minorHAnsi" w:cstheme="minorHAnsi"/>
          <w:szCs w:val="20"/>
        </w:rPr>
        <w:t xml:space="preserve"> </w:t>
      </w:r>
      <w:r w:rsidR="003A477D" w:rsidRPr="00E63900">
        <w:rPr>
          <w:rFonts w:asciiTheme="minorHAnsi" w:hAnsiTheme="minorHAnsi" w:cstheme="minorHAnsi"/>
          <w:szCs w:val="20"/>
        </w:rPr>
        <w:t xml:space="preserve">are </w:t>
      </w:r>
      <w:r w:rsidRPr="00E63900">
        <w:rPr>
          <w:rFonts w:asciiTheme="minorHAnsi" w:hAnsiTheme="minorHAnsi" w:cstheme="minorHAnsi"/>
          <w:szCs w:val="20"/>
        </w:rPr>
        <w:t xml:space="preserve">also </w:t>
      </w:r>
      <w:r w:rsidR="003A477D" w:rsidRPr="00E63900">
        <w:rPr>
          <w:rFonts w:asciiTheme="minorHAnsi" w:hAnsiTheme="minorHAnsi" w:cstheme="minorHAnsi"/>
          <w:szCs w:val="20"/>
        </w:rPr>
        <w:t>made</w:t>
      </w:r>
      <w:r w:rsidRPr="00E63900">
        <w:rPr>
          <w:rFonts w:asciiTheme="minorHAnsi" w:hAnsiTheme="minorHAnsi" w:cstheme="minorHAnsi"/>
          <w:szCs w:val="20"/>
        </w:rPr>
        <w:t xml:space="preserve"> publicly accessible on the Building Energy Efficiency Register online.</w:t>
      </w:r>
    </w:p>
    <w:p w14:paraId="2015698D" w14:textId="157B808A" w:rsidR="00C95B3A" w:rsidRPr="00F81ADB" w:rsidRDefault="00C95B3A" w:rsidP="00214D42">
      <w:pPr>
        <w:pStyle w:val="Heading2"/>
        <w:rPr>
          <w:rFonts w:cstheme="minorHAnsi"/>
        </w:rPr>
      </w:pPr>
      <w:bookmarkStart w:id="200" w:name="_Toc154059377"/>
      <w:r w:rsidRPr="00F81ADB">
        <w:rPr>
          <w:rFonts w:cstheme="minorHAnsi"/>
        </w:rPr>
        <w:lastRenderedPageBreak/>
        <w:t>Description of options</w:t>
      </w:r>
      <w:bookmarkEnd w:id="200"/>
    </w:p>
    <w:p w14:paraId="18BE93B9" w14:textId="325BF17B" w:rsidR="009F24AD" w:rsidRPr="00E63900" w:rsidRDefault="00C006FC" w:rsidP="009F24AD">
      <w:pPr>
        <w:pStyle w:val="BodyText"/>
        <w:rPr>
          <w:rFonts w:asciiTheme="minorHAnsi" w:hAnsiTheme="minorHAnsi" w:cstheme="minorHAnsi"/>
        </w:rPr>
      </w:pPr>
      <w:r w:rsidRPr="00E63900">
        <w:rPr>
          <w:rFonts w:asciiTheme="minorHAnsi" w:hAnsiTheme="minorHAnsi" w:cstheme="minorHAnsi"/>
        </w:rPr>
        <w:t xml:space="preserve">Seven </w:t>
      </w:r>
      <w:r w:rsidR="005E355B" w:rsidRPr="00E63900">
        <w:rPr>
          <w:rFonts w:asciiTheme="minorHAnsi" w:hAnsiTheme="minorHAnsi" w:cstheme="minorHAnsi"/>
        </w:rPr>
        <w:t>broad</w:t>
      </w:r>
      <w:r w:rsidRPr="00E63900">
        <w:rPr>
          <w:rFonts w:asciiTheme="minorHAnsi" w:hAnsiTheme="minorHAnsi" w:cstheme="minorHAnsi"/>
        </w:rPr>
        <w:t xml:space="preserve"> options</w:t>
      </w:r>
      <w:r w:rsidR="005E355B" w:rsidRPr="00E63900">
        <w:rPr>
          <w:rFonts w:asciiTheme="minorHAnsi" w:hAnsiTheme="minorHAnsi" w:cstheme="minorHAnsi"/>
        </w:rPr>
        <w:t xml:space="preserve"> for expanding the current CBD program were </w:t>
      </w:r>
      <w:r w:rsidRPr="00E63900">
        <w:rPr>
          <w:rFonts w:asciiTheme="minorHAnsi" w:hAnsiTheme="minorHAnsi" w:cstheme="minorHAnsi"/>
        </w:rPr>
        <w:t xml:space="preserve">identified based on the literature review and </w:t>
      </w:r>
      <w:r w:rsidR="005E355B" w:rsidRPr="00E63900">
        <w:rPr>
          <w:rFonts w:asciiTheme="minorHAnsi" w:hAnsiTheme="minorHAnsi" w:cstheme="minorHAnsi"/>
        </w:rPr>
        <w:t>analysis. These o</w:t>
      </w:r>
      <w:r w:rsidR="009F24AD" w:rsidRPr="00E63900">
        <w:rPr>
          <w:rFonts w:asciiTheme="minorHAnsi" w:hAnsiTheme="minorHAnsi" w:cstheme="minorHAnsi"/>
        </w:rPr>
        <w:t xml:space="preserve">ptions leverage mandatory disclosure and </w:t>
      </w:r>
      <w:proofErr w:type="spellStart"/>
      <w:r w:rsidR="009F24AD" w:rsidRPr="00E63900">
        <w:rPr>
          <w:rFonts w:asciiTheme="minorHAnsi" w:hAnsiTheme="minorHAnsi" w:cstheme="minorHAnsi"/>
        </w:rPr>
        <w:t>MEPS</w:t>
      </w:r>
      <w:proofErr w:type="spellEnd"/>
      <w:r w:rsidR="009F24AD" w:rsidRPr="00E63900">
        <w:rPr>
          <w:rFonts w:asciiTheme="minorHAnsi" w:hAnsiTheme="minorHAnsi" w:cstheme="minorHAnsi"/>
        </w:rPr>
        <w:t xml:space="preserve"> to </w:t>
      </w:r>
      <w:r w:rsidR="005E355B" w:rsidRPr="00E63900">
        <w:rPr>
          <w:rFonts w:asciiTheme="minorHAnsi" w:hAnsiTheme="minorHAnsi" w:cstheme="minorHAnsi"/>
        </w:rPr>
        <w:t xml:space="preserve">maximise </w:t>
      </w:r>
      <w:r w:rsidR="009F24AD" w:rsidRPr="00E63900">
        <w:rPr>
          <w:rFonts w:asciiTheme="minorHAnsi" w:hAnsiTheme="minorHAnsi" w:cstheme="minorHAnsi"/>
        </w:rPr>
        <w:t xml:space="preserve">impact and coverage of the program. </w:t>
      </w:r>
      <w:r w:rsidR="005E355B" w:rsidRPr="00E63900">
        <w:rPr>
          <w:rFonts w:asciiTheme="minorHAnsi" w:hAnsiTheme="minorHAnsi" w:cstheme="minorHAnsi"/>
        </w:rPr>
        <w:t>The seven policy options include:</w:t>
      </w:r>
    </w:p>
    <w:p w14:paraId="4914FFCD" w14:textId="2CB840DE" w:rsidR="005E355B" w:rsidRPr="00E63900" w:rsidRDefault="00D620EC" w:rsidP="00A253E6">
      <w:pPr>
        <w:pStyle w:val="BodyText"/>
        <w:numPr>
          <w:ilvl w:val="0"/>
          <w:numId w:val="26"/>
        </w:numPr>
        <w:rPr>
          <w:rFonts w:asciiTheme="minorHAnsi" w:hAnsiTheme="minorHAnsi" w:cstheme="minorHAnsi"/>
        </w:rPr>
      </w:pPr>
      <w:r w:rsidRPr="00E63900">
        <w:rPr>
          <w:rFonts w:asciiTheme="minorHAnsi" w:hAnsiTheme="minorHAnsi" w:cstheme="minorHAnsi"/>
        </w:rPr>
        <w:t xml:space="preserve">Option </w:t>
      </w:r>
      <w:r w:rsidR="00A80592" w:rsidRPr="00E63900">
        <w:rPr>
          <w:rFonts w:asciiTheme="minorHAnsi" w:hAnsiTheme="minorHAnsi" w:cstheme="minorHAnsi"/>
        </w:rPr>
        <w:t>1</w:t>
      </w:r>
      <w:r w:rsidRPr="00E63900">
        <w:rPr>
          <w:rFonts w:asciiTheme="minorHAnsi" w:hAnsiTheme="minorHAnsi" w:cstheme="minorHAnsi"/>
        </w:rPr>
        <w:t xml:space="preserve">: </w:t>
      </w:r>
      <w:r w:rsidR="005E355B" w:rsidRPr="00E63900">
        <w:rPr>
          <w:rFonts w:asciiTheme="minorHAnsi" w:hAnsiTheme="minorHAnsi" w:cstheme="minorHAnsi"/>
        </w:rPr>
        <w:t xml:space="preserve">A blanket disclosure policy for all commercial buildings over </w:t>
      </w:r>
      <w:proofErr w:type="spellStart"/>
      <w:r w:rsidR="005E355B" w:rsidRPr="00E63900">
        <w:rPr>
          <w:rFonts w:asciiTheme="minorHAnsi" w:hAnsiTheme="minorHAnsi" w:cstheme="minorHAnsi"/>
        </w:rPr>
        <w:t>1</w:t>
      </w:r>
      <w:r w:rsidR="001F2C76" w:rsidRPr="00E63900">
        <w:rPr>
          <w:rFonts w:asciiTheme="minorHAnsi" w:hAnsiTheme="minorHAnsi" w:cstheme="minorHAnsi"/>
        </w:rPr>
        <w:t>,</w:t>
      </w:r>
      <w:r w:rsidR="005E355B" w:rsidRPr="00E63900">
        <w:rPr>
          <w:rFonts w:asciiTheme="minorHAnsi" w:hAnsiTheme="minorHAnsi" w:cstheme="minorHAnsi"/>
        </w:rPr>
        <w:t>000m</w:t>
      </w:r>
      <w:r w:rsidR="005E355B" w:rsidRPr="00E63900">
        <w:rPr>
          <w:rFonts w:asciiTheme="minorHAnsi" w:hAnsiTheme="minorHAnsi" w:cstheme="minorHAnsi"/>
          <w:vertAlign w:val="superscript"/>
        </w:rPr>
        <w:t>2</w:t>
      </w:r>
      <w:proofErr w:type="spellEnd"/>
      <w:r w:rsidR="005E355B" w:rsidRPr="00E63900">
        <w:rPr>
          <w:rFonts w:asciiTheme="minorHAnsi" w:hAnsiTheme="minorHAnsi" w:cstheme="minorHAnsi"/>
        </w:rPr>
        <w:t xml:space="preserve"> </w:t>
      </w:r>
      <w:proofErr w:type="spellStart"/>
      <w:r w:rsidR="005E355B" w:rsidRPr="00E63900">
        <w:rPr>
          <w:rFonts w:asciiTheme="minorHAnsi" w:hAnsiTheme="minorHAnsi" w:cstheme="minorHAnsi"/>
        </w:rPr>
        <w:t>GFA</w:t>
      </w:r>
      <w:proofErr w:type="spellEnd"/>
    </w:p>
    <w:p w14:paraId="1837185E" w14:textId="36E59718" w:rsidR="005E355B" w:rsidRPr="00E63900" w:rsidRDefault="00D620EC" w:rsidP="00A253E6">
      <w:pPr>
        <w:pStyle w:val="BodyText"/>
        <w:numPr>
          <w:ilvl w:val="0"/>
          <w:numId w:val="26"/>
        </w:numPr>
        <w:rPr>
          <w:rFonts w:asciiTheme="minorHAnsi" w:hAnsiTheme="minorHAnsi" w:cstheme="minorHAnsi"/>
        </w:rPr>
      </w:pPr>
      <w:r w:rsidRPr="00E63900">
        <w:rPr>
          <w:rFonts w:asciiTheme="minorHAnsi" w:hAnsiTheme="minorHAnsi" w:cstheme="minorHAnsi"/>
        </w:rPr>
        <w:t xml:space="preserve">Option </w:t>
      </w:r>
      <w:r w:rsidR="00A80592" w:rsidRPr="00E63900">
        <w:rPr>
          <w:rFonts w:asciiTheme="minorHAnsi" w:hAnsiTheme="minorHAnsi" w:cstheme="minorHAnsi"/>
        </w:rPr>
        <w:t>2</w:t>
      </w:r>
      <w:r w:rsidRPr="00E63900">
        <w:rPr>
          <w:rFonts w:asciiTheme="minorHAnsi" w:hAnsiTheme="minorHAnsi" w:cstheme="minorHAnsi"/>
        </w:rPr>
        <w:t xml:space="preserve">: </w:t>
      </w:r>
      <w:r w:rsidR="005E355B" w:rsidRPr="00E63900">
        <w:rPr>
          <w:rFonts w:asciiTheme="minorHAnsi" w:hAnsiTheme="minorHAnsi" w:cstheme="minorHAnsi"/>
        </w:rPr>
        <w:t>A tailored sectoral disclosure policy</w:t>
      </w:r>
    </w:p>
    <w:p w14:paraId="3352EE8E" w14:textId="20DB05C2" w:rsidR="005E355B" w:rsidRPr="00E63900" w:rsidRDefault="00D620EC" w:rsidP="00A253E6">
      <w:pPr>
        <w:pStyle w:val="BodyText"/>
        <w:numPr>
          <w:ilvl w:val="0"/>
          <w:numId w:val="26"/>
        </w:numPr>
        <w:rPr>
          <w:rFonts w:asciiTheme="minorHAnsi" w:hAnsiTheme="minorHAnsi" w:cstheme="minorHAnsi"/>
        </w:rPr>
      </w:pPr>
      <w:r w:rsidRPr="00E63900">
        <w:rPr>
          <w:rFonts w:asciiTheme="minorHAnsi" w:hAnsiTheme="minorHAnsi" w:cstheme="minorHAnsi"/>
        </w:rPr>
        <w:t xml:space="preserve">Option </w:t>
      </w:r>
      <w:r w:rsidR="00A80592" w:rsidRPr="00E63900">
        <w:rPr>
          <w:rFonts w:asciiTheme="minorHAnsi" w:hAnsiTheme="minorHAnsi" w:cstheme="minorHAnsi"/>
        </w:rPr>
        <w:t>3</w:t>
      </w:r>
      <w:r w:rsidRPr="00E63900">
        <w:rPr>
          <w:rFonts w:asciiTheme="minorHAnsi" w:hAnsiTheme="minorHAnsi" w:cstheme="minorHAnsi"/>
        </w:rPr>
        <w:t xml:space="preserve">: </w:t>
      </w:r>
      <w:r w:rsidR="005E355B" w:rsidRPr="00E63900">
        <w:rPr>
          <w:rFonts w:asciiTheme="minorHAnsi" w:hAnsiTheme="minorHAnsi" w:cstheme="minorHAnsi"/>
        </w:rPr>
        <w:t xml:space="preserve">Reducing the current CBD threshold coverage for all offices over </w:t>
      </w:r>
      <w:proofErr w:type="spellStart"/>
      <w:r w:rsidR="005E355B" w:rsidRPr="00E63900">
        <w:rPr>
          <w:rFonts w:asciiTheme="minorHAnsi" w:hAnsiTheme="minorHAnsi" w:cstheme="minorHAnsi"/>
        </w:rPr>
        <w:t>500m</w:t>
      </w:r>
      <w:r w:rsidR="005E355B" w:rsidRPr="00E63900">
        <w:rPr>
          <w:rFonts w:asciiTheme="minorHAnsi" w:hAnsiTheme="minorHAnsi" w:cstheme="minorHAnsi"/>
          <w:vertAlign w:val="superscript"/>
        </w:rPr>
        <w:t>2</w:t>
      </w:r>
      <w:proofErr w:type="spellEnd"/>
      <w:r w:rsidR="005E355B" w:rsidRPr="00E63900">
        <w:rPr>
          <w:rFonts w:asciiTheme="minorHAnsi" w:hAnsiTheme="minorHAnsi" w:cstheme="minorHAnsi"/>
        </w:rPr>
        <w:t xml:space="preserve"> </w:t>
      </w:r>
      <w:proofErr w:type="spellStart"/>
      <w:proofErr w:type="gramStart"/>
      <w:r w:rsidR="005E355B" w:rsidRPr="00E63900">
        <w:rPr>
          <w:rFonts w:asciiTheme="minorHAnsi" w:hAnsiTheme="minorHAnsi" w:cstheme="minorHAnsi"/>
        </w:rPr>
        <w:t>GFA</w:t>
      </w:r>
      <w:proofErr w:type="spellEnd"/>
      <w:proofErr w:type="gramEnd"/>
      <w:r w:rsidR="005E355B" w:rsidRPr="00E63900">
        <w:rPr>
          <w:rFonts w:asciiTheme="minorHAnsi" w:hAnsiTheme="minorHAnsi" w:cstheme="minorHAnsi"/>
        </w:rPr>
        <w:t xml:space="preserve"> </w:t>
      </w:r>
    </w:p>
    <w:p w14:paraId="42A4A824" w14:textId="690420A0" w:rsidR="005E355B" w:rsidRPr="00E63900" w:rsidRDefault="00D620EC" w:rsidP="00A253E6">
      <w:pPr>
        <w:pStyle w:val="BodyText"/>
        <w:numPr>
          <w:ilvl w:val="0"/>
          <w:numId w:val="26"/>
        </w:numPr>
        <w:rPr>
          <w:rFonts w:asciiTheme="minorHAnsi" w:hAnsiTheme="minorHAnsi" w:cstheme="minorHAnsi"/>
        </w:rPr>
      </w:pPr>
      <w:r w:rsidRPr="00E63900">
        <w:rPr>
          <w:rFonts w:asciiTheme="minorHAnsi" w:hAnsiTheme="minorHAnsi" w:cstheme="minorHAnsi"/>
        </w:rPr>
        <w:t xml:space="preserve">Option </w:t>
      </w:r>
      <w:r w:rsidR="00A80592" w:rsidRPr="00E63900">
        <w:rPr>
          <w:rFonts w:asciiTheme="minorHAnsi" w:hAnsiTheme="minorHAnsi" w:cstheme="minorHAnsi"/>
        </w:rPr>
        <w:t>4</w:t>
      </w:r>
      <w:r w:rsidRPr="00E63900">
        <w:rPr>
          <w:rFonts w:asciiTheme="minorHAnsi" w:hAnsiTheme="minorHAnsi" w:cstheme="minorHAnsi"/>
        </w:rPr>
        <w:t xml:space="preserve">: </w:t>
      </w:r>
      <w:r w:rsidR="005E355B" w:rsidRPr="00E63900">
        <w:rPr>
          <w:rFonts w:asciiTheme="minorHAnsi" w:hAnsiTheme="minorHAnsi" w:cstheme="minorHAnsi"/>
        </w:rPr>
        <w:t xml:space="preserve">A </w:t>
      </w:r>
      <w:proofErr w:type="spellStart"/>
      <w:r w:rsidR="005E355B" w:rsidRPr="00E63900">
        <w:rPr>
          <w:rFonts w:asciiTheme="minorHAnsi" w:hAnsiTheme="minorHAnsi" w:cstheme="minorHAnsi"/>
        </w:rPr>
        <w:t>MEPS</w:t>
      </w:r>
      <w:proofErr w:type="spellEnd"/>
      <w:r w:rsidR="005E355B" w:rsidRPr="00E63900">
        <w:rPr>
          <w:rFonts w:asciiTheme="minorHAnsi" w:hAnsiTheme="minorHAnsi" w:cstheme="minorHAnsi"/>
        </w:rPr>
        <w:t xml:space="preserve"> for offices over 1000m</w:t>
      </w:r>
      <w:r w:rsidR="005E355B" w:rsidRPr="00E63900">
        <w:rPr>
          <w:rFonts w:asciiTheme="minorHAnsi" w:hAnsiTheme="minorHAnsi" w:cstheme="minorHAnsi"/>
          <w:vertAlign w:val="superscript"/>
        </w:rPr>
        <w:t>2</w:t>
      </w:r>
      <w:r w:rsidR="005E355B" w:rsidRPr="00E63900">
        <w:rPr>
          <w:rFonts w:asciiTheme="minorHAnsi" w:hAnsiTheme="minorHAnsi" w:cstheme="minorHAnsi"/>
        </w:rPr>
        <w:t xml:space="preserve"> based on the NABERS star </w:t>
      </w:r>
      <w:proofErr w:type="gramStart"/>
      <w:r w:rsidR="005E355B" w:rsidRPr="00E63900">
        <w:rPr>
          <w:rFonts w:asciiTheme="minorHAnsi" w:hAnsiTheme="minorHAnsi" w:cstheme="minorHAnsi"/>
        </w:rPr>
        <w:t>rating</w:t>
      </w:r>
      <w:proofErr w:type="gramEnd"/>
    </w:p>
    <w:p w14:paraId="7D33A95F" w14:textId="529B900B" w:rsidR="005E355B" w:rsidRPr="00E63900" w:rsidRDefault="00D620EC" w:rsidP="00A253E6">
      <w:pPr>
        <w:pStyle w:val="BodyText"/>
        <w:numPr>
          <w:ilvl w:val="0"/>
          <w:numId w:val="26"/>
        </w:numPr>
        <w:rPr>
          <w:rFonts w:asciiTheme="minorHAnsi" w:hAnsiTheme="minorHAnsi" w:cstheme="minorHAnsi"/>
        </w:rPr>
      </w:pPr>
      <w:r w:rsidRPr="00E63900">
        <w:rPr>
          <w:rFonts w:asciiTheme="minorHAnsi" w:hAnsiTheme="minorHAnsi" w:cstheme="minorHAnsi"/>
        </w:rPr>
        <w:t xml:space="preserve">Option </w:t>
      </w:r>
      <w:r w:rsidR="00A80592" w:rsidRPr="00E63900">
        <w:rPr>
          <w:rFonts w:asciiTheme="minorHAnsi" w:hAnsiTheme="minorHAnsi" w:cstheme="minorHAnsi"/>
        </w:rPr>
        <w:t>5</w:t>
      </w:r>
      <w:r w:rsidRPr="00E63900">
        <w:rPr>
          <w:rFonts w:asciiTheme="minorHAnsi" w:hAnsiTheme="minorHAnsi" w:cstheme="minorHAnsi"/>
        </w:rPr>
        <w:t xml:space="preserve">: </w:t>
      </w:r>
      <w:r w:rsidR="005E355B" w:rsidRPr="00E63900">
        <w:rPr>
          <w:rFonts w:asciiTheme="minorHAnsi" w:hAnsiTheme="minorHAnsi" w:cstheme="minorHAnsi"/>
        </w:rPr>
        <w:t xml:space="preserve">Requiring a detailed breakdown of scope 1 emissions for buildings currently reporting under the CBD </w:t>
      </w:r>
      <w:proofErr w:type="gramStart"/>
      <w:r w:rsidR="005E355B" w:rsidRPr="00E63900">
        <w:rPr>
          <w:rFonts w:asciiTheme="minorHAnsi" w:hAnsiTheme="minorHAnsi" w:cstheme="minorHAnsi"/>
        </w:rPr>
        <w:t>program</w:t>
      </w:r>
      <w:proofErr w:type="gramEnd"/>
    </w:p>
    <w:p w14:paraId="182FC283" w14:textId="3C90ECF9" w:rsidR="005E355B" w:rsidRPr="00E63900" w:rsidRDefault="00D620EC" w:rsidP="00A253E6">
      <w:pPr>
        <w:pStyle w:val="BodyText"/>
        <w:numPr>
          <w:ilvl w:val="0"/>
          <w:numId w:val="26"/>
        </w:numPr>
        <w:rPr>
          <w:rFonts w:asciiTheme="minorHAnsi" w:hAnsiTheme="minorHAnsi" w:cstheme="minorHAnsi"/>
        </w:rPr>
      </w:pPr>
      <w:r w:rsidRPr="00E63900">
        <w:rPr>
          <w:rFonts w:asciiTheme="minorHAnsi" w:hAnsiTheme="minorHAnsi" w:cstheme="minorHAnsi"/>
        </w:rPr>
        <w:t xml:space="preserve">Option </w:t>
      </w:r>
      <w:r w:rsidR="00A80592" w:rsidRPr="00E63900">
        <w:rPr>
          <w:rFonts w:asciiTheme="minorHAnsi" w:hAnsiTheme="minorHAnsi" w:cstheme="minorHAnsi"/>
        </w:rPr>
        <w:t>6</w:t>
      </w:r>
      <w:r w:rsidRPr="00E63900">
        <w:rPr>
          <w:rFonts w:asciiTheme="minorHAnsi" w:hAnsiTheme="minorHAnsi" w:cstheme="minorHAnsi"/>
        </w:rPr>
        <w:t xml:space="preserve">: </w:t>
      </w:r>
      <w:r w:rsidR="005E355B" w:rsidRPr="00E63900">
        <w:rPr>
          <w:rFonts w:asciiTheme="minorHAnsi" w:hAnsiTheme="minorHAnsi" w:cstheme="minorHAnsi"/>
        </w:rPr>
        <w:t xml:space="preserve">Introducing a </w:t>
      </w:r>
      <w:proofErr w:type="spellStart"/>
      <w:r w:rsidR="005E355B" w:rsidRPr="00E63900">
        <w:rPr>
          <w:rFonts w:asciiTheme="minorHAnsi" w:hAnsiTheme="minorHAnsi" w:cstheme="minorHAnsi"/>
        </w:rPr>
        <w:t>MEPS</w:t>
      </w:r>
      <w:proofErr w:type="spellEnd"/>
      <w:r w:rsidR="005E355B" w:rsidRPr="00E63900">
        <w:rPr>
          <w:rFonts w:asciiTheme="minorHAnsi" w:hAnsiTheme="minorHAnsi" w:cstheme="minorHAnsi"/>
        </w:rPr>
        <w:t xml:space="preserve"> for offices focused on lighting </w:t>
      </w:r>
      <w:proofErr w:type="gramStart"/>
      <w:r w:rsidR="005E355B" w:rsidRPr="00E63900">
        <w:rPr>
          <w:rFonts w:asciiTheme="minorHAnsi" w:hAnsiTheme="minorHAnsi" w:cstheme="minorHAnsi"/>
        </w:rPr>
        <w:t>requirements</w:t>
      </w:r>
      <w:proofErr w:type="gramEnd"/>
    </w:p>
    <w:p w14:paraId="71B40462" w14:textId="0F6A5996" w:rsidR="005E355B" w:rsidRPr="00E63900" w:rsidRDefault="00D620EC" w:rsidP="00A253E6">
      <w:pPr>
        <w:pStyle w:val="BodyText"/>
        <w:numPr>
          <w:ilvl w:val="0"/>
          <w:numId w:val="26"/>
        </w:numPr>
        <w:rPr>
          <w:rFonts w:asciiTheme="minorHAnsi" w:hAnsiTheme="minorHAnsi" w:cstheme="minorHAnsi"/>
        </w:rPr>
      </w:pPr>
      <w:r w:rsidRPr="00E63900">
        <w:rPr>
          <w:rFonts w:asciiTheme="minorHAnsi" w:hAnsiTheme="minorHAnsi" w:cstheme="minorHAnsi"/>
        </w:rPr>
        <w:t xml:space="preserve">Option </w:t>
      </w:r>
      <w:r w:rsidR="00A80592" w:rsidRPr="00E63900">
        <w:rPr>
          <w:rFonts w:asciiTheme="minorHAnsi" w:hAnsiTheme="minorHAnsi" w:cstheme="minorHAnsi"/>
        </w:rPr>
        <w:t>7</w:t>
      </w:r>
      <w:r w:rsidRPr="00E63900">
        <w:rPr>
          <w:rFonts w:asciiTheme="minorHAnsi" w:hAnsiTheme="minorHAnsi" w:cstheme="minorHAnsi"/>
        </w:rPr>
        <w:t xml:space="preserve">: </w:t>
      </w:r>
      <w:r w:rsidR="005E355B" w:rsidRPr="00E63900">
        <w:rPr>
          <w:rFonts w:asciiTheme="minorHAnsi" w:hAnsiTheme="minorHAnsi" w:cstheme="minorHAnsi"/>
        </w:rPr>
        <w:t>A phase out of fossil fuel boilers in commercial buildings.</w:t>
      </w:r>
    </w:p>
    <w:p w14:paraId="7B5B30A3" w14:textId="77777777" w:rsidR="005E355B" w:rsidRPr="00E63900" w:rsidRDefault="005E355B" w:rsidP="005E355B">
      <w:pPr>
        <w:pStyle w:val="BodyText"/>
        <w:rPr>
          <w:rFonts w:asciiTheme="minorHAnsi" w:hAnsiTheme="minorHAnsi" w:cstheme="minorHAnsi"/>
        </w:rPr>
      </w:pPr>
      <w:r w:rsidRPr="00E63900">
        <w:rPr>
          <w:rFonts w:asciiTheme="minorHAnsi" w:hAnsiTheme="minorHAnsi" w:cstheme="minorHAnsi"/>
        </w:rPr>
        <w:t>Each of these policy options is explored in greater detail below.</w:t>
      </w:r>
    </w:p>
    <w:p w14:paraId="173C9547" w14:textId="33874627" w:rsidR="000C6039" w:rsidRPr="00E63900" w:rsidRDefault="005E355B" w:rsidP="005E355B">
      <w:pPr>
        <w:pStyle w:val="Heading3"/>
        <w:rPr>
          <w:rFonts w:asciiTheme="minorHAnsi" w:hAnsiTheme="minorHAnsi" w:cstheme="minorHAnsi"/>
        </w:rPr>
      </w:pPr>
      <w:r w:rsidRPr="00E63900">
        <w:rPr>
          <w:rFonts w:asciiTheme="minorHAnsi" w:hAnsiTheme="minorHAnsi" w:cstheme="minorHAnsi"/>
        </w:rPr>
        <w:t>Option 1: Blanket disclosure</w:t>
      </w:r>
    </w:p>
    <w:p w14:paraId="7CDF64F8" w14:textId="0C4BD47A" w:rsidR="00160B45" w:rsidRPr="00E63900" w:rsidRDefault="0090413E" w:rsidP="00C95B3A">
      <w:pPr>
        <w:pStyle w:val="BodyText"/>
        <w:rPr>
          <w:rFonts w:asciiTheme="minorHAnsi" w:hAnsiTheme="minorHAnsi" w:cstheme="minorHAnsi"/>
        </w:rPr>
      </w:pPr>
      <w:r w:rsidRPr="00E63900">
        <w:rPr>
          <w:rFonts w:asciiTheme="minorHAnsi" w:hAnsiTheme="minorHAnsi" w:cstheme="minorHAnsi"/>
        </w:rPr>
        <w:t>The first option considered was a blanket mandatory disclosure for all commercial buildings over 1000m</w:t>
      </w:r>
      <w:r w:rsidRPr="00E63900">
        <w:rPr>
          <w:rFonts w:asciiTheme="minorHAnsi" w:hAnsiTheme="minorHAnsi" w:cstheme="minorHAnsi"/>
          <w:vertAlign w:val="superscript"/>
        </w:rPr>
        <w:t>2</w:t>
      </w:r>
      <w:r w:rsidRPr="00E63900">
        <w:rPr>
          <w:rFonts w:asciiTheme="minorHAnsi" w:hAnsiTheme="minorHAnsi" w:cstheme="minorHAnsi"/>
        </w:rPr>
        <w:t xml:space="preserve">. This policy is based on several approaches adopted in European schemes. For example, the UK, Germany, France, </w:t>
      </w:r>
      <w:proofErr w:type="gramStart"/>
      <w:r w:rsidRPr="00E63900">
        <w:rPr>
          <w:rFonts w:asciiTheme="minorHAnsi" w:hAnsiTheme="minorHAnsi" w:cstheme="minorHAnsi"/>
        </w:rPr>
        <w:t>Norway</w:t>
      </w:r>
      <w:proofErr w:type="gramEnd"/>
      <w:r w:rsidRPr="00E63900">
        <w:rPr>
          <w:rFonts w:asciiTheme="minorHAnsi" w:hAnsiTheme="minorHAnsi" w:cstheme="minorHAnsi"/>
        </w:rPr>
        <w:t xml:space="preserve"> and others all have blanket disclosure o</w:t>
      </w:r>
      <w:r w:rsidR="00C95076" w:rsidRPr="00E63900">
        <w:rPr>
          <w:rFonts w:asciiTheme="minorHAnsi" w:hAnsiTheme="minorHAnsi" w:cstheme="minorHAnsi"/>
        </w:rPr>
        <w:t>f</w:t>
      </w:r>
      <w:r w:rsidRPr="00E63900">
        <w:rPr>
          <w:rFonts w:asciiTheme="minorHAnsi" w:hAnsiTheme="minorHAnsi" w:cstheme="minorHAnsi"/>
        </w:rPr>
        <w:t xml:space="preserve"> EPC policies for non-residential or tertiary buildings over a particular size.</w:t>
      </w:r>
      <w:r w:rsidR="00715250" w:rsidRPr="00E63900">
        <w:rPr>
          <w:rFonts w:asciiTheme="minorHAnsi" w:hAnsiTheme="minorHAnsi" w:cstheme="minorHAnsi"/>
        </w:rPr>
        <w:t xml:space="preserve"> </w:t>
      </w:r>
      <w:r w:rsidR="00EF3629" w:rsidRPr="00E63900">
        <w:rPr>
          <w:rFonts w:asciiTheme="minorHAnsi" w:hAnsiTheme="minorHAnsi" w:cstheme="minorHAnsi"/>
        </w:rPr>
        <w:t xml:space="preserve">However, in these cases, as the EPC is used, it is an </w:t>
      </w:r>
      <w:proofErr w:type="gramStart"/>
      <w:r w:rsidR="00EF3629" w:rsidRPr="00E63900">
        <w:rPr>
          <w:rFonts w:asciiTheme="minorHAnsi" w:hAnsiTheme="minorHAnsi" w:cstheme="minorHAnsi"/>
        </w:rPr>
        <w:t>attribute based</w:t>
      </w:r>
      <w:proofErr w:type="gramEnd"/>
      <w:r w:rsidR="00EF3629" w:rsidRPr="00E63900">
        <w:rPr>
          <w:rFonts w:asciiTheme="minorHAnsi" w:hAnsiTheme="minorHAnsi" w:cstheme="minorHAnsi"/>
        </w:rPr>
        <w:t xml:space="preserve"> measure, which is easier to roll out and monitor at scale. </w:t>
      </w:r>
      <w:r w:rsidR="00715250" w:rsidRPr="00E63900">
        <w:rPr>
          <w:rFonts w:asciiTheme="minorHAnsi" w:hAnsiTheme="minorHAnsi" w:cstheme="minorHAnsi"/>
        </w:rPr>
        <w:t>As noted in chapter 3, the UK policy considers all commercial buildings greater than 50m</w:t>
      </w:r>
      <w:r w:rsidR="00715250" w:rsidRPr="00E63900">
        <w:rPr>
          <w:rFonts w:asciiTheme="minorHAnsi" w:hAnsiTheme="minorHAnsi" w:cstheme="minorHAnsi"/>
          <w:vertAlign w:val="superscript"/>
        </w:rPr>
        <w:t>2</w:t>
      </w:r>
      <w:r w:rsidR="00715250" w:rsidRPr="00E63900">
        <w:rPr>
          <w:rFonts w:asciiTheme="minorHAnsi" w:hAnsiTheme="minorHAnsi" w:cstheme="minorHAnsi"/>
        </w:rPr>
        <w:t xml:space="preserve"> in size.</w:t>
      </w:r>
      <w:r w:rsidRPr="00E63900">
        <w:rPr>
          <w:rFonts w:asciiTheme="minorHAnsi" w:hAnsiTheme="minorHAnsi" w:cstheme="minorHAnsi"/>
        </w:rPr>
        <w:t xml:space="preserve"> The benefit of this approach is its simplicity and its impact on cultural changes in how energy efficiency is considered across the economy.</w:t>
      </w:r>
      <w:r w:rsidR="00160B45" w:rsidRPr="00E63900">
        <w:rPr>
          <w:rFonts w:asciiTheme="minorHAnsi" w:hAnsiTheme="minorHAnsi" w:cstheme="minorHAnsi"/>
        </w:rPr>
        <w:t xml:space="preserve"> This approach has the most extensive inclusion requirements, which would have the most significant impact, </w:t>
      </w:r>
      <w:r w:rsidR="00412EEB" w:rsidRPr="00E63900">
        <w:rPr>
          <w:rFonts w:asciiTheme="minorHAnsi" w:hAnsiTheme="minorHAnsi" w:cstheme="minorHAnsi"/>
        </w:rPr>
        <w:t>however,</w:t>
      </w:r>
      <w:r w:rsidR="00160B45" w:rsidRPr="00E63900">
        <w:rPr>
          <w:rFonts w:asciiTheme="minorHAnsi" w:hAnsiTheme="minorHAnsi" w:cstheme="minorHAnsi"/>
        </w:rPr>
        <w:t xml:space="preserve"> would result in costs being occurred by more building owners, some of whom have limited capacity to address issues identified. </w:t>
      </w:r>
    </w:p>
    <w:p w14:paraId="5D815500" w14:textId="422E9017" w:rsidR="005E355B" w:rsidRPr="00E63900" w:rsidRDefault="00715250" w:rsidP="00C95B3A">
      <w:pPr>
        <w:pStyle w:val="BodyText"/>
        <w:rPr>
          <w:rFonts w:asciiTheme="minorHAnsi" w:hAnsiTheme="minorHAnsi" w:cstheme="minorHAnsi"/>
        </w:rPr>
      </w:pPr>
      <w:r w:rsidRPr="00E63900">
        <w:rPr>
          <w:rFonts w:asciiTheme="minorHAnsi" w:hAnsiTheme="minorHAnsi" w:cstheme="minorHAnsi"/>
        </w:rPr>
        <w:t xml:space="preserve">Specifics of the policy are outlined in </w:t>
      </w:r>
      <w:r w:rsidR="00BC1AF6">
        <w:rPr>
          <w:rFonts w:asciiTheme="minorHAnsi" w:hAnsiTheme="minorHAnsi" w:cstheme="minorHAnsi"/>
        </w:rPr>
        <w:fldChar w:fldCharType="begin" w:fldLock="1"/>
      </w:r>
      <w:r w:rsidR="00BC1AF6">
        <w:rPr>
          <w:rFonts w:asciiTheme="minorHAnsi" w:hAnsiTheme="minorHAnsi" w:cstheme="minorHAnsi"/>
        </w:rPr>
        <w:instrText xml:space="preserve"> REF _Ref152334417 \h  \* MERGEFORMAT </w:instrText>
      </w:r>
      <w:r w:rsidR="00BC1AF6">
        <w:rPr>
          <w:rFonts w:asciiTheme="minorHAnsi" w:hAnsiTheme="minorHAnsi" w:cstheme="minorHAnsi"/>
        </w:rPr>
      </w:r>
      <w:r w:rsidR="00BC1AF6">
        <w:rPr>
          <w:rFonts w:asciiTheme="minorHAnsi" w:hAnsiTheme="minorHAnsi" w:cstheme="minorHAnsi"/>
        </w:rPr>
        <w:fldChar w:fldCharType="separate"/>
      </w:r>
      <w:r w:rsidR="00BC1AF6" w:rsidRPr="00BC1AF6">
        <w:rPr>
          <w:rFonts w:asciiTheme="minorHAnsi" w:hAnsiTheme="minorHAnsi" w:cstheme="minorHAnsi"/>
        </w:rPr>
        <w:t>Table 12</w:t>
      </w:r>
      <w:r w:rsidR="00BC1AF6">
        <w:rPr>
          <w:rFonts w:asciiTheme="minorHAnsi" w:hAnsiTheme="minorHAnsi" w:cstheme="minorHAnsi"/>
        </w:rPr>
        <w:fldChar w:fldCharType="end"/>
      </w:r>
      <w:r w:rsidRPr="00E63900">
        <w:rPr>
          <w:rFonts w:asciiTheme="minorHAnsi" w:hAnsiTheme="minorHAnsi" w:cstheme="minorHAnsi"/>
        </w:rPr>
        <w:t xml:space="preserve"> below.</w:t>
      </w:r>
    </w:p>
    <w:p w14:paraId="1B96D4D9" w14:textId="300FAF77" w:rsidR="00715250" w:rsidRPr="00744016" w:rsidRDefault="00715250" w:rsidP="00744016">
      <w:pPr>
        <w:pStyle w:val="Caption"/>
        <w:keepNext/>
        <w:spacing w:after="120"/>
        <w:rPr>
          <w:rFonts w:ascii="Calibri" w:eastAsia="Times New Roman" w:hAnsi="Calibri" w:cs="Times New Roman"/>
          <w:b/>
          <w:bCs/>
          <w:i w:val="0"/>
          <w:iCs w:val="0"/>
          <w:color w:val="auto"/>
          <w:sz w:val="24"/>
        </w:rPr>
      </w:pPr>
      <w:bookmarkStart w:id="201" w:name="_Ref152334417"/>
      <w:bookmarkStart w:id="202" w:name="_Toc162535448"/>
      <w:r w:rsidRPr="00744016">
        <w:rPr>
          <w:rFonts w:ascii="Calibri" w:eastAsia="Times New Roman" w:hAnsi="Calibri" w:cs="Times New Roman"/>
          <w:b/>
          <w:bCs/>
          <w:i w:val="0"/>
          <w:iCs w:val="0"/>
          <w:color w:val="auto"/>
          <w:sz w:val="24"/>
        </w:rPr>
        <w:t xml:space="preserve">Table </w:t>
      </w:r>
      <w:r w:rsidR="00722E7A" w:rsidRPr="00744016">
        <w:rPr>
          <w:rFonts w:ascii="Calibri" w:eastAsia="Times New Roman" w:hAnsi="Calibri" w:cs="Times New Roman"/>
          <w:b/>
          <w:bCs/>
          <w:i w:val="0"/>
          <w:iCs w:val="0"/>
          <w:color w:val="auto"/>
          <w:sz w:val="24"/>
        </w:rPr>
        <w:fldChar w:fldCharType="begin"/>
      </w:r>
      <w:r w:rsidR="00722E7A" w:rsidRPr="00744016">
        <w:rPr>
          <w:rFonts w:ascii="Calibri" w:eastAsia="Times New Roman" w:hAnsi="Calibri" w:cs="Times New Roman"/>
          <w:b/>
          <w:bCs/>
          <w:i w:val="0"/>
          <w:iCs w:val="0"/>
          <w:color w:val="auto"/>
          <w:sz w:val="24"/>
        </w:rPr>
        <w:instrText xml:space="preserve"> SEQ Table \* ARABIC </w:instrText>
      </w:r>
      <w:r w:rsidR="00722E7A"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12</w:t>
      </w:r>
      <w:r w:rsidR="00722E7A" w:rsidRPr="00744016">
        <w:rPr>
          <w:rFonts w:ascii="Calibri" w:eastAsia="Times New Roman" w:hAnsi="Calibri" w:cs="Times New Roman"/>
          <w:b/>
          <w:bCs/>
          <w:i w:val="0"/>
          <w:iCs w:val="0"/>
          <w:color w:val="auto"/>
          <w:sz w:val="24"/>
        </w:rPr>
        <w:fldChar w:fldCharType="end"/>
      </w:r>
      <w:bookmarkEnd w:id="201"/>
      <w:r w:rsidRPr="00744016">
        <w:rPr>
          <w:rFonts w:ascii="Calibri" w:eastAsia="Times New Roman" w:hAnsi="Calibri" w:cs="Times New Roman"/>
          <w:b/>
          <w:bCs/>
          <w:i w:val="0"/>
          <w:iCs w:val="0"/>
          <w:color w:val="auto"/>
          <w:sz w:val="24"/>
        </w:rPr>
        <w:t>: Blanket disclosure</w:t>
      </w:r>
      <w:bookmarkEnd w:id="202"/>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5"/>
      </w:tblGrid>
      <w:tr w:rsidR="007848B0" w14:paraId="67748AD8" w14:textId="77777777" w:rsidTr="009067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37526A62" w14:textId="584EA262" w:rsidR="00584CC0" w:rsidRPr="00CB4FB8" w:rsidRDefault="00715250" w:rsidP="00C95B3A">
            <w:pPr>
              <w:pStyle w:val="BodyText"/>
              <w:rPr>
                <w:rFonts w:asciiTheme="minorHAnsi" w:hAnsiTheme="minorHAnsi" w:cstheme="minorHAnsi"/>
                <w:i/>
                <w:color w:val="auto"/>
              </w:rPr>
            </w:pPr>
            <w:r w:rsidRPr="00CB4FB8">
              <w:rPr>
                <w:rFonts w:asciiTheme="minorHAnsi" w:hAnsiTheme="minorHAnsi" w:cstheme="minorHAnsi"/>
                <w:color w:val="auto"/>
              </w:rPr>
              <w:t>Design element</w:t>
            </w:r>
          </w:p>
        </w:tc>
        <w:tc>
          <w:tcPr>
            <w:tcW w:w="7505" w:type="dxa"/>
          </w:tcPr>
          <w:p w14:paraId="6FC804FF" w14:textId="45FF93FA" w:rsidR="00584CC0" w:rsidRPr="00CB4FB8" w:rsidRDefault="00715250" w:rsidP="00C95B3A">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B4FB8">
              <w:rPr>
                <w:rFonts w:asciiTheme="minorHAnsi" w:hAnsiTheme="minorHAnsi" w:cstheme="minorHAnsi"/>
                <w:color w:val="auto"/>
              </w:rPr>
              <w:t>Description</w:t>
            </w:r>
          </w:p>
        </w:tc>
      </w:tr>
      <w:tr w:rsidR="007848B0" w14:paraId="63D7C35E" w14:textId="77777777" w:rsidTr="00906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CFF62FF" w14:textId="1201DB14" w:rsidR="00584CC0" w:rsidRPr="001A51AD" w:rsidRDefault="00584CC0" w:rsidP="00C95B3A">
            <w:pPr>
              <w:pStyle w:val="BodyText"/>
              <w:rPr>
                <w:rFonts w:asciiTheme="minorHAnsi" w:hAnsiTheme="minorHAnsi" w:cstheme="minorHAnsi"/>
                <w:i/>
              </w:rPr>
            </w:pPr>
            <w:r w:rsidRPr="001A51AD">
              <w:rPr>
                <w:rFonts w:asciiTheme="minorHAnsi" w:hAnsiTheme="minorHAnsi" w:cstheme="minorHAnsi"/>
              </w:rPr>
              <w:t>Coverage and exemptions</w:t>
            </w:r>
          </w:p>
        </w:tc>
        <w:tc>
          <w:tcPr>
            <w:tcW w:w="7505" w:type="dxa"/>
          </w:tcPr>
          <w:p w14:paraId="6C85CB5E" w14:textId="541AC3EE" w:rsidR="00584CC0" w:rsidRPr="00E63900" w:rsidRDefault="00715250" w:rsidP="00C95B3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Policy would cover all commercial buildings greater than 1000m</w:t>
            </w:r>
            <w:r w:rsidRPr="00E63900">
              <w:rPr>
                <w:rFonts w:asciiTheme="minorHAnsi" w:hAnsiTheme="minorHAnsi" w:cstheme="minorHAnsi"/>
                <w:vertAlign w:val="superscript"/>
              </w:rPr>
              <w:t>2</w:t>
            </w:r>
            <w:r w:rsidRPr="00E63900">
              <w:rPr>
                <w:rFonts w:asciiTheme="minorHAnsi" w:hAnsiTheme="minorHAnsi" w:cstheme="minorHAnsi"/>
              </w:rPr>
              <w:t xml:space="preserve">. </w:t>
            </w:r>
            <w:r w:rsidR="00CE2C61" w:rsidRPr="00E63900">
              <w:rPr>
                <w:rFonts w:asciiTheme="minorHAnsi" w:hAnsiTheme="minorHAnsi" w:cstheme="minorHAnsi"/>
              </w:rPr>
              <w:t>Exceptions</w:t>
            </w:r>
            <w:r w:rsidRPr="00E63900">
              <w:rPr>
                <w:rFonts w:asciiTheme="minorHAnsi" w:hAnsiTheme="minorHAnsi" w:cstheme="minorHAnsi"/>
              </w:rPr>
              <w:t xml:space="preserve"> would be considered for </w:t>
            </w:r>
            <w:r w:rsidR="005C3011" w:rsidRPr="00E63900">
              <w:rPr>
                <w:rFonts w:asciiTheme="minorHAnsi" w:hAnsiTheme="minorHAnsi" w:cstheme="minorHAnsi"/>
              </w:rPr>
              <w:t>heritage buildings</w:t>
            </w:r>
            <w:r w:rsidR="00B97B52" w:rsidRPr="00E63900">
              <w:rPr>
                <w:rFonts w:asciiTheme="minorHAnsi" w:hAnsiTheme="minorHAnsi" w:cstheme="minorHAnsi"/>
              </w:rPr>
              <w:t xml:space="preserve"> and</w:t>
            </w:r>
            <w:r w:rsidR="005C3011" w:rsidRPr="00E63900">
              <w:rPr>
                <w:rFonts w:asciiTheme="minorHAnsi" w:hAnsiTheme="minorHAnsi" w:cstheme="minorHAnsi"/>
              </w:rPr>
              <w:t xml:space="preserve"> short-term buildings</w:t>
            </w:r>
            <w:r w:rsidR="00970D31" w:rsidRPr="00E63900">
              <w:rPr>
                <w:rFonts w:asciiTheme="minorHAnsi" w:hAnsiTheme="minorHAnsi" w:cstheme="minorHAnsi"/>
              </w:rPr>
              <w:t xml:space="preserve">. Exemptions </w:t>
            </w:r>
            <w:r w:rsidR="00F26D17" w:rsidRPr="00E63900">
              <w:rPr>
                <w:rFonts w:asciiTheme="minorHAnsi" w:hAnsiTheme="minorHAnsi" w:cstheme="minorHAnsi"/>
              </w:rPr>
              <w:t>would be considered for</w:t>
            </w:r>
            <w:r w:rsidR="005C3011" w:rsidRPr="00E63900">
              <w:rPr>
                <w:rFonts w:asciiTheme="minorHAnsi" w:hAnsiTheme="minorHAnsi" w:cstheme="minorHAnsi"/>
              </w:rPr>
              <w:t xml:space="preserve"> buildings approved for demolition or major works</w:t>
            </w:r>
            <w:r w:rsidRPr="00E63900">
              <w:rPr>
                <w:rFonts w:asciiTheme="minorHAnsi" w:hAnsiTheme="minorHAnsi" w:cstheme="minorHAnsi"/>
              </w:rPr>
              <w:t>.</w:t>
            </w:r>
          </w:p>
        </w:tc>
      </w:tr>
      <w:tr w:rsidR="00FA0494" w14:paraId="4FFBEF96" w14:textId="77777777" w:rsidTr="00906768">
        <w:tc>
          <w:tcPr>
            <w:cnfStyle w:val="001000000000" w:firstRow="0" w:lastRow="0" w:firstColumn="1" w:lastColumn="0" w:oddVBand="0" w:evenVBand="0" w:oddHBand="0" w:evenHBand="0" w:firstRowFirstColumn="0" w:firstRowLastColumn="0" w:lastRowFirstColumn="0" w:lastRowLastColumn="0"/>
            <w:tcW w:w="2689" w:type="dxa"/>
          </w:tcPr>
          <w:p w14:paraId="676ECE7A" w14:textId="6323BC55" w:rsidR="00584CC0" w:rsidRPr="001A51AD" w:rsidRDefault="00584CC0" w:rsidP="00C95B3A">
            <w:pPr>
              <w:pStyle w:val="BodyText"/>
              <w:rPr>
                <w:rFonts w:asciiTheme="minorHAnsi" w:hAnsiTheme="minorHAnsi" w:cstheme="minorHAnsi"/>
                <w:i/>
              </w:rPr>
            </w:pPr>
            <w:r w:rsidRPr="001A51AD">
              <w:rPr>
                <w:rFonts w:asciiTheme="minorHAnsi" w:hAnsiTheme="minorHAnsi" w:cstheme="minorHAnsi"/>
              </w:rPr>
              <w:t>Reporting</w:t>
            </w:r>
          </w:p>
        </w:tc>
        <w:tc>
          <w:tcPr>
            <w:tcW w:w="7505" w:type="dxa"/>
          </w:tcPr>
          <w:p w14:paraId="20F41CA7" w14:textId="128E3977" w:rsidR="00584CC0" w:rsidRPr="00E63900" w:rsidRDefault="00715250" w:rsidP="00C95B3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Disclosure assessments and reporting would </w:t>
            </w:r>
            <w:r w:rsidR="002E357E" w:rsidRPr="00E63900">
              <w:rPr>
                <w:rFonts w:asciiTheme="minorHAnsi" w:hAnsiTheme="minorHAnsi" w:cstheme="minorHAnsi"/>
              </w:rPr>
              <w:t>vary across the specific subsectors. For buildings that were subject to turnover (selling, leasing, etc.) assessments would be required at one of those trigger points, in line with the current CBD requirements. For sectors that are not subject to turnover (e.g. schools, hospitals, etc.), assessments would be required every year</w:t>
            </w:r>
            <w:r w:rsidR="00F17693" w:rsidRPr="00E63900">
              <w:rPr>
                <w:rFonts w:asciiTheme="minorHAnsi" w:hAnsiTheme="minorHAnsi" w:cstheme="minorHAnsi"/>
              </w:rPr>
              <w:t xml:space="preserve"> with the assessment result </w:t>
            </w:r>
            <w:proofErr w:type="gramStart"/>
            <w:r w:rsidR="00F17693" w:rsidRPr="00E63900">
              <w:rPr>
                <w:rFonts w:asciiTheme="minorHAnsi" w:hAnsiTheme="minorHAnsi" w:cstheme="minorHAnsi"/>
              </w:rPr>
              <w:t>displayed at all times</w:t>
            </w:r>
            <w:proofErr w:type="gramEnd"/>
            <w:r w:rsidR="002E357E" w:rsidRPr="00E63900">
              <w:rPr>
                <w:rFonts w:asciiTheme="minorHAnsi" w:hAnsiTheme="minorHAnsi" w:cstheme="minorHAnsi"/>
              </w:rPr>
              <w:t>.</w:t>
            </w:r>
          </w:p>
        </w:tc>
      </w:tr>
      <w:tr w:rsidR="007848B0" w14:paraId="3DF41BDF" w14:textId="77777777" w:rsidTr="00906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231AD2" w14:textId="4D1FB624" w:rsidR="00584CC0" w:rsidRPr="001A51AD" w:rsidRDefault="00584CC0" w:rsidP="00C95B3A">
            <w:pPr>
              <w:pStyle w:val="BodyText"/>
              <w:rPr>
                <w:rFonts w:asciiTheme="minorHAnsi" w:hAnsiTheme="minorHAnsi" w:cstheme="minorHAnsi"/>
                <w:i/>
              </w:rPr>
            </w:pPr>
            <w:r w:rsidRPr="001A51AD">
              <w:rPr>
                <w:rFonts w:asciiTheme="minorHAnsi" w:hAnsiTheme="minorHAnsi" w:cstheme="minorHAnsi"/>
              </w:rPr>
              <w:t>Compliance</w:t>
            </w:r>
          </w:p>
        </w:tc>
        <w:tc>
          <w:tcPr>
            <w:tcW w:w="7505" w:type="dxa"/>
          </w:tcPr>
          <w:p w14:paraId="50C8AF26" w14:textId="3875E3AF" w:rsidR="00584CC0" w:rsidRPr="00E63900" w:rsidRDefault="00F852DD" w:rsidP="00C95B3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Compliance assessments would be implemented through CBD authorised officers conducting spot-checks on buildings.</w:t>
            </w:r>
          </w:p>
        </w:tc>
      </w:tr>
      <w:tr w:rsidR="00FA0494" w14:paraId="47DA2552" w14:textId="77777777" w:rsidTr="00906768">
        <w:tc>
          <w:tcPr>
            <w:cnfStyle w:val="001000000000" w:firstRow="0" w:lastRow="0" w:firstColumn="1" w:lastColumn="0" w:oddVBand="0" w:evenVBand="0" w:oddHBand="0" w:evenHBand="0" w:firstRowFirstColumn="0" w:firstRowLastColumn="0" w:lastRowFirstColumn="0" w:lastRowLastColumn="0"/>
            <w:tcW w:w="2689" w:type="dxa"/>
          </w:tcPr>
          <w:p w14:paraId="58DE1666" w14:textId="7CE4A501" w:rsidR="00584CC0" w:rsidRPr="001A51AD" w:rsidRDefault="00584CC0" w:rsidP="00C95B3A">
            <w:pPr>
              <w:pStyle w:val="BodyText"/>
              <w:rPr>
                <w:rFonts w:asciiTheme="minorHAnsi" w:hAnsiTheme="minorHAnsi" w:cstheme="minorHAnsi"/>
                <w:i/>
              </w:rPr>
            </w:pPr>
            <w:r w:rsidRPr="001A51AD">
              <w:rPr>
                <w:rFonts w:asciiTheme="minorHAnsi" w:hAnsiTheme="minorHAnsi" w:cstheme="minorHAnsi"/>
              </w:rPr>
              <w:t>Display of rating</w:t>
            </w:r>
          </w:p>
        </w:tc>
        <w:tc>
          <w:tcPr>
            <w:tcW w:w="7505" w:type="dxa"/>
          </w:tcPr>
          <w:p w14:paraId="5B0E1F78" w14:textId="2952353E" w:rsidR="00584CC0" w:rsidRPr="00E63900" w:rsidRDefault="00F852DD" w:rsidP="00C95B3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Rating would need to be visibly displayed in the building</w:t>
            </w:r>
            <w:r w:rsidR="005170EA">
              <w:rPr>
                <w:rFonts w:asciiTheme="minorHAnsi" w:hAnsiTheme="minorHAnsi" w:cstheme="minorHAnsi"/>
              </w:rPr>
              <w:t xml:space="preserve"> in buildings with lower turnover</w:t>
            </w:r>
            <w:r w:rsidRPr="00E63900">
              <w:rPr>
                <w:rFonts w:asciiTheme="minorHAnsi" w:hAnsiTheme="minorHAnsi" w:cstheme="minorHAnsi"/>
              </w:rPr>
              <w:t>, and must be disclosed to buyers, lessors and in all advertising material.</w:t>
            </w:r>
            <w:r w:rsidR="00ED5995" w:rsidRPr="00E63900">
              <w:rPr>
                <w:rFonts w:asciiTheme="minorHAnsi" w:hAnsiTheme="minorHAnsi" w:cstheme="minorHAnsi"/>
              </w:rPr>
              <w:t xml:space="preserve"> As this is a blanket disclosure option, the display of rating would be the same regardless of building type. </w:t>
            </w:r>
          </w:p>
        </w:tc>
      </w:tr>
    </w:tbl>
    <w:p w14:paraId="2C06917D" w14:textId="525707D3" w:rsidR="005E355B" w:rsidRPr="00E63900" w:rsidRDefault="005E355B" w:rsidP="00C95B3A">
      <w:pPr>
        <w:pStyle w:val="BodyText"/>
        <w:rPr>
          <w:rFonts w:asciiTheme="minorHAnsi" w:hAnsiTheme="minorHAnsi" w:cstheme="minorHAnsi"/>
        </w:rPr>
      </w:pPr>
    </w:p>
    <w:p w14:paraId="6FD41240" w14:textId="77777777" w:rsidR="008C4076" w:rsidRPr="00E63900" w:rsidRDefault="008C4076">
      <w:pPr>
        <w:spacing w:before="0" w:after="160" w:line="259" w:lineRule="auto"/>
        <w:rPr>
          <w:rFonts w:asciiTheme="minorHAnsi" w:hAnsiTheme="minorHAnsi" w:cstheme="minorHAnsi"/>
        </w:rPr>
      </w:pPr>
      <w:r w:rsidRPr="00E63900">
        <w:rPr>
          <w:rFonts w:asciiTheme="minorHAnsi" w:hAnsiTheme="minorHAnsi" w:cstheme="minorHAnsi"/>
        </w:rPr>
        <w:br w:type="page"/>
      </w:r>
    </w:p>
    <w:p w14:paraId="69CFB615" w14:textId="0668E275" w:rsidR="003954E1" w:rsidRPr="00E63900" w:rsidRDefault="0090413E" w:rsidP="0090413E">
      <w:pPr>
        <w:pStyle w:val="Heading3"/>
        <w:rPr>
          <w:rFonts w:asciiTheme="minorHAnsi" w:hAnsiTheme="minorHAnsi" w:cstheme="minorHAnsi"/>
        </w:rPr>
      </w:pPr>
      <w:r w:rsidRPr="00E63900">
        <w:rPr>
          <w:rFonts w:asciiTheme="minorHAnsi" w:hAnsiTheme="minorHAnsi" w:cstheme="minorHAnsi"/>
        </w:rPr>
        <w:lastRenderedPageBreak/>
        <w:t>Option 2</w:t>
      </w:r>
      <w:r w:rsidR="00160B45" w:rsidRPr="00E63900">
        <w:rPr>
          <w:rFonts w:asciiTheme="minorHAnsi" w:hAnsiTheme="minorHAnsi" w:cstheme="minorHAnsi"/>
        </w:rPr>
        <w:t>:</w:t>
      </w:r>
      <w:r w:rsidRPr="00E63900">
        <w:rPr>
          <w:rFonts w:asciiTheme="minorHAnsi" w:hAnsiTheme="minorHAnsi" w:cstheme="minorHAnsi"/>
        </w:rPr>
        <w:t xml:space="preserve"> Tailored sectoral </w:t>
      </w:r>
      <w:proofErr w:type="gramStart"/>
      <w:r w:rsidRPr="00E63900">
        <w:rPr>
          <w:rFonts w:asciiTheme="minorHAnsi" w:hAnsiTheme="minorHAnsi" w:cstheme="minorHAnsi"/>
        </w:rPr>
        <w:t>disclosure</w:t>
      </w:r>
      <w:proofErr w:type="gramEnd"/>
    </w:p>
    <w:p w14:paraId="459D018B" w14:textId="77777777" w:rsidR="00EB4D6F" w:rsidRPr="00E63900" w:rsidRDefault="00311E78" w:rsidP="00C95B3A">
      <w:pPr>
        <w:pStyle w:val="BodyText"/>
        <w:rPr>
          <w:rFonts w:asciiTheme="minorHAnsi" w:hAnsiTheme="minorHAnsi" w:cstheme="minorHAnsi"/>
        </w:rPr>
      </w:pPr>
      <w:r w:rsidRPr="00E63900">
        <w:rPr>
          <w:rFonts w:asciiTheme="minorHAnsi" w:hAnsiTheme="minorHAnsi" w:cstheme="minorHAnsi"/>
        </w:rPr>
        <w:t xml:space="preserve">Option 2 considers a more bespoke coverage approach across building types in different sectors. This tailored approach seeks to target the most prospective opportunities, recognising the different characteristics and propensity to change across different building types. </w:t>
      </w:r>
      <w:r w:rsidR="00252F76" w:rsidRPr="00E63900">
        <w:rPr>
          <w:rFonts w:asciiTheme="minorHAnsi" w:hAnsiTheme="minorHAnsi" w:cstheme="minorHAnsi"/>
        </w:rPr>
        <w:t xml:space="preserve">To identify the priority sectors to </w:t>
      </w:r>
      <w:r w:rsidR="00EB4D6F" w:rsidRPr="00E63900">
        <w:rPr>
          <w:rFonts w:asciiTheme="minorHAnsi" w:hAnsiTheme="minorHAnsi" w:cstheme="minorHAnsi"/>
        </w:rPr>
        <w:t>initially include in the coverage of this policy, a detailed heatmapping exercise was conducted that accounted for:</w:t>
      </w:r>
    </w:p>
    <w:p w14:paraId="13FF5E1D" w14:textId="77777777" w:rsidR="00A456F3" w:rsidRPr="00E63900" w:rsidRDefault="00022022" w:rsidP="00A253E6">
      <w:pPr>
        <w:pStyle w:val="BodyText"/>
        <w:numPr>
          <w:ilvl w:val="0"/>
          <w:numId w:val="55"/>
        </w:numPr>
        <w:rPr>
          <w:rFonts w:asciiTheme="minorHAnsi" w:hAnsiTheme="minorHAnsi" w:cstheme="minorHAnsi"/>
        </w:rPr>
      </w:pPr>
      <w:r w:rsidRPr="00E63900">
        <w:rPr>
          <w:rFonts w:asciiTheme="minorHAnsi" w:hAnsiTheme="minorHAnsi" w:cstheme="minorHAnsi"/>
        </w:rPr>
        <w:t>The number of buildings in each sector</w:t>
      </w:r>
    </w:p>
    <w:p w14:paraId="79E88051" w14:textId="50C57EF0" w:rsidR="00022022" w:rsidRPr="00E63900" w:rsidRDefault="00A456F3" w:rsidP="00A253E6">
      <w:pPr>
        <w:pStyle w:val="BodyText"/>
        <w:numPr>
          <w:ilvl w:val="0"/>
          <w:numId w:val="55"/>
        </w:numPr>
        <w:rPr>
          <w:rFonts w:asciiTheme="minorHAnsi" w:hAnsiTheme="minorHAnsi" w:cstheme="minorHAnsi"/>
        </w:rPr>
      </w:pPr>
      <w:r w:rsidRPr="00E63900">
        <w:rPr>
          <w:rFonts w:asciiTheme="minorHAnsi" w:hAnsiTheme="minorHAnsi" w:cstheme="minorHAnsi"/>
        </w:rPr>
        <w:t>The distribution of floorspace and energy use by size cohorts within a sector</w:t>
      </w:r>
    </w:p>
    <w:p w14:paraId="15CD9628" w14:textId="6C67A7FF" w:rsidR="00022022" w:rsidRPr="00E63900" w:rsidRDefault="00022022" w:rsidP="00A253E6">
      <w:pPr>
        <w:pStyle w:val="BodyText"/>
        <w:numPr>
          <w:ilvl w:val="0"/>
          <w:numId w:val="55"/>
        </w:numPr>
        <w:rPr>
          <w:rFonts w:asciiTheme="minorHAnsi" w:hAnsiTheme="minorHAnsi" w:cstheme="minorHAnsi"/>
        </w:rPr>
      </w:pPr>
      <w:r w:rsidRPr="00E63900">
        <w:rPr>
          <w:rFonts w:asciiTheme="minorHAnsi" w:hAnsiTheme="minorHAnsi" w:cstheme="minorHAnsi"/>
        </w:rPr>
        <w:t>The average emissions intensity of buildings in each sector</w:t>
      </w:r>
    </w:p>
    <w:p w14:paraId="33100A7E" w14:textId="77777777" w:rsidR="0047728B" w:rsidRPr="00E63900" w:rsidRDefault="00022022" w:rsidP="00A253E6">
      <w:pPr>
        <w:pStyle w:val="BodyText"/>
        <w:numPr>
          <w:ilvl w:val="0"/>
          <w:numId w:val="55"/>
        </w:numPr>
        <w:rPr>
          <w:rFonts w:asciiTheme="minorHAnsi" w:hAnsiTheme="minorHAnsi" w:cstheme="minorHAnsi"/>
        </w:rPr>
      </w:pPr>
      <w:r w:rsidRPr="00E63900">
        <w:rPr>
          <w:rFonts w:asciiTheme="minorHAnsi" w:hAnsiTheme="minorHAnsi" w:cstheme="minorHAnsi"/>
        </w:rPr>
        <w:t xml:space="preserve">The </w:t>
      </w:r>
      <w:r w:rsidR="00A26B80" w:rsidRPr="00E63900">
        <w:rPr>
          <w:rFonts w:asciiTheme="minorHAnsi" w:hAnsiTheme="minorHAnsi" w:cstheme="minorHAnsi"/>
        </w:rPr>
        <w:t xml:space="preserve">likely </w:t>
      </w:r>
      <w:r w:rsidRPr="00E63900">
        <w:rPr>
          <w:rFonts w:asciiTheme="minorHAnsi" w:hAnsiTheme="minorHAnsi" w:cstheme="minorHAnsi"/>
        </w:rPr>
        <w:t>behavioural impacts of</w:t>
      </w:r>
      <w:r w:rsidR="00A26B80" w:rsidRPr="00E63900">
        <w:rPr>
          <w:rFonts w:asciiTheme="minorHAnsi" w:hAnsiTheme="minorHAnsi" w:cstheme="minorHAnsi"/>
        </w:rPr>
        <w:t xml:space="preserve"> a discl</w:t>
      </w:r>
      <w:r w:rsidR="00AB4CCB" w:rsidRPr="00E63900">
        <w:rPr>
          <w:rFonts w:asciiTheme="minorHAnsi" w:hAnsiTheme="minorHAnsi" w:cstheme="minorHAnsi"/>
        </w:rPr>
        <w:t xml:space="preserve">osure policy </w:t>
      </w:r>
      <w:r w:rsidR="0047728B" w:rsidRPr="00E63900">
        <w:rPr>
          <w:rFonts w:asciiTheme="minorHAnsi" w:hAnsiTheme="minorHAnsi" w:cstheme="minorHAnsi"/>
        </w:rPr>
        <w:t>on the building types and operations in each sector</w:t>
      </w:r>
    </w:p>
    <w:p w14:paraId="3EFE1A86" w14:textId="505026C5" w:rsidR="00E4063A" w:rsidRPr="00E63900" w:rsidRDefault="0047728B" w:rsidP="00A253E6">
      <w:pPr>
        <w:pStyle w:val="BodyText"/>
        <w:numPr>
          <w:ilvl w:val="0"/>
          <w:numId w:val="55"/>
        </w:numPr>
        <w:rPr>
          <w:rFonts w:asciiTheme="minorHAnsi" w:hAnsiTheme="minorHAnsi" w:cstheme="minorHAnsi"/>
        </w:rPr>
      </w:pPr>
      <w:r w:rsidRPr="00E63900">
        <w:rPr>
          <w:rFonts w:asciiTheme="minorHAnsi" w:hAnsiTheme="minorHAnsi" w:cstheme="minorHAnsi"/>
        </w:rPr>
        <w:t xml:space="preserve">The sector maturity in considering </w:t>
      </w:r>
      <w:r w:rsidR="00E4063A" w:rsidRPr="00E63900">
        <w:rPr>
          <w:rFonts w:asciiTheme="minorHAnsi" w:hAnsiTheme="minorHAnsi" w:cstheme="minorHAnsi"/>
        </w:rPr>
        <w:t xml:space="preserve">energy </w:t>
      </w:r>
      <w:proofErr w:type="gramStart"/>
      <w:r w:rsidR="00E4063A" w:rsidRPr="00E63900">
        <w:rPr>
          <w:rFonts w:asciiTheme="minorHAnsi" w:hAnsiTheme="minorHAnsi" w:cstheme="minorHAnsi"/>
        </w:rPr>
        <w:t>efficiency</w:t>
      </w:r>
      <w:proofErr w:type="gramEnd"/>
    </w:p>
    <w:p w14:paraId="0B1991E4" w14:textId="30E7B482" w:rsidR="00022022" w:rsidRPr="00E63900" w:rsidRDefault="00D928E0" w:rsidP="00A253E6">
      <w:pPr>
        <w:pStyle w:val="BodyText"/>
        <w:numPr>
          <w:ilvl w:val="0"/>
          <w:numId w:val="55"/>
        </w:numPr>
        <w:rPr>
          <w:rFonts w:asciiTheme="minorHAnsi" w:hAnsiTheme="minorHAnsi" w:cstheme="minorHAnsi"/>
        </w:rPr>
      </w:pPr>
      <w:r w:rsidRPr="00E63900">
        <w:rPr>
          <w:rFonts w:asciiTheme="minorHAnsi" w:hAnsiTheme="minorHAnsi" w:cstheme="minorHAnsi"/>
        </w:rPr>
        <w:t xml:space="preserve">The relative ease of implementation in </w:t>
      </w:r>
      <w:r w:rsidR="00CD6D30" w:rsidRPr="00E63900">
        <w:rPr>
          <w:rFonts w:asciiTheme="minorHAnsi" w:hAnsiTheme="minorHAnsi" w:cstheme="minorHAnsi"/>
        </w:rPr>
        <w:t>each</w:t>
      </w:r>
      <w:r w:rsidRPr="00E63900">
        <w:rPr>
          <w:rFonts w:asciiTheme="minorHAnsi" w:hAnsiTheme="minorHAnsi" w:cstheme="minorHAnsi"/>
        </w:rPr>
        <w:t xml:space="preserve"> sector.</w:t>
      </w:r>
      <w:r w:rsidR="00022022" w:rsidRPr="00E63900">
        <w:rPr>
          <w:rFonts w:asciiTheme="minorHAnsi" w:hAnsiTheme="minorHAnsi" w:cstheme="minorHAnsi"/>
        </w:rPr>
        <w:t xml:space="preserve"> </w:t>
      </w:r>
    </w:p>
    <w:p w14:paraId="6EC366CB" w14:textId="764F4300" w:rsidR="00160B45" w:rsidRPr="00E63900" w:rsidRDefault="00CD6D30" w:rsidP="00C95B3A">
      <w:pPr>
        <w:pStyle w:val="BodyText"/>
        <w:rPr>
          <w:rFonts w:asciiTheme="minorHAnsi" w:hAnsiTheme="minorHAnsi" w:cstheme="minorHAnsi"/>
        </w:rPr>
      </w:pPr>
      <w:r w:rsidRPr="00E63900">
        <w:rPr>
          <w:rFonts w:asciiTheme="minorHAnsi" w:hAnsiTheme="minorHAnsi" w:cstheme="minorHAnsi"/>
        </w:rPr>
        <w:t xml:space="preserve">These criteria informed </w:t>
      </w:r>
      <w:r w:rsidR="00C41601" w:rsidRPr="00E63900">
        <w:rPr>
          <w:rFonts w:asciiTheme="minorHAnsi" w:hAnsiTheme="minorHAnsi" w:cstheme="minorHAnsi"/>
        </w:rPr>
        <w:t xml:space="preserve">a shortlist of </w:t>
      </w:r>
      <w:r w:rsidR="00105CB0" w:rsidRPr="00E63900">
        <w:rPr>
          <w:rFonts w:asciiTheme="minorHAnsi" w:hAnsiTheme="minorHAnsi" w:cstheme="minorHAnsi"/>
        </w:rPr>
        <w:t>sectors to be initially included</w:t>
      </w:r>
      <w:r w:rsidR="00BC32C6" w:rsidRPr="00E63900">
        <w:rPr>
          <w:rFonts w:asciiTheme="minorHAnsi" w:hAnsiTheme="minorHAnsi" w:cstheme="minorHAnsi"/>
        </w:rPr>
        <w:t xml:space="preserve"> in expanded CBD regulation</w:t>
      </w:r>
      <w:r w:rsidR="00105CB0" w:rsidRPr="00E63900">
        <w:rPr>
          <w:rFonts w:asciiTheme="minorHAnsi" w:hAnsiTheme="minorHAnsi" w:cstheme="minorHAnsi"/>
        </w:rPr>
        <w:t>. Following this assessment, a high</w:t>
      </w:r>
      <w:r w:rsidR="007C004D" w:rsidRPr="00E63900">
        <w:rPr>
          <w:rFonts w:asciiTheme="minorHAnsi" w:hAnsiTheme="minorHAnsi" w:cstheme="minorHAnsi"/>
        </w:rPr>
        <w:t>-</w:t>
      </w:r>
      <w:r w:rsidR="00105CB0" w:rsidRPr="00E63900">
        <w:rPr>
          <w:rFonts w:asciiTheme="minorHAnsi" w:hAnsiTheme="minorHAnsi" w:cstheme="minorHAnsi"/>
        </w:rPr>
        <w:t xml:space="preserve">level assessment of the </w:t>
      </w:r>
      <w:r w:rsidR="00232906" w:rsidRPr="00E63900">
        <w:rPr>
          <w:rFonts w:asciiTheme="minorHAnsi" w:hAnsiTheme="minorHAnsi" w:cstheme="minorHAnsi"/>
        </w:rPr>
        <w:t>appropriate coverage points for buildin</w:t>
      </w:r>
      <w:r w:rsidR="00206241" w:rsidRPr="00E63900">
        <w:rPr>
          <w:rFonts w:asciiTheme="minorHAnsi" w:hAnsiTheme="minorHAnsi" w:cstheme="minorHAnsi"/>
        </w:rPr>
        <w:t xml:space="preserve">g size was conducted to inform the </w:t>
      </w:r>
      <w:r w:rsidR="00D84547" w:rsidRPr="00E63900">
        <w:rPr>
          <w:rFonts w:asciiTheme="minorHAnsi" w:hAnsiTheme="minorHAnsi" w:cstheme="minorHAnsi"/>
        </w:rPr>
        <w:t xml:space="preserve">design of the policy. </w:t>
      </w:r>
      <w:r w:rsidR="00311E78" w:rsidRPr="00E63900">
        <w:rPr>
          <w:rFonts w:asciiTheme="minorHAnsi" w:hAnsiTheme="minorHAnsi" w:cstheme="minorHAnsi"/>
        </w:rPr>
        <w:t xml:space="preserve">Appendix </w:t>
      </w:r>
      <w:r w:rsidR="002D4DD6" w:rsidRPr="00E63900">
        <w:rPr>
          <w:rFonts w:asciiTheme="minorHAnsi" w:hAnsiTheme="minorHAnsi" w:cstheme="minorHAnsi"/>
        </w:rPr>
        <w:t>7</w:t>
      </w:r>
      <w:r w:rsidR="00311E78" w:rsidRPr="00E63900">
        <w:rPr>
          <w:rFonts w:asciiTheme="minorHAnsi" w:hAnsiTheme="minorHAnsi" w:cstheme="minorHAnsi"/>
        </w:rPr>
        <w:t xml:space="preserve"> outlines the detailed exploration of inclusions points under this policy. </w:t>
      </w:r>
      <w:r w:rsidR="00783364" w:rsidRPr="00E63900">
        <w:rPr>
          <w:rFonts w:asciiTheme="minorHAnsi" w:hAnsiTheme="minorHAnsi" w:cstheme="minorHAnsi"/>
        </w:rPr>
        <w:t xml:space="preserve">This coverage is assumed for the purposes of </w:t>
      </w:r>
      <w:r w:rsidR="005B5D71" w:rsidRPr="00E63900">
        <w:rPr>
          <w:rFonts w:asciiTheme="minorHAnsi" w:hAnsiTheme="minorHAnsi" w:cstheme="minorHAnsi"/>
        </w:rPr>
        <w:t>benefit and cost calculation</w:t>
      </w:r>
      <w:r w:rsidR="00E063DE" w:rsidRPr="00E63900">
        <w:rPr>
          <w:rFonts w:asciiTheme="minorHAnsi" w:hAnsiTheme="minorHAnsi" w:cstheme="minorHAnsi"/>
        </w:rPr>
        <w:t xml:space="preserve"> only, and as outlined in the chapter </w:t>
      </w:r>
      <w:r w:rsidR="006E6F05" w:rsidRPr="00E63900">
        <w:rPr>
          <w:rFonts w:asciiTheme="minorHAnsi" w:hAnsiTheme="minorHAnsi" w:cstheme="minorHAnsi"/>
        </w:rPr>
        <w:t xml:space="preserve">7 </w:t>
      </w:r>
      <w:r w:rsidR="00E063DE" w:rsidRPr="00E63900">
        <w:rPr>
          <w:rFonts w:asciiTheme="minorHAnsi" w:hAnsiTheme="minorHAnsi" w:cstheme="minorHAnsi"/>
        </w:rPr>
        <w:t>below outlining a regulatory roadmap</w:t>
      </w:r>
      <w:r w:rsidR="005918CD" w:rsidRPr="00E63900">
        <w:rPr>
          <w:rFonts w:asciiTheme="minorHAnsi" w:hAnsiTheme="minorHAnsi" w:cstheme="minorHAnsi"/>
        </w:rPr>
        <w:t xml:space="preserve">, </w:t>
      </w:r>
      <w:r w:rsidR="00AE4425" w:rsidRPr="00E63900">
        <w:rPr>
          <w:rFonts w:asciiTheme="minorHAnsi" w:hAnsiTheme="minorHAnsi" w:cstheme="minorHAnsi"/>
        </w:rPr>
        <w:t xml:space="preserve">the regulatory </w:t>
      </w:r>
      <w:r w:rsidR="001664EF" w:rsidRPr="00E63900">
        <w:rPr>
          <w:rFonts w:asciiTheme="minorHAnsi" w:hAnsiTheme="minorHAnsi" w:cstheme="minorHAnsi"/>
        </w:rPr>
        <w:t xml:space="preserve">footprint </w:t>
      </w:r>
      <w:r w:rsidR="00AE4425" w:rsidRPr="00E63900">
        <w:rPr>
          <w:rFonts w:asciiTheme="minorHAnsi" w:hAnsiTheme="minorHAnsi" w:cstheme="minorHAnsi"/>
        </w:rPr>
        <w:t xml:space="preserve">could be phased </w:t>
      </w:r>
      <w:r w:rsidR="00E20BA8" w:rsidRPr="00E63900">
        <w:rPr>
          <w:rFonts w:asciiTheme="minorHAnsi" w:hAnsiTheme="minorHAnsi" w:cstheme="minorHAnsi"/>
        </w:rPr>
        <w:t xml:space="preserve">further </w:t>
      </w:r>
      <w:r w:rsidR="00AE4425" w:rsidRPr="00E63900">
        <w:rPr>
          <w:rFonts w:asciiTheme="minorHAnsi" w:hAnsiTheme="minorHAnsi" w:cstheme="minorHAnsi"/>
        </w:rPr>
        <w:t>over time</w:t>
      </w:r>
      <w:r w:rsidR="00E20BA8" w:rsidRPr="00E63900">
        <w:rPr>
          <w:rFonts w:asciiTheme="minorHAnsi" w:hAnsiTheme="minorHAnsi" w:cstheme="minorHAnsi"/>
        </w:rPr>
        <w:t>.</w:t>
      </w:r>
    </w:p>
    <w:p w14:paraId="32FA7693" w14:textId="437031AD" w:rsidR="00EF17A1" w:rsidRPr="00E63900" w:rsidRDefault="00EF17A1" w:rsidP="00EF17A1">
      <w:pPr>
        <w:pStyle w:val="BodyText"/>
        <w:rPr>
          <w:rFonts w:asciiTheme="minorHAnsi" w:hAnsiTheme="minorHAnsi" w:cstheme="minorHAnsi"/>
        </w:rPr>
      </w:pPr>
      <w:r w:rsidRPr="00E63900">
        <w:rPr>
          <w:rFonts w:asciiTheme="minorHAnsi" w:hAnsiTheme="minorHAnsi" w:cstheme="minorHAnsi"/>
        </w:rPr>
        <w:t xml:space="preserve">Specifics of the policy are outlined in </w:t>
      </w:r>
      <w:r w:rsidR="00D41986">
        <w:rPr>
          <w:rFonts w:asciiTheme="minorHAnsi" w:hAnsiTheme="minorHAnsi" w:cstheme="minorHAnsi"/>
        </w:rPr>
        <w:fldChar w:fldCharType="begin" w:fldLock="1"/>
      </w:r>
      <w:r w:rsidR="00D41986">
        <w:rPr>
          <w:rFonts w:asciiTheme="minorHAnsi" w:hAnsiTheme="minorHAnsi" w:cstheme="minorHAnsi"/>
        </w:rPr>
        <w:instrText xml:space="preserve"> REF _Ref152334475 \h  \* MERGEFORMAT </w:instrText>
      </w:r>
      <w:r w:rsidR="00D41986">
        <w:rPr>
          <w:rFonts w:asciiTheme="minorHAnsi" w:hAnsiTheme="minorHAnsi" w:cstheme="minorHAnsi"/>
        </w:rPr>
      </w:r>
      <w:r w:rsidR="00D41986">
        <w:rPr>
          <w:rFonts w:asciiTheme="minorHAnsi" w:hAnsiTheme="minorHAnsi" w:cstheme="minorHAnsi"/>
        </w:rPr>
        <w:fldChar w:fldCharType="separate"/>
      </w:r>
      <w:r w:rsidR="00D41986" w:rsidRPr="00D41986">
        <w:rPr>
          <w:rFonts w:asciiTheme="minorHAnsi" w:hAnsiTheme="minorHAnsi" w:cstheme="minorHAnsi"/>
        </w:rPr>
        <w:t>Table 13</w:t>
      </w:r>
      <w:r w:rsidR="00D41986">
        <w:rPr>
          <w:rFonts w:asciiTheme="minorHAnsi" w:hAnsiTheme="minorHAnsi" w:cstheme="minorHAnsi"/>
        </w:rPr>
        <w:fldChar w:fldCharType="end"/>
      </w:r>
      <w:r w:rsidRPr="00E63900">
        <w:rPr>
          <w:rFonts w:asciiTheme="minorHAnsi" w:hAnsiTheme="minorHAnsi" w:cstheme="minorHAnsi"/>
        </w:rPr>
        <w:t xml:space="preserve"> below.</w:t>
      </w:r>
    </w:p>
    <w:p w14:paraId="33527B69" w14:textId="3BB98351" w:rsidR="00B161C5" w:rsidRPr="00744016" w:rsidRDefault="00B161C5" w:rsidP="00744016">
      <w:pPr>
        <w:pStyle w:val="Caption"/>
        <w:keepNext/>
        <w:spacing w:after="120"/>
        <w:rPr>
          <w:rFonts w:ascii="Calibri" w:eastAsia="Times New Roman" w:hAnsi="Calibri" w:cs="Times New Roman"/>
          <w:b/>
          <w:bCs/>
          <w:i w:val="0"/>
          <w:iCs w:val="0"/>
          <w:color w:val="auto"/>
          <w:sz w:val="24"/>
        </w:rPr>
      </w:pPr>
      <w:bookmarkStart w:id="203" w:name="_Ref152334475"/>
      <w:bookmarkStart w:id="204" w:name="_Toc162535449"/>
      <w:r w:rsidRPr="00744016">
        <w:rPr>
          <w:rFonts w:ascii="Calibri" w:eastAsia="Times New Roman" w:hAnsi="Calibri" w:cs="Times New Roman"/>
          <w:b/>
          <w:bCs/>
          <w:i w:val="0"/>
          <w:iCs w:val="0"/>
          <w:color w:val="auto"/>
          <w:sz w:val="24"/>
        </w:rPr>
        <w:t xml:space="preserve">Table </w:t>
      </w:r>
      <w:r w:rsidR="00722E7A" w:rsidRPr="00744016">
        <w:rPr>
          <w:rFonts w:ascii="Calibri" w:eastAsia="Times New Roman" w:hAnsi="Calibri" w:cs="Times New Roman"/>
          <w:b/>
          <w:bCs/>
          <w:i w:val="0"/>
          <w:iCs w:val="0"/>
          <w:color w:val="auto"/>
          <w:sz w:val="24"/>
        </w:rPr>
        <w:fldChar w:fldCharType="begin"/>
      </w:r>
      <w:r w:rsidR="00722E7A" w:rsidRPr="00744016">
        <w:rPr>
          <w:rFonts w:ascii="Calibri" w:eastAsia="Times New Roman" w:hAnsi="Calibri" w:cs="Times New Roman"/>
          <w:b/>
          <w:bCs/>
          <w:i w:val="0"/>
          <w:iCs w:val="0"/>
          <w:color w:val="auto"/>
          <w:sz w:val="24"/>
        </w:rPr>
        <w:instrText xml:space="preserve"> SEQ Table \* ARABIC </w:instrText>
      </w:r>
      <w:r w:rsidR="00722E7A"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13</w:t>
      </w:r>
      <w:r w:rsidR="00722E7A" w:rsidRPr="00744016">
        <w:rPr>
          <w:rFonts w:ascii="Calibri" w:eastAsia="Times New Roman" w:hAnsi="Calibri" w:cs="Times New Roman"/>
          <w:b/>
          <w:bCs/>
          <w:i w:val="0"/>
          <w:iCs w:val="0"/>
          <w:color w:val="auto"/>
          <w:sz w:val="24"/>
        </w:rPr>
        <w:fldChar w:fldCharType="end"/>
      </w:r>
      <w:bookmarkEnd w:id="203"/>
      <w:r w:rsidRPr="00744016">
        <w:rPr>
          <w:rFonts w:ascii="Calibri" w:eastAsia="Times New Roman" w:hAnsi="Calibri" w:cs="Times New Roman"/>
          <w:b/>
          <w:bCs/>
          <w:i w:val="0"/>
          <w:iCs w:val="0"/>
          <w:color w:val="auto"/>
          <w:sz w:val="24"/>
        </w:rPr>
        <w:t>: Tailored sectoral disclosure</w:t>
      </w:r>
      <w:bookmarkEnd w:id="204"/>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5"/>
      </w:tblGrid>
      <w:tr w:rsidR="00160B45" w14:paraId="1ABB1C22" w14:textId="77777777" w:rsidTr="00EA48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22223708" w14:textId="77777777" w:rsidR="00160B45" w:rsidRPr="00CB4FB8" w:rsidRDefault="00160B45">
            <w:pPr>
              <w:pStyle w:val="BodyText"/>
              <w:rPr>
                <w:rFonts w:asciiTheme="minorHAnsi" w:hAnsiTheme="minorHAnsi" w:cstheme="minorHAnsi"/>
                <w:i/>
                <w:color w:val="auto"/>
              </w:rPr>
            </w:pPr>
            <w:r w:rsidRPr="00CB4FB8">
              <w:rPr>
                <w:rFonts w:asciiTheme="minorHAnsi" w:hAnsiTheme="minorHAnsi" w:cstheme="minorHAnsi"/>
                <w:color w:val="auto"/>
              </w:rPr>
              <w:t>Design element</w:t>
            </w:r>
          </w:p>
        </w:tc>
        <w:tc>
          <w:tcPr>
            <w:tcW w:w="7505" w:type="dxa"/>
          </w:tcPr>
          <w:p w14:paraId="15A5F52A" w14:textId="77777777" w:rsidR="00160B45" w:rsidRPr="00CB4FB8" w:rsidRDefault="00160B45">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B4FB8">
              <w:rPr>
                <w:rFonts w:asciiTheme="minorHAnsi" w:hAnsiTheme="minorHAnsi" w:cstheme="minorHAnsi"/>
                <w:color w:val="auto"/>
              </w:rPr>
              <w:t>Description</w:t>
            </w:r>
          </w:p>
        </w:tc>
      </w:tr>
      <w:tr w:rsidR="00160B45" w14:paraId="6D8DD71E"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330FF5" w14:textId="77777777" w:rsidR="00160B45" w:rsidRPr="004B319D" w:rsidRDefault="00160B45">
            <w:pPr>
              <w:pStyle w:val="BodyText"/>
              <w:rPr>
                <w:rFonts w:asciiTheme="minorHAnsi" w:hAnsiTheme="minorHAnsi" w:cstheme="minorHAnsi"/>
                <w:i/>
              </w:rPr>
            </w:pPr>
            <w:r w:rsidRPr="004B319D">
              <w:rPr>
                <w:rFonts w:asciiTheme="minorHAnsi" w:hAnsiTheme="minorHAnsi" w:cstheme="minorHAnsi"/>
              </w:rPr>
              <w:t>Coverage and exemptions</w:t>
            </w:r>
          </w:p>
        </w:tc>
        <w:tc>
          <w:tcPr>
            <w:tcW w:w="7505" w:type="dxa"/>
          </w:tcPr>
          <w:p w14:paraId="00559DB8" w14:textId="4CB92F94" w:rsidR="00160B45" w:rsidRPr="00E63900" w:rsidRDefault="00160B4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Policy would </w:t>
            </w:r>
            <w:r w:rsidR="004C2F1B" w:rsidRPr="00E63900">
              <w:rPr>
                <w:rFonts w:asciiTheme="minorHAnsi" w:hAnsiTheme="minorHAnsi" w:cstheme="minorHAnsi"/>
              </w:rPr>
              <w:t xml:space="preserve">initially </w:t>
            </w:r>
            <w:r w:rsidRPr="00E63900">
              <w:rPr>
                <w:rFonts w:asciiTheme="minorHAnsi" w:hAnsiTheme="minorHAnsi" w:cstheme="minorHAnsi"/>
              </w:rPr>
              <w:t xml:space="preserve">cover </w:t>
            </w:r>
            <w:r w:rsidR="00B161C5" w:rsidRPr="00E63900">
              <w:rPr>
                <w:rFonts w:asciiTheme="minorHAnsi" w:hAnsiTheme="minorHAnsi" w:cstheme="minorHAnsi"/>
              </w:rPr>
              <w:t>commercial buildings including:</w:t>
            </w:r>
          </w:p>
          <w:p w14:paraId="2AB5DB49" w14:textId="77777777" w:rsidR="00B161C5" w:rsidRPr="00E63900" w:rsidRDefault="00B161C5" w:rsidP="00A253E6">
            <w:pPr>
              <w:pStyle w:val="BodyTex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Offices over 500m</w:t>
            </w:r>
            <w:r w:rsidRPr="00E63900">
              <w:rPr>
                <w:rFonts w:asciiTheme="minorHAnsi" w:hAnsiTheme="minorHAnsi" w:cstheme="minorHAnsi"/>
                <w:vertAlign w:val="superscript"/>
              </w:rPr>
              <w:t>2</w:t>
            </w:r>
          </w:p>
          <w:p w14:paraId="6E5C7C31" w14:textId="108D0E86" w:rsidR="00B161C5" w:rsidRPr="00E63900" w:rsidRDefault="00D7664B" w:rsidP="00A253E6">
            <w:pPr>
              <w:pStyle w:val="BodyTex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Retail and wholesale trade buildings (incl. </w:t>
            </w:r>
            <w:r w:rsidR="00B161C5" w:rsidRPr="00E63900">
              <w:rPr>
                <w:rFonts w:asciiTheme="minorHAnsi" w:hAnsiTheme="minorHAnsi" w:cstheme="minorHAnsi"/>
              </w:rPr>
              <w:t>Shopping centres</w:t>
            </w:r>
            <w:r w:rsidRPr="00E63900">
              <w:rPr>
                <w:rFonts w:asciiTheme="minorHAnsi" w:hAnsiTheme="minorHAnsi" w:cstheme="minorHAnsi"/>
              </w:rPr>
              <w:t xml:space="preserve">, </w:t>
            </w:r>
            <w:proofErr w:type="gramStart"/>
            <w:r w:rsidRPr="00E63900">
              <w:rPr>
                <w:rFonts w:asciiTheme="minorHAnsi" w:hAnsiTheme="minorHAnsi" w:cstheme="minorHAnsi"/>
              </w:rPr>
              <w:t>supermarkets</w:t>
            </w:r>
            <w:proofErr w:type="gramEnd"/>
            <w:r w:rsidRPr="00E63900">
              <w:rPr>
                <w:rFonts w:asciiTheme="minorHAnsi" w:hAnsiTheme="minorHAnsi" w:cstheme="minorHAnsi"/>
              </w:rPr>
              <w:t xml:space="preserve"> and other retail)</w:t>
            </w:r>
            <w:r w:rsidR="00B161C5" w:rsidRPr="00E63900">
              <w:rPr>
                <w:rFonts w:asciiTheme="minorHAnsi" w:hAnsiTheme="minorHAnsi" w:cstheme="minorHAnsi"/>
              </w:rPr>
              <w:t xml:space="preserve"> over </w:t>
            </w:r>
            <w:r w:rsidR="00412EEB" w:rsidRPr="00E63900">
              <w:rPr>
                <w:rFonts w:asciiTheme="minorHAnsi" w:hAnsiTheme="minorHAnsi" w:cstheme="minorHAnsi"/>
              </w:rPr>
              <w:t>5</w:t>
            </w:r>
            <w:r w:rsidRPr="00E63900">
              <w:rPr>
                <w:rFonts w:asciiTheme="minorHAnsi" w:hAnsiTheme="minorHAnsi" w:cstheme="minorHAnsi"/>
              </w:rPr>
              <w:t>,</w:t>
            </w:r>
            <w:r w:rsidR="00412EEB" w:rsidRPr="00E63900">
              <w:rPr>
                <w:rFonts w:asciiTheme="minorHAnsi" w:hAnsiTheme="minorHAnsi" w:cstheme="minorHAnsi"/>
              </w:rPr>
              <w:t>000</w:t>
            </w:r>
            <w:r w:rsidR="00B161C5" w:rsidRPr="00E63900">
              <w:rPr>
                <w:rFonts w:asciiTheme="minorHAnsi" w:hAnsiTheme="minorHAnsi" w:cstheme="minorHAnsi"/>
              </w:rPr>
              <w:t>m</w:t>
            </w:r>
            <w:r w:rsidR="00B161C5" w:rsidRPr="00E63900">
              <w:rPr>
                <w:rFonts w:asciiTheme="minorHAnsi" w:hAnsiTheme="minorHAnsi" w:cstheme="minorHAnsi"/>
                <w:vertAlign w:val="superscript"/>
              </w:rPr>
              <w:t>2</w:t>
            </w:r>
          </w:p>
          <w:p w14:paraId="3F185B7F" w14:textId="765E4271" w:rsidR="00B161C5" w:rsidRPr="00E63900" w:rsidRDefault="00B161C5" w:rsidP="00A253E6">
            <w:pPr>
              <w:pStyle w:val="BodyTex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Warehouses over </w:t>
            </w:r>
            <w:r w:rsidR="00D7664B" w:rsidRPr="00E63900">
              <w:rPr>
                <w:rFonts w:asciiTheme="minorHAnsi" w:hAnsiTheme="minorHAnsi" w:cstheme="minorHAnsi"/>
              </w:rPr>
              <w:t>5,000</w:t>
            </w:r>
            <w:r w:rsidRPr="00E63900">
              <w:rPr>
                <w:rFonts w:asciiTheme="minorHAnsi" w:hAnsiTheme="minorHAnsi" w:cstheme="minorHAnsi"/>
              </w:rPr>
              <w:t>m</w:t>
            </w:r>
            <w:r w:rsidRPr="00E63900">
              <w:rPr>
                <w:rFonts w:asciiTheme="minorHAnsi" w:hAnsiTheme="minorHAnsi" w:cstheme="minorHAnsi"/>
                <w:vertAlign w:val="superscript"/>
              </w:rPr>
              <w:t>2</w:t>
            </w:r>
          </w:p>
          <w:p w14:paraId="79FC8D32" w14:textId="0B09DEEA" w:rsidR="00B161C5" w:rsidRPr="00E63900" w:rsidRDefault="00CE730E" w:rsidP="00A253E6">
            <w:pPr>
              <w:pStyle w:val="BodyTex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Hotels</w:t>
            </w:r>
            <w:r w:rsidR="00B161C5" w:rsidRPr="00E63900">
              <w:rPr>
                <w:rFonts w:asciiTheme="minorHAnsi" w:hAnsiTheme="minorHAnsi" w:cstheme="minorHAnsi"/>
              </w:rPr>
              <w:t xml:space="preserve"> over 5</w:t>
            </w:r>
            <w:r w:rsidR="00D7664B" w:rsidRPr="00E63900">
              <w:rPr>
                <w:rFonts w:asciiTheme="minorHAnsi" w:hAnsiTheme="minorHAnsi" w:cstheme="minorHAnsi"/>
              </w:rPr>
              <w:t>,</w:t>
            </w:r>
            <w:r w:rsidR="00B161C5" w:rsidRPr="00E63900">
              <w:rPr>
                <w:rFonts w:asciiTheme="minorHAnsi" w:hAnsiTheme="minorHAnsi" w:cstheme="minorHAnsi"/>
              </w:rPr>
              <w:t>000m</w:t>
            </w:r>
            <w:r w:rsidR="00B161C5" w:rsidRPr="00E63900">
              <w:rPr>
                <w:rFonts w:asciiTheme="minorHAnsi" w:hAnsiTheme="minorHAnsi" w:cstheme="minorHAnsi"/>
                <w:vertAlign w:val="superscript"/>
              </w:rPr>
              <w:t>2</w:t>
            </w:r>
          </w:p>
          <w:p w14:paraId="1E1F9B5F" w14:textId="5131C656" w:rsidR="00B161C5" w:rsidRPr="00E63900" w:rsidRDefault="00B161C5" w:rsidP="00A253E6">
            <w:pPr>
              <w:pStyle w:val="BodyTex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Aged care facilities over 5</w:t>
            </w:r>
            <w:r w:rsidR="00F3242F" w:rsidRPr="00E63900">
              <w:rPr>
                <w:rFonts w:asciiTheme="minorHAnsi" w:hAnsiTheme="minorHAnsi" w:cstheme="minorHAnsi"/>
              </w:rPr>
              <w:t>,</w:t>
            </w:r>
            <w:r w:rsidRPr="00E63900">
              <w:rPr>
                <w:rFonts w:asciiTheme="minorHAnsi" w:hAnsiTheme="minorHAnsi" w:cstheme="minorHAnsi"/>
              </w:rPr>
              <w:t>000m</w:t>
            </w:r>
            <w:r w:rsidRPr="00E63900">
              <w:rPr>
                <w:rFonts w:asciiTheme="minorHAnsi" w:hAnsiTheme="minorHAnsi" w:cstheme="minorHAnsi"/>
                <w:vertAlign w:val="superscript"/>
              </w:rPr>
              <w:t>2</w:t>
            </w:r>
          </w:p>
          <w:p w14:paraId="1BF6B831" w14:textId="7D6CC471" w:rsidR="00B161C5" w:rsidRPr="00E63900" w:rsidRDefault="00FF7E12" w:rsidP="00A253E6">
            <w:pPr>
              <w:pStyle w:val="BodyTex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H</w:t>
            </w:r>
            <w:r w:rsidR="00B161C5" w:rsidRPr="00E63900">
              <w:rPr>
                <w:rFonts w:asciiTheme="minorHAnsi" w:hAnsiTheme="minorHAnsi" w:cstheme="minorHAnsi"/>
              </w:rPr>
              <w:t xml:space="preserve">ospitals over </w:t>
            </w:r>
            <w:r w:rsidR="0096120A" w:rsidRPr="00E63900">
              <w:rPr>
                <w:rFonts w:asciiTheme="minorHAnsi" w:hAnsiTheme="minorHAnsi" w:cstheme="minorHAnsi"/>
              </w:rPr>
              <w:t>5</w:t>
            </w:r>
            <w:r w:rsidR="00B161C5" w:rsidRPr="00E63900">
              <w:rPr>
                <w:rFonts w:asciiTheme="minorHAnsi" w:hAnsiTheme="minorHAnsi" w:cstheme="minorHAnsi"/>
              </w:rPr>
              <w:t>,000m</w:t>
            </w:r>
            <w:r w:rsidR="00B161C5" w:rsidRPr="00E63900">
              <w:rPr>
                <w:rFonts w:asciiTheme="minorHAnsi" w:hAnsiTheme="minorHAnsi" w:cstheme="minorHAnsi"/>
                <w:vertAlign w:val="superscript"/>
              </w:rPr>
              <w:t>2</w:t>
            </w:r>
          </w:p>
          <w:p w14:paraId="1D16C61C" w14:textId="112733FB" w:rsidR="00E35A7F" w:rsidRPr="00E63900" w:rsidRDefault="00B161C5" w:rsidP="00A253E6">
            <w:pPr>
              <w:pStyle w:val="BodyText"/>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Education sector buildings over </w:t>
            </w:r>
            <w:r w:rsidR="00484410" w:rsidRPr="00E63900">
              <w:rPr>
                <w:rFonts w:asciiTheme="minorHAnsi" w:hAnsiTheme="minorHAnsi" w:cstheme="minorHAnsi"/>
              </w:rPr>
              <w:t>5</w:t>
            </w:r>
            <w:r w:rsidRPr="00E63900">
              <w:rPr>
                <w:rFonts w:asciiTheme="minorHAnsi" w:hAnsiTheme="minorHAnsi" w:cstheme="minorHAnsi"/>
              </w:rPr>
              <w:t>,000m</w:t>
            </w:r>
            <w:r w:rsidRPr="00E63900">
              <w:rPr>
                <w:rFonts w:asciiTheme="minorHAnsi" w:hAnsiTheme="minorHAnsi" w:cstheme="minorHAnsi"/>
                <w:vertAlign w:val="superscript"/>
              </w:rPr>
              <w:t>2</w:t>
            </w:r>
            <w:r w:rsidR="00635D93" w:rsidRPr="00E63900">
              <w:rPr>
                <w:rFonts w:asciiTheme="minorHAnsi" w:hAnsiTheme="minorHAnsi" w:cstheme="minorHAnsi"/>
                <w:vertAlign w:val="superscript"/>
              </w:rPr>
              <w:t xml:space="preserve">  </w:t>
            </w:r>
          </w:p>
          <w:p w14:paraId="7A29F63D" w14:textId="3A936AF3" w:rsidR="00635D93" w:rsidRPr="00E63900" w:rsidRDefault="00635D93" w:rsidP="00A253E6">
            <w:pPr>
              <w:pStyle w:val="BodyText"/>
              <w:numPr>
                <w:ilvl w:val="0"/>
                <w:numId w:val="54"/>
              </w:numPr>
              <w:ind w:left="3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Data Centres </w:t>
            </w:r>
            <w:r w:rsidR="00CB131C" w:rsidRPr="00E63900">
              <w:rPr>
                <w:rFonts w:asciiTheme="minorHAnsi" w:hAnsiTheme="minorHAnsi" w:cstheme="minorHAnsi"/>
              </w:rPr>
              <w:t>over 5</w:t>
            </w:r>
            <w:r w:rsidR="00322D27" w:rsidRPr="00E63900">
              <w:rPr>
                <w:rFonts w:asciiTheme="minorHAnsi" w:hAnsiTheme="minorHAnsi" w:cstheme="minorHAnsi"/>
              </w:rPr>
              <w:t>,</w:t>
            </w:r>
            <w:r w:rsidR="00CB131C" w:rsidRPr="00E63900">
              <w:rPr>
                <w:rFonts w:asciiTheme="minorHAnsi" w:hAnsiTheme="minorHAnsi" w:cstheme="minorHAnsi"/>
              </w:rPr>
              <w:t>000 m</w:t>
            </w:r>
            <w:r w:rsidR="00CB131C" w:rsidRPr="00E63900">
              <w:rPr>
                <w:rFonts w:asciiTheme="minorHAnsi" w:hAnsiTheme="minorHAnsi" w:cstheme="minorHAnsi"/>
                <w:vertAlign w:val="superscript"/>
              </w:rPr>
              <w:t>2</w:t>
            </w:r>
            <w:r w:rsidR="00F40A27">
              <w:rPr>
                <w:rFonts w:asciiTheme="minorHAnsi" w:hAnsiTheme="minorHAnsi" w:cstheme="minorHAnsi"/>
                <w:vertAlign w:val="superscript"/>
              </w:rPr>
              <w:t xml:space="preserve"> </w:t>
            </w:r>
            <w:r w:rsidR="00F40A27" w:rsidRPr="00217AAD">
              <w:rPr>
                <w:rFonts w:asciiTheme="minorHAnsi" w:hAnsiTheme="minorHAnsi" w:cstheme="minorHAnsi"/>
              </w:rPr>
              <w:t>(or energy</w:t>
            </w:r>
            <w:r w:rsidR="00217AAD" w:rsidRPr="00217AAD">
              <w:rPr>
                <w:rFonts w:asciiTheme="minorHAnsi" w:hAnsiTheme="minorHAnsi" w:cstheme="minorHAnsi"/>
              </w:rPr>
              <w:t>-use</w:t>
            </w:r>
            <w:r w:rsidR="00217AAD">
              <w:rPr>
                <w:rFonts w:asciiTheme="minorHAnsi" w:hAnsiTheme="minorHAnsi" w:cstheme="minorHAnsi"/>
                <w:vertAlign w:val="superscript"/>
              </w:rPr>
              <w:t xml:space="preserve"> </w:t>
            </w:r>
            <w:r w:rsidR="00217AAD">
              <w:rPr>
                <w:rFonts w:asciiTheme="minorHAnsi" w:hAnsiTheme="minorHAnsi" w:cstheme="minorHAnsi"/>
              </w:rPr>
              <w:t xml:space="preserve">threshold to be determined). </w:t>
            </w:r>
          </w:p>
          <w:p w14:paraId="1CF7E80C" w14:textId="672FB830" w:rsidR="00B161C5" w:rsidRPr="00E63900" w:rsidRDefault="00F600AD" w:rsidP="00F360C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Exceptions </w:t>
            </w:r>
            <w:r w:rsidR="00F360C1" w:rsidRPr="00E63900">
              <w:rPr>
                <w:rFonts w:asciiTheme="minorHAnsi" w:hAnsiTheme="minorHAnsi" w:cstheme="minorHAnsi"/>
              </w:rPr>
              <w:t xml:space="preserve">would be considered for </w:t>
            </w:r>
            <w:r w:rsidR="00FD08D7" w:rsidRPr="00E63900">
              <w:rPr>
                <w:rFonts w:asciiTheme="minorHAnsi" w:hAnsiTheme="minorHAnsi" w:cstheme="minorHAnsi"/>
              </w:rPr>
              <w:t>heritage</w:t>
            </w:r>
            <w:r w:rsidR="00B123C6" w:rsidRPr="00E63900">
              <w:rPr>
                <w:rFonts w:asciiTheme="minorHAnsi" w:hAnsiTheme="minorHAnsi" w:cstheme="minorHAnsi"/>
              </w:rPr>
              <w:t xml:space="preserve"> buildings</w:t>
            </w:r>
            <w:r w:rsidRPr="00E63900">
              <w:rPr>
                <w:rFonts w:asciiTheme="minorHAnsi" w:hAnsiTheme="minorHAnsi" w:cstheme="minorHAnsi"/>
              </w:rPr>
              <w:t xml:space="preserve"> and</w:t>
            </w:r>
            <w:r w:rsidR="0046026D" w:rsidRPr="00E63900">
              <w:rPr>
                <w:rFonts w:asciiTheme="minorHAnsi" w:hAnsiTheme="minorHAnsi" w:cstheme="minorHAnsi"/>
              </w:rPr>
              <w:t xml:space="preserve"> </w:t>
            </w:r>
            <w:r w:rsidR="004B2560" w:rsidRPr="00E63900">
              <w:rPr>
                <w:rFonts w:asciiTheme="minorHAnsi" w:hAnsiTheme="minorHAnsi" w:cstheme="minorHAnsi"/>
              </w:rPr>
              <w:t>short-term buildings</w:t>
            </w:r>
            <w:r w:rsidRPr="00E63900">
              <w:rPr>
                <w:rFonts w:asciiTheme="minorHAnsi" w:hAnsiTheme="minorHAnsi" w:cstheme="minorHAnsi"/>
              </w:rPr>
              <w:t>. B</w:t>
            </w:r>
            <w:r w:rsidR="00A53FF0" w:rsidRPr="00E63900">
              <w:rPr>
                <w:rFonts w:asciiTheme="minorHAnsi" w:hAnsiTheme="minorHAnsi" w:cstheme="minorHAnsi"/>
              </w:rPr>
              <w:t>uildings approved for demolition or major works</w:t>
            </w:r>
            <w:r w:rsidR="00750CC1" w:rsidRPr="00E63900">
              <w:rPr>
                <w:rFonts w:asciiTheme="minorHAnsi" w:hAnsiTheme="minorHAnsi" w:cstheme="minorHAnsi"/>
              </w:rPr>
              <w:t xml:space="preserve"> would be exempted</w:t>
            </w:r>
            <w:r w:rsidR="00A53FF0" w:rsidRPr="00E63900">
              <w:rPr>
                <w:rFonts w:asciiTheme="minorHAnsi" w:hAnsiTheme="minorHAnsi" w:cstheme="minorHAnsi"/>
              </w:rPr>
              <w:t xml:space="preserve">. </w:t>
            </w:r>
          </w:p>
        </w:tc>
      </w:tr>
      <w:tr w:rsidR="00160B45" w14:paraId="1C48FBF7"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75829407" w14:textId="77777777" w:rsidR="00160B45" w:rsidRPr="004B319D" w:rsidRDefault="00160B45">
            <w:pPr>
              <w:pStyle w:val="BodyText"/>
              <w:rPr>
                <w:rFonts w:asciiTheme="minorHAnsi" w:hAnsiTheme="minorHAnsi" w:cstheme="minorHAnsi"/>
                <w:i/>
              </w:rPr>
            </w:pPr>
            <w:r w:rsidRPr="004B319D">
              <w:rPr>
                <w:rFonts w:asciiTheme="minorHAnsi" w:hAnsiTheme="minorHAnsi" w:cstheme="minorHAnsi"/>
              </w:rPr>
              <w:t>Reporting</w:t>
            </w:r>
          </w:p>
        </w:tc>
        <w:tc>
          <w:tcPr>
            <w:tcW w:w="7505" w:type="dxa"/>
          </w:tcPr>
          <w:p w14:paraId="2D75D3BE" w14:textId="7797EFAE" w:rsidR="00160B45" w:rsidRPr="00E63900" w:rsidRDefault="00160B4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Disclosure assessments</w:t>
            </w:r>
            <w:r w:rsidR="00B161C5" w:rsidRPr="00E63900">
              <w:rPr>
                <w:rFonts w:asciiTheme="minorHAnsi" w:hAnsiTheme="minorHAnsi" w:cstheme="minorHAnsi"/>
              </w:rPr>
              <w:t xml:space="preserve"> under this policy would occur once every year for all buildings (private, </w:t>
            </w:r>
            <w:proofErr w:type="gramStart"/>
            <w:r w:rsidR="00B161C5" w:rsidRPr="00E63900">
              <w:rPr>
                <w:rFonts w:asciiTheme="minorHAnsi" w:hAnsiTheme="minorHAnsi" w:cstheme="minorHAnsi"/>
              </w:rPr>
              <w:t>leased</w:t>
            </w:r>
            <w:proofErr w:type="gramEnd"/>
            <w:r w:rsidR="00B161C5" w:rsidRPr="00E63900">
              <w:rPr>
                <w:rFonts w:asciiTheme="minorHAnsi" w:hAnsiTheme="minorHAnsi" w:cstheme="minorHAnsi"/>
              </w:rPr>
              <w:t xml:space="preserve"> and public). </w:t>
            </w:r>
            <w:r w:rsidRPr="00E63900">
              <w:rPr>
                <w:rFonts w:asciiTheme="minorHAnsi" w:hAnsiTheme="minorHAnsi" w:cstheme="minorHAnsi"/>
              </w:rPr>
              <w:t xml:space="preserve"> </w:t>
            </w:r>
          </w:p>
        </w:tc>
      </w:tr>
      <w:tr w:rsidR="00160B45" w14:paraId="104E8A99"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F6E156" w14:textId="77777777" w:rsidR="00160B45" w:rsidRPr="004B319D" w:rsidRDefault="00160B45">
            <w:pPr>
              <w:pStyle w:val="BodyText"/>
              <w:rPr>
                <w:rFonts w:asciiTheme="minorHAnsi" w:hAnsiTheme="minorHAnsi" w:cstheme="minorHAnsi"/>
                <w:i/>
              </w:rPr>
            </w:pPr>
            <w:r w:rsidRPr="004B319D">
              <w:rPr>
                <w:rFonts w:asciiTheme="minorHAnsi" w:hAnsiTheme="minorHAnsi" w:cstheme="minorHAnsi"/>
              </w:rPr>
              <w:t>Compliance</w:t>
            </w:r>
          </w:p>
        </w:tc>
        <w:tc>
          <w:tcPr>
            <w:tcW w:w="7505" w:type="dxa"/>
          </w:tcPr>
          <w:p w14:paraId="382F7955" w14:textId="77777777" w:rsidR="00160B45" w:rsidRPr="00E63900" w:rsidRDefault="00160B4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Compliance assessments would be implemented through CBD authorised officers conducting spot-checks on buildings.</w:t>
            </w:r>
          </w:p>
        </w:tc>
      </w:tr>
      <w:tr w:rsidR="00160B45" w14:paraId="1C0D0328"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3027C575" w14:textId="77777777" w:rsidR="00160B45" w:rsidRPr="004B319D" w:rsidRDefault="00160B45">
            <w:pPr>
              <w:pStyle w:val="BodyText"/>
              <w:rPr>
                <w:rFonts w:asciiTheme="minorHAnsi" w:hAnsiTheme="minorHAnsi" w:cstheme="minorHAnsi"/>
                <w:i/>
              </w:rPr>
            </w:pPr>
            <w:r w:rsidRPr="004B319D">
              <w:rPr>
                <w:rFonts w:asciiTheme="minorHAnsi" w:hAnsiTheme="minorHAnsi" w:cstheme="minorHAnsi"/>
              </w:rPr>
              <w:t>Display of rating</w:t>
            </w:r>
          </w:p>
        </w:tc>
        <w:tc>
          <w:tcPr>
            <w:tcW w:w="7505" w:type="dxa"/>
          </w:tcPr>
          <w:p w14:paraId="00CEE3FD" w14:textId="1C1ED916" w:rsidR="00160B45" w:rsidRPr="00E63900" w:rsidRDefault="00160B45">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Rating would need to be visibly displayed in the building</w:t>
            </w:r>
            <w:r w:rsidR="007338DB">
              <w:rPr>
                <w:rFonts w:asciiTheme="minorHAnsi" w:hAnsiTheme="minorHAnsi" w:cstheme="minorHAnsi"/>
              </w:rPr>
              <w:t xml:space="preserve"> w</w:t>
            </w:r>
            <w:r w:rsidR="00AA16A3">
              <w:rPr>
                <w:rFonts w:asciiTheme="minorHAnsi" w:hAnsiTheme="minorHAnsi" w:cstheme="minorHAnsi"/>
              </w:rPr>
              <w:t>ith lower turnover</w:t>
            </w:r>
            <w:r w:rsidRPr="00E63900">
              <w:rPr>
                <w:rFonts w:asciiTheme="minorHAnsi" w:hAnsiTheme="minorHAnsi" w:cstheme="minorHAnsi"/>
              </w:rPr>
              <w:t>, and must be disclosed to buyers, lessors and in all advertising material.</w:t>
            </w:r>
          </w:p>
        </w:tc>
      </w:tr>
    </w:tbl>
    <w:p w14:paraId="6DA1B910" w14:textId="77777777" w:rsidR="00597A94" w:rsidRPr="00E63900" w:rsidRDefault="00597A94" w:rsidP="00C95B3A">
      <w:pPr>
        <w:pStyle w:val="BodyText"/>
        <w:rPr>
          <w:rFonts w:asciiTheme="minorHAnsi" w:hAnsiTheme="minorHAnsi" w:cstheme="minorHAnsi"/>
        </w:rPr>
      </w:pPr>
    </w:p>
    <w:p w14:paraId="722775B1" w14:textId="25608F1B" w:rsidR="0090413E" w:rsidRPr="00E63900" w:rsidRDefault="000758BC" w:rsidP="00C95B3A">
      <w:pPr>
        <w:pStyle w:val="BodyText"/>
        <w:rPr>
          <w:rFonts w:asciiTheme="minorHAnsi" w:hAnsiTheme="minorHAnsi" w:cstheme="minorHAnsi"/>
        </w:rPr>
      </w:pPr>
      <w:r w:rsidRPr="00E63900">
        <w:rPr>
          <w:rFonts w:asciiTheme="minorHAnsi" w:hAnsiTheme="minorHAnsi" w:cstheme="minorHAnsi"/>
        </w:rPr>
        <w:t xml:space="preserve">We have assumed the coverage of </w:t>
      </w:r>
      <w:r w:rsidR="00672CBF" w:rsidRPr="00E63900">
        <w:rPr>
          <w:rFonts w:asciiTheme="minorHAnsi" w:hAnsiTheme="minorHAnsi" w:cstheme="minorHAnsi"/>
        </w:rPr>
        <w:t xml:space="preserve">Government owned </w:t>
      </w:r>
      <w:r w:rsidR="00580D84" w:rsidRPr="00E63900">
        <w:rPr>
          <w:rFonts w:asciiTheme="minorHAnsi" w:hAnsiTheme="minorHAnsi" w:cstheme="minorHAnsi"/>
        </w:rPr>
        <w:t xml:space="preserve">buildings such as public hospitals and </w:t>
      </w:r>
      <w:r w:rsidR="00704FF6" w:rsidRPr="00E63900">
        <w:rPr>
          <w:rFonts w:asciiTheme="minorHAnsi" w:hAnsiTheme="minorHAnsi" w:cstheme="minorHAnsi"/>
        </w:rPr>
        <w:t xml:space="preserve">schools </w:t>
      </w:r>
      <w:r w:rsidRPr="00E63900">
        <w:rPr>
          <w:rFonts w:asciiTheme="minorHAnsi" w:hAnsiTheme="minorHAnsi" w:cstheme="minorHAnsi"/>
        </w:rPr>
        <w:t xml:space="preserve">as part of this policy, </w:t>
      </w:r>
      <w:r w:rsidR="0059252F" w:rsidRPr="00E63900">
        <w:rPr>
          <w:rFonts w:asciiTheme="minorHAnsi" w:hAnsiTheme="minorHAnsi" w:cstheme="minorHAnsi"/>
        </w:rPr>
        <w:t xml:space="preserve">though this may be covered under either regulation or via </w:t>
      </w:r>
      <w:r w:rsidR="007347B3" w:rsidRPr="00E63900">
        <w:rPr>
          <w:rFonts w:asciiTheme="minorHAnsi" w:hAnsiTheme="minorHAnsi" w:cstheme="minorHAnsi"/>
        </w:rPr>
        <w:t>equivalent government policy commitments, including in the context of intergovernmental agreements</w:t>
      </w:r>
      <w:r w:rsidR="00BA672E" w:rsidRPr="00E63900">
        <w:rPr>
          <w:rFonts w:asciiTheme="minorHAnsi" w:hAnsiTheme="minorHAnsi" w:cstheme="minorHAnsi"/>
        </w:rPr>
        <w:t xml:space="preserve">. </w:t>
      </w:r>
    </w:p>
    <w:p w14:paraId="61548D49" w14:textId="4FB0B7D0" w:rsidR="0090413E" w:rsidRPr="00E63900" w:rsidRDefault="00F852DD" w:rsidP="00F852DD">
      <w:pPr>
        <w:pStyle w:val="Heading3"/>
        <w:rPr>
          <w:rFonts w:asciiTheme="minorHAnsi" w:hAnsiTheme="minorHAnsi" w:cstheme="minorHAnsi"/>
        </w:rPr>
      </w:pPr>
      <w:r w:rsidRPr="00E63900">
        <w:rPr>
          <w:rFonts w:asciiTheme="minorHAnsi" w:hAnsiTheme="minorHAnsi" w:cstheme="minorHAnsi"/>
        </w:rPr>
        <w:lastRenderedPageBreak/>
        <w:t>Option 3: Office 500</w:t>
      </w:r>
    </w:p>
    <w:p w14:paraId="7D263BC8" w14:textId="408FEAF6" w:rsidR="006F727B" w:rsidRPr="00E63900" w:rsidRDefault="00CF3224" w:rsidP="006F727B">
      <w:pPr>
        <w:pStyle w:val="BodyText"/>
        <w:rPr>
          <w:rFonts w:asciiTheme="minorHAnsi" w:hAnsiTheme="minorHAnsi" w:cstheme="minorHAnsi"/>
        </w:rPr>
      </w:pPr>
      <w:r w:rsidRPr="00E63900">
        <w:rPr>
          <w:rFonts w:asciiTheme="minorHAnsi" w:hAnsiTheme="minorHAnsi" w:cstheme="minorHAnsi"/>
        </w:rPr>
        <w:t xml:space="preserve">Option 3 </w:t>
      </w:r>
      <w:r w:rsidR="00BA672E" w:rsidRPr="00E63900">
        <w:rPr>
          <w:rFonts w:asciiTheme="minorHAnsi" w:hAnsiTheme="minorHAnsi" w:cstheme="minorHAnsi"/>
        </w:rPr>
        <w:t xml:space="preserve">builds on the </w:t>
      </w:r>
      <w:r w:rsidR="00EC0C9B" w:rsidRPr="00E63900">
        <w:rPr>
          <w:rFonts w:asciiTheme="minorHAnsi" w:hAnsiTheme="minorHAnsi" w:cstheme="minorHAnsi"/>
        </w:rPr>
        <w:t xml:space="preserve">existing CBD program, maintaining the focus solely on office buildings, however reducing the coverage point from </w:t>
      </w:r>
      <w:proofErr w:type="spellStart"/>
      <w:r w:rsidR="00616F1D" w:rsidRPr="00E63900">
        <w:rPr>
          <w:rFonts w:asciiTheme="minorHAnsi" w:hAnsiTheme="minorHAnsi" w:cstheme="minorHAnsi"/>
        </w:rPr>
        <w:t>1</w:t>
      </w:r>
      <w:r w:rsidR="00983CA7" w:rsidRPr="00E63900">
        <w:rPr>
          <w:rFonts w:asciiTheme="minorHAnsi" w:hAnsiTheme="minorHAnsi" w:cstheme="minorHAnsi"/>
        </w:rPr>
        <w:t>,</w:t>
      </w:r>
      <w:r w:rsidR="00616F1D" w:rsidRPr="00E63900">
        <w:rPr>
          <w:rFonts w:asciiTheme="minorHAnsi" w:hAnsiTheme="minorHAnsi" w:cstheme="minorHAnsi"/>
        </w:rPr>
        <w:t>000m</w:t>
      </w:r>
      <w:r w:rsidR="00616F1D" w:rsidRPr="00E63900">
        <w:rPr>
          <w:rFonts w:asciiTheme="minorHAnsi" w:hAnsiTheme="minorHAnsi" w:cstheme="minorHAnsi"/>
          <w:vertAlign w:val="superscript"/>
        </w:rPr>
        <w:t>2</w:t>
      </w:r>
      <w:proofErr w:type="spellEnd"/>
      <w:r w:rsidR="00616F1D" w:rsidRPr="00E63900">
        <w:rPr>
          <w:rFonts w:asciiTheme="minorHAnsi" w:hAnsiTheme="minorHAnsi" w:cstheme="minorHAnsi"/>
        </w:rPr>
        <w:t xml:space="preserve"> to </w:t>
      </w:r>
      <w:proofErr w:type="spellStart"/>
      <w:r w:rsidR="00616F1D" w:rsidRPr="00E63900">
        <w:rPr>
          <w:rFonts w:asciiTheme="minorHAnsi" w:hAnsiTheme="minorHAnsi" w:cstheme="minorHAnsi"/>
        </w:rPr>
        <w:t>500m</w:t>
      </w:r>
      <w:r w:rsidR="00616F1D" w:rsidRPr="00E63900">
        <w:rPr>
          <w:rFonts w:asciiTheme="minorHAnsi" w:hAnsiTheme="minorHAnsi" w:cstheme="minorHAnsi"/>
          <w:vertAlign w:val="superscript"/>
        </w:rPr>
        <w:t>2</w:t>
      </w:r>
      <w:proofErr w:type="spellEnd"/>
      <w:r w:rsidR="00B35A84" w:rsidRPr="00E63900">
        <w:rPr>
          <w:rFonts w:asciiTheme="minorHAnsi" w:hAnsiTheme="minorHAnsi" w:cstheme="minorHAnsi"/>
          <w:vertAlign w:val="superscript"/>
        </w:rPr>
        <w:t xml:space="preserve"> </w:t>
      </w:r>
      <w:proofErr w:type="spellStart"/>
      <w:r w:rsidR="004A3CBC" w:rsidRPr="00E63900">
        <w:rPr>
          <w:rFonts w:asciiTheme="minorHAnsi" w:hAnsiTheme="minorHAnsi" w:cstheme="minorHAnsi"/>
        </w:rPr>
        <w:t>GFA</w:t>
      </w:r>
      <w:proofErr w:type="spellEnd"/>
      <w:r w:rsidR="004A3CBC" w:rsidRPr="00E63900">
        <w:rPr>
          <w:rFonts w:asciiTheme="minorHAnsi" w:hAnsiTheme="minorHAnsi" w:cstheme="minorHAnsi"/>
        </w:rPr>
        <w:t xml:space="preserve"> t</w:t>
      </w:r>
      <w:r w:rsidR="00B35A84" w:rsidRPr="00E63900">
        <w:rPr>
          <w:rFonts w:asciiTheme="minorHAnsi" w:hAnsiTheme="minorHAnsi" w:cstheme="minorHAnsi"/>
        </w:rPr>
        <w:t xml:space="preserve">o </w:t>
      </w:r>
      <w:r w:rsidR="00002A54" w:rsidRPr="00E63900">
        <w:rPr>
          <w:rFonts w:asciiTheme="minorHAnsi" w:hAnsiTheme="minorHAnsi" w:cstheme="minorHAnsi"/>
        </w:rPr>
        <w:t xml:space="preserve">capture </w:t>
      </w:r>
      <w:r w:rsidR="004A3CBC" w:rsidRPr="00E63900">
        <w:rPr>
          <w:rFonts w:asciiTheme="minorHAnsi" w:hAnsiTheme="minorHAnsi" w:cstheme="minorHAnsi"/>
        </w:rPr>
        <w:t>a greater proportion of</w:t>
      </w:r>
      <w:r w:rsidR="00002A54" w:rsidRPr="00E63900">
        <w:rPr>
          <w:rFonts w:asciiTheme="minorHAnsi" w:hAnsiTheme="minorHAnsi" w:cstheme="minorHAnsi"/>
        </w:rPr>
        <w:t xml:space="preserve"> office buildings</w:t>
      </w:r>
      <w:r w:rsidR="00616F1D" w:rsidRPr="00E63900">
        <w:rPr>
          <w:rFonts w:asciiTheme="minorHAnsi" w:hAnsiTheme="minorHAnsi" w:cstheme="minorHAnsi"/>
        </w:rPr>
        <w:t>.</w:t>
      </w:r>
      <w:r w:rsidR="009D787F" w:rsidRPr="00E63900">
        <w:rPr>
          <w:rFonts w:asciiTheme="minorHAnsi" w:hAnsiTheme="minorHAnsi" w:cstheme="minorHAnsi"/>
        </w:rPr>
        <w:t xml:space="preserve"> </w:t>
      </w:r>
      <w:r w:rsidR="009363FB" w:rsidRPr="00E63900">
        <w:rPr>
          <w:rFonts w:asciiTheme="minorHAnsi" w:hAnsiTheme="minorHAnsi" w:cstheme="minorHAnsi"/>
        </w:rPr>
        <w:t>E</w:t>
      </w:r>
      <w:r w:rsidR="009D787F" w:rsidRPr="00E63900">
        <w:rPr>
          <w:rFonts w:asciiTheme="minorHAnsi" w:hAnsiTheme="minorHAnsi" w:cstheme="minorHAnsi"/>
        </w:rPr>
        <w:t>xpanding the reach of the program</w:t>
      </w:r>
      <w:r w:rsidR="00E92FD3" w:rsidRPr="00E63900">
        <w:rPr>
          <w:rFonts w:asciiTheme="minorHAnsi" w:hAnsiTheme="minorHAnsi" w:cstheme="minorHAnsi"/>
        </w:rPr>
        <w:t xml:space="preserve"> to 500m</w:t>
      </w:r>
      <w:r w:rsidR="009363FB" w:rsidRPr="00E63900">
        <w:rPr>
          <w:rFonts w:asciiTheme="minorHAnsi" w:hAnsiTheme="minorHAnsi" w:cstheme="minorHAnsi"/>
          <w:vertAlign w:val="superscript"/>
        </w:rPr>
        <w:t>2</w:t>
      </w:r>
      <w:r w:rsidR="009363FB" w:rsidRPr="00E63900">
        <w:rPr>
          <w:rFonts w:asciiTheme="minorHAnsi" w:hAnsiTheme="minorHAnsi" w:cstheme="minorHAnsi"/>
        </w:rPr>
        <w:t xml:space="preserve"> would mean </w:t>
      </w:r>
      <w:r w:rsidR="004B5A33" w:rsidRPr="00E63900">
        <w:rPr>
          <w:rFonts w:asciiTheme="minorHAnsi" w:hAnsiTheme="minorHAnsi" w:cstheme="minorHAnsi"/>
        </w:rPr>
        <w:t xml:space="preserve">smaller and more energy intensive </w:t>
      </w:r>
      <w:r w:rsidR="00960B0F" w:rsidRPr="00E63900">
        <w:rPr>
          <w:rFonts w:asciiTheme="minorHAnsi" w:hAnsiTheme="minorHAnsi" w:cstheme="minorHAnsi"/>
        </w:rPr>
        <w:t>buildings woul</w:t>
      </w:r>
      <w:r w:rsidR="00224B6A" w:rsidRPr="00E63900">
        <w:rPr>
          <w:rFonts w:asciiTheme="minorHAnsi" w:hAnsiTheme="minorHAnsi" w:cstheme="minorHAnsi"/>
        </w:rPr>
        <w:t>d</w:t>
      </w:r>
      <w:r w:rsidR="009363FB" w:rsidRPr="00E63900">
        <w:rPr>
          <w:rFonts w:asciiTheme="minorHAnsi" w:hAnsiTheme="minorHAnsi" w:cstheme="minorHAnsi"/>
        </w:rPr>
        <w:t xml:space="preserve"> be captured.</w:t>
      </w:r>
      <w:r w:rsidR="000F3239" w:rsidRPr="00E63900">
        <w:rPr>
          <w:rFonts w:asciiTheme="minorHAnsi" w:hAnsiTheme="minorHAnsi" w:cstheme="minorHAnsi"/>
        </w:rPr>
        <w:t xml:space="preserve"> This policy is a natural progression for the program that initially</w:t>
      </w:r>
      <w:r w:rsidR="00E26490" w:rsidRPr="00E63900">
        <w:rPr>
          <w:rFonts w:asciiTheme="minorHAnsi" w:hAnsiTheme="minorHAnsi" w:cstheme="minorHAnsi"/>
        </w:rPr>
        <w:t xml:space="preserve"> started with coverage </w:t>
      </w:r>
      <w:r w:rsidR="00CA7C25" w:rsidRPr="00E63900">
        <w:rPr>
          <w:rFonts w:asciiTheme="minorHAnsi" w:hAnsiTheme="minorHAnsi" w:cstheme="minorHAnsi"/>
        </w:rPr>
        <w:t>set at office buildings over 2</w:t>
      </w:r>
      <w:r w:rsidR="00983CA7" w:rsidRPr="00E63900">
        <w:rPr>
          <w:rFonts w:asciiTheme="minorHAnsi" w:hAnsiTheme="minorHAnsi" w:cstheme="minorHAnsi"/>
        </w:rPr>
        <w:t>,</w:t>
      </w:r>
      <w:r w:rsidR="00CA7C25" w:rsidRPr="00E63900">
        <w:rPr>
          <w:rFonts w:asciiTheme="minorHAnsi" w:hAnsiTheme="minorHAnsi" w:cstheme="minorHAnsi"/>
        </w:rPr>
        <w:t>000</w:t>
      </w:r>
      <w:r w:rsidR="000913CB" w:rsidRPr="00E63900">
        <w:rPr>
          <w:rFonts w:asciiTheme="minorHAnsi" w:hAnsiTheme="minorHAnsi" w:cstheme="minorHAnsi"/>
        </w:rPr>
        <w:t>m</w:t>
      </w:r>
      <w:r w:rsidR="000913CB" w:rsidRPr="00E63900">
        <w:rPr>
          <w:rFonts w:asciiTheme="minorHAnsi" w:hAnsiTheme="minorHAnsi" w:cstheme="minorHAnsi"/>
          <w:vertAlign w:val="superscript"/>
        </w:rPr>
        <w:t>2</w:t>
      </w:r>
      <w:r w:rsidR="000913CB" w:rsidRPr="00E63900">
        <w:rPr>
          <w:rFonts w:asciiTheme="minorHAnsi" w:hAnsiTheme="minorHAnsi" w:cstheme="minorHAnsi"/>
        </w:rPr>
        <w:t xml:space="preserve"> in 2010, which was reduced to 1</w:t>
      </w:r>
      <w:r w:rsidR="00983CA7" w:rsidRPr="00E63900">
        <w:rPr>
          <w:rFonts w:asciiTheme="minorHAnsi" w:hAnsiTheme="minorHAnsi" w:cstheme="minorHAnsi"/>
        </w:rPr>
        <w:t>,</w:t>
      </w:r>
      <w:r w:rsidR="000913CB" w:rsidRPr="00E63900">
        <w:rPr>
          <w:rFonts w:asciiTheme="minorHAnsi" w:hAnsiTheme="minorHAnsi" w:cstheme="minorHAnsi"/>
        </w:rPr>
        <w:t>000m</w:t>
      </w:r>
      <w:r w:rsidR="000913CB" w:rsidRPr="00E63900">
        <w:rPr>
          <w:rFonts w:asciiTheme="minorHAnsi" w:hAnsiTheme="minorHAnsi" w:cstheme="minorHAnsi"/>
          <w:vertAlign w:val="superscript"/>
        </w:rPr>
        <w:t>2</w:t>
      </w:r>
      <w:r w:rsidR="000913CB" w:rsidRPr="00E63900">
        <w:rPr>
          <w:rFonts w:asciiTheme="minorHAnsi" w:hAnsiTheme="minorHAnsi" w:cstheme="minorHAnsi"/>
        </w:rPr>
        <w:t xml:space="preserve"> in </w:t>
      </w:r>
      <w:r w:rsidR="008F42D9" w:rsidRPr="00E63900">
        <w:rPr>
          <w:rFonts w:asciiTheme="minorHAnsi" w:hAnsiTheme="minorHAnsi" w:cstheme="minorHAnsi"/>
        </w:rPr>
        <w:t>2018.</w:t>
      </w:r>
    </w:p>
    <w:p w14:paraId="68BB8A16" w14:textId="5BEA37EC" w:rsidR="00EF17A1" w:rsidRPr="00E63900" w:rsidRDefault="00EF17A1" w:rsidP="00EF17A1">
      <w:pPr>
        <w:pStyle w:val="BodyText"/>
        <w:rPr>
          <w:rFonts w:asciiTheme="minorHAnsi" w:hAnsiTheme="minorHAnsi" w:cstheme="minorHAnsi"/>
        </w:rPr>
      </w:pPr>
      <w:r w:rsidRPr="00E63900">
        <w:rPr>
          <w:rFonts w:asciiTheme="minorHAnsi" w:hAnsiTheme="minorHAnsi" w:cstheme="minorHAnsi"/>
        </w:rPr>
        <w:t xml:space="preserve">Specifics of the policy are outlined in </w:t>
      </w:r>
      <w:r w:rsidR="004B35A1">
        <w:rPr>
          <w:rFonts w:asciiTheme="minorHAnsi" w:hAnsiTheme="minorHAnsi" w:cstheme="minorHAnsi"/>
        </w:rPr>
        <w:fldChar w:fldCharType="begin" w:fldLock="1"/>
      </w:r>
      <w:r w:rsidR="004B35A1">
        <w:rPr>
          <w:rFonts w:asciiTheme="minorHAnsi" w:hAnsiTheme="minorHAnsi" w:cstheme="minorHAnsi"/>
        </w:rPr>
        <w:instrText xml:space="preserve"> REF _Ref152334532 \h  \* MERGEFORMAT </w:instrText>
      </w:r>
      <w:r w:rsidR="004B35A1">
        <w:rPr>
          <w:rFonts w:asciiTheme="minorHAnsi" w:hAnsiTheme="minorHAnsi" w:cstheme="minorHAnsi"/>
        </w:rPr>
      </w:r>
      <w:r w:rsidR="004B35A1">
        <w:rPr>
          <w:rFonts w:asciiTheme="minorHAnsi" w:hAnsiTheme="minorHAnsi" w:cstheme="minorHAnsi"/>
        </w:rPr>
        <w:fldChar w:fldCharType="separate"/>
      </w:r>
      <w:r w:rsidR="004B35A1" w:rsidRPr="004B35A1">
        <w:rPr>
          <w:rFonts w:asciiTheme="minorHAnsi" w:hAnsiTheme="minorHAnsi" w:cstheme="minorHAnsi"/>
        </w:rPr>
        <w:t>Table 14</w:t>
      </w:r>
      <w:r w:rsidR="004B35A1">
        <w:rPr>
          <w:rFonts w:asciiTheme="minorHAnsi" w:hAnsiTheme="minorHAnsi" w:cstheme="minorHAnsi"/>
        </w:rPr>
        <w:fldChar w:fldCharType="end"/>
      </w:r>
      <w:r w:rsidRPr="00E63900">
        <w:rPr>
          <w:rFonts w:asciiTheme="minorHAnsi" w:hAnsiTheme="minorHAnsi" w:cstheme="minorHAnsi"/>
        </w:rPr>
        <w:t xml:space="preserve"> below.</w:t>
      </w:r>
    </w:p>
    <w:p w14:paraId="1D3D5D45" w14:textId="73345EE1" w:rsidR="006F727B" w:rsidRPr="00744016" w:rsidRDefault="006F727B" w:rsidP="00744016">
      <w:pPr>
        <w:pStyle w:val="Caption"/>
        <w:keepNext/>
        <w:spacing w:after="120"/>
        <w:rPr>
          <w:rFonts w:ascii="Calibri" w:eastAsia="Times New Roman" w:hAnsi="Calibri" w:cs="Times New Roman"/>
          <w:b/>
          <w:bCs/>
          <w:i w:val="0"/>
          <w:iCs w:val="0"/>
          <w:color w:val="auto"/>
          <w:sz w:val="24"/>
        </w:rPr>
      </w:pPr>
      <w:bookmarkStart w:id="205" w:name="_Ref152334532"/>
      <w:bookmarkStart w:id="206" w:name="_Toc162535450"/>
      <w:r w:rsidRPr="00744016">
        <w:rPr>
          <w:rFonts w:ascii="Calibri" w:eastAsia="Times New Roman" w:hAnsi="Calibri" w:cs="Times New Roman"/>
          <w:b/>
          <w:bCs/>
          <w:i w:val="0"/>
          <w:iCs w:val="0"/>
          <w:color w:val="auto"/>
          <w:sz w:val="24"/>
        </w:rPr>
        <w:t xml:space="preserve">Table </w:t>
      </w:r>
      <w:r w:rsidR="00722E7A" w:rsidRPr="00744016">
        <w:rPr>
          <w:rFonts w:ascii="Calibri" w:eastAsia="Times New Roman" w:hAnsi="Calibri" w:cs="Times New Roman"/>
          <w:b/>
          <w:bCs/>
          <w:i w:val="0"/>
          <w:iCs w:val="0"/>
          <w:color w:val="auto"/>
          <w:sz w:val="24"/>
        </w:rPr>
        <w:fldChar w:fldCharType="begin"/>
      </w:r>
      <w:r w:rsidR="00722E7A" w:rsidRPr="00744016">
        <w:rPr>
          <w:rFonts w:ascii="Calibri" w:eastAsia="Times New Roman" w:hAnsi="Calibri" w:cs="Times New Roman"/>
          <w:b/>
          <w:bCs/>
          <w:i w:val="0"/>
          <w:iCs w:val="0"/>
          <w:color w:val="auto"/>
          <w:sz w:val="24"/>
        </w:rPr>
        <w:instrText xml:space="preserve"> SEQ Table \* ARABIC </w:instrText>
      </w:r>
      <w:r w:rsidR="00722E7A"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14</w:t>
      </w:r>
      <w:r w:rsidR="00722E7A" w:rsidRPr="00744016">
        <w:rPr>
          <w:rFonts w:ascii="Calibri" w:eastAsia="Times New Roman" w:hAnsi="Calibri" w:cs="Times New Roman"/>
          <w:b/>
          <w:bCs/>
          <w:i w:val="0"/>
          <w:iCs w:val="0"/>
          <w:color w:val="auto"/>
          <w:sz w:val="24"/>
        </w:rPr>
        <w:fldChar w:fldCharType="end"/>
      </w:r>
      <w:bookmarkEnd w:id="205"/>
      <w:r w:rsidRPr="00744016">
        <w:rPr>
          <w:rFonts w:ascii="Calibri" w:eastAsia="Times New Roman" w:hAnsi="Calibri" w:cs="Times New Roman"/>
          <w:b/>
          <w:bCs/>
          <w:i w:val="0"/>
          <w:iCs w:val="0"/>
          <w:color w:val="auto"/>
          <w:sz w:val="24"/>
        </w:rPr>
        <w:t>: Office 500</w:t>
      </w:r>
      <w:bookmarkEnd w:id="206"/>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5"/>
      </w:tblGrid>
      <w:tr w:rsidR="007848B0" w14:paraId="7149D0D6" w14:textId="77777777" w:rsidTr="00EA48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3F1D048C" w14:textId="77777777" w:rsidR="006F727B" w:rsidRPr="004B319D" w:rsidRDefault="006F727B">
            <w:pPr>
              <w:pStyle w:val="BodyText"/>
              <w:rPr>
                <w:rFonts w:asciiTheme="minorHAnsi" w:hAnsiTheme="minorHAnsi" w:cstheme="minorHAnsi"/>
                <w:i/>
              </w:rPr>
            </w:pPr>
            <w:r w:rsidRPr="004B319D">
              <w:rPr>
                <w:rFonts w:asciiTheme="minorHAnsi" w:hAnsiTheme="minorHAnsi" w:cstheme="minorHAnsi"/>
              </w:rPr>
              <w:t>Design element</w:t>
            </w:r>
          </w:p>
        </w:tc>
        <w:tc>
          <w:tcPr>
            <w:tcW w:w="7505" w:type="dxa"/>
          </w:tcPr>
          <w:p w14:paraId="5744464D" w14:textId="77777777" w:rsidR="006F727B" w:rsidRPr="00E63900" w:rsidRDefault="006F727B">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Description</w:t>
            </w:r>
          </w:p>
        </w:tc>
      </w:tr>
      <w:tr w:rsidR="007848B0" w14:paraId="3C1BA1E6"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DD8BEB" w14:textId="77777777" w:rsidR="006F727B" w:rsidRPr="004B319D" w:rsidRDefault="006F727B">
            <w:pPr>
              <w:pStyle w:val="BodyText"/>
              <w:rPr>
                <w:rFonts w:asciiTheme="minorHAnsi" w:hAnsiTheme="minorHAnsi" w:cstheme="minorHAnsi"/>
                <w:i/>
              </w:rPr>
            </w:pPr>
            <w:r w:rsidRPr="004B319D">
              <w:rPr>
                <w:rFonts w:asciiTheme="minorHAnsi" w:hAnsiTheme="minorHAnsi" w:cstheme="minorHAnsi"/>
              </w:rPr>
              <w:t>Coverage and exemptions</w:t>
            </w:r>
          </w:p>
        </w:tc>
        <w:tc>
          <w:tcPr>
            <w:tcW w:w="7505" w:type="dxa"/>
          </w:tcPr>
          <w:p w14:paraId="494D78AF" w14:textId="1AD2D33C" w:rsidR="006F727B" w:rsidRPr="00E63900" w:rsidRDefault="008C1E14">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Policy would cover</w:t>
            </w:r>
            <w:r w:rsidR="00A75D6B" w:rsidRPr="00E63900">
              <w:rPr>
                <w:rFonts w:asciiTheme="minorHAnsi" w:hAnsiTheme="minorHAnsi" w:cstheme="minorHAnsi"/>
              </w:rPr>
              <w:t xml:space="preserve"> all </w:t>
            </w:r>
            <w:r w:rsidR="00115493" w:rsidRPr="00E63900">
              <w:rPr>
                <w:rFonts w:asciiTheme="minorHAnsi" w:hAnsiTheme="minorHAnsi" w:cstheme="minorHAnsi"/>
              </w:rPr>
              <w:t>office</w:t>
            </w:r>
            <w:r w:rsidR="00A75D6B" w:rsidRPr="00E63900">
              <w:rPr>
                <w:rFonts w:asciiTheme="minorHAnsi" w:hAnsiTheme="minorHAnsi" w:cstheme="minorHAnsi"/>
              </w:rPr>
              <w:t xml:space="preserve"> buildings greater than 500m</w:t>
            </w:r>
            <w:r w:rsidR="00A75D6B" w:rsidRPr="00E63900">
              <w:rPr>
                <w:rFonts w:asciiTheme="minorHAnsi" w:hAnsiTheme="minorHAnsi" w:cstheme="minorHAnsi"/>
                <w:vertAlign w:val="superscript"/>
              </w:rPr>
              <w:t>2</w:t>
            </w:r>
            <w:r w:rsidR="00A75D6B" w:rsidRPr="00E63900">
              <w:rPr>
                <w:rFonts w:asciiTheme="minorHAnsi" w:hAnsiTheme="minorHAnsi" w:cstheme="minorHAnsi"/>
              </w:rPr>
              <w:t>.</w:t>
            </w:r>
            <w:r w:rsidR="00115493" w:rsidRPr="00E63900">
              <w:rPr>
                <w:rFonts w:asciiTheme="minorHAnsi" w:hAnsiTheme="minorHAnsi" w:cstheme="minorHAnsi"/>
              </w:rPr>
              <w:t xml:space="preserve"> </w:t>
            </w:r>
            <w:r w:rsidR="006A7E7B" w:rsidRPr="00E63900">
              <w:rPr>
                <w:rFonts w:asciiTheme="minorHAnsi" w:hAnsiTheme="minorHAnsi" w:cstheme="minorHAnsi"/>
              </w:rPr>
              <w:t xml:space="preserve">Exceptions </w:t>
            </w:r>
            <w:r w:rsidR="00115493" w:rsidRPr="00E63900">
              <w:rPr>
                <w:rFonts w:asciiTheme="minorHAnsi" w:hAnsiTheme="minorHAnsi" w:cstheme="minorHAnsi"/>
              </w:rPr>
              <w:t xml:space="preserve">would be in line with </w:t>
            </w:r>
            <w:r w:rsidR="006A0A2E" w:rsidRPr="00E63900">
              <w:rPr>
                <w:rFonts w:asciiTheme="minorHAnsi" w:hAnsiTheme="minorHAnsi" w:cstheme="minorHAnsi"/>
              </w:rPr>
              <w:t xml:space="preserve">the current program and </w:t>
            </w:r>
            <w:r w:rsidR="005F7D1E" w:rsidRPr="00E63900">
              <w:rPr>
                <w:rFonts w:asciiTheme="minorHAnsi" w:hAnsiTheme="minorHAnsi" w:cstheme="minorHAnsi"/>
              </w:rPr>
              <w:t>cover</w:t>
            </w:r>
            <w:r w:rsidR="0097011A" w:rsidRPr="00E63900">
              <w:rPr>
                <w:rFonts w:asciiTheme="minorHAnsi" w:hAnsiTheme="minorHAnsi" w:cstheme="minorHAnsi"/>
              </w:rPr>
              <w:t xml:space="preserve"> all non-office buildings. </w:t>
            </w:r>
          </w:p>
        </w:tc>
      </w:tr>
      <w:tr w:rsidR="00FA0494" w14:paraId="3E249AEB"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0B1EC39C" w14:textId="77777777" w:rsidR="006F727B" w:rsidRPr="004B319D" w:rsidRDefault="006F727B">
            <w:pPr>
              <w:pStyle w:val="BodyText"/>
              <w:rPr>
                <w:rFonts w:asciiTheme="minorHAnsi" w:hAnsiTheme="minorHAnsi" w:cstheme="minorHAnsi"/>
                <w:i/>
              </w:rPr>
            </w:pPr>
            <w:r w:rsidRPr="004B319D">
              <w:rPr>
                <w:rFonts w:asciiTheme="minorHAnsi" w:hAnsiTheme="minorHAnsi" w:cstheme="minorHAnsi"/>
              </w:rPr>
              <w:t>Reporting</w:t>
            </w:r>
          </w:p>
        </w:tc>
        <w:tc>
          <w:tcPr>
            <w:tcW w:w="7505" w:type="dxa"/>
          </w:tcPr>
          <w:p w14:paraId="3642DCFD" w14:textId="5DAC0830" w:rsidR="006F727B" w:rsidRPr="00E63900" w:rsidRDefault="008F42D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Reporting requirements under the scheme would be </w:t>
            </w:r>
            <w:r w:rsidR="00C821A6" w:rsidRPr="00E63900">
              <w:rPr>
                <w:rFonts w:asciiTheme="minorHAnsi" w:hAnsiTheme="minorHAnsi" w:cstheme="minorHAnsi"/>
              </w:rPr>
              <w:t xml:space="preserve">consistent with </w:t>
            </w:r>
            <w:r w:rsidR="003E1D53" w:rsidRPr="00E63900">
              <w:rPr>
                <w:rFonts w:asciiTheme="minorHAnsi" w:hAnsiTheme="minorHAnsi" w:cstheme="minorHAnsi"/>
              </w:rPr>
              <w:t>existing program</w:t>
            </w:r>
            <w:r w:rsidR="00852DF9" w:rsidRPr="00E63900">
              <w:rPr>
                <w:rFonts w:asciiTheme="minorHAnsi" w:hAnsiTheme="minorHAnsi" w:cstheme="minorHAnsi"/>
              </w:rPr>
              <w:t xml:space="preserve"> and required </w:t>
            </w:r>
            <w:r w:rsidR="00D53CAF" w:rsidRPr="00E63900">
              <w:rPr>
                <w:rFonts w:asciiTheme="minorHAnsi" w:hAnsiTheme="minorHAnsi" w:cstheme="minorHAnsi"/>
              </w:rPr>
              <w:t xml:space="preserve">at sale or </w:t>
            </w:r>
            <w:r w:rsidR="004978C2" w:rsidRPr="00E63900">
              <w:rPr>
                <w:rFonts w:asciiTheme="minorHAnsi" w:hAnsiTheme="minorHAnsi" w:cstheme="minorHAnsi"/>
              </w:rPr>
              <w:t>lease of office space.</w:t>
            </w:r>
          </w:p>
        </w:tc>
      </w:tr>
      <w:tr w:rsidR="007848B0" w14:paraId="7C9391FA"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580E60" w14:textId="77777777" w:rsidR="006F727B" w:rsidRPr="004B319D" w:rsidRDefault="006F727B">
            <w:pPr>
              <w:pStyle w:val="BodyText"/>
              <w:rPr>
                <w:rFonts w:asciiTheme="minorHAnsi" w:hAnsiTheme="minorHAnsi" w:cstheme="minorHAnsi"/>
                <w:i/>
              </w:rPr>
            </w:pPr>
            <w:r w:rsidRPr="004B319D">
              <w:rPr>
                <w:rFonts w:asciiTheme="minorHAnsi" w:hAnsiTheme="minorHAnsi" w:cstheme="minorHAnsi"/>
              </w:rPr>
              <w:t>Compliance</w:t>
            </w:r>
          </w:p>
        </w:tc>
        <w:tc>
          <w:tcPr>
            <w:tcW w:w="7505" w:type="dxa"/>
          </w:tcPr>
          <w:p w14:paraId="562C4D05" w14:textId="3D5E0FE8" w:rsidR="006F727B" w:rsidRPr="00E63900" w:rsidRDefault="00957E6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Compliance assessments would be implemented through CBD authorised officers conducting spot-checks on buildings</w:t>
            </w:r>
            <w:r w:rsidR="006F727B" w:rsidRPr="00E63900">
              <w:rPr>
                <w:rFonts w:asciiTheme="minorHAnsi" w:hAnsiTheme="minorHAnsi" w:cstheme="minorHAnsi"/>
              </w:rPr>
              <w:t>.</w:t>
            </w:r>
          </w:p>
        </w:tc>
      </w:tr>
      <w:tr w:rsidR="00FA0494" w14:paraId="326E66EE"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445429DE" w14:textId="77777777" w:rsidR="006F727B" w:rsidRPr="004B319D" w:rsidRDefault="006F727B">
            <w:pPr>
              <w:pStyle w:val="BodyText"/>
              <w:rPr>
                <w:rFonts w:asciiTheme="minorHAnsi" w:hAnsiTheme="minorHAnsi" w:cstheme="minorHAnsi"/>
                <w:i/>
              </w:rPr>
            </w:pPr>
            <w:r w:rsidRPr="004B319D">
              <w:rPr>
                <w:rFonts w:asciiTheme="minorHAnsi" w:hAnsiTheme="minorHAnsi" w:cstheme="minorHAnsi"/>
              </w:rPr>
              <w:t>Display of rating</w:t>
            </w:r>
          </w:p>
        </w:tc>
        <w:tc>
          <w:tcPr>
            <w:tcW w:w="7505" w:type="dxa"/>
          </w:tcPr>
          <w:p w14:paraId="6BD701D6" w14:textId="3FAF97E5" w:rsidR="006F727B" w:rsidRPr="00E63900" w:rsidRDefault="00D53838">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Rating must be disclosed to buyers, lessors and in all advertising material.</w:t>
            </w:r>
          </w:p>
        </w:tc>
      </w:tr>
    </w:tbl>
    <w:p w14:paraId="49887610" w14:textId="132612F1" w:rsidR="00F852DD" w:rsidRPr="00E63900" w:rsidRDefault="00F852DD" w:rsidP="00C95B3A">
      <w:pPr>
        <w:pStyle w:val="BodyText"/>
        <w:rPr>
          <w:rFonts w:asciiTheme="minorHAnsi" w:hAnsiTheme="minorHAnsi" w:cstheme="minorHAnsi"/>
        </w:rPr>
      </w:pPr>
    </w:p>
    <w:p w14:paraId="36B153D6" w14:textId="3696D888" w:rsidR="00F852DD" w:rsidRPr="00E63900" w:rsidRDefault="00F852DD" w:rsidP="00F852DD">
      <w:pPr>
        <w:pStyle w:val="Heading3"/>
        <w:rPr>
          <w:rFonts w:asciiTheme="minorHAnsi" w:hAnsiTheme="minorHAnsi" w:cstheme="minorHAnsi"/>
        </w:rPr>
      </w:pPr>
      <w:r w:rsidRPr="00E63900">
        <w:rPr>
          <w:rFonts w:asciiTheme="minorHAnsi" w:hAnsiTheme="minorHAnsi" w:cstheme="minorHAnsi"/>
        </w:rPr>
        <w:t xml:space="preserve">Option 4: Star Rating </w:t>
      </w:r>
      <w:proofErr w:type="spellStart"/>
      <w:r w:rsidRPr="00E63900">
        <w:rPr>
          <w:rFonts w:asciiTheme="minorHAnsi" w:hAnsiTheme="minorHAnsi" w:cstheme="minorHAnsi"/>
        </w:rPr>
        <w:t>MEPS</w:t>
      </w:r>
      <w:proofErr w:type="spellEnd"/>
      <w:r w:rsidRPr="00E63900">
        <w:rPr>
          <w:rFonts w:asciiTheme="minorHAnsi" w:hAnsiTheme="minorHAnsi" w:cstheme="minorHAnsi"/>
        </w:rPr>
        <w:t xml:space="preserve"> for offices</w:t>
      </w:r>
    </w:p>
    <w:p w14:paraId="7CC976CC" w14:textId="7B0A505D" w:rsidR="006F727B" w:rsidRPr="00E63900" w:rsidRDefault="00EF3774" w:rsidP="006F727B">
      <w:pPr>
        <w:pStyle w:val="BodyText"/>
        <w:rPr>
          <w:rFonts w:asciiTheme="minorHAnsi" w:hAnsiTheme="minorHAnsi" w:cstheme="minorHAnsi"/>
        </w:rPr>
      </w:pPr>
      <w:r w:rsidRPr="00E63900">
        <w:rPr>
          <w:rFonts w:asciiTheme="minorHAnsi" w:hAnsiTheme="minorHAnsi" w:cstheme="minorHAnsi"/>
        </w:rPr>
        <w:t>Option 4</w:t>
      </w:r>
      <w:r w:rsidR="007D5CE6" w:rsidRPr="00E63900">
        <w:rPr>
          <w:rFonts w:asciiTheme="minorHAnsi" w:hAnsiTheme="minorHAnsi" w:cstheme="minorHAnsi"/>
        </w:rPr>
        <w:t xml:space="preserve"> </w:t>
      </w:r>
      <w:r w:rsidR="00FC5806" w:rsidRPr="00E63900">
        <w:rPr>
          <w:rFonts w:asciiTheme="minorHAnsi" w:hAnsiTheme="minorHAnsi" w:cstheme="minorHAnsi"/>
        </w:rPr>
        <w:t xml:space="preserve">would require all </w:t>
      </w:r>
      <w:r w:rsidR="004E5AC4" w:rsidRPr="00E63900">
        <w:rPr>
          <w:rFonts w:asciiTheme="minorHAnsi" w:hAnsiTheme="minorHAnsi" w:cstheme="minorHAnsi"/>
        </w:rPr>
        <w:t>o</w:t>
      </w:r>
      <w:r w:rsidR="006253B1" w:rsidRPr="00E63900">
        <w:rPr>
          <w:rFonts w:asciiTheme="minorHAnsi" w:hAnsiTheme="minorHAnsi" w:cstheme="minorHAnsi"/>
        </w:rPr>
        <w:t xml:space="preserve">ffice buildings </w:t>
      </w:r>
      <w:r w:rsidR="004978C2" w:rsidRPr="00E63900">
        <w:rPr>
          <w:rFonts w:asciiTheme="minorHAnsi" w:hAnsiTheme="minorHAnsi" w:cstheme="minorHAnsi"/>
        </w:rPr>
        <w:t xml:space="preserve">that are currently captured by the </w:t>
      </w:r>
      <w:r w:rsidR="00F92730" w:rsidRPr="00E63900">
        <w:rPr>
          <w:rFonts w:asciiTheme="minorHAnsi" w:hAnsiTheme="minorHAnsi" w:cstheme="minorHAnsi"/>
        </w:rPr>
        <w:t xml:space="preserve">CBD program and are </w:t>
      </w:r>
      <w:r w:rsidR="00E6743F" w:rsidRPr="00E63900">
        <w:rPr>
          <w:rFonts w:asciiTheme="minorHAnsi" w:hAnsiTheme="minorHAnsi" w:cstheme="minorHAnsi"/>
        </w:rPr>
        <w:t>greater than 1</w:t>
      </w:r>
      <w:r w:rsidR="004E097E" w:rsidRPr="00E63900">
        <w:rPr>
          <w:rFonts w:asciiTheme="minorHAnsi" w:hAnsiTheme="minorHAnsi" w:cstheme="minorHAnsi"/>
        </w:rPr>
        <w:t>,</w:t>
      </w:r>
      <w:r w:rsidR="00E6743F" w:rsidRPr="00E63900">
        <w:rPr>
          <w:rFonts w:asciiTheme="minorHAnsi" w:hAnsiTheme="minorHAnsi" w:cstheme="minorHAnsi"/>
        </w:rPr>
        <w:t>000m</w:t>
      </w:r>
      <w:r w:rsidR="00E6743F" w:rsidRPr="00E63900">
        <w:rPr>
          <w:rFonts w:asciiTheme="minorHAnsi" w:hAnsiTheme="minorHAnsi" w:cstheme="minorHAnsi"/>
          <w:vertAlign w:val="superscript"/>
        </w:rPr>
        <w:t>2</w:t>
      </w:r>
      <w:r w:rsidR="00E6743F" w:rsidRPr="00E63900">
        <w:rPr>
          <w:rFonts w:asciiTheme="minorHAnsi" w:hAnsiTheme="minorHAnsi" w:cstheme="minorHAnsi"/>
        </w:rPr>
        <w:t xml:space="preserve"> to mee</w:t>
      </w:r>
      <w:r w:rsidR="000B3EF6" w:rsidRPr="00E63900">
        <w:rPr>
          <w:rFonts w:asciiTheme="minorHAnsi" w:hAnsiTheme="minorHAnsi" w:cstheme="minorHAnsi"/>
        </w:rPr>
        <w:t xml:space="preserve">t a minimum standard </w:t>
      </w:r>
      <w:r w:rsidR="00C468E4" w:rsidRPr="00E63900">
        <w:rPr>
          <w:rFonts w:asciiTheme="minorHAnsi" w:hAnsiTheme="minorHAnsi" w:cstheme="minorHAnsi"/>
        </w:rPr>
        <w:t>4</w:t>
      </w:r>
      <w:r w:rsidR="003F3C54" w:rsidRPr="00E63900">
        <w:rPr>
          <w:rFonts w:asciiTheme="minorHAnsi" w:hAnsiTheme="minorHAnsi" w:cstheme="minorHAnsi"/>
        </w:rPr>
        <w:t xml:space="preserve">-star </w:t>
      </w:r>
      <w:r w:rsidR="00964B55" w:rsidRPr="00E63900">
        <w:rPr>
          <w:rFonts w:asciiTheme="minorHAnsi" w:hAnsiTheme="minorHAnsi" w:cstheme="minorHAnsi"/>
        </w:rPr>
        <w:t>NABERS energy rating</w:t>
      </w:r>
      <w:r w:rsidR="009B0AF1" w:rsidRPr="00E63900">
        <w:rPr>
          <w:rFonts w:asciiTheme="minorHAnsi" w:hAnsiTheme="minorHAnsi" w:cstheme="minorHAnsi"/>
        </w:rPr>
        <w:t xml:space="preserve"> </w:t>
      </w:r>
      <w:r w:rsidR="003D5142" w:rsidRPr="00E63900">
        <w:rPr>
          <w:rFonts w:asciiTheme="minorHAnsi" w:hAnsiTheme="minorHAnsi" w:cstheme="minorHAnsi"/>
        </w:rPr>
        <w:t>withing the first five years of the policy, before increasing the minimum rating to</w:t>
      </w:r>
      <w:r w:rsidR="00E211C1" w:rsidRPr="00E63900">
        <w:rPr>
          <w:rFonts w:asciiTheme="minorHAnsi" w:hAnsiTheme="minorHAnsi" w:cstheme="minorHAnsi"/>
        </w:rPr>
        <w:t xml:space="preserve"> </w:t>
      </w:r>
      <w:r w:rsidR="00532857" w:rsidRPr="00E63900">
        <w:rPr>
          <w:rFonts w:asciiTheme="minorHAnsi" w:hAnsiTheme="minorHAnsi" w:cstheme="minorHAnsi"/>
        </w:rPr>
        <w:t>5</w:t>
      </w:r>
      <w:r w:rsidR="00C911E9" w:rsidRPr="00E63900">
        <w:rPr>
          <w:rFonts w:asciiTheme="minorHAnsi" w:hAnsiTheme="minorHAnsi" w:cstheme="minorHAnsi"/>
        </w:rPr>
        <w:t>-</w:t>
      </w:r>
      <w:r w:rsidR="00532857" w:rsidRPr="00E63900">
        <w:rPr>
          <w:rFonts w:asciiTheme="minorHAnsi" w:hAnsiTheme="minorHAnsi" w:cstheme="minorHAnsi"/>
        </w:rPr>
        <w:t xml:space="preserve">stars. </w:t>
      </w:r>
      <w:r w:rsidR="00E434B4" w:rsidRPr="00E63900">
        <w:rPr>
          <w:rFonts w:asciiTheme="minorHAnsi" w:hAnsiTheme="minorHAnsi" w:cstheme="minorHAnsi"/>
        </w:rPr>
        <w:t>Buildings would</w:t>
      </w:r>
      <w:r w:rsidR="00E06BC9" w:rsidRPr="00E63900">
        <w:rPr>
          <w:rFonts w:asciiTheme="minorHAnsi" w:hAnsiTheme="minorHAnsi" w:cstheme="minorHAnsi"/>
        </w:rPr>
        <w:t xml:space="preserve"> have a grace period to </w:t>
      </w:r>
      <w:r w:rsidR="00AC3AE5" w:rsidRPr="00E63900">
        <w:rPr>
          <w:rFonts w:asciiTheme="minorHAnsi" w:hAnsiTheme="minorHAnsi" w:cstheme="minorHAnsi"/>
        </w:rPr>
        <w:t xml:space="preserve">implement </w:t>
      </w:r>
      <w:r w:rsidR="00BA0E7A" w:rsidRPr="00E63900">
        <w:rPr>
          <w:rFonts w:asciiTheme="minorHAnsi" w:hAnsiTheme="minorHAnsi" w:cstheme="minorHAnsi"/>
        </w:rPr>
        <w:t xml:space="preserve">measures to reach the </w:t>
      </w:r>
      <w:proofErr w:type="spellStart"/>
      <w:r w:rsidR="00BA0E7A" w:rsidRPr="00E63900">
        <w:rPr>
          <w:rFonts w:asciiTheme="minorHAnsi" w:hAnsiTheme="minorHAnsi" w:cstheme="minorHAnsi"/>
        </w:rPr>
        <w:t>MEPS</w:t>
      </w:r>
      <w:proofErr w:type="spellEnd"/>
      <w:r w:rsidR="00BA0E7A" w:rsidRPr="00E63900">
        <w:rPr>
          <w:rFonts w:asciiTheme="minorHAnsi" w:hAnsiTheme="minorHAnsi" w:cstheme="minorHAnsi"/>
        </w:rPr>
        <w:t xml:space="preserve"> and would only require to be compliant at the key dates. </w:t>
      </w:r>
      <w:r w:rsidR="00F82226" w:rsidRPr="00E63900">
        <w:rPr>
          <w:rFonts w:asciiTheme="minorHAnsi" w:hAnsiTheme="minorHAnsi" w:cstheme="minorHAnsi"/>
        </w:rPr>
        <w:t xml:space="preserve">This policy is akin to </w:t>
      </w:r>
      <w:r w:rsidR="00794742" w:rsidRPr="00E63900">
        <w:rPr>
          <w:rFonts w:asciiTheme="minorHAnsi" w:hAnsiTheme="minorHAnsi" w:cstheme="minorHAnsi"/>
        </w:rPr>
        <w:t xml:space="preserve">similar policies </w:t>
      </w:r>
      <w:r w:rsidR="00056DFB" w:rsidRPr="00E63900">
        <w:rPr>
          <w:rFonts w:asciiTheme="minorHAnsi" w:hAnsiTheme="minorHAnsi" w:cstheme="minorHAnsi"/>
        </w:rPr>
        <w:t xml:space="preserve">in the UK, Netherlands, EU, Washington </w:t>
      </w:r>
      <w:proofErr w:type="spellStart"/>
      <w:r w:rsidR="00056DFB" w:rsidRPr="00E63900">
        <w:rPr>
          <w:rFonts w:asciiTheme="minorHAnsi" w:hAnsiTheme="minorHAnsi" w:cstheme="minorHAnsi"/>
        </w:rPr>
        <w:t>D.C</w:t>
      </w:r>
      <w:proofErr w:type="spellEnd"/>
      <w:r w:rsidR="00056DFB" w:rsidRPr="00E63900">
        <w:rPr>
          <w:rFonts w:asciiTheme="minorHAnsi" w:hAnsiTheme="minorHAnsi" w:cstheme="minorHAnsi"/>
        </w:rPr>
        <w:t xml:space="preserve"> and California. The European policies </w:t>
      </w:r>
      <w:r w:rsidR="00310C28" w:rsidRPr="00E63900">
        <w:rPr>
          <w:rFonts w:asciiTheme="minorHAnsi" w:hAnsiTheme="minorHAnsi" w:cstheme="minorHAnsi"/>
        </w:rPr>
        <w:t xml:space="preserve">draw on EPC </w:t>
      </w:r>
      <w:r w:rsidR="00EF61AC" w:rsidRPr="00E63900">
        <w:rPr>
          <w:rFonts w:asciiTheme="minorHAnsi" w:hAnsiTheme="minorHAnsi" w:cstheme="minorHAnsi"/>
        </w:rPr>
        <w:t>policies</w:t>
      </w:r>
      <w:r w:rsidR="00310C28" w:rsidRPr="00E63900">
        <w:rPr>
          <w:rFonts w:asciiTheme="minorHAnsi" w:hAnsiTheme="minorHAnsi" w:cstheme="minorHAnsi"/>
        </w:rPr>
        <w:t xml:space="preserve">, whereas the </w:t>
      </w:r>
      <w:r w:rsidR="008D2BC8" w:rsidRPr="00E63900">
        <w:rPr>
          <w:rFonts w:asciiTheme="minorHAnsi" w:hAnsiTheme="minorHAnsi" w:cstheme="minorHAnsi"/>
        </w:rPr>
        <w:t>American schemes draw on building sta</w:t>
      </w:r>
      <w:r w:rsidR="00A83546" w:rsidRPr="00E63900">
        <w:rPr>
          <w:rFonts w:asciiTheme="minorHAnsi" w:hAnsiTheme="minorHAnsi" w:cstheme="minorHAnsi"/>
        </w:rPr>
        <w:t>r performance ratings.</w:t>
      </w:r>
      <w:r w:rsidR="00AC1CED" w:rsidRPr="00E63900">
        <w:rPr>
          <w:rFonts w:asciiTheme="minorHAnsi" w:hAnsiTheme="minorHAnsi" w:cstheme="minorHAnsi"/>
        </w:rPr>
        <w:t xml:space="preserve"> </w:t>
      </w:r>
      <w:r w:rsidR="00F44A97" w:rsidRPr="00E63900">
        <w:rPr>
          <w:rFonts w:asciiTheme="minorHAnsi" w:hAnsiTheme="minorHAnsi" w:cstheme="minorHAnsi"/>
        </w:rPr>
        <w:t>The policy would also require some broader alignment with the building code for consistency.</w:t>
      </w:r>
      <w:r w:rsidR="00E605C1">
        <w:rPr>
          <w:rFonts w:asciiTheme="minorHAnsi" w:hAnsiTheme="minorHAnsi" w:cstheme="minorHAnsi"/>
        </w:rPr>
        <w:t xml:space="preserve"> This policy would target a smaller subset of </w:t>
      </w:r>
      <w:r w:rsidR="00D6373E">
        <w:rPr>
          <w:rFonts w:asciiTheme="minorHAnsi" w:hAnsiTheme="minorHAnsi" w:cstheme="minorHAnsi"/>
        </w:rPr>
        <w:t xml:space="preserve">lower performing </w:t>
      </w:r>
      <w:proofErr w:type="gramStart"/>
      <w:r w:rsidR="00D6373E">
        <w:rPr>
          <w:rFonts w:asciiTheme="minorHAnsi" w:hAnsiTheme="minorHAnsi" w:cstheme="minorHAnsi"/>
        </w:rPr>
        <w:t>buildings, and</w:t>
      </w:r>
      <w:proofErr w:type="gramEnd"/>
      <w:r w:rsidR="00D6373E">
        <w:rPr>
          <w:rFonts w:asciiTheme="minorHAnsi" w:hAnsiTheme="minorHAnsi" w:cstheme="minorHAnsi"/>
        </w:rPr>
        <w:t xml:space="preserve"> raise them to align with the </w:t>
      </w:r>
      <w:r w:rsidR="00B6082A">
        <w:rPr>
          <w:rFonts w:asciiTheme="minorHAnsi" w:hAnsiTheme="minorHAnsi" w:cstheme="minorHAnsi"/>
        </w:rPr>
        <w:t>average efficiency of</w:t>
      </w:r>
      <w:r w:rsidR="000D51E4">
        <w:rPr>
          <w:rFonts w:asciiTheme="minorHAnsi" w:hAnsiTheme="minorHAnsi" w:cstheme="minorHAnsi"/>
        </w:rPr>
        <w:t xml:space="preserve"> many larger and newer buildings.</w:t>
      </w:r>
    </w:p>
    <w:p w14:paraId="4A972107" w14:textId="006C75A7" w:rsidR="00EF17A1" w:rsidRPr="00E63900" w:rsidRDefault="00EF17A1" w:rsidP="00EF17A1">
      <w:pPr>
        <w:pStyle w:val="BodyText"/>
        <w:rPr>
          <w:rFonts w:asciiTheme="minorHAnsi" w:hAnsiTheme="minorHAnsi" w:cstheme="minorHAnsi"/>
        </w:rPr>
      </w:pPr>
      <w:r w:rsidRPr="00E63900">
        <w:rPr>
          <w:rFonts w:asciiTheme="minorHAnsi" w:hAnsiTheme="minorHAnsi" w:cstheme="minorHAnsi"/>
        </w:rPr>
        <w:t xml:space="preserve">Specifics of the policy are outlined in </w:t>
      </w:r>
      <w:r w:rsidR="004B35A1">
        <w:rPr>
          <w:rFonts w:asciiTheme="minorHAnsi" w:hAnsiTheme="minorHAnsi" w:cstheme="minorHAnsi"/>
        </w:rPr>
        <w:fldChar w:fldCharType="begin" w:fldLock="1"/>
      </w:r>
      <w:r w:rsidR="004B35A1">
        <w:rPr>
          <w:rFonts w:asciiTheme="minorHAnsi" w:hAnsiTheme="minorHAnsi" w:cstheme="minorHAnsi"/>
        </w:rPr>
        <w:instrText xml:space="preserve"> REF _Ref152334552 \h  \* MERGEFORMAT </w:instrText>
      </w:r>
      <w:r w:rsidR="004B35A1">
        <w:rPr>
          <w:rFonts w:asciiTheme="minorHAnsi" w:hAnsiTheme="minorHAnsi" w:cstheme="minorHAnsi"/>
        </w:rPr>
      </w:r>
      <w:r w:rsidR="004B35A1">
        <w:rPr>
          <w:rFonts w:asciiTheme="minorHAnsi" w:hAnsiTheme="minorHAnsi" w:cstheme="minorHAnsi"/>
        </w:rPr>
        <w:fldChar w:fldCharType="separate"/>
      </w:r>
      <w:r w:rsidR="004B35A1" w:rsidRPr="004B35A1">
        <w:rPr>
          <w:rFonts w:asciiTheme="minorHAnsi" w:hAnsiTheme="minorHAnsi" w:cstheme="minorHAnsi"/>
        </w:rPr>
        <w:t>Table 15</w:t>
      </w:r>
      <w:r w:rsidR="004B35A1">
        <w:rPr>
          <w:rFonts w:asciiTheme="minorHAnsi" w:hAnsiTheme="minorHAnsi" w:cstheme="minorHAnsi"/>
        </w:rPr>
        <w:fldChar w:fldCharType="end"/>
      </w:r>
      <w:r w:rsidRPr="00E63900">
        <w:rPr>
          <w:rFonts w:asciiTheme="minorHAnsi" w:hAnsiTheme="minorHAnsi" w:cstheme="minorHAnsi"/>
        </w:rPr>
        <w:t xml:space="preserve"> below.</w:t>
      </w:r>
    </w:p>
    <w:p w14:paraId="53675965" w14:textId="3472089C" w:rsidR="006F727B" w:rsidRPr="00744016" w:rsidRDefault="006F727B" w:rsidP="00744016">
      <w:pPr>
        <w:pStyle w:val="Caption"/>
        <w:keepNext/>
        <w:spacing w:after="120"/>
        <w:rPr>
          <w:rFonts w:ascii="Calibri" w:eastAsia="Times New Roman" w:hAnsi="Calibri" w:cs="Times New Roman"/>
          <w:b/>
          <w:bCs/>
          <w:i w:val="0"/>
          <w:iCs w:val="0"/>
          <w:color w:val="auto"/>
          <w:sz w:val="24"/>
        </w:rPr>
      </w:pPr>
      <w:bookmarkStart w:id="207" w:name="_Ref152334552"/>
      <w:bookmarkStart w:id="208" w:name="_Toc162535451"/>
      <w:r w:rsidRPr="00744016">
        <w:rPr>
          <w:rFonts w:ascii="Calibri" w:eastAsia="Times New Roman" w:hAnsi="Calibri" w:cs="Times New Roman"/>
          <w:b/>
          <w:bCs/>
          <w:i w:val="0"/>
          <w:iCs w:val="0"/>
          <w:color w:val="auto"/>
          <w:sz w:val="24"/>
        </w:rPr>
        <w:t xml:space="preserve">Table </w:t>
      </w:r>
      <w:r w:rsidR="00722E7A" w:rsidRPr="00744016">
        <w:rPr>
          <w:rFonts w:ascii="Calibri" w:eastAsia="Times New Roman" w:hAnsi="Calibri" w:cs="Times New Roman"/>
          <w:b/>
          <w:bCs/>
          <w:i w:val="0"/>
          <w:iCs w:val="0"/>
          <w:color w:val="auto"/>
          <w:sz w:val="24"/>
        </w:rPr>
        <w:fldChar w:fldCharType="begin"/>
      </w:r>
      <w:r w:rsidR="00722E7A" w:rsidRPr="00744016">
        <w:rPr>
          <w:rFonts w:ascii="Calibri" w:eastAsia="Times New Roman" w:hAnsi="Calibri" w:cs="Times New Roman"/>
          <w:b/>
          <w:bCs/>
          <w:i w:val="0"/>
          <w:iCs w:val="0"/>
          <w:color w:val="auto"/>
          <w:sz w:val="24"/>
        </w:rPr>
        <w:instrText xml:space="preserve"> SEQ Table \* ARABIC </w:instrText>
      </w:r>
      <w:r w:rsidR="00722E7A"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15</w:t>
      </w:r>
      <w:r w:rsidR="00722E7A" w:rsidRPr="00744016">
        <w:rPr>
          <w:rFonts w:ascii="Calibri" w:eastAsia="Times New Roman" w:hAnsi="Calibri" w:cs="Times New Roman"/>
          <w:b/>
          <w:bCs/>
          <w:i w:val="0"/>
          <w:iCs w:val="0"/>
          <w:color w:val="auto"/>
          <w:sz w:val="24"/>
        </w:rPr>
        <w:fldChar w:fldCharType="end"/>
      </w:r>
      <w:bookmarkEnd w:id="207"/>
      <w:r w:rsidRPr="00744016">
        <w:rPr>
          <w:rFonts w:ascii="Calibri" w:eastAsia="Times New Roman" w:hAnsi="Calibri" w:cs="Times New Roman"/>
          <w:b/>
          <w:bCs/>
          <w:i w:val="0"/>
          <w:iCs w:val="0"/>
          <w:color w:val="auto"/>
          <w:sz w:val="24"/>
        </w:rPr>
        <w:t xml:space="preserve">: Start Rating </w:t>
      </w:r>
      <w:proofErr w:type="spellStart"/>
      <w:r w:rsidRPr="00744016">
        <w:rPr>
          <w:rFonts w:ascii="Calibri" w:eastAsia="Times New Roman" w:hAnsi="Calibri" w:cs="Times New Roman"/>
          <w:b/>
          <w:bCs/>
          <w:i w:val="0"/>
          <w:iCs w:val="0"/>
          <w:color w:val="auto"/>
          <w:sz w:val="24"/>
        </w:rPr>
        <w:t>MEPS</w:t>
      </w:r>
      <w:proofErr w:type="spellEnd"/>
      <w:r w:rsidRPr="00744016">
        <w:rPr>
          <w:rFonts w:ascii="Calibri" w:eastAsia="Times New Roman" w:hAnsi="Calibri" w:cs="Times New Roman"/>
          <w:b/>
          <w:bCs/>
          <w:i w:val="0"/>
          <w:iCs w:val="0"/>
          <w:color w:val="auto"/>
          <w:sz w:val="24"/>
        </w:rPr>
        <w:t xml:space="preserve"> for </w:t>
      </w:r>
      <w:proofErr w:type="gramStart"/>
      <w:r w:rsidRPr="00744016">
        <w:rPr>
          <w:rFonts w:ascii="Calibri" w:eastAsia="Times New Roman" w:hAnsi="Calibri" w:cs="Times New Roman"/>
          <w:b/>
          <w:bCs/>
          <w:i w:val="0"/>
          <w:iCs w:val="0"/>
          <w:color w:val="auto"/>
          <w:sz w:val="24"/>
        </w:rPr>
        <w:t>offices</w:t>
      </w:r>
      <w:bookmarkEnd w:id="208"/>
      <w:proofErr w:type="gramEnd"/>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5"/>
      </w:tblGrid>
      <w:tr w:rsidR="006F727B" w14:paraId="57967354" w14:textId="77777777" w:rsidTr="00EA48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2BB522B7"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Design element</w:t>
            </w:r>
          </w:p>
        </w:tc>
        <w:tc>
          <w:tcPr>
            <w:tcW w:w="7505" w:type="dxa"/>
          </w:tcPr>
          <w:p w14:paraId="5F017FF3" w14:textId="77777777" w:rsidR="006F727B" w:rsidRPr="00E63900" w:rsidRDefault="006F727B">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Description</w:t>
            </w:r>
          </w:p>
        </w:tc>
      </w:tr>
      <w:tr w:rsidR="006F727B" w14:paraId="0BFDC03E"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D3467E"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Coverage and exemptions</w:t>
            </w:r>
          </w:p>
        </w:tc>
        <w:tc>
          <w:tcPr>
            <w:tcW w:w="7505" w:type="dxa"/>
          </w:tcPr>
          <w:p w14:paraId="6144159B" w14:textId="667A73EE" w:rsidR="00667543" w:rsidRPr="00E63900" w:rsidRDefault="00DB00A6" w:rsidP="0066754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Policy would cover all </w:t>
            </w:r>
            <w:r w:rsidR="00A83546" w:rsidRPr="00E63900">
              <w:rPr>
                <w:rFonts w:asciiTheme="minorHAnsi" w:hAnsiTheme="minorHAnsi" w:cstheme="minorHAnsi"/>
              </w:rPr>
              <w:t xml:space="preserve">office </w:t>
            </w:r>
            <w:r w:rsidRPr="00E63900">
              <w:rPr>
                <w:rFonts w:asciiTheme="minorHAnsi" w:hAnsiTheme="minorHAnsi" w:cstheme="minorHAnsi"/>
              </w:rPr>
              <w:t>buildings greater than 1</w:t>
            </w:r>
            <w:r w:rsidR="00CC18F2" w:rsidRPr="00E63900">
              <w:rPr>
                <w:rFonts w:asciiTheme="minorHAnsi" w:hAnsiTheme="minorHAnsi" w:cstheme="minorHAnsi"/>
              </w:rPr>
              <w:t>,</w:t>
            </w:r>
            <w:r w:rsidRPr="00E63900">
              <w:rPr>
                <w:rFonts w:asciiTheme="minorHAnsi" w:hAnsiTheme="minorHAnsi" w:cstheme="minorHAnsi"/>
              </w:rPr>
              <w:t>000m</w:t>
            </w:r>
            <w:r w:rsidRPr="00E63900">
              <w:rPr>
                <w:rFonts w:asciiTheme="minorHAnsi" w:hAnsiTheme="minorHAnsi" w:cstheme="minorHAnsi"/>
                <w:vertAlign w:val="superscript"/>
              </w:rPr>
              <w:t>2</w:t>
            </w:r>
            <w:r w:rsidRPr="00E63900">
              <w:rPr>
                <w:rFonts w:asciiTheme="minorHAnsi" w:hAnsiTheme="minorHAnsi" w:cstheme="minorHAnsi"/>
              </w:rPr>
              <w:t>.</w:t>
            </w:r>
            <w:r w:rsidR="00C86BEF" w:rsidRPr="00E63900">
              <w:rPr>
                <w:rFonts w:asciiTheme="minorHAnsi" w:hAnsiTheme="minorHAnsi" w:cstheme="minorHAnsi"/>
              </w:rPr>
              <w:t xml:space="preserve"> </w:t>
            </w:r>
            <w:r w:rsidR="00667543" w:rsidRPr="00E63900">
              <w:rPr>
                <w:rFonts w:asciiTheme="minorHAnsi" w:hAnsiTheme="minorHAnsi" w:cstheme="minorHAnsi"/>
              </w:rPr>
              <w:t xml:space="preserve">Buildings will need to meet the </w:t>
            </w:r>
            <w:r w:rsidR="00F62B75" w:rsidRPr="00E63900">
              <w:rPr>
                <w:rFonts w:asciiTheme="minorHAnsi" w:hAnsiTheme="minorHAnsi" w:cstheme="minorHAnsi"/>
              </w:rPr>
              <w:t>4</w:t>
            </w:r>
            <w:r w:rsidR="0071747B" w:rsidRPr="00E63900">
              <w:rPr>
                <w:rFonts w:asciiTheme="minorHAnsi" w:hAnsiTheme="minorHAnsi" w:cstheme="minorHAnsi"/>
              </w:rPr>
              <w:t>-</w:t>
            </w:r>
            <w:r w:rsidR="00F62B75" w:rsidRPr="00E63900">
              <w:rPr>
                <w:rFonts w:asciiTheme="minorHAnsi" w:hAnsiTheme="minorHAnsi" w:cstheme="minorHAnsi"/>
              </w:rPr>
              <w:t>star</w:t>
            </w:r>
            <w:r w:rsidR="0071747B" w:rsidRPr="00E63900">
              <w:rPr>
                <w:rFonts w:asciiTheme="minorHAnsi" w:hAnsiTheme="minorHAnsi" w:cstheme="minorHAnsi"/>
              </w:rPr>
              <w:t xml:space="preserve"> NABERS</w:t>
            </w:r>
            <w:r w:rsidR="00F62B75" w:rsidRPr="00E63900">
              <w:rPr>
                <w:rFonts w:asciiTheme="minorHAnsi" w:hAnsiTheme="minorHAnsi" w:cstheme="minorHAnsi"/>
              </w:rPr>
              <w:t xml:space="preserve"> rating by </w:t>
            </w:r>
            <w:r w:rsidR="00845DD5" w:rsidRPr="00E63900">
              <w:rPr>
                <w:rFonts w:asciiTheme="minorHAnsi" w:hAnsiTheme="minorHAnsi" w:cstheme="minorHAnsi"/>
              </w:rPr>
              <w:t>2030 and</w:t>
            </w:r>
            <w:r w:rsidR="00F62B75" w:rsidRPr="00E63900">
              <w:rPr>
                <w:rFonts w:asciiTheme="minorHAnsi" w:hAnsiTheme="minorHAnsi" w:cstheme="minorHAnsi"/>
              </w:rPr>
              <w:t xml:space="preserve"> </w:t>
            </w:r>
            <w:r w:rsidR="00845DD5" w:rsidRPr="00E63900">
              <w:rPr>
                <w:rFonts w:asciiTheme="minorHAnsi" w:hAnsiTheme="minorHAnsi" w:cstheme="minorHAnsi"/>
              </w:rPr>
              <w:t>a 5-star rating by 2032. This would apply to all buildings regardless of</w:t>
            </w:r>
            <w:r w:rsidR="000868A3" w:rsidRPr="00E63900">
              <w:rPr>
                <w:rFonts w:asciiTheme="minorHAnsi" w:hAnsiTheme="minorHAnsi" w:cstheme="minorHAnsi"/>
              </w:rPr>
              <w:t xml:space="preserve"> the ownership structure</w:t>
            </w:r>
            <w:r w:rsidR="00471547" w:rsidRPr="00E63900">
              <w:rPr>
                <w:rFonts w:asciiTheme="minorHAnsi" w:hAnsiTheme="minorHAnsi" w:cstheme="minorHAnsi"/>
              </w:rPr>
              <w:t xml:space="preserve"> (varying from the current CBD program that excludes owner occupied, partnerships and trust owned buildings).</w:t>
            </w:r>
          </w:p>
        </w:tc>
      </w:tr>
      <w:tr w:rsidR="006F727B" w14:paraId="4617D35A"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20C4B157"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Reporting</w:t>
            </w:r>
          </w:p>
        </w:tc>
        <w:tc>
          <w:tcPr>
            <w:tcW w:w="7505" w:type="dxa"/>
          </w:tcPr>
          <w:p w14:paraId="34D40D87" w14:textId="5ACD8D87" w:rsidR="006F727B" w:rsidRPr="00E63900" w:rsidRDefault="00C444D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Buildings under the scheme would be required to </w:t>
            </w:r>
            <w:r w:rsidR="009F0519" w:rsidRPr="00E63900">
              <w:rPr>
                <w:rFonts w:asciiTheme="minorHAnsi" w:hAnsiTheme="minorHAnsi" w:cstheme="minorHAnsi"/>
              </w:rPr>
              <w:t>report on</w:t>
            </w:r>
            <w:r w:rsidR="00650350" w:rsidRPr="00E63900">
              <w:rPr>
                <w:rFonts w:asciiTheme="minorHAnsi" w:hAnsiTheme="minorHAnsi" w:cstheme="minorHAnsi"/>
              </w:rPr>
              <w:t xml:space="preserve"> evidence of compliance with the </w:t>
            </w:r>
            <w:proofErr w:type="spellStart"/>
            <w:r w:rsidR="00650350" w:rsidRPr="00E63900">
              <w:rPr>
                <w:rFonts w:asciiTheme="minorHAnsi" w:hAnsiTheme="minorHAnsi" w:cstheme="minorHAnsi"/>
              </w:rPr>
              <w:t>ME</w:t>
            </w:r>
            <w:r w:rsidR="00BD274E" w:rsidRPr="00E63900">
              <w:rPr>
                <w:rFonts w:asciiTheme="minorHAnsi" w:hAnsiTheme="minorHAnsi" w:cstheme="minorHAnsi"/>
              </w:rPr>
              <w:t>PS</w:t>
            </w:r>
            <w:proofErr w:type="spellEnd"/>
            <w:r w:rsidR="00BD274E" w:rsidRPr="00E63900">
              <w:rPr>
                <w:rFonts w:asciiTheme="minorHAnsi" w:hAnsiTheme="minorHAnsi" w:cstheme="minorHAnsi"/>
              </w:rPr>
              <w:t xml:space="preserve"> rating</w:t>
            </w:r>
            <w:r w:rsidR="003920A9" w:rsidRPr="00E63900">
              <w:rPr>
                <w:rFonts w:asciiTheme="minorHAnsi" w:hAnsiTheme="minorHAnsi" w:cstheme="minorHAnsi"/>
              </w:rPr>
              <w:t xml:space="preserve"> by the key </w:t>
            </w:r>
            <w:r w:rsidR="00F44A97" w:rsidRPr="00E63900">
              <w:rPr>
                <w:rFonts w:asciiTheme="minorHAnsi" w:hAnsiTheme="minorHAnsi" w:cstheme="minorHAnsi"/>
              </w:rPr>
              <w:t>dates of 2030 and 2032</w:t>
            </w:r>
            <w:r w:rsidR="009F0519" w:rsidRPr="00E63900">
              <w:rPr>
                <w:rFonts w:asciiTheme="minorHAnsi" w:hAnsiTheme="minorHAnsi" w:cstheme="minorHAnsi"/>
              </w:rPr>
              <w:t>.</w:t>
            </w:r>
          </w:p>
        </w:tc>
      </w:tr>
      <w:tr w:rsidR="006F727B" w14:paraId="0785AFD2"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B13FF56"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Compliance</w:t>
            </w:r>
          </w:p>
        </w:tc>
        <w:tc>
          <w:tcPr>
            <w:tcW w:w="7505" w:type="dxa"/>
          </w:tcPr>
          <w:p w14:paraId="69373F56" w14:textId="0C978184" w:rsidR="006F727B" w:rsidRPr="00E63900" w:rsidRDefault="005E3A9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N</w:t>
            </w:r>
            <w:r w:rsidR="006F1832" w:rsidRPr="00E63900">
              <w:rPr>
                <w:rFonts w:asciiTheme="minorHAnsi" w:hAnsiTheme="minorHAnsi" w:cstheme="minorHAnsi"/>
              </w:rPr>
              <w:t xml:space="preserve">ew </w:t>
            </w:r>
            <w:r w:rsidR="00A66850" w:rsidRPr="00E63900">
              <w:rPr>
                <w:rFonts w:asciiTheme="minorHAnsi" w:hAnsiTheme="minorHAnsi" w:cstheme="minorHAnsi"/>
              </w:rPr>
              <w:t xml:space="preserve">system and reporting </w:t>
            </w:r>
            <w:r w:rsidR="00714A89" w:rsidRPr="00E63900">
              <w:rPr>
                <w:rFonts w:asciiTheme="minorHAnsi" w:hAnsiTheme="minorHAnsi" w:cstheme="minorHAnsi"/>
              </w:rPr>
              <w:t>information</w:t>
            </w:r>
            <w:r w:rsidRPr="00E63900">
              <w:rPr>
                <w:rFonts w:asciiTheme="minorHAnsi" w:hAnsiTheme="minorHAnsi" w:cstheme="minorHAnsi"/>
              </w:rPr>
              <w:t xml:space="preserve"> would be set up</w:t>
            </w:r>
            <w:r w:rsidR="00BE4C6B" w:rsidRPr="00E63900">
              <w:rPr>
                <w:rFonts w:asciiTheme="minorHAnsi" w:hAnsiTheme="minorHAnsi" w:cstheme="minorHAnsi"/>
              </w:rPr>
              <w:t xml:space="preserve"> for compliance</w:t>
            </w:r>
            <w:r w:rsidR="000D7A86" w:rsidRPr="00E63900">
              <w:rPr>
                <w:rFonts w:asciiTheme="minorHAnsi" w:hAnsiTheme="minorHAnsi" w:cstheme="minorHAnsi"/>
              </w:rPr>
              <w:t xml:space="preserve"> assessments</w:t>
            </w:r>
            <w:r w:rsidR="0085415F" w:rsidRPr="00E63900">
              <w:rPr>
                <w:rFonts w:asciiTheme="minorHAnsi" w:hAnsiTheme="minorHAnsi" w:cstheme="minorHAnsi"/>
              </w:rPr>
              <w:t xml:space="preserve"> using additional resourcing</w:t>
            </w:r>
            <w:r w:rsidR="006F727B" w:rsidRPr="00E63900">
              <w:rPr>
                <w:rFonts w:asciiTheme="minorHAnsi" w:hAnsiTheme="minorHAnsi" w:cstheme="minorHAnsi"/>
              </w:rPr>
              <w:t>.</w:t>
            </w:r>
          </w:p>
        </w:tc>
      </w:tr>
      <w:tr w:rsidR="006F727B" w14:paraId="02C28E98"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2EB6BC25"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Display of rating</w:t>
            </w:r>
          </w:p>
        </w:tc>
        <w:tc>
          <w:tcPr>
            <w:tcW w:w="7505" w:type="dxa"/>
          </w:tcPr>
          <w:p w14:paraId="335C9B67" w14:textId="7A9424A9" w:rsidR="006F727B" w:rsidRPr="00E63900" w:rsidRDefault="009F051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No display of ratings would be required.</w:t>
            </w:r>
          </w:p>
        </w:tc>
      </w:tr>
    </w:tbl>
    <w:p w14:paraId="22D3CD5D" w14:textId="327A2315" w:rsidR="00F852DD" w:rsidRPr="00E63900" w:rsidRDefault="00F852DD" w:rsidP="00C95B3A">
      <w:pPr>
        <w:pStyle w:val="BodyText"/>
        <w:rPr>
          <w:rFonts w:asciiTheme="minorHAnsi" w:hAnsiTheme="minorHAnsi" w:cstheme="minorHAnsi"/>
        </w:rPr>
      </w:pPr>
    </w:p>
    <w:p w14:paraId="12A09C3F" w14:textId="2A1A7555" w:rsidR="00F852DD" w:rsidRPr="00E63900" w:rsidRDefault="00F852DD" w:rsidP="00F852DD">
      <w:pPr>
        <w:pStyle w:val="Heading3"/>
        <w:rPr>
          <w:rFonts w:asciiTheme="minorHAnsi" w:hAnsiTheme="minorHAnsi" w:cstheme="minorHAnsi"/>
        </w:rPr>
      </w:pPr>
      <w:r w:rsidRPr="00E63900">
        <w:rPr>
          <w:rFonts w:asciiTheme="minorHAnsi" w:hAnsiTheme="minorHAnsi" w:cstheme="minorHAnsi"/>
        </w:rPr>
        <w:t>Option 5: Scope 1 disclosure</w:t>
      </w:r>
    </w:p>
    <w:p w14:paraId="541403C9" w14:textId="552A0684" w:rsidR="00F852DD" w:rsidRPr="00E63900" w:rsidRDefault="00A948D6" w:rsidP="00C95B3A">
      <w:pPr>
        <w:pStyle w:val="BodyText"/>
        <w:rPr>
          <w:rFonts w:asciiTheme="minorHAnsi" w:hAnsiTheme="minorHAnsi" w:cstheme="minorHAnsi"/>
        </w:rPr>
      </w:pPr>
      <w:r w:rsidRPr="00E63900">
        <w:rPr>
          <w:rFonts w:asciiTheme="minorHAnsi" w:hAnsiTheme="minorHAnsi" w:cstheme="minorHAnsi"/>
        </w:rPr>
        <w:t xml:space="preserve">The fifth option </w:t>
      </w:r>
      <w:r w:rsidR="00DA7A19" w:rsidRPr="00E63900">
        <w:rPr>
          <w:rFonts w:asciiTheme="minorHAnsi" w:hAnsiTheme="minorHAnsi" w:cstheme="minorHAnsi"/>
        </w:rPr>
        <w:t xml:space="preserve">is a minor amendment to the current </w:t>
      </w:r>
      <w:r w:rsidR="00A47396" w:rsidRPr="00E63900">
        <w:rPr>
          <w:rFonts w:asciiTheme="minorHAnsi" w:hAnsiTheme="minorHAnsi" w:cstheme="minorHAnsi"/>
        </w:rPr>
        <w:t xml:space="preserve">CBD policy, requiring office buildings that are covered under the scheme to </w:t>
      </w:r>
      <w:r w:rsidR="00183674" w:rsidRPr="00E63900">
        <w:rPr>
          <w:rFonts w:asciiTheme="minorHAnsi" w:hAnsiTheme="minorHAnsi" w:cstheme="minorHAnsi"/>
        </w:rPr>
        <w:t xml:space="preserve">disclose itemised scope 1 and 2 emissions on their NABERS ratings in addition to other current data points. </w:t>
      </w:r>
      <w:r w:rsidR="00B55DCB" w:rsidRPr="00E63900">
        <w:rPr>
          <w:rFonts w:asciiTheme="minorHAnsi" w:hAnsiTheme="minorHAnsi" w:cstheme="minorHAnsi"/>
        </w:rPr>
        <w:t>As part of the disclosure building owners would also be required to include refrigerant type GHG emissions.</w:t>
      </w:r>
      <w:r w:rsidR="00B22E3A" w:rsidRPr="00E63900">
        <w:rPr>
          <w:rFonts w:asciiTheme="minorHAnsi" w:hAnsiTheme="minorHAnsi" w:cstheme="minorHAnsi"/>
        </w:rPr>
        <w:t xml:space="preserve"> </w:t>
      </w:r>
      <w:r w:rsidR="00BE1FB0" w:rsidRPr="00E63900">
        <w:rPr>
          <w:rFonts w:asciiTheme="minorHAnsi" w:hAnsiTheme="minorHAnsi" w:cstheme="minorHAnsi"/>
        </w:rPr>
        <w:t>R</w:t>
      </w:r>
      <w:r w:rsidR="00B22E3A" w:rsidRPr="00E63900">
        <w:rPr>
          <w:rFonts w:asciiTheme="minorHAnsi" w:hAnsiTheme="minorHAnsi" w:cstheme="minorHAnsi"/>
        </w:rPr>
        <w:t xml:space="preserve">eporting on refrigerants </w:t>
      </w:r>
      <w:r w:rsidR="00E549D5" w:rsidRPr="00E63900">
        <w:rPr>
          <w:rFonts w:asciiTheme="minorHAnsi" w:hAnsiTheme="minorHAnsi" w:cstheme="minorHAnsi"/>
        </w:rPr>
        <w:t>would increase awareness of refrigerant emissions and promote uptake of natural refrigerants</w:t>
      </w:r>
      <w:r w:rsidR="00D251E1" w:rsidRPr="00E63900">
        <w:rPr>
          <w:rFonts w:asciiTheme="minorHAnsi" w:hAnsiTheme="minorHAnsi" w:cstheme="minorHAnsi"/>
        </w:rPr>
        <w:t xml:space="preserve"> whilst </w:t>
      </w:r>
      <w:r w:rsidR="00F338CD" w:rsidRPr="00E63900">
        <w:rPr>
          <w:rFonts w:asciiTheme="minorHAnsi" w:hAnsiTheme="minorHAnsi" w:cstheme="minorHAnsi"/>
        </w:rPr>
        <w:t xml:space="preserve">meeting </w:t>
      </w:r>
      <w:r w:rsidR="00F338CD" w:rsidRPr="00E63900">
        <w:rPr>
          <w:rFonts w:asciiTheme="minorHAnsi" w:hAnsiTheme="minorHAnsi" w:cstheme="minorHAnsi"/>
        </w:rPr>
        <w:lastRenderedPageBreak/>
        <w:t xml:space="preserve">disclosure requirements for scope 1 and 2 emissions. </w:t>
      </w:r>
      <w:r w:rsidR="005E6F41">
        <w:rPr>
          <w:rFonts w:asciiTheme="minorHAnsi" w:hAnsiTheme="minorHAnsi" w:cstheme="minorHAnsi"/>
        </w:rPr>
        <w:t xml:space="preserve">Scope 1 disclosure would encourage </w:t>
      </w:r>
      <w:r w:rsidR="00122921">
        <w:rPr>
          <w:rFonts w:asciiTheme="minorHAnsi" w:hAnsiTheme="minorHAnsi" w:cstheme="minorHAnsi"/>
        </w:rPr>
        <w:t>the electrification of buildings and aligns with the Montreal Protocol</w:t>
      </w:r>
      <w:r w:rsidR="00EE36E3">
        <w:rPr>
          <w:rFonts w:ascii="ZWAdobeF" w:hAnsi="ZWAdobeF" w:cs="ZWAdobeF"/>
          <w:color w:val="auto"/>
          <w:sz w:val="2"/>
          <w:szCs w:val="2"/>
        </w:rPr>
        <w:t>153F</w:t>
      </w:r>
      <w:r w:rsidR="00122C48">
        <w:rPr>
          <w:rFonts w:ascii="ZWAdobeF" w:hAnsi="ZWAdobeF" w:cs="ZWAdobeF"/>
          <w:color w:val="auto"/>
          <w:sz w:val="2"/>
          <w:szCs w:val="2"/>
        </w:rPr>
        <w:t>153F</w:t>
      </w:r>
      <w:r w:rsidR="00F73A23">
        <w:rPr>
          <w:rFonts w:ascii="ZWAdobeF" w:hAnsi="ZWAdobeF" w:cs="ZWAdobeF"/>
          <w:color w:val="auto"/>
          <w:sz w:val="2"/>
          <w:szCs w:val="2"/>
        </w:rPr>
        <w:t>153F</w:t>
      </w:r>
      <w:r w:rsidR="00626378">
        <w:rPr>
          <w:rFonts w:ascii="ZWAdobeF" w:hAnsi="ZWAdobeF" w:cs="ZWAdobeF"/>
          <w:color w:val="auto"/>
          <w:sz w:val="2"/>
          <w:szCs w:val="2"/>
        </w:rPr>
        <w:t>153F</w:t>
      </w:r>
      <w:r w:rsidR="00413811">
        <w:rPr>
          <w:rFonts w:ascii="ZWAdobeF" w:hAnsi="ZWAdobeF" w:cs="ZWAdobeF"/>
          <w:color w:val="auto"/>
          <w:sz w:val="2"/>
          <w:szCs w:val="2"/>
        </w:rPr>
        <w:t>153F</w:t>
      </w:r>
      <w:r w:rsidR="002C327C">
        <w:rPr>
          <w:rFonts w:ascii="ZWAdobeF" w:hAnsi="ZWAdobeF" w:cs="ZWAdobeF"/>
          <w:color w:val="auto"/>
          <w:sz w:val="2"/>
          <w:szCs w:val="2"/>
        </w:rPr>
        <w:t>153F</w:t>
      </w:r>
      <w:r w:rsidR="00D24A06">
        <w:rPr>
          <w:rFonts w:ascii="ZWAdobeF" w:hAnsi="ZWAdobeF" w:cs="ZWAdobeF"/>
          <w:color w:val="auto"/>
          <w:sz w:val="2"/>
          <w:szCs w:val="2"/>
        </w:rPr>
        <w:t>153F</w:t>
      </w:r>
      <w:r w:rsidR="003402A7">
        <w:rPr>
          <w:rStyle w:val="FootnoteReference"/>
          <w:rFonts w:asciiTheme="minorHAnsi" w:hAnsiTheme="minorHAnsi" w:cstheme="minorHAnsi"/>
        </w:rPr>
        <w:footnoteReference w:id="155"/>
      </w:r>
      <w:r w:rsidR="005965C9">
        <w:rPr>
          <w:rFonts w:asciiTheme="minorHAnsi" w:hAnsiTheme="minorHAnsi" w:cstheme="minorHAnsi"/>
        </w:rPr>
        <w:t>.</w:t>
      </w:r>
      <w:r w:rsidR="00122921">
        <w:rPr>
          <w:rFonts w:asciiTheme="minorHAnsi" w:hAnsiTheme="minorHAnsi" w:cstheme="minorHAnsi"/>
        </w:rPr>
        <w:t xml:space="preserve"> </w:t>
      </w:r>
    </w:p>
    <w:p w14:paraId="4460009B" w14:textId="2CC0EDB8" w:rsidR="00EF17A1" w:rsidRPr="00E63900" w:rsidRDefault="00EF17A1" w:rsidP="00EF17A1">
      <w:pPr>
        <w:pStyle w:val="BodyText"/>
        <w:rPr>
          <w:rFonts w:asciiTheme="minorHAnsi" w:hAnsiTheme="minorHAnsi" w:cstheme="minorHAnsi"/>
        </w:rPr>
      </w:pPr>
      <w:r w:rsidRPr="00E63900">
        <w:rPr>
          <w:rFonts w:asciiTheme="minorHAnsi" w:hAnsiTheme="minorHAnsi" w:cstheme="minorHAnsi"/>
        </w:rPr>
        <w:t xml:space="preserve">Specifics of the policy are outlined in </w:t>
      </w:r>
      <w:r w:rsidR="00F8382E">
        <w:rPr>
          <w:rFonts w:asciiTheme="minorHAnsi" w:hAnsiTheme="minorHAnsi" w:cstheme="minorHAnsi"/>
        </w:rPr>
        <w:fldChar w:fldCharType="begin" w:fldLock="1"/>
      </w:r>
      <w:r w:rsidR="00F8382E">
        <w:rPr>
          <w:rFonts w:asciiTheme="minorHAnsi" w:hAnsiTheme="minorHAnsi" w:cstheme="minorHAnsi"/>
        </w:rPr>
        <w:instrText xml:space="preserve"> REF _Ref152334588 \h  \* MERGEFORMAT </w:instrText>
      </w:r>
      <w:r w:rsidR="00F8382E">
        <w:rPr>
          <w:rFonts w:asciiTheme="minorHAnsi" w:hAnsiTheme="minorHAnsi" w:cstheme="minorHAnsi"/>
        </w:rPr>
      </w:r>
      <w:r w:rsidR="00F8382E">
        <w:rPr>
          <w:rFonts w:asciiTheme="minorHAnsi" w:hAnsiTheme="minorHAnsi" w:cstheme="minorHAnsi"/>
        </w:rPr>
        <w:fldChar w:fldCharType="separate"/>
      </w:r>
      <w:r w:rsidR="00F8382E" w:rsidRPr="00F8382E">
        <w:rPr>
          <w:rFonts w:asciiTheme="minorHAnsi" w:hAnsiTheme="minorHAnsi" w:cstheme="minorHAnsi"/>
        </w:rPr>
        <w:t>Table 16</w:t>
      </w:r>
      <w:r w:rsidR="00F8382E">
        <w:rPr>
          <w:rFonts w:asciiTheme="minorHAnsi" w:hAnsiTheme="minorHAnsi" w:cstheme="minorHAnsi"/>
        </w:rPr>
        <w:fldChar w:fldCharType="end"/>
      </w:r>
      <w:r w:rsidRPr="00E63900">
        <w:rPr>
          <w:rFonts w:asciiTheme="minorHAnsi" w:hAnsiTheme="minorHAnsi" w:cstheme="minorHAnsi"/>
        </w:rPr>
        <w:t xml:space="preserve"> below.</w:t>
      </w:r>
    </w:p>
    <w:p w14:paraId="410D34DE" w14:textId="3B420840" w:rsidR="006F727B" w:rsidRPr="00744016" w:rsidRDefault="006F727B" w:rsidP="00744016">
      <w:pPr>
        <w:pStyle w:val="Caption"/>
        <w:keepNext/>
        <w:spacing w:after="120"/>
        <w:rPr>
          <w:rFonts w:ascii="Calibri" w:eastAsia="Times New Roman" w:hAnsi="Calibri" w:cs="Times New Roman"/>
          <w:b/>
          <w:bCs/>
          <w:i w:val="0"/>
          <w:iCs w:val="0"/>
          <w:color w:val="auto"/>
          <w:sz w:val="24"/>
        </w:rPr>
      </w:pPr>
      <w:bookmarkStart w:id="209" w:name="_Ref152334588"/>
      <w:bookmarkStart w:id="210" w:name="_Toc162535452"/>
      <w:r w:rsidRPr="00744016">
        <w:rPr>
          <w:rFonts w:ascii="Calibri" w:eastAsia="Times New Roman" w:hAnsi="Calibri" w:cs="Times New Roman"/>
          <w:b/>
          <w:bCs/>
          <w:i w:val="0"/>
          <w:iCs w:val="0"/>
          <w:color w:val="auto"/>
          <w:sz w:val="24"/>
        </w:rPr>
        <w:t xml:space="preserve">Table </w:t>
      </w:r>
      <w:r w:rsidR="00722E7A" w:rsidRPr="00744016">
        <w:rPr>
          <w:rFonts w:ascii="Calibri" w:eastAsia="Times New Roman" w:hAnsi="Calibri" w:cs="Times New Roman"/>
          <w:b/>
          <w:bCs/>
          <w:i w:val="0"/>
          <w:iCs w:val="0"/>
          <w:color w:val="auto"/>
          <w:sz w:val="24"/>
        </w:rPr>
        <w:fldChar w:fldCharType="begin"/>
      </w:r>
      <w:r w:rsidR="00722E7A" w:rsidRPr="00744016">
        <w:rPr>
          <w:rFonts w:ascii="Calibri" w:eastAsia="Times New Roman" w:hAnsi="Calibri" w:cs="Times New Roman"/>
          <w:b/>
          <w:bCs/>
          <w:i w:val="0"/>
          <w:iCs w:val="0"/>
          <w:color w:val="auto"/>
          <w:sz w:val="24"/>
        </w:rPr>
        <w:instrText xml:space="preserve"> SEQ Table \* ARABIC </w:instrText>
      </w:r>
      <w:r w:rsidR="00722E7A"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16</w:t>
      </w:r>
      <w:r w:rsidR="00722E7A" w:rsidRPr="00744016">
        <w:rPr>
          <w:rFonts w:ascii="Calibri" w:eastAsia="Times New Roman" w:hAnsi="Calibri" w:cs="Times New Roman"/>
          <w:b/>
          <w:bCs/>
          <w:i w:val="0"/>
          <w:iCs w:val="0"/>
          <w:color w:val="auto"/>
          <w:sz w:val="24"/>
        </w:rPr>
        <w:fldChar w:fldCharType="end"/>
      </w:r>
      <w:bookmarkEnd w:id="209"/>
      <w:r w:rsidRPr="00744016">
        <w:rPr>
          <w:rFonts w:ascii="Calibri" w:eastAsia="Times New Roman" w:hAnsi="Calibri" w:cs="Times New Roman"/>
          <w:b/>
          <w:bCs/>
          <w:i w:val="0"/>
          <w:iCs w:val="0"/>
          <w:color w:val="auto"/>
          <w:sz w:val="24"/>
        </w:rPr>
        <w:t>: Scope 1 disclosure</w:t>
      </w:r>
      <w:bookmarkEnd w:id="210"/>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5"/>
      </w:tblGrid>
      <w:tr w:rsidR="009F2998" w14:paraId="19C733D9" w14:textId="77777777" w:rsidTr="00EA48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32A267A8"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Design element</w:t>
            </w:r>
          </w:p>
        </w:tc>
        <w:tc>
          <w:tcPr>
            <w:tcW w:w="7505" w:type="dxa"/>
          </w:tcPr>
          <w:p w14:paraId="1B6F5972" w14:textId="77777777" w:rsidR="006F727B" w:rsidRPr="00E63900" w:rsidRDefault="006F727B">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Description</w:t>
            </w:r>
          </w:p>
        </w:tc>
      </w:tr>
      <w:tr w:rsidR="009F2998" w14:paraId="7FAEBC76"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1CBF9C"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Coverage and exemptions</w:t>
            </w:r>
          </w:p>
        </w:tc>
        <w:tc>
          <w:tcPr>
            <w:tcW w:w="7505" w:type="dxa"/>
          </w:tcPr>
          <w:p w14:paraId="0BEF8ADB" w14:textId="4E6F477B" w:rsidR="006F727B" w:rsidRPr="00E63900" w:rsidRDefault="00C15D4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Policy would </w:t>
            </w:r>
            <w:r w:rsidR="00CA2953" w:rsidRPr="00E63900">
              <w:rPr>
                <w:rFonts w:asciiTheme="minorHAnsi" w:hAnsiTheme="minorHAnsi" w:cstheme="minorHAnsi"/>
              </w:rPr>
              <w:t xml:space="preserve">be in line with the current program and </w:t>
            </w:r>
            <w:r w:rsidRPr="00E63900">
              <w:rPr>
                <w:rFonts w:asciiTheme="minorHAnsi" w:hAnsiTheme="minorHAnsi" w:cstheme="minorHAnsi"/>
              </w:rPr>
              <w:t xml:space="preserve">cover all office buildings greater than </w:t>
            </w:r>
            <w:r w:rsidR="005E1AB4" w:rsidRPr="00E63900">
              <w:rPr>
                <w:rFonts w:asciiTheme="minorHAnsi" w:hAnsiTheme="minorHAnsi" w:cstheme="minorHAnsi"/>
              </w:rPr>
              <w:t>1</w:t>
            </w:r>
            <w:r w:rsidR="00983CA7" w:rsidRPr="00E63900">
              <w:rPr>
                <w:rFonts w:asciiTheme="minorHAnsi" w:hAnsiTheme="minorHAnsi" w:cstheme="minorHAnsi"/>
              </w:rPr>
              <w:t>,</w:t>
            </w:r>
            <w:r w:rsidR="005E1AB4" w:rsidRPr="00E63900">
              <w:rPr>
                <w:rFonts w:asciiTheme="minorHAnsi" w:hAnsiTheme="minorHAnsi" w:cstheme="minorHAnsi"/>
              </w:rPr>
              <w:t>000</w:t>
            </w:r>
            <w:r w:rsidRPr="00E63900">
              <w:rPr>
                <w:rFonts w:asciiTheme="minorHAnsi" w:hAnsiTheme="minorHAnsi" w:cstheme="minorHAnsi"/>
              </w:rPr>
              <w:t>m</w:t>
            </w:r>
            <w:r w:rsidRPr="00E63900">
              <w:rPr>
                <w:rFonts w:asciiTheme="minorHAnsi" w:hAnsiTheme="minorHAnsi" w:cstheme="minorHAnsi"/>
                <w:vertAlign w:val="superscript"/>
              </w:rPr>
              <w:t>2</w:t>
            </w:r>
            <w:r w:rsidRPr="00E63900">
              <w:rPr>
                <w:rFonts w:asciiTheme="minorHAnsi" w:hAnsiTheme="minorHAnsi" w:cstheme="minorHAnsi"/>
              </w:rPr>
              <w:t xml:space="preserve">. Exemptions would </w:t>
            </w:r>
            <w:r w:rsidR="00CA2953" w:rsidRPr="00E63900">
              <w:rPr>
                <w:rFonts w:asciiTheme="minorHAnsi" w:hAnsiTheme="minorHAnsi" w:cstheme="minorHAnsi"/>
              </w:rPr>
              <w:t xml:space="preserve">also </w:t>
            </w:r>
            <w:r w:rsidRPr="00E63900">
              <w:rPr>
                <w:rFonts w:asciiTheme="minorHAnsi" w:hAnsiTheme="minorHAnsi" w:cstheme="minorHAnsi"/>
              </w:rPr>
              <w:t>be in line with the current program and cover all non-office buildings.</w:t>
            </w:r>
            <w:r w:rsidR="005E1AB4" w:rsidRPr="00E63900">
              <w:rPr>
                <w:rFonts w:asciiTheme="minorHAnsi" w:hAnsiTheme="minorHAnsi" w:cstheme="minorHAnsi"/>
              </w:rPr>
              <w:t xml:space="preserve"> </w:t>
            </w:r>
          </w:p>
        </w:tc>
      </w:tr>
      <w:tr w:rsidR="00E81956" w14:paraId="0EC220D8"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6D80F0F4"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Reporting</w:t>
            </w:r>
          </w:p>
        </w:tc>
        <w:tc>
          <w:tcPr>
            <w:tcW w:w="7505" w:type="dxa"/>
          </w:tcPr>
          <w:p w14:paraId="06A8A4AC" w14:textId="71193B54" w:rsidR="006F727B" w:rsidRPr="00E63900" w:rsidRDefault="009F1DEB">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Reporting would occur as per the current CBD program.</w:t>
            </w:r>
          </w:p>
        </w:tc>
      </w:tr>
      <w:tr w:rsidR="009F2998" w14:paraId="03C0A482"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872C773"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Compliance</w:t>
            </w:r>
          </w:p>
        </w:tc>
        <w:tc>
          <w:tcPr>
            <w:tcW w:w="7505" w:type="dxa"/>
          </w:tcPr>
          <w:p w14:paraId="765A5D77" w14:textId="4F3943F9" w:rsidR="006F727B" w:rsidRPr="00E63900" w:rsidRDefault="009F1DE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Compliance would occur as per the current CBD program</w:t>
            </w:r>
            <w:r w:rsidR="00363E39" w:rsidRPr="00E63900">
              <w:rPr>
                <w:rFonts w:asciiTheme="minorHAnsi" w:hAnsiTheme="minorHAnsi" w:cstheme="minorHAnsi"/>
              </w:rPr>
              <w:t>.</w:t>
            </w:r>
          </w:p>
        </w:tc>
      </w:tr>
      <w:tr w:rsidR="00E81956" w14:paraId="39596C31"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1073AF86"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Display of rating</w:t>
            </w:r>
          </w:p>
        </w:tc>
        <w:tc>
          <w:tcPr>
            <w:tcW w:w="7505" w:type="dxa"/>
          </w:tcPr>
          <w:p w14:paraId="4121662C" w14:textId="3A1CD62D" w:rsidR="006F727B" w:rsidRPr="00E63900" w:rsidRDefault="009F1DEB">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The </w:t>
            </w:r>
            <w:r w:rsidR="003554DE" w:rsidRPr="00E63900">
              <w:rPr>
                <w:rFonts w:asciiTheme="minorHAnsi" w:hAnsiTheme="minorHAnsi" w:cstheme="minorHAnsi"/>
              </w:rPr>
              <w:t xml:space="preserve">detailed </w:t>
            </w:r>
            <w:r w:rsidR="007F0C5F" w:rsidRPr="00E63900">
              <w:rPr>
                <w:rFonts w:asciiTheme="minorHAnsi" w:hAnsiTheme="minorHAnsi" w:cstheme="minorHAnsi"/>
              </w:rPr>
              <w:t xml:space="preserve">breakdown of Scope 1 </w:t>
            </w:r>
            <w:r w:rsidR="000C4D0C" w:rsidRPr="00E63900">
              <w:rPr>
                <w:rFonts w:asciiTheme="minorHAnsi" w:hAnsiTheme="minorHAnsi" w:cstheme="minorHAnsi"/>
              </w:rPr>
              <w:t>emissions type</w:t>
            </w:r>
            <w:r w:rsidR="00AC62DF" w:rsidRPr="00E63900">
              <w:rPr>
                <w:rFonts w:asciiTheme="minorHAnsi" w:hAnsiTheme="minorHAnsi" w:cstheme="minorHAnsi"/>
              </w:rPr>
              <w:t xml:space="preserve"> would </w:t>
            </w:r>
            <w:r w:rsidR="002813A6" w:rsidRPr="00E63900">
              <w:rPr>
                <w:rFonts w:asciiTheme="minorHAnsi" w:hAnsiTheme="minorHAnsi" w:cstheme="minorHAnsi"/>
              </w:rPr>
              <w:t xml:space="preserve">form part of the existing disclosure requirements </w:t>
            </w:r>
            <w:r w:rsidR="00AC62DF" w:rsidRPr="00E63900">
              <w:rPr>
                <w:rFonts w:asciiTheme="minorHAnsi" w:hAnsiTheme="minorHAnsi" w:cstheme="minorHAnsi"/>
              </w:rPr>
              <w:t>to buyers, lessors and in all advertising material</w:t>
            </w:r>
            <w:r w:rsidR="006F727B" w:rsidRPr="00E63900">
              <w:rPr>
                <w:rFonts w:asciiTheme="minorHAnsi" w:hAnsiTheme="minorHAnsi" w:cstheme="minorHAnsi"/>
              </w:rPr>
              <w:t>.</w:t>
            </w:r>
          </w:p>
        </w:tc>
      </w:tr>
    </w:tbl>
    <w:p w14:paraId="46B1EB73" w14:textId="77777777" w:rsidR="006F727B" w:rsidRPr="00E63900" w:rsidRDefault="006F727B" w:rsidP="00C95B3A">
      <w:pPr>
        <w:pStyle w:val="BodyText"/>
        <w:rPr>
          <w:rFonts w:asciiTheme="minorHAnsi" w:hAnsiTheme="minorHAnsi" w:cstheme="minorHAnsi"/>
        </w:rPr>
      </w:pPr>
    </w:p>
    <w:p w14:paraId="643BFD6D" w14:textId="037207D5" w:rsidR="00F852DD" w:rsidRPr="00E63900" w:rsidRDefault="00F852DD" w:rsidP="00F852DD">
      <w:pPr>
        <w:pStyle w:val="Heading3"/>
        <w:rPr>
          <w:rFonts w:asciiTheme="minorHAnsi" w:hAnsiTheme="minorHAnsi" w:cstheme="minorHAnsi"/>
        </w:rPr>
      </w:pPr>
      <w:r w:rsidRPr="00E63900">
        <w:rPr>
          <w:rFonts w:asciiTheme="minorHAnsi" w:hAnsiTheme="minorHAnsi" w:cstheme="minorHAnsi"/>
        </w:rPr>
        <w:t xml:space="preserve">Option 6: Lighting </w:t>
      </w:r>
      <w:proofErr w:type="spellStart"/>
      <w:r w:rsidRPr="00E63900">
        <w:rPr>
          <w:rFonts w:asciiTheme="minorHAnsi" w:hAnsiTheme="minorHAnsi" w:cstheme="minorHAnsi"/>
        </w:rPr>
        <w:t>MEPS</w:t>
      </w:r>
      <w:proofErr w:type="spellEnd"/>
    </w:p>
    <w:p w14:paraId="45C3EF40" w14:textId="533048DE" w:rsidR="00B24A7B" w:rsidRPr="00E63900" w:rsidRDefault="00513ADB" w:rsidP="00B24A7B">
      <w:pPr>
        <w:pStyle w:val="BodyText"/>
        <w:rPr>
          <w:rFonts w:asciiTheme="minorHAnsi" w:hAnsiTheme="minorHAnsi" w:cstheme="minorHAnsi"/>
        </w:rPr>
      </w:pPr>
      <w:r w:rsidRPr="00E63900">
        <w:rPr>
          <w:rFonts w:asciiTheme="minorHAnsi" w:hAnsiTheme="minorHAnsi" w:cstheme="minorHAnsi"/>
        </w:rPr>
        <w:t xml:space="preserve">Option </w:t>
      </w:r>
      <w:r w:rsidR="00FE3DF6" w:rsidRPr="00E63900">
        <w:rPr>
          <w:rFonts w:asciiTheme="minorHAnsi" w:hAnsiTheme="minorHAnsi" w:cstheme="minorHAnsi"/>
        </w:rPr>
        <w:t xml:space="preserve">6 requires all </w:t>
      </w:r>
      <w:r w:rsidR="00192339" w:rsidRPr="00E63900">
        <w:rPr>
          <w:rFonts w:asciiTheme="minorHAnsi" w:hAnsiTheme="minorHAnsi" w:cstheme="minorHAnsi"/>
        </w:rPr>
        <w:t xml:space="preserve">office buildings currently </w:t>
      </w:r>
      <w:r w:rsidR="00B85E08" w:rsidRPr="00E63900">
        <w:rPr>
          <w:rFonts w:asciiTheme="minorHAnsi" w:hAnsiTheme="minorHAnsi" w:cstheme="minorHAnsi"/>
        </w:rPr>
        <w:t xml:space="preserve">covered under the CBD program </w:t>
      </w:r>
      <w:r w:rsidR="00FE3DF6" w:rsidRPr="00E63900">
        <w:rPr>
          <w:rFonts w:asciiTheme="minorHAnsi" w:hAnsiTheme="minorHAnsi" w:cstheme="minorHAnsi"/>
        </w:rPr>
        <w:t>t</w:t>
      </w:r>
      <w:r w:rsidR="008F409A" w:rsidRPr="00E63900">
        <w:rPr>
          <w:rFonts w:asciiTheme="minorHAnsi" w:hAnsiTheme="minorHAnsi" w:cstheme="minorHAnsi"/>
        </w:rPr>
        <w:t>o</w:t>
      </w:r>
      <w:r w:rsidR="00FE3DF6" w:rsidRPr="00E63900">
        <w:rPr>
          <w:rFonts w:asciiTheme="minorHAnsi" w:hAnsiTheme="minorHAnsi" w:cstheme="minorHAnsi"/>
        </w:rPr>
        <w:t xml:space="preserve"> </w:t>
      </w:r>
      <w:r w:rsidR="008F409A" w:rsidRPr="00E63900">
        <w:rPr>
          <w:rFonts w:asciiTheme="minorHAnsi" w:hAnsiTheme="minorHAnsi" w:cstheme="minorHAnsi"/>
        </w:rPr>
        <w:t>meet</w:t>
      </w:r>
      <w:r w:rsidR="00FE3DF6" w:rsidRPr="00E63900">
        <w:rPr>
          <w:rFonts w:asciiTheme="minorHAnsi" w:hAnsiTheme="minorHAnsi" w:cstheme="minorHAnsi"/>
        </w:rPr>
        <w:t xml:space="preserve"> a minimum standard for nominal lighting power density</w:t>
      </w:r>
      <w:r w:rsidR="00C76191" w:rsidRPr="00E63900">
        <w:rPr>
          <w:rFonts w:asciiTheme="minorHAnsi" w:hAnsiTheme="minorHAnsi" w:cstheme="minorHAnsi"/>
        </w:rPr>
        <w:t xml:space="preserve"> (e.g., 10 watts per m</w:t>
      </w:r>
      <w:r w:rsidR="00C76191" w:rsidRPr="00E63900">
        <w:rPr>
          <w:rFonts w:asciiTheme="minorHAnsi" w:hAnsiTheme="minorHAnsi" w:cstheme="minorHAnsi"/>
          <w:vertAlign w:val="superscript"/>
        </w:rPr>
        <w:t>2</w:t>
      </w:r>
      <w:r w:rsidR="00C76191" w:rsidRPr="00E63900">
        <w:rPr>
          <w:rFonts w:asciiTheme="minorHAnsi" w:hAnsiTheme="minorHAnsi" w:cstheme="minorHAnsi"/>
        </w:rPr>
        <w:t>).</w:t>
      </w:r>
      <w:r w:rsidR="00B85E08" w:rsidRPr="00E63900">
        <w:rPr>
          <w:rFonts w:asciiTheme="minorHAnsi" w:hAnsiTheme="minorHAnsi" w:cstheme="minorHAnsi"/>
        </w:rPr>
        <w:t xml:space="preserve"> </w:t>
      </w:r>
      <w:r w:rsidR="008E5DEF">
        <w:rPr>
          <w:rFonts w:asciiTheme="minorHAnsi" w:hAnsiTheme="minorHAnsi" w:cstheme="minorHAnsi"/>
        </w:rPr>
        <w:t xml:space="preserve">This </w:t>
      </w:r>
      <w:proofErr w:type="gramStart"/>
      <w:r w:rsidR="008E5DEF">
        <w:rPr>
          <w:rFonts w:asciiTheme="minorHAnsi" w:hAnsiTheme="minorHAnsi" w:cstheme="minorHAnsi"/>
        </w:rPr>
        <w:t>particular option</w:t>
      </w:r>
      <w:proofErr w:type="gramEnd"/>
      <w:r w:rsidR="008E5DEF">
        <w:rPr>
          <w:rFonts w:asciiTheme="minorHAnsi" w:hAnsiTheme="minorHAnsi" w:cstheme="minorHAnsi"/>
        </w:rPr>
        <w:t xml:space="preserve"> will impact tenants more than buildings owners as tenan</w:t>
      </w:r>
      <w:r w:rsidR="00BB0041">
        <w:rPr>
          <w:rFonts w:asciiTheme="minorHAnsi" w:hAnsiTheme="minorHAnsi" w:cstheme="minorHAnsi"/>
        </w:rPr>
        <w:t>ts</w:t>
      </w:r>
      <w:r w:rsidR="008E5DEF">
        <w:rPr>
          <w:rFonts w:asciiTheme="minorHAnsi" w:hAnsiTheme="minorHAnsi" w:cstheme="minorHAnsi"/>
        </w:rPr>
        <w:t xml:space="preserve"> a</w:t>
      </w:r>
      <w:r w:rsidR="00AB1288">
        <w:rPr>
          <w:rFonts w:asciiTheme="minorHAnsi" w:hAnsiTheme="minorHAnsi" w:cstheme="minorHAnsi"/>
        </w:rPr>
        <w:t>re responsible for</w:t>
      </w:r>
      <w:r w:rsidR="00BB0041">
        <w:rPr>
          <w:rFonts w:asciiTheme="minorHAnsi" w:hAnsiTheme="minorHAnsi" w:cstheme="minorHAnsi"/>
        </w:rPr>
        <w:t xml:space="preserve"> the cost of</w:t>
      </w:r>
      <w:r w:rsidR="00AB1288">
        <w:rPr>
          <w:rFonts w:asciiTheme="minorHAnsi" w:hAnsiTheme="minorHAnsi" w:cstheme="minorHAnsi"/>
        </w:rPr>
        <w:t xml:space="preserve"> </w:t>
      </w:r>
      <w:proofErr w:type="spellStart"/>
      <w:r w:rsidR="00AB1288">
        <w:rPr>
          <w:rFonts w:asciiTheme="minorHAnsi" w:hAnsiTheme="minorHAnsi" w:cstheme="minorHAnsi"/>
        </w:rPr>
        <w:t>fitouts</w:t>
      </w:r>
      <w:proofErr w:type="spellEnd"/>
      <w:r w:rsidR="00BB0041">
        <w:rPr>
          <w:rFonts w:asciiTheme="minorHAnsi" w:hAnsiTheme="minorHAnsi" w:cstheme="minorHAnsi"/>
        </w:rPr>
        <w:t xml:space="preserve">, </w:t>
      </w:r>
      <w:r w:rsidR="00AB1288">
        <w:rPr>
          <w:rFonts w:asciiTheme="minorHAnsi" w:hAnsiTheme="minorHAnsi" w:cstheme="minorHAnsi"/>
        </w:rPr>
        <w:t>includ</w:t>
      </w:r>
      <w:r w:rsidR="00BB0041">
        <w:rPr>
          <w:rFonts w:asciiTheme="minorHAnsi" w:hAnsiTheme="minorHAnsi" w:cstheme="minorHAnsi"/>
        </w:rPr>
        <w:t>ing</w:t>
      </w:r>
      <w:r w:rsidR="00AB1288">
        <w:rPr>
          <w:rFonts w:asciiTheme="minorHAnsi" w:hAnsiTheme="minorHAnsi" w:cstheme="minorHAnsi"/>
        </w:rPr>
        <w:t xml:space="preserve"> lighting and general power.</w:t>
      </w:r>
      <w:r w:rsidR="008E5DEF">
        <w:rPr>
          <w:rFonts w:asciiTheme="minorHAnsi" w:hAnsiTheme="minorHAnsi" w:cstheme="minorHAnsi"/>
        </w:rPr>
        <w:t xml:space="preserve"> </w:t>
      </w:r>
      <w:r w:rsidR="00B85E08" w:rsidRPr="00E63900">
        <w:rPr>
          <w:rFonts w:asciiTheme="minorHAnsi" w:hAnsiTheme="minorHAnsi" w:cstheme="minorHAnsi"/>
        </w:rPr>
        <w:t xml:space="preserve">Lighting upgrades are </w:t>
      </w:r>
      <w:r w:rsidR="002F7B25">
        <w:rPr>
          <w:rFonts w:asciiTheme="minorHAnsi" w:hAnsiTheme="minorHAnsi" w:cstheme="minorHAnsi"/>
        </w:rPr>
        <w:t>a</w:t>
      </w:r>
      <w:r w:rsidR="00AB7C12" w:rsidRPr="00E63900">
        <w:rPr>
          <w:rFonts w:asciiTheme="minorHAnsi" w:hAnsiTheme="minorHAnsi" w:cstheme="minorHAnsi"/>
        </w:rPr>
        <w:t xml:space="preserve"> cost-effective energy efficiency capital upgrade for buildings with low pay-back periods. Introducing a minimum </w:t>
      </w:r>
      <w:r w:rsidR="007D57CC" w:rsidRPr="00E63900">
        <w:rPr>
          <w:rFonts w:asciiTheme="minorHAnsi" w:hAnsiTheme="minorHAnsi" w:cstheme="minorHAnsi"/>
        </w:rPr>
        <w:t>lighting energy efficiency requirement for existing buildings may have</w:t>
      </w:r>
      <w:r w:rsidR="0054753E" w:rsidRPr="00E63900">
        <w:rPr>
          <w:rFonts w:asciiTheme="minorHAnsi" w:hAnsiTheme="minorHAnsi" w:cstheme="minorHAnsi"/>
        </w:rPr>
        <w:t xml:space="preserve"> a moderate effectiveness of reducing emissions while minimising costs of a full </w:t>
      </w:r>
      <w:r w:rsidR="00353BC4" w:rsidRPr="00E63900">
        <w:rPr>
          <w:rFonts w:asciiTheme="minorHAnsi" w:hAnsiTheme="minorHAnsi" w:cstheme="minorHAnsi"/>
        </w:rPr>
        <w:t xml:space="preserve">whole-of-building </w:t>
      </w:r>
      <w:proofErr w:type="spellStart"/>
      <w:r w:rsidR="00353BC4" w:rsidRPr="00E63900">
        <w:rPr>
          <w:rFonts w:asciiTheme="minorHAnsi" w:hAnsiTheme="minorHAnsi" w:cstheme="minorHAnsi"/>
        </w:rPr>
        <w:t>MEPS</w:t>
      </w:r>
      <w:proofErr w:type="spellEnd"/>
      <w:r w:rsidR="00353BC4" w:rsidRPr="00E63900">
        <w:rPr>
          <w:rFonts w:asciiTheme="minorHAnsi" w:hAnsiTheme="minorHAnsi" w:cstheme="minorHAnsi"/>
        </w:rPr>
        <w:t>.</w:t>
      </w:r>
      <w:r w:rsidR="003330D9" w:rsidRPr="00E63900">
        <w:rPr>
          <w:rFonts w:asciiTheme="minorHAnsi" w:hAnsiTheme="minorHAnsi" w:cstheme="minorHAnsi"/>
        </w:rPr>
        <w:t xml:space="preserve"> As with option 4, a grace period would be introduced to allow building owners time to implement the upgrades. </w:t>
      </w:r>
    </w:p>
    <w:p w14:paraId="636B919E" w14:textId="1DFF4BD8" w:rsidR="00EF17A1" w:rsidRPr="00E63900" w:rsidRDefault="00EF17A1" w:rsidP="00EF17A1">
      <w:pPr>
        <w:pStyle w:val="BodyText"/>
        <w:rPr>
          <w:rFonts w:asciiTheme="minorHAnsi" w:hAnsiTheme="minorHAnsi" w:cstheme="minorHAnsi"/>
        </w:rPr>
      </w:pPr>
      <w:r w:rsidRPr="00E63900">
        <w:rPr>
          <w:rFonts w:asciiTheme="minorHAnsi" w:hAnsiTheme="minorHAnsi" w:cstheme="minorHAnsi"/>
        </w:rPr>
        <w:t xml:space="preserve">Specifics of the policy are outlined in </w:t>
      </w:r>
      <w:r w:rsidR="00F8382E">
        <w:rPr>
          <w:rFonts w:asciiTheme="minorHAnsi" w:hAnsiTheme="minorHAnsi" w:cstheme="minorHAnsi"/>
        </w:rPr>
        <w:fldChar w:fldCharType="begin" w:fldLock="1"/>
      </w:r>
      <w:r w:rsidR="00F8382E">
        <w:rPr>
          <w:rFonts w:asciiTheme="minorHAnsi" w:hAnsiTheme="minorHAnsi" w:cstheme="minorHAnsi"/>
        </w:rPr>
        <w:instrText xml:space="preserve"> REF _Ref152334623 \h  \* MERGEFORMAT </w:instrText>
      </w:r>
      <w:r w:rsidR="00F8382E">
        <w:rPr>
          <w:rFonts w:asciiTheme="minorHAnsi" w:hAnsiTheme="minorHAnsi" w:cstheme="minorHAnsi"/>
        </w:rPr>
      </w:r>
      <w:r w:rsidR="00F8382E">
        <w:rPr>
          <w:rFonts w:asciiTheme="minorHAnsi" w:hAnsiTheme="minorHAnsi" w:cstheme="minorHAnsi"/>
        </w:rPr>
        <w:fldChar w:fldCharType="separate"/>
      </w:r>
      <w:r w:rsidR="00F8382E" w:rsidRPr="00F8382E">
        <w:rPr>
          <w:rFonts w:asciiTheme="minorHAnsi" w:hAnsiTheme="minorHAnsi" w:cstheme="minorHAnsi"/>
        </w:rPr>
        <w:t>Table 17</w:t>
      </w:r>
      <w:r w:rsidR="00F8382E">
        <w:rPr>
          <w:rFonts w:asciiTheme="minorHAnsi" w:hAnsiTheme="minorHAnsi" w:cstheme="minorHAnsi"/>
        </w:rPr>
        <w:fldChar w:fldCharType="end"/>
      </w:r>
      <w:r w:rsidRPr="00E63900">
        <w:rPr>
          <w:rFonts w:asciiTheme="minorHAnsi" w:hAnsiTheme="minorHAnsi" w:cstheme="minorHAnsi"/>
        </w:rPr>
        <w:t xml:space="preserve"> below.</w:t>
      </w:r>
    </w:p>
    <w:p w14:paraId="70B6C5F0" w14:textId="4801D353" w:rsidR="006F727B" w:rsidRPr="00744016" w:rsidRDefault="006F727B" w:rsidP="00744016">
      <w:pPr>
        <w:pStyle w:val="Caption"/>
        <w:keepNext/>
        <w:spacing w:after="120"/>
        <w:rPr>
          <w:rFonts w:ascii="Calibri" w:eastAsia="Times New Roman" w:hAnsi="Calibri" w:cs="Times New Roman"/>
          <w:b/>
          <w:bCs/>
          <w:i w:val="0"/>
          <w:iCs w:val="0"/>
          <w:color w:val="auto"/>
          <w:sz w:val="24"/>
        </w:rPr>
      </w:pPr>
      <w:bookmarkStart w:id="211" w:name="_Ref152334623"/>
      <w:bookmarkStart w:id="212" w:name="_Toc162535453"/>
      <w:r w:rsidRPr="00744016">
        <w:rPr>
          <w:rFonts w:ascii="Calibri" w:eastAsia="Times New Roman" w:hAnsi="Calibri" w:cs="Times New Roman"/>
          <w:b/>
          <w:bCs/>
          <w:i w:val="0"/>
          <w:iCs w:val="0"/>
          <w:color w:val="auto"/>
          <w:sz w:val="24"/>
        </w:rPr>
        <w:t xml:space="preserve">Table </w:t>
      </w:r>
      <w:r w:rsidR="00722E7A" w:rsidRPr="00744016">
        <w:rPr>
          <w:rFonts w:ascii="Calibri" w:eastAsia="Times New Roman" w:hAnsi="Calibri" w:cs="Times New Roman"/>
          <w:b/>
          <w:bCs/>
          <w:i w:val="0"/>
          <w:iCs w:val="0"/>
          <w:color w:val="auto"/>
          <w:sz w:val="24"/>
        </w:rPr>
        <w:fldChar w:fldCharType="begin"/>
      </w:r>
      <w:r w:rsidR="00722E7A" w:rsidRPr="00744016">
        <w:rPr>
          <w:rFonts w:ascii="Calibri" w:eastAsia="Times New Roman" w:hAnsi="Calibri" w:cs="Times New Roman"/>
          <w:b/>
          <w:bCs/>
          <w:i w:val="0"/>
          <w:iCs w:val="0"/>
          <w:color w:val="auto"/>
          <w:sz w:val="24"/>
        </w:rPr>
        <w:instrText xml:space="preserve"> SEQ Table \* ARABIC </w:instrText>
      </w:r>
      <w:r w:rsidR="00722E7A"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17</w:t>
      </w:r>
      <w:r w:rsidR="00722E7A" w:rsidRPr="00744016">
        <w:rPr>
          <w:rFonts w:ascii="Calibri" w:eastAsia="Times New Roman" w:hAnsi="Calibri" w:cs="Times New Roman"/>
          <w:b/>
          <w:bCs/>
          <w:i w:val="0"/>
          <w:iCs w:val="0"/>
          <w:color w:val="auto"/>
          <w:sz w:val="24"/>
        </w:rPr>
        <w:fldChar w:fldCharType="end"/>
      </w:r>
      <w:bookmarkEnd w:id="211"/>
      <w:r w:rsidRPr="00744016">
        <w:rPr>
          <w:rFonts w:ascii="Calibri" w:eastAsia="Times New Roman" w:hAnsi="Calibri" w:cs="Times New Roman"/>
          <w:b/>
          <w:bCs/>
          <w:i w:val="0"/>
          <w:iCs w:val="0"/>
          <w:color w:val="auto"/>
          <w:sz w:val="24"/>
        </w:rPr>
        <w:t xml:space="preserve">: Lighting </w:t>
      </w:r>
      <w:proofErr w:type="spellStart"/>
      <w:r w:rsidRPr="00744016">
        <w:rPr>
          <w:rFonts w:ascii="Calibri" w:eastAsia="Times New Roman" w:hAnsi="Calibri" w:cs="Times New Roman"/>
          <w:b/>
          <w:bCs/>
          <w:i w:val="0"/>
          <w:iCs w:val="0"/>
          <w:color w:val="auto"/>
          <w:sz w:val="24"/>
        </w:rPr>
        <w:t>MEPS</w:t>
      </w:r>
      <w:bookmarkEnd w:id="212"/>
      <w:proofErr w:type="spellEnd"/>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5"/>
      </w:tblGrid>
      <w:tr w:rsidR="00BF1007" w14:paraId="49D7E419" w14:textId="77777777" w:rsidTr="00EA48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78D54C97"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Design element</w:t>
            </w:r>
          </w:p>
        </w:tc>
        <w:tc>
          <w:tcPr>
            <w:tcW w:w="7505" w:type="dxa"/>
          </w:tcPr>
          <w:p w14:paraId="29E824C8" w14:textId="77777777" w:rsidR="006F727B" w:rsidRPr="00E63900" w:rsidRDefault="006F727B">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Description</w:t>
            </w:r>
          </w:p>
        </w:tc>
      </w:tr>
      <w:tr w:rsidR="00BF1007" w14:paraId="789AEDAA"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A566BF2"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Coverage and exemptions</w:t>
            </w:r>
          </w:p>
        </w:tc>
        <w:tc>
          <w:tcPr>
            <w:tcW w:w="7505" w:type="dxa"/>
          </w:tcPr>
          <w:p w14:paraId="60780D16" w14:textId="64166F09" w:rsidR="006F727B" w:rsidRPr="00E63900" w:rsidRDefault="00074FF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Policy would be in line with the current program and cover all office buildings greater than 1</w:t>
            </w:r>
            <w:r w:rsidR="00553A64" w:rsidRPr="00E63900">
              <w:rPr>
                <w:rFonts w:asciiTheme="minorHAnsi" w:hAnsiTheme="minorHAnsi" w:cstheme="minorHAnsi"/>
              </w:rPr>
              <w:t>,</w:t>
            </w:r>
            <w:r w:rsidRPr="00E63900">
              <w:rPr>
                <w:rFonts w:asciiTheme="minorHAnsi" w:hAnsiTheme="minorHAnsi" w:cstheme="minorHAnsi"/>
              </w:rPr>
              <w:t>000m</w:t>
            </w:r>
            <w:r w:rsidRPr="00E63900">
              <w:rPr>
                <w:rFonts w:asciiTheme="minorHAnsi" w:hAnsiTheme="minorHAnsi" w:cstheme="minorHAnsi"/>
                <w:vertAlign w:val="superscript"/>
              </w:rPr>
              <w:t>2</w:t>
            </w:r>
            <w:r w:rsidRPr="00E63900">
              <w:rPr>
                <w:rFonts w:asciiTheme="minorHAnsi" w:hAnsiTheme="minorHAnsi" w:cstheme="minorHAnsi"/>
              </w:rPr>
              <w:t>. Exemptions would also be in line with the current program and cover all non-office buildings.</w:t>
            </w:r>
          </w:p>
        </w:tc>
      </w:tr>
      <w:tr w:rsidR="00E81956" w14:paraId="61DF05E8"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6A9C8971"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Reporting</w:t>
            </w:r>
          </w:p>
        </w:tc>
        <w:tc>
          <w:tcPr>
            <w:tcW w:w="7505" w:type="dxa"/>
          </w:tcPr>
          <w:p w14:paraId="1251A977" w14:textId="3DAB3841" w:rsidR="006F727B" w:rsidRPr="00E63900" w:rsidRDefault="003330D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Buildings under the scheme would be required to report on evidence of compliance with the </w:t>
            </w:r>
            <w:proofErr w:type="spellStart"/>
            <w:r w:rsidRPr="00E63900">
              <w:rPr>
                <w:rFonts w:asciiTheme="minorHAnsi" w:hAnsiTheme="minorHAnsi" w:cstheme="minorHAnsi"/>
              </w:rPr>
              <w:t>MEPS</w:t>
            </w:r>
            <w:proofErr w:type="spellEnd"/>
            <w:r w:rsidRPr="00E63900">
              <w:rPr>
                <w:rFonts w:asciiTheme="minorHAnsi" w:hAnsiTheme="minorHAnsi" w:cstheme="minorHAnsi"/>
              </w:rPr>
              <w:t xml:space="preserve"> rating by the </w:t>
            </w:r>
            <w:r w:rsidR="009963E4" w:rsidRPr="00E63900">
              <w:rPr>
                <w:rFonts w:asciiTheme="minorHAnsi" w:hAnsiTheme="minorHAnsi" w:cstheme="minorHAnsi"/>
              </w:rPr>
              <w:t xml:space="preserve">date the </w:t>
            </w:r>
            <w:proofErr w:type="spellStart"/>
            <w:r w:rsidR="009963E4" w:rsidRPr="00E63900">
              <w:rPr>
                <w:rFonts w:asciiTheme="minorHAnsi" w:hAnsiTheme="minorHAnsi" w:cstheme="minorHAnsi"/>
              </w:rPr>
              <w:t>MEPS</w:t>
            </w:r>
            <w:proofErr w:type="spellEnd"/>
            <w:r w:rsidR="009963E4" w:rsidRPr="00E63900">
              <w:rPr>
                <w:rFonts w:asciiTheme="minorHAnsi" w:hAnsiTheme="minorHAnsi" w:cstheme="minorHAnsi"/>
              </w:rPr>
              <w:t xml:space="preserve"> comes into full effect.</w:t>
            </w:r>
          </w:p>
        </w:tc>
      </w:tr>
      <w:tr w:rsidR="00BF1007" w14:paraId="7AB579A0"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3F280A7"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Compliance</w:t>
            </w:r>
          </w:p>
        </w:tc>
        <w:tc>
          <w:tcPr>
            <w:tcW w:w="7505" w:type="dxa"/>
          </w:tcPr>
          <w:p w14:paraId="493E6BAC" w14:textId="0CA9FDB6" w:rsidR="006F727B" w:rsidRPr="00E63900" w:rsidRDefault="003D737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New system set up and compliance checks would be conducted with additional resourcing</w:t>
            </w:r>
            <w:r w:rsidR="006F727B" w:rsidRPr="00E63900">
              <w:rPr>
                <w:rFonts w:asciiTheme="minorHAnsi" w:hAnsiTheme="minorHAnsi" w:cstheme="minorHAnsi"/>
              </w:rPr>
              <w:t>.</w:t>
            </w:r>
          </w:p>
        </w:tc>
      </w:tr>
      <w:tr w:rsidR="00E81956" w14:paraId="61F8808D"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1F07EEA8"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Display of rating</w:t>
            </w:r>
          </w:p>
        </w:tc>
        <w:tc>
          <w:tcPr>
            <w:tcW w:w="7505" w:type="dxa"/>
          </w:tcPr>
          <w:p w14:paraId="0E5B5C81" w14:textId="069B6A83" w:rsidR="006F727B" w:rsidRPr="00E63900" w:rsidRDefault="009963E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 xml:space="preserve">No </w:t>
            </w:r>
            <w:r w:rsidR="00C92A54" w:rsidRPr="00E63900">
              <w:rPr>
                <w:rFonts w:asciiTheme="minorHAnsi" w:hAnsiTheme="minorHAnsi" w:cstheme="minorHAnsi"/>
              </w:rPr>
              <w:t>display of rating</w:t>
            </w:r>
            <w:r w:rsidRPr="00E63900">
              <w:rPr>
                <w:rFonts w:asciiTheme="minorHAnsi" w:hAnsiTheme="minorHAnsi" w:cstheme="minorHAnsi"/>
              </w:rPr>
              <w:t xml:space="preserve"> req</w:t>
            </w:r>
            <w:r w:rsidR="00C92A54" w:rsidRPr="00E63900">
              <w:rPr>
                <w:rFonts w:asciiTheme="minorHAnsi" w:hAnsiTheme="minorHAnsi" w:cstheme="minorHAnsi"/>
              </w:rPr>
              <w:t>u</w:t>
            </w:r>
            <w:r w:rsidRPr="00E63900">
              <w:rPr>
                <w:rFonts w:asciiTheme="minorHAnsi" w:hAnsiTheme="minorHAnsi" w:cstheme="minorHAnsi"/>
              </w:rPr>
              <w:t>irements</w:t>
            </w:r>
          </w:p>
        </w:tc>
      </w:tr>
    </w:tbl>
    <w:p w14:paraId="1F949B20" w14:textId="77777777" w:rsidR="006F727B" w:rsidRPr="00E63900" w:rsidRDefault="006F727B" w:rsidP="00C95B3A">
      <w:pPr>
        <w:pStyle w:val="BodyText"/>
        <w:rPr>
          <w:rFonts w:asciiTheme="minorHAnsi" w:hAnsiTheme="minorHAnsi" w:cstheme="minorHAnsi"/>
        </w:rPr>
      </w:pPr>
    </w:p>
    <w:p w14:paraId="60C48E50" w14:textId="1D05AA71" w:rsidR="00F852DD" w:rsidRPr="00E63900" w:rsidRDefault="00F852DD" w:rsidP="00F852DD">
      <w:pPr>
        <w:pStyle w:val="Heading3"/>
        <w:rPr>
          <w:rFonts w:asciiTheme="minorHAnsi" w:hAnsiTheme="minorHAnsi" w:cstheme="minorHAnsi"/>
        </w:rPr>
      </w:pPr>
      <w:r w:rsidRPr="00E63900">
        <w:rPr>
          <w:rFonts w:asciiTheme="minorHAnsi" w:hAnsiTheme="minorHAnsi" w:cstheme="minorHAnsi"/>
        </w:rPr>
        <w:t xml:space="preserve">Option 7: Fossil fuel boiler phase </w:t>
      </w:r>
      <w:proofErr w:type="gramStart"/>
      <w:r w:rsidRPr="00E63900">
        <w:rPr>
          <w:rFonts w:asciiTheme="minorHAnsi" w:hAnsiTheme="minorHAnsi" w:cstheme="minorHAnsi"/>
        </w:rPr>
        <w:t>out</w:t>
      </w:r>
      <w:proofErr w:type="gramEnd"/>
    </w:p>
    <w:p w14:paraId="10C12426" w14:textId="002DF103" w:rsidR="00A5532C" w:rsidRPr="00E63900" w:rsidRDefault="00064134" w:rsidP="00EF17A1">
      <w:pPr>
        <w:pStyle w:val="BodyText"/>
        <w:rPr>
          <w:rFonts w:asciiTheme="minorHAnsi" w:hAnsiTheme="minorHAnsi" w:cstheme="minorHAnsi"/>
        </w:rPr>
      </w:pPr>
      <w:r w:rsidRPr="00E63900">
        <w:rPr>
          <w:rFonts w:asciiTheme="minorHAnsi" w:hAnsiTheme="minorHAnsi" w:cstheme="minorHAnsi"/>
        </w:rPr>
        <w:t>The final option explores phasing out fossil fuel boilers in offices</w:t>
      </w:r>
      <w:r w:rsidR="002D2132" w:rsidRPr="00E63900">
        <w:rPr>
          <w:rFonts w:asciiTheme="minorHAnsi" w:hAnsiTheme="minorHAnsi" w:cstheme="minorHAnsi"/>
        </w:rPr>
        <w:t xml:space="preserve"> captured in the </w:t>
      </w:r>
      <w:r w:rsidR="002274D2" w:rsidRPr="00E63900">
        <w:rPr>
          <w:rFonts w:asciiTheme="minorHAnsi" w:hAnsiTheme="minorHAnsi" w:cstheme="minorHAnsi"/>
        </w:rPr>
        <w:t xml:space="preserve">current </w:t>
      </w:r>
      <w:r w:rsidR="002D2132" w:rsidRPr="00E63900">
        <w:rPr>
          <w:rFonts w:asciiTheme="minorHAnsi" w:hAnsiTheme="minorHAnsi" w:cstheme="minorHAnsi"/>
        </w:rPr>
        <w:t>CBD program</w:t>
      </w:r>
      <w:r w:rsidR="004F14D6" w:rsidRPr="00E63900">
        <w:rPr>
          <w:rFonts w:asciiTheme="minorHAnsi" w:hAnsiTheme="minorHAnsi" w:cstheme="minorHAnsi"/>
        </w:rPr>
        <w:t xml:space="preserve">. The phasing out of </w:t>
      </w:r>
      <w:r w:rsidR="00500F26" w:rsidRPr="00E63900">
        <w:rPr>
          <w:rFonts w:asciiTheme="minorHAnsi" w:hAnsiTheme="minorHAnsi" w:cstheme="minorHAnsi"/>
        </w:rPr>
        <w:t>natural gas boilers is becoming common practice overseas, particularly in Europe</w:t>
      </w:r>
      <w:r w:rsidR="00FD5074" w:rsidRPr="00E63900">
        <w:rPr>
          <w:rFonts w:asciiTheme="minorHAnsi" w:hAnsiTheme="minorHAnsi" w:cstheme="minorHAnsi"/>
        </w:rPr>
        <w:t xml:space="preserve">, and could be applied in an Australian context. </w:t>
      </w:r>
      <w:r w:rsidR="00F31F51" w:rsidRPr="00E63900">
        <w:rPr>
          <w:rFonts w:asciiTheme="minorHAnsi" w:hAnsiTheme="minorHAnsi" w:cstheme="minorHAnsi"/>
        </w:rPr>
        <w:t>This change would seek to leverage continued improvements in emissions intensity of</w:t>
      </w:r>
      <w:r w:rsidR="0021110D" w:rsidRPr="00E63900">
        <w:rPr>
          <w:rFonts w:asciiTheme="minorHAnsi" w:hAnsiTheme="minorHAnsi" w:cstheme="minorHAnsi"/>
        </w:rPr>
        <w:t xml:space="preserve"> grid electricity and have increasing benefits over time.</w:t>
      </w:r>
      <w:r w:rsidR="00A5532C" w:rsidRPr="00E63900">
        <w:rPr>
          <w:rFonts w:asciiTheme="minorHAnsi" w:hAnsiTheme="minorHAnsi" w:cstheme="minorHAnsi"/>
        </w:rPr>
        <w:t xml:space="preserve"> </w:t>
      </w:r>
      <w:r w:rsidR="00712D5E" w:rsidRPr="00E63900">
        <w:rPr>
          <w:rFonts w:asciiTheme="minorHAnsi" w:hAnsiTheme="minorHAnsi" w:cstheme="minorHAnsi"/>
        </w:rPr>
        <w:t>This policy may have broader implications for the building code which would need to be considered.</w:t>
      </w:r>
      <w:r w:rsidR="004C5F95" w:rsidRPr="00E63900">
        <w:rPr>
          <w:rFonts w:asciiTheme="minorHAnsi" w:hAnsiTheme="minorHAnsi" w:cstheme="minorHAnsi"/>
        </w:rPr>
        <w:t xml:space="preserve"> </w:t>
      </w:r>
    </w:p>
    <w:p w14:paraId="4D44AF5F" w14:textId="660D7150" w:rsidR="00EF17A1" w:rsidRDefault="00EF17A1" w:rsidP="00EF17A1">
      <w:pPr>
        <w:pStyle w:val="BodyText"/>
        <w:rPr>
          <w:rFonts w:asciiTheme="minorHAnsi" w:hAnsiTheme="minorHAnsi" w:cstheme="minorHAnsi"/>
        </w:rPr>
      </w:pPr>
      <w:r w:rsidRPr="00E63900">
        <w:rPr>
          <w:rFonts w:asciiTheme="minorHAnsi" w:hAnsiTheme="minorHAnsi" w:cstheme="minorHAnsi"/>
        </w:rPr>
        <w:t xml:space="preserve">Specifics of the policy are outlined in </w:t>
      </w:r>
      <w:r w:rsidR="00F8382E">
        <w:rPr>
          <w:rFonts w:asciiTheme="minorHAnsi" w:hAnsiTheme="minorHAnsi" w:cstheme="minorHAnsi"/>
        </w:rPr>
        <w:fldChar w:fldCharType="begin" w:fldLock="1"/>
      </w:r>
      <w:r w:rsidR="00F8382E">
        <w:rPr>
          <w:rFonts w:asciiTheme="minorHAnsi" w:hAnsiTheme="minorHAnsi" w:cstheme="minorHAnsi"/>
        </w:rPr>
        <w:instrText xml:space="preserve"> REF _Ref152334648 \h  \* MERGEFORMAT </w:instrText>
      </w:r>
      <w:r w:rsidR="00F8382E">
        <w:rPr>
          <w:rFonts w:asciiTheme="minorHAnsi" w:hAnsiTheme="minorHAnsi" w:cstheme="minorHAnsi"/>
        </w:rPr>
      </w:r>
      <w:r w:rsidR="00F8382E">
        <w:rPr>
          <w:rFonts w:asciiTheme="minorHAnsi" w:hAnsiTheme="minorHAnsi" w:cstheme="minorHAnsi"/>
        </w:rPr>
        <w:fldChar w:fldCharType="separate"/>
      </w:r>
      <w:r w:rsidR="00F8382E" w:rsidRPr="00F8382E">
        <w:rPr>
          <w:rFonts w:asciiTheme="minorHAnsi" w:hAnsiTheme="minorHAnsi" w:cstheme="minorHAnsi"/>
        </w:rPr>
        <w:t>Table 18</w:t>
      </w:r>
      <w:r w:rsidR="00F8382E">
        <w:rPr>
          <w:rFonts w:asciiTheme="minorHAnsi" w:hAnsiTheme="minorHAnsi" w:cstheme="minorHAnsi"/>
        </w:rPr>
        <w:fldChar w:fldCharType="end"/>
      </w:r>
      <w:r w:rsidRPr="00E63900">
        <w:rPr>
          <w:rFonts w:asciiTheme="minorHAnsi" w:hAnsiTheme="minorHAnsi" w:cstheme="minorHAnsi"/>
        </w:rPr>
        <w:t xml:space="preserve"> below.</w:t>
      </w:r>
    </w:p>
    <w:p w14:paraId="76D2FF01" w14:textId="77777777" w:rsidR="00CB4FB8" w:rsidRPr="00E63900" w:rsidRDefault="00CB4FB8" w:rsidP="00EF17A1">
      <w:pPr>
        <w:pStyle w:val="BodyText"/>
        <w:rPr>
          <w:rFonts w:asciiTheme="minorHAnsi" w:hAnsiTheme="minorHAnsi" w:cstheme="minorHAnsi"/>
        </w:rPr>
      </w:pPr>
    </w:p>
    <w:p w14:paraId="22786707" w14:textId="1DD02B25" w:rsidR="006F727B" w:rsidRPr="00744016" w:rsidRDefault="006F727B" w:rsidP="00744016">
      <w:pPr>
        <w:pStyle w:val="Caption"/>
        <w:keepNext/>
        <w:spacing w:after="120"/>
        <w:rPr>
          <w:rFonts w:ascii="Calibri" w:eastAsia="Times New Roman" w:hAnsi="Calibri" w:cs="Times New Roman"/>
          <w:b/>
          <w:bCs/>
          <w:i w:val="0"/>
          <w:iCs w:val="0"/>
          <w:color w:val="auto"/>
          <w:sz w:val="24"/>
        </w:rPr>
      </w:pPr>
      <w:bookmarkStart w:id="213" w:name="_Ref152334648"/>
      <w:bookmarkStart w:id="214" w:name="_Toc162535454"/>
      <w:r w:rsidRPr="00744016">
        <w:rPr>
          <w:rFonts w:ascii="Calibri" w:eastAsia="Times New Roman" w:hAnsi="Calibri" w:cs="Times New Roman"/>
          <w:b/>
          <w:bCs/>
          <w:i w:val="0"/>
          <w:iCs w:val="0"/>
          <w:color w:val="auto"/>
          <w:sz w:val="24"/>
        </w:rPr>
        <w:lastRenderedPageBreak/>
        <w:t xml:space="preserve">Table </w:t>
      </w:r>
      <w:r w:rsidR="00722E7A" w:rsidRPr="00744016">
        <w:rPr>
          <w:rFonts w:ascii="Calibri" w:eastAsia="Times New Roman" w:hAnsi="Calibri" w:cs="Times New Roman"/>
          <w:b/>
          <w:bCs/>
          <w:i w:val="0"/>
          <w:iCs w:val="0"/>
          <w:color w:val="auto"/>
          <w:sz w:val="24"/>
        </w:rPr>
        <w:fldChar w:fldCharType="begin"/>
      </w:r>
      <w:r w:rsidR="00722E7A" w:rsidRPr="00744016">
        <w:rPr>
          <w:rFonts w:ascii="Calibri" w:eastAsia="Times New Roman" w:hAnsi="Calibri" w:cs="Times New Roman"/>
          <w:b/>
          <w:bCs/>
          <w:i w:val="0"/>
          <w:iCs w:val="0"/>
          <w:color w:val="auto"/>
          <w:sz w:val="24"/>
        </w:rPr>
        <w:instrText xml:space="preserve"> SEQ Table \* ARABIC </w:instrText>
      </w:r>
      <w:r w:rsidR="00722E7A"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18</w:t>
      </w:r>
      <w:r w:rsidR="00722E7A" w:rsidRPr="00744016">
        <w:rPr>
          <w:rFonts w:ascii="Calibri" w:eastAsia="Times New Roman" w:hAnsi="Calibri" w:cs="Times New Roman"/>
          <w:b/>
          <w:bCs/>
          <w:i w:val="0"/>
          <w:iCs w:val="0"/>
          <w:color w:val="auto"/>
          <w:sz w:val="24"/>
        </w:rPr>
        <w:fldChar w:fldCharType="end"/>
      </w:r>
      <w:bookmarkEnd w:id="213"/>
      <w:r w:rsidRPr="00744016">
        <w:rPr>
          <w:rFonts w:ascii="Calibri" w:eastAsia="Times New Roman" w:hAnsi="Calibri" w:cs="Times New Roman"/>
          <w:b/>
          <w:bCs/>
          <w:i w:val="0"/>
          <w:iCs w:val="0"/>
          <w:color w:val="auto"/>
          <w:sz w:val="24"/>
        </w:rPr>
        <w:t xml:space="preserve">: Fossil fuel boiler phase </w:t>
      </w:r>
      <w:proofErr w:type="gramStart"/>
      <w:r w:rsidRPr="00744016">
        <w:rPr>
          <w:rFonts w:ascii="Calibri" w:eastAsia="Times New Roman" w:hAnsi="Calibri" w:cs="Times New Roman"/>
          <w:b/>
          <w:bCs/>
          <w:i w:val="0"/>
          <w:iCs w:val="0"/>
          <w:color w:val="auto"/>
          <w:sz w:val="24"/>
        </w:rPr>
        <w:t>out</w:t>
      </w:r>
      <w:bookmarkEnd w:id="214"/>
      <w:proofErr w:type="gramEnd"/>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505"/>
      </w:tblGrid>
      <w:tr w:rsidR="009F2998" w14:paraId="53F29F04" w14:textId="77777777" w:rsidTr="00EA48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16ECDD0B"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Design element</w:t>
            </w:r>
          </w:p>
        </w:tc>
        <w:tc>
          <w:tcPr>
            <w:tcW w:w="7505" w:type="dxa"/>
          </w:tcPr>
          <w:p w14:paraId="17E8AAF1" w14:textId="77777777" w:rsidR="006F727B" w:rsidRPr="00E63900" w:rsidRDefault="006F727B">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Description</w:t>
            </w:r>
          </w:p>
        </w:tc>
      </w:tr>
      <w:tr w:rsidR="009F2998" w14:paraId="0F3EB32F"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CB3086"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Coverage and exemptions</w:t>
            </w:r>
          </w:p>
        </w:tc>
        <w:tc>
          <w:tcPr>
            <w:tcW w:w="7505" w:type="dxa"/>
          </w:tcPr>
          <w:p w14:paraId="171156E1" w14:textId="6C847AC7" w:rsidR="006F727B" w:rsidRPr="00E63900" w:rsidRDefault="003D737B">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Policy would be in line with the current program and cover all office buildings greater than 1</w:t>
            </w:r>
            <w:r w:rsidR="00983CA7" w:rsidRPr="00E63900">
              <w:rPr>
                <w:rFonts w:asciiTheme="minorHAnsi" w:hAnsiTheme="minorHAnsi" w:cstheme="minorHAnsi"/>
              </w:rPr>
              <w:t>,</w:t>
            </w:r>
            <w:r w:rsidRPr="00E63900">
              <w:rPr>
                <w:rFonts w:asciiTheme="minorHAnsi" w:hAnsiTheme="minorHAnsi" w:cstheme="minorHAnsi"/>
              </w:rPr>
              <w:t>000m</w:t>
            </w:r>
            <w:r w:rsidRPr="00E63900">
              <w:rPr>
                <w:rFonts w:asciiTheme="minorHAnsi" w:hAnsiTheme="minorHAnsi" w:cstheme="minorHAnsi"/>
                <w:vertAlign w:val="superscript"/>
              </w:rPr>
              <w:t>2</w:t>
            </w:r>
            <w:r w:rsidRPr="00E63900">
              <w:rPr>
                <w:rFonts w:asciiTheme="minorHAnsi" w:hAnsiTheme="minorHAnsi" w:cstheme="minorHAnsi"/>
              </w:rPr>
              <w:t>. Exemptions would also be in line with the current program and cover all non-office buildings.</w:t>
            </w:r>
          </w:p>
        </w:tc>
      </w:tr>
      <w:tr w:rsidR="00E81956" w14:paraId="59942CCA"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736CC373"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Reporting</w:t>
            </w:r>
          </w:p>
        </w:tc>
        <w:tc>
          <w:tcPr>
            <w:tcW w:w="7505" w:type="dxa"/>
          </w:tcPr>
          <w:p w14:paraId="2E930784" w14:textId="2F373E4D" w:rsidR="006F727B" w:rsidRPr="00E63900" w:rsidRDefault="00D748F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Not required.</w:t>
            </w:r>
          </w:p>
        </w:tc>
      </w:tr>
      <w:tr w:rsidR="009F2998" w14:paraId="4861B391" w14:textId="77777777" w:rsidTr="00EA48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487396C"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Compliance</w:t>
            </w:r>
          </w:p>
        </w:tc>
        <w:tc>
          <w:tcPr>
            <w:tcW w:w="7505" w:type="dxa"/>
          </w:tcPr>
          <w:p w14:paraId="72B29742" w14:textId="7500D8D2" w:rsidR="006F727B" w:rsidRPr="00E63900" w:rsidRDefault="007F7B2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Compliance assessments would be implemented through compliance checking of b</w:t>
            </w:r>
            <w:r w:rsidR="00CF3224" w:rsidRPr="00E63900">
              <w:rPr>
                <w:rFonts w:asciiTheme="minorHAnsi" w:hAnsiTheme="minorHAnsi" w:cstheme="minorHAnsi"/>
              </w:rPr>
              <w:t>uilding power sources</w:t>
            </w:r>
            <w:r w:rsidR="006F727B" w:rsidRPr="00E63900">
              <w:rPr>
                <w:rFonts w:asciiTheme="minorHAnsi" w:hAnsiTheme="minorHAnsi" w:cstheme="minorHAnsi"/>
              </w:rPr>
              <w:t>.</w:t>
            </w:r>
          </w:p>
        </w:tc>
      </w:tr>
      <w:tr w:rsidR="00E81956" w14:paraId="59275812" w14:textId="77777777" w:rsidTr="00EA484C">
        <w:tc>
          <w:tcPr>
            <w:cnfStyle w:val="001000000000" w:firstRow="0" w:lastRow="0" w:firstColumn="1" w:lastColumn="0" w:oddVBand="0" w:evenVBand="0" w:oddHBand="0" w:evenHBand="0" w:firstRowFirstColumn="0" w:firstRowLastColumn="0" w:lastRowFirstColumn="0" w:lastRowLastColumn="0"/>
            <w:tcW w:w="2689" w:type="dxa"/>
          </w:tcPr>
          <w:p w14:paraId="67328D6D" w14:textId="77777777" w:rsidR="006F727B" w:rsidRPr="00BA1EA4" w:rsidRDefault="006F727B">
            <w:pPr>
              <w:pStyle w:val="BodyText"/>
              <w:rPr>
                <w:rFonts w:asciiTheme="minorHAnsi" w:hAnsiTheme="minorHAnsi" w:cstheme="minorHAnsi"/>
                <w:i/>
              </w:rPr>
            </w:pPr>
            <w:r w:rsidRPr="00BA1EA4">
              <w:rPr>
                <w:rFonts w:asciiTheme="minorHAnsi" w:hAnsiTheme="minorHAnsi" w:cstheme="minorHAnsi"/>
              </w:rPr>
              <w:t>Display of rating</w:t>
            </w:r>
          </w:p>
        </w:tc>
        <w:tc>
          <w:tcPr>
            <w:tcW w:w="7505" w:type="dxa"/>
          </w:tcPr>
          <w:p w14:paraId="196880F1" w14:textId="217F30CC" w:rsidR="006F727B" w:rsidRPr="00E63900" w:rsidRDefault="00D748F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63900">
              <w:rPr>
                <w:rFonts w:asciiTheme="minorHAnsi" w:hAnsiTheme="minorHAnsi" w:cstheme="minorHAnsi"/>
              </w:rPr>
              <w:t>Not required.</w:t>
            </w:r>
          </w:p>
        </w:tc>
      </w:tr>
    </w:tbl>
    <w:p w14:paraId="78E8D096" w14:textId="2A802392" w:rsidR="00E87C7C" w:rsidRPr="00E63900" w:rsidRDefault="00D2176C" w:rsidP="003954E1">
      <w:pPr>
        <w:pStyle w:val="Heading3"/>
        <w:rPr>
          <w:rFonts w:asciiTheme="minorHAnsi" w:hAnsiTheme="minorHAnsi" w:cstheme="minorHAnsi"/>
        </w:rPr>
      </w:pPr>
      <w:r w:rsidRPr="00E63900">
        <w:rPr>
          <w:rFonts w:asciiTheme="minorHAnsi" w:hAnsiTheme="minorHAnsi" w:cstheme="minorHAnsi"/>
        </w:rPr>
        <w:t xml:space="preserve">Options not </w:t>
      </w:r>
      <w:proofErr w:type="gramStart"/>
      <w:r w:rsidRPr="00E63900">
        <w:rPr>
          <w:rFonts w:asciiTheme="minorHAnsi" w:hAnsiTheme="minorHAnsi" w:cstheme="minorHAnsi"/>
        </w:rPr>
        <w:t>explored</w:t>
      </w:r>
      <w:proofErr w:type="gramEnd"/>
    </w:p>
    <w:p w14:paraId="10E154E2" w14:textId="00A48AC5" w:rsidR="003954E1" w:rsidRPr="00F81ADB" w:rsidRDefault="00F852DD" w:rsidP="003954E1">
      <w:pPr>
        <w:pStyle w:val="BodyBullet"/>
        <w:rPr>
          <w:rFonts w:cstheme="minorHAnsi"/>
        </w:rPr>
      </w:pPr>
      <w:r w:rsidRPr="00F81ADB">
        <w:rPr>
          <w:rFonts w:cstheme="minorHAnsi"/>
        </w:rPr>
        <w:t>Two further options were identified through the literature and international policy scan that were not included as possible options. These options not explored and the rationale for exclusion are outlined below.</w:t>
      </w:r>
    </w:p>
    <w:p w14:paraId="2F822876" w14:textId="77777777" w:rsidR="003954E1" w:rsidRPr="00F81ADB" w:rsidRDefault="003954E1" w:rsidP="003954E1">
      <w:pPr>
        <w:pStyle w:val="BodyBullet"/>
        <w:rPr>
          <w:rFonts w:cstheme="minorHAnsi"/>
          <w:b/>
          <w:szCs w:val="20"/>
        </w:rPr>
      </w:pPr>
      <w:r w:rsidRPr="00F81ADB">
        <w:rPr>
          <w:rFonts w:cstheme="minorHAnsi"/>
          <w:b/>
        </w:rPr>
        <w:t>Disclosure of embodied carb</w:t>
      </w:r>
      <w:r w:rsidRPr="00F81ADB">
        <w:rPr>
          <w:rFonts w:cstheme="minorHAnsi"/>
          <w:b/>
          <w:szCs w:val="20"/>
        </w:rPr>
        <w:t xml:space="preserve">on in materials used to construct or renovate the </w:t>
      </w:r>
      <w:proofErr w:type="gramStart"/>
      <w:r w:rsidRPr="00F81ADB">
        <w:rPr>
          <w:rFonts w:cstheme="minorHAnsi"/>
          <w:b/>
          <w:szCs w:val="20"/>
        </w:rPr>
        <w:t>building</w:t>
      </w:r>
      <w:proofErr w:type="gramEnd"/>
    </w:p>
    <w:p w14:paraId="2F56FFD9" w14:textId="4848CF31" w:rsidR="003954E1" w:rsidRPr="00F81ADB" w:rsidRDefault="003954E1" w:rsidP="003954E1">
      <w:pPr>
        <w:pStyle w:val="BodyBullet"/>
        <w:rPr>
          <w:rFonts w:cstheme="minorHAnsi"/>
          <w:szCs w:val="20"/>
        </w:rPr>
      </w:pPr>
      <w:r w:rsidRPr="00F81ADB">
        <w:rPr>
          <w:rFonts w:cstheme="minorHAnsi"/>
          <w:szCs w:val="20"/>
        </w:rPr>
        <w:t>Although important, disclosure of embodied carbon is more relevant for new builds and major renovations. We believe this is best considered in the National Construction Code or similar where mandatory reporting of embodied carbon could be required in the planning and construction phase. NSW government is looking to introduce calculation and disclosure of embodied carbon in the planning phase</w:t>
      </w:r>
      <w:r w:rsidR="00723239">
        <w:rPr>
          <w:rFonts w:ascii="ZWAdobeF" w:hAnsi="ZWAdobeF" w:cs="ZWAdobeF"/>
          <w:color w:val="auto"/>
          <w:sz w:val="2"/>
          <w:szCs w:val="2"/>
        </w:rPr>
        <w:t>153F</w:t>
      </w:r>
      <w:r w:rsidR="00EE36E3">
        <w:rPr>
          <w:rFonts w:ascii="ZWAdobeF" w:hAnsi="ZWAdobeF" w:cs="ZWAdobeF"/>
          <w:color w:val="auto"/>
          <w:sz w:val="2"/>
          <w:szCs w:val="2"/>
        </w:rPr>
        <w:t>154F</w:t>
      </w:r>
      <w:r w:rsidR="00122C48">
        <w:rPr>
          <w:rFonts w:ascii="ZWAdobeF" w:hAnsi="ZWAdobeF" w:cs="ZWAdobeF"/>
          <w:color w:val="auto"/>
          <w:sz w:val="2"/>
          <w:szCs w:val="2"/>
        </w:rPr>
        <w:t>154F</w:t>
      </w:r>
      <w:r w:rsidR="00F73A23">
        <w:rPr>
          <w:rFonts w:ascii="ZWAdobeF" w:hAnsi="ZWAdobeF" w:cs="ZWAdobeF"/>
          <w:color w:val="auto"/>
          <w:sz w:val="2"/>
          <w:szCs w:val="2"/>
        </w:rPr>
        <w:t>154F</w:t>
      </w:r>
      <w:r w:rsidR="00626378">
        <w:rPr>
          <w:rFonts w:ascii="ZWAdobeF" w:hAnsi="ZWAdobeF" w:cs="ZWAdobeF"/>
          <w:color w:val="auto"/>
          <w:sz w:val="2"/>
          <w:szCs w:val="2"/>
        </w:rPr>
        <w:t>154F</w:t>
      </w:r>
      <w:r w:rsidR="00413811">
        <w:rPr>
          <w:rFonts w:ascii="ZWAdobeF" w:hAnsi="ZWAdobeF" w:cs="ZWAdobeF"/>
          <w:color w:val="auto"/>
          <w:sz w:val="2"/>
          <w:szCs w:val="2"/>
        </w:rPr>
        <w:t>154F</w:t>
      </w:r>
      <w:r w:rsidR="002C327C">
        <w:rPr>
          <w:rFonts w:ascii="ZWAdobeF" w:hAnsi="ZWAdobeF" w:cs="ZWAdobeF"/>
          <w:color w:val="auto"/>
          <w:sz w:val="2"/>
          <w:szCs w:val="2"/>
        </w:rPr>
        <w:t>154F</w:t>
      </w:r>
      <w:r w:rsidR="00D24A06">
        <w:rPr>
          <w:rFonts w:ascii="ZWAdobeF" w:hAnsi="ZWAdobeF" w:cs="ZWAdobeF"/>
          <w:color w:val="auto"/>
          <w:sz w:val="2"/>
          <w:szCs w:val="2"/>
        </w:rPr>
        <w:t>154F</w:t>
      </w:r>
      <w:r w:rsidRPr="00F81ADB">
        <w:rPr>
          <w:rStyle w:val="FootnoteReference"/>
          <w:rFonts w:cstheme="minorHAnsi"/>
          <w:szCs w:val="20"/>
        </w:rPr>
        <w:footnoteReference w:id="156"/>
      </w:r>
      <w:r w:rsidRPr="00F81ADB">
        <w:rPr>
          <w:rFonts w:cstheme="minorHAnsi"/>
          <w:szCs w:val="20"/>
        </w:rPr>
        <w:t xml:space="preserve"> and a similar model could be introduced nationally.</w:t>
      </w:r>
    </w:p>
    <w:p w14:paraId="37A1FE86" w14:textId="77777777" w:rsidR="003954E1" w:rsidRPr="00F81ADB" w:rsidRDefault="003954E1" w:rsidP="003954E1">
      <w:pPr>
        <w:pStyle w:val="BodyBullet"/>
        <w:rPr>
          <w:rFonts w:cstheme="minorHAnsi"/>
          <w:b/>
          <w:szCs w:val="20"/>
        </w:rPr>
      </w:pPr>
      <w:r w:rsidRPr="00F81ADB">
        <w:rPr>
          <w:rFonts w:cstheme="minorHAnsi"/>
          <w:b/>
          <w:szCs w:val="20"/>
        </w:rPr>
        <w:t>Phasing out synthetic refrigerants/hydrofluorocarbons (HFCs)</w:t>
      </w:r>
    </w:p>
    <w:p w14:paraId="5CAE3A96" w14:textId="77777777" w:rsidR="003954E1" w:rsidRPr="00F81ADB" w:rsidRDefault="003954E1" w:rsidP="003954E1">
      <w:pPr>
        <w:pStyle w:val="BodyBullet"/>
        <w:rPr>
          <w:rFonts w:cstheme="minorHAnsi"/>
          <w:szCs w:val="20"/>
        </w:rPr>
      </w:pPr>
      <w:r w:rsidRPr="00F81ADB">
        <w:rPr>
          <w:rFonts w:cstheme="minorHAnsi"/>
          <w:szCs w:val="20"/>
        </w:rPr>
        <w:t xml:space="preserve">In HVAC (heating, ventilation, and air conditioning) and refrigeration systems, natural or synthetic refrigerants change state from liquid to vapour and then condense back to liquid to transfer heat. As with embodied carbon, refrigerant standards should be considered in the context of the </w:t>
      </w:r>
      <w:proofErr w:type="spellStart"/>
      <w:r w:rsidRPr="00F81ADB">
        <w:rPr>
          <w:rFonts w:cstheme="minorHAnsi"/>
          <w:szCs w:val="20"/>
        </w:rPr>
        <w:t>NCC</w:t>
      </w:r>
      <w:proofErr w:type="spellEnd"/>
      <w:r w:rsidRPr="00F81ADB">
        <w:rPr>
          <w:rFonts w:cstheme="minorHAnsi"/>
          <w:szCs w:val="20"/>
        </w:rPr>
        <w:t xml:space="preserve"> because replacing synthetic refrigerants can require expensive retrofitting and additional spatial requirements.</w:t>
      </w:r>
    </w:p>
    <w:p w14:paraId="5D128E4C" w14:textId="21F22DED" w:rsidR="0011706C" w:rsidRPr="00F81ADB" w:rsidRDefault="003954E1" w:rsidP="00B16BE9">
      <w:pPr>
        <w:pStyle w:val="BodyBullet"/>
        <w:rPr>
          <w:rFonts w:cstheme="minorHAnsi"/>
        </w:rPr>
      </w:pPr>
      <w:r w:rsidRPr="00F81ADB">
        <w:rPr>
          <w:rFonts w:cstheme="minorHAnsi"/>
          <w:szCs w:val="20"/>
        </w:rPr>
        <w:t>Australia aims to reduce HFCs by 85% by 2036 as part of the Montreal Protocol's HCFC ban and HFC phase-down. This issue goes beyond the commercial building sector and is likely to be better dealt with through other regulatory mechanisms. Option 5 discloses GHG emissions from refrigerant gases, which if adopted would motivate building owners to reduce use of HFCs as these will have higher emissions</w:t>
      </w:r>
      <w:r w:rsidRPr="00F81ADB">
        <w:rPr>
          <w:rFonts w:cstheme="minorHAnsi"/>
        </w:rPr>
        <w:t>.</w:t>
      </w:r>
    </w:p>
    <w:p w14:paraId="1774736A" w14:textId="38472A54" w:rsidR="003213C9" w:rsidRPr="00F81ADB" w:rsidRDefault="00C251BE" w:rsidP="00214D42">
      <w:pPr>
        <w:pStyle w:val="Heading2"/>
        <w:rPr>
          <w:rFonts w:cstheme="minorHAnsi"/>
        </w:rPr>
      </w:pPr>
      <w:bookmarkStart w:id="215" w:name="_Toc154059378"/>
      <w:r w:rsidRPr="00F81ADB">
        <w:rPr>
          <w:rFonts w:cstheme="minorHAnsi"/>
        </w:rPr>
        <w:t>Initial a</w:t>
      </w:r>
      <w:r w:rsidR="003213C9" w:rsidRPr="00F81ADB">
        <w:rPr>
          <w:rFonts w:cstheme="minorHAnsi"/>
        </w:rPr>
        <w:t>ssessment criteria</w:t>
      </w:r>
      <w:bookmarkEnd w:id="215"/>
    </w:p>
    <w:p w14:paraId="55F97235" w14:textId="4C63B3C8" w:rsidR="00B13309" w:rsidRPr="007253BC" w:rsidRDefault="009C1621" w:rsidP="00374B74">
      <w:pPr>
        <w:pStyle w:val="BodyText"/>
        <w:rPr>
          <w:rFonts w:asciiTheme="minorHAnsi" w:hAnsiTheme="minorHAnsi" w:cstheme="minorHAnsi"/>
        </w:rPr>
      </w:pPr>
      <w:r w:rsidRPr="007253BC">
        <w:rPr>
          <w:rFonts w:asciiTheme="minorHAnsi" w:hAnsiTheme="minorHAnsi" w:cstheme="minorHAnsi"/>
        </w:rPr>
        <w:t xml:space="preserve">The initial assessment of the options to proceed to a more detailed feasibility study includes consideration of the following factors: </w:t>
      </w:r>
    </w:p>
    <w:p w14:paraId="63CC1C53" w14:textId="19C980A4" w:rsidR="00877632" w:rsidRPr="007253BC" w:rsidRDefault="00877632" w:rsidP="00A253E6">
      <w:pPr>
        <w:pStyle w:val="BodyText"/>
        <w:numPr>
          <w:ilvl w:val="0"/>
          <w:numId w:val="28"/>
        </w:numPr>
        <w:rPr>
          <w:rFonts w:asciiTheme="minorHAnsi" w:hAnsiTheme="minorHAnsi" w:cstheme="minorHAnsi"/>
        </w:rPr>
      </w:pPr>
      <w:r w:rsidRPr="007253BC">
        <w:rPr>
          <w:rFonts w:asciiTheme="minorHAnsi" w:hAnsiTheme="minorHAnsi" w:cstheme="minorHAnsi"/>
          <w:b/>
        </w:rPr>
        <w:t>Potential energy/emissions reach</w:t>
      </w:r>
      <w:r w:rsidRPr="007253BC">
        <w:rPr>
          <w:rFonts w:asciiTheme="minorHAnsi" w:hAnsiTheme="minorHAnsi" w:cstheme="minorHAnsi"/>
        </w:rPr>
        <w:t xml:space="preserve"> covers potential scope of energy/emissions covered under the policy. As it is measuring potential scope, the policy does not guarantee the available emissions will be reduced. </w:t>
      </w:r>
      <w:r w:rsidR="00DA25D3" w:rsidRPr="007253BC">
        <w:rPr>
          <w:rFonts w:asciiTheme="minorHAnsi" w:hAnsiTheme="minorHAnsi" w:cstheme="minorHAnsi"/>
        </w:rPr>
        <w:t>This is because the p</w:t>
      </w:r>
      <w:r w:rsidR="001C66A5" w:rsidRPr="007253BC">
        <w:rPr>
          <w:rFonts w:asciiTheme="minorHAnsi" w:hAnsiTheme="minorHAnsi" w:cstheme="minorHAnsi"/>
        </w:rPr>
        <w:t>otential energy/emissions reach</w:t>
      </w:r>
      <w:r w:rsidRPr="007253BC">
        <w:rPr>
          <w:rFonts w:asciiTheme="minorHAnsi" w:hAnsiTheme="minorHAnsi" w:cstheme="minorHAnsi"/>
        </w:rPr>
        <w:t xml:space="preserve"> is </w:t>
      </w:r>
      <w:r w:rsidR="006B2CC7" w:rsidRPr="007253BC">
        <w:rPr>
          <w:rFonts w:asciiTheme="minorHAnsi" w:hAnsiTheme="minorHAnsi" w:cstheme="minorHAnsi"/>
        </w:rPr>
        <w:t>in</w:t>
      </w:r>
      <w:r w:rsidRPr="007253BC">
        <w:rPr>
          <w:rFonts w:asciiTheme="minorHAnsi" w:hAnsiTheme="minorHAnsi" w:cstheme="minorHAnsi"/>
        </w:rPr>
        <w:t>dependent o</w:t>
      </w:r>
      <w:r w:rsidR="006B2CC7" w:rsidRPr="007253BC">
        <w:rPr>
          <w:rFonts w:asciiTheme="minorHAnsi" w:hAnsiTheme="minorHAnsi" w:cstheme="minorHAnsi"/>
        </w:rPr>
        <w:t>f</w:t>
      </w:r>
      <w:r w:rsidRPr="007253BC">
        <w:rPr>
          <w:rFonts w:asciiTheme="minorHAnsi" w:hAnsiTheme="minorHAnsi" w:cstheme="minorHAnsi"/>
        </w:rPr>
        <w:t xml:space="preserve"> behaviour change</w:t>
      </w:r>
      <w:r w:rsidR="00AF78D2" w:rsidRPr="007253BC">
        <w:rPr>
          <w:rFonts w:asciiTheme="minorHAnsi" w:hAnsiTheme="minorHAnsi" w:cstheme="minorHAnsi"/>
        </w:rPr>
        <w:t>. The impact on behaviour change</w:t>
      </w:r>
      <w:r w:rsidRPr="007253BC">
        <w:rPr>
          <w:rFonts w:asciiTheme="minorHAnsi" w:hAnsiTheme="minorHAnsi" w:cstheme="minorHAnsi"/>
        </w:rPr>
        <w:t xml:space="preserve"> is measured by </w:t>
      </w:r>
      <w:r w:rsidR="002F7458" w:rsidRPr="007253BC">
        <w:rPr>
          <w:rFonts w:asciiTheme="minorHAnsi" w:hAnsiTheme="minorHAnsi" w:cstheme="minorHAnsi"/>
        </w:rPr>
        <w:t>‘</w:t>
      </w:r>
      <w:r w:rsidRPr="007253BC">
        <w:rPr>
          <w:rFonts w:asciiTheme="minorHAnsi" w:hAnsiTheme="minorHAnsi" w:cstheme="minorHAnsi"/>
        </w:rPr>
        <w:t>strength of signal</w:t>
      </w:r>
      <w:r w:rsidR="002F7458" w:rsidRPr="007253BC">
        <w:rPr>
          <w:rFonts w:asciiTheme="minorHAnsi" w:hAnsiTheme="minorHAnsi" w:cstheme="minorHAnsi"/>
        </w:rPr>
        <w:t>’</w:t>
      </w:r>
      <w:r w:rsidR="00941D46" w:rsidRPr="007253BC">
        <w:rPr>
          <w:rFonts w:asciiTheme="minorHAnsi" w:hAnsiTheme="minorHAnsi" w:cstheme="minorHAnsi"/>
        </w:rPr>
        <w:t xml:space="preserve"> below</w:t>
      </w:r>
      <w:r w:rsidRPr="007253BC">
        <w:rPr>
          <w:rFonts w:asciiTheme="minorHAnsi" w:hAnsiTheme="minorHAnsi" w:cstheme="minorHAnsi"/>
        </w:rPr>
        <w:t>.</w:t>
      </w:r>
    </w:p>
    <w:p w14:paraId="74B1E0A3" w14:textId="6D30FD5F" w:rsidR="00877632" w:rsidRPr="007253BC" w:rsidRDefault="00877632" w:rsidP="00A253E6">
      <w:pPr>
        <w:pStyle w:val="BodyText"/>
        <w:numPr>
          <w:ilvl w:val="0"/>
          <w:numId w:val="28"/>
        </w:numPr>
        <w:rPr>
          <w:rFonts w:asciiTheme="minorHAnsi" w:hAnsiTheme="minorHAnsi" w:cstheme="minorHAnsi"/>
        </w:rPr>
      </w:pPr>
      <w:r w:rsidRPr="007253BC">
        <w:rPr>
          <w:rFonts w:asciiTheme="minorHAnsi" w:hAnsiTheme="minorHAnsi" w:cstheme="minorHAnsi"/>
          <w:b/>
        </w:rPr>
        <w:t xml:space="preserve">Strength of </w:t>
      </w:r>
      <w:r w:rsidR="00AD66E6" w:rsidRPr="007253BC">
        <w:rPr>
          <w:rFonts w:asciiTheme="minorHAnsi" w:hAnsiTheme="minorHAnsi" w:cstheme="minorHAnsi"/>
          <w:b/>
        </w:rPr>
        <w:t>s</w:t>
      </w:r>
      <w:r w:rsidRPr="007253BC">
        <w:rPr>
          <w:rFonts w:asciiTheme="minorHAnsi" w:hAnsiTheme="minorHAnsi" w:cstheme="minorHAnsi"/>
          <w:b/>
        </w:rPr>
        <w:t>ignal</w:t>
      </w:r>
      <w:r w:rsidRPr="007253BC">
        <w:rPr>
          <w:rFonts w:asciiTheme="minorHAnsi" w:hAnsiTheme="minorHAnsi" w:cstheme="minorHAnsi"/>
        </w:rPr>
        <w:t xml:space="preserve"> covers the possible strength of the behavioural impact on participants. </w:t>
      </w:r>
      <w:proofErr w:type="spellStart"/>
      <w:r w:rsidRPr="007253BC">
        <w:rPr>
          <w:rFonts w:asciiTheme="minorHAnsi" w:hAnsiTheme="minorHAnsi" w:cstheme="minorHAnsi"/>
        </w:rPr>
        <w:t>MEPS</w:t>
      </w:r>
      <w:proofErr w:type="spellEnd"/>
      <w:r w:rsidRPr="007253BC">
        <w:rPr>
          <w:rFonts w:asciiTheme="minorHAnsi" w:hAnsiTheme="minorHAnsi" w:cstheme="minorHAnsi"/>
        </w:rPr>
        <w:t xml:space="preserve"> are more likely to drive behaviour change than disclosure for example. </w:t>
      </w:r>
    </w:p>
    <w:p w14:paraId="45D12612" w14:textId="77777777" w:rsidR="00877632" w:rsidRPr="007253BC" w:rsidRDefault="00877632" w:rsidP="00A253E6">
      <w:pPr>
        <w:pStyle w:val="BodyText"/>
        <w:numPr>
          <w:ilvl w:val="0"/>
          <w:numId w:val="28"/>
        </w:numPr>
        <w:rPr>
          <w:rFonts w:asciiTheme="minorHAnsi" w:hAnsiTheme="minorHAnsi" w:cstheme="minorHAnsi"/>
        </w:rPr>
      </w:pPr>
      <w:r w:rsidRPr="007253BC">
        <w:rPr>
          <w:rFonts w:asciiTheme="minorHAnsi" w:hAnsiTheme="minorHAnsi" w:cstheme="minorHAnsi"/>
          <w:b/>
        </w:rPr>
        <w:t>Compliance cost (building owners)</w:t>
      </w:r>
      <w:r w:rsidRPr="007253BC">
        <w:rPr>
          <w:rFonts w:asciiTheme="minorHAnsi" w:hAnsiTheme="minorHAnsi" w:cstheme="minorHAnsi"/>
        </w:rPr>
        <w:t xml:space="preserve"> covers cost to building owners and tenants to implement the option. This will consider both an overall cost, and the distribution of costs amongst participants. For example, a </w:t>
      </w:r>
      <w:proofErr w:type="spellStart"/>
      <w:r w:rsidRPr="007253BC">
        <w:rPr>
          <w:rFonts w:asciiTheme="minorHAnsi" w:hAnsiTheme="minorHAnsi" w:cstheme="minorHAnsi"/>
        </w:rPr>
        <w:t>MEPS</w:t>
      </w:r>
      <w:proofErr w:type="spellEnd"/>
      <w:r w:rsidRPr="007253BC">
        <w:rPr>
          <w:rFonts w:asciiTheme="minorHAnsi" w:hAnsiTheme="minorHAnsi" w:cstheme="minorHAnsi"/>
        </w:rPr>
        <w:t xml:space="preserve"> will have zero cost for some participants already meeting standard, with a concentrated cost for others that have not met the standard.</w:t>
      </w:r>
    </w:p>
    <w:p w14:paraId="781A855D" w14:textId="6C669126" w:rsidR="009C1621" w:rsidRPr="007253BC" w:rsidRDefault="00877632" w:rsidP="00A253E6">
      <w:pPr>
        <w:pStyle w:val="BodyText"/>
        <w:numPr>
          <w:ilvl w:val="0"/>
          <w:numId w:val="28"/>
        </w:numPr>
        <w:rPr>
          <w:rFonts w:asciiTheme="minorHAnsi" w:hAnsiTheme="minorHAnsi" w:cstheme="minorHAnsi"/>
        </w:rPr>
      </w:pPr>
      <w:r w:rsidRPr="007253BC">
        <w:rPr>
          <w:rFonts w:asciiTheme="minorHAnsi" w:hAnsiTheme="minorHAnsi" w:cstheme="minorHAnsi"/>
          <w:b/>
        </w:rPr>
        <w:t>Implementation ease</w:t>
      </w:r>
      <w:r w:rsidRPr="007253BC">
        <w:rPr>
          <w:rFonts w:asciiTheme="minorHAnsi" w:hAnsiTheme="minorHAnsi" w:cstheme="minorHAnsi"/>
        </w:rPr>
        <w:t xml:space="preserve"> covers how difficult the option is to introduce and commence. It covers speed of change, administration capacity/requirements from government and building owners and tenants, number of owners impacted by the option, technological factors, alignment with current policy, political </w:t>
      </w:r>
      <w:r w:rsidR="00C63ECA" w:rsidRPr="007253BC">
        <w:rPr>
          <w:rFonts w:asciiTheme="minorHAnsi" w:hAnsiTheme="minorHAnsi" w:cstheme="minorHAnsi"/>
        </w:rPr>
        <w:t>considerations,</w:t>
      </w:r>
      <w:r w:rsidRPr="007253BC">
        <w:rPr>
          <w:rFonts w:asciiTheme="minorHAnsi" w:hAnsiTheme="minorHAnsi" w:cstheme="minorHAnsi"/>
        </w:rPr>
        <w:t xml:space="preserve"> and complementarity with other measures (for example, building codes).</w:t>
      </w:r>
    </w:p>
    <w:p w14:paraId="486696E2" w14:textId="59A064AF" w:rsidR="007E5B1C" w:rsidRPr="007253BC" w:rsidRDefault="007E5B1C" w:rsidP="00F73494">
      <w:pPr>
        <w:pStyle w:val="BodyText"/>
        <w:rPr>
          <w:rFonts w:asciiTheme="minorHAnsi" w:hAnsiTheme="minorHAnsi" w:cstheme="minorHAnsi"/>
        </w:rPr>
        <w:sectPr w:rsidR="007E5B1C" w:rsidRPr="007253BC" w:rsidSect="00A77C53">
          <w:headerReference w:type="default" r:id="rId44"/>
          <w:pgSz w:w="11906" w:h="16838"/>
          <w:pgMar w:top="851" w:right="851" w:bottom="1418" w:left="851" w:header="567" w:footer="283" w:gutter="0"/>
          <w:pgNumType w:start="22"/>
          <w:cols w:space="708"/>
          <w:docGrid w:linePitch="360"/>
        </w:sectPr>
      </w:pPr>
    </w:p>
    <w:p w14:paraId="79437B7E" w14:textId="77777777" w:rsidR="008E6447" w:rsidRPr="00F81ADB" w:rsidRDefault="008E6447" w:rsidP="008E6447">
      <w:pPr>
        <w:pStyle w:val="Heading2"/>
        <w:rPr>
          <w:rFonts w:cstheme="minorHAnsi"/>
        </w:rPr>
      </w:pPr>
      <w:bookmarkStart w:id="216" w:name="_Toc154059379"/>
      <w:r w:rsidRPr="00F81ADB">
        <w:rPr>
          <w:rFonts w:cstheme="minorHAnsi"/>
        </w:rPr>
        <w:lastRenderedPageBreak/>
        <w:t>Assessment of options</w:t>
      </w:r>
      <w:bookmarkEnd w:id="216"/>
    </w:p>
    <w:p w14:paraId="00516A4D" w14:textId="6C4AA010" w:rsidR="00804A98" w:rsidRDefault="008E6447" w:rsidP="008E6447">
      <w:pPr>
        <w:pStyle w:val="BodyText"/>
        <w:rPr>
          <w:rFonts w:asciiTheme="minorHAnsi" w:hAnsiTheme="minorHAnsi" w:cstheme="minorHAnsi"/>
        </w:rPr>
      </w:pPr>
      <w:r w:rsidRPr="007253BC">
        <w:rPr>
          <w:rFonts w:asciiTheme="minorHAnsi" w:hAnsiTheme="minorHAnsi" w:cstheme="minorHAnsi"/>
        </w:rPr>
        <w:t xml:space="preserve">The seven policy options were each assessed against the criteria presented above. These assessments are presented in </w:t>
      </w:r>
      <w:r w:rsidR="00F17405">
        <w:rPr>
          <w:rFonts w:asciiTheme="minorHAnsi" w:hAnsiTheme="minorHAnsi" w:cstheme="minorHAnsi"/>
        </w:rPr>
        <w:fldChar w:fldCharType="begin" w:fldLock="1"/>
      </w:r>
      <w:r w:rsidR="00F17405">
        <w:rPr>
          <w:rFonts w:asciiTheme="minorHAnsi" w:hAnsiTheme="minorHAnsi" w:cstheme="minorHAnsi"/>
        </w:rPr>
        <w:instrText xml:space="preserve"> REF _Ref152334695 \h  \* MERGEFORMAT </w:instrText>
      </w:r>
      <w:r w:rsidR="00F17405">
        <w:rPr>
          <w:rFonts w:asciiTheme="minorHAnsi" w:hAnsiTheme="minorHAnsi" w:cstheme="minorHAnsi"/>
        </w:rPr>
      </w:r>
      <w:r w:rsidR="00F17405">
        <w:rPr>
          <w:rFonts w:asciiTheme="minorHAnsi" w:hAnsiTheme="minorHAnsi" w:cstheme="minorHAnsi"/>
        </w:rPr>
        <w:fldChar w:fldCharType="separate"/>
      </w:r>
      <w:r w:rsidR="00F17405" w:rsidRPr="00F17405">
        <w:rPr>
          <w:rFonts w:asciiTheme="minorHAnsi" w:hAnsiTheme="minorHAnsi" w:cstheme="minorHAnsi"/>
        </w:rPr>
        <w:t>Table 19</w:t>
      </w:r>
      <w:r w:rsidR="00F17405">
        <w:rPr>
          <w:rFonts w:asciiTheme="minorHAnsi" w:hAnsiTheme="minorHAnsi" w:cstheme="minorHAnsi"/>
        </w:rPr>
        <w:fldChar w:fldCharType="end"/>
      </w:r>
      <w:r w:rsidRPr="007253BC">
        <w:rPr>
          <w:rFonts w:asciiTheme="minorHAnsi" w:hAnsiTheme="minorHAnsi" w:cstheme="minorHAnsi"/>
        </w:rPr>
        <w:t xml:space="preserve"> below</w:t>
      </w:r>
      <w:r>
        <w:rPr>
          <w:rFonts w:asciiTheme="minorHAnsi" w:hAnsiTheme="minorHAnsi" w:cstheme="minorHAnsi"/>
        </w:rPr>
        <w:t>.</w:t>
      </w:r>
    </w:p>
    <w:p w14:paraId="787CD29F" w14:textId="4EE22E18" w:rsidR="00804A98" w:rsidRPr="00744016" w:rsidRDefault="00804A98" w:rsidP="00744016">
      <w:pPr>
        <w:pStyle w:val="Caption"/>
        <w:keepNext/>
        <w:spacing w:after="120"/>
        <w:rPr>
          <w:rFonts w:ascii="Calibri" w:eastAsia="Times New Roman" w:hAnsi="Calibri" w:cs="Times New Roman"/>
          <w:b/>
          <w:bCs/>
          <w:i w:val="0"/>
          <w:iCs w:val="0"/>
          <w:color w:val="auto"/>
          <w:sz w:val="24"/>
        </w:rPr>
      </w:pPr>
      <w:bookmarkStart w:id="217" w:name="_Ref152334695"/>
      <w:bookmarkStart w:id="218" w:name="_Toc162535455"/>
      <w:r w:rsidRPr="00744016">
        <w:rPr>
          <w:rFonts w:ascii="Calibri" w:eastAsia="Times New Roman" w:hAnsi="Calibri" w:cs="Times New Roman"/>
          <w:b/>
          <w:bCs/>
          <w:i w:val="0"/>
          <w:iCs w:val="0"/>
          <w:color w:val="auto"/>
          <w:sz w:val="24"/>
        </w:rPr>
        <w:t xml:space="preserve">Table </w:t>
      </w:r>
      <w:r w:rsidRPr="00744016">
        <w:rPr>
          <w:rFonts w:ascii="Calibri" w:eastAsia="Times New Roman" w:hAnsi="Calibri" w:cs="Times New Roman"/>
          <w:b/>
          <w:bCs/>
          <w:i w:val="0"/>
          <w:iCs w:val="0"/>
          <w:color w:val="auto"/>
          <w:sz w:val="24"/>
        </w:rPr>
        <w:fldChar w:fldCharType="begin"/>
      </w:r>
      <w:r w:rsidRPr="00744016">
        <w:rPr>
          <w:rFonts w:ascii="Calibri" w:eastAsia="Times New Roman" w:hAnsi="Calibri" w:cs="Times New Roman"/>
          <w:b/>
          <w:bCs/>
          <w:i w:val="0"/>
          <w:iCs w:val="0"/>
          <w:color w:val="auto"/>
          <w:sz w:val="24"/>
        </w:rPr>
        <w:instrText xml:space="preserve"> SEQ Table \* ARABIC </w:instrText>
      </w:r>
      <w:r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19</w:t>
      </w:r>
      <w:r w:rsidRPr="00744016">
        <w:rPr>
          <w:rFonts w:ascii="Calibri" w:eastAsia="Times New Roman" w:hAnsi="Calibri" w:cs="Times New Roman"/>
          <w:b/>
          <w:bCs/>
          <w:i w:val="0"/>
          <w:iCs w:val="0"/>
          <w:color w:val="auto"/>
          <w:sz w:val="24"/>
        </w:rPr>
        <w:fldChar w:fldCharType="end"/>
      </w:r>
      <w:bookmarkEnd w:id="217"/>
      <w:r w:rsidRPr="00744016">
        <w:rPr>
          <w:rFonts w:ascii="Calibri" w:eastAsia="Times New Roman" w:hAnsi="Calibri" w:cs="Times New Roman"/>
          <w:b/>
          <w:bCs/>
          <w:i w:val="0"/>
          <w:iCs w:val="0"/>
          <w:color w:val="auto"/>
          <w:sz w:val="24"/>
        </w:rPr>
        <w:t>: Assessment of options</w:t>
      </w:r>
      <w:bookmarkEnd w:id="218"/>
    </w:p>
    <w:tbl>
      <w:tblPr>
        <w:tblStyle w:val="PlainTable1"/>
        <w:tblW w:w="13702" w:type="dxa"/>
        <w:tblLook w:val="04A0" w:firstRow="1" w:lastRow="0" w:firstColumn="1" w:lastColumn="0" w:noHBand="0" w:noVBand="1"/>
      </w:tblPr>
      <w:tblGrid>
        <w:gridCol w:w="1838"/>
        <w:gridCol w:w="1941"/>
        <w:gridCol w:w="1560"/>
        <w:gridCol w:w="2977"/>
        <w:gridCol w:w="5386"/>
      </w:tblGrid>
      <w:tr w:rsidR="0057571F" w14:paraId="07A7C5E8" w14:textId="77777777" w:rsidTr="00DE5E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34282321" w14:textId="565240A0" w:rsidR="0057571F" w:rsidRPr="007253BC" w:rsidRDefault="0057571F" w:rsidP="00F73494">
            <w:pPr>
              <w:pStyle w:val="BodyText"/>
              <w:rPr>
                <w:rFonts w:asciiTheme="minorHAnsi" w:hAnsiTheme="minorHAnsi" w:cstheme="minorHAnsi"/>
              </w:rPr>
            </w:pPr>
            <w:r w:rsidRPr="007253BC">
              <w:rPr>
                <w:rFonts w:asciiTheme="minorHAnsi" w:hAnsiTheme="minorHAnsi" w:cstheme="minorHAnsi"/>
              </w:rPr>
              <w:t>Option</w:t>
            </w:r>
          </w:p>
        </w:tc>
        <w:tc>
          <w:tcPr>
            <w:tcW w:w="1941" w:type="dxa"/>
          </w:tcPr>
          <w:p w14:paraId="02D88814" w14:textId="5E4230E8" w:rsidR="0057571F" w:rsidRPr="007253BC" w:rsidRDefault="0057571F" w:rsidP="008D5D73">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253BC">
              <w:rPr>
                <w:rFonts w:asciiTheme="minorHAnsi" w:hAnsiTheme="minorHAnsi" w:cstheme="minorHAnsi"/>
              </w:rPr>
              <w:t>Potential energy /emissions reach</w:t>
            </w:r>
          </w:p>
        </w:tc>
        <w:tc>
          <w:tcPr>
            <w:tcW w:w="1560" w:type="dxa"/>
          </w:tcPr>
          <w:p w14:paraId="47E907A2" w14:textId="13E20D07" w:rsidR="0057571F" w:rsidRPr="007253BC" w:rsidRDefault="0057571F" w:rsidP="008D5D73">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253BC">
              <w:rPr>
                <w:rFonts w:asciiTheme="minorHAnsi" w:hAnsiTheme="minorHAnsi" w:cstheme="minorHAnsi"/>
              </w:rPr>
              <w:t>Strength of signal</w:t>
            </w:r>
          </w:p>
        </w:tc>
        <w:tc>
          <w:tcPr>
            <w:tcW w:w="2977" w:type="dxa"/>
          </w:tcPr>
          <w:p w14:paraId="51D6BDAD" w14:textId="69944961" w:rsidR="0057571F" w:rsidRPr="007253BC" w:rsidRDefault="0057571F" w:rsidP="008D5D73">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253BC">
              <w:rPr>
                <w:rFonts w:asciiTheme="minorHAnsi" w:hAnsiTheme="minorHAnsi" w:cstheme="minorHAnsi"/>
              </w:rPr>
              <w:t>Compliance costs</w:t>
            </w:r>
            <w:r w:rsidR="00B325CA" w:rsidRPr="007253BC">
              <w:rPr>
                <w:rFonts w:asciiTheme="minorHAnsi" w:hAnsiTheme="minorHAnsi" w:cstheme="minorHAnsi"/>
              </w:rPr>
              <w:t xml:space="preserve"> (</w:t>
            </w:r>
            <w:r w:rsidR="00A9513E" w:rsidRPr="007253BC">
              <w:rPr>
                <w:rFonts w:asciiTheme="minorHAnsi" w:hAnsiTheme="minorHAnsi" w:cstheme="minorHAnsi"/>
              </w:rPr>
              <w:t xml:space="preserve">the </w:t>
            </w:r>
            <w:r w:rsidR="00B325CA" w:rsidRPr="007253BC">
              <w:rPr>
                <w:rFonts w:asciiTheme="minorHAnsi" w:hAnsiTheme="minorHAnsi" w:cstheme="minorHAnsi"/>
              </w:rPr>
              <w:t xml:space="preserve">more $ signs, </w:t>
            </w:r>
            <w:r w:rsidR="00A9513E" w:rsidRPr="007253BC">
              <w:rPr>
                <w:rFonts w:asciiTheme="minorHAnsi" w:hAnsiTheme="minorHAnsi" w:cstheme="minorHAnsi"/>
              </w:rPr>
              <w:t xml:space="preserve">the </w:t>
            </w:r>
            <w:r w:rsidR="00B325CA" w:rsidRPr="007253BC">
              <w:rPr>
                <w:rFonts w:asciiTheme="minorHAnsi" w:hAnsiTheme="minorHAnsi" w:cstheme="minorHAnsi"/>
              </w:rPr>
              <w:t xml:space="preserve">higher </w:t>
            </w:r>
            <w:r w:rsidR="00A9513E" w:rsidRPr="007253BC">
              <w:rPr>
                <w:rFonts w:asciiTheme="minorHAnsi" w:hAnsiTheme="minorHAnsi" w:cstheme="minorHAnsi"/>
              </w:rPr>
              <w:t xml:space="preserve">the </w:t>
            </w:r>
            <w:r w:rsidR="00B325CA" w:rsidRPr="007253BC">
              <w:rPr>
                <w:rFonts w:asciiTheme="minorHAnsi" w:hAnsiTheme="minorHAnsi" w:cstheme="minorHAnsi"/>
              </w:rPr>
              <w:t>cost</w:t>
            </w:r>
            <w:r w:rsidR="00FB0ACD" w:rsidRPr="007253BC">
              <w:rPr>
                <w:rFonts w:asciiTheme="minorHAnsi" w:hAnsiTheme="minorHAnsi" w:cstheme="minorHAnsi"/>
              </w:rPr>
              <w:t xml:space="preserve"> (</w:t>
            </w:r>
            <w:r w:rsidR="00A9513E" w:rsidRPr="007253BC">
              <w:rPr>
                <w:rFonts w:asciiTheme="minorHAnsi" w:hAnsiTheme="minorHAnsi" w:cstheme="minorHAnsi"/>
              </w:rPr>
              <w:t>not considering savings</w:t>
            </w:r>
            <w:r w:rsidR="00FB0ACD" w:rsidRPr="007253BC">
              <w:rPr>
                <w:rFonts w:asciiTheme="minorHAnsi" w:hAnsiTheme="minorHAnsi" w:cstheme="minorHAnsi"/>
              </w:rPr>
              <w:t>)</w:t>
            </w:r>
            <w:r w:rsidR="00A9513E" w:rsidRPr="007253BC">
              <w:rPr>
                <w:rFonts w:asciiTheme="minorHAnsi" w:hAnsiTheme="minorHAnsi" w:cstheme="minorHAnsi"/>
              </w:rPr>
              <w:t>)</w:t>
            </w:r>
          </w:p>
        </w:tc>
        <w:tc>
          <w:tcPr>
            <w:tcW w:w="5386" w:type="dxa"/>
          </w:tcPr>
          <w:p w14:paraId="36376EF0" w14:textId="073CCCDD" w:rsidR="0057571F" w:rsidRPr="007253BC" w:rsidRDefault="0057571F" w:rsidP="008D5D73">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253BC">
              <w:rPr>
                <w:rFonts w:asciiTheme="minorHAnsi" w:hAnsiTheme="minorHAnsi" w:cstheme="minorHAnsi"/>
              </w:rPr>
              <w:t>Implementation ease</w:t>
            </w:r>
            <w:r w:rsidR="00115402" w:rsidRPr="007253BC">
              <w:rPr>
                <w:rFonts w:asciiTheme="minorHAnsi" w:hAnsiTheme="minorHAnsi" w:cstheme="minorHAnsi"/>
              </w:rPr>
              <w:t xml:space="preserve"> (</w:t>
            </w:r>
            <w:r w:rsidR="00B325CA" w:rsidRPr="007253BC">
              <w:rPr>
                <w:rFonts w:asciiTheme="minorHAnsi" w:hAnsiTheme="minorHAnsi" w:cstheme="minorHAnsi"/>
              </w:rPr>
              <w:t>more ticks = easier to implement)</w:t>
            </w:r>
            <w:r w:rsidR="00115402" w:rsidRPr="007253BC">
              <w:rPr>
                <w:rFonts w:asciiTheme="minorHAnsi" w:hAnsiTheme="minorHAnsi" w:cstheme="minorHAnsi"/>
              </w:rPr>
              <w:t xml:space="preserve"> </w:t>
            </w:r>
          </w:p>
        </w:tc>
      </w:tr>
      <w:tr w:rsidR="0071005F" w14:paraId="0156E59E" w14:textId="77777777" w:rsidTr="00DE5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600B28" w14:textId="348545D7" w:rsidR="008D5D73" w:rsidRPr="00B1331E" w:rsidRDefault="008D5D73" w:rsidP="008D5D73">
            <w:pPr>
              <w:pStyle w:val="BodyText"/>
              <w:rPr>
                <w:rFonts w:asciiTheme="minorHAnsi" w:hAnsiTheme="minorHAnsi" w:cstheme="minorHAnsi"/>
              </w:rPr>
            </w:pPr>
            <w:r w:rsidRPr="00B1331E">
              <w:rPr>
                <w:rFonts w:asciiTheme="minorHAnsi" w:eastAsiaTheme="minorEastAsia" w:hAnsiTheme="minorHAnsi" w:cstheme="minorHAnsi"/>
                <w:color w:val="auto"/>
                <w:kern w:val="24"/>
                <w:szCs w:val="20"/>
              </w:rPr>
              <w:t xml:space="preserve">Option 1: </w:t>
            </w:r>
            <w:r w:rsidRPr="00B1331E">
              <w:rPr>
                <w:rFonts w:asciiTheme="minorHAnsi" w:eastAsiaTheme="minorEastAsia" w:hAnsiTheme="minorHAnsi" w:cstheme="minorHAnsi"/>
                <w:i/>
                <w:color w:val="auto"/>
                <w:kern w:val="24"/>
                <w:szCs w:val="20"/>
              </w:rPr>
              <w:t xml:space="preserve">BLANKET </w:t>
            </w:r>
            <w:r w:rsidR="00235863" w:rsidRPr="00B1331E">
              <w:rPr>
                <w:rFonts w:asciiTheme="minorHAnsi" w:eastAsiaTheme="minorEastAsia" w:hAnsiTheme="minorHAnsi" w:cstheme="minorHAnsi"/>
                <w:i/>
                <w:color w:val="auto"/>
                <w:kern w:val="24"/>
                <w:szCs w:val="20"/>
              </w:rPr>
              <w:t>DISCLOSURE</w:t>
            </w:r>
            <w:r w:rsidR="00DE5E00">
              <w:rPr>
                <w:rFonts w:asciiTheme="minorHAnsi" w:eastAsiaTheme="minorEastAsia" w:hAnsiTheme="minorHAnsi" w:cstheme="minorHAnsi"/>
                <w:i/>
                <w:color w:val="auto"/>
                <w:kern w:val="24"/>
                <w:szCs w:val="20"/>
              </w:rPr>
              <w:t xml:space="preserve"> rating</w:t>
            </w:r>
          </w:p>
        </w:tc>
        <w:tc>
          <w:tcPr>
            <w:tcW w:w="1941" w:type="dxa"/>
          </w:tcPr>
          <w:p w14:paraId="6198C802" w14:textId="5CB740DB" w:rsidR="008D5D73" w:rsidRPr="00B1331E" w:rsidRDefault="00850BD4" w:rsidP="008D5D73">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7220FA06" wp14:editId="0F158112">
                      <wp:extent cx="228600" cy="228600"/>
                      <wp:effectExtent l="0" t="0" r="19050" b="19050"/>
                      <wp:docPr id="1713418262" name="Freeform: Shape 1713418262" descr="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21600000"/>
                                    <a:close/>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31996C1E" id="Freeform: Shape 1713418262" o:spid="_x0000_s1026" alt="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" path="m317500,at,,635000,635000,317500,,317500,xe" fillcolor="black [3213]" strokecolor="black [3213]" strokeweight="1.5pt">
                      <v:stroke joinstyle="miter"/>
                      <v:path arrowok="t"/>
                      <o:lock v:ext="edit" aspectratio="t"/>
                      <w10:anchorlock/>
                    </v:shape>
                  </w:pict>
                </mc:Fallback>
              </mc:AlternateContent>
            </w:r>
          </w:p>
        </w:tc>
        <w:tc>
          <w:tcPr>
            <w:tcW w:w="1560" w:type="dxa"/>
          </w:tcPr>
          <w:p w14:paraId="00E0F147" w14:textId="13B3CA1A" w:rsidR="008D5D73" w:rsidRPr="00B1331E" w:rsidRDefault="00850BD4" w:rsidP="008D5D73">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79932DC6" wp14:editId="289133B7">
                      <wp:extent cx="228600" cy="228600"/>
                      <wp:effectExtent l="0" t="0" r="19050" b="19050"/>
                      <wp:docPr id="689988571" name="Freeform: Shape 689988571" descr="One quatre full circ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783CEC96" id="Freeform: Shape 689988571" o:spid="_x0000_s1026" alt="One quatre full circle "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p w14:paraId="3D3DE3B2" w14:textId="0525E40D" w:rsidR="008D5D73" w:rsidRPr="00B1331E" w:rsidRDefault="008D5D73" w:rsidP="008D5D73">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977" w:type="dxa"/>
            <w:vAlign w:val="center"/>
          </w:tcPr>
          <w:p w14:paraId="0A54FDE2" w14:textId="6FD81822" w:rsidR="008D5D73" w:rsidRPr="00B1331E" w:rsidRDefault="008D5D73" w:rsidP="008D5D73">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b/>
                <w:color w:val="auto"/>
                <w:sz w:val="32"/>
                <w:szCs w:val="32"/>
              </w:rPr>
              <w:t>$$$</w:t>
            </w:r>
            <w:r w:rsidR="005C1CE6" w:rsidRPr="00B1331E">
              <w:rPr>
                <w:rFonts w:asciiTheme="minorHAnsi" w:hAnsiTheme="minorHAnsi" w:cstheme="minorHAnsi"/>
                <w:b/>
                <w:color w:val="auto"/>
                <w:sz w:val="32"/>
                <w:szCs w:val="32"/>
              </w:rPr>
              <w:t>$</w:t>
            </w:r>
          </w:p>
        </w:tc>
        <w:tc>
          <w:tcPr>
            <w:tcW w:w="5386" w:type="dxa"/>
            <w:vAlign w:val="center"/>
          </w:tcPr>
          <w:p w14:paraId="799C6EE3" w14:textId="4989063E" w:rsidR="008D5D73" w:rsidRPr="00B1331E" w:rsidRDefault="008B045F" w:rsidP="008D5D73">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565C0">
              <w:rPr>
                <w:rFonts w:asciiTheme="minorHAnsi" w:hAnsiTheme="minorHAnsi" w:cstheme="minorHAnsi"/>
                <w:noProof/>
              </w:rPr>
              <w:drawing>
                <wp:inline distT="0" distB="0" distL="0" distR="0" wp14:anchorId="328F55A6" wp14:editId="560FABD0">
                  <wp:extent cx="185057" cy="185057"/>
                  <wp:effectExtent l="0" t="0" r="5715" b="5715"/>
                  <wp:docPr id="253" name="Picture 253"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85057" cy="185057"/>
                          </a:xfrm>
                          <a:prstGeom prst="rect">
                            <a:avLst/>
                          </a:prstGeom>
                        </pic:spPr>
                      </pic:pic>
                    </a:graphicData>
                  </a:graphic>
                </wp:inline>
              </w:drawing>
            </w:r>
            <w:r w:rsidRPr="009565C0">
              <w:rPr>
                <w:rFonts w:asciiTheme="minorHAnsi" w:hAnsiTheme="minorHAnsi" w:cstheme="minorHAnsi"/>
                <w:noProof/>
              </w:rPr>
              <w:drawing>
                <wp:inline distT="0" distB="0" distL="0" distR="0" wp14:anchorId="7D944FCE" wp14:editId="4EFCE7A5">
                  <wp:extent cx="185057" cy="185057"/>
                  <wp:effectExtent l="0" t="0" r="5715" b="5715"/>
                  <wp:docPr id="708" name="Picture 708"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85057" cy="185057"/>
                          </a:xfrm>
                          <a:prstGeom prst="rect">
                            <a:avLst/>
                          </a:prstGeom>
                        </pic:spPr>
                      </pic:pic>
                    </a:graphicData>
                  </a:graphic>
                </wp:inline>
              </w:drawing>
            </w:r>
          </w:p>
        </w:tc>
      </w:tr>
      <w:tr w:rsidR="0071005F" w14:paraId="5907B679" w14:textId="77777777" w:rsidTr="00DE5E0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7DB38848" w14:textId="1629A0A5" w:rsidR="008D5D73" w:rsidRPr="00B1331E" w:rsidRDefault="00DE5E00" w:rsidP="008D5D73">
            <w:pPr>
              <w:pStyle w:val="BodyText"/>
              <w:rPr>
                <w:rFonts w:asciiTheme="minorHAnsi" w:hAnsiTheme="minorHAnsi" w:cstheme="minorHAnsi"/>
              </w:rPr>
            </w:pPr>
            <w:r w:rsidRPr="00B1331E">
              <w:rPr>
                <w:rFonts w:asciiTheme="minorHAnsi" w:eastAsiaTheme="minorEastAsia" w:hAnsiTheme="minorHAnsi" w:cstheme="minorHAnsi"/>
                <w:color w:val="auto"/>
                <w:kern w:val="24"/>
                <w:szCs w:val="20"/>
              </w:rPr>
              <w:t xml:space="preserve">Option 1: </w:t>
            </w:r>
            <w:r w:rsidRPr="00B1331E">
              <w:rPr>
                <w:rFonts w:asciiTheme="minorHAnsi" w:eastAsiaTheme="minorEastAsia" w:hAnsiTheme="minorHAnsi" w:cstheme="minorHAnsi"/>
                <w:i/>
                <w:color w:val="auto"/>
                <w:kern w:val="24"/>
                <w:szCs w:val="20"/>
              </w:rPr>
              <w:t>BLANKET DISCLOSURE</w:t>
            </w:r>
            <w:r>
              <w:rPr>
                <w:rFonts w:asciiTheme="minorHAnsi" w:eastAsiaTheme="minorEastAsia" w:hAnsiTheme="minorHAnsi" w:cstheme="minorHAnsi"/>
                <w:i/>
                <w:color w:val="auto"/>
                <w:kern w:val="24"/>
                <w:szCs w:val="20"/>
              </w:rPr>
              <w:t xml:space="preserve"> rationale</w:t>
            </w:r>
          </w:p>
        </w:tc>
        <w:tc>
          <w:tcPr>
            <w:tcW w:w="1941" w:type="dxa"/>
            <w:shd w:val="clear" w:color="auto" w:fill="FFFFFF" w:themeFill="background1"/>
          </w:tcPr>
          <w:p w14:paraId="6B802099" w14:textId="07DED841" w:rsidR="008D5D73" w:rsidRPr="00B1331E" w:rsidRDefault="008D5D73" w:rsidP="008D5D7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 xml:space="preserve">Emissions reach estimated at </w:t>
            </w:r>
            <w:r w:rsidR="006F6DED" w:rsidRPr="00B1331E">
              <w:rPr>
                <w:rFonts w:asciiTheme="minorHAnsi" w:hAnsiTheme="minorHAnsi" w:cstheme="minorHAnsi"/>
              </w:rPr>
              <w:t xml:space="preserve">around </w:t>
            </w:r>
            <w:r w:rsidR="006F6DED" w:rsidRPr="00B1331E">
              <w:rPr>
                <w:rFonts w:asciiTheme="minorHAnsi" w:hAnsiTheme="minorHAnsi" w:cstheme="minorHAnsi"/>
                <w:b/>
              </w:rPr>
              <w:t>16</w:t>
            </w:r>
            <w:r w:rsidRPr="00B1331E">
              <w:rPr>
                <w:rFonts w:asciiTheme="minorHAnsi" w:hAnsiTheme="minorHAnsi" w:cstheme="minorHAnsi"/>
                <w:b/>
                <w:sz w:val="18"/>
                <w:szCs w:val="18"/>
              </w:rPr>
              <w:t xml:space="preserve"> MtCO</w:t>
            </w:r>
            <w:r w:rsidRPr="00B1331E">
              <w:rPr>
                <w:rFonts w:asciiTheme="minorHAnsi" w:hAnsiTheme="minorHAnsi" w:cstheme="minorHAnsi"/>
                <w:b/>
                <w:sz w:val="18"/>
                <w:szCs w:val="18"/>
                <w:vertAlign w:val="subscript"/>
              </w:rPr>
              <w:t>2</w:t>
            </w:r>
            <w:r w:rsidRPr="00B1331E">
              <w:rPr>
                <w:rFonts w:asciiTheme="minorHAnsi" w:hAnsiTheme="minorHAnsi" w:cstheme="minorHAnsi"/>
                <w:b/>
                <w:sz w:val="18"/>
                <w:szCs w:val="18"/>
              </w:rPr>
              <w:t>-e</w:t>
            </w:r>
          </w:p>
        </w:tc>
        <w:tc>
          <w:tcPr>
            <w:tcW w:w="1560" w:type="dxa"/>
            <w:shd w:val="clear" w:color="auto" w:fill="FFFFFF" w:themeFill="background1"/>
          </w:tcPr>
          <w:p w14:paraId="2D6F8F49" w14:textId="3582180A" w:rsidR="008D5D73" w:rsidRPr="00B1331E" w:rsidRDefault="008D5D73" w:rsidP="008D5D7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Disclosure policy</w:t>
            </w:r>
            <w:r w:rsidR="00115402" w:rsidRPr="00B1331E">
              <w:rPr>
                <w:rFonts w:asciiTheme="minorHAnsi" w:hAnsiTheme="minorHAnsi" w:cstheme="minorHAnsi"/>
              </w:rPr>
              <w:t>,</w:t>
            </w:r>
            <w:r w:rsidRPr="00B1331E">
              <w:rPr>
                <w:rFonts w:asciiTheme="minorHAnsi" w:hAnsiTheme="minorHAnsi" w:cstheme="minorHAnsi"/>
              </w:rPr>
              <w:t xml:space="preserve"> therefore less influence on behaviour than </w:t>
            </w:r>
            <w:proofErr w:type="spellStart"/>
            <w:r w:rsidRPr="00B1331E">
              <w:rPr>
                <w:rFonts w:asciiTheme="minorHAnsi" w:hAnsiTheme="minorHAnsi" w:cstheme="minorHAnsi"/>
              </w:rPr>
              <w:t>MEPS</w:t>
            </w:r>
            <w:proofErr w:type="spellEnd"/>
          </w:p>
        </w:tc>
        <w:tc>
          <w:tcPr>
            <w:tcW w:w="2977" w:type="dxa"/>
            <w:shd w:val="clear" w:color="auto" w:fill="FFFFFF" w:themeFill="background1"/>
          </w:tcPr>
          <w:p w14:paraId="7A254BC2" w14:textId="77777777" w:rsidR="008D5D73" w:rsidRPr="00B1331E" w:rsidRDefault="008D5D73" w:rsidP="00A253E6">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B1331E">
              <w:rPr>
                <w:rFonts w:asciiTheme="minorHAnsi" w:hAnsiTheme="minorHAnsi" w:cstheme="minorHAnsi"/>
              </w:rPr>
              <w:t>BEEC</w:t>
            </w:r>
            <w:proofErr w:type="spellEnd"/>
            <w:r w:rsidRPr="00B1331E">
              <w:rPr>
                <w:rFonts w:asciiTheme="minorHAnsi" w:hAnsiTheme="minorHAnsi" w:cstheme="minorHAnsi"/>
              </w:rPr>
              <w:t xml:space="preserve"> + periodic rating (selected buildings) + assessor fees. </w:t>
            </w:r>
          </w:p>
          <w:p w14:paraId="03D838F5" w14:textId="77777777" w:rsidR="008D5D73" w:rsidRPr="00B1331E" w:rsidRDefault="008D5D73" w:rsidP="00A253E6">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Rating cost does not vary based on size except for offices.</w:t>
            </w:r>
          </w:p>
          <w:p w14:paraId="190DBCA3" w14:textId="77777777" w:rsidR="008D5D73" w:rsidRPr="00B1331E" w:rsidRDefault="008D5D73" w:rsidP="00A253E6">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Assessor fees vary based on size.</w:t>
            </w:r>
          </w:p>
          <w:p w14:paraId="2BD8A72E" w14:textId="3F0A8471" w:rsidR="008D5D73" w:rsidRPr="00B1331E" w:rsidRDefault="008D5D73" w:rsidP="00A253E6">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More buildings included in regulatory net, including many small players new to building disclosure</w:t>
            </w:r>
          </w:p>
        </w:tc>
        <w:tc>
          <w:tcPr>
            <w:tcW w:w="5386" w:type="dxa"/>
            <w:shd w:val="clear" w:color="auto" w:fill="FFFFFF" w:themeFill="background1"/>
          </w:tcPr>
          <w:p w14:paraId="485785E5" w14:textId="77777777" w:rsidR="008D5D73" w:rsidRPr="00B1331E" w:rsidRDefault="008D5D73" w:rsidP="00A253E6">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Captures a high number of additional building types and stakeholders.</w:t>
            </w:r>
          </w:p>
          <w:p w14:paraId="60B883F9" w14:textId="77777777" w:rsidR="008D5D73" w:rsidRPr="00B1331E" w:rsidRDefault="008D5D73" w:rsidP="00A253E6">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 xml:space="preserve">There is a significant difference between the current and the proposed coverage. </w:t>
            </w:r>
          </w:p>
          <w:p w14:paraId="21ABC2DF" w14:textId="77777777" w:rsidR="008D5D73" w:rsidRPr="00B1331E" w:rsidRDefault="008D5D73" w:rsidP="00A253E6">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Implementation may be slow due to the influx of new entities into the regulatory net.</w:t>
            </w:r>
          </w:p>
          <w:p w14:paraId="555FAF90" w14:textId="77777777" w:rsidR="008D5D73" w:rsidRPr="00B1331E" w:rsidRDefault="008D5D73" w:rsidP="00A253E6">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Policy is reasonably simple so building owners can easily grasp the requirements.</w:t>
            </w:r>
          </w:p>
          <w:p w14:paraId="31926A60" w14:textId="52DF1D40" w:rsidR="008D5D73" w:rsidRPr="00B1331E" w:rsidRDefault="008D5D73" w:rsidP="00A253E6">
            <w:pPr>
              <w:pStyle w:val="BodyText"/>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rPr>
              <w:t>There will be additional requirements for government to monitor compliance.</w:t>
            </w:r>
          </w:p>
        </w:tc>
      </w:tr>
      <w:tr w:rsidR="00585198" w14:paraId="0B417ADB" w14:textId="77777777" w:rsidTr="00DE5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F01262" w14:textId="1B9DFF06" w:rsidR="00585198" w:rsidRPr="00B1331E" w:rsidRDefault="00585198" w:rsidP="00585198">
            <w:pPr>
              <w:pStyle w:val="BodyText"/>
              <w:rPr>
                <w:rFonts w:asciiTheme="minorHAnsi" w:hAnsiTheme="minorHAnsi" w:cstheme="minorHAnsi"/>
                <w:highlight w:val="green"/>
              </w:rPr>
            </w:pPr>
            <w:r w:rsidRPr="00B1331E">
              <w:rPr>
                <w:rFonts w:asciiTheme="minorHAnsi" w:eastAsiaTheme="minorEastAsia" w:hAnsiTheme="minorHAnsi" w:cstheme="minorHAnsi"/>
                <w:kern w:val="24"/>
                <w:szCs w:val="20"/>
              </w:rPr>
              <w:t xml:space="preserve">Option 2: </w:t>
            </w:r>
            <w:r w:rsidRPr="00B1331E">
              <w:rPr>
                <w:rFonts w:asciiTheme="minorHAnsi" w:eastAsiaTheme="minorEastAsia" w:hAnsiTheme="minorHAnsi" w:cstheme="minorHAnsi"/>
                <w:i/>
                <w:color w:val="auto"/>
                <w:kern w:val="24"/>
                <w:szCs w:val="20"/>
              </w:rPr>
              <w:t xml:space="preserve">TAILORED </w:t>
            </w:r>
            <w:r w:rsidR="00235863" w:rsidRPr="00B1331E">
              <w:rPr>
                <w:rFonts w:asciiTheme="minorHAnsi" w:eastAsiaTheme="minorEastAsia" w:hAnsiTheme="minorHAnsi" w:cstheme="minorHAnsi"/>
                <w:i/>
                <w:color w:val="auto"/>
                <w:kern w:val="24"/>
                <w:szCs w:val="20"/>
              </w:rPr>
              <w:t>SECTORAL DISCLOSURE</w:t>
            </w:r>
            <w:r w:rsidR="00DE5E00">
              <w:rPr>
                <w:rFonts w:asciiTheme="minorHAnsi" w:eastAsiaTheme="minorEastAsia" w:hAnsiTheme="minorHAnsi" w:cstheme="minorHAnsi"/>
                <w:i/>
                <w:color w:val="auto"/>
                <w:kern w:val="24"/>
                <w:szCs w:val="20"/>
              </w:rPr>
              <w:t xml:space="preserve"> rating</w:t>
            </w:r>
          </w:p>
        </w:tc>
        <w:tc>
          <w:tcPr>
            <w:tcW w:w="1941" w:type="dxa"/>
          </w:tcPr>
          <w:p w14:paraId="306E65D7" w14:textId="71E661D4" w:rsidR="00585198" w:rsidRPr="00B1331E" w:rsidRDefault="00850BD4" w:rsidP="0058519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1E2515D7" wp14:editId="028FF073">
                      <wp:extent cx="228600" cy="228600"/>
                      <wp:effectExtent l="0" t="0" r="19050" b="19050"/>
                      <wp:docPr id="195862991" name="Freeform: Shape 195862991" descr="Thre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16200000"/>
                                    <a:lnTo>
                                      <a:pt x="317500" y="317500"/>
                                    </a:lnTo>
                                    <a:close/>
                                  </a:path>
                                  <a:path w="635000" h="635000" fill="none">
                                    <a:moveTo>
                                      <a:pt x="0" y="317500"/>
                                    </a:moveTo>
                                    <a:arcTo wR="317500" hR="317500" stAng="10800000" swAng="54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207C553E" id="Freeform: Shape 195862991" o:spid="_x0000_s1026" alt="Thre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" path="m317500,wa,,635000,635000,317500,,,317500l317500,317500,317500,xem,317500nfwa,,635000,635000,,317500,317500,e" fillcolor="black [3213]" strokecolor="black [3213]" strokeweight="1.5pt">
                      <v:stroke joinstyle="miter"/>
                      <v:path arrowok="t"/>
                      <o:lock v:ext="edit" aspectratio="t"/>
                      <w10:anchorlock/>
                    </v:shape>
                  </w:pict>
                </mc:Fallback>
              </mc:AlternateContent>
            </w:r>
          </w:p>
          <w:p w14:paraId="6FFDE595" w14:textId="1E1FBA80" w:rsidR="00585198" w:rsidRPr="00B1331E" w:rsidRDefault="00585198" w:rsidP="0058519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Pr>
          <w:p w14:paraId="7A5D76DE" w14:textId="2BF546E3" w:rsidR="00585198" w:rsidRPr="00B1331E" w:rsidRDefault="00850BD4" w:rsidP="0058519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4C87E7F2" wp14:editId="0E4A0646">
                      <wp:extent cx="228600" cy="228600"/>
                      <wp:effectExtent l="0" t="0" r="19050" b="19050"/>
                      <wp:docPr id="1265297610" name="Freeform: Shape 1265297610" descr="On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rgbClr val="000000"/>
                              </a:solidFill>
                              <a:ln w="19050" cap="flat" cmpd="sng" algn="ctr">
                                <a:solidFill>
                                  <a:srgbClr val="000000"/>
                                </a:solidFill>
                                <a:prstDash val="solid"/>
                                <a:miter lim="800000"/>
                                <a:headEnd type="none" w="med" len="med"/>
                                <a:tailEnd type="none" w="med" len="med"/>
                              </a:ln>
                              <a:effectLst/>
                            </wps:spPr>
                            <wps:bodyPr rtlCol="0" anchor="ctr"/>
                          </wps:wsp>
                        </a:graphicData>
                      </a:graphic>
                    </wp:inline>
                  </w:drawing>
                </mc:Choice>
                <mc:Fallback>
                  <w:pict>
                    <v:shape w14:anchorId="0B847A16" id="Freeform: Shape 1265297610" o:spid="_x0000_s1026" alt="On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" path="m317500,wa,,635000,635000,317500,,635000,317500l317500,317500,317500,xem635000,317500nfwa,,635000,635000,635000,317500,317500,e" fillcolor="black" strokeweight="1.5pt">
                      <v:stroke joinstyle="miter"/>
                      <v:path arrowok="t"/>
                      <o:lock v:ext="edit" aspectratio="t"/>
                      <w10:anchorlock/>
                    </v:shape>
                  </w:pict>
                </mc:Fallback>
              </mc:AlternateContent>
            </w:r>
          </w:p>
        </w:tc>
        <w:tc>
          <w:tcPr>
            <w:tcW w:w="2977" w:type="dxa"/>
            <w:vAlign w:val="center"/>
          </w:tcPr>
          <w:p w14:paraId="6EA618A8" w14:textId="7D2825C0" w:rsidR="00585198" w:rsidRPr="00B1331E" w:rsidRDefault="00585198" w:rsidP="00585198">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b/>
                <w:color w:val="auto"/>
                <w:sz w:val="32"/>
                <w:szCs w:val="32"/>
              </w:rPr>
              <w:t>$$</w:t>
            </w:r>
          </w:p>
        </w:tc>
        <w:tc>
          <w:tcPr>
            <w:tcW w:w="5386" w:type="dxa"/>
            <w:vAlign w:val="center"/>
          </w:tcPr>
          <w:p w14:paraId="750CE887" w14:textId="34646382" w:rsidR="00585198" w:rsidRPr="00B1331E" w:rsidRDefault="00650870" w:rsidP="00585198">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1331E">
              <w:rPr>
                <w:rFonts w:asciiTheme="minorHAnsi" w:hAnsiTheme="minorHAnsi" w:cstheme="minorHAnsi"/>
                <w:noProof/>
              </w:rPr>
              <w:drawing>
                <wp:inline distT="0" distB="0" distL="0" distR="0" wp14:anchorId="6A229A1D" wp14:editId="7B0464A8">
                  <wp:extent cx="185057" cy="185057"/>
                  <wp:effectExtent l="0" t="0" r="5715" b="5715"/>
                  <wp:docPr id="717" name="Picture 717"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85057" cy="185057"/>
                          </a:xfrm>
                          <a:prstGeom prst="rect">
                            <a:avLst/>
                          </a:prstGeom>
                        </pic:spPr>
                      </pic:pic>
                    </a:graphicData>
                  </a:graphic>
                </wp:inline>
              </w:drawing>
            </w:r>
            <w:r w:rsidRPr="00B1331E">
              <w:rPr>
                <w:rFonts w:asciiTheme="minorHAnsi" w:hAnsiTheme="minorHAnsi" w:cstheme="minorHAnsi"/>
                <w:noProof/>
              </w:rPr>
              <w:drawing>
                <wp:inline distT="0" distB="0" distL="0" distR="0" wp14:anchorId="578AF56A" wp14:editId="26833160">
                  <wp:extent cx="185057" cy="185057"/>
                  <wp:effectExtent l="0" t="0" r="5715" b="5715"/>
                  <wp:docPr id="718" name="Picture 718"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85057" cy="185057"/>
                          </a:xfrm>
                          <a:prstGeom prst="rect">
                            <a:avLst/>
                          </a:prstGeom>
                        </pic:spPr>
                      </pic:pic>
                    </a:graphicData>
                  </a:graphic>
                </wp:inline>
              </w:drawing>
            </w:r>
          </w:p>
        </w:tc>
      </w:tr>
      <w:tr w:rsidR="00F24F6F" w14:paraId="412FA4E5" w14:textId="77777777" w:rsidTr="00DE5E0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6A12E81E" w14:textId="09D1C94F" w:rsidR="00F24F6F" w:rsidRPr="00780166" w:rsidRDefault="00DE5E00" w:rsidP="00F24F6F">
            <w:pPr>
              <w:pStyle w:val="BodyText"/>
              <w:rPr>
                <w:rFonts w:asciiTheme="minorHAnsi" w:hAnsiTheme="minorHAnsi" w:cstheme="minorHAnsi"/>
              </w:rPr>
            </w:pPr>
            <w:r w:rsidRPr="00B1331E">
              <w:rPr>
                <w:rFonts w:asciiTheme="minorHAnsi" w:eastAsiaTheme="minorEastAsia" w:hAnsiTheme="minorHAnsi" w:cstheme="minorHAnsi"/>
                <w:kern w:val="24"/>
                <w:szCs w:val="20"/>
              </w:rPr>
              <w:t xml:space="preserve">Option 2: </w:t>
            </w:r>
            <w:r w:rsidRPr="00B1331E">
              <w:rPr>
                <w:rFonts w:asciiTheme="minorHAnsi" w:eastAsiaTheme="minorEastAsia" w:hAnsiTheme="minorHAnsi" w:cstheme="minorHAnsi"/>
                <w:i/>
                <w:color w:val="auto"/>
                <w:kern w:val="24"/>
                <w:szCs w:val="20"/>
              </w:rPr>
              <w:t>TAILORED SECTORAL DISCLOSURE</w:t>
            </w:r>
            <w:r>
              <w:rPr>
                <w:rFonts w:asciiTheme="minorHAnsi" w:eastAsiaTheme="minorEastAsia" w:hAnsiTheme="minorHAnsi" w:cstheme="minorHAnsi"/>
                <w:i/>
                <w:color w:val="auto"/>
                <w:kern w:val="24"/>
                <w:szCs w:val="20"/>
              </w:rPr>
              <w:t xml:space="preserve"> rationale</w:t>
            </w:r>
          </w:p>
        </w:tc>
        <w:tc>
          <w:tcPr>
            <w:tcW w:w="1941" w:type="dxa"/>
            <w:shd w:val="clear" w:color="auto" w:fill="FFFFFF" w:themeFill="background1"/>
          </w:tcPr>
          <w:p w14:paraId="725FA874" w14:textId="1834D9D3" w:rsidR="00F24F6F" w:rsidRPr="00780166" w:rsidRDefault="00F24F6F" w:rsidP="00F24F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 xml:space="preserve">Emissions reach estimated at </w:t>
            </w:r>
            <w:r w:rsidR="00A1133A" w:rsidRPr="00780166">
              <w:rPr>
                <w:rFonts w:asciiTheme="minorHAnsi" w:hAnsiTheme="minorHAnsi" w:cstheme="minorHAnsi"/>
              </w:rPr>
              <w:t xml:space="preserve">around </w:t>
            </w:r>
            <w:r w:rsidRPr="00780166">
              <w:rPr>
                <w:rFonts w:asciiTheme="minorHAnsi" w:hAnsiTheme="minorHAnsi" w:cstheme="minorHAnsi"/>
                <w:b/>
                <w:sz w:val="18"/>
                <w:szCs w:val="18"/>
              </w:rPr>
              <w:t>10</w:t>
            </w:r>
            <w:r w:rsidR="002956DC" w:rsidRPr="00780166">
              <w:rPr>
                <w:rFonts w:asciiTheme="minorHAnsi" w:hAnsiTheme="minorHAnsi" w:cstheme="minorHAnsi"/>
                <w:b/>
                <w:sz w:val="18"/>
                <w:szCs w:val="18"/>
              </w:rPr>
              <w:t>.4</w:t>
            </w:r>
            <w:r w:rsidRPr="00780166">
              <w:rPr>
                <w:rFonts w:asciiTheme="minorHAnsi" w:hAnsiTheme="minorHAnsi" w:cstheme="minorHAnsi"/>
                <w:b/>
                <w:sz w:val="18"/>
                <w:szCs w:val="18"/>
              </w:rPr>
              <w:t xml:space="preserve"> MtCO</w:t>
            </w:r>
            <w:r w:rsidRPr="00780166">
              <w:rPr>
                <w:rFonts w:asciiTheme="minorHAnsi" w:hAnsiTheme="minorHAnsi" w:cstheme="minorHAnsi"/>
                <w:b/>
                <w:sz w:val="18"/>
                <w:szCs w:val="18"/>
                <w:vertAlign w:val="subscript"/>
              </w:rPr>
              <w:t>2</w:t>
            </w:r>
            <w:r w:rsidRPr="00780166">
              <w:rPr>
                <w:rFonts w:asciiTheme="minorHAnsi" w:hAnsiTheme="minorHAnsi" w:cstheme="minorHAnsi"/>
                <w:b/>
                <w:sz w:val="18"/>
                <w:szCs w:val="18"/>
              </w:rPr>
              <w:t>-e</w:t>
            </w:r>
          </w:p>
        </w:tc>
        <w:tc>
          <w:tcPr>
            <w:tcW w:w="1560" w:type="dxa"/>
            <w:shd w:val="clear" w:color="auto" w:fill="FFFFFF" w:themeFill="background1"/>
          </w:tcPr>
          <w:p w14:paraId="5ACE5703" w14:textId="3F15F9D8" w:rsidR="00F24F6F" w:rsidRPr="00780166" w:rsidRDefault="00F24F6F" w:rsidP="00F24F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Disclosure policy</w:t>
            </w:r>
            <w:r w:rsidR="00115402" w:rsidRPr="00780166">
              <w:rPr>
                <w:rFonts w:asciiTheme="minorHAnsi" w:hAnsiTheme="minorHAnsi" w:cstheme="minorHAnsi"/>
              </w:rPr>
              <w:t>,</w:t>
            </w:r>
            <w:r w:rsidRPr="00780166">
              <w:rPr>
                <w:rFonts w:asciiTheme="minorHAnsi" w:hAnsiTheme="minorHAnsi" w:cstheme="minorHAnsi"/>
              </w:rPr>
              <w:t xml:space="preserve"> therefore less influence on </w:t>
            </w:r>
            <w:r w:rsidRPr="00780166">
              <w:rPr>
                <w:rFonts w:asciiTheme="minorHAnsi" w:hAnsiTheme="minorHAnsi" w:cstheme="minorHAnsi"/>
              </w:rPr>
              <w:lastRenderedPageBreak/>
              <w:t xml:space="preserve">behaviour than </w:t>
            </w:r>
            <w:proofErr w:type="spellStart"/>
            <w:r w:rsidRPr="00780166">
              <w:rPr>
                <w:rFonts w:asciiTheme="minorHAnsi" w:hAnsiTheme="minorHAnsi" w:cstheme="minorHAnsi"/>
              </w:rPr>
              <w:t>MEPS</w:t>
            </w:r>
            <w:proofErr w:type="spellEnd"/>
          </w:p>
        </w:tc>
        <w:tc>
          <w:tcPr>
            <w:tcW w:w="2977" w:type="dxa"/>
            <w:shd w:val="clear" w:color="auto" w:fill="FFFFFF" w:themeFill="background1"/>
          </w:tcPr>
          <w:p w14:paraId="65EFF064" w14:textId="77777777" w:rsidR="00F24F6F" w:rsidRPr="00780166" w:rsidRDefault="00F24F6F" w:rsidP="00A253E6">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780166">
              <w:rPr>
                <w:rFonts w:asciiTheme="minorHAnsi" w:hAnsiTheme="minorHAnsi" w:cstheme="minorHAnsi"/>
              </w:rPr>
              <w:lastRenderedPageBreak/>
              <w:t>BEEC</w:t>
            </w:r>
            <w:proofErr w:type="spellEnd"/>
            <w:r w:rsidRPr="00780166">
              <w:rPr>
                <w:rFonts w:asciiTheme="minorHAnsi" w:hAnsiTheme="minorHAnsi" w:cstheme="minorHAnsi"/>
              </w:rPr>
              <w:t xml:space="preserve"> + periodic rating + assessor fees. </w:t>
            </w:r>
          </w:p>
          <w:p w14:paraId="40E62975" w14:textId="77777777" w:rsidR="00F24F6F" w:rsidRPr="00780166" w:rsidRDefault="00F24F6F" w:rsidP="00A253E6">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lastRenderedPageBreak/>
              <w:t>Rating cost does not vary based on size except for offices.</w:t>
            </w:r>
          </w:p>
          <w:p w14:paraId="58D15461" w14:textId="77777777" w:rsidR="00F24F6F" w:rsidRPr="00780166" w:rsidRDefault="00F24F6F" w:rsidP="00A253E6">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Assessor fees vary based on size.</w:t>
            </w:r>
          </w:p>
          <w:p w14:paraId="38ECE515" w14:textId="719EF623" w:rsidR="00F24F6F" w:rsidRPr="00780166" w:rsidRDefault="00F24F6F" w:rsidP="00A253E6">
            <w:pPr>
              <w:pStyle w:val="BodyText"/>
              <w:numPr>
                <w:ilvl w:val="0"/>
                <w:numId w:val="3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 xml:space="preserve">Less new players covered, including excluding many SMEs </w:t>
            </w:r>
          </w:p>
        </w:tc>
        <w:tc>
          <w:tcPr>
            <w:tcW w:w="5386" w:type="dxa"/>
            <w:shd w:val="clear" w:color="auto" w:fill="FFFFFF" w:themeFill="background1"/>
          </w:tcPr>
          <w:p w14:paraId="7A5581F1" w14:textId="50E7C13A" w:rsidR="00F24F6F" w:rsidRPr="00780166" w:rsidRDefault="00F24F6F" w:rsidP="00A253E6">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lastRenderedPageBreak/>
              <w:t xml:space="preserve">The flexible nature of this policy may be better received by building owners as there is careful consideration of potential challenges for different stakeholders, although it has a level of complexity to it which may be more difficult </w:t>
            </w:r>
            <w:r w:rsidRPr="00780166">
              <w:rPr>
                <w:rFonts w:asciiTheme="minorHAnsi" w:hAnsiTheme="minorHAnsi" w:cstheme="minorHAnsi"/>
              </w:rPr>
              <w:lastRenderedPageBreak/>
              <w:t>to implement (e</w:t>
            </w:r>
            <w:r w:rsidR="00780166">
              <w:rPr>
                <w:rFonts w:asciiTheme="minorHAnsi" w:hAnsiTheme="minorHAnsi" w:cstheme="minorHAnsi"/>
              </w:rPr>
              <w:t>.</w:t>
            </w:r>
            <w:r w:rsidRPr="00780166">
              <w:rPr>
                <w:rFonts w:asciiTheme="minorHAnsi" w:hAnsiTheme="minorHAnsi" w:cstheme="minorHAnsi"/>
              </w:rPr>
              <w:t>g</w:t>
            </w:r>
            <w:r w:rsidR="00780166">
              <w:rPr>
                <w:rFonts w:asciiTheme="minorHAnsi" w:hAnsiTheme="minorHAnsi" w:cstheme="minorHAnsi"/>
              </w:rPr>
              <w:t>.</w:t>
            </w:r>
            <w:r w:rsidR="00B1331E">
              <w:rPr>
                <w:rFonts w:asciiTheme="minorHAnsi" w:hAnsiTheme="minorHAnsi" w:cstheme="minorHAnsi"/>
              </w:rPr>
              <w:t>,</w:t>
            </w:r>
            <w:r w:rsidRPr="00780166">
              <w:rPr>
                <w:rFonts w:asciiTheme="minorHAnsi" w:hAnsiTheme="minorHAnsi" w:cstheme="minorHAnsi"/>
              </w:rPr>
              <w:t xml:space="preserve"> sectoral definitional issues become relevant). </w:t>
            </w:r>
          </w:p>
          <w:p w14:paraId="3D66E3AD" w14:textId="77777777" w:rsidR="00F24F6F" w:rsidRPr="00780166" w:rsidRDefault="00F24F6F" w:rsidP="00A253E6">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This option enables control over factors like scale, speed, and technological requirements.</w:t>
            </w:r>
          </w:p>
          <w:p w14:paraId="2F3937B2" w14:textId="77777777" w:rsidR="00F24F6F" w:rsidRPr="00780166" w:rsidRDefault="00F24F6F" w:rsidP="00A253E6">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This policy does not align with the existing policy as well as Option 1.</w:t>
            </w:r>
          </w:p>
          <w:p w14:paraId="731D2C0B" w14:textId="411A64F5" w:rsidR="00F24F6F" w:rsidRPr="00780166" w:rsidRDefault="00F24F6F" w:rsidP="00A253E6">
            <w:pPr>
              <w:pStyle w:val="BodyText"/>
              <w:numPr>
                <w:ilvl w:val="0"/>
                <w:numId w:val="3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There will be significant government administrative resourcing to develop new building type ratings and monitor the program.</w:t>
            </w:r>
          </w:p>
        </w:tc>
      </w:tr>
      <w:tr w:rsidR="003D7958" w14:paraId="3D1397B2" w14:textId="77777777" w:rsidTr="00DE5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BD5CB9E" w14:textId="660CD97C" w:rsidR="003D7958" w:rsidRPr="00780166" w:rsidRDefault="003D7958" w:rsidP="003D7958">
            <w:pPr>
              <w:pStyle w:val="BodyText"/>
              <w:rPr>
                <w:rFonts w:asciiTheme="minorHAnsi" w:hAnsiTheme="minorHAnsi" w:cstheme="minorHAnsi"/>
                <w:color w:val="auto"/>
              </w:rPr>
            </w:pPr>
            <w:r w:rsidRPr="00780166">
              <w:rPr>
                <w:rFonts w:asciiTheme="minorHAnsi" w:eastAsiaTheme="minorEastAsia" w:hAnsiTheme="minorHAnsi" w:cstheme="minorHAnsi"/>
                <w:color w:val="auto"/>
                <w:kern w:val="24"/>
                <w:szCs w:val="20"/>
              </w:rPr>
              <w:t xml:space="preserve">Option 3: </w:t>
            </w:r>
            <w:r w:rsidRPr="00780166">
              <w:rPr>
                <w:rFonts w:asciiTheme="minorHAnsi" w:eastAsiaTheme="minorEastAsia" w:hAnsiTheme="minorHAnsi" w:cstheme="minorHAnsi"/>
                <w:i/>
                <w:color w:val="auto"/>
                <w:kern w:val="24"/>
                <w:szCs w:val="20"/>
              </w:rPr>
              <w:t>OFFICE 500</w:t>
            </w:r>
            <w:r w:rsidR="00DE5E00">
              <w:rPr>
                <w:rFonts w:asciiTheme="minorHAnsi" w:eastAsiaTheme="minorEastAsia" w:hAnsiTheme="minorHAnsi" w:cstheme="minorHAnsi"/>
                <w:i/>
                <w:color w:val="auto"/>
                <w:kern w:val="24"/>
                <w:szCs w:val="20"/>
              </w:rPr>
              <w:t xml:space="preserve"> rating</w:t>
            </w:r>
          </w:p>
        </w:tc>
        <w:tc>
          <w:tcPr>
            <w:tcW w:w="1941" w:type="dxa"/>
          </w:tcPr>
          <w:p w14:paraId="025DFB54" w14:textId="663EBD2B" w:rsidR="003D7958" w:rsidRPr="00780166" w:rsidRDefault="00850BD4" w:rsidP="003D795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4484AF37" wp14:editId="3D325A5E">
                      <wp:extent cx="228600" cy="228600"/>
                      <wp:effectExtent l="0" t="0" r="19050" b="19050"/>
                      <wp:docPr id="1053321502" name="Freeform: Shape 1053321502" descr="On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7CAF4859" id="Freeform: Shape 1053321502" o:spid="_x0000_s1026" alt="On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" path="m317500,wa,,635000,635000,317500,,635000,317500l317500,317500,317500,xem635000,317500nfwa,,635000,635000,635000,317500,317500,e" fillcolor="black [3213]" strokecolor="black [3213]" strokeweight="1.5pt">
                      <v:stroke joinstyle="miter"/>
                      <v:path arrowok="t"/>
                      <o:lock v:ext="edit" aspectratio="t"/>
                      <w10:anchorlock/>
                    </v:shape>
                  </w:pict>
                </mc:Fallback>
              </mc:AlternateContent>
            </w:r>
          </w:p>
          <w:p w14:paraId="33F151DA" w14:textId="2B5BF8A1" w:rsidR="003D7958" w:rsidRPr="00780166" w:rsidRDefault="003D7958" w:rsidP="003D795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Pr>
          <w:p w14:paraId="4BDDEFC9" w14:textId="518C0990" w:rsidR="003D7958" w:rsidRPr="00780166" w:rsidRDefault="00850BD4" w:rsidP="003D795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10A1671C" wp14:editId="6C6917FC">
                      <wp:extent cx="228600" cy="228600"/>
                      <wp:effectExtent l="0" t="0" r="19050" b="19050"/>
                      <wp:docPr id="445498416" name="Freeform: Shape 445498416" descr="On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64999707" id="Freeform: Shape 445498416" o:spid="_x0000_s1026" alt="On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" path="m317500,wa,,635000,635000,317500,,635000,317500l317500,317500,317500,xem635000,317500nfwa,,635000,635000,635000,317500,317500,e" fillcolor="black [3213]" strokecolor="black [3213]" strokeweight="1.5pt">
                      <v:stroke joinstyle="miter"/>
                      <v:path arrowok="t"/>
                      <o:lock v:ext="edit" aspectratio="t"/>
                      <w10:anchorlock/>
                    </v:shape>
                  </w:pict>
                </mc:Fallback>
              </mc:AlternateContent>
            </w:r>
          </w:p>
        </w:tc>
        <w:tc>
          <w:tcPr>
            <w:tcW w:w="2977" w:type="dxa"/>
            <w:vAlign w:val="center"/>
          </w:tcPr>
          <w:p w14:paraId="1C44D8D3" w14:textId="79D1AE30" w:rsidR="003D7958" w:rsidRPr="00780166" w:rsidRDefault="003D7958" w:rsidP="003D7958">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b/>
                <w:color w:val="auto"/>
                <w:sz w:val="32"/>
                <w:szCs w:val="32"/>
              </w:rPr>
              <w:t>$$</w:t>
            </w:r>
          </w:p>
        </w:tc>
        <w:tc>
          <w:tcPr>
            <w:tcW w:w="5386" w:type="dxa"/>
            <w:vAlign w:val="center"/>
          </w:tcPr>
          <w:p w14:paraId="183ED239" w14:textId="7BE993B1" w:rsidR="003D7958" w:rsidRPr="00780166" w:rsidRDefault="00650870" w:rsidP="003D7958">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noProof/>
              </w:rPr>
              <w:drawing>
                <wp:inline distT="0" distB="0" distL="0" distR="0" wp14:anchorId="3B320EB6" wp14:editId="07024D7A">
                  <wp:extent cx="185057" cy="185057"/>
                  <wp:effectExtent l="0" t="0" r="5715" b="5715"/>
                  <wp:docPr id="719" name="Picture 719"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r w:rsidRPr="00780166">
              <w:rPr>
                <w:rFonts w:asciiTheme="minorHAnsi" w:hAnsiTheme="minorHAnsi" w:cstheme="minorHAnsi"/>
                <w:noProof/>
              </w:rPr>
              <w:drawing>
                <wp:inline distT="0" distB="0" distL="0" distR="0" wp14:anchorId="67D8A76E" wp14:editId="021B0196">
                  <wp:extent cx="185057" cy="185057"/>
                  <wp:effectExtent l="0" t="0" r="5715" b="5715"/>
                  <wp:docPr id="720" name="Picture 720"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r w:rsidRPr="00780166">
              <w:rPr>
                <w:rFonts w:asciiTheme="minorHAnsi" w:hAnsiTheme="minorHAnsi" w:cstheme="minorHAnsi"/>
                <w:noProof/>
              </w:rPr>
              <w:drawing>
                <wp:inline distT="0" distB="0" distL="0" distR="0" wp14:anchorId="6B2F6716" wp14:editId="35A3A44A">
                  <wp:extent cx="185057" cy="185057"/>
                  <wp:effectExtent l="0" t="0" r="5715" b="5715"/>
                  <wp:docPr id="721" name="Picture 721"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p>
        </w:tc>
      </w:tr>
      <w:tr w:rsidR="00025110" w14:paraId="3B93E4CF" w14:textId="77777777" w:rsidTr="00DE5E0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33AF49FA" w14:textId="303FFB23" w:rsidR="00025110" w:rsidRPr="00780166" w:rsidRDefault="00DE5E00" w:rsidP="00025110">
            <w:pPr>
              <w:pStyle w:val="BodyText"/>
              <w:rPr>
                <w:rFonts w:asciiTheme="minorHAnsi" w:hAnsiTheme="minorHAnsi" w:cstheme="minorHAnsi"/>
                <w:color w:val="auto"/>
              </w:rPr>
            </w:pPr>
            <w:r w:rsidRPr="00780166">
              <w:rPr>
                <w:rFonts w:asciiTheme="minorHAnsi" w:eastAsiaTheme="minorEastAsia" w:hAnsiTheme="minorHAnsi" w:cstheme="minorHAnsi"/>
                <w:color w:val="auto"/>
                <w:kern w:val="24"/>
                <w:szCs w:val="20"/>
              </w:rPr>
              <w:t xml:space="preserve">Option 3: </w:t>
            </w:r>
            <w:r w:rsidRPr="00780166">
              <w:rPr>
                <w:rFonts w:asciiTheme="minorHAnsi" w:eastAsiaTheme="minorEastAsia" w:hAnsiTheme="minorHAnsi" w:cstheme="minorHAnsi"/>
                <w:i/>
                <w:color w:val="auto"/>
                <w:kern w:val="24"/>
                <w:szCs w:val="20"/>
              </w:rPr>
              <w:t>OFFICE 500</w:t>
            </w:r>
            <w:r>
              <w:rPr>
                <w:rFonts w:asciiTheme="minorHAnsi" w:eastAsiaTheme="minorEastAsia" w:hAnsiTheme="minorHAnsi" w:cstheme="minorHAnsi"/>
                <w:i/>
                <w:color w:val="auto"/>
                <w:kern w:val="24"/>
                <w:szCs w:val="20"/>
              </w:rPr>
              <w:t xml:space="preserve"> rationale</w:t>
            </w:r>
          </w:p>
        </w:tc>
        <w:tc>
          <w:tcPr>
            <w:tcW w:w="1941" w:type="dxa"/>
            <w:shd w:val="clear" w:color="auto" w:fill="FFFFFF" w:themeFill="background1"/>
          </w:tcPr>
          <w:p w14:paraId="66B5CC24" w14:textId="188CCB9B" w:rsidR="00025110" w:rsidRPr="00780166" w:rsidRDefault="00025110" w:rsidP="00025110">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 xml:space="preserve">Emissions reach estimated at </w:t>
            </w:r>
            <w:r w:rsidR="00A1133A" w:rsidRPr="00780166">
              <w:rPr>
                <w:rFonts w:asciiTheme="minorHAnsi" w:hAnsiTheme="minorHAnsi" w:cstheme="minorHAnsi"/>
              </w:rPr>
              <w:t>around 3</w:t>
            </w:r>
            <w:r w:rsidRPr="00780166">
              <w:rPr>
                <w:rFonts w:asciiTheme="minorHAnsi" w:hAnsiTheme="minorHAnsi" w:cstheme="minorHAnsi"/>
                <w:b/>
                <w:sz w:val="18"/>
                <w:szCs w:val="18"/>
              </w:rPr>
              <w:t xml:space="preserve"> MtCO</w:t>
            </w:r>
            <w:r w:rsidRPr="00780166">
              <w:rPr>
                <w:rFonts w:asciiTheme="minorHAnsi" w:hAnsiTheme="minorHAnsi" w:cstheme="minorHAnsi"/>
                <w:b/>
                <w:sz w:val="18"/>
                <w:szCs w:val="18"/>
                <w:vertAlign w:val="subscript"/>
              </w:rPr>
              <w:t>2</w:t>
            </w:r>
            <w:r w:rsidRPr="00780166">
              <w:rPr>
                <w:rFonts w:asciiTheme="minorHAnsi" w:hAnsiTheme="minorHAnsi" w:cstheme="minorHAnsi"/>
                <w:b/>
                <w:sz w:val="18"/>
                <w:szCs w:val="18"/>
              </w:rPr>
              <w:t>-e</w:t>
            </w:r>
          </w:p>
        </w:tc>
        <w:tc>
          <w:tcPr>
            <w:tcW w:w="1560" w:type="dxa"/>
            <w:shd w:val="clear" w:color="auto" w:fill="FFFFFF" w:themeFill="background1"/>
          </w:tcPr>
          <w:p w14:paraId="6765767D" w14:textId="38E8A180" w:rsidR="00025110" w:rsidRPr="00780166" w:rsidRDefault="00025110" w:rsidP="00025110">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Disclosure policy</w:t>
            </w:r>
            <w:r w:rsidR="00115402" w:rsidRPr="00780166">
              <w:rPr>
                <w:rFonts w:asciiTheme="minorHAnsi" w:hAnsiTheme="minorHAnsi" w:cstheme="minorHAnsi"/>
              </w:rPr>
              <w:t>,</w:t>
            </w:r>
            <w:r w:rsidRPr="00780166">
              <w:rPr>
                <w:rFonts w:asciiTheme="minorHAnsi" w:hAnsiTheme="minorHAnsi" w:cstheme="minorHAnsi"/>
              </w:rPr>
              <w:t xml:space="preserve"> therefore less influence on behaviour than </w:t>
            </w:r>
            <w:proofErr w:type="spellStart"/>
            <w:r w:rsidRPr="00780166">
              <w:rPr>
                <w:rFonts w:asciiTheme="minorHAnsi" w:hAnsiTheme="minorHAnsi" w:cstheme="minorHAnsi"/>
              </w:rPr>
              <w:t>MEPS</w:t>
            </w:r>
            <w:proofErr w:type="spellEnd"/>
          </w:p>
        </w:tc>
        <w:tc>
          <w:tcPr>
            <w:tcW w:w="2977" w:type="dxa"/>
            <w:shd w:val="clear" w:color="auto" w:fill="FFFFFF" w:themeFill="background1"/>
          </w:tcPr>
          <w:p w14:paraId="7FE104EA" w14:textId="77777777" w:rsidR="00025110" w:rsidRPr="00780166" w:rsidRDefault="00025110" w:rsidP="00A253E6">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780166">
              <w:rPr>
                <w:rFonts w:asciiTheme="minorHAnsi" w:hAnsiTheme="minorHAnsi" w:cstheme="minorHAnsi"/>
              </w:rPr>
              <w:t>BEEC</w:t>
            </w:r>
            <w:proofErr w:type="spellEnd"/>
            <w:r w:rsidRPr="00780166">
              <w:rPr>
                <w:rFonts w:asciiTheme="minorHAnsi" w:hAnsiTheme="minorHAnsi" w:cstheme="minorHAnsi"/>
              </w:rPr>
              <w:t xml:space="preserve"> + annual rating + assessor fees.</w:t>
            </w:r>
          </w:p>
          <w:p w14:paraId="3A7F8B74" w14:textId="768670FA" w:rsidR="00025110" w:rsidRPr="00780166" w:rsidRDefault="00025110" w:rsidP="00025110">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 xml:space="preserve">Higher impact on businesses with less revenue compared to larger </w:t>
            </w:r>
            <w:proofErr w:type="spellStart"/>
            <w:r w:rsidRPr="00780166">
              <w:rPr>
                <w:rFonts w:asciiTheme="minorHAnsi" w:hAnsiTheme="minorHAnsi" w:cstheme="minorHAnsi"/>
              </w:rPr>
              <w:t>GFA</w:t>
            </w:r>
            <w:proofErr w:type="spellEnd"/>
            <w:r w:rsidRPr="00780166">
              <w:rPr>
                <w:rFonts w:asciiTheme="minorHAnsi" w:hAnsiTheme="minorHAnsi" w:cstheme="minorHAnsi"/>
              </w:rPr>
              <w:t xml:space="preserve"> offices.</w:t>
            </w:r>
          </w:p>
        </w:tc>
        <w:tc>
          <w:tcPr>
            <w:tcW w:w="5386" w:type="dxa"/>
            <w:shd w:val="clear" w:color="auto" w:fill="FFFFFF" w:themeFill="background1"/>
          </w:tcPr>
          <w:p w14:paraId="1EA91D49" w14:textId="77777777" w:rsidR="00025110" w:rsidRPr="00780166" w:rsidRDefault="00025110" w:rsidP="00A253E6">
            <w:pPr>
              <w:pStyle w:val="BodyText"/>
              <w:numPr>
                <w:ilvl w:val="0"/>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Strong alignment with current policy.</w:t>
            </w:r>
          </w:p>
          <w:p w14:paraId="58D533BD" w14:textId="77777777" w:rsidR="00025110" w:rsidRPr="00780166" w:rsidRDefault="00025110" w:rsidP="00A253E6">
            <w:pPr>
              <w:pStyle w:val="BodyText"/>
              <w:numPr>
                <w:ilvl w:val="0"/>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Limited additional stakeholder groups are included in the policy.</w:t>
            </w:r>
          </w:p>
          <w:p w14:paraId="4A15A626" w14:textId="062EB8AC" w:rsidR="00025110" w:rsidRPr="00780166" w:rsidRDefault="00025110" w:rsidP="00A253E6">
            <w:pPr>
              <w:pStyle w:val="BodyText"/>
              <w:numPr>
                <w:ilvl w:val="0"/>
                <w:numId w:val="41"/>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No government administrative costs to develop new building type ratings, some administrative burden monitoring the program.</w:t>
            </w:r>
          </w:p>
        </w:tc>
      </w:tr>
      <w:tr w:rsidR="00BF68BD" w14:paraId="4FE6305F" w14:textId="77777777" w:rsidTr="00DE5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3BDAD58" w14:textId="003BC532" w:rsidR="00BF68BD" w:rsidRPr="00780166" w:rsidRDefault="00BF68BD" w:rsidP="00BF68BD">
            <w:pPr>
              <w:pStyle w:val="BodyText"/>
              <w:rPr>
                <w:rFonts w:asciiTheme="minorHAnsi" w:hAnsiTheme="minorHAnsi" w:cstheme="minorHAnsi"/>
                <w:color w:val="auto"/>
              </w:rPr>
            </w:pPr>
            <w:r w:rsidRPr="00780166">
              <w:rPr>
                <w:rFonts w:asciiTheme="minorHAnsi" w:eastAsiaTheme="minorEastAsia" w:hAnsiTheme="minorHAnsi" w:cstheme="minorHAnsi"/>
                <w:color w:val="auto"/>
                <w:kern w:val="24"/>
                <w:szCs w:val="20"/>
              </w:rPr>
              <w:t xml:space="preserve">Option 4: </w:t>
            </w:r>
            <w:r w:rsidRPr="00780166">
              <w:rPr>
                <w:rFonts w:asciiTheme="minorHAnsi" w:eastAsiaTheme="minorEastAsia" w:hAnsiTheme="minorHAnsi" w:cstheme="minorHAnsi"/>
                <w:i/>
                <w:color w:val="auto"/>
                <w:kern w:val="24"/>
                <w:szCs w:val="20"/>
              </w:rPr>
              <w:t xml:space="preserve">STAR RATING </w:t>
            </w:r>
            <w:proofErr w:type="spellStart"/>
            <w:r w:rsidRPr="00780166">
              <w:rPr>
                <w:rFonts w:asciiTheme="minorHAnsi" w:eastAsiaTheme="minorEastAsia" w:hAnsiTheme="minorHAnsi" w:cstheme="minorHAnsi"/>
                <w:i/>
                <w:color w:val="auto"/>
                <w:kern w:val="24"/>
                <w:szCs w:val="20"/>
              </w:rPr>
              <w:t>MEPS</w:t>
            </w:r>
            <w:proofErr w:type="spellEnd"/>
            <w:r w:rsidRPr="00780166">
              <w:rPr>
                <w:rFonts w:asciiTheme="minorHAnsi" w:eastAsiaTheme="minorEastAsia" w:hAnsiTheme="minorHAnsi" w:cstheme="minorHAnsi"/>
                <w:i/>
                <w:color w:val="auto"/>
                <w:kern w:val="24"/>
                <w:szCs w:val="20"/>
              </w:rPr>
              <w:t xml:space="preserve"> FOR OFFICES</w:t>
            </w:r>
            <w:r w:rsidR="00DE5E00">
              <w:rPr>
                <w:rFonts w:asciiTheme="minorHAnsi" w:eastAsiaTheme="minorEastAsia" w:hAnsiTheme="minorHAnsi" w:cstheme="minorHAnsi"/>
                <w:i/>
                <w:color w:val="auto"/>
                <w:kern w:val="24"/>
                <w:szCs w:val="20"/>
              </w:rPr>
              <w:t xml:space="preserve"> rating</w:t>
            </w:r>
          </w:p>
        </w:tc>
        <w:tc>
          <w:tcPr>
            <w:tcW w:w="1941" w:type="dxa"/>
          </w:tcPr>
          <w:p w14:paraId="191A91E7" w14:textId="116F6E46" w:rsidR="00BF68BD" w:rsidRPr="00780166" w:rsidRDefault="00850BD4" w:rsidP="00BF68B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258CD53D" wp14:editId="471E8E33">
                      <wp:extent cx="230505" cy="228600"/>
                      <wp:effectExtent l="0" t="0" r="17145" b="19050"/>
                      <wp:docPr id="713234728" name="Freeform: Shape 713234728" descr="Half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0505" cy="228600"/>
                              </a:xfrm>
                              <a:custGeom>
                                <a:avLst/>
                                <a:gdLst>
                                  <a:gd name="connsiteX0" fmla="*/ 317500 w 635000"/>
                                  <a:gd name="connsiteY0" fmla="*/ 0 h 635000"/>
                                  <a:gd name="connsiteX1" fmla="*/ 635000 w 635000"/>
                                  <a:gd name="connsiteY1" fmla="*/ 317500 h 635000"/>
                                  <a:gd name="connsiteX2" fmla="*/ 301219 w 635000"/>
                                  <a:gd name="connsiteY2" fmla="*/ 635000 h 635000"/>
                                  <a:gd name="connsiteX3" fmla="*/ 317500 w 635000"/>
                                  <a:gd name="connsiteY3" fmla="*/ 0 h 635000"/>
                                  <a:gd name="connsiteX0" fmla="*/ 635000 w 635000"/>
                                  <a:gd name="connsiteY0" fmla="*/ 317500 h 635000"/>
                                  <a:gd name="connsiteX1" fmla="*/ 317500 w 635000"/>
                                  <a:gd name="connsiteY1" fmla="*/ 635000 h 635000"/>
                                  <a:gd name="connsiteX2" fmla="*/ 0 w 635000"/>
                                  <a:gd name="connsiteY2" fmla="*/ 317500 h 635000"/>
                                  <a:gd name="connsiteX3" fmla="*/ 317500 w 635000"/>
                                  <a:gd name="connsiteY3" fmla="*/ 0 h 635000"/>
                                  <a:gd name="connsiteX0" fmla="*/ 317500 w 642131"/>
                                  <a:gd name="connsiteY0" fmla="*/ 0 h 661778"/>
                                  <a:gd name="connsiteX1" fmla="*/ 635000 w 642131"/>
                                  <a:gd name="connsiteY1" fmla="*/ 317500 h 661778"/>
                                  <a:gd name="connsiteX2" fmla="*/ 545450 w 642131"/>
                                  <a:gd name="connsiteY2" fmla="*/ 553592 h 661778"/>
                                  <a:gd name="connsiteX3" fmla="*/ 301219 w 642131"/>
                                  <a:gd name="connsiteY3" fmla="*/ 635000 h 661778"/>
                                  <a:gd name="connsiteX4" fmla="*/ 317500 w 642131"/>
                                  <a:gd name="connsiteY4" fmla="*/ 0 h 661778"/>
                                  <a:gd name="connsiteX0" fmla="*/ 635000 w 642131"/>
                                  <a:gd name="connsiteY0" fmla="*/ 317500 h 661778"/>
                                  <a:gd name="connsiteX1" fmla="*/ 317500 w 642131"/>
                                  <a:gd name="connsiteY1" fmla="*/ 635000 h 661778"/>
                                  <a:gd name="connsiteX2" fmla="*/ 0 w 642131"/>
                                  <a:gd name="connsiteY2" fmla="*/ 317500 h 661778"/>
                                  <a:gd name="connsiteX3" fmla="*/ 317500 w 642131"/>
                                  <a:gd name="connsiteY3" fmla="*/ 0 h 661778"/>
                                  <a:gd name="connsiteX0" fmla="*/ 317500 w 642131"/>
                                  <a:gd name="connsiteY0" fmla="*/ 0 h 657745"/>
                                  <a:gd name="connsiteX1" fmla="*/ 635000 w 642131"/>
                                  <a:gd name="connsiteY1" fmla="*/ 317500 h 657745"/>
                                  <a:gd name="connsiteX2" fmla="*/ 545450 w 642131"/>
                                  <a:gd name="connsiteY2" fmla="*/ 553592 h 657745"/>
                                  <a:gd name="connsiteX3" fmla="*/ 301219 w 642131"/>
                                  <a:gd name="connsiteY3" fmla="*/ 635000 h 657745"/>
                                  <a:gd name="connsiteX4" fmla="*/ 317500 w 642131"/>
                                  <a:gd name="connsiteY4" fmla="*/ 0 h 657745"/>
                                  <a:gd name="connsiteX0" fmla="*/ 635000 w 642131"/>
                                  <a:gd name="connsiteY0" fmla="*/ 317500 h 657745"/>
                                  <a:gd name="connsiteX1" fmla="*/ 317500 w 642131"/>
                                  <a:gd name="connsiteY1" fmla="*/ 635000 h 657745"/>
                                  <a:gd name="connsiteX2" fmla="*/ 0 w 642131"/>
                                  <a:gd name="connsiteY2" fmla="*/ 317500 h 657745"/>
                                  <a:gd name="connsiteX3" fmla="*/ 317500 w 642131"/>
                                  <a:gd name="connsiteY3" fmla="*/ 0 h 657745"/>
                                  <a:gd name="connsiteX0" fmla="*/ 317500 w 642131"/>
                                  <a:gd name="connsiteY0" fmla="*/ 0 h 657745"/>
                                  <a:gd name="connsiteX1" fmla="*/ 635000 w 642131"/>
                                  <a:gd name="connsiteY1" fmla="*/ 317500 h 657745"/>
                                  <a:gd name="connsiteX2" fmla="*/ 545450 w 642131"/>
                                  <a:gd name="connsiteY2" fmla="*/ 553592 h 657745"/>
                                  <a:gd name="connsiteX3" fmla="*/ 301219 w 642131"/>
                                  <a:gd name="connsiteY3" fmla="*/ 635000 h 657745"/>
                                  <a:gd name="connsiteX4" fmla="*/ 317500 w 642131"/>
                                  <a:gd name="connsiteY4" fmla="*/ 0 h 657745"/>
                                  <a:gd name="connsiteX0" fmla="*/ 635000 w 642131"/>
                                  <a:gd name="connsiteY0" fmla="*/ 317500 h 657745"/>
                                  <a:gd name="connsiteX1" fmla="*/ 317501 w 642131"/>
                                  <a:gd name="connsiteY1" fmla="*/ 636527 h 657745"/>
                                  <a:gd name="connsiteX2" fmla="*/ 0 w 642131"/>
                                  <a:gd name="connsiteY2" fmla="*/ 317500 h 657745"/>
                                  <a:gd name="connsiteX3" fmla="*/ 317500 w 642131"/>
                                  <a:gd name="connsiteY3" fmla="*/ 0 h 657745"/>
                                  <a:gd name="connsiteX0" fmla="*/ 317500 w 642131"/>
                                  <a:gd name="connsiteY0" fmla="*/ 0 h 657745"/>
                                  <a:gd name="connsiteX1" fmla="*/ 635000 w 642131"/>
                                  <a:gd name="connsiteY1" fmla="*/ 317500 h 657745"/>
                                  <a:gd name="connsiteX2" fmla="*/ 545450 w 642131"/>
                                  <a:gd name="connsiteY2" fmla="*/ 553592 h 657745"/>
                                  <a:gd name="connsiteX3" fmla="*/ 301219 w 642131"/>
                                  <a:gd name="connsiteY3" fmla="*/ 635000 h 657745"/>
                                  <a:gd name="connsiteX4" fmla="*/ 317500 w 642131"/>
                                  <a:gd name="connsiteY4" fmla="*/ 0 h 657745"/>
                                  <a:gd name="connsiteX0" fmla="*/ 635000 w 642131"/>
                                  <a:gd name="connsiteY0" fmla="*/ 317500 h 657745"/>
                                  <a:gd name="connsiteX1" fmla="*/ 317501 w 642131"/>
                                  <a:gd name="connsiteY1" fmla="*/ 636527 h 657745"/>
                                  <a:gd name="connsiteX2" fmla="*/ 0 w 642131"/>
                                  <a:gd name="connsiteY2" fmla="*/ 317500 h 657745"/>
                                  <a:gd name="connsiteX3" fmla="*/ 317500 w 642131"/>
                                  <a:gd name="connsiteY3" fmla="*/ 0 h 657745"/>
                                  <a:gd name="connsiteX0" fmla="*/ 317500 w 640798"/>
                                  <a:gd name="connsiteY0" fmla="*/ 0 h 656239"/>
                                  <a:gd name="connsiteX1" fmla="*/ 635000 w 640798"/>
                                  <a:gd name="connsiteY1" fmla="*/ 317500 h 656239"/>
                                  <a:gd name="connsiteX2" fmla="*/ 524964 w 640798"/>
                                  <a:gd name="connsiteY2" fmla="*/ 539904 h 656239"/>
                                  <a:gd name="connsiteX3" fmla="*/ 301219 w 640798"/>
                                  <a:gd name="connsiteY3" fmla="*/ 635000 h 656239"/>
                                  <a:gd name="connsiteX4" fmla="*/ 317500 w 640798"/>
                                  <a:gd name="connsiteY4" fmla="*/ 0 h 656239"/>
                                  <a:gd name="connsiteX0" fmla="*/ 635000 w 640798"/>
                                  <a:gd name="connsiteY0" fmla="*/ 317500 h 656239"/>
                                  <a:gd name="connsiteX1" fmla="*/ 317501 w 640798"/>
                                  <a:gd name="connsiteY1" fmla="*/ 636527 h 656239"/>
                                  <a:gd name="connsiteX2" fmla="*/ 0 w 640798"/>
                                  <a:gd name="connsiteY2" fmla="*/ 317500 h 656239"/>
                                  <a:gd name="connsiteX3" fmla="*/ 317500 w 640798"/>
                                  <a:gd name="connsiteY3" fmla="*/ 0 h 656239"/>
                                  <a:gd name="connsiteX0" fmla="*/ 317500 w 640798"/>
                                  <a:gd name="connsiteY0" fmla="*/ 0 h 656239"/>
                                  <a:gd name="connsiteX1" fmla="*/ 635000 w 640798"/>
                                  <a:gd name="connsiteY1" fmla="*/ 317500 h 656239"/>
                                  <a:gd name="connsiteX2" fmla="*/ 524964 w 640798"/>
                                  <a:gd name="connsiteY2" fmla="*/ 539904 h 656239"/>
                                  <a:gd name="connsiteX3" fmla="*/ 301219 w 640798"/>
                                  <a:gd name="connsiteY3" fmla="*/ 635000 h 656239"/>
                                  <a:gd name="connsiteX4" fmla="*/ 317500 w 640798"/>
                                  <a:gd name="connsiteY4" fmla="*/ 0 h 656239"/>
                                  <a:gd name="connsiteX0" fmla="*/ 635000 w 640798"/>
                                  <a:gd name="connsiteY0" fmla="*/ 317500 h 656239"/>
                                  <a:gd name="connsiteX1" fmla="*/ 324334 w 640798"/>
                                  <a:gd name="connsiteY1" fmla="*/ 635070 h 656239"/>
                                  <a:gd name="connsiteX2" fmla="*/ 0 w 640798"/>
                                  <a:gd name="connsiteY2" fmla="*/ 317500 h 656239"/>
                                  <a:gd name="connsiteX3" fmla="*/ 317500 w 640798"/>
                                  <a:gd name="connsiteY3" fmla="*/ 0 h 656239"/>
                                  <a:gd name="connsiteX0" fmla="*/ 317500 w 640798"/>
                                  <a:gd name="connsiteY0" fmla="*/ 0 h 656239"/>
                                  <a:gd name="connsiteX1" fmla="*/ 635000 w 640798"/>
                                  <a:gd name="connsiteY1" fmla="*/ 317500 h 656239"/>
                                  <a:gd name="connsiteX2" fmla="*/ 524964 w 640798"/>
                                  <a:gd name="connsiteY2" fmla="*/ 539904 h 656239"/>
                                  <a:gd name="connsiteX3" fmla="*/ 301219 w 640798"/>
                                  <a:gd name="connsiteY3" fmla="*/ 635000 h 656239"/>
                                  <a:gd name="connsiteX4" fmla="*/ 317500 w 640798"/>
                                  <a:gd name="connsiteY4" fmla="*/ 0 h 656239"/>
                                  <a:gd name="connsiteX0" fmla="*/ 635000 w 640798"/>
                                  <a:gd name="connsiteY0" fmla="*/ 317500 h 656239"/>
                                  <a:gd name="connsiteX1" fmla="*/ 324334 w 640798"/>
                                  <a:gd name="connsiteY1" fmla="*/ 635070 h 656239"/>
                                  <a:gd name="connsiteX2" fmla="*/ 0 w 640798"/>
                                  <a:gd name="connsiteY2" fmla="*/ 317500 h 656239"/>
                                  <a:gd name="connsiteX3" fmla="*/ 317500 w 640798"/>
                                  <a:gd name="connsiteY3" fmla="*/ 0 h 656239"/>
                                  <a:gd name="connsiteX0" fmla="*/ 317500 w 640798"/>
                                  <a:gd name="connsiteY0" fmla="*/ 0 h 635070"/>
                                  <a:gd name="connsiteX1" fmla="*/ 635000 w 640798"/>
                                  <a:gd name="connsiteY1" fmla="*/ 317500 h 635070"/>
                                  <a:gd name="connsiteX2" fmla="*/ 524964 w 640798"/>
                                  <a:gd name="connsiteY2" fmla="*/ 539904 h 635070"/>
                                  <a:gd name="connsiteX3" fmla="*/ 328551 w 640798"/>
                                  <a:gd name="connsiteY3" fmla="*/ 594029 h 635070"/>
                                  <a:gd name="connsiteX4" fmla="*/ 317500 w 640798"/>
                                  <a:gd name="connsiteY4" fmla="*/ 0 h 635070"/>
                                  <a:gd name="connsiteX0" fmla="*/ 635000 w 640798"/>
                                  <a:gd name="connsiteY0" fmla="*/ 317500 h 635070"/>
                                  <a:gd name="connsiteX1" fmla="*/ 324334 w 640798"/>
                                  <a:gd name="connsiteY1" fmla="*/ 635070 h 635070"/>
                                  <a:gd name="connsiteX2" fmla="*/ 0 w 640798"/>
                                  <a:gd name="connsiteY2" fmla="*/ 317500 h 635070"/>
                                  <a:gd name="connsiteX3" fmla="*/ 317500 w 640798"/>
                                  <a:gd name="connsiteY3" fmla="*/ 0 h 635070"/>
                                </a:gdLst>
                                <a:ahLst/>
                                <a:cxnLst>
                                  <a:cxn ang="0">
                                    <a:pos x="connsiteX0" y="connsiteY0"/>
                                  </a:cxn>
                                  <a:cxn ang="0">
                                    <a:pos x="connsiteX1" y="connsiteY1"/>
                                  </a:cxn>
                                  <a:cxn ang="0">
                                    <a:pos x="connsiteX2" y="connsiteY2"/>
                                  </a:cxn>
                                  <a:cxn ang="0">
                                    <a:pos x="connsiteX3" y="connsiteY3"/>
                                  </a:cxn>
                                </a:cxnLst>
                                <a:rect l="l" t="t" r="r" b="b"/>
                                <a:pathLst>
                                  <a:path w="640798" h="635070">
                                    <a:moveTo>
                                      <a:pt x="317500" y="0"/>
                                    </a:moveTo>
                                    <a:cubicBezTo>
                                      <a:pt x="492850" y="0"/>
                                      <a:pt x="635000" y="142150"/>
                                      <a:pt x="635000" y="317500"/>
                                    </a:cubicBezTo>
                                    <a:cubicBezTo>
                                      <a:pt x="663493" y="393483"/>
                                      <a:pt x="580594" y="486987"/>
                                      <a:pt x="524964" y="539904"/>
                                    </a:cubicBezTo>
                                    <a:cubicBezTo>
                                      <a:pt x="461190" y="560242"/>
                                      <a:pt x="357044" y="670012"/>
                                      <a:pt x="328551" y="594029"/>
                                    </a:cubicBezTo>
                                    <a:cubicBezTo>
                                      <a:pt x="328551" y="488196"/>
                                      <a:pt x="317500" y="105833"/>
                                      <a:pt x="317500" y="0"/>
                                    </a:cubicBezTo>
                                    <a:close/>
                                  </a:path>
                                  <a:path w="640798" h="635070" fill="none">
                                    <a:moveTo>
                                      <a:pt x="635000" y="317500"/>
                                    </a:moveTo>
                                    <a:cubicBezTo>
                                      <a:pt x="635000" y="492850"/>
                                      <a:pt x="499684" y="635070"/>
                                      <a:pt x="324334" y="635070"/>
                                    </a:cubicBezTo>
                                    <a:cubicBezTo>
                                      <a:pt x="148984" y="635070"/>
                                      <a:pt x="0" y="492850"/>
                                      <a:pt x="0" y="317500"/>
                                    </a:cubicBezTo>
                                    <a:cubicBezTo>
                                      <a:pt x="0" y="142150"/>
                                      <a:pt x="142150" y="0"/>
                                      <a:pt x="317500" y="0"/>
                                    </a:cubicBezTo>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115FBA16" id="Freeform: Shape 713234728" o:spid="_x0000_s1026" alt="Half full circle" style="width:18.15pt;height:18pt;visibility:visible;mso-wrap-style:square;mso-left-percent:-10001;mso-top-percent:-10001;mso-position-horizontal:absolute;mso-position-horizontal-relative:char;mso-position-vertical:absolute;mso-position-vertical-relative:line;mso-left-percent:-10001;mso-top-percent:-10001;v-text-anchor:middle" coordsize="640798,63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" path="m317500,c492850,,635000,142150,635000,317500v28493,75983,-54406,169487,-110036,222404c461190,560242,357044,670012,328551,594029,328551,488196,317500,105833,317500,xem635000,317500nfc635000,492850,499684,635070,324334,635070,148984,635070,,492850,,317500,,142150,142150,,317500,e" fillcolor="black [3213]" strokecolor="black [3213]" strokeweight="1.5pt">
                      <v:stroke joinstyle="miter"/>
                      <v:path arrowok="t" o:connecttype="custom" o:connectlocs="228419,114287;116668,228600;0,114287;114210,0" o:connectangles="0,0,0,0"/>
                      <o:lock v:ext="edit" aspectratio="t"/>
                      <w10:anchorlock/>
                    </v:shape>
                  </w:pict>
                </mc:Fallback>
              </mc:AlternateContent>
            </w:r>
          </w:p>
          <w:p w14:paraId="0EAFE223" w14:textId="0273373B" w:rsidR="00BF68BD" w:rsidRPr="00780166" w:rsidRDefault="00BF68BD" w:rsidP="00BF68B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Pr>
          <w:p w14:paraId="0C83120A" w14:textId="71354CD9" w:rsidR="00BF68BD" w:rsidRPr="00780166" w:rsidRDefault="00850BD4" w:rsidP="00BF68B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14C93570" wp14:editId="2074B742">
                      <wp:extent cx="228600" cy="228600"/>
                      <wp:effectExtent l="0" t="0" r="19050" b="19050"/>
                      <wp:docPr id="934544363" name="Freeform: Shape 934544363" descr="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21600000"/>
                                    <a:close/>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1607E338" id="Freeform: Shape 934544363" o:spid="_x0000_s1026" alt="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" path="m317500,at,,635000,635000,317500,,317500,xe" fillcolor="black [3213]" strokecolor="black [3213]" strokeweight="1.5pt">
                      <v:stroke joinstyle="miter"/>
                      <v:path arrowok="t"/>
                      <o:lock v:ext="edit" aspectratio="t"/>
                      <w10:anchorlock/>
                    </v:shape>
                  </w:pict>
                </mc:Fallback>
              </mc:AlternateContent>
            </w:r>
          </w:p>
        </w:tc>
        <w:tc>
          <w:tcPr>
            <w:tcW w:w="2977" w:type="dxa"/>
            <w:vAlign w:val="center"/>
          </w:tcPr>
          <w:p w14:paraId="1B57BB63" w14:textId="13D1E265" w:rsidR="00BF68BD" w:rsidRPr="00780166" w:rsidRDefault="00E72798" w:rsidP="00E72798">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b/>
                <w:color w:val="auto"/>
                <w:sz w:val="32"/>
                <w:szCs w:val="32"/>
              </w:rPr>
              <w:t>$$$$</w:t>
            </w:r>
          </w:p>
        </w:tc>
        <w:tc>
          <w:tcPr>
            <w:tcW w:w="5386" w:type="dxa"/>
            <w:vAlign w:val="center"/>
          </w:tcPr>
          <w:p w14:paraId="0FBC8FD2" w14:textId="24503F51" w:rsidR="00BF68BD" w:rsidRPr="00780166" w:rsidRDefault="00650870" w:rsidP="00BF68BD">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noProof/>
              </w:rPr>
              <w:drawing>
                <wp:inline distT="0" distB="0" distL="0" distR="0" wp14:anchorId="018CFAC7" wp14:editId="4A8EB8EE">
                  <wp:extent cx="185057" cy="185057"/>
                  <wp:effectExtent l="0" t="0" r="5715" b="5715"/>
                  <wp:docPr id="722" name="Picture 722"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r w:rsidRPr="00780166">
              <w:rPr>
                <w:rFonts w:asciiTheme="minorHAnsi" w:hAnsiTheme="minorHAnsi" w:cstheme="minorHAnsi"/>
                <w:noProof/>
              </w:rPr>
              <w:drawing>
                <wp:inline distT="0" distB="0" distL="0" distR="0" wp14:anchorId="01CAB256" wp14:editId="5F7BC48A">
                  <wp:extent cx="185057" cy="185057"/>
                  <wp:effectExtent l="0" t="0" r="5715" b="5715"/>
                  <wp:docPr id="723" name="Picture 723" descr="Tick&#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descr="Tick&#10;">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p>
        </w:tc>
      </w:tr>
      <w:tr w:rsidR="000D2534" w14:paraId="1B8FD13B" w14:textId="77777777" w:rsidTr="00DE5E0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745CEF24" w14:textId="3E8B3685" w:rsidR="000D2534" w:rsidRPr="00121748" w:rsidRDefault="00DE5E00" w:rsidP="000D2534">
            <w:pPr>
              <w:pStyle w:val="BodyText"/>
              <w:rPr>
                <w:rFonts w:asciiTheme="minorHAnsi" w:eastAsiaTheme="minorEastAsia" w:hAnsiTheme="minorHAnsi" w:cstheme="minorHAnsi"/>
                <w:color w:val="auto"/>
                <w:kern w:val="24"/>
                <w:szCs w:val="20"/>
              </w:rPr>
            </w:pPr>
            <w:r w:rsidRPr="00780166">
              <w:rPr>
                <w:rFonts w:asciiTheme="minorHAnsi" w:eastAsiaTheme="minorEastAsia" w:hAnsiTheme="minorHAnsi" w:cstheme="minorHAnsi"/>
                <w:color w:val="auto"/>
                <w:kern w:val="24"/>
                <w:szCs w:val="20"/>
              </w:rPr>
              <w:t xml:space="preserve">Option 4: </w:t>
            </w:r>
            <w:r w:rsidRPr="00780166">
              <w:rPr>
                <w:rFonts w:asciiTheme="minorHAnsi" w:eastAsiaTheme="minorEastAsia" w:hAnsiTheme="minorHAnsi" w:cstheme="minorHAnsi"/>
                <w:i/>
                <w:color w:val="auto"/>
                <w:kern w:val="24"/>
                <w:szCs w:val="20"/>
              </w:rPr>
              <w:t xml:space="preserve">STAR RATING </w:t>
            </w:r>
            <w:proofErr w:type="spellStart"/>
            <w:r w:rsidRPr="00780166">
              <w:rPr>
                <w:rFonts w:asciiTheme="minorHAnsi" w:eastAsiaTheme="minorEastAsia" w:hAnsiTheme="minorHAnsi" w:cstheme="minorHAnsi"/>
                <w:i/>
                <w:color w:val="auto"/>
                <w:kern w:val="24"/>
                <w:szCs w:val="20"/>
              </w:rPr>
              <w:t>MEPS</w:t>
            </w:r>
            <w:proofErr w:type="spellEnd"/>
            <w:r w:rsidRPr="00780166">
              <w:rPr>
                <w:rFonts w:asciiTheme="minorHAnsi" w:eastAsiaTheme="minorEastAsia" w:hAnsiTheme="minorHAnsi" w:cstheme="minorHAnsi"/>
                <w:i/>
                <w:color w:val="auto"/>
                <w:kern w:val="24"/>
                <w:szCs w:val="20"/>
              </w:rPr>
              <w:t xml:space="preserve"> FOR OFFICES</w:t>
            </w:r>
            <w:r>
              <w:rPr>
                <w:rFonts w:asciiTheme="minorHAnsi" w:eastAsiaTheme="minorEastAsia" w:hAnsiTheme="minorHAnsi" w:cstheme="minorHAnsi"/>
                <w:i/>
                <w:color w:val="auto"/>
                <w:kern w:val="24"/>
                <w:szCs w:val="20"/>
              </w:rPr>
              <w:t xml:space="preserve"> rationale</w:t>
            </w:r>
          </w:p>
        </w:tc>
        <w:tc>
          <w:tcPr>
            <w:tcW w:w="1941" w:type="dxa"/>
            <w:shd w:val="clear" w:color="auto" w:fill="FFFFFF" w:themeFill="background1"/>
          </w:tcPr>
          <w:p w14:paraId="27972A9C" w14:textId="77777777" w:rsidR="00A66311" w:rsidRPr="00121748" w:rsidRDefault="000D2534" w:rsidP="000D253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Emissions reach estimated at</w:t>
            </w:r>
            <w:r w:rsidR="00D322DA" w:rsidRPr="00121748">
              <w:rPr>
                <w:rFonts w:asciiTheme="minorHAnsi" w:hAnsiTheme="minorHAnsi" w:cstheme="minorHAnsi"/>
              </w:rPr>
              <w:t xml:space="preserve"> </w:t>
            </w:r>
          </w:p>
          <w:p w14:paraId="771662AB" w14:textId="429A5CC2" w:rsidR="000D2534" w:rsidRPr="00121748" w:rsidRDefault="00A66311" w:rsidP="000D253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21748">
              <w:rPr>
                <w:rFonts w:asciiTheme="minorHAnsi" w:hAnsiTheme="minorHAnsi" w:cstheme="minorHAnsi"/>
                <w:b/>
              </w:rPr>
              <w:t xml:space="preserve">4 Star </w:t>
            </w:r>
            <w:proofErr w:type="spellStart"/>
            <w:r w:rsidRPr="00121748">
              <w:rPr>
                <w:rFonts w:asciiTheme="minorHAnsi" w:hAnsiTheme="minorHAnsi" w:cstheme="minorHAnsi"/>
                <w:b/>
              </w:rPr>
              <w:t>MEPS</w:t>
            </w:r>
            <w:proofErr w:type="spellEnd"/>
            <w:r w:rsidR="000D2534" w:rsidRPr="00121748">
              <w:rPr>
                <w:rFonts w:asciiTheme="minorHAnsi" w:hAnsiTheme="minorHAnsi" w:cstheme="minorHAnsi"/>
              </w:rPr>
              <w:t xml:space="preserve"> </w:t>
            </w:r>
            <w:r w:rsidR="005559DC" w:rsidRPr="00121748">
              <w:rPr>
                <w:rFonts w:asciiTheme="minorHAnsi" w:hAnsiTheme="minorHAnsi" w:cstheme="minorHAnsi"/>
                <w:b/>
                <w:sz w:val="18"/>
                <w:szCs w:val="18"/>
              </w:rPr>
              <w:t>0.</w:t>
            </w:r>
            <w:r w:rsidR="00717379" w:rsidRPr="00121748">
              <w:rPr>
                <w:rFonts w:asciiTheme="minorHAnsi" w:hAnsiTheme="minorHAnsi" w:cstheme="minorHAnsi"/>
                <w:b/>
                <w:sz w:val="18"/>
                <w:szCs w:val="18"/>
              </w:rPr>
              <w:t>38</w:t>
            </w:r>
            <w:r w:rsidR="000D2534" w:rsidRPr="00121748">
              <w:rPr>
                <w:rFonts w:asciiTheme="minorHAnsi" w:hAnsiTheme="minorHAnsi" w:cstheme="minorHAnsi"/>
                <w:b/>
                <w:sz w:val="18"/>
                <w:szCs w:val="18"/>
              </w:rPr>
              <w:t xml:space="preserve"> </w:t>
            </w:r>
            <w:proofErr w:type="spellStart"/>
            <w:r w:rsidR="000D2534" w:rsidRPr="00121748">
              <w:rPr>
                <w:rFonts w:asciiTheme="minorHAnsi" w:hAnsiTheme="minorHAnsi" w:cstheme="minorHAnsi"/>
                <w:b/>
                <w:sz w:val="18"/>
                <w:szCs w:val="18"/>
              </w:rPr>
              <w:t>MtCO</w:t>
            </w:r>
            <w:r w:rsidR="000D2534" w:rsidRPr="00121748">
              <w:rPr>
                <w:rFonts w:asciiTheme="minorHAnsi" w:hAnsiTheme="minorHAnsi" w:cstheme="minorHAnsi"/>
                <w:b/>
                <w:sz w:val="18"/>
                <w:szCs w:val="18"/>
                <w:vertAlign w:val="subscript"/>
              </w:rPr>
              <w:t>2</w:t>
            </w:r>
            <w:proofErr w:type="spellEnd"/>
            <w:r w:rsidR="000D2534" w:rsidRPr="00121748">
              <w:rPr>
                <w:rFonts w:asciiTheme="minorHAnsi" w:hAnsiTheme="minorHAnsi" w:cstheme="minorHAnsi"/>
                <w:b/>
                <w:sz w:val="18"/>
                <w:szCs w:val="18"/>
              </w:rPr>
              <w:t>-e</w:t>
            </w:r>
          </w:p>
          <w:p w14:paraId="2C4F1FA1" w14:textId="43E54F39" w:rsidR="00A66311" w:rsidRPr="00121748" w:rsidRDefault="00A66311" w:rsidP="000D253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b/>
                <w:sz w:val="18"/>
                <w:szCs w:val="18"/>
              </w:rPr>
              <w:t xml:space="preserve">5 Star </w:t>
            </w:r>
            <w:proofErr w:type="spellStart"/>
            <w:r w:rsidRPr="00121748">
              <w:rPr>
                <w:rFonts w:asciiTheme="minorHAnsi" w:hAnsiTheme="minorHAnsi" w:cstheme="minorHAnsi"/>
                <w:b/>
                <w:sz w:val="18"/>
                <w:szCs w:val="18"/>
              </w:rPr>
              <w:t>MEPS</w:t>
            </w:r>
            <w:proofErr w:type="spellEnd"/>
            <w:r w:rsidRPr="00121748">
              <w:rPr>
                <w:rFonts w:asciiTheme="minorHAnsi" w:hAnsiTheme="minorHAnsi" w:cstheme="minorHAnsi"/>
                <w:b/>
                <w:sz w:val="18"/>
                <w:szCs w:val="18"/>
              </w:rPr>
              <w:t xml:space="preserve"> </w:t>
            </w:r>
            <w:r w:rsidR="00717379" w:rsidRPr="00121748">
              <w:rPr>
                <w:rFonts w:asciiTheme="minorHAnsi" w:hAnsiTheme="minorHAnsi" w:cstheme="minorHAnsi"/>
                <w:b/>
                <w:sz w:val="18"/>
                <w:szCs w:val="18"/>
              </w:rPr>
              <w:t xml:space="preserve">0.94 </w:t>
            </w:r>
            <w:proofErr w:type="spellStart"/>
            <w:r w:rsidR="00717379" w:rsidRPr="00121748">
              <w:rPr>
                <w:rFonts w:asciiTheme="minorHAnsi" w:hAnsiTheme="minorHAnsi" w:cstheme="minorHAnsi"/>
                <w:b/>
                <w:sz w:val="18"/>
                <w:szCs w:val="18"/>
              </w:rPr>
              <w:t>MtCO</w:t>
            </w:r>
            <w:r w:rsidR="00717379" w:rsidRPr="00121748">
              <w:rPr>
                <w:rFonts w:asciiTheme="minorHAnsi" w:hAnsiTheme="minorHAnsi" w:cstheme="minorHAnsi"/>
                <w:b/>
                <w:sz w:val="18"/>
                <w:szCs w:val="18"/>
                <w:vertAlign w:val="subscript"/>
              </w:rPr>
              <w:t>2</w:t>
            </w:r>
            <w:proofErr w:type="spellEnd"/>
            <w:r w:rsidR="00717379" w:rsidRPr="00121748">
              <w:rPr>
                <w:rFonts w:asciiTheme="minorHAnsi" w:hAnsiTheme="minorHAnsi" w:cstheme="minorHAnsi"/>
                <w:b/>
                <w:sz w:val="18"/>
                <w:szCs w:val="18"/>
              </w:rPr>
              <w:t>-e</w:t>
            </w:r>
          </w:p>
        </w:tc>
        <w:tc>
          <w:tcPr>
            <w:tcW w:w="1560" w:type="dxa"/>
            <w:shd w:val="clear" w:color="auto" w:fill="FFFFFF" w:themeFill="background1"/>
          </w:tcPr>
          <w:p w14:paraId="727D3E86" w14:textId="709ABD2E" w:rsidR="000D2534" w:rsidRPr="00121748" w:rsidRDefault="000D2534" w:rsidP="000D253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121748">
              <w:rPr>
                <w:rFonts w:asciiTheme="minorHAnsi" w:hAnsiTheme="minorHAnsi" w:cstheme="minorHAnsi"/>
              </w:rPr>
              <w:t>MEPS</w:t>
            </w:r>
            <w:proofErr w:type="spellEnd"/>
            <w:r w:rsidRPr="00121748">
              <w:rPr>
                <w:rFonts w:asciiTheme="minorHAnsi" w:hAnsiTheme="minorHAnsi" w:cstheme="minorHAnsi"/>
              </w:rPr>
              <w:t xml:space="preserve"> likely to influence behaviour for those that must meet the requirement</w:t>
            </w:r>
          </w:p>
        </w:tc>
        <w:tc>
          <w:tcPr>
            <w:tcW w:w="2977" w:type="dxa"/>
            <w:shd w:val="clear" w:color="auto" w:fill="FFFFFF" w:themeFill="background1"/>
          </w:tcPr>
          <w:p w14:paraId="7B5893FB" w14:textId="77777777" w:rsidR="000D2534" w:rsidRPr="00121748" w:rsidRDefault="000D2534" w:rsidP="00A253E6">
            <w:pPr>
              <w:pStyle w:val="BodyText"/>
              <w:numPr>
                <w:ilvl w:val="0"/>
                <w:numId w:val="3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 xml:space="preserve">Building operational performance and capital expenditure upgrade costs </w:t>
            </w:r>
          </w:p>
          <w:p w14:paraId="1031F135" w14:textId="77777777" w:rsidR="000D2534" w:rsidRPr="00121748" w:rsidRDefault="000D2534" w:rsidP="00A253E6">
            <w:pPr>
              <w:pStyle w:val="BodyText"/>
              <w:numPr>
                <w:ilvl w:val="0"/>
                <w:numId w:val="3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 xml:space="preserve">Lower cost to achieve short term minimum standard and </w:t>
            </w:r>
            <w:r w:rsidRPr="00121748">
              <w:rPr>
                <w:rFonts w:asciiTheme="minorHAnsi" w:hAnsiTheme="minorHAnsi" w:cstheme="minorHAnsi"/>
              </w:rPr>
              <w:lastRenderedPageBreak/>
              <w:t>higher cost to achieve long term minimum standard.</w:t>
            </w:r>
          </w:p>
          <w:p w14:paraId="66FF3CD1" w14:textId="77777777" w:rsidR="000D2534" w:rsidRPr="00121748" w:rsidRDefault="000D2534" w:rsidP="00A253E6">
            <w:pPr>
              <w:pStyle w:val="BodyText"/>
              <w:numPr>
                <w:ilvl w:val="0"/>
                <w:numId w:val="3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 xml:space="preserve">Accompanied by practical and financial </w:t>
            </w:r>
            <w:proofErr w:type="gramStart"/>
            <w:r w:rsidRPr="00121748">
              <w:rPr>
                <w:rFonts w:asciiTheme="minorHAnsi" w:hAnsiTheme="minorHAnsi" w:cstheme="minorHAnsi"/>
              </w:rPr>
              <w:t>support</w:t>
            </w:r>
            <w:proofErr w:type="gramEnd"/>
            <w:r w:rsidRPr="00121748">
              <w:rPr>
                <w:rFonts w:asciiTheme="minorHAnsi" w:hAnsiTheme="minorHAnsi" w:cstheme="minorHAnsi"/>
              </w:rPr>
              <w:t xml:space="preserve"> </w:t>
            </w:r>
          </w:p>
          <w:p w14:paraId="49D48F1E" w14:textId="68CD1177" w:rsidR="000D2534" w:rsidRPr="00121748" w:rsidRDefault="000D2534" w:rsidP="00A253E6">
            <w:pPr>
              <w:pStyle w:val="BodyText"/>
              <w:numPr>
                <w:ilvl w:val="0"/>
                <w:numId w:val="4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Enhanced funding and finance options.</w:t>
            </w:r>
          </w:p>
        </w:tc>
        <w:tc>
          <w:tcPr>
            <w:tcW w:w="5386" w:type="dxa"/>
            <w:shd w:val="clear" w:color="auto" w:fill="FFFFFF" w:themeFill="background1"/>
          </w:tcPr>
          <w:p w14:paraId="1E23DF85"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lastRenderedPageBreak/>
              <w:t>Inclusion of current cohort entities (offices that disclose already) that may be more amenable to increased requirements.</w:t>
            </w:r>
          </w:p>
          <w:p w14:paraId="6142AA43"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Government buildings are already included.</w:t>
            </w:r>
          </w:p>
          <w:p w14:paraId="558AA7FA"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lastRenderedPageBreak/>
              <w:t xml:space="preserve">Smaller cohort needing to </w:t>
            </w:r>
            <w:proofErr w:type="gramStart"/>
            <w:r w:rsidRPr="00121748">
              <w:rPr>
                <w:rFonts w:asciiTheme="minorHAnsi" w:hAnsiTheme="minorHAnsi" w:cstheme="minorHAnsi"/>
              </w:rPr>
              <w:t>actually change</w:t>
            </w:r>
            <w:proofErr w:type="gramEnd"/>
            <w:r w:rsidRPr="00121748">
              <w:rPr>
                <w:rFonts w:asciiTheme="minorHAnsi" w:hAnsiTheme="minorHAnsi" w:cstheme="minorHAnsi"/>
              </w:rPr>
              <w:t xml:space="preserve"> processes, although there is potential for push back from the lower performers.</w:t>
            </w:r>
          </w:p>
          <w:p w14:paraId="435B0147"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Sufficient planning time required with potential Government funding and finance needed.</w:t>
            </w:r>
          </w:p>
          <w:p w14:paraId="154CEA5F"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Additional information and practical support required.</w:t>
            </w:r>
          </w:p>
          <w:p w14:paraId="42C7EF5D"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More enforcement measures may be needed with additional Government administrative required.</w:t>
            </w:r>
          </w:p>
          <w:p w14:paraId="0B36AD1D"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Phased increase to minimum standard with short- and long-term minimum standard may be more palatable to building owners.</w:t>
            </w:r>
          </w:p>
          <w:p w14:paraId="4B9BDB58"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Simple policy for building owners to grasp.</w:t>
            </w:r>
          </w:p>
          <w:p w14:paraId="353AA672" w14:textId="77777777" w:rsidR="000D2534" w:rsidRPr="00121748" w:rsidRDefault="000D2534" w:rsidP="00A253E6">
            <w:pPr>
              <w:pStyle w:val="BodyText"/>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Complementary with disclosure policy and overseas developments.</w:t>
            </w:r>
          </w:p>
          <w:p w14:paraId="7A835639" w14:textId="26103756" w:rsidR="000D2534" w:rsidRPr="00121748" w:rsidRDefault="000D2534" w:rsidP="000D2534">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No Government administrative costs to develop new building type ratings.</w:t>
            </w:r>
          </w:p>
        </w:tc>
      </w:tr>
      <w:tr w:rsidR="000D2534" w14:paraId="328C6E5D" w14:textId="77777777" w:rsidTr="00DE5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5A761C" w14:textId="3577C4B0" w:rsidR="000D2534" w:rsidRPr="00780166" w:rsidRDefault="000D2534" w:rsidP="000D2534">
            <w:pPr>
              <w:pStyle w:val="BodyText"/>
              <w:rPr>
                <w:rFonts w:asciiTheme="minorHAnsi" w:eastAsiaTheme="minorEastAsia" w:hAnsiTheme="minorHAnsi" w:cstheme="minorHAnsi"/>
                <w:color w:val="auto"/>
                <w:kern w:val="24"/>
                <w:szCs w:val="20"/>
              </w:rPr>
            </w:pPr>
            <w:r w:rsidRPr="00780166">
              <w:rPr>
                <w:rFonts w:asciiTheme="minorHAnsi" w:eastAsiaTheme="minorEastAsia" w:hAnsiTheme="minorHAnsi" w:cstheme="minorHAnsi"/>
                <w:color w:val="auto"/>
                <w:kern w:val="24"/>
                <w:szCs w:val="20"/>
              </w:rPr>
              <w:t xml:space="preserve">Option 5: </w:t>
            </w:r>
            <w:r w:rsidRPr="00780166">
              <w:rPr>
                <w:rFonts w:asciiTheme="minorHAnsi" w:eastAsiaTheme="minorEastAsia" w:hAnsiTheme="minorHAnsi" w:cstheme="minorHAnsi"/>
                <w:i/>
                <w:color w:val="auto"/>
                <w:kern w:val="24"/>
                <w:szCs w:val="20"/>
              </w:rPr>
              <w:t>SCOPE 1 DISCLOSURE</w:t>
            </w:r>
            <w:r w:rsidR="00DE5E00">
              <w:rPr>
                <w:rFonts w:asciiTheme="minorHAnsi" w:eastAsiaTheme="minorEastAsia" w:hAnsiTheme="minorHAnsi" w:cstheme="minorHAnsi"/>
                <w:i/>
                <w:color w:val="auto"/>
                <w:kern w:val="24"/>
                <w:szCs w:val="20"/>
              </w:rPr>
              <w:t xml:space="preserve"> rating</w:t>
            </w:r>
          </w:p>
        </w:tc>
        <w:tc>
          <w:tcPr>
            <w:tcW w:w="1941" w:type="dxa"/>
          </w:tcPr>
          <w:p w14:paraId="73AB01DB" w14:textId="01E0CCC0" w:rsidR="000D2534" w:rsidRPr="00780166" w:rsidRDefault="00850BD4" w:rsidP="000D2534">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7CB9067D" wp14:editId="6E4C9E1D">
                      <wp:extent cx="228600" cy="228600"/>
                      <wp:effectExtent l="0" t="0" r="19050" b="19050"/>
                      <wp:docPr id="193116929" name="Freeform: Shape 193116929" descr="On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2E2730BC" id="Freeform: Shape 193116929" o:spid="_x0000_s1026" alt="On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" path="m317500,wa,,635000,635000,317500,,635000,317500l317500,317500,317500,xem635000,317500nfwa,,635000,635000,635000,317500,317500,e" fillcolor="black [3213]" strokecolor="black [3213]" strokeweight="1.5pt">
                      <v:stroke joinstyle="miter"/>
                      <v:path arrowok="t"/>
                      <o:lock v:ext="edit" aspectratio="t"/>
                      <w10:anchorlock/>
                    </v:shape>
                  </w:pict>
                </mc:Fallback>
              </mc:AlternateContent>
            </w:r>
          </w:p>
          <w:p w14:paraId="6471FA6B" w14:textId="6A767790" w:rsidR="000D2534" w:rsidRPr="00780166" w:rsidRDefault="000D2534" w:rsidP="000D2534">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Pr>
          <w:p w14:paraId="03A0CA98" w14:textId="3AB98C4C" w:rsidR="000D2534" w:rsidRPr="00780166" w:rsidRDefault="00850BD4" w:rsidP="000D2534">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78967312" wp14:editId="0A4D08C5">
                      <wp:extent cx="228600" cy="228600"/>
                      <wp:effectExtent l="0" t="0" r="19050" b="19050"/>
                      <wp:docPr id="1204500493" name="Freeform: Shape 1204500493" descr="On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4AA4E3A5" id="Freeform: Shape 1204500493" o:spid="_x0000_s1026" alt="On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" path="m317500,wa,,635000,635000,317500,,635000,317500l317500,317500,317500,xem635000,317500nfwa,,635000,635000,635000,317500,317500,e" fillcolor="black [3213]" strokecolor="black [3213]" strokeweight="1.5pt">
                      <v:stroke joinstyle="miter"/>
                      <v:path arrowok="t"/>
                      <o:lock v:ext="edit" aspectratio="t"/>
                      <w10:anchorlock/>
                    </v:shape>
                  </w:pict>
                </mc:Fallback>
              </mc:AlternateContent>
            </w:r>
          </w:p>
        </w:tc>
        <w:tc>
          <w:tcPr>
            <w:tcW w:w="2977" w:type="dxa"/>
            <w:vAlign w:val="center"/>
          </w:tcPr>
          <w:p w14:paraId="4A88D607" w14:textId="400F273C" w:rsidR="000D2534" w:rsidRPr="00780166" w:rsidRDefault="000D2534" w:rsidP="000D2534">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b/>
                <w:color w:val="auto"/>
                <w:sz w:val="32"/>
                <w:szCs w:val="32"/>
              </w:rPr>
              <w:t>$</w:t>
            </w:r>
          </w:p>
        </w:tc>
        <w:tc>
          <w:tcPr>
            <w:tcW w:w="5386" w:type="dxa"/>
            <w:vAlign w:val="center"/>
          </w:tcPr>
          <w:p w14:paraId="7E8795D8" w14:textId="767E66AB" w:rsidR="000D2534" w:rsidRPr="00780166" w:rsidRDefault="00650870" w:rsidP="000D2534">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noProof/>
              </w:rPr>
              <w:drawing>
                <wp:inline distT="0" distB="0" distL="0" distR="0" wp14:anchorId="18445151" wp14:editId="449FD56B">
                  <wp:extent cx="185057" cy="185057"/>
                  <wp:effectExtent l="0" t="0" r="5715" b="5715"/>
                  <wp:docPr id="724" name="Picture 724"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r w:rsidRPr="00780166">
              <w:rPr>
                <w:rFonts w:asciiTheme="minorHAnsi" w:hAnsiTheme="minorHAnsi" w:cstheme="minorHAnsi"/>
                <w:noProof/>
              </w:rPr>
              <w:drawing>
                <wp:inline distT="0" distB="0" distL="0" distR="0" wp14:anchorId="406285E6" wp14:editId="59B8B8E0">
                  <wp:extent cx="185057" cy="185057"/>
                  <wp:effectExtent l="0" t="0" r="5715" b="5715"/>
                  <wp:docPr id="725" name="Picture 725"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r w:rsidRPr="00780166">
              <w:rPr>
                <w:rFonts w:asciiTheme="minorHAnsi" w:hAnsiTheme="minorHAnsi" w:cstheme="minorHAnsi"/>
                <w:noProof/>
              </w:rPr>
              <w:drawing>
                <wp:inline distT="0" distB="0" distL="0" distR="0" wp14:anchorId="48BEED5D" wp14:editId="396F9591">
                  <wp:extent cx="185057" cy="185057"/>
                  <wp:effectExtent l="0" t="0" r="5715" b="5715"/>
                  <wp:docPr id="726" name="Picture 726"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r w:rsidRPr="00780166">
              <w:rPr>
                <w:rFonts w:asciiTheme="minorHAnsi" w:hAnsiTheme="minorHAnsi" w:cstheme="minorHAnsi"/>
                <w:noProof/>
              </w:rPr>
              <w:drawing>
                <wp:inline distT="0" distB="0" distL="0" distR="0" wp14:anchorId="1BCBA73C" wp14:editId="2CBE87DC">
                  <wp:extent cx="185057" cy="185057"/>
                  <wp:effectExtent l="0" t="0" r="5715" b="5715"/>
                  <wp:docPr id="727" name="Picture 727"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p>
        </w:tc>
      </w:tr>
      <w:tr w:rsidR="0079092A" w14:paraId="17E9DC5E" w14:textId="77777777" w:rsidTr="00DE5E0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5072B908" w14:textId="16748EDA" w:rsidR="0079092A" w:rsidRPr="00780166" w:rsidRDefault="00DE5E00" w:rsidP="0079092A">
            <w:pPr>
              <w:pStyle w:val="BodyText"/>
              <w:rPr>
                <w:rFonts w:asciiTheme="minorHAnsi" w:eastAsiaTheme="minorEastAsia" w:hAnsiTheme="minorHAnsi" w:cstheme="minorHAnsi"/>
                <w:color w:val="auto"/>
                <w:kern w:val="24"/>
                <w:szCs w:val="20"/>
              </w:rPr>
            </w:pPr>
            <w:r w:rsidRPr="00780166">
              <w:rPr>
                <w:rFonts w:asciiTheme="minorHAnsi" w:eastAsiaTheme="minorEastAsia" w:hAnsiTheme="minorHAnsi" w:cstheme="minorHAnsi"/>
                <w:color w:val="auto"/>
                <w:kern w:val="24"/>
                <w:szCs w:val="20"/>
              </w:rPr>
              <w:t xml:space="preserve">Option 5: </w:t>
            </w:r>
            <w:r w:rsidRPr="00780166">
              <w:rPr>
                <w:rFonts w:asciiTheme="minorHAnsi" w:eastAsiaTheme="minorEastAsia" w:hAnsiTheme="minorHAnsi" w:cstheme="minorHAnsi"/>
                <w:i/>
                <w:color w:val="auto"/>
                <w:kern w:val="24"/>
                <w:szCs w:val="20"/>
              </w:rPr>
              <w:t>SCOPE 1 DISCLOSURE</w:t>
            </w:r>
            <w:r>
              <w:rPr>
                <w:rFonts w:asciiTheme="minorHAnsi" w:eastAsiaTheme="minorEastAsia" w:hAnsiTheme="minorHAnsi" w:cstheme="minorHAnsi"/>
                <w:i/>
                <w:color w:val="auto"/>
                <w:kern w:val="24"/>
                <w:szCs w:val="20"/>
              </w:rPr>
              <w:t xml:space="preserve"> rationale</w:t>
            </w:r>
          </w:p>
        </w:tc>
        <w:tc>
          <w:tcPr>
            <w:tcW w:w="1941" w:type="dxa"/>
            <w:shd w:val="clear" w:color="auto" w:fill="FFFFFF" w:themeFill="background1"/>
          </w:tcPr>
          <w:p w14:paraId="5C313A2D" w14:textId="2C31D861" w:rsidR="0079092A" w:rsidRPr="00780166" w:rsidRDefault="0079092A" w:rsidP="0079092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 xml:space="preserve">Emissions reach </w:t>
            </w:r>
            <w:r w:rsidR="002956DC" w:rsidRPr="00780166">
              <w:rPr>
                <w:rFonts w:asciiTheme="minorHAnsi" w:hAnsiTheme="minorHAnsi" w:cstheme="minorHAnsi"/>
              </w:rPr>
              <w:t>is</w:t>
            </w:r>
            <w:r w:rsidRPr="00780166">
              <w:rPr>
                <w:rFonts w:asciiTheme="minorHAnsi" w:hAnsiTheme="minorHAnsi" w:cstheme="minorHAnsi"/>
              </w:rPr>
              <w:t xml:space="preserve"> </w:t>
            </w:r>
            <w:r w:rsidR="00707708" w:rsidRPr="00780166">
              <w:rPr>
                <w:rFonts w:asciiTheme="minorHAnsi" w:hAnsiTheme="minorHAnsi" w:cstheme="minorHAnsi"/>
              </w:rPr>
              <w:t>indeterminate</w:t>
            </w:r>
            <w:r w:rsidR="008D1B49" w:rsidRPr="00780166">
              <w:rPr>
                <w:rFonts w:asciiTheme="minorHAnsi" w:hAnsiTheme="minorHAnsi" w:cstheme="minorHAnsi"/>
              </w:rPr>
              <w:t xml:space="preserve"> </w:t>
            </w:r>
            <w:r w:rsidR="00A212A2" w:rsidRPr="00780166">
              <w:rPr>
                <w:rFonts w:asciiTheme="minorHAnsi" w:hAnsiTheme="minorHAnsi" w:cstheme="minorHAnsi"/>
              </w:rPr>
              <w:t>as data is provided</w:t>
            </w:r>
            <w:r w:rsidRPr="00780166">
              <w:rPr>
                <w:rFonts w:asciiTheme="minorHAnsi" w:hAnsiTheme="minorHAnsi" w:cstheme="minorHAnsi"/>
              </w:rPr>
              <w:t xml:space="preserve"> </w:t>
            </w:r>
            <w:r w:rsidR="00A212A2" w:rsidRPr="00780166">
              <w:rPr>
                <w:rFonts w:asciiTheme="minorHAnsi" w:hAnsiTheme="minorHAnsi" w:cstheme="minorHAnsi"/>
              </w:rPr>
              <w:t xml:space="preserve">as an aggregate of scope 1 &amp; 2 and </w:t>
            </w:r>
            <w:r w:rsidR="00B04D0C" w:rsidRPr="00780166">
              <w:rPr>
                <w:rFonts w:asciiTheme="minorHAnsi" w:hAnsiTheme="minorHAnsi" w:cstheme="minorHAnsi"/>
              </w:rPr>
              <w:t>cannot be isolated.</w:t>
            </w:r>
          </w:p>
        </w:tc>
        <w:tc>
          <w:tcPr>
            <w:tcW w:w="1560" w:type="dxa"/>
            <w:shd w:val="clear" w:color="auto" w:fill="FFFFFF" w:themeFill="background1"/>
          </w:tcPr>
          <w:p w14:paraId="6791BB1E" w14:textId="270DC336" w:rsidR="0079092A" w:rsidRPr="00780166" w:rsidRDefault="0085414F" w:rsidP="0079092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Potential</w:t>
            </w:r>
            <w:r w:rsidR="0079092A" w:rsidRPr="00780166">
              <w:rPr>
                <w:rFonts w:asciiTheme="minorHAnsi" w:hAnsiTheme="minorHAnsi" w:cstheme="minorHAnsi"/>
              </w:rPr>
              <w:t xml:space="preserve"> to reduce scope 1 emissions and increase natural refrigerants, this is assumed to be minimal</w:t>
            </w:r>
          </w:p>
        </w:tc>
        <w:tc>
          <w:tcPr>
            <w:tcW w:w="2977" w:type="dxa"/>
            <w:shd w:val="clear" w:color="auto" w:fill="FFFFFF" w:themeFill="background1"/>
          </w:tcPr>
          <w:p w14:paraId="0BF772AC" w14:textId="77777777" w:rsidR="0079092A" w:rsidRPr="00780166" w:rsidRDefault="0079092A" w:rsidP="00A253E6">
            <w:pPr>
              <w:pStyle w:val="BodyText"/>
              <w:numPr>
                <w:ilvl w:val="0"/>
                <w:numId w:val="4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No additional cost to building owners.</w:t>
            </w:r>
          </w:p>
          <w:p w14:paraId="5CC467E1" w14:textId="2EF6F02D" w:rsidR="0079092A" w:rsidRPr="00780166" w:rsidRDefault="0079092A" w:rsidP="0079092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Public disclosure of non-compliance.</w:t>
            </w:r>
          </w:p>
        </w:tc>
        <w:tc>
          <w:tcPr>
            <w:tcW w:w="5386" w:type="dxa"/>
            <w:shd w:val="clear" w:color="auto" w:fill="FFFFFF" w:themeFill="background1"/>
          </w:tcPr>
          <w:p w14:paraId="5268BC76" w14:textId="77777777" w:rsidR="0079092A" w:rsidRPr="00780166" w:rsidRDefault="0079092A" w:rsidP="00A253E6">
            <w:pPr>
              <w:pStyle w:val="BodyText"/>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Strong current policy alignment.</w:t>
            </w:r>
          </w:p>
          <w:p w14:paraId="1712CF5A" w14:textId="77777777" w:rsidR="0079092A" w:rsidRPr="00780166" w:rsidRDefault="0079092A" w:rsidP="00A253E6">
            <w:pPr>
              <w:pStyle w:val="BodyText"/>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No additional entities included.</w:t>
            </w:r>
          </w:p>
          <w:p w14:paraId="47A96EA3" w14:textId="77777777" w:rsidR="0079092A" w:rsidRPr="00780166" w:rsidRDefault="0079092A" w:rsidP="00A253E6">
            <w:pPr>
              <w:pStyle w:val="BodyText"/>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Already collecting data to disclose.</w:t>
            </w:r>
          </w:p>
          <w:p w14:paraId="4A062CDE" w14:textId="77777777" w:rsidR="0079092A" w:rsidRPr="00780166" w:rsidRDefault="0079092A" w:rsidP="00A253E6">
            <w:pPr>
              <w:pStyle w:val="BodyText"/>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Benefits to scale, speed, and technological requirements.</w:t>
            </w:r>
          </w:p>
          <w:p w14:paraId="1BE1B8DC" w14:textId="732762A1" w:rsidR="0085414F" w:rsidRPr="00780166" w:rsidRDefault="0085414F" w:rsidP="00A253E6">
            <w:pPr>
              <w:pStyle w:val="BodyText"/>
              <w:numPr>
                <w:ilvl w:val="0"/>
                <w:numId w:val="43"/>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t>Will complement the Renewable Energy Indicator</w:t>
            </w:r>
          </w:p>
          <w:p w14:paraId="75D217D9" w14:textId="69F42FB1" w:rsidR="0079092A" w:rsidRPr="00780166" w:rsidRDefault="0079092A" w:rsidP="0079092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80166">
              <w:rPr>
                <w:rFonts w:asciiTheme="minorHAnsi" w:hAnsiTheme="minorHAnsi" w:cstheme="minorHAnsi"/>
              </w:rPr>
              <w:lastRenderedPageBreak/>
              <w:t>Some minor change to disclosure format change with minor Government administrative requirements.</w:t>
            </w:r>
          </w:p>
        </w:tc>
      </w:tr>
      <w:tr w:rsidR="0079092A" w14:paraId="58A2F3CD" w14:textId="77777777" w:rsidTr="00DE5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B7B16F" w14:textId="4C2A09E2" w:rsidR="0079092A" w:rsidRPr="00121748" w:rsidRDefault="0079092A" w:rsidP="0079092A">
            <w:pPr>
              <w:pStyle w:val="BodyText"/>
              <w:rPr>
                <w:rFonts w:asciiTheme="minorHAnsi" w:eastAsiaTheme="minorEastAsia" w:hAnsiTheme="minorHAnsi" w:cstheme="minorHAnsi"/>
                <w:color w:val="auto"/>
                <w:kern w:val="24"/>
                <w:szCs w:val="20"/>
              </w:rPr>
            </w:pPr>
            <w:r w:rsidRPr="00121748">
              <w:rPr>
                <w:rFonts w:asciiTheme="minorHAnsi" w:eastAsiaTheme="minorEastAsia" w:hAnsiTheme="minorHAnsi" w:cstheme="minorHAnsi"/>
                <w:color w:val="auto"/>
                <w:kern w:val="24"/>
                <w:szCs w:val="20"/>
              </w:rPr>
              <w:t xml:space="preserve">Option 6: </w:t>
            </w:r>
            <w:r w:rsidRPr="00121748">
              <w:rPr>
                <w:rFonts w:asciiTheme="minorHAnsi" w:eastAsiaTheme="minorEastAsia" w:hAnsiTheme="minorHAnsi" w:cstheme="minorHAnsi"/>
                <w:i/>
                <w:color w:val="auto"/>
                <w:kern w:val="24"/>
                <w:szCs w:val="20"/>
              </w:rPr>
              <w:t xml:space="preserve">LIGHTING </w:t>
            </w:r>
            <w:proofErr w:type="spellStart"/>
            <w:r w:rsidRPr="00121748">
              <w:rPr>
                <w:rFonts w:asciiTheme="minorHAnsi" w:eastAsiaTheme="minorEastAsia" w:hAnsiTheme="minorHAnsi" w:cstheme="minorHAnsi"/>
                <w:i/>
                <w:color w:val="auto"/>
                <w:kern w:val="24"/>
                <w:szCs w:val="20"/>
              </w:rPr>
              <w:t>MEPS</w:t>
            </w:r>
            <w:proofErr w:type="spellEnd"/>
            <w:r w:rsidRPr="00121748">
              <w:rPr>
                <w:rFonts w:asciiTheme="minorHAnsi" w:eastAsiaTheme="minorEastAsia" w:hAnsiTheme="minorHAnsi" w:cstheme="minorHAnsi"/>
                <w:i/>
                <w:color w:val="auto"/>
                <w:kern w:val="24"/>
                <w:szCs w:val="20"/>
              </w:rPr>
              <w:t xml:space="preserve"> FOR OFFICES</w:t>
            </w:r>
            <w:r w:rsidR="00DE5E00">
              <w:rPr>
                <w:rFonts w:asciiTheme="minorHAnsi" w:eastAsiaTheme="minorEastAsia" w:hAnsiTheme="minorHAnsi" w:cstheme="minorHAnsi"/>
                <w:i/>
                <w:color w:val="auto"/>
                <w:kern w:val="24"/>
                <w:szCs w:val="20"/>
              </w:rPr>
              <w:t xml:space="preserve"> rating</w:t>
            </w:r>
          </w:p>
        </w:tc>
        <w:tc>
          <w:tcPr>
            <w:tcW w:w="1941" w:type="dxa"/>
          </w:tcPr>
          <w:p w14:paraId="1C05B2E4" w14:textId="663DD598" w:rsidR="0079092A" w:rsidRPr="00121748" w:rsidRDefault="00850BD4" w:rsidP="0079092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459D0B5F" wp14:editId="1F70770A">
                      <wp:extent cx="228600" cy="228600"/>
                      <wp:effectExtent l="0" t="0" r="19050" b="19050"/>
                      <wp:docPr id="160076549" name="Freeform: Shape 160076549" descr="On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2CF67350" id="Freeform: Shape 160076549" o:spid="_x0000_s1026" alt="On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" path="m317500,wa,,635000,635000,317500,,635000,317500l317500,317500,317500,xem635000,317500nfwa,,635000,635000,635000,317500,317500,e" fillcolor="black [3213]" strokecolor="black [3213]" strokeweight="1.5pt">
                      <v:stroke joinstyle="miter"/>
                      <v:path arrowok="t"/>
                      <o:lock v:ext="edit" aspectratio="t"/>
                      <w10:anchorlock/>
                    </v:shape>
                  </w:pict>
                </mc:Fallback>
              </mc:AlternateContent>
            </w:r>
          </w:p>
          <w:p w14:paraId="7F1E9409" w14:textId="0940F50D" w:rsidR="0079092A" w:rsidRPr="00121748" w:rsidRDefault="0079092A" w:rsidP="0079092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Pr>
          <w:p w14:paraId="53221DA0" w14:textId="088A1687" w:rsidR="0079092A" w:rsidRPr="00121748" w:rsidRDefault="00850BD4" w:rsidP="0079092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5210D2AD" wp14:editId="3D5982F5">
                      <wp:extent cx="228600" cy="228600"/>
                      <wp:effectExtent l="0" t="0" r="19050" b="19050"/>
                      <wp:docPr id="1162752865" name="Freeform: Shape 1162752865" descr="Thre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16200000"/>
                                    <a:lnTo>
                                      <a:pt x="317500" y="317500"/>
                                    </a:lnTo>
                                    <a:close/>
                                  </a:path>
                                  <a:path w="635000" h="635000" fill="none">
                                    <a:moveTo>
                                      <a:pt x="0" y="317500"/>
                                    </a:moveTo>
                                    <a:arcTo wR="317500" hR="317500" stAng="10800000" swAng="54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7632F552" id="Freeform: Shape 1162752865" o:spid="_x0000_s1026" alt="Thre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" path="m317500,wa,,635000,635000,317500,,,317500l317500,317500,317500,xem,317500nfwa,,635000,635000,,317500,317500,e" fillcolor="black [3213]" strokecolor="black [3213]" strokeweight="1.5pt">
                      <v:stroke joinstyle="miter"/>
                      <v:path arrowok="t"/>
                      <o:lock v:ext="edit" aspectratio="t"/>
                      <w10:anchorlock/>
                    </v:shape>
                  </w:pict>
                </mc:Fallback>
              </mc:AlternateContent>
            </w:r>
          </w:p>
        </w:tc>
        <w:tc>
          <w:tcPr>
            <w:tcW w:w="2977" w:type="dxa"/>
            <w:vAlign w:val="center"/>
          </w:tcPr>
          <w:p w14:paraId="5ED7535F" w14:textId="2C417174" w:rsidR="0079092A" w:rsidRPr="00121748" w:rsidRDefault="0079092A" w:rsidP="0079092A">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b/>
                <w:color w:val="auto"/>
                <w:sz w:val="32"/>
                <w:szCs w:val="32"/>
              </w:rPr>
              <w:t>$</w:t>
            </w:r>
            <w:r w:rsidR="00723239">
              <w:rPr>
                <w:rFonts w:ascii="ZWAdobeF" w:hAnsi="ZWAdobeF" w:cs="ZWAdobeF"/>
                <w:color w:val="auto"/>
                <w:sz w:val="2"/>
                <w:szCs w:val="2"/>
              </w:rPr>
              <w:t>154F</w:t>
            </w:r>
            <w:r w:rsidR="00EE36E3">
              <w:rPr>
                <w:rFonts w:ascii="ZWAdobeF" w:hAnsi="ZWAdobeF" w:cs="ZWAdobeF"/>
                <w:color w:val="auto"/>
                <w:sz w:val="2"/>
                <w:szCs w:val="2"/>
              </w:rPr>
              <w:t>155F</w:t>
            </w:r>
            <w:r w:rsidR="00122C48">
              <w:rPr>
                <w:rFonts w:ascii="ZWAdobeF" w:hAnsi="ZWAdobeF" w:cs="ZWAdobeF"/>
                <w:color w:val="auto"/>
                <w:sz w:val="2"/>
                <w:szCs w:val="2"/>
              </w:rPr>
              <w:t>155F</w:t>
            </w:r>
            <w:r w:rsidR="00F73A23">
              <w:rPr>
                <w:rFonts w:ascii="ZWAdobeF" w:hAnsi="ZWAdobeF" w:cs="ZWAdobeF"/>
                <w:color w:val="auto"/>
                <w:sz w:val="2"/>
                <w:szCs w:val="2"/>
              </w:rPr>
              <w:t>155F</w:t>
            </w:r>
            <w:r w:rsidR="00626378">
              <w:rPr>
                <w:rFonts w:ascii="ZWAdobeF" w:hAnsi="ZWAdobeF" w:cs="ZWAdobeF"/>
                <w:color w:val="auto"/>
                <w:sz w:val="2"/>
                <w:szCs w:val="2"/>
              </w:rPr>
              <w:t>155F</w:t>
            </w:r>
            <w:r w:rsidR="00413811">
              <w:rPr>
                <w:rFonts w:ascii="ZWAdobeF" w:hAnsi="ZWAdobeF" w:cs="ZWAdobeF"/>
                <w:color w:val="auto"/>
                <w:sz w:val="2"/>
                <w:szCs w:val="2"/>
              </w:rPr>
              <w:t>155F</w:t>
            </w:r>
            <w:r w:rsidR="002C327C">
              <w:rPr>
                <w:rFonts w:ascii="ZWAdobeF" w:hAnsi="ZWAdobeF" w:cs="ZWAdobeF"/>
                <w:color w:val="auto"/>
                <w:sz w:val="2"/>
                <w:szCs w:val="2"/>
              </w:rPr>
              <w:t>155F</w:t>
            </w:r>
            <w:r w:rsidR="00D24A06">
              <w:rPr>
                <w:rFonts w:ascii="ZWAdobeF" w:hAnsi="ZWAdobeF" w:cs="ZWAdobeF"/>
                <w:color w:val="auto"/>
                <w:sz w:val="2"/>
                <w:szCs w:val="2"/>
              </w:rPr>
              <w:t>155F</w:t>
            </w:r>
            <w:r w:rsidRPr="00121748">
              <w:rPr>
                <w:rStyle w:val="FootnoteReference"/>
                <w:rFonts w:asciiTheme="minorHAnsi" w:hAnsiTheme="minorHAnsi" w:cstheme="minorHAnsi"/>
                <w:b/>
                <w:color w:val="auto"/>
                <w:sz w:val="18"/>
                <w:szCs w:val="18"/>
              </w:rPr>
              <w:footnoteReference w:id="157"/>
            </w:r>
          </w:p>
        </w:tc>
        <w:tc>
          <w:tcPr>
            <w:tcW w:w="5386" w:type="dxa"/>
            <w:vAlign w:val="center"/>
          </w:tcPr>
          <w:p w14:paraId="05A651F6" w14:textId="3C54C68A" w:rsidR="0079092A" w:rsidRPr="00121748" w:rsidRDefault="00650870" w:rsidP="0079092A">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noProof/>
              </w:rPr>
              <w:drawing>
                <wp:inline distT="0" distB="0" distL="0" distR="0" wp14:anchorId="2E41EBEA" wp14:editId="1DF2C7A3">
                  <wp:extent cx="185057" cy="185057"/>
                  <wp:effectExtent l="0" t="0" r="5715" b="5715"/>
                  <wp:docPr id="731" name="Picture 731"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r w:rsidRPr="00121748">
              <w:rPr>
                <w:rFonts w:asciiTheme="minorHAnsi" w:hAnsiTheme="minorHAnsi" w:cstheme="minorHAnsi"/>
                <w:noProof/>
              </w:rPr>
              <w:drawing>
                <wp:inline distT="0" distB="0" distL="0" distR="0" wp14:anchorId="355866A0" wp14:editId="37E53C2B">
                  <wp:extent cx="185057" cy="185057"/>
                  <wp:effectExtent l="0" t="0" r="5715" b="5715"/>
                  <wp:docPr id="732" name="Picture 732"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732" descr="Tick">
                            <a:extLst>
                              <a:ext uri="{C183D7F6-B498-43B3-948B-1728B52AA6E4}">
                                <adec:decorative xmlns:adec="http://schemas.microsoft.com/office/drawing/2017/decorative" val="0"/>
                              </a:ext>
                            </a:extLst>
                          </pic:cNvPr>
                          <pic:cNvPicPr/>
                        </pic:nvPicPr>
                        <pic:blipFill>
                          <a:blip r:embed="rId17"/>
                          <a:stretch>
                            <a:fillRect/>
                          </a:stretch>
                        </pic:blipFill>
                        <pic:spPr>
                          <a:xfrm>
                            <a:off x="0" y="0"/>
                            <a:ext cx="190904" cy="190904"/>
                          </a:xfrm>
                          <a:prstGeom prst="rect">
                            <a:avLst/>
                          </a:prstGeom>
                        </pic:spPr>
                      </pic:pic>
                    </a:graphicData>
                  </a:graphic>
                </wp:inline>
              </w:drawing>
            </w:r>
          </w:p>
        </w:tc>
      </w:tr>
      <w:tr w:rsidR="00152E42" w14:paraId="59A50DD8" w14:textId="77777777" w:rsidTr="00DE5E0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7E6FEA77" w14:textId="2CEA19FC" w:rsidR="00152E42" w:rsidRPr="00121748" w:rsidRDefault="00DE5E00" w:rsidP="00152E42">
            <w:pPr>
              <w:pStyle w:val="BodyText"/>
              <w:rPr>
                <w:rFonts w:asciiTheme="minorHAnsi" w:eastAsiaTheme="minorEastAsia" w:hAnsiTheme="minorHAnsi" w:cstheme="minorHAnsi"/>
                <w:color w:val="auto"/>
                <w:kern w:val="24"/>
                <w:szCs w:val="20"/>
              </w:rPr>
            </w:pPr>
            <w:r w:rsidRPr="00121748">
              <w:rPr>
                <w:rFonts w:asciiTheme="minorHAnsi" w:eastAsiaTheme="minorEastAsia" w:hAnsiTheme="minorHAnsi" w:cstheme="minorHAnsi"/>
                <w:color w:val="auto"/>
                <w:kern w:val="24"/>
                <w:szCs w:val="20"/>
              </w:rPr>
              <w:t xml:space="preserve">Option 6: </w:t>
            </w:r>
            <w:r w:rsidRPr="00121748">
              <w:rPr>
                <w:rFonts w:asciiTheme="minorHAnsi" w:eastAsiaTheme="minorEastAsia" w:hAnsiTheme="minorHAnsi" w:cstheme="minorHAnsi"/>
                <w:i/>
                <w:color w:val="auto"/>
                <w:kern w:val="24"/>
                <w:szCs w:val="20"/>
              </w:rPr>
              <w:t xml:space="preserve">LIGHTING </w:t>
            </w:r>
            <w:proofErr w:type="spellStart"/>
            <w:r w:rsidRPr="00121748">
              <w:rPr>
                <w:rFonts w:asciiTheme="minorHAnsi" w:eastAsiaTheme="minorEastAsia" w:hAnsiTheme="minorHAnsi" w:cstheme="minorHAnsi"/>
                <w:i/>
                <w:color w:val="auto"/>
                <w:kern w:val="24"/>
                <w:szCs w:val="20"/>
              </w:rPr>
              <w:t>MEPS</w:t>
            </w:r>
            <w:proofErr w:type="spellEnd"/>
            <w:r w:rsidRPr="00121748">
              <w:rPr>
                <w:rFonts w:asciiTheme="minorHAnsi" w:eastAsiaTheme="minorEastAsia" w:hAnsiTheme="minorHAnsi" w:cstheme="minorHAnsi"/>
                <w:i/>
                <w:color w:val="auto"/>
                <w:kern w:val="24"/>
                <w:szCs w:val="20"/>
              </w:rPr>
              <w:t xml:space="preserve"> FOR OFFICES</w:t>
            </w:r>
            <w:r>
              <w:rPr>
                <w:rFonts w:asciiTheme="minorHAnsi" w:eastAsiaTheme="minorEastAsia" w:hAnsiTheme="minorHAnsi" w:cstheme="minorHAnsi"/>
                <w:i/>
                <w:color w:val="auto"/>
                <w:kern w:val="24"/>
                <w:szCs w:val="20"/>
              </w:rPr>
              <w:t xml:space="preserve"> rationale</w:t>
            </w:r>
          </w:p>
        </w:tc>
        <w:tc>
          <w:tcPr>
            <w:tcW w:w="1941" w:type="dxa"/>
            <w:shd w:val="clear" w:color="auto" w:fill="FFFFFF" w:themeFill="background1"/>
          </w:tcPr>
          <w:p w14:paraId="1151A0F2" w14:textId="77777777" w:rsidR="00152E42" w:rsidRPr="00F81ADB" w:rsidRDefault="00152E42" w:rsidP="00152E42">
            <w:pPr>
              <w:pStyle w:val="BodyBullet"/>
              <w:spacing w:before="0" w:after="40"/>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F81ADB">
              <w:rPr>
                <w:rFonts w:cstheme="minorHAnsi"/>
              </w:rPr>
              <w:t>Emissions reach estimated at</w:t>
            </w:r>
            <w:r w:rsidRPr="00F81ADB">
              <w:rPr>
                <w:rFonts w:cstheme="minorHAnsi"/>
                <w:b/>
                <w:sz w:val="18"/>
                <w:szCs w:val="18"/>
              </w:rPr>
              <w:t>:</w:t>
            </w:r>
          </w:p>
          <w:p w14:paraId="6883BB3E" w14:textId="77777777" w:rsidR="00152E42" w:rsidRPr="00F81ADB" w:rsidRDefault="00152E42" w:rsidP="00A253E6">
            <w:pPr>
              <w:pStyle w:val="BodyBullet"/>
              <w:numPr>
                <w:ilvl w:val="0"/>
                <w:numId w:val="36"/>
              </w:numPr>
              <w:spacing w:before="0" w:after="40"/>
              <w:cnfStyle w:val="000000000000" w:firstRow="0" w:lastRow="0" w:firstColumn="0" w:lastColumn="0" w:oddVBand="0" w:evenVBand="0" w:oddHBand="0" w:evenHBand="0" w:firstRowFirstColumn="0" w:firstRowLastColumn="0" w:lastRowFirstColumn="0" w:lastRowLastColumn="0"/>
              <w:rPr>
                <w:rFonts w:cstheme="minorHAnsi"/>
                <w:b/>
                <w:sz w:val="18"/>
                <w:szCs w:val="18"/>
              </w:rPr>
            </w:pPr>
            <w:proofErr w:type="spellStart"/>
            <w:r w:rsidRPr="00F81ADB">
              <w:rPr>
                <w:rFonts w:cstheme="minorHAnsi"/>
                <w:b/>
                <w:sz w:val="18"/>
                <w:szCs w:val="18"/>
              </w:rPr>
              <w:t>NLPD</w:t>
            </w:r>
            <w:proofErr w:type="spellEnd"/>
            <w:r w:rsidRPr="00F81ADB">
              <w:rPr>
                <w:rFonts w:cstheme="minorHAnsi"/>
                <w:b/>
                <w:sz w:val="18"/>
                <w:szCs w:val="18"/>
              </w:rPr>
              <w:t xml:space="preserve"> 10 W/</w:t>
            </w:r>
            <w:proofErr w:type="spellStart"/>
            <w:r w:rsidRPr="00F81ADB">
              <w:rPr>
                <w:rFonts w:cstheme="minorHAnsi"/>
                <w:b/>
                <w:sz w:val="18"/>
                <w:szCs w:val="18"/>
              </w:rPr>
              <w:t>m</w:t>
            </w:r>
            <w:r w:rsidRPr="00F81ADB">
              <w:rPr>
                <w:rFonts w:cstheme="minorHAnsi"/>
                <w:b/>
                <w:sz w:val="18"/>
                <w:szCs w:val="18"/>
                <w:vertAlign w:val="superscript"/>
              </w:rPr>
              <w:t>2</w:t>
            </w:r>
            <w:proofErr w:type="spellEnd"/>
            <w:r w:rsidRPr="00F81ADB">
              <w:rPr>
                <w:rFonts w:cstheme="minorHAnsi"/>
                <w:b/>
                <w:sz w:val="18"/>
                <w:szCs w:val="18"/>
              </w:rPr>
              <w:t>: 22,300 tCO</w:t>
            </w:r>
            <w:r w:rsidRPr="00F81ADB">
              <w:rPr>
                <w:rFonts w:cstheme="minorHAnsi"/>
                <w:b/>
                <w:sz w:val="18"/>
                <w:szCs w:val="18"/>
                <w:vertAlign w:val="subscript"/>
              </w:rPr>
              <w:t>2</w:t>
            </w:r>
            <w:r w:rsidRPr="00F81ADB">
              <w:rPr>
                <w:rFonts w:cstheme="minorHAnsi"/>
                <w:b/>
                <w:sz w:val="18"/>
                <w:szCs w:val="18"/>
              </w:rPr>
              <w:t>-e</w:t>
            </w:r>
          </w:p>
          <w:p w14:paraId="2682E61F" w14:textId="17D72995" w:rsidR="00152E42" w:rsidRPr="00F81ADB" w:rsidRDefault="00152E42" w:rsidP="00A253E6">
            <w:pPr>
              <w:pStyle w:val="BodyBullet"/>
              <w:numPr>
                <w:ilvl w:val="0"/>
                <w:numId w:val="36"/>
              </w:numPr>
              <w:spacing w:before="0" w:after="40"/>
              <w:cnfStyle w:val="000000000000" w:firstRow="0" w:lastRow="0" w:firstColumn="0" w:lastColumn="0" w:oddVBand="0" w:evenVBand="0" w:oddHBand="0" w:evenHBand="0" w:firstRowFirstColumn="0" w:firstRowLastColumn="0" w:lastRowFirstColumn="0" w:lastRowLastColumn="0"/>
              <w:rPr>
                <w:rFonts w:cstheme="minorHAnsi"/>
                <w:b/>
                <w:sz w:val="18"/>
                <w:szCs w:val="18"/>
              </w:rPr>
            </w:pPr>
            <w:proofErr w:type="spellStart"/>
            <w:r w:rsidRPr="00F81ADB">
              <w:rPr>
                <w:rFonts w:cstheme="minorHAnsi"/>
                <w:b/>
                <w:sz w:val="18"/>
                <w:szCs w:val="18"/>
              </w:rPr>
              <w:t>NLPD</w:t>
            </w:r>
            <w:proofErr w:type="spellEnd"/>
            <w:r w:rsidRPr="00F81ADB">
              <w:rPr>
                <w:rFonts w:cstheme="minorHAnsi"/>
                <w:b/>
                <w:sz w:val="18"/>
                <w:szCs w:val="18"/>
              </w:rPr>
              <w:t xml:space="preserve"> 7 W/</w:t>
            </w:r>
            <w:proofErr w:type="spellStart"/>
            <w:r w:rsidRPr="00F81ADB">
              <w:rPr>
                <w:rFonts w:cstheme="minorHAnsi"/>
                <w:b/>
                <w:sz w:val="18"/>
                <w:szCs w:val="18"/>
              </w:rPr>
              <w:t>m</w:t>
            </w:r>
            <w:r w:rsidRPr="00F81ADB">
              <w:rPr>
                <w:rFonts w:cstheme="minorHAnsi"/>
                <w:b/>
                <w:sz w:val="18"/>
                <w:szCs w:val="18"/>
                <w:vertAlign w:val="superscript"/>
              </w:rPr>
              <w:t>2</w:t>
            </w:r>
            <w:proofErr w:type="spellEnd"/>
            <w:r w:rsidRPr="00F81ADB">
              <w:rPr>
                <w:rFonts w:cstheme="minorHAnsi"/>
                <w:b/>
                <w:sz w:val="18"/>
                <w:szCs w:val="18"/>
              </w:rPr>
              <w:t>: 30,900 tCO</w:t>
            </w:r>
            <w:r w:rsidRPr="00F81ADB">
              <w:rPr>
                <w:rFonts w:cstheme="minorHAnsi"/>
                <w:b/>
                <w:sz w:val="18"/>
                <w:szCs w:val="18"/>
                <w:vertAlign w:val="subscript"/>
              </w:rPr>
              <w:t>2</w:t>
            </w:r>
            <w:r w:rsidRPr="00F81ADB">
              <w:rPr>
                <w:rFonts w:cstheme="minorHAnsi"/>
                <w:b/>
                <w:sz w:val="18"/>
                <w:szCs w:val="18"/>
              </w:rPr>
              <w:t>-e</w:t>
            </w:r>
          </w:p>
        </w:tc>
        <w:tc>
          <w:tcPr>
            <w:tcW w:w="1560" w:type="dxa"/>
            <w:shd w:val="clear" w:color="auto" w:fill="FFFFFF" w:themeFill="background1"/>
          </w:tcPr>
          <w:p w14:paraId="06C2F5BA" w14:textId="60DF2B2D" w:rsidR="00152E42" w:rsidRPr="00121748" w:rsidRDefault="00152E42" w:rsidP="00152E42">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121748">
              <w:rPr>
                <w:rFonts w:asciiTheme="minorHAnsi" w:hAnsiTheme="minorHAnsi" w:cstheme="minorHAnsi"/>
              </w:rPr>
              <w:t>MEPS</w:t>
            </w:r>
            <w:proofErr w:type="spellEnd"/>
            <w:r w:rsidRPr="00121748">
              <w:rPr>
                <w:rFonts w:asciiTheme="minorHAnsi" w:hAnsiTheme="minorHAnsi" w:cstheme="minorHAnsi"/>
              </w:rPr>
              <w:t xml:space="preserve"> likely to influence behaviour for those that must meet the requirement</w:t>
            </w:r>
          </w:p>
        </w:tc>
        <w:tc>
          <w:tcPr>
            <w:tcW w:w="2977" w:type="dxa"/>
            <w:shd w:val="clear" w:color="auto" w:fill="FFFFFF" w:themeFill="background1"/>
          </w:tcPr>
          <w:p w14:paraId="6C8838D5" w14:textId="77777777" w:rsidR="00152E42" w:rsidRPr="00121748" w:rsidRDefault="00152E42" w:rsidP="00A253E6">
            <w:pPr>
              <w:pStyle w:val="BodyText"/>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Assuming a minimum standard of 10 W/m2.</w:t>
            </w:r>
          </w:p>
          <w:p w14:paraId="40F93B44" w14:textId="0809D73D" w:rsidR="00152E42" w:rsidRPr="00121748" w:rsidRDefault="00152E42" w:rsidP="00A253E6">
            <w:pPr>
              <w:pStyle w:val="BodyText"/>
              <w:numPr>
                <w:ilvl w:val="0"/>
                <w:numId w:val="44"/>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 xml:space="preserve">Assuming 27% of offices do not meet the minimum standard </w:t>
            </w:r>
            <w:r w:rsidR="00D54793">
              <w:rPr>
                <w:rFonts w:asciiTheme="minorHAnsi" w:eastAsia="Cambria Math" w:hAnsiTheme="minorHAnsi" w:cstheme="minorHAnsi"/>
              </w:rPr>
              <w:t>$</w:t>
            </w:r>
            <w:r w:rsidRPr="00121748">
              <w:rPr>
                <w:rFonts w:asciiTheme="minorHAnsi" w:hAnsiTheme="minorHAnsi" w:cstheme="minorHAnsi"/>
              </w:rPr>
              <w:t>6.65 million NLA.</w:t>
            </w:r>
          </w:p>
          <w:p w14:paraId="00599879" w14:textId="34636B28" w:rsidR="00152E42" w:rsidRPr="00121748" w:rsidRDefault="00152E42" w:rsidP="00152E42">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Total cost to office building owners not currently compliant is estimated to be $173 million.</w:t>
            </w:r>
          </w:p>
        </w:tc>
        <w:tc>
          <w:tcPr>
            <w:tcW w:w="5386" w:type="dxa"/>
            <w:shd w:val="clear" w:color="auto" w:fill="FFFFFF" w:themeFill="background1"/>
          </w:tcPr>
          <w:p w14:paraId="6512B3FF"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 xml:space="preserve">Inclusion of current cohort entities (both landlords and tenants) into the regulatory network with </w:t>
            </w:r>
            <w:proofErr w:type="spellStart"/>
            <w:r w:rsidRPr="00121748">
              <w:rPr>
                <w:rFonts w:asciiTheme="minorHAnsi" w:hAnsiTheme="minorHAnsi" w:cstheme="minorHAnsi"/>
              </w:rPr>
              <w:t>MEPS</w:t>
            </w:r>
            <w:proofErr w:type="spellEnd"/>
            <w:r w:rsidRPr="00121748">
              <w:rPr>
                <w:rFonts w:asciiTheme="minorHAnsi" w:hAnsiTheme="minorHAnsi" w:cstheme="minorHAnsi"/>
              </w:rPr>
              <w:t xml:space="preserve"> as a policy mechanism.</w:t>
            </w:r>
          </w:p>
          <w:p w14:paraId="19902F02" w14:textId="7C92FC26"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Smaller cohort needing to change processes, although there is potential for push back from the lower performers.</w:t>
            </w:r>
          </w:p>
          <w:p w14:paraId="4B680C62"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Sufficient planning time required with potential Government funding and finance needed.</w:t>
            </w:r>
          </w:p>
          <w:p w14:paraId="71AFEF54"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 xml:space="preserve">Additional information and practical support </w:t>
            </w:r>
            <w:proofErr w:type="gramStart"/>
            <w:r w:rsidRPr="00121748">
              <w:rPr>
                <w:rFonts w:asciiTheme="minorHAnsi" w:hAnsiTheme="minorHAnsi" w:cstheme="minorHAnsi"/>
              </w:rPr>
              <w:t>required</w:t>
            </w:r>
            <w:proofErr w:type="gramEnd"/>
          </w:p>
          <w:p w14:paraId="057D60A8"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More enforcement measures may be needed with additional Government administration required.</w:t>
            </w:r>
          </w:p>
          <w:p w14:paraId="35F1B951"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Phased increase to minimum standard with short- and long-term minimum standard may be more palatable to building owners.</w:t>
            </w:r>
          </w:p>
          <w:p w14:paraId="155F1951"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Simple policy for building owners to grasp.</w:t>
            </w:r>
          </w:p>
          <w:p w14:paraId="7C5AF770"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Complementary with disclosure policy and overseas developments.</w:t>
            </w:r>
          </w:p>
          <w:p w14:paraId="48D37AAC" w14:textId="77777777" w:rsidR="00152E42" w:rsidRPr="00121748" w:rsidRDefault="00152E42" w:rsidP="00A253E6">
            <w:pPr>
              <w:pStyle w:val="BodyText"/>
              <w:numPr>
                <w:ilvl w:val="0"/>
                <w:numId w:val="45"/>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Some Government administrative costs to develop new building type ratings.</w:t>
            </w:r>
          </w:p>
          <w:p w14:paraId="083AFA68" w14:textId="74160367" w:rsidR="00152E42" w:rsidRPr="00121748" w:rsidRDefault="00152E42" w:rsidP="00A253E6">
            <w:pPr>
              <w:pStyle w:val="BodyText"/>
              <w:numPr>
                <w:ilvl w:val="0"/>
                <w:numId w:val="4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Some funding and finance, information, practical support, and administrative measures required.</w:t>
            </w:r>
          </w:p>
        </w:tc>
      </w:tr>
      <w:tr w:rsidR="00152E42" w14:paraId="46090AF4" w14:textId="77777777" w:rsidTr="00DE5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110A2D" w14:textId="77007E63" w:rsidR="00152E42" w:rsidRPr="00121748" w:rsidRDefault="00152E42" w:rsidP="00152E42">
            <w:pPr>
              <w:pStyle w:val="BodyText"/>
              <w:rPr>
                <w:rFonts w:asciiTheme="minorHAnsi" w:eastAsiaTheme="minorEastAsia" w:hAnsiTheme="minorHAnsi" w:cstheme="minorHAnsi"/>
                <w:color w:val="auto"/>
                <w:kern w:val="24"/>
                <w:szCs w:val="20"/>
              </w:rPr>
            </w:pPr>
            <w:r w:rsidRPr="00121748">
              <w:rPr>
                <w:rFonts w:asciiTheme="minorHAnsi" w:eastAsiaTheme="minorEastAsia" w:hAnsiTheme="minorHAnsi" w:cstheme="minorHAnsi"/>
                <w:color w:val="auto"/>
                <w:kern w:val="24"/>
                <w:szCs w:val="20"/>
              </w:rPr>
              <w:lastRenderedPageBreak/>
              <w:t xml:space="preserve">Option 7: </w:t>
            </w:r>
            <w:r w:rsidRPr="00121748">
              <w:rPr>
                <w:rFonts w:asciiTheme="minorHAnsi" w:eastAsiaTheme="minorEastAsia" w:hAnsiTheme="minorHAnsi" w:cstheme="minorHAnsi"/>
                <w:i/>
                <w:color w:val="auto"/>
                <w:kern w:val="24"/>
                <w:szCs w:val="20"/>
              </w:rPr>
              <w:t>FOSSIL FUEL BOILER PHASE OUT</w:t>
            </w:r>
            <w:r w:rsidR="00DE5E00">
              <w:rPr>
                <w:rFonts w:asciiTheme="minorHAnsi" w:eastAsiaTheme="minorEastAsia" w:hAnsiTheme="minorHAnsi" w:cstheme="minorHAnsi"/>
                <w:i/>
                <w:color w:val="auto"/>
                <w:kern w:val="24"/>
                <w:szCs w:val="20"/>
              </w:rPr>
              <w:t xml:space="preserve"> rating</w:t>
            </w:r>
          </w:p>
        </w:tc>
        <w:tc>
          <w:tcPr>
            <w:tcW w:w="1941" w:type="dxa"/>
          </w:tcPr>
          <w:p w14:paraId="725A321A" w14:textId="00048B34" w:rsidR="00152E42" w:rsidRPr="00121748" w:rsidRDefault="00850BD4" w:rsidP="00152E42">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275942CB" wp14:editId="40296EA7">
                      <wp:extent cx="228600" cy="228600"/>
                      <wp:effectExtent l="0" t="0" r="19050" b="19050"/>
                      <wp:docPr id="1905294442" name="Freeform: Shape 1905294442" descr="On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5400000"/>
                                    <a:lnTo>
                                      <a:pt x="317500" y="317500"/>
                                    </a:lnTo>
                                    <a:close/>
                                  </a:path>
                                  <a:path w="635000" h="635000" fill="none">
                                    <a:moveTo>
                                      <a:pt x="635000" y="317500"/>
                                    </a:moveTo>
                                    <a:arcTo wR="317500" hR="317500" stAng="0" swAng="162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13F80725" id="Freeform: Shape 1905294442" o:spid="_x0000_s1026" alt="On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" path="m317500,wa,,635000,635000,317500,,635000,317500l317500,317500,317500,xem635000,317500nfwa,,635000,635000,635000,317500,317500,e" fillcolor="black [3213]" strokecolor="black [3213]" strokeweight="1.5pt">
                      <v:stroke joinstyle="miter"/>
                      <v:path arrowok="t"/>
                      <o:lock v:ext="edit" aspectratio="t"/>
                      <w10:anchorlock/>
                    </v:shape>
                  </w:pict>
                </mc:Fallback>
              </mc:AlternateContent>
            </w:r>
          </w:p>
          <w:p w14:paraId="24C02E6D" w14:textId="21FE76D3" w:rsidR="00152E42" w:rsidRPr="00121748" w:rsidRDefault="00152E42" w:rsidP="00152E42">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Pr>
          <w:p w14:paraId="7BC1C969" w14:textId="5158F5A9" w:rsidR="00152E42" w:rsidRPr="00121748" w:rsidRDefault="00850BD4" w:rsidP="00152E42">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noProof/>
              </w:rPr>
              <mc:AlternateContent>
                <mc:Choice Requires="wps">
                  <w:drawing>
                    <wp:inline distT="0" distB="0" distL="0" distR="0" wp14:anchorId="3D090A46" wp14:editId="71509478">
                      <wp:extent cx="228600" cy="228600"/>
                      <wp:effectExtent l="0" t="0" r="19050" b="19050"/>
                      <wp:docPr id="315753460" name="Freeform: Shape 315753460" descr="Three quatre full cir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custGeom>
                                <a:avLst/>
                                <a:gdLst/>
                                <a:ahLst/>
                                <a:cxnLst/>
                                <a:rect l="l" t="t" r="r" b="b"/>
                                <a:pathLst>
                                  <a:path w="635000" h="635000">
                                    <a:moveTo>
                                      <a:pt x="317500" y="0"/>
                                    </a:moveTo>
                                    <a:arcTo wR="317500" hR="317500" stAng="16200000" swAng="16200000"/>
                                    <a:lnTo>
                                      <a:pt x="317500" y="317500"/>
                                    </a:lnTo>
                                    <a:close/>
                                  </a:path>
                                  <a:path w="635000" h="635000" fill="none">
                                    <a:moveTo>
                                      <a:pt x="0" y="317500"/>
                                    </a:moveTo>
                                    <a:arcTo wR="317500" hR="317500" stAng="10800000" swAng="5400000"/>
                                  </a:path>
                                </a:pathLst>
                              </a:custGeom>
                              <a:solidFill>
                                <a:schemeClr val="tx1"/>
                              </a:solidFill>
                              <a:ln w="19050" cap="flat" cmpd="sng" algn="ctr">
                                <a:solidFill>
                                  <a:schemeClr val="tx1"/>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35075C50" id="Freeform: Shape 315753460" o:spid="_x0000_s1026" alt="Three quatre full circle" style="width:18pt;height:18pt;visibility:visible;mso-wrap-style:square;mso-left-percent:-10001;mso-top-percent:-10001;mso-position-horizontal:absolute;mso-position-horizontal-relative:char;mso-position-vertical:absolute;mso-position-vertical-relative:line;mso-left-percent:-10001;mso-top-percent:-10001;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" path="m317500,wa,,635000,635000,317500,,,317500l317500,317500,317500,xem,317500nfwa,,635000,635000,,317500,317500,e" fillcolor="black [3213]" strokecolor="black [3213]" strokeweight="1.5pt">
                      <v:stroke joinstyle="miter"/>
                      <v:path arrowok="t"/>
                      <o:lock v:ext="edit" aspectratio="t"/>
                      <w10:anchorlock/>
                    </v:shape>
                  </w:pict>
                </mc:Fallback>
              </mc:AlternateContent>
            </w:r>
          </w:p>
        </w:tc>
        <w:tc>
          <w:tcPr>
            <w:tcW w:w="2977" w:type="dxa"/>
            <w:vAlign w:val="center"/>
          </w:tcPr>
          <w:p w14:paraId="5458BBBA" w14:textId="6043C320" w:rsidR="00152E42" w:rsidRPr="00121748" w:rsidRDefault="00152E42" w:rsidP="00152E42">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b/>
                <w:color w:val="auto"/>
                <w:sz w:val="32"/>
                <w:szCs w:val="32"/>
              </w:rPr>
              <w:t>$$$$</w:t>
            </w:r>
          </w:p>
        </w:tc>
        <w:tc>
          <w:tcPr>
            <w:tcW w:w="5386" w:type="dxa"/>
            <w:vAlign w:val="center"/>
          </w:tcPr>
          <w:p w14:paraId="6B26AEB3" w14:textId="2E5BBB30" w:rsidR="00152E42" w:rsidRPr="00121748" w:rsidRDefault="000D03AC" w:rsidP="00152E42">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noProof/>
              </w:rPr>
              <w:drawing>
                <wp:inline distT="0" distB="0" distL="0" distR="0" wp14:anchorId="2A9F6D35" wp14:editId="6557AF1A">
                  <wp:extent cx="200025" cy="200025"/>
                  <wp:effectExtent l="0" t="0" r="0" b="0"/>
                  <wp:docPr id="1546338699" name="Picture 1546338699" descr="Tic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38699" name="Picture 1546338699" descr="Tick">
                            <a:extLst>
                              <a:ext uri="{C183D7F6-B498-43B3-948B-1728B52AA6E4}">
                                <adec:decorative xmlns:adec="http://schemas.microsoft.com/office/drawing/2017/decorative" val="0"/>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71005F" w14:paraId="37CC1244" w14:textId="77777777" w:rsidTr="00DE5E00">
        <w:tc>
          <w:tcPr>
            <w:cnfStyle w:val="001000000000" w:firstRow="0" w:lastRow="0" w:firstColumn="1" w:lastColumn="0" w:oddVBand="0" w:evenVBand="0" w:oddHBand="0" w:evenHBand="0" w:firstRowFirstColumn="0" w:firstRowLastColumn="0" w:lastRowFirstColumn="0" w:lastRowLastColumn="0"/>
            <w:tcW w:w="1838" w:type="dxa"/>
            <w:shd w:val="clear" w:color="auto" w:fill="FFFFFF" w:themeFill="background1"/>
          </w:tcPr>
          <w:p w14:paraId="63F60B47" w14:textId="17EA5CDA" w:rsidR="0071005F" w:rsidRPr="00121748" w:rsidRDefault="00DE5E00" w:rsidP="0071005F">
            <w:pPr>
              <w:pStyle w:val="BodyText"/>
              <w:rPr>
                <w:rFonts w:asciiTheme="minorHAnsi" w:eastAsiaTheme="minorEastAsia" w:hAnsiTheme="minorHAnsi" w:cstheme="minorHAnsi"/>
                <w:color w:val="auto"/>
                <w:kern w:val="24"/>
                <w:szCs w:val="20"/>
              </w:rPr>
            </w:pPr>
            <w:r w:rsidRPr="00121748">
              <w:rPr>
                <w:rFonts w:asciiTheme="minorHAnsi" w:eastAsiaTheme="minorEastAsia" w:hAnsiTheme="minorHAnsi" w:cstheme="minorHAnsi"/>
                <w:color w:val="auto"/>
                <w:kern w:val="24"/>
                <w:szCs w:val="20"/>
              </w:rPr>
              <w:t xml:space="preserve">Option 7: </w:t>
            </w:r>
            <w:r w:rsidRPr="00121748">
              <w:rPr>
                <w:rFonts w:asciiTheme="minorHAnsi" w:eastAsiaTheme="minorEastAsia" w:hAnsiTheme="minorHAnsi" w:cstheme="minorHAnsi"/>
                <w:i/>
                <w:color w:val="auto"/>
                <w:kern w:val="24"/>
                <w:szCs w:val="20"/>
              </w:rPr>
              <w:t>FOSSIL FUEL BOILER PHASE OUT</w:t>
            </w:r>
            <w:r>
              <w:rPr>
                <w:rFonts w:asciiTheme="minorHAnsi" w:eastAsiaTheme="minorEastAsia" w:hAnsiTheme="minorHAnsi" w:cstheme="minorHAnsi"/>
                <w:i/>
                <w:color w:val="auto"/>
                <w:kern w:val="24"/>
                <w:szCs w:val="20"/>
              </w:rPr>
              <w:t xml:space="preserve"> rationale</w:t>
            </w:r>
          </w:p>
        </w:tc>
        <w:tc>
          <w:tcPr>
            <w:tcW w:w="1941" w:type="dxa"/>
            <w:shd w:val="clear" w:color="auto" w:fill="FFFFFF" w:themeFill="background1"/>
          </w:tcPr>
          <w:p w14:paraId="711B9E6C" w14:textId="470C01E5" w:rsidR="0071005F" w:rsidRPr="00121748" w:rsidRDefault="0071005F" w:rsidP="0071005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 xml:space="preserve">Emissions reach estimated at </w:t>
            </w:r>
            <w:r w:rsidRPr="00121748">
              <w:rPr>
                <w:rFonts w:asciiTheme="minorHAnsi" w:hAnsiTheme="minorHAnsi" w:cstheme="minorHAnsi"/>
                <w:b/>
                <w:sz w:val="18"/>
                <w:szCs w:val="18"/>
              </w:rPr>
              <w:t>&lt;0.5 MtCO</w:t>
            </w:r>
            <w:r w:rsidRPr="00121748">
              <w:rPr>
                <w:rFonts w:asciiTheme="minorHAnsi" w:hAnsiTheme="minorHAnsi" w:cstheme="minorHAnsi"/>
                <w:b/>
                <w:sz w:val="18"/>
                <w:szCs w:val="18"/>
                <w:vertAlign w:val="subscript"/>
              </w:rPr>
              <w:t>2</w:t>
            </w:r>
            <w:r w:rsidRPr="00121748">
              <w:rPr>
                <w:rFonts w:asciiTheme="minorHAnsi" w:hAnsiTheme="minorHAnsi" w:cstheme="minorHAnsi"/>
                <w:b/>
                <w:sz w:val="18"/>
                <w:szCs w:val="18"/>
              </w:rPr>
              <w:t>-e</w:t>
            </w:r>
          </w:p>
        </w:tc>
        <w:tc>
          <w:tcPr>
            <w:tcW w:w="1560" w:type="dxa"/>
            <w:shd w:val="clear" w:color="auto" w:fill="FFFFFF" w:themeFill="background1"/>
          </w:tcPr>
          <w:p w14:paraId="4B998A32" w14:textId="10FE2E65" w:rsidR="0071005F" w:rsidRPr="00121748" w:rsidRDefault="0071005F" w:rsidP="0071005F">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121748">
              <w:rPr>
                <w:rFonts w:asciiTheme="minorHAnsi" w:hAnsiTheme="minorHAnsi" w:cstheme="minorHAnsi"/>
              </w:rPr>
              <w:t>MEPS</w:t>
            </w:r>
            <w:proofErr w:type="spellEnd"/>
            <w:r w:rsidRPr="00121748">
              <w:rPr>
                <w:rFonts w:asciiTheme="minorHAnsi" w:hAnsiTheme="minorHAnsi" w:cstheme="minorHAnsi"/>
              </w:rPr>
              <w:t xml:space="preserve"> likely to influence behaviour for those that must meet the requirement</w:t>
            </w:r>
          </w:p>
        </w:tc>
        <w:tc>
          <w:tcPr>
            <w:tcW w:w="2977" w:type="dxa"/>
            <w:shd w:val="clear" w:color="auto" w:fill="FFFFFF" w:themeFill="background1"/>
          </w:tcPr>
          <w:p w14:paraId="5C578ED5" w14:textId="02469F94" w:rsidR="0071005F" w:rsidRPr="00121748" w:rsidRDefault="0071005F" w:rsidP="00A253E6">
            <w:pPr>
              <w:pStyle w:val="BodyText"/>
              <w:numPr>
                <w:ilvl w:val="0"/>
                <w:numId w:val="4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Costs of electric equipment and electrification projects vary greatly but are often high upfront costs</w:t>
            </w:r>
          </w:p>
        </w:tc>
        <w:tc>
          <w:tcPr>
            <w:tcW w:w="5386" w:type="dxa"/>
            <w:shd w:val="clear" w:color="auto" w:fill="FFFFFF" w:themeFill="background1"/>
          </w:tcPr>
          <w:p w14:paraId="6A649DCC" w14:textId="77777777" w:rsidR="0071005F" w:rsidRPr="00121748" w:rsidRDefault="0071005F" w:rsidP="00A253E6">
            <w:pPr>
              <w:pStyle w:val="BodyText"/>
              <w:numPr>
                <w:ilvl w:val="0"/>
                <w:numId w:val="4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No alignment with current policy.</w:t>
            </w:r>
          </w:p>
          <w:p w14:paraId="260F6616" w14:textId="31067B52" w:rsidR="0071005F" w:rsidRPr="00121748" w:rsidRDefault="0071005F" w:rsidP="00A253E6">
            <w:pPr>
              <w:pStyle w:val="BodyText"/>
              <w:numPr>
                <w:ilvl w:val="0"/>
                <w:numId w:val="4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1748">
              <w:rPr>
                <w:rFonts w:asciiTheme="minorHAnsi" w:hAnsiTheme="minorHAnsi" w:cstheme="minorHAnsi"/>
              </w:rPr>
              <w:t>Potential for ongoing electrification policy reform.</w:t>
            </w:r>
          </w:p>
        </w:tc>
      </w:tr>
    </w:tbl>
    <w:p w14:paraId="7266991F" w14:textId="5641B8A3" w:rsidR="004C51CD" w:rsidRPr="00121748" w:rsidRDefault="004C51CD" w:rsidP="00F73494">
      <w:pPr>
        <w:pStyle w:val="BodyText"/>
        <w:rPr>
          <w:rFonts w:asciiTheme="minorHAnsi" w:hAnsiTheme="minorHAnsi" w:cstheme="minorHAnsi"/>
        </w:rPr>
      </w:pPr>
    </w:p>
    <w:p w14:paraId="55F602FF" w14:textId="77777777" w:rsidR="00D748F1" w:rsidRPr="00121748" w:rsidRDefault="00D748F1" w:rsidP="00F73494">
      <w:pPr>
        <w:pStyle w:val="BodyText"/>
        <w:rPr>
          <w:rFonts w:asciiTheme="minorHAnsi" w:hAnsiTheme="minorHAnsi" w:cstheme="minorHAnsi"/>
        </w:rPr>
      </w:pPr>
    </w:p>
    <w:p w14:paraId="22B744A1" w14:textId="77777777" w:rsidR="007E5B1C" w:rsidRPr="00121748" w:rsidRDefault="007E5B1C" w:rsidP="00F73494">
      <w:pPr>
        <w:pStyle w:val="BodyText"/>
        <w:rPr>
          <w:rFonts w:asciiTheme="minorHAnsi" w:hAnsiTheme="minorHAnsi" w:cstheme="minorHAnsi"/>
        </w:rPr>
        <w:sectPr w:rsidR="007E5B1C" w:rsidRPr="00121748" w:rsidSect="00A77C53">
          <w:pgSz w:w="16838" w:h="11906" w:orient="landscape"/>
          <w:pgMar w:top="851" w:right="851" w:bottom="851" w:left="1418" w:header="567" w:footer="283" w:gutter="0"/>
          <w:cols w:space="708"/>
          <w:docGrid w:linePitch="360"/>
        </w:sectPr>
      </w:pPr>
    </w:p>
    <w:p w14:paraId="2DA790BE" w14:textId="77777777" w:rsidR="00D748F1" w:rsidRPr="00121748" w:rsidRDefault="00D748F1" w:rsidP="00F73494">
      <w:pPr>
        <w:pStyle w:val="BodyText"/>
        <w:rPr>
          <w:rFonts w:asciiTheme="minorHAnsi" w:hAnsiTheme="minorHAnsi" w:cstheme="minorHAnsi"/>
        </w:rPr>
      </w:pPr>
    </w:p>
    <w:p w14:paraId="14CE3132" w14:textId="5C3D51FF" w:rsidR="00AF392B" w:rsidRPr="00121748" w:rsidRDefault="00F73494" w:rsidP="00F73494">
      <w:pPr>
        <w:pStyle w:val="BodyText"/>
        <w:rPr>
          <w:rFonts w:asciiTheme="minorHAnsi" w:hAnsiTheme="minorHAnsi" w:cstheme="minorHAnsi"/>
        </w:rPr>
      </w:pPr>
      <w:r w:rsidRPr="00121748">
        <w:rPr>
          <w:rFonts w:asciiTheme="minorHAnsi" w:hAnsiTheme="minorHAnsi" w:cstheme="minorHAnsi"/>
        </w:rPr>
        <w:t>Based on the initial options analysis</w:t>
      </w:r>
      <w:r w:rsidR="002953FA" w:rsidRPr="00121748">
        <w:rPr>
          <w:rFonts w:asciiTheme="minorHAnsi" w:hAnsiTheme="minorHAnsi" w:cstheme="minorHAnsi"/>
        </w:rPr>
        <w:t xml:space="preserve"> and discussions with the </w:t>
      </w:r>
      <w:r w:rsidR="00831AC2" w:rsidRPr="00121748">
        <w:rPr>
          <w:rFonts w:asciiTheme="minorHAnsi" w:hAnsiTheme="minorHAnsi" w:cstheme="minorHAnsi"/>
        </w:rPr>
        <w:t xml:space="preserve">closed </w:t>
      </w:r>
      <w:r w:rsidR="002953FA" w:rsidRPr="00121748">
        <w:rPr>
          <w:rFonts w:asciiTheme="minorHAnsi" w:hAnsiTheme="minorHAnsi" w:cstheme="minorHAnsi"/>
        </w:rPr>
        <w:t>reference group</w:t>
      </w:r>
      <w:r w:rsidRPr="00121748">
        <w:rPr>
          <w:rFonts w:asciiTheme="minorHAnsi" w:hAnsiTheme="minorHAnsi" w:cstheme="minorHAnsi"/>
        </w:rPr>
        <w:t xml:space="preserve">, </w:t>
      </w:r>
      <w:r w:rsidRPr="00121748">
        <w:rPr>
          <w:rFonts w:asciiTheme="minorHAnsi" w:hAnsiTheme="minorHAnsi" w:cstheme="minorHAnsi"/>
          <w:b/>
        </w:rPr>
        <w:t xml:space="preserve">Options </w:t>
      </w:r>
      <w:r w:rsidR="002953FA" w:rsidRPr="00121748">
        <w:rPr>
          <w:rFonts w:asciiTheme="minorHAnsi" w:hAnsiTheme="minorHAnsi" w:cstheme="minorHAnsi"/>
          <w:b/>
        </w:rPr>
        <w:t>2</w:t>
      </w:r>
      <w:r w:rsidRPr="00121748">
        <w:rPr>
          <w:rFonts w:asciiTheme="minorHAnsi" w:hAnsiTheme="minorHAnsi" w:cstheme="minorHAnsi"/>
        </w:rPr>
        <w:t xml:space="preserve">, </w:t>
      </w:r>
      <w:r w:rsidRPr="00121748">
        <w:rPr>
          <w:rFonts w:asciiTheme="minorHAnsi" w:hAnsiTheme="minorHAnsi" w:cstheme="minorHAnsi"/>
          <w:b/>
        </w:rPr>
        <w:t>4</w:t>
      </w:r>
      <w:r w:rsidRPr="00121748">
        <w:rPr>
          <w:rFonts w:asciiTheme="minorHAnsi" w:hAnsiTheme="minorHAnsi" w:cstheme="minorHAnsi"/>
        </w:rPr>
        <w:t xml:space="preserve"> and </w:t>
      </w:r>
      <w:r w:rsidR="00F22744" w:rsidRPr="00121748">
        <w:rPr>
          <w:rFonts w:asciiTheme="minorHAnsi" w:hAnsiTheme="minorHAnsi" w:cstheme="minorHAnsi"/>
          <w:b/>
        </w:rPr>
        <w:t>5</w:t>
      </w:r>
      <w:r w:rsidRPr="00121748">
        <w:rPr>
          <w:rFonts w:asciiTheme="minorHAnsi" w:hAnsiTheme="minorHAnsi" w:cstheme="minorHAnsi"/>
        </w:rPr>
        <w:t xml:space="preserve"> </w:t>
      </w:r>
      <w:r w:rsidR="00F22744" w:rsidRPr="00121748">
        <w:rPr>
          <w:rFonts w:asciiTheme="minorHAnsi" w:hAnsiTheme="minorHAnsi" w:cstheme="minorHAnsi"/>
        </w:rPr>
        <w:t xml:space="preserve">were identified as priority policies to explore further in the </w:t>
      </w:r>
      <w:r w:rsidRPr="00121748">
        <w:rPr>
          <w:rFonts w:asciiTheme="minorHAnsi" w:hAnsiTheme="minorHAnsi" w:cstheme="minorHAnsi"/>
        </w:rPr>
        <w:t>more detailed feasibility study</w:t>
      </w:r>
      <w:r w:rsidR="00AF392B" w:rsidRPr="00121748">
        <w:rPr>
          <w:rFonts w:asciiTheme="minorHAnsi" w:hAnsiTheme="minorHAnsi" w:cstheme="minorHAnsi"/>
        </w:rPr>
        <w:t xml:space="preserve">. </w:t>
      </w:r>
    </w:p>
    <w:p w14:paraId="6D1A40A4" w14:textId="2A8A544E" w:rsidR="00343D3C" w:rsidRPr="00121748" w:rsidRDefault="00F73494" w:rsidP="00F73494">
      <w:pPr>
        <w:pStyle w:val="BodyText"/>
        <w:rPr>
          <w:rFonts w:asciiTheme="minorHAnsi" w:hAnsiTheme="minorHAnsi" w:cstheme="minorHAnsi"/>
        </w:rPr>
      </w:pPr>
      <w:r w:rsidRPr="00121748">
        <w:rPr>
          <w:rFonts w:asciiTheme="minorHAnsi" w:hAnsiTheme="minorHAnsi" w:cstheme="minorHAnsi"/>
          <w:b/>
        </w:rPr>
        <w:t xml:space="preserve">Option </w:t>
      </w:r>
      <w:r w:rsidR="00442B90" w:rsidRPr="00121748">
        <w:rPr>
          <w:rFonts w:asciiTheme="minorHAnsi" w:hAnsiTheme="minorHAnsi" w:cstheme="minorHAnsi"/>
          <w:b/>
        </w:rPr>
        <w:t>2</w:t>
      </w:r>
      <w:r w:rsidRPr="00121748">
        <w:rPr>
          <w:rFonts w:asciiTheme="minorHAnsi" w:hAnsiTheme="minorHAnsi" w:cstheme="minorHAnsi"/>
          <w:b/>
        </w:rPr>
        <w:t xml:space="preserve"> (</w:t>
      </w:r>
      <w:r w:rsidR="00235863" w:rsidRPr="00121748">
        <w:rPr>
          <w:rFonts w:asciiTheme="minorHAnsi" w:hAnsiTheme="minorHAnsi" w:cstheme="minorHAnsi"/>
          <w:b/>
        </w:rPr>
        <w:t>Tailored sectoral disclosure</w:t>
      </w:r>
      <w:r w:rsidRPr="00121748">
        <w:rPr>
          <w:rFonts w:asciiTheme="minorHAnsi" w:hAnsiTheme="minorHAnsi" w:cstheme="minorHAnsi"/>
          <w:b/>
        </w:rPr>
        <w:t>)</w:t>
      </w:r>
      <w:r w:rsidR="002D6B36" w:rsidRPr="00121748">
        <w:rPr>
          <w:rFonts w:asciiTheme="minorHAnsi" w:hAnsiTheme="minorHAnsi" w:cstheme="minorHAnsi"/>
          <w:b/>
        </w:rPr>
        <w:t xml:space="preserve"> </w:t>
      </w:r>
      <w:r w:rsidR="00E76395" w:rsidRPr="00121748">
        <w:rPr>
          <w:rFonts w:asciiTheme="minorHAnsi" w:hAnsiTheme="minorHAnsi" w:cstheme="minorHAnsi"/>
        </w:rPr>
        <w:t xml:space="preserve">is </w:t>
      </w:r>
      <w:r w:rsidR="00196678" w:rsidRPr="00121748">
        <w:rPr>
          <w:rFonts w:asciiTheme="minorHAnsi" w:hAnsiTheme="minorHAnsi" w:cstheme="minorHAnsi"/>
        </w:rPr>
        <w:t>like</w:t>
      </w:r>
      <w:r w:rsidR="00E76395" w:rsidRPr="00121748">
        <w:rPr>
          <w:rFonts w:asciiTheme="minorHAnsi" w:hAnsiTheme="minorHAnsi" w:cstheme="minorHAnsi"/>
        </w:rPr>
        <w:t xml:space="preserve"> the UK approach</w:t>
      </w:r>
      <w:r w:rsidR="005E5BD7" w:rsidRPr="00121748">
        <w:rPr>
          <w:rFonts w:asciiTheme="minorHAnsi" w:hAnsiTheme="minorHAnsi" w:cstheme="minorHAnsi"/>
        </w:rPr>
        <w:t xml:space="preserve"> and would have </w:t>
      </w:r>
      <w:r w:rsidR="000449CD" w:rsidRPr="00121748">
        <w:rPr>
          <w:rFonts w:asciiTheme="minorHAnsi" w:hAnsiTheme="minorHAnsi" w:cstheme="minorHAnsi"/>
        </w:rPr>
        <w:t xml:space="preserve">alternative trigger points for </w:t>
      </w:r>
      <w:r w:rsidR="005E5BD7" w:rsidRPr="00121748">
        <w:rPr>
          <w:rFonts w:asciiTheme="minorHAnsi" w:hAnsiTheme="minorHAnsi" w:cstheme="minorHAnsi"/>
        </w:rPr>
        <w:t>disclosure</w:t>
      </w:r>
      <w:r w:rsidR="000449CD" w:rsidRPr="00121748">
        <w:rPr>
          <w:rFonts w:asciiTheme="minorHAnsi" w:hAnsiTheme="minorHAnsi" w:cstheme="minorHAnsi"/>
        </w:rPr>
        <w:t xml:space="preserve"> dependent on the building type</w:t>
      </w:r>
      <w:r w:rsidR="00196678" w:rsidRPr="00121748">
        <w:rPr>
          <w:rFonts w:asciiTheme="minorHAnsi" w:hAnsiTheme="minorHAnsi" w:cstheme="minorHAnsi"/>
        </w:rPr>
        <w:t xml:space="preserve">. </w:t>
      </w:r>
      <w:r w:rsidR="00526D64" w:rsidRPr="00121748">
        <w:rPr>
          <w:rFonts w:asciiTheme="minorHAnsi" w:hAnsiTheme="minorHAnsi" w:cstheme="minorHAnsi"/>
        </w:rPr>
        <w:t>This option will be pursued based on more detailed assessment of maturity of different sectors, with thresholds set with further analysis of emissions and compliance trade</w:t>
      </w:r>
      <w:r w:rsidR="00D54793" w:rsidRPr="00121748">
        <w:rPr>
          <w:rFonts w:asciiTheme="minorHAnsi" w:hAnsiTheme="minorHAnsi" w:cstheme="minorHAnsi"/>
        </w:rPr>
        <w:t>-</w:t>
      </w:r>
      <w:r w:rsidR="00526D64" w:rsidRPr="00121748">
        <w:rPr>
          <w:rFonts w:asciiTheme="minorHAnsi" w:hAnsiTheme="minorHAnsi" w:cstheme="minorHAnsi"/>
        </w:rPr>
        <w:t xml:space="preserve">offs. </w:t>
      </w:r>
      <w:r w:rsidR="00196678" w:rsidRPr="00121748">
        <w:rPr>
          <w:rFonts w:asciiTheme="minorHAnsi" w:hAnsiTheme="minorHAnsi" w:cstheme="minorHAnsi"/>
        </w:rPr>
        <w:t>Although</w:t>
      </w:r>
      <w:r w:rsidR="00B54D57" w:rsidRPr="00121748">
        <w:rPr>
          <w:rFonts w:asciiTheme="minorHAnsi" w:hAnsiTheme="minorHAnsi" w:cstheme="minorHAnsi"/>
        </w:rPr>
        <w:t xml:space="preserve"> the potential reach of the policy is not as great as Option 1, it still has a high potential for emissions reduction</w:t>
      </w:r>
      <w:r w:rsidR="009E5B1B">
        <w:rPr>
          <w:rFonts w:asciiTheme="minorHAnsi" w:hAnsiTheme="minorHAnsi" w:cstheme="minorHAnsi"/>
        </w:rPr>
        <w:t>, particularly if part of a broader roadmap of regulatory enhancement over time</w:t>
      </w:r>
      <w:r w:rsidR="00751563" w:rsidRPr="00121748">
        <w:rPr>
          <w:rFonts w:asciiTheme="minorHAnsi" w:hAnsiTheme="minorHAnsi" w:cstheme="minorHAnsi"/>
        </w:rPr>
        <w:t>. It is selected</w:t>
      </w:r>
      <w:r w:rsidRPr="00121748">
        <w:rPr>
          <w:rFonts w:asciiTheme="minorHAnsi" w:hAnsiTheme="minorHAnsi" w:cstheme="minorHAnsi"/>
        </w:rPr>
        <w:t xml:space="preserve"> ahead of Option </w:t>
      </w:r>
      <w:r w:rsidR="00751563" w:rsidRPr="00121748">
        <w:rPr>
          <w:rFonts w:asciiTheme="minorHAnsi" w:hAnsiTheme="minorHAnsi" w:cstheme="minorHAnsi"/>
        </w:rPr>
        <w:t>1</w:t>
      </w:r>
      <w:r w:rsidRPr="00121748">
        <w:rPr>
          <w:rFonts w:asciiTheme="minorHAnsi" w:hAnsiTheme="minorHAnsi" w:cstheme="minorHAnsi"/>
        </w:rPr>
        <w:t xml:space="preserve"> as it </w:t>
      </w:r>
      <w:r w:rsidR="00751563" w:rsidRPr="00121748">
        <w:rPr>
          <w:rFonts w:asciiTheme="minorHAnsi" w:hAnsiTheme="minorHAnsi" w:cstheme="minorHAnsi"/>
        </w:rPr>
        <w:t xml:space="preserve">is </w:t>
      </w:r>
      <w:r w:rsidR="00E76395" w:rsidRPr="00121748">
        <w:rPr>
          <w:rFonts w:asciiTheme="minorHAnsi" w:hAnsiTheme="minorHAnsi" w:cstheme="minorHAnsi"/>
        </w:rPr>
        <w:t xml:space="preserve">likely to be less </w:t>
      </w:r>
      <w:r w:rsidR="00FD02A3" w:rsidRPr="00121748">
        <w:rPr>
          <w:rFonts w:asciiTheme="minorHAnsi" w:hAnsiTheme="minorHAnsi" w:cstheme="minorHAnsi"/>
        </w:rPr>
        <w:t>expensive</w:t>
      </w:r>
      <w:r w:rsidR="008147BE" w:rsidRPr="00121748">
        <w:rPr>
          <w:rFonts w:asciiTheme="minorHAnsi" w:hAnsiTheme="minorHAnsi" w:cstheme="minorHAnsi"/>
        </w:rPr>
        <w:t>,</w:t>
      </w:r>
      <w:r w:rsidR="00FD02A3" w:rsidRPr="00121748">
        <w:rPr>
          <w:rFonts w:asciiTheme="minorHAnsi" w:hAnsiTheme="minorHAnsi" w:cstheme="minorHAnsi"/>
        </w:rPr>
        <w:t xml:space="preserve"> and </w:t>
      </w:r>
      <w:r w:rsidR="008147BE" w:rsidRPr="00121748">
        <w:rPr>
          <w:rFonts w:asciiTheme="minorHAnsi" w:hAnsiTheme="minorHAnsi" w:cstheme="minorHAnsi"/>
        </w:rPr>
        <w:t xml:space="preserve">it is more </w:t>
      </w:r>
      <w:r w:rsidR="00E76395" w:rsidRPr="00121748">
        <w:rPr>
          <w:rFonts w:asciiTheme="minorHAnsi" w:hAnsiTheme="minorHAnsi" w:cstheme="minorHAnsi"/>
        </w:rPr>
        <w:t xml:space="preserve">tailored </w:t>
      </w:r>
      <w:r w:rsidR="008147BE" w:rsidRPr="00121748">
        <w:rPr>
          <w:rFonts w:asciiTheme="minorHAnsi" w:hAnsiTheme="minorHAnsi" w:cstheme="minorHAnsi"/>
        </w:rPr>
        <w:t xml:space="preserve">so adjustments can be made </w:t>
      </w:r>
      <w:r w:rsidR="00FD02A3" w:rsidRPr="00121748">
        <w:rPr>
          <w:rFonts w:asciiTheme="minorHAnsi" w:hAnsiTheme="minorHAnsi" w:cstheme="minorHAnsi"/>
        </w:rPr>
        <w:t xml:space="preserve">which consider </w:t>
      </w:r>
      <w:r w:rsidR="00675932" w:rsidRPr="00121748">
        <w:rPr>
          <w:rFonts w:asciiTheme="minorHAnsi" w:hAnsiTheme="minorHAnsi" w:cstheme="minorHAnsi"/>
        </w:rPr>
        <w:t>nuisances</w:t>
      </w:r>
      <w:r w:rsidR="008147BE" w:rsidRPr="00121748">
        <w:rPr>
          <w:rFonts w:asciiTheme="minorHAnsi" w:hAnsiTheme="minorHAnsi" w:cstheme="minorHAnsi"/>
        </w:rPr>
        <w:t xml:space="preserve"> </w:t>
      </w:r>
      <w:r w:rsidR="0050212A" w:rsidRPr="00121748">
        <w:rPr>
          <w:rFonts w:asciiTheme="minorHAnsi" w:hAnsiTheme="minorHAnsi" w:cstheme="minorHAnsi"/>
        </w:rPr>
        <w:t xml:space="preserve">by different </w:t>
      </w:r>
      <w:r w:rsidR="00FD02A3" w:rsidRPr="00121748">
        <w:rPr>
          <w:rFonts w:asciiTheme="minorHAnsi" w:hAnsiTheme="minorHAnsi" w:cstheme="minorHAnsi"/>
        </w:rPr>
        <w:t>building type</w:t>
      </w:r>
      <w:r w:rsidR="0050212A" w:rsidRPr="00121748">
        <w:rPr>
          <w:rFonts w:asciiTheme="minorHAnsi" w:hAnsiTheme="minorHAnsi" w:cstheme="minorHAnsi"/>
        </w:rPr>
        <w:t>s</w:t>
      </w:r>
      <w:r w:rsidR="00FD02A3" w:rsidRPr="00121748">
        <w:rPr>
          <w:rFonts w:asciiTheme="minorHAnsi" w:hAnsiTheme="minorHAnsi" w:cstheme="minorHAnsi"/>
        </w:rPr>
        <w:t xml:space="preserve"> and size</w:t>
      </w:r>
      <w:r w:rsidR="0050212A" w:rsidRPr="00121748">
        <w:rPr>
          <w:rFonts w:asciiTheme="minorHAnsi" w:hAnsiTheme="minorHAnsi" w:cstheme="minorHAnsi"/>
        </w:rPr>
        <w:t>s</w:t>
      </w:r>
      <w:r w:rsidR="00FD02A3" w:rsidRPr="00121748">
        <w:rPr>
          <w:rFonts w:asciiTheme="minorHAnsi" w:hAnsiTheme="minorHAnsi" w:cstheme="minorHAnsi"/>
        </w:rPr>
        <w:t>.</w:t>
      </w:r>
      <w:r w:rsidRPr="00121748">
        <w:rPr>
          <w:rFonts w:asciiTheme="minorHAnsi" w:hAnsiTheme="minorHAnsi" w:cstheme="minorHAnsi"/>
        </w:rPr>
        <w:t xml:space="preserve"> Option 2 could also be considered now or as a variant at later stages of the process, including with more data availability. Its chief benefit would be to reduce compliance costs amongst smaller entities, while capturing many of the energy and emissions scope of 1. </w:t>
      </w:r>
      <w:r w:rsidR="00653A68">
        <w:rPr>
          <w:rFonts w:asciiTheme="minorHAnsi" w:hAnsiTheme="minorHAnsi" w:cstheme="minorHAnsi"/>
        </w:rPr>
        <w:t>This policy could be a cornerstone of a sectoral transformation and would drive to the overall decarbonisation of the building stock.</w:t>
      </w:r>
    </w:p>
    <w:p w14:paraId="4C898546" w14:textId="0627CDB2" w:rsidR="00563FE2" w:rsidRPr="00121748" w:rsidRDefault="00F73494" w:rsidP="00F73494">
      <w:pPr>
        <w:pStyle w:val="BodyText"/>
        <w:rPr>
          <w:rFonts w:asciiTheme="minorHAnsi" w:hAnsiTheme="minorHAnsi" w:cstheme="minorHAnsi"/>
        </w:rPr>
      </w:pPr>
      <w:r w:rsidRPr="00121748">
        <w:rPr>
          <w:rFonts w:asciiTheme="minorHAnsi" w:hAnsiTheme="minorHAnsi" w:cstheme="minorHAnsi"/>
        </w:rPr>
        <w:t xml:space="preserve">Although </w:t>
      </w:r>
      <w:r w:rsidRPr="00121748">
        <w:rPr>
          <w:rFonts w:asciiTheme="minorHAnsi" w:hAnsiTheme="minorHAnsi" w:cstheme="minorHAnsi"/>
          <w:b/>
        </w:rPr>
        <w:t xml:space="preserve">Option 4 (star rating </w:t>
      </w:r>
      <w:proofErr w:type="spellStart"/>
      <w:r w:rsidRPr="00121748">
        <w:rPr>
          <w:rFonts w:asciiTheme="minorHAnsi" w:hAnsiTheme="minorHAnsi" w:cstheme="minorHAnsi"/>
          <w:b/>
        </w:rPr>
        <w:t>MEPS</w:t>
      </w:r>
      <w:proofErr w:type="spellEnd"/>
      <w:r w:rsidRPr="00121748">
        <w:rPr>
          <w:rFonts w:asciiTheme="minorHAnsi" w:hAnsiTheme="minorHAnsi" w:cstheme="minorHAnsi"/>
          <w:b/>
        </w:rPr>
        <w:t xml:space="preserve"> for offices)</w:t>
      </w:r>
      <w:r w:rsidRPr="00121748">
        <w:rPr>
          <w:rFonts w:asciiTheme="minorHAnsi" w:hAnsiTheme="minorHAnsi" w:cstheme="minorHAnsi"/>
        </w:rPr>
        <w:t xml:space="preserve"> has low coverage, it has high likelihood of behaviour change for those that are included as it is a </w:t>
      </w:r>
      <w:proofErr w:type="spellStart"/>
      <w:r w:rsidRPr="00121748">
        <w:rPr>
          <w:rFonts w:asciiTheme="minorHAnsi" w:hAnsiTheme="minorHAnsi" w:cstheme="minorHAnsi"/>
        </w:rPr>
        <w:t>MEPS</w:t>
      </w:r>
      <w:proofErr w:type="spellEnd"/>
      <w:r w:rsidRPr="00121748">
        <w:rPr>
          <w:rFonts w:asciiTheme="minorHAnsi" w:hAnsiTheme="minorHAnsi" w:cstheme="minorHAnsi"/>
        </w:rPr>
        <w:t xml:space="preserve">. </w:t>
      </w:r>
      <w:r w:rsidR="003D6A27">
        <w:rPr>
          <w:rFonts w:asciiTheme="minorHAnsi" w:hAnsiTheme="minorHAnsi" w:cstheme="minorHAnsi"/>
        </w:rPr>
        <w:t xml:space="preserve">Currently, this policy would largely lift a subset of low performing buildings to align with most large and newer buildings. </w:t>
      </w:r>
      <w:r w:rsidRPr="00121748">
        <w:rPr>
          <w:rFonts w:asciiTheme="minorHAnsi" w:hAnsiTheme="minorHAnsi" w:cstheme="minorHAnsi"/>
        </w:rPr>
        <w:t>This Option can also be expanded to other building types later</w:t>
      </w:r>
      <w:r w:rsidR="008602EF" w:rsidRPr="00121748">
        <w:rPr>
          <w:rFonts w:asciiTheme="minorHAnsi" w:hAnsiTheme="minorHAnsi" w:cstheme="minorHAnsi"/>
        </w:rPr>
        <w:t>,</w:t>
      </w:r>
      <w:r w:rsidR="003A40AA" w:rsidRPr="00121748">
        <w:rPr>
          <w:rFonts w:asciiTheme="minorHAnsi" w:hAnsiTheme="minorHAnsi" w:cstheme="minorHAnsi"/>
        </w:rPr>
        <w:t xml:space="preserve"> as part of a</w:t>
      </w:r>
      <w:r w:rsidR="00B64EDE" w:rsidRPr="00121748">
        <w:rPr>
          <w:rFonts w:asciiTheme="minorHAnsi" w:hAnsiTheme="minorHAnsi" w:cstheme="minorHAnsi"/>
        </w:rPr>
        <w:t>n intended</w:t>
      </w:r>
      <w:r w:rsidR="003A40AA" w:rsidRPr="00121748">
        <w:rPr>
          <w:rFonts w:asciiTheme="minorHAnsi" w:hAnsiTheme="minorHAnsi" w:cstheme="minorHAnsi"/>
        </w:rPr>
        <w:t xml:space="preserve"> roadmap</w:t>
      </w:r>
      <w:r w:rsidR="00B64EDE" w:rsidRPr="00121748">
        <w:rPr>
          <w:rFonts w:asciiTheme="minorHAnsi" w:hAnsiTheme="minorHAnsi" w:cstheme="minorHAnsi"/>
        </w:rPr>
        <w:t xml:space="preserve">, based on sub sector maturity and </w:t>
      </w:r>
      <w:r w:rsidR="009426CA" w:rsidRPr="00121748">
        <w:rPr>
          <w:rFonts w:asciiTheme="minorHAnsi" w:hAnsiTheme="minorHAnsi" w:cstheme="minorHAnsi"/>
        </w:rPr>
        <w:t>experience with disclosure</w:t>
      </w:r>
      <w:r w:rsidR="00B64EDE" w:rsidRPr="00121748">
        <w:rPr>
          <w:rFonts w:asciiTheme="minorHAnsi" w:hAnsiTheme="minorHAnsi" w:cstheme="minorHAnsi"/>
        </w:rPr>
        <w:t>,</w:t>
      </w:r>
      <w:r w:rsidR="008602EF" w:rsidRPr="00121748">
        <w:rPr>
          <w:rFonts w:asciiTheme="minorHAnsi" w:hAnsiTheme="minorHAnsi" w:cstheme="minorHAnsi"/>
        </w:rPr>
        <w:t xml:space="preserve"> so the broader potential for emissions reduction is further improved</w:t>
      </w:r>
      <w:r w:rsidRPr="00121748">
        <w:rPr>
          <w:rFonts w:asciiTheme="minorHAnsi" w:hAnsiTheme="minorHAnsi" w:cstheme="minorHAnsi"/>
        </w:rPr>
        <w:t xml:space="preserve">. </w:t>
      </w:r>
      <w:r w:rsidR="00563FE2" w:rsidRPr="00121748">
        <w:rPr>
          <w:rFonts w:asciiTheme="minorHAnsi" w:hAnsiTheme="minorHAnsi" w:cstheme="minorHAnsi"/>
        </w:rPr>
        <w:t>Although</w:t>
      </w:r>
      <w:r w:rsidR="00563FE2" w:rsidRPr="00121748" w:rsidDel="009426CA">
        <w:rPr>
          <w:rFonts w:asciiTheme="minorHAnsi" w:hAnsiTheme="minorHAnsi" w:cstheme="minorHAnsi"/>
        </w:rPr>
        <w:t xml:space="preserve"> </w:t>
      </w:r>
      <w:r w:rsidR="00563FE2" w:rsidRPr="00121748">
        <w:rPr>
          <w:rFonts w:asciiTheme="minorHAnsi" w:hAnsiTheme="minorHAnsi" w:cstheme="minorHAnsi"/>
        </w:rPr>
        <w:t xml:space="preserve">building owners </w:t>
      </w:r>
      <w:r w:rsidR="00496089" w:rsidRPr="00121748">
        <w:rPr>
          <w:rFonts w:asciiTheme="minorHAnsi" w:hAnsiTheme="minorHAnsi" w:cstheme="minorHAnsi"/>
        </w:rPr>
        <w:t xml:space="preserve">may need to incur costs </w:t>
      </w:r>
      <w:r w:rsidR="00563FE2" w:rsidRPr="00121748">
        <w:rPr>
          <w:rFonts w:asciiTheme="minorHAnsi" w:hAnsiTheme="minorHAnsi" w:cstheme="minorHAnsi"/>
        </w:rPr>
        <w:t xml:space="preserve">to </w:t>
      </w:r>
      <w:r w:rsidR="00765A35" w:rsidRPr="00121748">
        <w:rPr>
          <w:rFonts w:asciiTheme="minorHAnsi" w:hAnsiTheme="minorHAnsi" w:cstheme="minorHAnsi"/>
        </w:rPr>
        <w:t xml:space="preserve">make the required upgrades to meet star rating requirements, this </w:t>
      </w:r>
      <w:r w:rsidR="00496089" w:rsidRPr="00121748">
        <w:rPr>
          <w:rFonts w:asciiTheme="minorHAnsi" w:hAnsiTheme="minorHAnsi" w:cstheme="minorHAnsi"/>
        </w:rPr>
        <w:t xml:space="preserve">can be minimised by careful phasing and </w:t>
      </w:r>
      <w:r w:rsidR="00765A35" w:rsidRPr="00121748">
        <w:rPr>
          <w:rFonts w:asciiTheme="minorHAnsi" w:hAnsiTheme="minorHAnsi" w:cstheme="minorHAnsi"/>
        </w:rPr>
        <w:t xml:space="preserve">is likely to reduce costs for the building in the long run, which is not reflected in the assessment above. For these reasons Option 4 was deemed suitable for a more detailed assessment. </w:t>
      </w:r>
    </w:p>
    <w:p w14:paraId="38A3F4EC" w14:textId="593CF44A" w:rsidR="00343D3C" w:rsidRPr="00121748" w:rsidRDefault="00F73494" w:rsidP="00F73494">
      <w:pPr>
        <w:pStyle w:val="BodyText"/>
        <w:rPr>
          <w:rFonts w:asciiTheme="minorHAnsi" w:hAnsiTheme="minorHAnsi" w:cstheme="minorHAnsi"/>
        </w:rPr>
      </w:pPr>
      <w:r w:rsidRPr="00121748">
        <w:rPr>
          <w:rFonts w:asciiTheme="minorHAnsi" w:hAnsiTheme="minorHAnsi" w:cstheme="minorHAnsi"/>
        </w:rPr>
        <w:t xml:space="preserve">We have suggested </w:t>
      </w:r>
      <w:r w:rsidRPr="00121748">
        <w:rPr>
          <w:rFonts w:asciiTheme="minorHAnsi" w:hAnsiTheme="minorHAnsi" w:cstheme="minorHAnsi"/>
          <w:b/>
        </w:rPr>
        <w:t>Option 5 (Scope 1 Disclosure)</w:t>
      </w:r>
      <w:r w:rsidRPr="00121748">
        <w:rPr>
          <w:rFonts w:asciiTheme="minorHAnsi" w:hAnsiTheme="minorHAnsi" w:cstheme="minorHAnsi"/>
        </w:rPr>
        <w:t xml:space="preserve"> </w:t>
      </w:r>
      <w:r w:rsidR="009C5FED" w:rsidRPr="00121748">
        <w:rPr>
          <w:rFonts w:asciiTheme="minorHAnsi" w:hAnsiTheme="minorHAnsi" w:cstheme="minorHAnsi"/>
        </w:rPr>
        <w:t>be investigated further</w:t>
      </w:r>
      <w:r w:rsidRPr="00121748">
        <w:rPr>
          <w:rFonts w:asciiTheme="minorHAnsi" w:hAnsiTheme="minorHAnsi" w:cstheme="minorHAnsi"/>
        </w:rPr>
        <w:t xml:space="preserve"> given </w:t>
      </w:r>
      <w:r w:rsidR="009C5FED" w:rsidRPr="00121748">
        <w:rPr>
          <w:rFonts w:asciiTheme="minorHAnsi" w:hAnsiTheme="minorHAnsi" w:cstheme="minorHAnsi"/>
        </w:rPr>
        <w:t>it is simple, low cost</w:t>
      </w:r>
      <w:r w:rsidRPr="00121748">
        <w:rPr>
          <w:rFonts w:asciiTheme="minorHAnsi" w:hAnsiTheme="minorHAnsi" w:cstheme="minorHAnsi"/>
        </w:rPr>
        <w:t xml:space="preserve"> and </w:t>
      </w:r>
      <w:r w:rsidR="009C5FED" w:rsidRPr="00121748">
        <w:rPr>
          <w:rFonts w:asciiTheme="minorHAnsi" w:hAnsiTheme="minorHAnsi" w:cstheme="minorHAnsi"/>
        </w:rPr>
        <w:t xml:space="preserve">easy to implement. </w:t>
      </w:r>
      <w:r w:rsidR="008B2939" w:rsidRPr="00121748">
        <w:rPr>
          <w:rFonts w:asciiTheme="minorHAnsi" w:hAnsiTheme="minorHAnsi" w:cstheme="minorHAnsi"/>
        </w:rPr>
        <w:t xml:space="preserve">It also provides </w:t>
      </w:r>
      <w:r w:rsidRPr="00121748">
        <w:rPr>
          <w:rFonts w:asciiTheme="minorHAnsi" w:hAnsiTheme="minorHAnsi" w:cstheme="minorHAnsi"/>
        </w:rPr>
        <w:t xml:space="preserve">potential </w:t>
      </w:r>
      <w:r w:rsidR="008B2939" w:rsidRPr="00121748">
        <w:rPr>
          <w:rFonts w:asciiTheme="minorHAnsi" w:hAnsiTheme="minorHAnsi" w:cstheme="minorHAnsi"/>
        </w:rPr>
        <w:t xml:space="preserve">additional </w:t>
      </w:r>
      <w:r w:rsidRPr="00121748">
        <w:rPr>
          <w:rFonts w:asciiTheme="minorHAnsi" w:hAnsiTheme="minorHAnsi" w:cstheme="minorHAnsi"/>
        </w:rPr>
        <w:t xml:space="preserve">value of </w:t>
      </w:r>
      <w:r w:rsidR="008B2939" w:rsidRPr="00121748">
        <w:rPr>
          <w:rFonts w:asciiTheme="minorHAnsi" w:hAnsiTheme="minorHAnsi" w:cstheme="minorHAnsi"/>
        </w:rPr>
        <w:t xml:space="preserve">filling a small </w:t>
      </w:r>
      <w:r w:rsidRPr="00121748">
        <w:rPr>
          <w:rFonts w:asciiTheme="minorHAnsi" w:hAnsiTheme="minorHAnsi" w:cstheme="minorHAnsi"/>
        </w:rPr>
        <w:t xml:space="preserve">data </w:t>
      </w:r>
      <w:r w:rsidR="008B2939" w:rsidRPr="00121748">
        <w:rPr>
          <w:rFonts w:asciiTheme="minorHAnsi" w:hAnsiTheme="minorHAnsi" w:cstheme="minorHAnsi"/>
        </w:rPr>
        <w:t>gap that currently exists in the NABERS assessment</w:t>
      </w:r>
      <w:r w:rsidRPr="00121748">
        <w:rPr>
          <w:rFonts w:asciiTheme="minorHAnsi" w:hAnsiTheme="minorHAnsi" w:cstheme="minorHAnsi"/>
        </w:rPr>
        <w:t xml:space="preserve">. </w:t>
      </w:r>
      <w:r w:rsidR="00D90ADA" w:rsidRPr="00121748">
        <w:rPr>
          <w:rFonts w:asciiTheme="minorHAnsi" w:hAnsiTheme="minorHAnsi" w:cstheme="minorHAnsi"/>
        </w:rPr>
        <w:t xml:space="preserve">It is consistent with the new </w:t>
      </w:r>
      <w:r w:rsidR="007A6507">
        <w:rPr>
          <w:rFonts w:asciiTheme="minorHAnsi" w:hAnsiTheme="minorHAnsi" w:cstheme="minorHAnsi"/>
        </w:rPr>
        <w:t xml:space="preserve">net zero </w:t>
      </w:r>
      <w:r w:rsidR="00D90ADA" w:rsidRPr="00121748">
        <w:rPr>
          <w:rFonts w:asciiTheme="minorHAnsi" w:hAnsiTheme="minorHAnsi" w:cstheme="minorHAnsi"/>
        </w:rPr>
        <w:t>emissions focus for Federal regulation</w:t>
      </w:r>
      <w:r w:rsidR="007A6507">
        <w:rPr>
          <w:rFonts w:asciiTheme="minorHAnsi" w:hAnsiTheme="minorHAnsi" w:cstheme="minorHAnsi"/>
        </w:rPr>
        <w:t>, and trends in finance provision</w:t>
      </w:r>
      <w:r w:rsidR="00D90ADA" w:rsidRPr="00121748">
        <w:rPr>
          <w:rFonts w:asciiTheme="minorHAnsi" w:hAnsiTheme="minorHAnsi" w:cstheme="minorHAnsi"/>
        </w:rPr>
        <w:t xml:space="preserve">. </w:t>
      </w:r>
      <w:r w:rsidR="00B73E8D" w:rsidRPr="00121748">
        <w:rPr>
          <w:rFonts w:asciiTheme="minorHAnsi" w:hAnsiTheme="minorHAnsi" w:cstheme="minorHAnsi"/>
        </w:rPr>
        <w:t xml:space="preserve">Although it is anticipated to have </w:t>
      </w:r>
      <w:r w:rsidRPr="00121748">
        <w:rPr>
          <w:rFonts w:asciiTheme="minorHAnsi" w:hAnsiTheme="minorHAnsi" w:cstheme="minorHAnsi"/>
        </w:rPr>
        <w:t>low impact</w:t>
      </w:r>
      <w:r w:rsidR="00B73E8D" w:rsidRPr="00121748">
        <w:rPr>
          <w:rFonts w:asciiTheme="minorHAnsi" w:hAnsiTheme="minorHAnsi" w:cstheme="minorHAnsi"/>
        </w:rPr>
        <w:t xml:space="preserve">, </w:t>
      </w:r>
      <w:r w:rsidR="009C5FED" w:rsidRPr="00121748">
        <w:rPr>
          <w:rFonts w:asciiTheme="minorHAnsi" w:hAnsiTheme="minorHAnsi" w:cstheme="minorHAnsi"/>
        </w:rPr>
        <w:t xml:space="preserve">a more detailed assessment would help </w:t>
      </w:r>
      <w:r w:rsidR="008B2939" w:rsidRPr="00121748">
        <w:rPr>
          <w:rFonts w:asciiTheme="minorHAnsi" w:hAnsiTheme="minorHAnsi" w:cstheme="minorHAnsi"/>
        </w:rPr>
        <w:t xml:space="preserve">clarify </w:t>
      </w:r>
      <w:r w:rsidR="00456BEE" w:rsidRPr="00121748">
        <w:rPr>
          <w:rFonts w:asciiTheme="minorHAnsi" w:hAnsiTheme="minorHAnsi" w:cstheme="minorHAnsi"/>
        </w:rPr>
        <w:t>this</w:t>
      </w:r>
      <w:r w:rsidR="008B2939" w:rsidRPr="00121748">
        <w:rPr>
          <w:rFonts w:asciiTheme="minorHAnsi" w:hAnsiTheme="minorHAnsi" w:cstheme="minorHAnsi"/>
        </w:rPr>
        <w:t xml:space="preserve">, as well as </w:t>
      </w:r>
      <w:r w:rsidR="009C5FED" w:rsidRPr="00121748">
        <w:rPr>
          <w:rFonts w:asciiTheme="minorHAnsi" w:hAnsiTheme="minorHAnsi" w:cstheme="minorHAnsi"/>
        </w:rPr>
        <w:t>other costs and benefits this option would bring.</w:t>
      </w:r>
      <w:r w:rsidRPr="00121748">
        <w:rPr>
          <w:rFonts w:asciiTheme="minorHAnsi" w:hAnsiTheme="minorHAnsi" w:cstheme="minorHAnsi"/>
        </w:rPr>
        <w:t xml:space="preserve"> </w:t>
      </w:r>
    </w:p>
    <w:p w14:paraId="0756885E" w14:textId="65AA4322" w:rsidR="00F73494" w:rsidRPr="00E63900" w:rsidRDefault="008B2939" w:rsidP="00F73494">
      <w:pPr>
        <w:pStyle w:val="BodyText"/>
        <w:rPr>
          <w:rFonts w:asciiTheme="minorHAnsi" w:hAnsiTheme="minorHAnsi" w:cstheme="minorHAnsi"/>
        </w:rPr>
      </w:pPr>
      <w:r w:rsidRPr="00121748">
        <w:rPr>
          <w:rFonts w:asciiTheme="minorHAnsi" w:hAnsiTheme="minorHAnsi" w:cstheme="minorHAnsi"/>
        </w:rPr>
        <w:t xml:space="preserve">Option 1 (Blanket Disclosure), Option 3 (Office 500), </w:t>
      </w:r>
      <w:r w:rsidR="00F73494" w:rsidRPr="00121748">
        <w:rPr>
          <w:rFonts w:asciiTheme="minorHAnsi" w:hAnsiTheme="minorHAnsi" w:cstheme="minorHAnsi"/>
        </w:rPr>
        <w:t xml:space="preserve">Option 6 (Lighting </w:t>
      </w:r>
      <w:proofErr w:type="spellStart"/>
      <w:r w:rsidR="00F73494" w:rsidRPr="00121748">
        <w:rPr>
          <w:rFonts w:asciiTheme="minorHAnsi" w:hAnsiTheme="minorHAnsi" w:cstheme="minorHAnsi"/>
        </w:rPr>
        <w:t>MEPS</w:t>
      </w:r>
      <w:proofErr w:type="spellEnd"/>
      <w:r w:rsidR="00F73494" w:rsidRPr="00121748">
        <w:rPr>
          <w:rFonts w:asciiTheme="minorHAnsi" w:hAnsiTheme="minorHAnsi" w:cstheme="minorHAnsi"/>
        </w:rPr>
        <w:t xml:space="preserve">) </w:t>
      </w:r>
      <w:r w:rsidRPr="00121748">
        <w:rPr>
          <w:rFonts w:asciiTheme="minorHAnsi" w:hAnsiTheme="minorHAnsi" w:cstheme="minorHAnsi"/>
        </w:rPr>
        <w:t>and Option 7 (</w:t>
      </w:r>
      <w:r w:rsidR="009A7A25" w:rsidRPr="00121748">
        <w:rPr>
          <w:rFonts w:asciiTheme="minorHAnsi" w:hAnsiTheme="minorHAnsi" w:cstheme="minorHAnsi"/>
        </w:rPr>
        <w:t xml:space="preserve">Fossil Fuel Boiler Phase Out) were deemed lower priority policy options compared to Options 2, 4 and 5. </w:t>
      </w:r>
      <w:r w:rsidR="009C492F" w:rsidRPr="00121748">
        <w:rPr>
          <w:rFonts w:asciiTheme="minorHAnsi" w:hAnsiTheme="minorHAnsi" w:cstheme="minorHAnsi"/>
        </w:rPr>
        <w:t xml:space="preserve">For Option 1, it is really a choice between this or Option 2 and the justification for selecting Option 2 is provided above. Option 3 </w:t>
      </w:r>
      <w:r w:rsidR="00CE1ED9" w:rsidRPr="00121748">
        <w:rPr>
          <w:rFonts w:asciiTheme="minorHAnsi" w:hAnsiTheme="minorHAnsi" w:cstheme="minorHAnsi"/>
        </w:rPr>
        <w:t>is nested</w:t>
      </w:r>
      <w:r w:rsidR="007F74C1" w:rsidRPr="00121748">
        <w:rPr>
          <w:rFonts w:asciiTheme="minorHAnsi" w:hAnsiTheme="minorHAnsi" w:cstheme="minorHAnsi"/>
        </w:rPr>
        <w:t xml:space="preserve"> within Option 2</w:t>
      </w:r>
      <w:r w:rsidR="00CE1ED9" w:rsidRPr="00121748">
        <w:rPr>
          <w:rFonts w:asciiTheme="minorHAnsi" w:hAnsiTheme="minorHAnsi" w:cstheme="minorHAnsi"/>
        </w:rPr>
        <w:t>. A</w:t>
      </w:r>
      <w:r w:rsidR="00F73494" w:rsidRPr="00121748">
        <w:rPr>
          <w:rFonts w:asciiTheme="minorHAnsi" w:hAnsiTheme="minorHAnsi" w:cstheme="minorHAnsi"/>
        </w:rPr>
        <w:t xml:space="preserve">lthough Option 7 is becoming more common overseas, in the Australian context it is </w:t>
      </w:r>
      <w:r w:rsidR="00582A7F" w:rsidRPr="00121748">
        <w:rPr>
          <w:rFonts w:asciiTheme="minorHAnsi" w:hAnsiTheme="minorHAnsi" w:cstheme="minorHAnsi"/>
        </w:rPr>
        <w:t>currently</w:t>
      </w:r>
      <w:r w:rsidR="00F73494" w:rsidRPr="00121748">
        <w:rPr>
          <w:rFonts w:asciiTheme="minorHAnsi" w:hAnsiTheme="minorHAnsi" w:cstheme="minorHAnsi"/>
        </w:rPr>
        <w:t xml:space="preserve"> </w:t>
      </w:r>
      <w:r w:rsidR="00582A7F" w:rsidRPr="00121748">
        <w:rPr>
          <w:rFonts w:asciiTheme="minorHAnsi" w:hAnsiTheme="minorHAnsi" w:cstheme="minorHAnsi"/>
        </w:rPr>
        <w:t xml:space="preserve">a </w:t>
      </w:r>
      <w:r w:rsidR="00F73494" w:rsidRPr="00121748">
        <w:rPr>
          <w:rFonts w:asciiTheme="minorHAnsi" w:hAnsiTheme="minorHAnsi" w:cstheme="minorHAnsi"/>
        </w:rPr>
        <w:t>less impactful and high</w:t>
      </w:r>
      <w:r w:rsidR="00582A7F" w:rsidRPr="00121748">
        <w:rPr>
          <w:rFonts w:asciiTheme="minorHAnsi" w:hAnsiTheme="minorHAnsi" w:cstheme="minorHAnsi"/>
        </w:rPr>
        <w:t>er</w:t>
      </w:r>
      <w:r w:rsidR="00F73494" w:rsidRPr="00121748">
        <w:rPr>
          <w:rFonts w:asciiTheme="minorHAnsi" w:hAnsiTheme="minorHAnsi" w:cstheme="minorHAnsi"/>
        </w:rPr>
        <w:t xml:space="preserve"> cost</w:t>
      </w:r>
      <w:r w:rsidR="00582A7F" w:rsidRPr="00121748">
        <w:rPr>
          <w:rFonts w:asciiTheme="minorHAnsi" w:hAnsiTheme="minorHAnsi" w:cstheme="minorHAnsi"/>
        </w:rPr>
        <w:t xml:space="preserve"> </w:t>
      </w:r>
      <w:r w:rsidR="00562515" w:rsidRPr="00121748">
        <w:rPr>
          <w:rFonts w:asciiTheme="minorHAnsi" w:hAnsiTheme="minorHAnsi" w:cstheme="minorHAnsi"/>
        </w:rPr>
        <w:t>option</w:t>
      </w:r>
      <w:r w:rsidR="00230DDB" w:rsidRPr="00121748">
        <w:rPr>
          <w:rFonts w:asciiTheme="minorHAnsi" w:hAnsiTheme="minorHAnsi" w:cstheme="minorHAnsi"/>
        </w:rPr>
        <w:t xml:space="preserve"> and may be </w:t>
      </w:r>
      <w:r w:rsidR="00BE0350" w:rsidRPr="00121748">
        <w:rPr>
          <w:rFonts w:asciiTheme="minorHAnsi" w:hAnsiTheme="minorHAnsi" w:cstheme="minorHAnsi"/>
        </w:rPr>
        <w:t xml:space="preserve">substantially </w:t>
      </w:r>
      <w:r w:rsidR="00230DDB" w:rsidRPr="00121748">
        <w:rPr>
          <w:rFonts w:asciiTheme="minorHAnsi" w:hAnsiTheme="minorHAnsi" w:cstheme="minorHAnsi"/>
        </w:rPr>
        <w:t>addressed by broader industry trends</w:t>
      </w:r>
      <w:r w:rsidR="00F73494" w:rsidRPr="00121748">
        <w:rPr>
          <w:rFonts w:asciiTheme="minorHAnsi" w:hAnsiTheme="minorHAnsi" w:cstheme="minorHAnsi"/>
        </w:rPr>
        <w:t>.</w:t>
      </w:r>
      <w:r w:rsidR="00723239">
        <w:rPr>
          <w:rFonts w:ascii="ZWAdobeF" w:hAnsi="ZWAdobeF" w:cs="ZWAdobeF"/>
          <w:color w:val="auto"/>
          <w:sz w:val="2"/>
          <w:szCs w:val="2"/>
        </w:rPr>
        <w:t>155F</w:t>
      </w:r>
      <w:r w:rsidR="00EE36E3">
        <w:rPr>
          <w:rFonts w:ascii="ZWAdobeF" w:hAnsi="ZWAdobeF" w:cs="ZWAdobeF"/>
          <w:color w:val="auto"/>
          <w:sz w:val="2"/>
          <w:szCs w:val="2"/>
        </w:rPr>
        <w:t>156F</w:t>
      </w:r>
      <w:r w:rsidR="00122C48">
        <w:rPr>
          <w:rFonts w:ascii="ZWAdobeF" w:hAnsi="ZWAdobeF" w:cs="ZWAdobeF"/>
          <w:color w:val="auto"/>
          <w:sz w:val="2"/>
          <w:szCs w:val="2"/>
        </w:rPr>
        <w:t>156F</w:t>
      </w:r>
      <w:r w:rsidR="00F73A23">
        <w:rPr>
          <w:rFonts w:ascii="ZWAdobeF" w:hAnsi="ZWAdobeF" w:cs="ZWAdobeF"/>
          <w:color w:val="auto"/>
          <w:sz w:val="2"/>
          <w:szCs w:val="2"/>
        </w:rPr>
        <w:t>156F</w:t>
      </w:r>
      <w:r w:rsidR="00626378">
        <w:rPr>
          <w:rFonts w:ascii="ZWAdobeF" w:hAnsi="ZWAdobeF" w:cs="ZWAdobeF"/>
          <w:color w:val="auto"/>
          <w:sz w:val="2"/>
          <w:szCs w:val="2"/>
        </w:rPr>
        <w:t>156F</w:t>
      </w:r>
      <w:r w:rsidR="00413811">
        <w:rPr>
          <w:rFonts w:ascii="ZWAdobeF" w:hAnsi="ZWAdobeF" w:cs="ZWAdobeF"/>
          <w:color w:val="auto"/>
          <w:sz w:val="2"/>
          <w:szCs w:val="2"/>
        </w:rPr>
        <w:t>156F</w:t>
      </w:r>
      <w:r w:rsidR="002C327C">
        <w:rPr>
          <w:rFonts w:ascii="ZWAdobeF" w:hAnsi="ZWAdobeF" w:cs="ZWAdobeF"/>
          <w:color w:val="auto"/>
          <w:sz w:val="2"/>
          <w:szCs w:val="2"/>
        </w:rPr>
        <w:t>156F</w:t>
      </w:r>
      <w:r w:rsidR="00D24A06">
        <w:rPr>
          <w:rFonts w:ascii="ZWAdobeF" w:hAnsi="ZWAdobeF" w:cs="ZWAdobeF"/>
          <w:color w:val="auto"/>
          <w:sz w:val="2"/>
          <w:szCs w:val="2"/>
        </w:rPr>
        <w:t>156F</w:t>
      </w:r>
      <w:r w:rsidR="00050914" w:rsidRPr="00E63900">
        <w:rPr>
          <w:rStyle w:val="FootnoteReference"/>
          <w:rFonts w:asciiTheme="minorHAnsi" w:hAnsiTheme="minorHAnsi" w:cstheme="minorHAnsi"/>
        </w:rPr>
        <w:footnoteReference w:id="158"/>
      </w:r>
      <w:r w:rsidR="00F73494" w:rsidRPr="00E63900">
        <w:rPr>
          <w:rFonts w:asciiTheme="minorHAnsi" w:hAnsiTheme="minorHAnsi" w:cstheme="minorHAnsi"/>
        </w:rPr>
        <w:t xml:space="preserve"> We believe this will become more impactful as other changes are made and is an option to consider in future (5-10 years from now). </w:t>
      </w:r>
    </w:p>
    <w:p w14:paraId="5F4C6953" w14:textId="10A244FF" w:rsidR="00443A37" w:rsidRPr="00E63900" w:rsidRDefault="00443A37" w:rsidP="00374B74">
      <w:pPr>
        <w:pStyle w:val="BodyText"/>
        <w:rPr>
          <w:rFonts w:asciiTheme="minorHAnsi" w:hAnsiTheme="minorHAnsi" w:cstheme="minorHAnsi"/>
        </w:rPr>
      </w:pPr>
    </w:p>
    <w:p w14:paraId="1CDE5015" w14:textId="04D44AF6" w:rsidR="00021C1C" w:rsidRPr="00E63900" w:rsidRDefault="00021C1C" w:rsidP="00374B74">
      <w:pPr>
        <w:pStyle w:val="BodyText"/>
        <w:rPr>
          <w:rFonts w:asciiTheme="minorHAnsi" w:hAnsiTheme="minorHAnsi" w:cstheme="minorHAnsi"/>
        </w:rPr>
      </w:pPr>
    </w:p>
    <w:p w14:paraId="239BD556" w14:textId="77777777" w:rsidR="004F5B6B" w:rsidRPr="00E63900" w:rsidRDefault="004F5B6B" w:rsidP="00374B74">
      <w:pPr>
        <w:pStyle w:val="BodyText"/>
        <w:rPr>
          <w:rFonts w:asciiTheme="minorHAnsi" w:hAnsiTheme="minorHAnsi" w:cstheme="minorHAnsi"/>
        </w:rPr>
      </w:pPr>
    </w:p>
    <w:p w14:paraId="2CB1FB40" w14:textId="77777777" w:rsidR="004F5B6B" w:rsidRPr="00E63900" w:rsidRDefault="004F5B6B" w:rsidP="00374B74">
      <w:pPr>
        <w:pStyle w:val="BodyText"/>
        <w:rPr>
          <w:rFonts w:asciiTheme="minorHAnsi" w:hAnsiTheme="minorHAnsi" w:cstheme="minorHAnsi"/>
        </w:rPr>
      </w:pPr>
    </w:p>
    <w:p w14:paraId="545CD6C1" w14:textId="77777777" w:rsidR="00B47C26" w:rsidRPr="00E63900" w:rsidRDefault="00B47C26" w:rsidP="00374B74">
      <w:pPr>
        <w:pStyle w:val="BodyText"/>
        <w:rPr>
          <w:rFonts w:asciiTheme="minorHAnsi" w:hAnsiTheme="minorHAnsi" w:cstheme="minorHAnsi"/>
        </w:rPr>
        <w:sectPr w:rsidR="00B47C26" w:rsidRPr="00E63900" w:rsidSect="00A77C53">
          <w:pgSz w:w="11906" w:h="16838"/>
          <w:pgMar w:top="851" w:right="851" w:bottom="1418" w:left="851" w:header="567" w:footer="283" w:gutter="0"/>
          <w:cols w:space="708"/>
          <w:docGrid w:linePitch="360"/>
        </w:sectPr>
      </w:pPr>
    </w:p>
    <w:p w14:paraId="5F37259F" w14:textId="35AEEB0D" w:rsidR="003213C9" w:rsidRDefault="008105D1" w:rsidP="00214D42">
      <w:pPr>
        <w:pStyle w:val="Heading1"/>
      </w:pPr>
      <w:bookmarkStart w:id="219" w:name="_Toc154059380"/>
      <w:r>
        <w:lastRenderedPageBreak/>
        <w:t>Feasibility assessment</w:t>
      </w:r>
      <w:bookmarkEnd w:id="219"/>
      <w:r>
        <w:t xml:space="preserve"> </w:t>
      </w:r>
    </w:p>
    <w:p w14:paraId="59B25A43" w14:textId="664C1F84" w:rsidR="00C06B39" w:rsidRPr="00F81ADB" w:rsidRDefault="002347DC" w:rsidP="002347DC">
      <w:pPr>
        <w:pStyle w:val="BodyBullet"/>
        <w:rPr>
          <w:rFonts w:cstheme="minorHAnsi"/>
        </w:rPr>
      </w:pPr>
      <w:r w:rsidRPr="00F81ADB">
        <w:rPr>
          <w:rFonts w:cstheme="minorHAnsi"/>
        </w:rPr>
        <w:t xml:space="preserve">This </w:t>
      </w:r>
      <w:r w:rsidR="00CD0090" w:rsidRPr="00F81ADB">
        <w:rPr>
          <w:rFonts w:cstheme="minorHAnsi"/>
        </w:rPr>
        <w:t xml:space="preserve">chapter of the report explores the detailed feasibility of the three most prospective options identified in </w:t>
      </w:r>
      <w:r w:rsidR="005402B5" w:rsidRPr="00F81ADB">
        <w:rPr>
          <w:rFonts w:cstheme="minorHAnsi"/>
        </w:rPr>
        <w:t xml:space="preserve">Chapter </w:t>
      </w:r>
      <w:r w:rsidR="00E54329" w:rsidRPr="00F81ADB">
        <w:rPr>
          <w:rFonts w:cstheme="minorHAnsi"/>
        </w:rPr>
        <w:fldChar w:fldCharType="begin" w:fldLock="1"/>
      </w:r>
      <w:r w:rsidR="00E54329" w:rsidRPr="00F81ADB">
        <w:rPr>
          <w:rFonts w:cstheme="minorHAnsi"/>
        </w:rPr>
        <w:instrText xml:space="preserve"> REF _Ref145071609 \r \h </w:instrText>
      </w:r>
      <w:r w:rsidR="000C274B">
        <w:rPr>
          <w:rFonts w:cstheme="minorHAnsi"/>
        </w:rPr>
        <w:instrText xml:space="preserve"> \* MERGEFORMAT</w:instrText>
      </w:r>
      <w:r w:rsidR="000C274B" w:rsidRPr="00AC118F">
        <w:rPr>
          <w:rFonts w:cstheme="minorHAnsi"/>
        </w:rPr>
        <w:instrText xml:space="preserve"> </w:instrText>
      </w:r>
      <w:r w:rsidR="00E54329" w:rsidRPr="00F81ADB">
        <w:rPr>
          <w:rFonts w:cstheme="minorHAnsi"/>
        </w:rPr>
      </w:r>
      <w:r w:rsidR="00E54329" w:rsidRPr="00F81ADB">
        <w:rPr>
          <w:rFonts w:cstheme="minorHAnsi"/>
        </w:rPr>
        <w:fldChar w:fldCharType="separate"/>
      </w:r>
      <w:r w:rsidR="00D213AD" w:rsidRPr="00F81ADB">
        <w:rPr>
          <w:rFonts w:cstheme="minorHAnsi"/>
        </w:rPr>
        <w:t>5</w:t>
      </w:r>
      <w:r w:rsidR="00E54329" w:rsidRPr="00F81ADB">
        <w:rPr>
          <w:rFonts w:cstheme="minorHAnsi"/>
        </w:rPr>
        <w:fldChar w:fldCharType="end"/>
      </w:r>
      <w:r w:rsidR="005402B5" w:rsidRPr="00F81ADB">
        <w:rPr>
          <w:rFonts w:cstheme="minorHAnsi"/>
        </w:rPr>
        <w:t>.</w:t>
      </w:r>
      <w:r w:rsidR="00875755" w:rsidRPr="00F81ADB">
        <w:rPr>
          <w:rFonts w:cstheme="minorHAnsi"/>
        </w:rPr>
        <w:t xml:space="preserve"> </w:t>
      </w:r>
      <w:r w:rsidR="00B21C61" w:rsidRPr="00F81ADB">
        <w:rPr>
          <w:rFonts w:cstheme="minorHAnsi"/>
        </w:rPr>
        <w:t>This includes</w:t>
      </w:r>
      <w:r w:rsidR="00FD6317" w:rsidRPr="00F81ADB">
        <w:rPr>
          <w:rFonts w:cstheme="minorHAnsi"/>
        </w:rPr>
        <w:t>:</w:t>
      </w:r>
    </w:p>
    <w:p w14:paraId="05A0BB55" w14:textId="6EA4984F" w:rsidR="00FD6317" w:rsidRPr="00F81ADB" w:rsidRDefault="00FD6317" w:rsidP="00A253E6">
      <w:pPr>
        <w:pStyle w:val="BodyBullet"/>
        <w:numPr>
          <w:ilvl w:val="0"/>
          <w:numId w:val="50"/>
        </w:numPr>
        <w:rPr>
          <w:rFonts w:cstheme="minorHAnsi"/>
        </w:rPr>
      </w:pPr>
      <w:r w:rsidRPr="00F81ADB">
        <w:rPr>
          <w:rFonts w:cstheme="minorHAnsi"/>
        </w:rPr>
        <w:t>An exploration of the analysis approach</w:t>
      </w:r>
    </w:p>
    <w:p w14:paraId="6A16F795" w14:textId="68B0F7BE" w:rsidR="00FD6317" w:rsidRPr="00F81ADB" w:rsidRDefault="00FD6317" w:rsidP="00A253E6">
      <w:pPr>
        <w:pStyle w:val="BodyBullet"/>
        <w:numPr>
          <w:ilvl w:val="0"/>
          <w:numId w:val="50"/>
        </w:numPr>
        <w:rPr>
          <w:rFonts w:cstheme="minorHAnsi"/>
        </w:rPr>
      </w:pPr>
      <w:r w:rsidRPr="00F81ADB">
        <w:rPr>
          <w:rFonts w:cstheme="minorHAnsi"/>
        </w:rPr>
        <w:t>Limitations of the feasibility assessment</w:t>
      </w:r>
    </w:p>
    <w:p w14:paraId="40C30543" w14:textId="3DDBAF76" w:rsidR="00FD6317" w:rsidRPr="00F81ADB" w:rsidRDefault="00FD6317" w:rsidP="00A253E6">
      <w:pPr>
        <w:pStyle w:val="BodyBullet"/>
        <w:numPr>
          <w:ilvl w:val="0"/>
          <w:numId w:val="50"/>
        </w:numPr>
        <w:rPr>
          <w:rFonts w:cstheme="minorHAnsi"/>
        </w:rPr>
      </w:pPr>
      <w:r w:rsidRPr="00F81ADB">
        <w:rPr>
          <w:rFonts w:cstheme="minorHAnsi"/>
        </w:rPr>
        <w:t xml:space="preserve">Overview of the costs and benefits </w:t>
      </w:r>
      <w:proofErr w:type="gramStart"/>
      <w:r w:rsidRPr="00F81ADB">
        <w:rPr>
          <w:rFonts w:cstheme="minorHAnsi"/>
        </w:rPr>
        <w:t>considered</w:t>
      </w:r>
      <w:proofErr w:type="gramEnd"/>
    </w:p>
    <w:p w14:paraId="4C92694B" w14:textId="7DE7295E" w:rsidR="00FD6317" w:rsidRPr="00F81ADB" w:rsidRDefault="0005375A" w:rsidP="00A253E6">
      <w:pPr>
        <w:pStyle w:val="BodyBullet"/>
        <w:numPr>
          <w:ilvl w:val="0"/>
          <w:numId w:val="50"/>
        </w:numPr>
        <w:rPr>
          <w:rFonts w:cstheme="minorHAnsi"/>
        </w:rPr>
      </w:pPr>
      <w:r w:rsidRPr="00F81ADB">
        <w:rPr>
          <w:rFonts w:cstheme="minorHAnsi"/>
        </w:rPr>
        <w:t xml:space="preserve">A description of the </w:t>
      </w:r>
      <w:r w:rsidR="00A96D39" w:rsidRPr="00F81ADB">
        <w:rPr>
          <w:rFonts w:cstheme="minorHAnsi"/>
        </w:rPr>
        <w:t xml:space="preserve">indicative </w:t>
      </w:r>
      <w:r w:rsidRPr="00F81ADB">
        <w:rPr>
          <w:rFonts w:cstheme="minorHAnsi"/>
        </w:rPr>
        <w:t>results.</w:t>
      </w:r>
    </w:p>
    <w:p w14:paraId="69CBBCC4" w14:textId="338614E4" w:rsidR="003A2EA0" w:rsidRPr="00F81ADB" w:rsidRDefault="003A2EA0" w:rsidP="003A2EA0">
      <w:pPr>
        <w:pStyle w:val="BodyBullet"/>
        <w:rPr>
          <w:rFonts w:cstheme="minorHAnsi"/>
        </w:rPr>
      </w:pPr>
      <w:r w:rsidRPr="00F81ADB">
        <w:rPr>
          <w:rFonts w:cstheme="minorHAnsi"/>
        </w:rPr>
        <w:t>Th</w:t>
      </w:r>
      <w:r w:rsidR="003049FF" w:rsidRPr="00F81ADB">
        <w:rPr>
          <w:rFonts w:cstheme="minorHAnsi"/>
        </w:rPr>
        <w:t>is</w:t>
      </w:r>
      <w:r w:rsidRPr="00F81ADB">
        <w:rPr>
          <w:rFonts w:cstheme="minorHAnsi"/>
        </w:rPr>
        <w:t xml:space="preserve"> </w:t>
      </w:r>
      <w:r w:rsidR="00537D74" w:rsidRPr="00F81ADB">
        <w:rPr>
          <w:rFonts w:cstheme="minorHAnsi"/>
        </w:rPr>
        <w:t xml:space="preserve">feasibility </w:t>
      </w:r>
      <w:r w:rsidR="003049FF" w:rsidRPr="00F81ADB">
        <w:rPr>
          <w:rFonts w:cstheme="minorHAnsi"/>
        </w:rPr>
        <w:t>assessment does not constitute a formal cost-benefit analysis, business case or Regulatory Impact Statement asse</w:t>
      </w:r>
      <w:r w:rsidR="008C2FFA" w:rsidRPr="00F81ADB">
        <w:rPr>
          <w:rFonts w:cstheme="minorHAnsi"/>
        </w:rPr>
        <w:t>s</w:t>
      </w:r>
      <w:r w:rsidR="003049FF" w:rsidRPr="00F81ADB">
        <w:rPr>
          <w:rFonts w:cstheme="minorHAnsi"/>
        </w:rPr>
        <w:t>sment, rather provides indicative feedback on the relative costs and benefits of pursuing these policies.</w:t>
      </w:r>
    </w:p>
    <w:p w14:paraId="198A1258" w14:textId="27433E1B" w:rsidR="0012698E" w:rsidRPr="00F81ADB" w:rsidRDefault="0012698E" w:rsidP="00214D42">
      <w:pPr>
        <w:pStyle w:val="Heading2"/>
        <w:rPr>
          <w:rFonts w:cstheme="minorHAnsi"/>
        </w:rPr>
      </w:pPr>
      <w:bookmarkStart w:id="220" w:name="_Toc154059381"/>
      <w:r w:rsidRPr="00F81ADB">
        <w:rPr>
          <w:rFonts w:cstheme="minorHAnsi"/>
        </w:rPr>
        <w:t>Analysis approach</w:t>
      </w:r>
      <w:bookmarkEnd w:id="220"/>
    </w:p>
    <w:p w14:paraId="4A38CE54" w14:textId="41AF4785" w:rsidR="00EA7F25" w:rsidRDefault="00767FF5" w:rsidP="00DD5244">
      <w:pPr>
        <w:pStyle w:val="BodyText"/>
        <w:rPr>
          <w:rFonts w:asciiTheme="minorHAnsi" w:hAnsiTheme="minorHAnsi" w:cstheme="minorHAnsi"/>
        </w:rPr>
      </w:pPr>
      <w:r w:rsidRPr="0067599B">
        <w:rPr>
          <w:rFonts w:asciiTheme="minorHAnsi" w:hAnsiTheme="minorHAnsi" w:cstheme="minorHAnsi"/>
        </w:rPr>
        <w:t xml:space="preserve">The analysis underpinning the feasibility </w:t>
      </w:r>
      <w:r w:rsidR="00B77E41" w:rsidRPr="0067599B">
        <w:rPr>
          <w:rFonts w:asciiTheme="minorHAnsi" w:hAnsiTheme="minorHAnsi" w:cstheme="minorHAnsi"/>
        </w:rPr>
        <w:t xml:space="preserve">assessment </w:t>
      </w:r>
      <w:r w:rsidR="00E71867" w:rsidRPr="0067599B">
        <w:rPr>
          <w:rFonts w:asciiTheme="minorHAnsi" w:hAnsiTheme="minorHAnsi" w:cstheme="minorHAnsi"/>
        </w:rPr>
        <w:t>draws on a high</w:t>
      </w:r>
      <w:r w:rsidR="00BB369F" w:rsidRPr="0067599B">
        <w:rPr>
          <w:rFonts w:asciiTheme="minorHAnsi" w:hAnsiTheme="minorHAnsi" w:cstheme="minorHAnsi"/>
        </w:rPr>
        <w:t>-</w:t>
      </w:r>
      <w:r w:rsidR="00E71867" w:rsidRPr="0067599B">
        <w:rPr>
          <w:rFonts w:asciiTheme="minorHAnsi" w:hAnsiTheme="minorHAnsi" w:cstheme="minorHAnsi"/>
        </w:rPr>
        <w:t>level breakdown of possible costs and benefits incurred from rolling out the</w:t>
      </w:r>
      <w:r w:rsidR="00872672" w:rsidRPr="0067599B">
        <w:rPr>
          <w:rFonts w:asciiTheme="minorHAnsi" w:hAnsiTheme="minorHAnsi" w:cstheme="minorHAnsi"/>
        </w:rPr>
        <w:t xml:space="preserve"> selected three policies over a 20</w:t>
      </w:r>
      <w:r w:rsidR="00BB1895" w:rsidRPr="0067599B">
        <w:rPr>
          <w:rFonts w:asciiTheme="minorHAnsi" w:hAnsiTheme="minorHAnsi" w:cstheme="minorHAnsi"/>
        </w:rPr>
        <w:t>-</w:t>
      </w:r>
      <w:r w:rsidR="00872672" w:rsidRPr="0067599B">
        <w:rPr>
          <w:rFonts w:asciiTheme="minorHAnsi" w:hAnsiTheme="minorHAnsi" w:cstheme="minorHAnsi"/>
        </w:rPr>
        <w:t xml:space="preserve">year period. </w:t>
      </w:r>
      <w:r w:rsidR="007D3D59" w:rsidRPr="0067599B">
        <w:rPr>
          <w:rFonts w:asciiTheme="minorHAnsi" w:hAnsiTheme="minorHAnsi" w:cstheme="minorHAnsi"/>
        </w:rPr>
        <w:t xml:space="preserve">The diagram below outlines the </w:t>
      </w:r>
      <w:r w:rsidR="00E27064" w:rsidRPr="0067599B">
        <w:rPr>
          <w:rFonts w:asciiTheme="minorHAnsi" w:hAnsiTheme="minorHAnsi" w:cstheme="minorHAnsi"/>
        </w:rPr>
        <w:t>approach adopted to conduct the feasibility assessment.</w:t>
      </w:r>
    </w:p>
    <w:p w14:paraId="4BAC93FF" w14:textId="00B1D6B1" w:rsidR="00A27F34" w:rsidRPr="00E83B58" w:rsidRDefault="00BE2755" w:rsidP="00E83B58">
      <w:pPr>
        <w:pStyle w:val="Caption"/>
        <w:keepNext/>
        <w:spacing w:after="120"/>
        <w:rPr>
          <w:rFonts w:ascii="Calibri" w:eastAsia="Times New Roman" w:hAnsi="Calibri" w:cs="Times New Roman"/>
          <w:b/>
          <w:bCs/>
          <w:i w:val="0"/>
          <w:iCs w:val="0"/>
          <w:color w:val="auto"/>
          <w:sz w:val="24"/>
        </w:rPr>
      </w:pPr>
      <w:bookmarkStart w:id="221" w:name="_Ref157674893"/>
      <w:bookmarkStart w:id="222" w:name="_Toc157687018"/>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13</w:t>
      </w:r>
      <w:r w:rsidRPr="00505054">
        <w:rPr>
          <w:rFonts w:ascii="Calibri" w:eastAsia="Times New Roman" w:hAnsi="Calibri" w:cs="Times New Roman"/>
          <w:b/>
          <w:bCs/>
          <w:i w:val="0"/>
          <w:iCs w:val="0"/>
          <w:color w:val="auto"/>
          <w:sz w:val="24"/>
        </w:rPr>
        <w:fldChar w:fldCharType="end"/>
      </w:r>
      <w:bookmarkEnd w:id="221"/>
      <w:r w:rsidRPr="00505054">
        <w:rPr>
          <w:rFonts w:ascii="Calibri" w:eastAsia="Times New Roman" w:hAnsi="Calibri" w:cs="Times New Roman"/>
          <w:b/>
          <w:bCs/>
          <w:i w:val="0"/>
          <w:iCs w:val="0"/>
          <w:color w:val="auto"/>
          <w:sz w:val="24"/>
        </w:rPr>
        <w:t xml:space="preserve">: Feasibility assessment </w:t>
      </w:r>
      <w:proofErr w:type="gramStart"/>
      <w:r w:rsidRPr="00505054">
        <w:rPr>
          <w:rFonts w:ascii="Calibri" w:eastAsia="Times New Roman" w:hAnsi="Calibri" w:cs="Times New Roman"/>
          <w:b/>
          <w:bCs/>
          <w:i w:val="0"/>
          <w:iCs w:val="0"/>
          <w:color w:val="auto"/>
          <w:sz w:val="24"/>
        </w:rPr>
        <w:t>approach</w:t>
      </w:r>
      <w:bookmarkEnd w:id="222"/>
      <w:proofErr w:type="gramEnd"/>
    </w:p>
    <w:p w14:paraId="3A44DC93" w14:textId="05B43EEB" w:rsidR="00E83B58" w:rsidRPr="0067599B" w:rsidRDefault="00E83B58" w:rsidP="00DD5244">
      <w:pPr>
        <w:pStyle w:val="BodyText"/>
        <w:rPr>
          <w:rFonts w:asciiTheme="minorHAnsi" w:hAnsiTheme="minorHAnsi" w:cstheme="minorHAnsi"/>
        </w:rPr>
      </w:pPr>
      <w:r>
        <w:rPr>
          <w:rFonts w:asciiTheme="minorHAnsi" w:hAnsiTheme="minorHAnsi" w:cstheme="minorHAnsi"/>
          <w:noProof/>
        </w:rPr>
        <w:drawing>
          <wp:inline distT="0" distB="0" distL="0" distR="0" wp14:anchorId="42E46C11" wp14:editId="00640E43">
            <wp:extent cx="6209838" cy="3262020"/>
            <wp:effectExtent l="0" t="0" r="635" b="0"/>
            <wp:docPr id="42" name="Picture 42" descr="Feasibility assessment approach flow chart. Full description in Appendi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easibility assessment approach flow chart. Full description in Appendix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39804" cy="3277761"/>
                    </a:xfrm>
                    <a:prstGeom prst="rect">
                      <a:avLst/>
                    </a:prstGeom>
                    <a:noFill/>
                  </pic:spPr>
                </pic:pic>
              </a:graphicData>
            </a:graphic>
          </wp:inline>
        </w:drawing>
      </w:r>
    </w:p>
    <w:p w14:paraId="02C64DA2" w14:textId="6E654E0A" w:rsidR="00D92515" w:rsidRDefault="00D92515" w:rsidP="00D92515">
      <w:pPr>
        <w:pStyle w:val="Caption"/>
        <w:jc w:val="center"/>
        <w:rPr>
          <w:rFonts w:ascii="Calibri" w:eastAsia="Times New Roman" w:hAnsi="Calibri" w:cs="Times New Roman"/>
          <w:b/>
          <w:bCs/>
          <w:i w:val="0"/>
          <w:iCs w:val="0"/>
          <w:color w:val="auto"/>
          <w:sz w:val="24"/>
        </w:rPr>
      </w:pPr>
      <w:hyperlink w:anchor="_Description_for_Figure"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13</w:t>
        </w:r>
        <w:r>
          <w:rPr>
            <w:rStyle w:val="Hyperlink"/>
            <w:rFonts w:asciiTheme="minorHAnsi" w:hAnsiTheme="minorHAnsi" w:cstheme="minorHAnsi"/>
          </w:rPr>
          <w:t xml:space="preserve"> [Appendix 11]</w:t>
        </w:r>
        <w:r w:rsidRPr="00171C8F">
          <w:rPr>
            <w:rStyle w:val="Hyperlink"/>
            <w:rFonts w:asciiTheme="minorHAnsi" w:hAnsiTheme="minorHAnsi" w:cstheme="minorHAnsi"/>
          </w:rPr>
          <w:t xml:space="preserve">. </w:t>
        </w:r>
      </w:hyperlink>
    </w:p>
    <w:p w14:paraId="513F41A6" w14:textId="77777777" w:rsidR="00D92515" w:rsidRDefault="00D92515" w:rsidP="00165962">
      <w:pPr>
        <w:pStyle w:val="BodyText"/>
        <w:rPr>
          <w:rFonts w:asciiTheme="minorHAnsi" w:hAnsiTheme="minorHAnsi" w:cstheme="minorHAnsi"/>
        </w:rPr>
      </w:pPr>
    </w:p>
    <w:p w14:paraId="58D98A45" w14:textId="42D71B4D" w:rsidR="00B47C26" w:rsidRPr="0067599B" w:rsidRDefault="00E27064" w:rsidP="00165962">
      <w:pPr>
        <w:pStyle w:val="BodyText"/>
        <w:rPr>
          <w:rFonts w:asciiTheme="minorHAnsi" w:hAnsiTheme="minorHAnsi" w:cstheme="minorHAnsi"/>
        </w:rPr>
      </w:pPr>
      <w:r w:rsidRPr="0067599B">
        <w:rPr>
          <w:rFonts w:asciiTheme="minorHAnsi" w:hAnsiTheme="minorHAnsi" w:cstheme="minorHAnsi"/>
        </w:rPr>
        <w:t>For each policy</w:t>
      </w:r>
      <w:r w:rsidR="00134447" w:rsidRPr="0067599B">
        <w:rPr>
          <w:rFonts w:asciiTheme="minorHAnsi" w:hAnsiTheme="minorHAnsi" w:cstheme="minorHAnsi"/>
        </w:rPr>
        <w:t xml:space="preserve">, costs and benefits were identified, </w:t>
      </w:r>
      <w:r w:rsidR="00115DD0" w:rsidRPr="0067599B">
        <w:rPr>
          <w:rFonts w:asciiTheme="minorHAnsi" w:hAnsiTheme="minorHAnsi" w:cstheme="minorHAnsi"/>
        </w:rPr>
        <w:t xml:space="preserve">and where possible </w:t>
      </w:r>
      <w:r w:rsidR="00C36680" w:rsidRPr="0067599B">
        <w:rPr>
          <w:rFonts w:asciiTheme="minorHAnsi" w:hAnsiTheme="minorHAnsi" w:cstheme="minorHAnsi"/>
        </w:rPr>
        <w:t xml:space="preserve">costed to generate </w:t>
      </w:r>
      <w:r w:rsidR="009E795D" w:rsidRPr="0067599B">
        <w:rPr>
          <w:rFonts w:asciiTheme="minorHAnsi" w:hAnsiTheme="minorHAnsi" w:cstheme="minorHAnsi"/>
        </w:rPr>
        <w:t>net present costs and benefits assuming a five per cent discount rate.</w:t>
      </w:r>
    </w:p>
    <w:p w14:paraId="63BECD95" w14:textId="3A0F968B" w:rsidR="005E67CC" w:rsidRPr="0067599B" w:rsidRDefault="009E795D" w:rsidP="0085333A">
      <w:pPr>
        <w:pStyle w:val="BodyText"/>
        <w:rPr>
          <w:rFonts w:asciiTheme="minorHAnsi" w:eastAsiaTheme="majorEastAsia" w:hAnsiTheme="minorHAnsi" w:cstheme="minorHAnsi"/>
          <w:b/>
          <w:color w:val="1E49E2" w:themeColor="accent1"/>
          <w:sz w:val="28"/>
          <w:szCs w:val="24"/>
        </w:rPr>
      </w:pPr>
      <w:r w:rsidRPr="0067599B">
        <w:rPr>
          <w:rFonts w:asciiTheme="minorHAnsi" w:hAnsiTheme="minorHAnsi" w:cstheme="minorHAnsi"/>
        </w:rPr>
        <w:t xml:space="preserve">Two categories of impact </w:t>
      </w:r>
      <w:r w:rsidR="00486FD4" w:rsidRPr="0067599B">
        <w:rPr>
          <w:rFonts w:asciiTheme="minorHAnsi" w:hAnsiTheme="minorHAnsi" w:cstheme="minorHAnsi"/>
        </w:rPr>
        <w:t xml:space="preserve">were identified, but excluded from the assessment, namely property value change, and workforce change and training requirements. </w:t>
      </w:r>
      <w:r w:rsidR="008D5A8A" w:rsidRPr="0067599B">
        <w:rPr>
          <w:rFonts w:asciiTheme="minorHAnsi" w:hAnsiTheme="minorHAnsi" w:cstheme="minorHAnsi"/>
        </w:rPr>
        <w:t xml:space="preserve">Introducing </w:t>
      </w:r>
      <w:proofErr w:type="spellStart"/>
      <w:r w:rsidR="008F5FA6" w:rsidRPr="0067599B">
        <w:rPr>
          <w:rFonts w:asciiTheme="minorHAnsi" w:hAnsiTheme="minorHAnsi" w:cstheme="minorHAnsi"/>
        </w:rPr>
        <w:t>MEPS</w:t>
      </w:r>
      <w:proofErr w:type="spellEnd"/>
      <w:r w:rsidR="008F5FA6" w:rsidRPr="0067599B">
        <w:rPr>
          <w:rFonts w:asciiTheme="minorHAnsi" w:hAnsiTheme="minorHAnsi" w:cstheme="minorHAnsi"/>
        </w:rPr>
        <w:t xml:space="preserve"> or disclosure will likely impact the value of properties across the building </w:t>
      </w:r>
      <w:proofErr w:type="gramStart"/>
      <w:r w:rsidR="008F5FA6" w:rsidRPr="0067599B">
        <w:rPr>
          <w:rFonts w:asciiTheme="minorHAnsi" w:hAnsiTheme="minorHAnsi" w:cstheme="minorHAnsi"/>
        </w:rPr>
        <w:t>stock,</w:t>
      </w:r>
      <w:proofErr w:type="gramEnd"/>
      <w:r w:rsidR="008F5FA6" w:rsidRPr="0067599B">
        <w:rPr>
          <w:rFonts w:asciiTheme="minorHAnsi" w:hAnsiTheme="minorHAnsi" w:cstheme="minorHAnsi"/>
        </w:rPr>
        <w:t xml:space="preserve"> however this impact will be </w:t>
      </w:r>
      <w:r w:rsidR="00C12E9D" w:rsidRPr="0067599B">
        <w:rPr>
          <w:rFonts w:asciiTheme="minorHAnsi" w:hAnsiTheme="minorHAnsi" w:cstheme="minorHAnsi"/>
        </w:rPr>
        <w:t>heter</w:t>
      </w:r>
      <w:r w:rsidR="008E548C" w:rsidRPr="0067599B">
        <w:rPr>
          <w:rFonts w:asciiTheme="minorHAnsi" w:hAnsiTheme="minorHAnsi" w:cstheme="minorHAnsi"/>
        </w:rPr>
        <w:t>ogenous in nature</w:t>
      </w:r>
      <w:r w:rsidR="00EA36CA" w:rsidRPr="0067599B">
        <w:rPr>
          <w:rFonts w:asciiTheme="minorHAnsi" w:hAnsiTheme="minorHAnsi" w:cstheme="minorHAnsi"/>
        </w:rPr>
        <w:t xml:space="preserve">, with some buildings having a </w:t>
      </w:r>
      <w:r w:rsidR="00E7747D" w:rsidRPr="0067599B">
        <w:rPr>
          <w:rFonts w:asciiTheme="minorHAnsi" w:hAnsiTheme="minorHAnsi" w:cstheme="minorHAnsi"/>
        </w:rPr>
        <w:t xml:space="preserve">relative increase in value, and others having a decrease in value. </w:t>
      </w:r>
      <w:proofErr w:type="gramStart"/>
      <w:r w:rsidR="003E75A4" w:rsidRPr="0067599B">
        <w:rPr>
          <w:rFonts w:asciiTheme="minorHAnsi" w:hAnsiTheme="minorHAnsi" w:cstheme="minorHAnsi"/>
        </w:rPr>
        <w:t>To a large extent this change</w:t>
      </w:r>
      <w:proofErr w:type="gramEnd"/>
      <w:r w:rsidR="003E75A4" w:rsidRPr="0067599B">
        <w:rPr>
          <w:rFonts w:asciiTheme="minorHAnsi" w:hAnsiTheme="minorHAnsi" w:cstheme="minorHAnsi"/>
        </w:rPr>
        <w:t xml:space="preserve"> in values may reflect the capitalised net impact of the costs and benefits identified.</w:t>
      </w:r>
      <w:r w:rsidR="00E7747D" w:rsidRPr="0067599B">
        <w:rPr>
          <w:rFonts w:asciiTheme="minorHAnsi" w:hAnsiTheme="minorHAnsi" w:cstheme="minorHAnsi"/>
        </w:rPr>
        <w:t xml:space="preserve"> Similarly, workforce and training impacts have also been exclude</w:t>
      </w:r>
      <w:r w:rsidR="005E3D47" w:rsidRPr="0067599B">
        <w:rPr>
          <w:rFonts w:asciiTheme="minorHAnsi" w:hAnsiTheme="minorHAnsi" w:cstheme="minorHAnsi"/>
        </w:rPr>
        <w:t>d, due to the complex nature</w:t>
      </w:r>
      <w:r w:rsidR="003E75A4" w:rsidRPr="0067599B">
        <w:rPr>
          <w:rFonts w:asciiTheme="minorHAnsi" w:hAnsiTheme="minorHAnsi" w:cstheme="minorHAnsi"/>
        </w:rPr>
        <w:t xml:space="preserve"> of this assessment</w:t>
      </w:r>
      <w:r w:rsidR="005E3D47" w:rsidRPr="0067599B">
        <w:rPr>
          <w:rFonts w:asciiTheme="minorHAnsi" w:hAnsiTheme="minorHAnsi" w:cstheme="minorHAnsi"/>
        </w:rPr>
        <w:t>.</w:t>
      </w:r>
      <w:r w:rsidR="005E67CC" w:rsidRPr="0067599B">
        <w:rPr>
          <w:rFonts w:asciiTheme="minorHAnsi" w:hAnsiTheme="minorHAnsi" w:cstheme="minorHAnsi"/>
        </w:rPr>
        <w:br w:type="page"/>
      </w:r>
    </w:p>
    <w:p w14:paraId="1A2F9CE8" w14:textId="1A3AFB13" w:rsidR="00444776" w:rsidRPr="00F81ADB" w:rsidRDefault="00444776" w:rsidP="00444776">
      <w:pPr>
        <w:pStyle w:val="Heading2"/>
        <w:rPr>
          <w:rFonts w:cstheme="minorHAnsi"/>
        </w:rPr>
      </w:pPr>
      <w:bookmarkStart w:id="223" w:name="_Toc154059382"/>
      <w:r w:rsidRPr="00F81ADB">
        <w:rPr>
          <w:rFonts w:cstheme="minorHAnsi"/>
        </w:rPr>
        <w:lastRenderedPageBreak/>
        <w:t>Limitations for analysis</w:t>
      </w:r>
      <w:bookmarkEnd w:id="223"/>
    </w:p>
    <w:p w14:paraId="68CB132E" w14:textId="5F57AB62" w:rsidR="00444776" w:rsidRPr="005A6E1A" w:rsidRDefault="001E43B1" w:rsidP="00596E9B">
      <w:pPr>
        <w:pStyle w:val="Heading3"/>
        <w:rPr>
          <w:rFonts w:asciiTheme="minorHAnsi" w:hAnsiTheme="minorHAnsi" w:cstheme="minorHAnsi"/>
        </w:rPr>
      </w:pPr>
      <w:r w:rsidRPr="005A6E1A">
        <w:rPr>
          <w:rFonts w:asciiTheme="minorHAnsi" w:hAnsiTheme="minorHAnsi" w:cstheme="minorHAnsi"/>
        </w:rPr>
        <w:t>Building stock data</w:t>
      </w:r>
    </w:p>
    <w:p w14:paraId="06EE0A51" w14:textId="1161FDBF" w:rsidR="00C81C69" w:rsidRPr="005A6E1A" w:rsidRDefault="00390A7B" w:rsidP="00C81C69">
      <w:pPr>
        <w:pStyle w:val="BodyText"/>
        <w:rPr>
          <w:rFonts w:asciiTheme="minorHAnsi" w:hAnsiTheme="minorHAnsi" w:cstheme="minorHAnsi"/>
        </w:rPr>
      </w:pPr>
      <w:r w:rsidRPr="005A6E1A">
        <w:rPr>
          <w:rFonts w:asciiTheme="minorHAnsi" w:hAnsiTheme="minorHAnsi" w:cstheme="minorHAnsi"/>
        </w:rPr>
        <w:t xml:space="preserve">There </w:t>
      </w:r>
      <w:r w:rsidR="00EE08B4" w:rsidRPr="005A6E1A">
        <w:rPr>
          <w:rFonts w:asciiTheme="minorHAnsi" w:hAnsiTheme="minorHAnsi" w:cstheme="minorHAnsi"/>
        </w:rPr>
        <w:t xml:space="preserve">is </w:t>
      </w:r>
      <w:r w:rsidRPr="005A6E1A">
        <w:rPr>
          <w:rFonts w:asciiTheme="minorHAnsi" w:hAnsiTheme="minorHAnsi" w:cstheme="minorHAnsi"/>
        </w:rPr>
        <w:t>limited data that cover</w:t>
      </w:r>
      <w:r w:rsidR="003873DB" w:rsidRPr="005A6E1A">
        <w:rPr>
          <w:rFonts w:asciiTheme="minorHAnsi" w:hAnsiTheme="minorHAnsi" w:cstheme="minorHAnsi"/>
        </w:rPr>
        <w:t>s</w:t>
      </w:r>
      <w:r w:rsidRPr="005A6E1A">
        <w:rPr>
          <w:rFonts w:asciiTheme="minorHAnsi" w:hAnsiTheme="minorHAnsi" w:cstheme="minorHAnsi"/>
        </w:rPr>
        <w:t xml:space="preserve"> the </w:t>
      </w:r>
      <w:r w:rsidR="00DE569F" w:rsidRPr="005A6E1A">
        <w:rPr>
          <w:rFonts w:asciiTheme="minorHAnsi" w:hAnsiTheme="minorHAnsi" w:cstheme="minorHAnsi"/>
        </w:rPr>
        <w:t xml:space="preserve">national building stock in Australia. </w:t>
      </w:r>
      <w:r w:rsidR="00FC3F9B" w:rsidRPr="005A6E1A">
        <w:rPr>
          <w:rFonts w:asciiTheme="minorHAnsi" w:hAnsiTheme="minorHAnsi" w:cstheme="minorHAnsi"/>
        </w:rPr>
        <w:t>The</w:t>
      </w:r>
      <w:r w:rsidR="00E77142" w:rsidRPr="005A6E1A">
        <w:rPr>
          <w:rFonts w:asciiTheme="minorHAnsi" w:hAnsiTheme="minorHAnsi" w:cstheme="minorHAnsi"/>
        </w:rPr>
        <w:t xml:space="preserve"> NABERS </w:t>
      </w:r>
      <w:r w:rsidR="007D3479" w:rsidRPr="005A6E1A">
        <w:rPr>
          <w:rFonts w:asciiTheme="minorHAnsi" w:hAnsiTheme="minorHAnsi" w:cstheme="minorHAnsi"/>
        </w:rPr>
        <w:t xml:space="preserve">and CBD </w:t>
      </w:r>
      <w:r w:rsidR="00E77142" w:rsidRPr="005A6E1A">
        <w:rPr>
          <w:rFonts w:asciiTheme="minorHAnsi" w:hAnsiTheme="minorHAnsi" w:cstheme="minorHAnsi"/>
        </w:rPr>
        <w:t xml:space="preserve">program </w:t>
      </w:r>
      <w:r w:rsidR="007D3479" w:rsidRPr="005A6E1A">
        <w:rPr>
          <w:rFonts w:asciiTheme="minorHAnsi" w:hAnsiTheme="minorHAnsi" w:cstheme="minorHAnsi"/>
        </w:rPr>
        <w:t>both collect data for buildings that are part of those schemes</w:t>
      </w:r>
      <w:r w:rsidR="008F5628" w:rsidRPr="005A6E1A">
        <w:rPr>
          <w:rFonts w:asciiTheme="minorHAnsi" w:hAnsiTheme="minorHAnsi" w:cstheme="minorHAnsi"/>
        </w:rPr>
        <w:t xml:space="preserve">, including </w:t>
      </w:r>
      <w:r w:rsidR="00794D70" w:rsidRPr="005A6E1A">
        <w:rPr>
          <w:rFonts w:asciiTheme="minorHAnsi" w:hAnsiTheme="minorHAnsi" w:cstheme="minorHAnsi"/>
        </w:rPr>
        <w:t xml:space="preserve">the number of buildings, </w:t>
      </w:r>
      <w:r w:rsidR="0068441D" w:rsidRPr="005A6E1A">
        <w:rPr>
          <w:rFonts w:asciiTheme="minorHAnsi" w:hAnsiTheme="minorHAnsi" w:cstheme="minorHAnsi"/>
        </w:rPr>
        <w:t xml:space="preserve">the size of those buildings and energy efficiency. </w:t>
      </w:r>
      <w:r w:rsidR="00D02DB5" w:rsidRPr="005A6E1A">
        <w:rPr>
          <w:rFonts w:asciiTheme="minorHAnsi" w:hAnsiTheme="minorHAnsi" w:cstheme="minorHAnsi"/>
        </w:rPr>
        <w:t xml:space="preserve">However, </w:t>
      </w:r>
      <w:r w:rsidR="00DB2B82" w:rsidRPr="005A6E1A">
        <w:rPr>
          <w:rFonts w:asciiTheme="minorHAnsi" w:hAnsiTheme="minorHAnsi" w:cstheme="minorHAnsi"/>
        </w:rPr>
        <w:t xml:space="preserve">only one data source was identified that provided </w:t>
      </w:r>
      <w:r w:rsidR="0074434E" w:rsidRPr="005A6E1A">
        <w:rPr>
          <w:rFonts w:asciiTheme="minorHAnsi" w:hAnsiTheme="minorHAnsi" w:cstheme="minorHAnsi"/>
        </w:rPr>
        <w:t xml:space="preserve">a more comprehensive breakdown of </w:t>
      </w:r>
      <w:r w:rsidR="00343B67" w:rsidRPr="005A6E1A">
        <w:rPr>
          <w:rFonts w:asciiTheme="minorHAnsi" w:hAnsiTheme="minorHAnsi" w:cstheme="minorHAnsi"/>
        </w:rPr>
        <w:t>the total building stock across Australia</w:t>
      </w:r>
      <w:r w:rsidR="00133C36" w:rsidRPr="005A6E1A">
        <w:rPr>
          <w:rFonts w:asciiTheme="minorHAnsi" w:hAnsiTheme="minorHAnsi" w:cstheme="minorHAnsi"/>
        </w:rPr>
        <w:t xml:space="preserve">, </w:t>
      </w:r>
      <w:r w:rsidR="00E34D37" w:rsidRPr="005A6E1A">
        <w:rPr>
          <w:rFonts w:asciiTheme="minorHAnsi" w:hAnsiTheme="minorHAnsi" w:cstheme="minorHAnsi"/>
        </w:rPr>
        <w:t xml:space="preserve">which was created by </w:t>
      </w:r>
      <w:proofErr w:type="spellStart"/>
      <w:r w:rsidR="00E34D37" w:rsidRPr="005A6E1A">
        <w:rPr>
          <w:rFonts w:asciiTheme="minorHAnsi" w:hAnsiTheme="minorHAnsi" w:cstheme="minorHAnsi"/>
        </w:rPr>
        <w:t>Geoscape</w:t>
      </w:r>
      <w:proofErr w:type="spellEnd"/>
      <w:r w:rsidR="00C81C69" w:rsidRPr="005A6E1A">
        <w:rPr>
          <w:rFonts w:asciiTheme="minorHAnsi" w:hAnsiTheme="minorHAnsi" w:cstheme="minorHAnsi"/>
        </w:rPr>
        <w:t xml:space="preserve"> and CSIRO</w:t>
      </w:r>
      <w:r w:rsidR="00E34D37" w:rsidRPr="005A6E1A">
        <w:rPr>
          <w:rFonts w:asciiTheme="minorHAnsi" w:hAnsiTheme="minorHAnsi" w:cstheme="minorHAnsi"/>
        </w:rPr>
        <w:t>.</w:t>
      </w:r>
      <w:r w:rsidR="00C81C69" w:rsidRPr="005A6E1A">
        <w:rPr>
          <w:rFonts w:asciiTheme="minorHAnsi" w:hAnsiTheme="minorHAnsi" w:cstheme="minorHAnsi"/>
        </w:rPr>
        <w:t xml:space="preserve"> The </w:t>
      </w:r>
      <w:proofErr w:type="spellStart"/>
      <w:r w:rsidR="00C81C69" w:rsidRPr="005A6E1A">
        <w:rPr>
          <w:rFonts w:asciiTheme="minorHAnsi" w:hAnsiTheme="minorHAnsi" w:cstheme="minorHAnsi"/>
        </w:rPr>
        <w:t>Geoscape</w:t>
      </w:r>
      <w:proofErr w:type="spellEnd"/>
      <w:r w:rsidR="00C81C69" w:rsidRPr="005A6E1A">
        <w:rPr>
          <w:rFonts w:asciiTheme="minorHAnsi" w:hAnsiTheme="minorHAnsi" w:cstheme="minorHAnsi"/>
          <w:i/>
        </w:rPr>
        <w:t xml:space="preserve"> </w:t>
      </w:r>
      <w:r w:rsidR="00C81C69" w:rsidRPr="005A6E1A">
        <w:rPr>
          <w:rFonts w:asciiTheme="minorHAnsi" w:hAnsiTheme="minorHAnsi" w:cstheme="minorHAnsi"/>
        </w:rPr>
        <w:t>Buildings data is based on satellite and aerial imagery and analysed by CSIRO for accuracy. The data determines different building types greater than 50m</w:t>
      </w:r>
      <w:r w:rsidR="00C81C69" w:rsidRPr="005A6E1A">
        <w:rPr>
          <w:rFonts w:asciiTheme="minorHAnsi" w:hAnsiTheme="minorHAnsi" w:cstheme="minorHAnsi"/>
          <w:vertAlign w:val="superscript"/>
        </w:rPr>
        <w:t>2</w:t>
      </w:r>
      <w:r w:rsidR="00C81C69" w:rsidRPr="005A6E1A">
        <w:rPr>
          <w:rFonts w:asciiTheme="minorHAnsi" w:hAnsiTheme="minorHAnsi" w:cstheme="minorHAnsi"/>
        </w:rPr>
        <w:t xml:space="preserve"> and provides a range of different building types that are covered in this report as well as building stock counts, gross floor areas (</w:t>
      </w:r>
      <w:proofErr w:type="spellStart"/>
      <w:r w:rsidR="00C81C69" w:rsidRPr="005A6E1A">
        <w:rPr>
          <w:rFonts w:asciiTheme="minorHAnsi" w:hAnsiTheme="minorHAnsi" w:cstheme="minorHAnsi"/>
        </w:rPr>
        <w:t>GFA</w:t>
      </w:r>
      <w:proofErr w:type="spellEnd"/>
      <w:r w:rsidR="00C81C69" w:rsidRPr="005A6E1A">
        <w:rPr>
          <w:rFonts w:asciiTheme="minorHAnsi" w:hAnsiTheme="minorHAnsi" w:cstheme="minorHAnsi"/>
        </w:rPr>
        <w:t xml:space="preserve">) and energy consumption of electricity and gas. Details of the total building stock count with breakdown of building category is provided in </w:t>
      </w:r>
      <w:r w:rsidR="00C81C69" w:rsidRPr="005A6E1A">
        <w:rPr>
          <w:rFonts w:asciiTheme="minorHAnsi" w:hAnsiTheme="minorHAnsi" w:cstheme="minorHAnsi"/>
        </w:rPr>
        <w:fldChar w:fldCharType="begin" w:fldLock="1"/>
      </w:r>
      <w:r w:rsidR="00C81C69" w:rsidRPr="005A6E1A">
        <w:rPr>
          <w:rFonts w:asciiTheme="minorHAnsi" w:hAnsiTheme="minorHAnsi" w:cstheme="minorHAnsi"/>
        </w:rPr>
        <w:instrText xml:space="preserve"> REF _Ref145498916 \h </w:instrText>
      </w:r>
      <w:r w:rsidR="000C274B">
        <w:rPr>
          <w:rFonts w:asciiTheme="minorHAnsi" w:hAnsiTheme="minorHAnsi" w:cstheme="minorHAnsi"/>
        </w:rPr>
        <w:instrText xml:space="preserve"> \* MERGEFORMAT </w:instrText>
      </w:r>
      <w:r w:rsidR="00C81C69" w:rsidRPr="005A6E1A">
        <w:rPr>
          <w:rFonts w:asciiTheme="minorHAnsi" w:hAnsiTheme="minorHAnsi" w:cstheme="minorHAnsi"/>
        </w:rPr>
      </w:r>
      <w:r w:rsidR="00C81C69" w:rsidRPr="005A6E1A">
        <w:rPr>
          <w:rFonts w:asciiTheme="minorHAnsi" w:hAnsiTheme="minorHAnsi" w:cstheme="minorHAnsi"/>
        </w:rPr>
        <w:fldChar w:fldCharType="separate"/>
      </w:r>
      <w:r w:rsidR="00D213AD" w:rsidRPr="005A6E1A">
        <w:rPr>
          <w:rFonts w:asciiTheme="minorHAnsi" w:hAnsiTheme="minorHAnsi" w:cstheme="minorHAnsi"/>
          <w:lang w:val="en-GB"/>
        </w:rPr>
        <w:t xml:space="preserve">Appendix 4: Australian building stock breakdown including data centres, </w:t>
      </w:r>
      <w:proofErr w:type="gramStart"/>
      <w:r w:rsidR="00D213AD" w:rsidRPr="005A6E1A">
        <w:rPr>
          <w:rFonts w:asciiTheme="minorHAnsi" w:hAnsiTheme="minorHAnsi" w:cstheme="minorHAnsi"/>
          <w:lang w:val="en-GB"/>
        </w:rPr>
        <w:t>hotels</w:t>
      </w:r>
      <w:proofErr w:type="gramEnd"/>
      <w:r w:rsidR="00D213AD" w:rsidRPr="005A6E1A">
        <w:rPr>
          <w:rFonts w:asciiTheme="minorHAnsi" w:hAnsiTheme="minorHAnsi" w:cstheme="minorHAnsi"/>
          <w:lang w:val="en-GB"/>
        </w:rPr>
        <w:t xml:space="preserve"> and shopping centres</w:t>
      </w:r>
      <w:r w:rsidR="00C81C69" w:rsidRPr="005A6E1A">
        <w:rPr>
          <w:rFonts w:asciiTheme="minorHAnsi" w:hAnsiTheme="minorHAnsi" w:cstheme="minorHAnsi"/>
        </w:rPr>
        <w:fldChar w:fldCharType="end"/>
      </w:r>
      <w:r w:rsidR="00C81C69" w:rsidRPr="005A6E1A">
        <w:rPr>
          <w:rFonts w:asciiTheme="minorHAnsi" w:hAnsiTheme="minorHAnsi" w:cstheme="minorHAnsi"/>
        </w:rPr>
        <w:t>.</w:t>
      </w:r>
    </w:p>
    <w:p w14:paraId="316B64E3" w14:textId="7F554662" w:rsidR="003A5A14" w:rsidRPr="005A6E1A" w:rsidRDefault="00A545B4" w:rsidP="00C44EAA">
      <w:pPr>
        <w:pStyle w:val="BodyText"/>
        <w:rPr>
          <w:rFonts w:asciiTheme="minorHAnsi" w:hAnsiTheme="minorHAnsi" w:cstheme="minorHAnsi"/>
        </w:rPr>
      </w:pPr>
      <w:r w:rsidRPr="005A6E1A">
        <w:rPr>
          <w:rFonts w:asciiTheme="minorHAnsi" w:hAnsiTheme="minorHAnsi" w:cstheme="minorHAnsi"/>
        </w:rPr>
        <w:t>I</w:t>
      </w:r>
      <w:r w:rsidR="00706C3F" w:rsidRPr="005A6E1A">
        <w:rPr>
          <w:rFonts w:asciiTheme="minorHAnsi" w:hAnsiTheme="minorHAnsi" w:cstheme="minorHAnsi"/>
        </w:rPr>
        <w:t>nternal analysis</w:t>
      </w:r>
      <w:r w:rsidR="00C81C69" w:rsidRPr="005A6E1A">
        <w:rPr>
          <w:rFonts w:asciiTheme="minorHAnsi" w:hAnsiTheme="minorHAnsi" w:cstheme="minorHAnsi"/>
        </w:rPr>
        <w:t xml:space="preserve"> of the data indicates building counts </w:t>
      </w:r>
      <w:r w:rsidR="007A55F6" w:rsidRPr="005A6E1A">
        <w:rPr>
          <w:rFonts w:asciiTheme="minorHAnsi" w:hAnsiTheme="minorHAnsi" w:cstheme="minorHAnsi"/>
        </w:rPr>
        <w:t>are likely to be</w:t>
      </w:r>
      <w:r w:rsidR="00C81C69" w:rsidRPr="005A6E1A">
        <w:rPr>
          <w:rFonts w:asciiTheme="minorHAnsi" w:hAnsiTheme="minorHAnsi" w:cstheme="minorHAnsi"/>
        </w:rPr>
        <w:t xml:space="preserve"> overstated</w:t>
      </w:r>
      <w:r w:rsidR="00800F95" w:rsidRPr="005A6E1A">
        <w:rPr>
          <w:rFonts w:asciiTheme="minorHAnsi" w:hAnsiTheme="minorHAnsi" w:cstheme="minorHAnsi"/>
        </w:rPr>
        <w:t>. T</w:t>
      </w:r>
      <w:r w:rsidR="00C81C69" w:rsidRPr="005A6E1A">
        <w:rPr>
          <w:rFonts w:asciiTheme="minorHAnsi" w:hAnsiTheme="minorHAnsi" w:cstheme="minorHAnsi"/>
        </w:rPr>
        <w:t>he</w:t>
      </w:r>
      <w:r w:rsidR="00097F6E" w:rsidRPr="005A6E1A">
        <w:rPr>
          <w:rFonts w:asciiTheme="minorHAnsi" w:hAnsiTheme="minorHAnsi" w:cstheme="minorHAnsi"/>
          <w:i/>
        </w:rPr>
        <w:t xml:space="preserve"> Commercial Building Baseline Study 2022</w:t>
      </w:r>
      <w:r w:rsidR="00097F6E" w:rsidRPr="005A6E1A">
        <w:rPr>
          <w:rFonts w:asciiTheme="minorHAnsi" w:hAnsiTheme="minorHAnsi" w:cstheme="minorHAnsi"/>
        </w:rPr>
        <w:t xml:space="preserve"> (</w:t>
      </w:r>
      <w:proofErr w:type="spellStart"/>
      <w:r w:rsidR="00097F6E" w:rsidRPr="005A6E1A">
        <w:rPr>
          <w:rFonts w:asciiTheme="minorHAnsi" w:hAnsiTheme="minorHAnsi" w:cstheme="minorHAnsi"/>
          <w:b/>
        </w:rPr>
        <w:t>CBBS</w:t>
      </w:r>
      <w:proofErr w:type="spellEnd"/>
      <w:r w:rsidR="00097F6E" w:rsidRPr="005A6E1A">
        <w:rPr>
          <w:rFonts w:asciiTheme="minorHAnsi" w:hAnsiTheme="minorHAnsi" w:cstheme="minorHAnsi"/>
          <w:b/>
        </w:rPr>
        <w:t xml:space="preserve"> 2022</w:t>
      </w:r>
      <w:r w:rsidR="00097F6E" w:rsidRPr="005A6E1A">
        <w:rPr>
          <w:rFonts w:asciiTheme="minorHAnsi" w:hAnsiTheme="minorHAnsi" w:cstheme="minorHAnsi"/>
        </w:rPr>
        <w:t xml:space="preserve">) </w:t>
      </w:r>
      <w:r w:rsidR="00C81C69" w:rsidRPr="005A6E1A">
        <w:rPr>
          <w:rFonts w:asciiTheme="minorHAnsi" w:hAnsiTheme="minorHAnsi" w:cstheme="minorHAnsi"/>
        </w:rPr>
        <w:t>reports a level of uncertainty in the total building counts estimated to +/- 30</w:t>
      </w:r>
      <w:r w:rsidR="00097F6E" w:rsidRPr="005A6E1A">
        <w:rPr>
          <w:rFonts w:asciiTheme="minorHAnsi" w:hAnsiTheme="minorHAnsi" w:cstheme="minorHAnsi"/>
        </w:rPr>
        <w:t xml:space="preserve"> per cent</w:t>
      </w:r>
      <w:r w:rsidR="00634599" w:rsidRPr="005A6E1A">
        <w:rPr>
          <w:rFonts w:asciiTheme="minorHAnsi" w:hAnsiTheme="minorHAnsi" w:cstheme="minorHAnsi"/>
        </w:rPr>
        <w:t>,</w:t>
      </w:r>
      <w:r w:rsidR="00C81C69" w:rsidRPr="005A6E1A">
        <w:rPr>
          <w:rFonts w:asciiTheme="minorHAnsi" w:hAnsiTheme="minorHAnsi" w:cstheme="minorHAnsi"/>
        </w:rPr>
        <w:t xml:space="preserve"> </w:t>
      </w:r>
      <w:r w:rsidR="00634599" w:rsidRPr="005A6E1A">
        <w:rPr>
          <w:rFonts w:asciiTheme="minorHAnsi" w:hAnsiTheme="minorHAnsi" w:cstheme="minorHAnsi"/>
        </w:rPr>
        <w:t>our analysis suggest</w:t>
      </w:r>
      <w:r w:rsidR="0057211E" w:rsidRPr="005A6E1A">
        <w:rPr>
          <w:rFonts w:asciiTheme="minorHAnsi" w:hAnsiTheme="minorHAnsi" w:cstheme="minorHAnsi"/>
        </w:rPr>
        <w:t>s</w:t>
      </w:r>
      <w:r w:rsidR="00634599" w:rsidRPr="005A6E1A">
        <w:rPr>
          <w:rFonts w:asciiTheme="minorHAnsi" w:hAnsiTheme="minorHAnsi" w:cstheme="minorHAnsi"/>
        </w:rPr>
        <w:t xml:space="preserve"> this could be </w:t>
      </w:r>
      <w:r w:rsidR="00C81C69" w:rsidRPr="005A6E1A">
        <w:rPr>
          <w:rFonts w:asciiTheme="minorHAnsi" w:hAnsiTheme="minorHAnsi" w:cstheme="minorHAnsi"/>
        </w:rPr>
        <w:t>greater. Additionally</w:t>
      </w:r>
      <w:r w:rsidR="00634599" w:rsidRPr="005A6E1A">
        <w:rPr>
          <w:rFonts w:asciiTheme="minorHAnsi" w:hAnsiTheme="minorHAnsi" w:cstheme="minorHAnsi"/>
        </w:rPr>
        <w:t>,</w:t>
      </w:r>
      <w:r w:rsidR="00C81C69" w:rsidRPr="005A6E1A">
        <w:rPr>
          <w:rFonts w:asciiTheme="minorHAnsi" w:hAnsiTheme="minorHAnsi" w:cstheme="minorHAnsi"/>
        </w:rPr>
        <w:t xml:space="preserve"> the </w:t>
      </w:r>
      <w:proofErr w:type="spellStart"/>
      <w:r w:rsidR="00C81C69" w:rsidRPr="005A6E1A">
        <w:rPr>
          <w:rFonts w:asciiTheme="minorHAnsi" w:hAnsiTheme="minorHAnsi" w:cstheme="minorHAnsi"/>
        </w:rPr>
        <w:t>Geoscape</w:t>
      </w:r>
      <w:proofErr w:type="spellEnd"/>
      <w:r w:rsidR="00C81C69" w:rsidRPr="005A6E1A">
        <w:rPr>
          <w:rFonts w:asciiTheme="minorHAnsi" w:hAnsiTheme="minorHAnsi" w:cstheme="minorHAnsi"/>
        </w:rPr>
        <w:t xml:space="preserve"> floor area estimates were revised downward 55</w:t>
      </w:r>
      <w:r w:rsidR="00634599" w:rsidRPr="005A6E1A">
        <w:rPr>
          <w:rFonts w:asciiTheme="minorHAnsi" w:hAnsiTheme="minorHAnsi" w:cstheme="minorHAnsi"/>
        </w:rPr>
        <w:t xml:space="preserve"> per cent</w:t>
      </w:r>
      <w:r w:rsidR="00C81C69" w:rsidRPr="005A6E1A">
        <w:rPr>
          <w:rFonts w:asciiTheme="minorHAnsi" w:hAnsiTheme="minorHAnsi" w:cstheme="minorHAnsi"/>
        </w:rPr>
        <w:t xml:space="preserve"> (</w:t>
      </w:r>
      <w:proofErr w:type="spellStart"/>
      <w:r w:rsidR="00C81C69" w:rsidRPr="005A6E1A">
        <w:rPr>
          <w:rFonts w:asciiTheme="minorHAnsi" w:hAnsiTheme="minorHAnsi" w:cstheme="minorHAnsi"/>
        </w:rPr>
        <w:t>CBBS</w:t>
      </w:r>
      <w:proofErr w:type="spellEnd"/>
      <w:r w:rsidR="00C81C69" w:rsidRPr="005A6E1A">
        <w:rPr>
          <w:rFonts w:asciiTheme="minorHAnsi" w:hAnsiTheme="minorHAnsi" w:cstheme="minorHAnsi"/>
        </w:rPr>
        <w:t xml:space="preserve"> 2022) and a corresponding </w:t>
      </w:r>
      <w:proofErr w:type="spellStart"/>
      <w:r w:rsidR="00C81C69" w:rsidRPr="005A6E1A">
        <w:rPr>
          <w:rFonts w:asciiTheme="minorHAnsi" w:hAnsiTheme="minorHAnsi" w:cstheme="minorHAnsi"/>
        </w:rPr>
        <w:t>Geoscape</w:t>
      </w:r>
      <w:proofErr w:type="spellEnd"/>
      <w:r w:rsidR="00C81C69" w:rsidRPr="005A6E1A">
        <w:rPr>
          <w:rFonts w:asciiTheme="minorHAnsi" w:hAnsiTheme="minorHAnsi" w:cstheme="minorHAnsi"/>
        </w:rPr>
        <w:t xml:space="preserve"> dataset - Table 47 (published by CSIRO, 2020) was removed from the </w:t>
      </w:r>
      <w:proofErr w:type="spellStart"/>
      <w:r w:rsidR="00C81C69" w:rsidRPr="005A6E1A">
        <w:rPr>
          <w:rFonts w:asciiTheme="minorHAnsi" w:hAnsiTheme="minorHAnsi" w:cstheme="minorHAnsi"/>
        </w:rPr>
        <w:t>CBBS</w:t>
      </w:r>
      <w:proofErr w:type="spellEnd"/>
      <w:r w:rsidR="00C81C69" w:rsidRPr="005A6E1A">
        <w:rPr>
          <w:rFonts w:asciiTheme="minorHAnsi" w:hAnsiTheme="minorHAnsi" w:cstheme="minorHAnsi"/>
        </w:rPr>
        <w:t xml:space="preserve"> 2022 report citing an over estimation of total floor area.</w:t>
      </w:r>
      <w:r w:rsidR="003F45E8" w:rsidRPr="005A6E1A">
        <w:rPr>
          <w:rFonts w:asciiTheme="minorHAnsi" w:hAnsiTheme="minorHAnsi" w:cstheme="minorHAnsi"/>
        </w:rPr>
        <w:t xml:space="preserve"> Despite the possible inaccuracies in this dataset, no </w:t>
      </w:r>
      <w:r w:rsidR="00DD41CD" w:rsidRPr="005A6E1A">
        <w:rPr>
          <w:rFonts w:asciiTheme="minorHAnsi" w:hAnsiTheme="minorHAnsi" w:cstheme="minorHAnsi"/>
        </w:rPr>
        <w:t xml:space="preserve">better </w:t>
      </w:r>
      <w:r w:rsidR="000A462B" w:rsidRPr="005A6E1A">
        <w:rPr>
          <w:rFonts w:asciiTheme="minorHAnsi" w:hAnsiTheme="minorHAnsi" w:cstheme="minorHAnsi"/>
        </w:rPr>
        <w:t>datasets were identified</w:t>
      </w:r>
      <w:r w:rsidR="009B0C98" w:rsidRPr="005A6E1A">
        <w:rPr>
          <w:rFonts w:asciiTheme="minorHAnsi" w:hAnsiTheme="minorHAnsi" w:cstheme="minorHAnsi"/>
        </w:rPr>
        <w:t xml:space="preserve">, and this data set was used as given. </w:t>
      </w:r>
      <w:r w:rsidR="003A3B9E" w:rsidRPr="005A6E1A">
        <w:rPr>
          <w:rFonts w:asciiTheme="minorHAnsi" w:hAnsiTheme="minorHAnsi" w:cstheme="minorHAnsi"/>
        </w:rPr>
        <w:t xml:space="preserve">To account for the unknown size of building stock </w:t>
      </w:r>
      <w:r w:rsidR="001B5A27" w:rsidRPr="005A6E1A">
        <w:rPr>
          <w:rFonts w:asciiTheme="minorHAnsi" w:hAnsiTheme="minorHAnsi" w:cstheme="minorHAnsi"/>
        </w:rPr>
        <w:t>results of the feasibility study are presented on a per</w:t>
      </w:r>
      <w:r w:rsidR="00EB1480" w:rsidRPr="005A6E1A">
        <w:rPr>
          <w:rFonts w:asciiTheme="minorHAnsi" w:hAnsiTheme="minorHAnsi" w:cstheme="minorHAnsi"/>
        </w:rPr>
        <w:t xml:space="preserve">-building </w:t>
      </w:r>
      <w:r w:rsidR="00DC26B1" w:rsidRPr="005A6E1A">
        <w:rPr>
          <w:rFonts w:asciiTheme="minorHAnsi" w:hAnsiTheme="minorHAnsi" w:cstheme="minorHAnsi"/>
        </w:rPr>
        <w:t>basis.</w:t>
      </w:r>
      <w:r w:rsidR="001A78F7" w:rsidRPr="005A6E1A">
        <w:rPr>
          <w:rFonts w:asciiTheme="minorHAnsi" w:hAnsiTheme="minorHAnsi" w:cstheme="minorHAnsi"/>
        </w:rPr>
        <w:t xml:space="preserve"> </w:t>
      </w:r>
      <w:r w:rsidR="00EA5C50" w:rsidRPr="005A6E1A">
        <w:rPr>
          <w:rFonts w:asciiTheme="minorHAnsi" w:hAnsiTheme="minorHAnsi" w:cstheme="minorHAnsi"/>
        </w:rPr>
        <w:t xml:space="preserve">Any </w:t>
      </w:r>
      <w:r w:rsidR="00087736" w:rsidRPr="005A6E1A">
        <w:rPr>
          <w:rFonts w:asciiTheme="minorHAnsi" w:hAnsiTheme="minorHAnsi" w:cstheme="minorHAnsi"/>
        </w:rPr>
        <w:t>more detailed work completed in the future may need to address this issue</w:t>
      </w:r>
      <w:r w:rsidR="00AC22F8" w:rsidRPr="005A6E1A">
        <w:rPr>
          <w:rFonts w:asciiTheme="minorHAnsi" w:hAnsiTheme="minorHAnsi" w:cstheme="minorHAnsi"/>
        </w:rPr>
        <w:t xml:space="preserve"> or </w:t>
      </w:r>
      <w:r w:rsidR="00650AE3" w:rsidRPr="005A6E1A">
        <w:rPr>
          <w:rFonts w:asciiTheme="minorHAnsi" w:hAnsiTheme="minorHAnsi" w:cstheme="minorHAnsi"/>
        </w:rPr>
        <w:t xml:space="preserve">adjust </w:t>
      </w:r>
      <w:r w:rsidR="00AC22F8" w:rsidRPr="005A6E1A">
        <w:rPr>
          <w:rFonts w:asciiTheme="minorHAnsi" w:hAnsiTheme="minorHAnsi" w:cstheme="minorHAnsi"/>
        </w:rPr>
        <w:t xml:space="preserve">the findings </w:t>
      </w:r>
      <w:r w:rsidR="008D7829" w:rsidRPr="005A6E1A">
        <w:rPr>
          <w:rFonts w:asciiTheme="minorHAnsi" w:hAnsiTheme="minorHAnsi" w:cstheme="minorHAnsi"/>
        </w:rPr>
        <w:t xml:space="preserve">once total building stock numbers are </w:t>
      </w:r>
      <w:r w:rsidR="00104411" w:rsidRPr="005A6E1A">
        <w:rPr>
          <w:rFonts w:asciiTheme="minorHAnsi" w:hAnsiTheme="minorHAnsi" w:cstheme="minorHAnsi"/>
        </w:rPr>
        <w:t>firmed up</w:t>
      </w:r>
      <w:r w:rsidR="008D7829" w:rsidRPr="005A6E1A">
        <w:rPr>
          <w:rFonts w:asciiTheme="minorHAnsi" w:hAnsiTheme="minorHAnsi" w:cstheme="minorHAnsi"/>
        </w:rPr>
        <w:t xml:space="preserve">. </w:t>
      </w:r>
      <w:r w:rsidR="00A4279B" w:rsidRPr="005A6E1A">
        <w:rPr>
          <w:rFonts w:asciiTheme="minorHAnsi" w:hAnsiTheme="minorHAnsi" w:cstheme="minorHAnsi"/>
        </w:rPr>
        <w:t>A firmer sense of building numbers will also be critical for designing any rollout of new regulatory requirements</w:t>
      </w:r>
      <w:r w:rsidR="005C690C" w:rsidRPr="005A6E1A">
        <w:rPr>
          <w:rFonts w:asciiTheme="minorHAnsi" w:hAnsiTheme="minorHAnsi" w:cstheme="minorHAnsi"/>
        </w:rPr>
        <w:t xml:space="preserve">, including </w:t>
      </w:r>
      <w:r w:rsidR="00A74AC0" w:rsidRPr="005A6E1A">
        <w:rPr>
          <w:rFonts w:asciiTheme="minorHAnsi" w:hAnsiTheme="minorHAnsi" w:cstheme="minorHAnsi"/>
        </w:rPr>
        <w:t xml:space="preserve">understanding </w:t>
      </w:r>
      <w:r w:rsidR="00F36766" w:rsidRPr="005A6E1A">
        <w:rPr>
          <w:rFonts w:asciiTheme="minorHAnsi" w:hAnsiTheme="minorHAnsi" w:cstheme="minorHAnsi"/>
        </w:rPr>
        <w:t xml:space="preserve">associated </w:t>
      </w:r>
      <w:r w:rsidR="00A74AC0" w:rsidRPr="005A6E1A">
        <w:rPr>
          <w:rFonts w:asciiTheme="minorHAnsi" w:hAnsiTheme="minorHAnsi" w:cstheme="minorHAnsi"/>
        </w:rPr>
        <w:t xml:space="preserve">industry </w:t>
      </w:r>
      <w:r w:rsidR="00F36766" w:rsidRPr="005A6E1A">
        <w:rPr>
          <w:rFonts w:asciiTheme="minorHAnsi" w:hAnsiTheme="minorHAnsi" w:cstheme="minorHAnsi"/>
        </w:rPr>
        <w:t xml:space="preserve">and </w:t>
      </w:r>
      <w:r w:rsidR="00A74AC0" w:rsidRPr="005A6E1A">
        <w:rPr>
          <w:rFonts w:asciiTheme="minorHAnsi" w:hAnsiTheme="minorHAnsi" w:cstheme="minorHAnsi"/>
        </w:rPr>
        <w:t>compliance capacity.</w:t>
      </w:r>
    </w:p>
    <w:p w14:paraId="1B0E37F7" w14:textId="69C346C9" w:rsidR="001E43B1" w:rsidRPr="005A6E1A" w:rsidRDefault="00884023" w:rsidP="00884023">
      <w:pPr>
        <w:pStyle w:val="Heading3"/>
        <w:rPr>
          <w:rFonts w:asciiTheme="minorHAnsi" w:hAnsiTheme="minorHAnsi" w:cstheme="minorHAnsi"/>
        </w:rPr>
      </w:pPr>
      <w:r w:rsidRPr="005A6E1A">
        <w:rPr>
          <w:rFonts w:asciiTheme="minorHAnsi" w:hAnsiTheme="minorHAnsi" w:cstheme="minorHAnsi"/>
        </w:rPr>
        <w:t>Response to disclosure</w:t>
      </w:r>
    </w:p>
    <w:p w14:paraId="4B3DFB34" w14:textId="18EFA181" w:rsidR="00F84A1F" w:rsidRPr="005A6E1A" w:rsidRDefault="00F84A1F" w:rsidP="00DF10A1">
      <w:pPr>
        <w:pStyle w:val="BodyText"/>
        <w:rPr>
          <w:rFonts w:asciiTheme="minorHAnsi" w:hAnsiTheme="minorHAnsi" w:cstheme="minorHAnsi"/>
        </w:rPr>
      </w:pPr>
      <w:r w:rsidRPr="005A6E1A">
        <w:rPr>
          <w:rFonts w:asciiTheme="minorHAnsi" w:hAnsiTheme="minorHAnsi" w:cstheme="minorHAnsi"/>
        </w:rPr>
        <w:t xml:space="preserve">With the energy efficiency disclosure policies explored, </w:t>
      </w:r>
      <w:r w:rsidR="00C3136C" w:rsidRPr="005A6E1A">
        <w:rPr>
          <w:rFonts w:asciiTheme="minorHAnsi" w:hAnsiTheme="minorHAnsi" w:cstheme="minorHAnsi"/>
        </w:rPr>
        <w:t xml:space="preserve">several assumptions </w:t>
      </w:r>
      <w:r w:rsidR="00831763" w:rsidRPr="005A6E1A">
        <w:rPr>
          <w:rFonts w:asciiTheme="minorHAnsi" w:hAnsiTheme="minorHAnsi" w:cstheme="minorHAnsi"/>
        </w:rPr>
        <w:t>were</w:t>
      </w:r>
      <w:r w:rsidR="00C3136C" w:rsidRPr="005A6E1A">
        <w:rPr>
          <w:rFonts w:asciiTheme="minorHAnsi" w:hAnsiTheme="minorHAnsi" w:cstheme="minorHAnsi"/>
        </w:rPr>
        <w:t xml:space="preserve"> made around how </w:t>
      </w:r>
      <w:r w:rsidR="008D1930" w:rsidRPr="005A6E1A">
        <w:rPr>
          <w:rFonts w:asciiTheme="minorHAnsi" w:hAnsiTheme="minorHAnsi" w:cstheme="minorHAnsi"/>
        </w:rPr>
        <w:t>individual</w:t>
      </w:r>
      <w:r w:rsidR="00601ECE" w:rsidRPr="005A6E1A">
        <w:rPr>
          <w:rFonts w:asciiTheme="minorHAnsi" w:hAnsiTheme="minorHAnsi" w:cstheme="minorHAnsi"/>
        </w:rPr>
        <w:t xml:space="preserve"> owners </w:t>
      </w:r>
      <w:r w:rsidR="001F64F4" w:rsidRPr="005A6E1A">
        <w:rPr>
          <w:rFonts w:asciiTheme="minorHAnsi" w:hAnsiTheme="minorHAnsi" w:cstheme="minorHAnsi"/>
        </w:rPr>
        <w:t xml:space="preserve">would respond to </w:t>
      </w:r>
      <w:r w:rsidR="00717D4B" w:rsidRPr="005A6E1A">
        <w:rPr>
          <w:rFonts w:asciiTheme="minorHAnsi" w:hAnsiTheme="minorHAnsi" w:cstheme="minorHAnsi"/>
        </w:rPr>
        <w:t>a requirement to disclose</w:t>
      </w:r>
      <w:r w:rsidR="005013D7" w:rsidRPr="005A6E1A">
        <w:rPr>
          <w:rFonts w:asciiTheme="minorHAnsi" w:hAnsiTheme="minorHAnsi" w:cstheme="minorHAnsi"/>
        </w:rPr>
        <w:t xml:space="preserve"> energy efficiency. </w:t>
      </w:r>
      <w:r w:rsidR="009F7C8F" w:rsidRPr="005A6E1A">
        <w:rPr>
          <w:rFonts w:asciiTheme="minorHAnsi" w:hAnsiTheme="minorHAnsi" w:cstheme="minorHAnsi"/>
        </w:rPr>
        <w:t xml:space="preserve">While some parallels can be drawn </w:t>
      </w:r>
      <w:r w:rsidR="001648A9" w:rsidRPr="005A6E1A">
        <w:rPr>
          <w:rFonts w:asciiTheme="minorHAnsi" w:hAnsiTheme="minorHAnsi" w:cstheme="minorHAnsi"/>
        </w:rPr>
        <w:t xml:space="preserve">from the </w:t>
      </w:r>
      <w:r w:rsidR="00E21194" w:rsidRPr="005A6E1A">
        <w:rPr>
          <w:rFonts w:asciiTheme="minorHAnsi" w:hAnsiTheme="minorHAnsi" w:cstheme="minorHAnsi"/>
        </w:rPr>
        <w:t xml:space="preserve">existing CBD program, an expanded disclosure policy would cover a range of different </w:t>
      </w:r>
      <w:r w:rsidR="009B7FD8" w:rsidRPr="005A6E1A">
        <w:rPr>
          <w:rFonts w:asciiTheme="minorHAnsi" w:hAnsiTheme="minorHAnsi" w:cstheme="minorHAnsi"/>
        </w:rPr>
        <w:t>building types,</w:t>
      </w:r>
      <w:r w:rsidR="00B7551E" w:rsidRPr="005A6E1A">
        <w:rPr>
          <w:rFonts w:asciiTheme="minorHAnsi" w:hAnsiTheme="minorHAnsi" w:cstheme="minorHAnsi"/>
        </w:rPr>
        <w:t xml:space="preserve"> with various levels of maturity in considering energy efficiency.</w:t>
      </w:r>
      <w:r w:rsidR="00B2418E" w:rsidRPr="005A6E1A">
        <w:rPr>
          <w:rFonts w:asciiTheme="minorHAnsi" w:hAnsiTheme="minorHAnsi" w:cstheme="minorHAnsi"/>
        </w:rPr>
        <w:t xml:space="preserve"> Additionally, some </w:t>
      </w:r>
      <w:r w:rsidR="0055732E" w:rsidRPr="005A6E1A">
        <w:rPr>
          <w:rFonts w:asciiTheme="minorHAnsi" w:hAnsiTheme="minorHAnsi" w:cstheme="minorHAnsi"/>
        </w:rPr>
        <w:t>energy conservation measures (</w:t>
      </w:r>
      <w:proofErr w:type="spellStart"/>
      <w:r w:rsidR="0055732E" w:rsidRPr="005A6E1A">
        <w:rPr>
          <w:rFonts w:asciiTheme="minorHAnsi" w:hAnsiTheme="minorHAnsi" w:cstheme="minorHAnsi"/>
        </w:rPr>
        <w:t>ECMs</w:t>
      </w:r>
      <w:proofErr w:type="spellEnd"/>
      <w:r w:rsidR="0055732E" w:rsidRPr="005A6E1A">
        <w:rPr>
          <w:rFonts w:asciiTheme="minorHAnsi" w:hAnsiTheme="minorHAnsi" w:cstheme="minorHAnsi"/>
        </w:rPr>
        <w:t>) may be easier to do in buildings such as offices compared to other building types.</w:t>
      </w:r>
      <w:r w:rsidR="00B7551E" w:rsidRPr="005A6E1A">
        <w:rPr>
          <w:rFonts w:asciiTheme="minorHAnsi" w:hAnsiTheme="minorHAnsi" w:cstheme="minorHAnsi"/>
        </w:rPr>
        <w:t xml:space="preserve"> As such, for the purposes of the </w:t>
      </w:r>
      <w:r w:rsidR="00DE6278" w:rsidRPr="005A6E1A">
        <w:rPr>
          <w:rFonts w:asciiTheme="minorHAnsi" w:hAnsiTheme="minorHAnsi" w:cstheme="minorHAnsi"/>
        </w:rPr>
        <w:t xml:space="preserve">disclosure </w:t>
      </w:r>
      <w:r w:rsidR="0041260C" w:rsidRPr="005A6E1A">
        <w:rPr>
          <w:rFonts w:asciiTheme="minorHAnsi" w:hAnsiTheme="minorHAnsi" w:cstheme="minorHAnsi"/>
        </w:rPr>
        <w:t xml:space="preserve">policy </w:t>
      </w:r>
      <w:r w:rsidR="00B7551E" w:rsidRPr="005A6E1A">
        <w:rPr>
          <w:rFonts w:asciiTheme="minorHAnsi" w:hAnsiTheme="minorHAnsi" w:cstheme="minorHAnsi"/>
        </w:rPr>
        <w:t>feasibility study, it was presumed that:</w:t>
      </w:r>
    </w:p>
    <w:p w14:paraId="30234ABB" w14:textId="58F1C024" w:rsidR="00B7551E" w:rsidRPr="005A6E1A" w:rsidRDefault="00B7551E" w:rsidP="00A253E6">
      <w:pPr>
        <w:pStyle w:val="BodyText"/>
        <w:numPr>
          <w:ilvl w:val="0"/>
          <w:numId w:val="51"/>
        </w:numPr>
        <w:rPr>
          <w:rFonts w:asciiTheme="minorHAnsi" w:hAnsiTheme="minorHAnsi" w:cstheme="minorHAnsi"/>
        </w:rPr>
      </w:pPr>
      <w:r w:rsidRPr="005A6E1A">
        <w:rPr>
          <w:rFonts w:asciiTheme="minorHAnsi" w:hAnsiTheme="minorHAnsi" w:cstheme="minorHAnsi"/>
        </w:rPr>
        <w:t>30 percent of covered buildings do not</w:t>
      </w:r>
      <w:r w:rsidR="00195D69" w:rsidRPr="005A6E1A">
        <w:rPr>
          <w:rFonts w:asciiTheme="minorHAnsi" w:hAnsiTheme="minorHAnsi" w:cstheme="minorHAnsi"/>
        </w:rPr>
        <w:t xml:space="preserve"> implement any </w:t>
      </w:r>
      <w:proofErr w:type="spellStart"/>
      <w:proofErr w:type="gramStart"/>
      <w:r w:rsidR="00195D69" w:rsidRPr="005A6E1A">
        <w:rPr>
          <w:rFonts w:asciiTheme="minorHAnsi" w:hAnsiTheme="minorHAnsi" w:cstheme="minorHAnsi"/>
        </w:rPr>
        <w:t>ECMs</w:t>
      </w:r>
      <w:proofErr w:type="spellEnd"/>
      <w:proofErr w:type="gramEnd"/>
    </w:p>
    <w:p w14:paraId="362CD3B3" w14:textId="6AC902C2" w:rsidR="00DE6278" w:rsidRPr="005A6E1A" w:rsidRDefault="0041260C" w:rsidP="00A253E6">
      <w:pPr>
        <w:pStyle w:val="BodyText"/>
        <w:numPr>
          <w:ilvl w:val="0"/>
          <w:numId w:val="51"/>
        </w:numPr>
        <w:rPr>
          <w:rFonts w:asciiTheme="minorHAnsi" w:hAnsiTheme="minorHAnsi" w:cstheme="minorHAnsi"/>
        </w:rPr>
      </w:pPr>
      <w:r w:rsidRPr="005A6E1A">
        <w:rPr>
          <w:rFonts w:asciiTheme="minorHAnsi" w:hAnsiTheme="minorHAnsi" w:cstheme="minorHAnsi"/>
        </w:rPr>
        <w:t>30 percent of covered buildings im</w:t>
      </w:r>
      <w:r w:rsidR="00C654EF" w:rsidRPr="005A6E1A">
        <w:rPr>
          <w:rFonts w:asciiTheme="minorHAnsi" w:hAnsiTheme="minorHAnsi" w:cstheme="minorHAnsi"/>
        </w:rPr>
        <w:t xml:space="preserve">plement operational improvements with limited capital </w:t>
      </w:r>
      <w:proofErr w:type="gramStart"/>
      <w:r w:rsidR="00C654EF" w:rsidRPr="005A6E1A">
        <w:rPr>
          <w:rFonts w:asciiTheme="minorHAnsi" w:hAnsiTheme="minorHAnsi" w:cstheme="minorHAnsi"/>
        </w:rPr>
        <w:t>works</w:t>
      </w:r>
      <w:proofErr w:type="gramEnd"/>
    </w:p>
    <w:p w14:paraId="7411C4D6" w14:textId="17FEC1E4" w:rsidR="00C654EF" w:rsidRPr="005A6E1A" w:rsidRDefault="00C654EF" w:rsidP="00A253E6">
      <w:pPr>
        <w:pStyle w:val="BodyText"/>
        <w:numPr>
          <w:ilvl w:val="0"/>
          <w:numId w:val="51"/>
        </w:numPr>
        <w:rPr>
          <w:rFonts w:asciiTheme="minorHAnsi" w:hAnsiTheme="minorHAnsi" w:cstheme="minorHAnsi"/>
        </w:rPr>
      </w:pPr>
      <w:r w:rsidRPr="005A6E1A">
        <w:rPr>
          <w:rFonts w:asciiTheme="minorHAnsi" w:hAnsiTheme="minorHAnsi" w:cstheme="minorHAnsi"/>
        </w:rPr>
        <w:t>40 percent of covered bui</w:t>
      </w:r>
      <w:r w:rsidR="00CE7458" w:rsidRPr="005A6E1A">
        <w:rPr>
          <w:rFonts w:asciiTheme="minorHAnsi" w:hAnsiTheme="minorHAnsi" w:cstheme="minorHAnsi"/>
        </w:rPr>
        <w:t xml:space="preserve">ldings implement a range of </w:t>
      </w:r>
      <w:proofErr w:type="spellStart"/>
      <w:r w:rsidR="00CE7458" w:rsidRPr="005A6E1A">
        <w:rPr>
          <w:rFonts w:asciiTheme="minorHAnsi" w:hAnsiTheme="minorHAnsi" w:cstheme="minorHAnsi"/>
        </w:rPr>
        <w:t>ECMs</w:t>
      </w:r>
      <w:proofErr w:type="spellEnd"/>
      <w:r w:rsidR="00CE7458" w:rsidRPr="005A6E1A">
        <w:rPr>
          <w:rFonts w:asciiTheme="minorHAnsi" w:hAnsiTheme="minorHAnsi" w:cstheme="minorHAnsi"/>
        </w:rPr>
        <w:t xml:space="preserve"> including both operational improvements and capital works.</w:t>
      </w:r>
    </w:p>
    <w:p w14:paraId="57BB4ACA" w14:textId="77504659" w:rsidR="00CB063F" w:rsidRPr="005A6E1A" w:rsidRDefault="00A407DA" w:rsidP="00A92A2B">
      <w:pPr>
        <w:pStyle w:val="BodyText"/>
        <w:rPr>
          <w:rFonts w:asciiTheme="minorHAnsi" w:hAnsiTheme="minorHAnsi" w:cstheme="minorHAnsi"/>
        </w:rPr>
      </w:pPr>
      <w:r w:rsidRPr="005A6E1A">
        <w:rPr>
          <w:rFonts w:asciiTheme="minorHAnsi" w:hAnsiTheme="minorHAnsi" w:cstheme="minorHAnsi"/>
        </w:rPr>
        <w:t xml:space="preserve">This assumption has implications on the assumed effectiveness of the policy, </w:t>
      </w:r>
      <w:r w:rsidR="00B1053E" w:rsidRPr="005A6E1A">
        <w:rPr>
          <w:rFonts w:asciiTheme="minorHAnsi" w:hAnsiTheme="minorHAnsi" w:cstheme="minorHAnsi"/>
        </w:rPr>
        <w:t xml:space="preserve">with a proportion of building owners incurring some compliance costs, without the </w:t>
      </w:r>
      <w:r w:rsidR="00426CDA" w:rsidRPr="005A6E1A">
        <w:rPr>
          <w:rFonts w:asciiTheme="minorHAnsi" w:hAnsiTheme="minorHAnsi" w:cstheme="minorHAnsi"/>
        </w:rPr>
        <w:t xml:space="preserve">respective costs and benefits </w:t>
      </w:r>
      <w:r w:rsidR="00192172" w:rsidRPr="005A6E1A">
        <w:rPr>
          <w:rFonts w:asciiTheme="minorHAnsi" w:hAnsiTheme="minorHAnsi" w:cstheme="minorHAnsi"/>
        </w:rPr>
        <w:t xml:space="preserve">of the upgrades. </w:t>
      </w:r>
      <w:r w:rsidR="00B43C15" w:rsidRPr="005A6E1A">
        <w:rPr>
          <w:rFonts w:asciiTheme="minorHAnsi" w:hAnsiTheme="minorHAnsi" w:cstheme="minorHAnsi"/>
        </w:rPr>
        <w:t xml:space="preserve">The costs of the </w:t>
      </w:r>
      <w:proofErr w:type="spellStart"/>
      <w:r w:rsidR="00B43C15" w:rsidRPr="005A6E1A">
        <w:rPr>
          <w:rFonts w:asciiTheme="minorHAnsi" w:hAnsiTheme="minorHAnsi" w:cstheme="minorHAnsi"/>
        </w:rPr>
        <w:t>ECMs</w:t>
      </w:r>
      <w:proofErr w:type="spellEnd"/>
      <w:r w:rsidR="00B43C15" w:rsidRPr="005A6E1A">
        <w:rPr>
          <w:rFonts w:asciiTheme="minorHAnsi" w:hAnsiTheme="minorHAnsi" w:cstheme="minorHAnsi"/>
        </w:rPr>
        <w:t xml:space="preserve"> are also assumed, and likely to vary between </w:t>
      </w:r>
      <w:r w:rsidR="00A479FC" w:rsidRPr="005A6E1A">
        <w:rPr>
          <w:rFonts w:asciiTheme="minorHAnsi" w:hAnsiTheme="minorHAnsi" w:cstheme="minorHAnsi"/>
        </w:rPr>
        <w:t xml:space="preserve">each building. More details on the respective costs of the </w:t>
      </w:r>
      <w:proofErr w:type="spellStart"/>
      <w:r w:rsidR="00A479FC" w:rsidRPr="005A6E1A">
        <w:rPr>
          <w:rFonts w:asciiTheme="minorHAnsi" w:hAnsiTheme="minorHAnsi" w:cstheme="minorHAnsi"/>
        </w:rPr>
        <w:t>ECMs</w:t>
      </w:r>
      <w:proofErr w:type="spellEnd"/>
      <w:r w:rsidR="00A479FC" w:rsidRPr="005A6E1A">
        <w:rPr>
          <w:rFonts w:asciiTheme="minorHAnsi" w:hAnsiTheme="minorHAnsi" w:cstheme="minorHAnsi"/>
        </w:rPr>
        <w:t xml:space="preserve"> are presented in section </w:t>
      </w:r>
      <w:r w:rsidR="00A479FC" w:rsidRPr="005A6E1A">
        <w:rPr>
          <w:rFonts w:asciiTheme="minorHAnsi" w:hAnsiTheme="minorHAnsi" w:cstheme="minorHAnsi"/>
        </w:rPr>
        <w:fldChar w:fldCharType="begin" w:fldLock="1"/>
      </w:r>
      <w:r w:rsidR="00A479FC" w:rsidRPr="005A6E1A">
        <w:rPr>
          <w:rFonts w:asciiTheme="minorHAnsi" w:hAnsiTheme="minorHAnsi" w:cstheme="minorHAnsi"/>
        </w:rPr>
        <w:instrText xml:space="preserve"> REF _Ref146277484 \r \h </w:instrText>
      </w:r>
      <w:r w:rsidR="000C274B">
        <w:rPr>
          <w:rFonts w:asciiTheme="minorHAnsi" w:hAnsiTheme="minorHAnsi" w:cstheme="minorHAnsi"/>
        </w:rPr>
        <w:instrText xml:space="preserve"> \* MERGEFORMAT </w:instrText>
      </w:r>
      <w:r w:rsidR="00A479FC" w:rsidRPr="005A6E1A">
        <w:rPr>
          <w:rFonts w:asciiTheme="minorHAnsi" w:hAnsiTheme="minorHAnsi" w:cstheme="minorHAnsi"/>
        </w:rPr>
      </w:r>
      <w:r w:rsidR="00A479FC" w:rsidRPr="005A6E1A">
        <w:rPr>
          <w:rFonts w:asciiTheme="minorHAnsi" w:hAnsiTheme="minorHAnsi" w:cstheme="minorHAnsi"/>
        </w:rPr>
        <w:fldChar w:fldCharType="separate"/>
      </w:r>
      <w:r w:rsidR="00D213AD" w:rsidRPr="005A6E1A">
        <w:rPr>
          <w:rFonts w:asciiTheme="minorHAnsi" w:hAnsiTheme="minorHAnsi" w:cstheme="minorHAnsi"/>
        </w:rPr>
        <w:t>6.4.1</w:t>
      </w:r>
      <w:r w:rsidR="00A479FC" w:rsidRPr="005A6E1A">
        <w:rPr>
          <w:rFonts w:asciiTheme="minorHAnsi" w:hAnsiTheme="minorHAnsi" w:cstheme="minorHAnsi"/>
        </w:rPr>
        <w:fldChar w:fldCharType="end"/>
      </w:r>
      <w:r w:rsidR="00A479FC" w:rsidRPr="005A6E1A">
        <w:rPr>
          <w:rFonts w:asciiTheme="minorHAnsi" w:hAnsiTheme="minorHAnsi" w:cstheme="minorHAnsi"/>
        </w:rPr>
        <w:t>.</w:t>
      </w:r>
      <w:r w:rsidR="0044214C" w:rsidRPr="005A6E1A">
        <w:rPr>
          <w:rFonts w:asciiTheme="minorHAnsi" w:hAnsiTheme="minorHAnsi" w:cstheme="minorHAnsi"/>
        </w:rPr>
        <w:t xml:space="preserve"> </w:t>
      </w:r>
    </w:p>
    <w:p w14:paraId="03BCC002" w14:textId="248A2FE2" w:rsidR="00884023" w:rsidRPr="005A6E1A" w:rsidRDefault="00884023" w:rsidP="00884023">
      <w:pPr>
        <w:pStyle w:val="Heading3"/>
        <w:rPr>
          <w:rFonts w:asciiTheme="minorHAnsi" w:hAnsiTheme="minorHAnsi" w:cstheme="minorHAnsi"/>
        </w:rPr>
      </w:pPr>
      <w:r w:rsidRPr="005A6E1A">
        <w:rPr>
          <w:rFonts w:asciiTheme="minorHAnsi" w:hAnsiTheme="minorHAnsi" w:cstheme="minorHAnsi"/>
        </w:rPr>
        <w:t xml:space="preserve">Response to </w:t>
      </w:r>
      <w:proofErr w:type="spellStart"/>
      <w:r w:rsidRPr="005A6E1A">
        <w:rPr>
          <w:rFonts w:asciiTheme="minorHAnsi" w:hAnsiTheme="minorHAnsi" w:cstheme="minorHAnsi"/>
        </w:rPr>
        <w:t>MEPS</w:t>
      </w:r>
      <w:proofErr w:type="spellEnd"/>
    </w:p>
    <w:p w14:paraId="23BBD594" w14:textId="4FDE60F1" w:rsidR="003B4206" w:rsidRPr="005A6E1A" w:rsidRDefault="00C1497B" w:rsidP="003B4206">
      <w:pPr>
        <w:pStyle w:val="BodyText"/>
        <w:rPr>
          <w:rFonts w:asciiTheme="minorHAnsi" w:hAnsiTheme="minorHAnsi" w:cstheme="minorHAnsi"/>
        </w:rPr>
      </w:pPr>
      <w:r w:rsidRPr="005A6E1A">
        <w:rPr>
          <w:rFonts w:asciiTheme="minorHAnsi" w:hAnsiTheme="minorHAnsi" w:cstheme="minorHAnsi"/>
        </w:rPr>
        <w:t xml:space="preserve">Similarly </w:t>
      </w:r>
      <w:r w:rsidR="00F05A9D" w:rsidRPr="005A6E1A">
        <w:rPr>
          <w:rFonts w:asciiTheme="minorHAnsi" w:hAnsiTheme="minorHAnsi" w:cstheme="minorHAnsi"/>
        </w:rPr>
        <w:t xml:space="preserve">for </w:t>
      </w:r>
      <w:proofErr w:type="spellStart"/>
      <w:r w:rsidR="00F05A9D" w:rsidRPr="005A6E1A">
        <w:rPr>
          <w:rFonts w:asciiTheme="minorHAnsi" w:hAnsiTheme="minorHAnsi" w:cstheme="minorHAnsi"/>
        </w:rPr>
        <w:t>MEPS</w:t>
      </w:r>
      <w:proofErr w:type="spellEnd"/>
      <w:r w:rsidR="00F05A9D" w:rsidRPr="005A6E1A">
        <w:rPr>
          <w:rFonts w:asciiTheme="minorHAnsi" w:hAnsiTheme="minorHAnsi" w:cstheme="minorHAnsi"/>
        </w:rPr>
        <w:t xml:space="preserve">, several assumptions had to be made around </w:t>
      </w:r>
      <w:r w:rsidR="007F6A58" w:rsidRPr="005A6E1A">
        <w:rPr>
          <w:rFonts w:asciiTheme="minorHAnsi" w:hAnsiTheme="minorHAnsi" w:cstheme="minorHAnsi"/>
        </w:rPr>
        <w:t>how building owners would respond t</w:t>
      </w:r>
      <w:r w:rsidR="00D04137" w:rsidRPr="005A6E1A">
        <w:rPr>
          <w:rFonts w:asciiTheme="minorHAnsi" w:hAnsiTheme="minorHAnsi" w:cstheme="minorHAnsi"/>
        </w:rPr>
        <w:t xml:space="preserve">o the </w:t>
      </w:r>
      <w:proofErr w:type="spellStart"/>
      <w:r w:rsidR="00883816" w:rsidRPr="005A6E1A">
        <w:rPr>
          <w:rFonts w:asciiTheme="minorHAnsi" w:hAnsiTheme="minorHAnsi" w:cstheme="minorHAnsi"/>
        </w:rPr>
        <w:t>MEPS</w:t>
      </w:r>
      <w:proofErr w:type="spellEnd"/>
      <w:r w:rsidR="00883816" w:rsidRPr="005A6E1A">
        <w:rPr>
          <w:rFonts w:asciiTheme="minorHAnsi" w:hAnsiTheme="minorHAnsi" w:cstheme="minorHAnsi"/>
        </w:rPr>
        <w:t xml:space="preserve"> requirement, the likely </w:t>
      </w:r>
      <w:proofErr w:type="spellStart"/>
      <w:r w:rsidR="007713FD" w:rsidRPr="005A6E1A">
        <w:rPr>
          <w:rFonts w:asciiTheme="minorHAnsi" w:hAnsiTheme="minorHAnsi" w:cstheme="minorHAnsi"/>
        </w:rPr>
        <w:t>ECMs</w:t>
      </w:r>
      <w:proofErr w:type="spellEnd"/>
      <w:r w:rsidR="007713FD" w:rsidRPr="005A6E1A">
        <w:rPr>
          <w:rFonts w:asciiTheme="minorHAnsi" w:hAnsiTheme="minorHAnsi" w:cstheme="minorHAnsi"/>
        </w:rPr>
        <w:t xml:space="preserve"> adopted </w:t>
      </w:r>
      <w:r w:rsidR="00C66E52" w:rsidRPr="005A6E1A">
        <w:rPr>
          <w:rFonts w:asciiTheme="minorHAnsi" w:hAnsiTheme="minorHAnsi" w:cstheme="minorHAnsi"/>
        </w:rPr>
        <w:t xml:space="preserve">and the respective cost of those </w:t>
      </w:r>
      <w:proofErr w:type="spellStart"/>
      <w:r w:rsidR="00C66E52" w:rsidRPr="005A6E1A">
        <w:rPr>
          <w:rFonts w:asciiTheme="minorHAnsi" w:hAnsiTheme="minorHAnsi" w:cstheme="minorHAnsi"/>
        </w:rPr>
        <w:t>ECMs</w:t>
      </w:r>
      <w:proofErr w:type="spellEnd"/>
      <w:r w:rsidR="00C66E52" w:rsidRPr="005A6E1A">
        <w:rPr>
          <w:rFonts w:asciiTheme="minorHAnsi" w:hAnsiTheme="minorHAnsi" w:cstheme="minorHAnsi"/>
        </w:rPr>
        <w:t xml:space="preserve">. </w:t>
      </w:r>
      <w:r w:rsidR="00391B38" w:rsidRPr="005A6E1A">
        <w:rPr>
          <w:rFonts w:asciiTheme="minorHAnsi" w:hAnsiTheme="minorHAnsi" w:cstheme="minorHAnsi"/>
        </w:rPr>
        <w:t xml:space="preserve">For the purposes of the feasibility study, </w:t>
      </w:r>
      <w:r w:rsidR="002E0414" w:rsidRPr="005A6E1A">
        <w:rPr>
          <w:rFonts w:asciiTheme="minorHAnsi" w:hAnsiTheme="minorHAnsi" w:cstheme="minorHAnsi"/>
        </w:rPr>
        <w:t>we have adopted the</w:t>
      </w:r>
      <w:r w:rsidR="00674671" w:rsidRPr="005A6E1A">
        <w:rPr>
          <w:rFonts w:asciiTheme="minorHAnsi" w:hAnsiTheme="minorHAnsi" w:cstheme="minorHAnsi"/>
        </w:rPr>
        <w:t xml:space="preserve"> regression analysis </w:t>
      </w:r>
      <w:r w:rsidR="002E0414" w:rsidRPr="005A6E1A">
        <w:rPr>
          <w:rFonts w:asciiTheme="minorHAnsi" w:hAnsiTheme="minorHAnsi" w:cstheme="minorHAnsi"/>
        </w:rPr>
        <w:t>formulated</w:t>
      </w:r>
      <w:r w:rsidR="00674671" w:rsidRPr="005A6E1A">
        <w:rPr>
          <w:rFonts w:asciiTheme="minorHAnsi" w:hAnsiTheme="minorHAnsi" w:cstheme="minorHAnsi"/>
        </w:rPr>
        <w:t xml:space="preserve"> as part of </w:t>
      </w:r>
      <w:r w:rsidR="002E0414" w:rsidRPr="005A6E1A">
        <w:rPr>
          <w:rFonts w:asciiTheme="minorHAnsi" w:hAnsiTheme="minorHAnsi" w:cstheme="minorHAnsi"/>
        </w:rPr>
        <w:t>an</w:t>
      </w:r>
      <w:r w:rsidR="00FB19B4" w:rsidRPr="005A6E1A">
        <w:rPr>
          <w:rFonts w:asciiTheme="minorHAnsi" w:hAnsiTheme="minorHAnsi" w:cstheme="minorHAnsi"/>
        </w:rPr>
        <w:t xml:space="preserve"> </w:t>
      </w:r>
      <w:r w:rsidR="00CE2209" w:rsidRPr="005A6E1A">
        <w:rPr>
          <w:rFonts w:asciiTheme="minorHAnsi" w:hAnsiTheme="minorHAnsi" w:cstheme="minorHAnsi"/>
        </w:rPr>
        <w:t>independent</w:t>
      </w:r>
      <w:r w:rsidR="00516702" w:rsidRPr="005A6E1A">
        <w:rPr>
          <w:rFonts w:asciiTheme="minorHAnsi" w:hAnsiTheme="minorHAnsi" w:cstheme="minorHAnsi"/>
        </w:rPr>
        <w:t xml:space="preserve"> review of the Commercial Building Disclosure Program</w:t>
      </w:r>
      <w:r w:rsidR="00E00C98" w:rsidRPr="005A6E1A">
        <w:rPr>
          <w:rFonts w:asciiTheme="minorHAnsi" w:hAnsiTheme="minorHAnsi" w:cstheme="minorHAnsi"/>
        </w:rPr>
        <w:t>.</w:t>
      </w:r>
      <w:r w:rsidR="00723239">
        <w:rPr>
          <w:rFonts w:ascii="ZWAdobeF" w:hAnsi="ZWAdobeF" w:cs="ZWAdobeF"/>
          <w:color w:val="auto"/>
          <w:sz w:val="2"/>
          <w:szCs w:val="2"/>
        </w:rPr>
        <w:t>156F</w:t>
      </w:r>
      <w:r w:rsidR="00EE36E3">
        <w:rPr>
          <w:rFonts w:ascii="ZWAdobeF" w:hAnsi="ZWAdobeF" w:cs="ZWAdobeF"/>
          <w:color w:val="auto"/>
          <w:sz w:val="2"/>
          <w:szCs w:val="2"/>
        </w:rPr>
        <w:t>157F</w:t>
      </w:r>
      <w:r w:rsidR="00122C48">
        <w:rPr>
          <w:rFonts w:ascii="ZWAdobeF" w:hAnsi="ZWAdobeF" w:cs="ZWAdobeF"/>
          <w:color w:val="auto"/>
          <w:sz w:val="2"/>
          <w:szCs w:val="2"/>
        </w:rPr>
        <w:t>157F</w:t>
      </w:r>
      <w:r w:rsidR="00F73A23">
        <w:rPr>
          <w:rFonts w:ascii="ZWAdobeF" w:hAnsi="ZWAdobeF" w:cs="ZWAdobeF"/>
          <w:color w:val="auto"/>
          <w:sz w:val="2"/>
          <w:szCs w:val="2"/>
        </w:rPr>
        <w:t>157F</w:t>
      </w:r>
      <w:r w:rsidR="00626378">
        <w:rPr>
          <w:rFonts w:ascii="ZWAdobeF" w:hAnsi="ZWAdobeF" w:cs="ZWAdobeF"/>
          <w:color w:val="auto"/>
          <w:sz w:val="2"/>
          <w:szCs w:val="2"/>
        </w:rPr>
        <w:t>157F</w:t>
      </w:r>
      <w:r w:rsidR="00413811">
        <w:rPr>
          <w:rFonts w:ascii="ZWAdobeF" w:hAnsi="ZWAdobeF" w:cs="ZWAdobeF"/>
          <w:color w:val="auto"/>
          <w:sz w:val="2"/>
          <w:szCs w:val="2"/>
        </w:rPr>
        <w:t>157F</w:t>
      </w:r>
      <w:r w:rsidR="002C327C">
        <w:rPr>
          <w:rFonts w:ascii="ZWAdobeF" w:hAnsi="ZWAdobeF" w:cs="ZWAdobeF"/>
          <w:color w:val="auto"/>
          <w:sz w:val="2"/>
          <w:szCs w:val="2"/>
        </w:rPr>
        <w:t>157F</w:t>
      </w:r>
      <w:r w:rsidR="00D24A06">
        <w:rPr>
          <w:rFonts w:ascii="ZWAdobeF" w:hAnsi="ZWAdobeF" w:cs="ZWAdobeF"/>
          <w:color w:val="auto"/>
          <w:sz w:val="2"/>
          <w:szCs w:val="2"/>
        </w:rPr>
        <w:t>157F</w:t>
      </w:r>
      <w:r w:rsidR="00E00C98" w:rsidRPr="005A6E1A">
        <w:rPr>
          <w:rStyle w:val="FootnoteReference"/>
          <w:rFonts w:asciiTheme="minorHAnsi" w:hAnsiTheme="minorHAnsi" w:cstheme="minorHAnsi"/>
        </w:rPr>
        <w:footnoteReference w:id="159"/>
      </w:r>
      <w:r w:rsidR="00674671" w:rsidRPr="005A6E1A">
        <w:rPr>
          <w:rFonts w:asciiTheme="minorHAnsi" w:hAnsiTheme="minorHAnsi" w:cstheme="minorHAnsi"/>
        </w:rPr>
        <w:t xml:space="preserve"> </w:t>
      </w:r>
      <w:r w:rsidR="00846CC0" w:rsidRPr="005A6E1A">
        <w:rPr>
          <w:rFonts w:asciiTheme="minorHAnsi" w:hAnsiTheme="minorHAnsi" w:cstheme="minorHAnsi"/>
        </w:rPr>
        <w:t>The regression analysis was based on actual reported responses and costs of buildings under the CBD program</w:t>
      </w:r>
      <w:r w:rsidR="007403CE" w:rsidRPr="005A6E1A">
        <w:rPr>
          <w:rFonts w:asciiTheme="minorHAnsi" w:hAnsiTheme="minorHAnsi" w:cstheme="minorHAnsi"/>
        </w:rPr>
        <w:t>, and thus represents a</w:t>
      </w:r>
      <w:r w:rsidR="002C6AEB" w:rsidRPr="005A6E1A">
        <w:rPr>
          <w:rFonts w:asciiTheme="minorHAnsi" w:hAnsiTheme="minorHAnsi" w:cstheme="minorHAnsi"/>
        </w:rPr>
        <w:t xml:space="preserve">n evidence base </w:t>
      </w:r>
      <w:r w:rsidR="003B4206" w:rsidRPr="005A6E1A">
        <w:rPr>
          <w:rFonts w:asciiTheme="minorHAnsi" w:hAnsiTheme="minorHAnsi" w:cstheme="minorHAnsi"/>
        </w:rPr>
        <w:t>from which the feasibility analysis could be based upon. The CIE Report calculated a regression analysis formula (below) that we have adjusted by a factor of 1.29 to account for inflation. The regression analysis was based on a small sample size (31) and has a relatively weak R</w:t>
      </w:r>
      <w:r w:rsidR="003B4206" w:rsidRPr="005A6E1A">
        <w:rPr>
          <w:rFonts w:asciiTheme="minorHAnsi" w:hAnsiTheme="minorHAnsi" w:cstheme="minorHAnsi"/>
          <w:vertAlign w:val="superscript"/>
        </w:rPr>
        <w:t>2</w:t>
      </w:r>
      <w:r w:rsidR="003B4206" w:rsidRPr="005A6E1A">
        <w:rPr>
          <w:rFonts w:asciiTheme="minorHAnsi" w:hAnsiTheme="minorHAnsi" w:cstheme="minorHAnsi"/>
        </w:rPr>
        <w:t xml:space="preserve"> value of 0.1896.</w:t>
      </w:r>
    </w:p>
    <w:p w14:paraId="77FD665B" w14:textId="2A34DB80" w:rsidR="003B4206" w:rsidRPr="005A6E1A" w:rsidRDefault="00850BD4" w:rsidP="003B4206">
      <w:pPr>
        <w:pStyle w:val="BodyText"/>
        <w:rPr>
          <w:rFonts w:asciiTheme="minorHAnsi" w:eastAsiaTheme="minorEastAsia" w:hAnsiTheme="minorHAnsi" w:cstheme="minorHAnsi"/>
          <w:b/>
        </w:rPr>
      </w:pPr>
      <w:r>
        <w:rPr>
          <w:noProof/>
        </w:rPr>
        <mc:AlternateContent>
          <mc:Choice Requires="wps">
            <w:drawing>
              <wp:anchor distT="4294967295" distB="4294967295" distL="114300" distR="114300" simplePos="0" relativeHeight="251658241" behindDoc="0" locked="0" layoutInCell="1" allowOverlap="1" wp14:anchorId="65B5E1B3" wp14:editId="242C8686">
                <wp:simplePos x="0" y="0"/>
                <wp:positionH relativeFrom="column">
                  <wp:posOffset>2516505</wp:posOffset>
                </wp:positionH>
                <wp:positionV relativeFrom="paragraph">
                  <wp:posOffset>200024</wp:posOffset>
                </wp:positionV>
                <wp:extent cx="1367155" cy="0"/>
                <wp:effectExtent l="0" t="0" r="0" b="0"/>
                <wp:wrapNone/>
                <wp:docPr id="919482855" name="Straight Connector 919482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7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F3B1E" id="Straight Connector 919482855" o:spid="_x0000_s1026" alt="&quot;&quot;"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15pt,15.75pt" to="305.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" strokecolor="black [3200]" strokeweight=".5pt">
                <v:stroke joinstyle="miter"/>
                <o:lock v:ext="edit" shapetype="f"/>
              </v:line>
            </w:pict>
          </mc:Fallback>
        </mc:AlternateContent>
      </w:r>
      <w:r w:rsidR="00D54793" w:rsidRPr="005A6E1A">
        <w:rPr>
          <w:rFonts w:asciiTheme="minorHAnsi" w:hAnsiTheme="minorHAnsi" w:cstheme="minorHAnsi"/>
          <w:noProof/>
        </w:rPr>
        <w:drawing>
          <wp:inline distT="0" distB="0" distL="0" distR="0" wp14:anchorId="61842C17" wp14:editId="74F98286">
            <wp:extent cx="5732145" cy="361950"/>
            <wp:effectExtent l="0" t="0" r="0" b="0"/>
            <wp:docPr id="706" name="Picture 706" descr="Equation for upgrade cost based on regression analysis. &#10;&#10;This is the regression analysis formula referenced above. Annual cost in dollars multiplied by an inflation factor of 1.29 is equal to energy savings during the year in megajoules, divided by the following term: (18.793 minus (2.7131 multiplied by the NABERS rating at the start of the period, in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Equation for upgrade cost based on regression analysis. &#10;&#10;This is the regression analysis formula referenced above. Annual cost in dollars multiplied by an inflation factor of 1.29 is equal to energy savings during the year in megajoules, divided by the following term: (18.793 minus (2.7131 multiplied by the NABERS rating at the start of the period, in sta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2145" cy="361950"/>
                    </a:xfrm>
                    <a:prstGeom prst="rect">
                      <a:avLst/>
                    </a:prstGeom>
                    <a:noFill/>
                    <a:ln>
                      <a:noFill/>
                    </a:ln>
                  </pic:spPr>
                </pic:pic>
              </a:graphicData>
            </a:graphic>
          </wp:inline>
        </w:drawing>
      </w:r>
    </w:p>
    <w:p w14:paraId="4F4C97DC" w14:textId="76B0ED79" w:rsidR="003B4206" w:rsidRPr="005A6E1A" w:rsidRDefault="00D54793" w:rsidP="003B4206">
      <w:pPr>
        <w:pStyle w:val="BodyText"/>
        <w:rPr>
          <w:rFonts w:asciiTheme="minorHAnsi" w:hAnsiTheme="minorHAnsi" w:cstheme="minorHAnsi"/>
        </w:rPr>
      </w:pPr>
      <w:r w:rsidRPr="005A6E1A">
        <w:rPr>
          <w:rFonts w:asciiTheme="minorHAnsi" w:hAnsiTheme="minorHAnsi" w:cstheme="minorHAnsi"/>
        </w:rPr>
        <w:t xml:space="preserve">Where, </w:t>
      </w:r>
      <w:r w:rsidR="003B4206" w:rsidRPr="005A6E1A">
        <w:rPr>
          <w:rFonts w:asciiTheme="minorHAnsi" w:hAnsiTheme="minorHAnsi" w:cstheme="minorHAnsi"/>
        </w:rPr>
        <w:t>C</w:t>
      </w:r>
      <w:r w:rsidRPr="005A6E1A">
        <w:rPr>
          <w:rFonts w:asciiTheme="minorHAnsi" w:hAnsiTheme="minorHAnsi" w:cstheme="minorHAnsi"/>
        </w:rPr>
        <w:t xml:space="preserve"> </w:t>
      </w:r>
      <w:r w:rsidR="003B4206" w:rsidRPr="005A6E1A">
        <w:rPr>
          <w:rFonts w:asciiTheme="minorHAnsi" w:hAnsiTheme="minorHAnsi" w:cstheme="minorHAnsi"/>
        </w:rPr>
        <w:t>= annual cost (in dollars), E = energy saving during the year (MJ), Star = NABERS rating at the start of the period</w:t>
      </w:r>
      <w:r w:rsidRPr="005A6E1A">
        <w:rPr>
          <w:rFonts w:asciiTheme="minorHAnsi" w:hAnsiTheme="minorHAnsi" w:cstheme="minorHAnsi"/>
        </w:rPr>
        <w:t>.</w:t>
      </w:r>
    </w:p>
    <w:p w14:paraId="21792736" w14:textId="66DC6420" w:rsidR="003B4206" w:rsidRPr="005A6E1A" w:rsidRDefault="00EE3F23" w:rsidP="0044214C">
      <w:pPr>
        <w:pStyle w:val="BodyText"/>
        <w:rPr>
          <w:rFonts w:asciiTheme="minorHAnsi" w:hAnsiTheme="minorHAnsi" w:cstheme="minorHAnsi"/>
        </w:rPr>
      </w:pPr>
      <w:r w:rsidRPr="005A6E1A">
        <w:rPr>
          <w:rFonts w:asciiTheme="minorHAnsi" w:hAnsiTheme="minorHAnsi" w:cstheme="minorHAnsi"/>
        </w:rPr>
        <w:t xml:space="preserve">Although </w:t>
      </w:r>
      <w:r w:rsidR="007638E9" w:rsidRPr="005A6E1A">
        <w:rPr>
          <w:rFonts w:asciiTheme="minorHAnsi" w:hAnsiTheme="minorHAnsi" w:cstheme="minorHAnsi"/>
        </w:rPr>
        <w:t xml:space="preserve">the regression had a low statistical significance given the small sample size, </w:t>
      </w:r>
      <w:r w:rsidR="00385EB8" w:rsidRPr="005A6E1A">
        <w:rPr>
          <w:rFonts w:asciiTheme="minorHAnsi" w:hAnsiTheme="minorHAnsi" w:cstheme="minorHAnsi"/>
        </w:rPr>
        <w:t xml:space="preserve">it </w:t>
      </w:r>
      <w:r w:rsidR="001D146C" w:rsidRPr="005A6E1A">
        <w:rPr>
          <w:rFonts w:asciiTheme="minorHAnsi" w:hAnsiTheme="minorHAnsi" w:cstheme="minorHAnsi"/>
        </w:rPr>
        <w:t xml:space="preserve">aligns broadly with the professional experience of KPMG </w:t>
      </w:r>
      <w:r w:rsidR="0042102B" w:rsidRPr="005A6E1A">
        <w:rPr>
          <w:rFonts w:asciiTheme="minorHAnsi" w:hAnsiTheme="minorHAnsi" w:cstheme="minorHAnsi"/>
        </w:rPr>
        <w:t xml:space="preserve">and other case studies. </w:t>
      </w:r>
      <w:r w:rsidR="00042407" w:rsidRPr="005A6E1A">
        <w:rPr>
          <w:rFonts w:asciiTheme="minorHAnsi" w:hAnsiTheme="minorHAnsi" w:cstheme="minorHAnsi"/>
        </w:rPr>
        <w:t xml:space="preserve">The analysis results </w:t>
      </w:r>
      <w:r w:rsidR="00D54793" w:rsidRPr="005A6E1A">
        <w:rPr>
          <w:rFonts w:asciiTheme="minorHAnsi" w:hAnsiTheme="minorHAnsi" w:cstheme="minorHAnsi"/>
        </w:rPr>
        <w:t>indicate</w:t>
      </w:r>
      <w:r w:rsidR="00385EB8" w:rsidRPr="005A6E1A">
        <w:rPr>
          <w:rFonts w:asciiTheme="minorHAnsi" w:hAnsiTheme="minorHAnsi" w:cstheme="minorHAnsi"/>
        </w:rPr>
        <w:t xml:space="preserve"> </w:t>
      </w:r>
      <w:r w:rsidR="00FE327B" w:rsidRPr="005A6E1A">
        <w:rPr>
          <w:rFonts w:asciiTheme="minorHAnsi" w:hAnsiTheme="minorHAnsi" w:cstheme="minorHAnsi"/>
        </w:rPr>
        <w:t xml:space="preserve">there </w:t>
      </w:r>
      <w:r w:rsidR="006D4907" w:rsidRPr="005A6E1A">
        <w:rPr>
          <w:rFonts w:asciiTheme="minorHAnsi" w:hAnsiTheme="minorHAnsi" w:cstheme="minorHAnsi"/>
        </w:rPr>
        <w:t>are</w:t>
      </w:r>
      <w:r w:rsidR="00FE327B" w:rsidRPr="005A6E1A">
        <w:rPr>
          <w:rFonts w:asciiTheme="minorHAnsi" w:hAnsiTheme="minorHAnsi" w:cstheme="minorHAnsi"/>
        </w:rPr>
        <w:t xml:space="preserve"> </w:t>
      </w:r>
      <w:r w:rsidR="00F17D22" w:rsidRPr="005A6E1A">
        <w:rPr>
          <w:rFonts w:asciiTheme="minorHAnsi" w:hAnsiTheme="minorHAnsi" w:cstheme="minorHAnsi"/>
        </w:rPr>
        <w:t>low</w:t>
      </w:r>
      <w:r w:rsidR="00A66F97" w:rsidRPr="005A6E1A">
        <w:rPr>
          <w:rFonts w:asciiTheme="minorHAnsi" w:hAnsiTheme="minorHAnsi" w:cstheme="minorHAnsi"/>
        </w:rPr>
        <w:t>-</w:t>
      </w:r>
      <w:r w:rsidR="00F17D22" w:rsidRPr="005A6E1A">
        <w:rPr>
          <w:rFonts w:asciiTheme="minorHAnsi" w:hAnsiTheme="minorHAnsi" w:cstheme="minorHAnsi"/>
        </w:rPr>
        <w:t xml:space="preserve">cost operational improvements commonly used by building owners to improve their NABERS star rating. CAPEX investments progressively get more </w:t>
      </w:r>
      <w:r w:rsidR="00F17D22" w:rsidRPr="005A6E1A">
        <w:rPr>
          <w:rFonts w:asciiTheme="minorHAnsi" w:hAnsiTheme="minorHAnsi" w:cstheme="minorHAnsi"/>
        </w:rPr>
        <w:lastRenderedPageBreak/>
        <w:t>expensive with higher NABERS star rating and optimisation of Building Management System (</w:t>
      </w:r>
      <w:r w:rsidR="00F17D22" w:rsidRPr="005A6E1A">
        <w:rPr>
          <w:rFonts w:asciiTheme="minorHAnsi" w:hAnsiTheme="minorHAnsi" w:cstheme="minorHAnsi"/>
          <w:b/>
        </w:rPr>
        <w:t>BMS</w:t>
      </w:r>
      <w:r w:rsidR="00F17D22" w:rsidRPr="005A6E1A">
        <w:rPr>
          <w:rFonts w:asciiTheme="minorHAnsi" w:hAnsiTheme="minorHAnsi" w:cstheme="minorHAnsi"/>
        </w:rPr>
        <w:t>) and performance can yield great results with low or no costs particularly for building with lower ratings.</w:t>
      </w:r>
    </w:p>
    <w:p w14:paraId="48074998" w14:textId="3A3B0C75" w:rsidR="00287801" w:rsidRPr="005A6E1A" w:rsidRDefault="00617A41" w:rsidP="00287801">
      <w:pPr>
        <w:pStyle w:val="CommentText"/>
        <w:rPr>
          <w:rFonts w:asciiTheme="minorHAnsi" w:hAnsiTheme="minorHAnsi" w:cstheme="minorHAnsi"/>
        </w:rPr>
      </w:pPr>
      <w:r w:rsidRPr="005A6E1A">
        <w:rPr>
          <w:rFonts w:asciiTheme="minorHAnsi" w:hAnsiTheme="minorHAnsi" w:cstheme="minorHAnsi"/>
        </w:rPr>
        <w:t>The use of the regression analysis, although valuable as an indicative measure, represents a limitation for the feasibility analysis</w:t>
      </w:r>
      <w:r w:rsidR="00F531D7" w:rsidRPr="005A6E1A">
        <w:rPr>
          <w:rFonts w:asciiTheme="minorHAnsi" w:hAnsiTheme="minorHAnsi" w:cstheme="minorHAnsi"/>
        </w:rPr>
        <w:t>, given the low R</w:t>
      </w:r>
      <w:r w:rsidR="00F531D7" w:rsidRPr="005A6E1A">
        <w:rPr>
          <w:rFonts w:asciiTheme="minorHAnsi" w:hAnsiTheme="minorHAnsi" w:cstheme="minorHAnsi"/>
          <w:vertAlign w:val="superscript"/>
        </w:rPr>
        <w:t>2</w:t>
      </w:r>
      <w:r w:rsidR="00F531D7" w:rsidRPr="005A6E1A">
        <w:rPr>
          <w:rFonts w:asciiTheme="minorHAnsi" w:hAnsiTheme="minorHAnsi" w:cstheme="minorHAnsi"/>
        </w:rPr>
        <w:t xml:space="preserve"> value. Additionally, </w:t>
      </w:r>
      <w:r w:rsidR="00287801" w:rsidRPr="005A6E1A">
        <w:rPr>
          <w:rFonts w:asciiTheme="minorHAnsi" w:hAnsiTheme="minorHAnsi" w:cstheme="minorHAnsi"/>
        </w:rPr>
        <w:t xml:space="preserve">there may be some biases in the data used, as organisations that voluntarily </w:t>
      </w:r>
      <w:r w:rsidR="00860457" w:rsidRPr="005A6E1A">
        <w:rPr>
          <w:rFonts w:asciiTheme="minorHAnsi" w:hAnsiTheme="minorHAnsi" w:cstheme="minorHAnsi"/>
        </w:rPr>
        <w:t xml:space="preserve">chose to </w:t>
      </w:r>
      <w:r w:rsidR="00287801" w:rsidRPr="005A6E1A">
        <w:rPr>
          <w:rFonts w:asciiTheme="minorHAnsi" w:hAnsiTheme="minorHAnsi" w:cstheme="minorHAnsi"/>
        </w:rPr>
        <w:t xml:space="preserve">rate their buildings </w:t>
      </w:r>
      <w:r w:rsidR="00860457" w:rsidRPr="005A6E1A">
        <w:rPr>
          <w:rFonts w:asciiTheme="minorHAnsi" w:hAnsiTheme="minorHAnsi" w:cstheme="minorHAnsi"/>
        </w:rPr>
        <w:t xml:space="preserve">under the NABERS program </w:t>
      </w:r>
      <w:r w:rsidR="00287801" w:rsidRPr="005A6E1A">
        <w:rPr>
          <w:rFonts w:asciiTheme="minorHAnsi" w:hAnsiTheme="minorHAnsi" w:cstheme="minorHAnsi"/>
        </w:rPr>
        <w:t xml:space="preserve">are more likely to be engaged </w:t>
      </w:r>
      <w:r w:rsidR="00860457" w:rsidRPr="005A6E1A">
        <w:rPr>
          <w:rFonts w:asciiTheme="minorHAnsi" w:hAnsiTheme="minorHAnsi" w:cstheme="minorHAnsi"/>
        </w:rPr>
        <w:t xml:space="preserve">and adopt measures to </w:t>
      </w:r>
      <w:r w:rsidR="00287801" w:rsidRPr="005A6E1A">
        <w:rPr>
          <w:rFonts w:asciiTheme="minorHAnsi" w:hAnsiTheme="minorHAnsi" w:cstheme="minorHAnsi"/>
        </w:rPr>
        <w:t xml:space="preserve">improve their ratings and deliver higher standards </w:t>
      </w:r>
      <w:r w:rsidR="00860457" w:rsidRPr="005A6E1A">
        <w:rPr>
          <w:rFonts w:asciiTheme="minorHAnsi" w:hAnsiTheme="minorHAnsi" w:cstheme="minorHAnsi"/>
        </w:rPr>
        <w:t>compared to</w:t>
      </w:r>
      <w:r w:rsidR="00287801" w:rsidRPr="005A6E1A">
        <w:rPr>
          <w:rFonts w:asciiTheme="minorHAnsi" w:hAnsiTheme="minorHAnsi" w:cstheme="minorHAnsi"/>
        </w:rPr>
        <w:t xml:space="preserve"> organisations that rate their buildings to meet compliance. Therefore, monitoring improvements of voluntarily</w:t>
      </w:r>
      <w:r w:rsidR="00D54793" w:rsidRPr="005A6E1A">
        <w:rPr>
          <w:rFonts w:asciiTheme="minorHAnsi" w:hAnsiTheme="minorHAnsi" w:cstheme="minorHAnsi"/>
        </w:rPr>
        <w:t xml:space="preserve"> </w:t>
      </w:r>
      <w:r w:rsidR="00287801" w:rsidRPr="005A6E1A">
        <w:rPr>
          <w:rFonts w:asciiTheme="minorHAnsi" w:hAnsiTheme="minorHAnsi" w:cstheme="minorHAnsi"/>
        </w:rPr>
        <w:t>rated buildings would deliver results with a ‘self-selection’ bias due to a propensity for change and general interest in optimising energy use in their facilities.</w:t>
      </w:r>
    </w:p>
    <w:p w14:paraId="4B2F8D32" w14:textId="5A9F29A7" w:rsidR="00617A41" w:rsidRPr="005A6E1A" w:rsidRDefault="00617A41" w:rsidP="0044214C">
      <w:pPr>
        <w:pStyle w:val="BodyText"/>
        <w:rPr>
          <w:rFonts w:asciiTheme="minorHAnsi" w:hAnsiTheme="minorHAnsi" w:cstheme="minorHAnsi"/>
        </w:rPr>
      </w:pPr>
    </w:p>
    <w:p w14:paraId="5BDA276E" w14:textId="64990C4E" w:rsidR="00165962" w:rsidRPr="00F81ADB" w:rsidRDefault="00225DD8" w:rsidP="00214D42">
      <w:pPr>
        <w:pStyle w:val="Heading2"/>
        <w:rPr>
          <w:rFonts w:cstheme="minorHAnsi"/>
        </w:rPr>
      </w:pPr>
      <w:bookmarkStart w:id="224" w:name="_Toc154059383"/>
      <w:r w:rsidRPr="00F81ADB">
        <w:rPr>
          <w:rFonts w:cstheme="minorHAnsi"/>
        </w:rPr>
        <w:t xml:space="preserve">Overview of </w:t>
      </w:r>
      <w:r w:rsidR="006A29A8" w:rsidRPr="00F81ADB">
        <w:rPr>
          <w:rFonts w:cstheme="minorHAnsi"/>
        </w:rPr>
        <w:t>benefits</w:t>
      </w:r>
      <w:bookmarkEnd w:id="224"/>
    </w:p>
    <w:p w14:paraId="51C18E00" w14:textId="77777777" w:rsidR="007F469C" w:rsidRPr="00134C46" w:rsidRDefault="007F469C" w:rsidP="007F469C">
      <w:pPr>
        <w:pStyle w:val="Heading3"/>
        <w:rPr>
          <w:rFonts w:asciiTheme="minorHAnsi" w:hAnsiTheme="minorHAnsi" w:cstheme="minorHAnsi"/>
        </w:rPr>
      </w:pPr>
      <w:r w:rsidRPr="00134C46">
        <w:rPr>
          <w:rFonts w:asciiTheme="minorHAnsi" w:hAnsiTheme="minorHAnsi" w:cstheme="minorHAnsi"/>
        </w:rPr>
        <w:t>Energy savings (bill reductions)</w:t>
      </w:r>
    </w:p>
    <w:p w14:paraId="5EC18633" w14:textId="48D22E22" w:rsidR="007F469C" w:rsidRPr="00134C46" w:rsidRDefault="007F5255" w:rsidP="00407484">
      <w:pPr>
        <w:pStyle w:val="BodyText"/>
        <w:rPr>
          <w:rFonts w:asciiTheme="minorHAnsi" w:hAnsiTheme="minorHAnsi" w:cstheme="minorHAnsi"/>
        </w:rPr>
      </w:pPr>
      <w:r w:rsidRPr="00134C46">
        <w:rPr>
          <w:rFonts w:asciiTheme="minorHAnsi" w:hAnsiTheme="minorHAnsi" w:cstheme="minorHAnsi"/>
        </w:rPr>
        <w:t xml:space="preserve">Bill savings </w:t>
      </w:r>
      <w:r w:rsidR="00FA312D" w:rsidRPr="00134C46">
        <w:rPr>
          <w:rFonts w:asciiTheme="minorHAnsi" w:hAnsiTheme="minorHAnsi" w:cstheme="minorHAnsi"/>
        </w:rPr>
        <w:t xml:space="preserve">associated with reduced </w:t>
      </w:r>
      <w:r w:rsidR="006074ED" w:rsidRPr="00134C46">
        <w:rPr>
          <w:rFonts w:asciiTheme="minorHAnsi" w:hAnsiTheme="minorHAnsi" w:cstheme="minorHAnsi"/>
        </w:rPr>
        <w:t>energy consumption</w:t>
      </w:r>
      <w:r w:rsidRPr="00134C46">
        <w:rPr>
          <w:rFonts w:asciiTheme="minorHAnsi" w:hAnsiTheme="minorHAnsi" w:cstheme="minorHAnsi"/>
        </w:rPr>
        <w:t xml:space="preserve"> was one</w:t>
      </w:r>
      <w:r w:rsidR="00407484" w:rsidRPr="00134C46">
        <w:rPr>
          <w:rFonts w:asciiTheme="minorHAnsi" w:hAnsiTheme="minorHAnsi" w:cstheme="minorHAnsi"/>
        </w:rPr>
        <w:t xml:space="preserve"> of the key benefits explored across all polic</w:t>
      </w:r>
      <w:r w:rsidR="008A24B9" w:rsidRPr="00134C46">
        <w:rPr>
          <w:rFonts w:asciiTheme="minorHAnsi" w:hAnsiTheme="minorHAnsi" w:cstheme="minorHAnsi"/>
        </w:rPr>
        <w:t>y options</w:t>
      </w:r>
      <w:r w:rsidRPr="00134C46">
        <w:rPr>
          <w:rFonts w:asciiTheme="minorHAnsi" w:hAnsiTheme="minorHAnsi" w:cstheme="minorHAnsi"/>
        </w:rPr>
        <w:t>.</w:t>
      </w:r>
      <w:r w:rsidR="00913EED" w:rsidRPr="00134C46">
        <w:rPr>
          <w:rFonts w:asciiTheme="minorHAnsi" w:hAnsiTheme="minorHAnsi" w:cstheme="minorHAnsi"/>
        </w:rPr>
        <w:t xml:space="preserve"> </w:t>
      </w:r>
      <w:r w:rsidR="009A2101" w:rsidRPr="00134C46">
        <w:rPr>
          <w:rFonts w:asciiTheme="minorHAnsi" w:hAnsiTheme="minorHAnsi" w:cstheme="minorHAnsi"/>
        </w:rPr>
        <w:t xml:space="preserve">The policy options being considered can lead to </w:t>
      </w:r>
      <w:r w:rsidR="004A5740" w:rsidRPr="00134C46">
        <w:rPr>
          <w:rFonts w:asciiTheme="minorHAnsi" w:hAnsiTheme="minorHAnsi" w:cstheme="minorHAnsi"/>
        </w:rPr>
        <w:t>noticeable reduction in energy costs, empowering building owners and operators to make informed decisions that enhance energy efficiency and reduce consumption, ultimately resulting in financial benefits for stakeholders.</w:t>
      </w:r>
      <w:r w:rsidR="0092181D" w:rsidRPr="00134C46">
        <w:rPr>
          <w:rFonts w:asciiTheme="minorHAnsi" w:hAnsiTheme="minorHAnsi" w:cstheme="minorHAnsi"/>
        </w:rPr>
        <w:t xml:space="preserve"> </w:t>
      </w:r>
      <w:r w:rsidR="00A1360C" w:rsidRPr="00134C46">
        <w:rPr>
          <w:rFonts w:asciiTheme="minorHAnsi" w:hAnsiTheme="minorHAnsi" w:cstheme="minorHAnsi"/>
        </w:rPr>
        <w:t>Assum</w:t>
      </w:r>
      <w:r w:rsidR="00995602" w:rsidRPr="00134C46">
        <w:rPr>
          <w:rFonts w:asciiTheme="minorHAnsi" w:hAnsiTheme="minorHAnsi" w:cstheme="minorHAnsi"/>
        </w:rPr>
        <w:t>ptions included:</w:t>
      </w:r>
    </w:p>
    <w:p w14:paraId="782D7061" w14:textId="4531B024" w:rsidR="001249B4" w:rsidRPr="00134C46" w:rsidRDefault="001249B4" w:rsidP="00A253E6">
      <w:pPr>
        <w:pStyle w:val="BodyText"/>
        <w:numPr>
          <w:ilvl w:val="0"/>
          <w:numId w:val="52"/>
        </w:numPr>
        <w:rPr>
          <w:rFonts w:asciiTheme="minorHAnsi" w:hAnsiTheme="minorHAnsi" w:cstheme="minorHAnsi"/>
        </w:rPr>
      </w:pPr>
      <w:r w:rsidRPr="00134C46">
        <w:rPr>
          <w:rFonts w:asciiTheme="minorHAnsi" w:hAnsiTheme="minorHAnsi" w:cstheme="minorHAnsi"/>
        </w:rPr>
        <w:t xml:space="preserve">The quantity of energy reductions that occur from typical upgrades are based on </w:t>
      </w:r>
      <w:proofErr w:type="spellStart"/>
      <w:r w:rsidRPr="00134C46">
        <w:rPr>
          <w:rFonts w:asciiTheme="minorHAnsi" w:hAnsiTheme="minorHAnsi" w:cstheme="minorHAnsi"/>
          <w:i/>
        </w:rPr>
        <w:t>Rawlinsons</w:t>
      </w:r>
      <w:proofErr w:type="spellEnd"/>
      <w:r w:rsidRPr="00134C46">
        <w:rPr>
          <w:rFonts w:asciiTheme="minorHAnsi" w:hAnsiTheme="minorHAnsi" w:cstheme="minorHAnsi"/>
          <w:i/>
        </w:rPr>
        <w:t xml:space="preserve"> Australian Construction Handbook 2023</w:t>
      </w:r>
      <w:r w:rsidRPr="00134C46">
        <w:rPr>
          <w:rFonts w:asciiTheme="minorHAnsi" w:hAnsiTheme="minorHAnsi" w:cstheme="minorHAnsi"/>
        </w:rPr>
        <w:t xml:space="preserve"> data on energy savings for the Tailored sectoral disclosure policy, and the legislated energy efficiency requirements or respective NABERS star ratings for the </w:t>
      </w:r>
      <w:proofErr w:type="spellStart"/>
      <w:r w:rsidRPr="00134C46">
        <w:rPr>
          <w:rFonts w:asciiTheme="minorHAnsi" w:hAnsiTheme="minorHAnsi" w:cstheme="minorHAnsi"/>
        </w:rPr>
        <w:t>MEPS</w:t>
      </w:r>
      <w:proofErr w:type="spellEnd"/>
      <w:r w:rsidRPr="00134C46">
        <w:rPr>
          <w:rFonts w:asciiTheme="minorHAnsi" w:hAnsiTheme="minorHAnsi" w:cstheme="minorHAnsi"/>
        </w:rPr>
        <w:t xml:space="preserve"> policy.</w:t>
      </w:r>
    </w:p>
    <w:p w14:paraId="637CA8AB" w14:textId="3CBF9DF1" w:rsidR="00BF0DC5" w:rsidRPr="00134C46" w:rsidRDefault="00BF0DC5" w:rsidP="00A253E6">
      <w:pPr>
        <w:pStyle w:val="BodyText"/>
        <w:numPr>
          <w:ilvl w:val="0"/>
          <w:numId w:val="52"/>
        </w:numPr>
        <w:rPr>
          <w:rFonts w:asciiTheme="minorHAnsi" w:hAnsiTheme="minorHAnsi" w:cstheme="minorHAnsi"/>
        </w:rPr>
      </w:pPr>
      <w:r w:rsidRPr="00134C46">
        <w:rPr>
          <w:rFonts w:asciiTheme="minorHAnsi" w:hAnsiTheme="minorHAnsi" w:cstheme="minorHAnsi"/>
        </w:rPr>
        <w:t xml:space="preserve">The cost disparity for energy expenditure across diverse building stock types is evident. To enhance the clarity and interpretability of the findings, we have undertaken an estimation of potential cost savings, which are presented as a proportion relative to prevailing energy expenses, derived from an average retail price benchmark. </w:t>
      </w:r>
      <w:r w:rsidR="00D6446D" w:rsidRPr="00134C46">
        <w:rPr>
          <w:rFonts w:asciiTheme="minorHAnsi" w:hAnsiTheme="minorHAnsi" w:cstheme="minorHAnsi"/>
        </w:rPr>
        <w:t xml:space="preserve">The </w:t>
      </w:r>
      <w:r w:rsidR="00E675DD" w:rsidRPr="00134C46">
        <w:rPr>
          <w:rFonts w:asciiTheme="minorHAnsi" w:hAnsiTheme="minorHAnsi" w:cstheme="minorHAnsi"/>
        </w:rPr>
        <w:t xml:space="preserve">electricity price used </w:t>
      </w:r>
      <w:r w:rsidR="00B7355C" w:rsidRPr="00134C46">
        <w:rPr>
          <w:rFonts w:asciiTheme="minorHAnsi" w:hAnsiTheme="minorHAnsi" w:cstheme="minorHAnsi"/>
        </w:rPr>
        <w:t>was based on the ACCC June 2023</w:t>
      </w:r>
      <w:r w:rsidR="00D6446D" w:rsidRPr="00134C46">
        <w:rPr>
          <w:rFonts w:asciiTheme="minorHAnsi" w:hAnsiTheme="minorHAnsi" w:cstheme="minorHAnsi"/>
        </w:rPr>
        <w:t xml:space="preserve"> </w:t>
      </w:r>
      <w:r w:rsidR="00CF44F8" w:rsidRPr="00134C46">
        <w:rPr>
          <w:rFonts w:asciiTheme="minorHAnsi" w:hAnsiTheme="minorHAnsi" w:cstheme="minorHAnsi"/>
        </w:rPr>
        <w:t>Inquiry into the NEM report</w:t>
      </w:r>
      <w:r w:rsidR="00C328C3" w:rsidRPr="00134C46">
        <w:rPr>
          <w:rFonts w:asciiTheme="minorHAnsi" w:hAnsiTheme="minorHAnsi" w:cstheme="minorHAnsi"/>
        </w:rPr>
        <w:t xml:space="preserve"> and represents the </w:t>
      </w:r>
      <w:r w:rsidR="00654F23" w:rsidRPr="00134C46">
        <w:rPr>
          <w:rFonts w:asciiTheme="minorHAnsi" w:hAnsiTheme="minorHAnsi" w:cstheme="minorHAnsi"/>
        </w:rPr>
        <w:t xml:space="preserve">NEM average small business electricity price </w:t>
      </w:r>
      <w:r w:rsidR="00E851B0" w:rsidRPr="00134C46">
        <w:rPr>
          <w:rFonts w:asciiTheme="minorHAnsi" w:hAnsiTheme="minorHAnsi" w:cstheme="minorHAnsi"/>
        </w:rPr>
        <w:t xml:space="preserve">between Q4 2021 to Q3 2022 of </w:t>
      </w:r>
      <w:r w:rsidR="00016A0B" w:rsidRPr="00134C46">
        <w:rPr>
          <w:rFonts w:asciiTheme="minorHAnsi" w:hAnsiTheme="minorHAnsi" w:cstheme="minorHAnsi"/>
        </w:rPr>
        <w:t>32.6c/kWh</w:t>
      </w:r>
      <w:r w:rsidR="00D73075" w:rsidRPr="00134C46">
        <w:rPr>
          <w:rFonts w:asciiTheme="minorHAnsi" w:hAnsiTheme="minorHAnsi" w:cstheme="minorHAnsi"/>
        </w:rPr>
        <w:t>. Given the uncertainty of future electricity prices</w:t>
      </w:r>
      <w:r w:rsidR="003F6E3C" w:rsidRPr="00134C46">
        <w:rPr>
          <w:rFonts w:asciiTheme="minorHAnsi" w:hAnsiTheme="minorHAnsi" w:cstheme="minorHAnsi"/>
        </w:rPr>
        <w:t>, this price was kept constant over the</w:t>
      </w:r>
      <w:r w:rsidR="00D73075" w:rsidRPr="00134C46">
        <w:rPr>
          <w:rFonts w:asciiTheme="minorHAnsi" w:hAnsiTheme="minorHAnsi" w:cstheme="minorHAnsi"/>
        </w:rPr>
        <w:t xml:space="preserve"> </w:t>
      </w:r>
      <w:r w:rsidR="009746D6" w:rsidRPr="00134C46">
        <w:rPr>
          <w:rFonts w:asciiTheme="minorHAnsi" w:hAnsiTheme="minorHAnsi" w:cstheme="minorHAnsi"/>
        </w:rPr>
        <w:t>feasibility study period.</w:t>
      </w:r>
      <w:r w:rsidR="00C328C3" w:rsidRPr="00134C46">
        <w:rPr>
          <w:rFonts w:asciiTheme="minorHAnsi" w:hAnsiTheme="minorHAnsi" w:cstheme="minorHAnsi"/>
        </w:rPr>
        <w:t xml:space="preserve"> </w:t>
      </w:r>
    </w:p>
    <w:p w14:paraId="23F66AA3" w14:textId="6294BC0B" w:rsidR="00CB7F34" w:rsidRPr="00134C46" w:rsidRDefault="00CB7F34" w:rsidP="00A253E6">
      <w:pPr>
        <w:pStyle w:val="BodyText"/>
        <w:numPr>
          <w:ilvl w:val="0"/>
          <w:numId w:val="52"/>
        </w:numPr>
        <w:rPr>
          <w:rFonts w:asciiTheme="minorHAnsi" w:hAnsiTheme="minorHAnsi" w:cstheme="minorHAnsi"/>
        </w:rPr>
      </w:pPr>
      <w:r w:rsidRPr="00134C46">
        <w:rPr>
          <w:rFonts w:asciiTheme="minorHAnsi" w:hAnsiTheme="minorHAnsi" w:cstheme="minorHAnsi"/>
        </w:rPr>
        <w:t>Our analysis accommodates a staggered building stock upgrade process, allocating a timeframe of 5 years for the complete reali</w:t>
      </w:r>
      <w:r w:rsidR="00194326" w:rsidRPr="00134C46">
        <w:rPr>
          <w:rFonts w:asciiTheme="minorHAnsi" w:hAnsiTheme="minorHAnsi" w:cstheme="minorHAnsi"/>
        </w:rPr>
        <w:t>s</w:t>
      </w:r>
      <w:r w:rsidRPr="00134C46">
        <w:rPr>
          <w:rFonts w:asciiTheme="minorHAnsi" w:hAnsiTheme="minorHAnsi" w:cstheme="minorHAnsi"/>
        </w:rPr>
        <w:t>ation of any policy reform's cumulative impact on the anticipated reduction in cost savings. It is worth noting that these upgrades are projected to transpire in a linear progression throughout the designated 5-year span, contributing to the comprehensiveness and accuracy of our assessments.</w:t>
      </w:r>
    </w:p>
    <w:p w14:paraId="4F4F1442" w14:textId="7EB4BE66" w:rsidR="006A29A8" w:rsidRPr="00134C46" w:rsidRDefault="003A0BE2" w:rsidP="009C51A3">
      <w:pPr>
        <w:pStyle w:val="Heading3"/>
        <w:rPr>
          <w:rFonts w:asciiTheme="minorHAnsi" w:hAnsiTheme="minorHAnsi" w:cstheme="minorHAnsi"/>
        </w:rPr>
      </w:pPr>
      <w:r w:rsidRPr="00134C46">
        <w:rPr>
          <w:rFonts w:asciiTheme="minorHAnsi" w:hAnsiTheme="minorHAnsi" w:cstheme="minorHAnsi"/>
        </w:rPr>
        <w:t>Emissions reductions</w:t>
      </w:r>
    </w:p>
    <w:p w14:paraId="44165B0F" w14:textId="4552BEE0" w:rsidR="006A6608" w:rsidRPr="00134C46" w:rsidRDefault="003222AC" w:rsidP="006A6608">
      <w:pPr>
        <w:pStyle w:val="BodyText"/>
        <w:rPr>
          <w:rFonts w:asciiTheme="minorHAnsi" w:hAnsiTheme="minorHAnsi" w:cstheme="minorHAnsi"/>
        </w:rPr>
      </w:pPr>
      <w:r w:rsidRPr="00134C46">
        <w:rPr>
          <w:rFonts w:asciiTheme="minorHAnsi" w:hAnsiTheme="minorHAnsi" w:cstheme="minorHAnsi"/>
        </w:rPr>
        <w:t>Emissi</w:t>
      </w:r>
      <w:r w:rsidR="00297F34" w:rsidRPr="00134C46">
        <w:rPr>
          <w:rFonts w:asciiTheme="minorHAnsi" w:hAnsiTheme="minorHAnsi" w:cstheme="minorHAnsi"/>
        </w:rPr>
        <w:t xml:space="preserve">ons reductions </w:t>
      </w:r>
      <w:r w:rsidR="00B71C1F" w:rsidRPr="00134C46">
        <w:rPr>
          <w:rFonts w:asciiTheme="minorHAnsi" w:hAnsiTheme="minorHAnsi" w:cstheme="minorHAnsi"/>
        </w:rPr>
        <w:t xml:space="preserve">from reduced energy consumption is another significant </w:t>
      </w:r>
      <w:r w:rsidR="004F6C51" w:rsidRPr="00134C46">
        <w:rPr>
          <w:rFonts w:asciiTheme="minorHAnsi" w:hAnsiTheme="minorHAnsi" w:cstheme="minorHAnsi"/>
        </w:rPr>
        <w:t xml:space="preserve">benefit </w:t>
      </w:r>
      <w:r w:rsidR="00B71C1F" w:rsidRPr="00134C46">
        <w:rPr>
          <w:rFonts w:asciiTheme="minorHAnsi" w:hAnsiTheme="minorHAnsi" w:cstheme="minorHAnsi"/>
        </w:rPr>
        <w:t xml:space="preserve">of </w:t>
      </w:r>
      <w:r w:rsidR="004F6C51" w:rsidRPr="00134C46">
        <w:rPr>
          <w:rFonts w:asciiTheme="minorHAnsi" w:hAnsiTheme="minorHAnsi" w:cstheme="minorHAnsi"/>
        </w:rPr>
        <w:t xml:space="preserve">the policies being explored. To account for this benefit in the </w:t>
      </w:r>
      <w:r w:rsidR="00CC3511" w:rsidRPr="00134C46">
        <w:rPr>
          <w:rFonts w:asciiTheme="minorHAnsi" w:hAnsiTheme="minorHAnsi" w:cstheme="minorHAnsi"/>
        </w:rPr>
        <w:t xml:space="preserve">feasibility </w:t>
      </w:r>
      <w:r w:rsidR="00755218" w:rsidRPr="00134C46">
        <w:rPr>
          <w:rFonts w:asciiTheme="minorHAnsi" w:hAnsiTheme="minorHAnsi" w:cstheme="minorHAnsi"/>
        </w:rPr>
        <w:t>assessment</w:t>
      </w:r>
      <w:r w:rsidR="00604740" w:rsidRPr="00134C46">
        <w:rPr>
          <w:rFonts w:asciiTheme="minorHAnsi" w:hAnsiTheme="minorHAnsi" w:cstheme="minorHAnsi"/>
        </w:rPr>
        <w:t xml:space="preserve"> utilised a </w:t>
      </w:r>
      <w:r w:rsidR="0086246E" w:rsidRPr="00134C46">
        <w:rPr>
          <w:rFonts w:asciiTheme="minorHAnsi" w:hAnsiTheme="minorHAnsi" w:cstheme="minorHAnsi"/>
        </w:rPr>
        <w:t>social cost of carbon</w:t>
      </w:r>
      <w:r w:rsidR="00604740" w:rsidRPr="00134C46">
        <w:rPr>
          <w:rFonts w:asciiTheme="minorHAnsi" w:hAnsiTheme="minorHAnsi" w:cstheme="minorHAnsi"/>
        </w:rPr>
        <w:t xml:space="preserve"> to </w:t>
      </w:r>
      <w:r w:rsidR="00195A3A" w:rsidRPr="00134C46">
        <w:rPr>
          <w:rFonts w:asciiTheme="minorHAnsi" w:hAnsiTheme="minorHAnsi" w:cstheme="minorHAnsi"/>
        </w:rPr>
        <w:t xml:space="preserve">value the reduction in emissions resulting </w:t>
      </w:r>
      <w:r w:rsidR="00CA7887" w:rsidRPr="00134C46">
        <w:rPr>
          <w:rFonts w:asciiTheme="minorHAnsi" w:hAnsiTheme="minorHAnsi" w:cstheme="minorHAnsi"/>
        </w:rPr>
        <w:t xml:space="preserve">from the policy. Specifically, the </w:t>
      </w:r>
      <w:r w:rsidR="0057237D" w:rsidRPr="00134C46">
        <w:rPr>
          <w:rFonts w:asciiTheme="minorHAnsi" w:hAnsiTheme="minorHAnsi" w:cstheme="minorHAnsi"/>
        </w:rPr>
        <w:t>assessment assumed</w:t>
      </w:r>
      <w:r w:rsidR="00E16FAB" w:rsidRPr="00134C46">
        <w:rPr>
          <w:rFonts w:asciiTheme="minorHAnsi" w:hAnsiTheme="minorHAnsi" w:cstheme="minorHAnsi"/>
        </w:rPr>
        <w:t>:</w:t>
      </w:r>
    </w:p>
    <w:p w14:paraId="58DF99B2" w14:textId="00E42FB2" w:rsidR="00E16FAB" w:rsidRPr="00134C46" w:rsidRDefault="00081014" w:rsidP="00A253E6">
      <w:pPr>
        <w:pStyle w:val="BodyText"/>
        <w:numPr>
          <w:ilvl w:val="0"/>
          <w:numId w:val="53"/>
        </w:numPr>
        <w:rPr>
          <w:rFonts w:asciiTheme="minorHAnsi" w:hAnsiTheme="minorHAnsi" w:cstheme="minorHAnsi"/>
        </w:rPr>
      </w:pPr>
      <w:r w:rsidRPr="00134C46">
        <w:rPr>
          <w:rFonts w:asciiTheme="minorHAnsi" w:hAnsiTheme="minorHAnsi" w:cstheme="minorHAnsi"/>
        </w:rPr>
        <w:t xml:space="preserve">The quantity of emissions reductions that occur </w:t>
      </w:r>
      <w:r w:rsidR="00D1230C" w:rsidRPr="00134C46">
        <w:rPr>
          <w:rFonts w:asciiTheme="minorHAnsi" w:hAnsiTheme="minorHAnsi" w:cstheme="minorHAnsi"/>
        </w:rPr>
        <w:t>from</w:t>
      </w:r>
      <w:r w:rsidR="006F3E07" w:rsidRPr="00134C46">
        <w:rPr>
          <w:rFonts w:asciiTheme="minorHAnsi" w:hAnsiTheme="minorHAnsi" w:cstheme="minorHAnsi"/>
        </w:rPr>
        <w:t xml:space="preserve"> </w:t>
      </w:r>
      <w:r w:rsidR="00296DAD" w:rsidRPr="00134C46">
        <w:rPr>
          <w:rFonts w:asciiTheme="minorHAnsi" w:hAnsiTheme="minorHAnsi" w:cstheme="minorHAnsi"/>
        </w:rPr>
        <w:t xml:space="preserve">typical upgrades are based on </w:t>
      </w:r>
      <w:proofErr w:type="spellStart"/>
      <w:r w:rsidR="006513D9" w:rsidRPr="00134C46">
        <w:rPr>
          <w:rFonts w:asciiTheme="minorHAnsi" w:hAnsiTheme="minorHAnsi" w:cstheme="minorHAnsi"/>
        </w:rPr>
        <w:t>R</w:t>
      </w:r>
      <w:r w:rsidR="006513D9" w:rsidRPr="00134C46">
        <w:rPr>
          <w:rFonts w:asciiTheme="minorHAnsi" w:hAnsiTheme="minorHAnsi" w:cstheme="minorHAnsi"/>
          <w:i/>
        </w:rPr>
        <w:t>awlinsons</w:t>
      </w:r>
      <w:proofErr w:type="spellEnd"/>
      <w:r w:rsidR="006513D9" w:rsidRPr="00134C46">
        <w:rPr>
          <w:rFonts w:asciiTheme="minorHAnsi" w:hAnsiTheme="minorHAnsi" w:cstheme="minorHAnsi"/>
          <w:i/>
        </w:rPr>
        <w:t xml:space="preserve"> Australian Construction Handbook 2023</w:t>
      </w:r>
      <w:r w:rsidR="006513D9" w:rsidRPr="00134C46">
        <w:rPr>
          <w:rFonts w:asciiTheme="minorHAnsi" w:hAnsiTheme="minorHAnsi" w:cstheme="minorHAnsi"/>
        </w:rPr>
        <w:t xml:space="preserve"> data on </w:t>
      </w:r>
      <w:r w:rsidR="00296DAD" w:rsidRPr="00134C46">
        <w:rPr>
          <w:rFonts w:asciiTheme="minorHAnsi" w:hAnsiTheme="minorHAnsi" w:cstheme="minorHAnsi"/>
        </w:rPr>
        <w:t xml:space="preserve">energy </w:t>
      </w:r>
      <w:r w:rsidR="006513D9" w:rsidRPr="00134C46">
        <w:rPr>
          <w:rFonts w:asciiTheme="minorHAnsi" w:hAnsiTheme="minorHAnsi" w:cstheme="minorHAnsi"/>
        </w:rPr>
        <w:t>savings</w:t>
      </w:r>
      <w:r w:rsidR="00FA400F" w:rsidRPr="00134C46">
        <w:rPr>
          <w:rFonts w:asciiTheme="minorHAnsi" w:hAnsiTheme="minorHAnsi" w:cstheme="minorHAnsi"/>
        </w:rPr>
        <w:t xml:space="preserve"> for the Tailored sectoral disclosure policy, and the </w:t>
      </w:r>
      <w:r w:rsidR="00B536E2" w:rsidRPr="00134C46">
        <w:rPr>
          <w:rFonts w:asciiTheme="minorHAnsi" w:hAnsiTheme="minorHAnsi" w:cstheme="minorHAnsi"/>
        </w:rPr>
        <w:t xml:space="preserve">legislated energy efficiency </w:t>
      </w:r>
      <w:r w:rsidR="00BE1755" w:rsidRPr="00134C46">
        <w:rPr>
          <w:rFonts w:asciiTheme="minorHAnsi" w:hAnsiTheme="minorHAnsi" w:cstheme="minorHAnsi"/>
        </w:rPr>
        <w:t xml:space="preserve">requirements or respective NABERS star ratings for the </w:t>
      </w:r>
      <w:proofErr w:type="spellStart"/>
      <w:r w:rsidR="00BE1755" w:rsidRPr="00134C46">
        <w:rPr>
          <w:rFonts w:asciiTheme="minorHAnsi" w:hAnsiTheme="minorHAnsi" w:cstheme="minorHAnsi"/>
        </w:rPr>
        <w:t>MEPS</w:t>
      </w:r>
      <w:proofErr w:type="spellEnd"/>
      <w:r w:rsidR="00BE1755" w:rsidRPr="00134C46">
        <w:rPr>
          <w:rFonts w:asciiTheme="minorHAnsi" w:hAnsiTheme="minorHAnsi" w:cstheme="minorHAnsi"/>
        </w:rPr>
        <w:t xml:space="preserve"> policy.</w:t>
      </w:r>
    </w:p>
    <w:p w14:paraId="3764E023" w14:textId="11057F31" w:rsidR="0036103D" w:rsidRPr="00134C46" w:rsidRDefault="00776BF5" w:rsidP="00A253E6">
      <w:pPr>
        <w:pStyle w:val="BodyText"/>
        <w:numPr>
          <w:ilvl w:val="0"/>
          <w:numId w:val="53"/>
        </w:numPr>
        <w:rPr>
          <w:rFonts w:asciiTheme="minorHAnsi" w:hAnsiTheme="minorHAnsi" w:cstheme="minorHAnsi"/>
        </w:rPr>
      </w:pPr>
      <w:r w:rsidRPr="00134C46">
        <w:rPr>
          <w:rFonts w:asciiTheme="minorHAnsi" w:hAnsiTheme="minorHAnsi" w:cstheme="minorHAnsi"/>
        </w:rPr>
        <w:t xml:space="preserve">A NEM average </w:t>
      </w:r>
      <w:r w:rsidR="00044007" w:rsidRPr="00134C46">
        <w:rPr>
          <w:rFonts w:asciiTheme="minorHAnsi" w:hAnsiTheme="minorHAnsi" w:cstheme="minorHAnsi"/>
        </w:rPr>
        <w:t xml:space="preserve">grid emissions intensity was used to </w:t>
      </w:r>
      <w:r w:rsidR="00063EE6" w:rsidRPr="00134C46">
        <w:rPr>
          <w:rFonts w:asciiTheme="minorHAnsi" w:hAnsiTheme="minorHAnsi" w:cstheme="minorHAnsi"/>
        </w:rPr>
        <w:t xml:space="preserve">convert </w:t>
      </w:r>
      <w:r w:rsidR="00963C72" w:rsidRPr="00134C46">
        <w:rPr>
          <w:rFonts w:asciiTheme="minorHAnsi" w:hAnsiTheme="minorHAnsi" w:cstheme="minorHAnsi"/>
        </w:rPr>
        <w:t>reductions in energy consumption</w:t>
      </w:r>
      <w:r w:rsidR="00DA1BA7" w:rsidRPr="00134C46">
        <w:rPr>
          <w:rFonts w:asciiTheme="minorHAnsi" w:hAnsiTheme="minorHAnsi" w:cstheme="minorHAnsi"/>
        </w:rPr>
        <w:t xml:space="preserve"> into an emissions equivalent. The </w:t>
      </w:r>
      <w:r w:rsidR="002D0226" w:rsidRPr="00134C46">
        <w:rPr>
          <w:rFonts w:asciiTheme="minorHAnsi" w:hAnsiTheme="minorHAnsi" w:cstheme="minorHAnsi"/>
        </w:rPr>
        <w:t>Clean Energy Regulator</w:t>
      </w:r>
      <w:r w:rsidR="00C1738E" w:rsidRPr="00134C46">
        <w:rPr>
          <w:rFonts w:asciiTheme="minorHAnsi" w:hAnsiTheme="minorHAnsi" w:cstheme="minorHAnsi"/>
        </w:rPr>
        <w:t xml:space="preserve"> </w:t>
      </w:r>
      <w:r w:rsidR="00DE3298" w:rsidRPr="00134C46">
        <w:rPr>
          <w:rFonts w:asciiTheme="minorHAnsi" w:hAnsiTheme="minorHAnsi" w:cstheme="minorHAnsi"/>
        </w:rPr>
        <w:t xml:space="preserve">NEM average emissions intensity estimates </w:t>
      </w:r>
      <w:r w:rsidR="00B31F5B" w:rsidRPr="00134C46">
        <w:rPr>
          <w:rFonts w:asciiTheme="minorHAnsi" w:hAnsiTheme="minorHAnsi" w:cstheme="minorHAnsi"/>
        </w:rPr>
        <w:t>for 2022 of 0.62</w:t>
      </w:r>
      <w:r w:rsidR="00A34894" w:rsidRPr="00134C46">
        <w:rPr>
          <w:rFonts w:asciiTheme="minorHAnsi" w:hAnsiTheme="minorHAnsi" w:cstheme="minorHAnsi"/>
        </w:rPr>
        <w:t xml:space="preserve"> was used and</w:t>
      </w:r>
      <w:r w:rsidR="00B31F5B" w:rsidRPr="00134C46">
        <w:rPr>
          <w:rFonts w:asciiTheme="minorHAnsi" w:hAnsiTheme="minorHAnsi" w:cstheme="minorHAnsi"/>
        </w:rPr>
        <w:t xml:space="preserve"> reduced at a rate of 2 per cent per annum </w:t>
      </w:r>
      <w:r w:rsidR="00185C93" w:rsidRPr="00134C46">
        <w:rPr>
          <w:rFonts w:asciiTheme="minorHAnsi" w:hAnsiTheme="minorHAnsi" w:cstheme="minorHAnsi"/>
        </w:rPr>
        <w:t>over the assessment period</w:t>
      </w:r>
      <w:r w:rsidR="00DF6A12" w:rsidRPr="00134C46">
        <w:rPr>
          <w:rFonts w:asciiTheme="minorHAnsi" w:hAnsiTheme="minorHAnsi" w:cstheme="minorHAnsi"/>
        </w:rPr>
        <w:t xml:space="preserve">, to represent </w:t>
      </w:r>
      <w:r w:rsidR="00F87FD4" w:rsidRPr="00134C46">
        <w:rPr>
          <w:rFonts w:asciiTheme="minorHAnsi" w:hAnsiTheme="minorHAnsi" w:cstheme="minorHAnsi"/>
        </w:rPr>
        <w:t>the broader decarbonisation of the grid.</w:t>
      </w:r>
      <w:r w:rsidR="00A64AAB" w:rsidRPr="00134C46">
        <w:rPr>
          <w:rFonts w:asciiTheme="minorHAnsi" w:hAnsiTheme="minorHAnsi" w:cstheme="minorHAnsi"/>
        </w:rPr>
        <w:t xml:space="preserve"> This estimate of </w:t>
      </w:r>
      <w:r w:rsidR="00D74409" w:rsidRPr="00134C46">
        <w:rPr>
          <w:rFonts w:asciiTheme="minorHAnsi" w:hAnsiTheme="minorHAnsi" w:cstheme="minorHAnsi"/>
        </w:rPr>
        <w:t xml:space="preserve">reduction in emissions intensity is conservative and in line with recent trends, however this is not aligned with the Governments 82 per cent renewable target, which would decrease the </w:t>
      </w:r>
      <w:r w:rsidR="00B526CD" w:rsidRPr="00134C46">
        <w:rPr>
          <w:rFonts w:asciiTheme="minorHAnsi" w:hAnsiTheme="minorHAnsi" w:cstheme="minorHAnsi"/>
        </w:rPr>
        <w:t>relative emissions reductions resulting from energy efficiency improvements.</w:t>
      </w:r>
      <w:r w:rsidR="00F87FD4" w:rsidRPr="00134C46">
        <w:rPr>
          <w:rFonts w:asciiTheme="minorHAnsi" w:hAnsiTheme="minorHAnsi" w:cstheme="minorHAnsi"/>
        </w:rPr>
        <w:t xml:space="preserve"> The average of this emissions intensity projection of 0.54 was then used to </w:t>
      </w:r>
      <w:r w:rsidR="00C16559" w:rsidRPr="00134C46">
        <w:rPr>
          <w:rFonts w:asciiTheme="minorHAnsi" w:hAnsiTheme="minorHAnsi" w:cstheme="minorHAnsi"/>
        </w:rPr>
        <w:t xml:space="preserve">estimate </w:t>
      </w:r>
      <w:r w:rsidR="003B0C82" w:rsidRPr="00134C46">
        <w:rPr>
          <w:rFonts w:asciiTheme="minorHAnsi" w:hAnsiTheme="minorHAnsi" w:cstheme="minorHAnsi"/>
        </w:rPr>
        <w:t xml:space="preserve">emissions </w:t>
      </w:r>
      <w:r w:rsidR="0036103D" w:rsidRPr="00134C46">
        <w:rPr>
          <w:rFonts w:asciiTheme="minorHAnsi" w:hAnsiTheme="minorHAnsi" w:cstheme="minorHAnsi"/>
        </w:rPr>
        <w:t xml:space="preserve">for the feasibility assessment. </w:t>
      </w:r>
      <w:r w:rsidR="00F87FD4" w:rsidRPr="00134C46">
        <w:rPr>
          <w:rFonts w:asciiTheme="minorHAnsi" w:hAnsiTheme="minorHAnsi" w:cstheme="minorHAnsi"/>
        </w:rPr>
        <w:t xml:space="preserve"> </w:t>
      </w:r>
    </w:p>
    <w:p w14:paraId="537F7A11" w14:textId="2139E57B" w:rsidR="00FE522D" w:rsidRPr="00EB6857" w:rsidRDefault="004063FF" w:rsidP="00A253E6">
      <w:pPr>
        <w:pStyle w:val="BodyText"/>
        <w:numPr>
          <w:ilvl w:val="0"/>
          <w:numId w:val="53"/>
        </w:numPr>
        <w:rPr>
          <w:rFonts w:asciiTheme="minorHAnsi" w:hAnsiTheme="minorHAnsi" w:cstheme="minorHAnsi"/>
        </w:rPr>
      </w:pPr>
      <w:r w:rsidRPr="00134C46">
        <w:rPr>
          <w:rFonts w:asciiTheme="minorHAnsi" w:hAnsiTheme="minorHAnsi" w:cstheme="minorHAnsi"/>
        </w:rPr>
        <w:t>Once the emissions</w:t>
      </w:r>
      <w:r w:rsidR="00456BBF" w:rsidRPr="00134C46">
        <w:rPr>
          <w:rFonts w:asciiTheme="minorHAnsi" w:hAnsiTheme="minorHAnsi" w:cstheme="minorHAnsi"/>
        </w:rPr>
        <w:t xml:space="preserve"> reductions were quantified, </w:t>
      </w:r>
      <w:r w:rsidR="00A05D2C" w:rsidRPr="00134C46">
        <w:rPr>
          <w:rFonts w:asciiTheme="minorHAnsi" w:hAnsiTheme="minorHAnsi" w:cstheme="minorHAnsi"/>
        </w:rPr>
        <w:t xml:space="preserve">these were valued at </w:t>
      </w:r>
      <w:r w:rsidR="00456BBF" w:rsidRPr="00134C46">
        <w:rPr>
          <w:rFonts w:asciiTheme="minorHAnsi" w:hAnsiTheme="minorHAnsi" w:cstheme="minorHAnsi"/>
        </w:rPr>
        <w:t>$280</w:t>
      </w:r>
      <w:r w:rsidR="006669D5" w:rsidRPr="00134C46">
        <w:rPr>
          <w:rFonts w:asciiTheme="minorHAnsi" w:hAnsiTheme="minorHAnsi" w:cstheme="minorHAnsi"/>
        </w:rPr>
        <w:t xml:space="preserve"> per tonne. </w:t>
      </w:r>
      <w:r w:rsidR="006B260D" w:rsidRPr="00134C46">
        <w:rPr>
          <w:rFonts w:asciiTheme="minorHAnsi" w:hAnsiTheme="minorHAnsi" w:cstheme="minorHAnsi"/>
        </w:rPr>
        <w:t xml:space="preserve">This </w:t>
      </w:r>
      <w:r w:rsidR="004E62B9" w:rsidRPr="00134C46">
        <w:rPr>
          <w:rFonts w:asciiTheme="minorHAnsi" w:hAnsiTheme="minorHAnsi" w:cstheme="minorHAnsi"/>
        </w:rPr>
        <w:t xml:space="preserve">estimate </w:t>
      </w:r>
      <w:r w:rsidR="00BC670F" w:rsidRPr="00134C46">
        <w:rPr>
          <w:rFonts w:asciiTheme="minorHAnsi" w:hAnsiTheme="minorHAnsi" w:cstheme="minorHAnsi"/>
        </w:rPr>
        <w:t>is derived from a social cost of carbon estimate made by the US EPA</w:t>
      </w:r>
      <w:r w:rsidR="00543C0A" w:rsidRPr="00134C46">
        <w:rPr>
          <w:rFonts w:asciiTheme="minorHAnsi" w:hAnsiTheme="minorHAnsi" w:cstheme="minorHAnsi"/>
        </w:rPr>
        <w:t>.</w:t>
      </w:r>
      <w:r w:rsidR="00723239">
        <w:rPr>
          <w:rFonts w:ascii="ZWAdobeF" w:hAnsi="ZWAdobeF" w:cs="ZWAdobeF"/>
          <w:color w:val="auto"/>
          <w:sz w:val="2"/>
          <w:szCs w:val="2"/>
        </w:rPr>
        <w:t>157F</w:t>
      </w:r>
      <w:r w:rsidR="00EE36E3">
        <w:rPr>
          <w:rFonts w:ascii="ZWAdobeF" w:hAnsi="ZWAdobeF" w:cs="ZWAdobeF"/>
          <w:color w:val="auto"/>
          <w:sz w:val="2"/>
          <w:szCs w:val="2"/>
        </w:rPr>
        <w:t>158F</w:t>
      </w:r>
      <w:r w:rsidR="00122C48">
        <w:rPr>
          <w:rFonts w:ascii="ZWAdobeF" w:hAnsi="ZWAdobeF" w:cs="ZWAdobeF"/>
          <w:color w:val="auto"/>
          <w:sz w:val="2"/>
          <w:szCs w:val="2"/>
        </w:rPr>
        <w:t>158F</w:t>
      </w:r>
      <w:r w:rsidR="00F73A23">
        <w:rPr>
          <w:rFonts w:ascii="ZWAdobeF" w:hAnsi="ZWAdobeF" w:cs="ZWAdobeF"/>
          <w:color w:val="auto"/>
          <w:sz w:val="2"/>
          <w:szCs w:val="2"/>
        </w:rPr>
        <w:t>158F</w:t>
      </w:r>
      <w:r w:rsidR="00626378">
        <w:rPr>
          <w:rFonts w:ascii="ZWAdobeF" w:hAnsi="ZWAdobeF" w:cs="ZWAdobeF"/>
          <w:color w:val="auto"/>
          <w:sz w:val="2"/>
          <w:szCs w:val="2"/>
        </w:rPr>
        <w:t>158F</w:t>
      </w:r>
      <w:r w:rsidR="00413811">
        <w:rPr>
          <w:rFonts w:ascii="ZWAdobeF" w:hAnsi="ZWAdobeF" w:cs="ZWAdobeF"/>
          <w:color w:val="auto"/>
          <w:sz w:val="2"/>
          <w:szCs w:val="2"/>
        </w:rPr>
        <w:t>158F</w:t>
      </w:r>
      <w:r w:rsidR="002C327C">
        <w:rPr>
          <w:rFonts w:ascii="ZWAdobeF" w:hAnsi="ZWAdobeF" w:cs="ZWAdobeF"/>
          <w:color w:val="auto"/>
          <w:sz w:val="2"/>
          <w:szCs w:val="2"/>
        </w:rPr>
        <w:t>158F</w:t>
      </w:r>
      <w:r w:rsidR="00D24A06">
        <w:rPr>
          <w:rFonts w:ascii="ZWAdobeF" w:hAnsi="ZWAdobeF" w:cs="ZWAdobeF"/>
          <w:color w:val="auto"/>
          <w:sz w:val="2"/>
          <w:szCs w:val="2"/>
        </w:rPr>
        <w:t>158F</w:t>
      </w:r>
      <w:r w:rsidR="00543C0A" w:rsidRPr="00EB6857">
        <w:rPr>
          <w:rStyle w:val="FootnoteReference"/>
          <w:rFonts w:asciiTheme="minorHAnsi" w:hAnsiTheme="minorHAnsi" w:cstheme="minorHAnsi"/>
        </w:rPr>
        <w:footnoteReference w:id="160"/>
      </w:r>
      <w:r w:rsidR="00BC670F" w:rsidRPr="00EB6857">
        <w:rPr>
          <w:rFonts w:asciiTheme="minorHAnsi" w:hAnsiTheme="minorHAnsi" w:cstheme="minorHAnsi"/>
        </w:rPr>
        <w:t xml:space="preserve"> </w:t>
      </w:r>
      <w:r w:rsidR="004E62B9" w:rsidRPr="00EB6857">
        <w:rPr>
          <w:rFonts w:asciiTheme="minorHAnsi" w:hAnsiTheme="minorHAnsi" w:cstheme="minorHAnsi"/>
        </w:rPr>
        <w:t xml:space="preserve"> </w:t>
      </w:r>
      <w:r w:rsidR="00C3293A" w:rsidRPr="00EB6857">
        <w:rPr>
          <w:rFonts w:asciiTheme="minorHAnsi" w:hAnsiTheme="minorHAnsi" w:cstheme="minorHAnsi"/>
        </w:rPr>
        <w:t>DCCEEW advised KPMG to adopt this cost of carbon to align with other work currently being done by the Department on possible reforms of the National Construction Code.</w:t>
      </w:r>
    </w:p>
    <w:p w14:paraId="6134E4B7" w14:textId="38DDF034" w:rsidR="00B94AEA" w:rsidRPr="00EB6857" w:rsidRDefault="007D44A9" w:rsidP="00A253E6">
      <w:pPr>
        <w:pStyle w:val="BodyText"/>
        <w:numPr>
          <w:ilvl w:val="0"/>
          <w:numId w:val="53"/>
        </w:numPr>
        <w:rPr>
          <w:rFonts w:asciiTheme="minorHAnsi" w:hAnsiTheme="minorHAnsi" w:cstheme="minorHAnsi"/>
        </w:rPr>
      </w:pPr>
      <w:proofErr w:type="gramStart"/>
      <w:r w:rsidRPr="00EB6857">
        <w:rPr>
          <w:rFonts w:asciiTheme="minorHAnsi" w:hAnsiTheme="minorHAnsi" w:cstheme="minorHAnsi"/>
        </w:rPr>
        <w:lastRenderedPageBreak/>
        <w:t>Similar to</w:t>
      </w:r>
      <w:proofErr w:type="gramEnd"/>
      <w:r w:rsidRPr="00EB6857">
        <w:rPr>
          <w:rFonts w:asciiTheme="minorHAnsi" w:hAnsiTheme="minorHAnsi" w:cstheme="minorHAnsi"/>
        </w:rPr>
        <w:t xml:space="preserve"> the approach for bill savings, </w:t>
      </w:r>
      <w:r w:rsidR="00BB7045" w:rsidRPr="00EB6857">
        <w:rPr>
          <w:rFonts w:asciiTheme="minorHAnsi" w:hAnsiTheme="minorHAnsi" w:cstheme="minorHAnsi"/>
        </w:rPr>
        <w:t>our methodology incorporates a 5-year timeframe to accommodate the gradual implementation of building stock upgrades, allowing for the complete realisation of any policy reform's impact on the projected emissions reduction. It is important to note that these upgrades are projected to unfold in a linear fashion throughout this 5-year period, ensuring a comprehensive and balanced assessment of the reform's long-term environmental benefits.</w:t>
      </w:r>
    </w:p>
    <w:p w14:paraId="159D0ED2" w14:textId="76621A09" w:rsidR="00C308F3" w:rsidRPr="00EB6857" w:rsidRDefault="000C3FF3" w:rsidP="00A253E6">
      <w:pPr>
        <w:pStyle w:val="BodyText"/>
        <w:numPr>
          <w:ilvl w:val="0"/>
          <w:numId w:val="53"/>
        </w:numPr>
        <w:rPr>
          <w:rFonts w:asciiTheme="minorHAnsi" w:hAnsiTheme="minorHAnsi" w:cstheme="minorHAnsi"/>
        </w:rPr>
      </w:pPr>
      <w:r w:rsidRPr="00EB6857">
        <w:rPr>
          <w:rFonts w:asciiTheme="minorHAnsi" w:hAnsiTheme="minorHAnsi" w:cstheme="minorHAnsi"/>
        </w:rPr>
        <w:t xml:space="preserve">The grid emissions intensity </w:t>
      </w:r>
      <w:r w:rsidR="00B66E53" w:rsidRPr="00EB6857">
        <w:rPr>
          <w:rFonts w:asciiTheme="minorHAnsi" w:hAnsiTheme="minorHAnsi" w:cstheme="minorHAnsi"/>
        </w:rPr>
        <w:t xml:space="preserve">has been </w:t>
      </w:r>
      <w:r w:rsidR="00130BB0" w:rsidRPr="00EB6857">
        <w:rPr>
          <w:rFonts w:asciiTheme="minorHAnsi" w:hAnsiTheme="minorHAnsi" w:cstheme="minorHAnsi"/>
        </w:rPr>
        <w:t>extracted from the NGA Factors</w:t>
      </w:r>
      <w:r w:rsidR="00904EA1" w:rsidRPr="00EB6857">
        <w:rPr>
          <w:rFonts w:asciiTheme="minorHAnsi" w:hAnsiTheme="minorHAnsi" w:cstheme="minorHAnsi"/>
        </w:rPr>
        <w:t xml:space="preserve"> 2023</w:t>
      </w:r>
      <w:r w:rsidR="00130BB0" w:rsidRPr="00EB6857">
        <w:rPr>
          <w:rFonts w:asciiTheme="minorHAnsi" w:hAnsiTheme="minorHAnsi" w:cstheme="minorHAnsi"/>
        </w:rPr>
        <w:t xml:space="preserve"> </w:t>
      </w:r>
      <w:r w:rsidR="000E4ABB" w:rsidRPr="00EB6857">
        <w:rPr>
          <w:rFonts w:asciiTheme="minorHAnsi" w:hAnsiTheme="minorHAnsi" w:cstheme="minorHAnsi"/>
        </w:rPr>
        <w:t xml:space="preserve">and includes scope 2 &amp; 3 emissions </w:t>
      </w:r>
      <w:r w:rsidRPr="00EB6857">
        <w:rPr>
          <w:rFonts w:asciiTheme="minorHAnsi" w:hAnsiTheme="minorHAnsi" w:cstheme="minorHAnsi"/>
        </w:rPr>
        <w:t>of 0.</w:t>
      </w:r>
      <w:r w:rsidR="000E4ABB" w:rsidRPr="00EB6857">
        <w:rPr>
          <w:rFonts w:asciiTheme="minorHAnsi" w:hAnsiTheme="minorHAnsi" w:cstheme="minorHAnsi"/>
        </w:rPr>
        <w:t>73</w:t>
      </w:r>
      <w:r w:rsidRPr="00EB6857">
        <w:rPr>
          <w:rFonts w:asciiTheme="minorHAnsi" w:hAnsiTheme="minorHAnsi" w:cstheme="minorHAnsi"/>
        </w:rPr>
        <w:t xml:space="preserve"> tCO2e/MWh. This metric provides a benchmark for assessing environmental impact</w:t>
      </w:r>
      <w:r w:rsidR="00D2790F" w:rsidRPr="00EB6857">
        <w:rPr>
          <w:rFonts w:asciiTheme="minorHAnsi" w:hAnsiTheme="minorHAnsi" w:cstheme="minorHAnsi"/>
        </w:rPr>
        <w:t>s</w:t>
      </w:r>
      <w:r w:rsidRPr="00EB6857">
        <w:rPr>
          <w:rFonts w:asciiTheme="minorHAnsi" w:hAnsiTheme="minorHAnsi" w:cstheme="minorHAnsi"/>
        </w:rPr>
        <w:t xml:space="preserve"> of policy </w:t>
      </w:r>
      <w:r w:rsidR="00071419" w:rsidRPr="00EB6857">
        <w:rPr>
          <w:rFonts w:asciiTheme="minorHAnsi" w:hAnsiTheme="minorHAnsi" w:cstheme="minorHAnsi"/>
        </w:rPr>
        <w:t>options</w:t>
      </w:r>
      <w:r w:rsidRPr="00EB6857">
        <w:rPr>
          <w:rFonts w:asciiTheme="minorHAnsi" w:hAnsiTheme="minorHAnsi" w:cstheme="minorHAnsi"/>
        </w:rPr>
        <w:t xml:space="preserve"> associated with electricity generation.</w:t>
      </w:r>
    </w:p>
    <w:p w14:paraId="19554417" w14:textId="27A1F5CE" w:rsidR="00CF1C45" w:rsidRPr="00EB6857" w:rsidRDefault="00CF1C45" w:rsidP="00EC052E">
      <w:pPr>
        <w:pStyle w:val="Heading3"/>
        <w:rPr>
          <w:rFonts w:asciiTheme="minorHAnsi" w:hAnsiTheme="minorHAnsi" w:cstheme="minorHAnsi"/>
        </w:rPr>
      </w:pPr>
      <w:r w:rsidRPr="00EB6857">
        <w:rPr>
          <w:rFonts w:asciiTheme="minorHAnsi" w:hAnsiTheme="minorHAnsi" w:cstheme="minorHAnsi"/>
        </w:rPr>
        <w:t xml:space="preserve">Reduced </w:t>
      </w:r>
      <w:r w:rsidR="000611DC" w:rsidRPr="00EB6857">
        <w:rPr>
          <w:rFonts w:asciiTheme="minorHAnsi" w:hAnsiTheme="minorHAnsi" w:cstheme="minorHAnsi"/>
        </w:rPr>
        <w:t>o</w:t>
      </w:r>
      <w:r w:rsidRPr="00EB6857">
        <w:rPr>
          <w:rFonts w:asciiTheme="minorHAnsi" w:hAnsiTheme="minorHAnsi" w:cstheme="minorHAnsi"/>
        </w:rPr>
        <w:t>perations and maintenance</w:t>
      </w:r>
    </w:p>
    <w:p w14:paraId="776A5338" w14:textId="22688958" w:rsidR="00B305DE" w:rsidRPr="00EB6857" w:rsidRDefault="00B305DE" w:rsidP="00B305DE">
      <w:pPr>
        <w:pStyle w:val="BodyText"/>
        <w:rPr>
          <w:rFonts w:asciiTheme="minorHAnsi" w:hAnsiTheme="minorHAnsi" w:cstheme="minorHAnsi"/>
        </w:rPr>
      </w:pPr>
      <w:r w:rsidRPr="00EB6857">
        <w:rPr>
          <w:rFonts w:asciiTheme="minorHAnsi" w:hAnsiTheme="minorHAnsi" w:cstheme="minorHAnsi"/>
        </w:rPr>
        <w:t>Improved energy disclosure in commercial buildings leads to reduced operation and maintenance costs, hence benefi</w:t>
      </w:r>
      <w:r w:rsidR="004C3F08" w:rsidRPr="00EB6857">
        <w:rPr>
          <w:rFonts w:asciiTheme="minorHAnsi" w:hAnsiTheme="minorHAnsi" w:cstheme="minorHAnsi"/>
        </w:rPr>
        <w:t>tting building operators</w:t>
      </w:r>
      <w:r w:rsidRPr="00EB6857">
        <w:rPr>
          <w:rFonts w:asciiTheme="minorHAnsi" w:hAnsiTheme="minorHAnsi" w:cstheme="minorHAnsi"/>
        </w:rPr>
        <w:t>. By providing clear insights into energy efficiency, building operators can identify and address inefficiencies more effectively, resulting in lower operational expenses and longer equipment lifespans, ultimately contributing to substantial cost savings.</w:t>
      </w:r>
    </w:p>
    <w:p w14:paraId="2391CA51" w14:textId="41CD0162" w:rsidR="00DF44BB" w:rsidRPr="00EB6857" w:rsidRDefault="006A3C88" w:rsidP="00165962">
      <w:pPr>
        <w:pStyle w:val="BodyText"/>
        <w:rPr>
          <w:rFonts w:asciiTheme="minorHAnsi" w:hAnsiTheme="minorHAnsi" w:cstheme="minorHAnsi"/>
        </w:rPr>
      </w:pPr>
      <w:r w:rsidRPr="00EB6857">
        <w:rPr>
          <w:rFonts w:asciiTheme="minorHAnsi" w:hAnsiTheme="minorHAnsi" w:cstheme="minorHAnsi"/>
        </w:rPr>
        <w:t>Costs for reduced maintenance ha</w:t>
      </w:r>
      <w:r w:rsidR="00C26BEA" w:rsidRPr="00EB6857">
        <w:rPr>
          <w:rFonts w:asciiTheme="minorHAnsi" w:hAnsiTheme="minorHAnsi" w:cstheme="minorHAnsi"/>
        </w:rPr>
        <w:t>ve</w:t>
      </w:r>
      <w:r w:rsidR="002F78C6" w:rsidRPr="00EB6857">
        <w:rPr>
          <w:rFonts w:asciiTheme="minorHAnsi" w:hAnsiTheme="minorHAnsi" w:cstheme="minorHAnsi"/>
        </w:rPr>
        <w:t xml:space="preserve"> not been </w:t>
      </w:r>
      <w:r w:rsidR="00974FA1">
        <w:rPr>
          <w:rFonts w:asciiTheme="minorHAnsi" w:hAnsiTheme="minorHAnsi" w:cstheme="minorHAnsi"/>
        </w:rPr>
        <w:t>quantified</w:t>
      </w:r>
      <w:r w:rsidR="002B467E" w:rsidRPr="00EB6857">
        <w:rPr>
          <w:rFonts w:asciiTheme="minorHAnsi" w:hAnsiTheme="minorHAnsi" w:cstheme="minorHAnsi"/>
        </w:rPr>
        <w:t xml:space="preserve"> into the </w:t>
      </w:r>
      <w:r w:rsidR="00C114E1" w:rsidRPr="00EB6857">
        <w:rPr>
          <w:rFonts w:asciiTheme="minorHAnsi" w:hAnsiTheme="minorHAnsi" w:cstheme="minorHAnsi"/>
        </w:rPr>
        <w:t xml:space="preserve">overall </w:t>
      </w:r>
      <w:r w:rsidR="002B467E" w:rsidRPr="00EB6857">
        <w:rPr>
          <w:rFonts w:asciiTheme="minorHAnsi" w:hAnsiTheme="minorHAnsi" w:cstheme="minorHAnsi"/>
        </w:rPr>
        <w:t xml:space="preserve">cost savings as </w:t>
      </w:r>
      <w:r w:rsidR="00A07EF1" w:rsidRPr="00EB6857">
        <w:rPr>
          <w:rFonts w:asciiTheme="minorHAnsi" w:hAnsiTheme="minorHAnsi" w:cstheme="minorHAnsi"/>
        </w:rPr>
        <w:t xml:space="preserve">too many variables </w:t>
      </w:r>
      <w:r w:rsidR="00C114E1" w:rsidRPr="00EB6857">
        <w:rPr>
          <w:rFonts w:asciiTheme="minorHAnsi" w:hAnsiTheme="minorHAnsi" w:cstheme="minorHAnsi"/>
        </w:rPr>
        <w:t>and unknowns</w:t>
      </w:r>
      <w:r w:rsidR="00E134A3" w:rsidRPr="00EB6857">
        <w:rPr>
          <w:rFonts w:asciiTheme="minorHAnsi" w:hAnsiTheme="minorHAnsi" w:cstheme="minorHAnsi"/>
        </w:rPr>
        <w:t xml:space="preserve"> </w:t>
      </w:r>
      <w:r w:rsidR="00EA6C77" w:rsidRPr="00EB6857">
        <w:rPr>
          <w:rFonts w:asciiTheme="minorHAnsi" w:hAnsiTheme="minorHAnsi" w:cstheme="minorHAnsi"/>
        </w:rPr>
        <w:t>are involved</w:t>
      </w:r>
      <w:r w:rsidR="00C72BC4" w:rsidRPr="00EB6857">
        <w:rPr>
          <w:rFonts w:asciiTheme="minorHAnsi" w:hAnsiTheme="minorHAnsi" w:cstheme="minorHAnsi"/>
        </w:rPr>
        <w:t xml:space="preserve">, and </w:t>
      </w:r>
      <w:r w:rsidR="00E134A3" w:rsidRPr="00EB6857">
        <w:rPr>
          <w:rFonts w:asciiTheme="minorHAnsi" w:hAnsiTheme="minorHAnsi" w:cstheme="minorHAnsi"/>
        </w:rPr>
        <w:t xml:space="preserve">while building owners </w:t>
      </w:r>
      <w:r w:rsidR="0047351B" w:rsidRPr="00EB6857">
        <w:rPr>
          <w:rFonts w:asciiTheme="minorHAnsi" w:hAnsiTheme="minorHAnsi" w:cstheme="minorHAnsi"/>
        </w:rPr>
        <w:t xml:space="preserve">are likely to </w:t>
      </w:r>
      <w:r w:rsidR="00E134A3" w:rsidRPr="00EB6857">
        <w:rPr>
          <w:rFonts w:asciiTheme="minorHAnsi" w:hAnsiTheme="minorHAnsi" w:cstheme="minorHAnsi"/>
        </w:rPr>
        <w:t>benefit</w:t>
      </w:r>
      <w:r w:rsidR="00E26DBA" w:rsidRPr="00EB6857">
        <w:rPr>
          <w:rFonts w:asciiTheme="minorHAnsi" w:hAnsiTheme="minorHAnsi" w:cstheme="minorHAnsi"/>
        </w:rPr>
        <w:t>,</w:t>
      </w:r>
      <w:r w:rsidR="00E134A3" w:rsidRPr="00EB6857">
        <w:rPr>
          <w:rFonts w:asciiTheme="minorHAnsi" w:hAnsiTheme="minorHAnsi" w:cstheme="minorHAnsi"/>
        </w:rPr>
        <w:t xml:space="preserve"> </w:t>
      </w:r>
      <w:r w:rsidR="00C36BF0" w:rsidRPr="00EB6857">
        <w:rPr>
          <w:rFonts w:asciiTheme="minorHAnsi" w:hAnsiTheme="minorHAnsi" w:cstheme="minorHAnsi"/>
        </w:rPr>
        <w:t xml:space="preserve">quantifying </w:t>
      </w:r>
      <w:r w:rsidR="008C2792" w:rsidRPr="00EB6857">
        <w:rPr>
          <w:rFonts w:asciiTheme="minorHAnsi" w:hAnsiTheme="minorHAnsi" w:cstheme="minorHAnsi"/>
        </w:rPr>
        <w:t>the</w:t>
      </w:r>
      <w:r w:rsidR="0011565D" w:rsidRPr="00EB6857">
        <w:rPr>
          <w:rFonts w:asciiTheme="minorHAnsi" w:hAnsiTheme="minorHAnsi" w:cstheme="minorHAnsi"/>
        </w:rPr>
        <w:t xml:space="preserve"> savings </w:t>
      </w:r>
      <w:r w:rsidR="00C21C96" w:rsidRPr="00EB6857">
        <w:rPr>
          <w:rFonts w:asciiTheme="minorHAnsi" w:hAnsiTheme="minorHAnsi" w:cstheme="minorHAnsi"/>
        </w:rPr>
        <w:t xml:space="preserve">can only </w:t>
      </w:r>
      <w:r w:rsidR="00F54D07" w:rsidRPr="00EB6857">
        <w:rPr>
          <w:rFonts w:asciiTheme="minorHAnsi" w:hAnsiTheme="minorHAnsi" w:cstheme="minorHAnsi"/>
        </w:rPr>
        <w:t xml:space="preserve">be done on </w:t>
      </w:r>
      <w:r w:rsidR="00E26DBA" w:rsidRPr="00EB6857">
        <w:rPr>
          <w:rFonts w:asciiTheme="minorHAnsi" w:hAnsiTheme="minorHAnsi" w:cstheme="minorHAnsi"/>
        </w:rPr>
        <w:t xml:space="preserve">a </w:t>
      </w:r>
      <w:r w:rsidR="00F54D07" w:rsidRPr="00EB6857">
        <w:rPr>
          <w:rFonts w:asciiTheme="minorHAnsi" w:hAnsiTheme="minorHAnsi" w:cstheme="minorHAnsi"/>
        </w:rPr>
        <w:t xml:space="preserve">case-by-case basis and </w:t>
      </w:r>
      <w:r w:rsidR="009025DF" w:rsidRPr="00EB6857">
        <w:rPr>
          <w:rFonts w:asciiTheme="minorHAnsi" w:hAnsiTheme="minorHAnsi" w:cstheme="minorHAnsi"/>
        </w:rPr>
        <w:t xml:space="preserve">would be insignificant to the larger expenses </w:t>
      </w:r>
      <w:r w:rsidR="00F54D07" w:rsidRPr="00EB6857">
        <w:rPr>
          <w:rFonts w:asciiTheme="minorHAnsi" w:hAnsiTheme="minorHAnsi" w:cstheme="minorHAnsi"/>
        </w:rPr>
        <w:t xml:space="preserve">and savings </w:t>
      </w:r>
      <w:r w:rsidR="009025DF" w:rsidRPr="00EB6857">
        <w:rPr>
          <w:rFonts w:asciiTheme="minorHAnsi" w:hAnsiTheme="minorHAnsi" w:cstheme="minorHAnsi"/>
        </w:rPr>
        <w:t>involved</w:t>
      </w:r>
      <w:r w:rsidR="008829C1" w:rsidRPr="00EB6857">
        <w:rPr>
          <w:rFonts w:asciiTheme="minorHAnsi" w:hAnsiTheme="minorHAnsi" w:cstheme="minorHAnsi"/>
        </w:rPr>
        <w:t>.</w:t>
      </w:r>
    </w:p>
    <w:p w14:paraId="3CDA87CC" w14:textId="6936DEC0" w:rsidR="00596E9B" w:rsidRPr="005A6E1A" w:rsidRDefault="00596E9B" w:rsidP="00596E9B">
      <w:pPr>
        <w:pStyle w:val="Heading3"/>
        <w:rPr>
          <w:rFonts w:asciiTheme="minorHAnsi" w:hAnsiTheme="minorHAnsi" w:cstheme="minorHAnsi"/>
        </w:rPr>
      </w:pPr>
      <w:r w:rsidRPr="00EB6857">
        <w:rPr>
          <w:rFonts w:asciiTheme="minorHAnsi" w:hAnsiTheme="minorHAnsi" w:cstheme="minorHAnsi"/>
        </w:rPr>
        <w:t xml:space="preserve">Reduced structural electricity network, system service, and wholesale </w:t>
      </w:r>
      <w:proofErr w:type="gramStart"/>
      <w:r w:rsidRPr="00EB6857">
        <w:rPr>
          <w:rFonts w:asciiTheme="minorHAnsi" w:hAnsiTheme="minorHAnsi" w:cstheme="minorHAnsi"/>
        </w:rPr>
        <w:t>costs</w:t>
      </w:r>
      <w:proofErr w:type="gramEnd"/>
    </w:p>
    <w:p w14:paraId="01854EF9" w14:textId="52F458F3" w:rsidR="00BB7DCC" w:rsidRPr="005A6E1A" w:rsidRDefault="00974FA1" w:rsidP="00BB7DCC">
      <w:pPr>
        <w:pStyle w:val="BodyText"/>
        <w:rPr>
          <w:rFonts w:asciiTheme="minorHAnsi" w:hAnsiTheme="minorHAnsi" w:cstheme="minorHAnsi"/>
        </w:rPr>
      </w:pPr>
      <w:r>
        <w:rPr>
          <w:rFonts w:asciiTheme="minorHAnsi" w:hAnsiTheme="minorHAnsi" w:cstheme="minorHAnsi"/>
        </w:rPr>
        <w:t xml:space="preserve">Increasing the levels of energy efficiency will also have positive benefits of reducing structural load on electricity networks, the quantity of system services required and general wholesale electricity costs. </w:t>
      </w:r>
      <w:r w:rsidR="00134C46">
        <w:rPr>
          <w:rFonts w:asciiTheme="minorHAnsi" w:hAnsiTheme="minorHAnsi" w:cstheme="minorHAnsi"/>
        </w:rPr>
        <w:t>Ho</w:t>
      </w:r>
      <w:r w:rsidR="00504070">
        <w:rPr>
          <w:rFonts w:asciiTheme="minorHAnsi" w:hAnsiTheme="minorHAnsi" w:cstheme="minorHAnsi"/>
        </w:rPr>
        <w:t>wever</w:t>
      </w:r>
      <w:r w:rsidR="00290108">
        <w:rPr>
          <w:rFonts w:asciiTheme="minorHAnsi" w:hAnsiTheme="minorHAnsi" w:cstheme="minorHAnsi"/>
        </w:rPr>
        <w:t>,</w:t>
      </w:r>
      <w:r w:rsidR="00504070">
        <w:rPr>
          <w:rFonts w:asciiTheme="minorHAnsi" w:hAnsiTheme="minorHAnsi" w:cstheme="minorHAnsi"/>
        </w:rPr>
        <w:t xml:space="preserve"> given the complexities of the </w:t>
      </w:r>
      <w:r w:rsidR="005807D6">
        <w:rPr>
          <w:rFonts w:asciiTheme="minorHAnsi" w:hAnsiTheme="minorHAnsi" w:cstheme="minorHAnsi"/>
        </w:rPr>
        <w:t xml:space="preserve">broader </w:t>
      </w:r>
      <w:r w:rsidR="00836044">
        <w:rPr>
          <w:rFonts w:asciiTheme="minorHAnsi" w:hAnsiTheme="minorHAnsi" w:cstheme="minorHAnsi"/>
        </w:rPr>
        <w:t xml:space="preserve">dynamic electricity </w:t>
      </w:r>
      <w:r w:rsidR="00290108">
        <w:rPr>
          <w:rFonts w:asciiTheme="minorHAnsi" w:hAnsiTheme="minorHAnsi" w:cstheme="minorHAnsi"/>
        </w:rPr>
        <w:t xml:space="preserve">market system, the scale of these benefits </w:t>
      </w:r>
      <w:r w:rsidR="001B0E59">
        <w:rPr>
          <w:rFonts w:asciiTheme="minorHAnsi" w:hAnsiTheme="minorHAnsi" w:cstheme="minorHAnsi"/>
        </w:rPr>
        <w:t xml:space="preserve">was </w:t>
      </w:r>
      <w:r w:rsidR="00290108">
        <w:rPr>
          <w:rFonts w:asciiTheme="minorHAnsi" w:hAnsiTheme="minorHAnsi" w:cstheme="minorHAnsi"/>
        </w:rPr>
        <w:t>not quantified.</w:t>
      </w:r>
      <w:r w:rsidR="00A318CB">
        <w:rPr>
          <w:rFonts w:asciiTheme="minorHAnsi" w:hAnsiTheme="minorHAnsi" w:cstheme="minorHAnsi"/>
        </w:rPr>
        <w:t xml:space="preserve"> Additionally</w:t>
      </w:r>
      <w:r w:rsidR="00D421BF">
        <w:rPr>
          <w:rFonts w:asciiTheme="minorHAnsi" w:hAnsiTheme="minorHAnsi" w:cstheme="minorHAnsi"/>
        </w:rPr>
        <w:t xml:space="preserve">, as building owners and operators are considering efficiency measures, they may also explore options around electrification which could result in increased overall energy </w:t>
      </w:r>
      <w:proofErr w:type="gramStart"/>
      <w:r w:rsidR="00D421BF">
        <w:rPr>
          <w:rFonts w:asciiTheme="minorHAnsi" w:hAnsiTheme="minorHAnsi" w:cstheme="minorHAnsi"/>
        </w:rPr>
        <w:t>consumption</w:t>
      </w:r>
      <w:proofErr w:type="gramEnd"/>
    </w:p>
    <w:p w14:paraId="7C10D171" w14:textId="0A42811B" w:rsidR="006A29A8" w:rsidRPr="00F81ADB" w:rsidRDefault="006A29A8" w:rsidP="00214D42">
      <w:pPr>
        <w:pStyle w:val="Heading2"/>
        <w:rPr>
          <w:rFonts w:cstheme="minorHAnsi"/>
        </w:rPr>
      </w:pPr>
      <w:bookmarkStart w:id="225" w:name="_Toc154059384"/>
      <w:r w:rsidRPr="00F81ADB">
        <w:rPr>
          <w:rFonts w:cstheme="minorHAnsi"/>
        </w:rPr>
        <w:t>Overview of costs</w:t>
      </w:r>
      <w:bookmarkEnd w:id="225"/>
    </w:p>
    <w:p w14:paraId="3956DC59" w14:textId="31A90C72" w:rsidR="005B5575" w:rsidRPr="00EB6857" w:rsidRDefault="009C60D4" w:rsidP="009C60D4">
      <w:pPr>
        <w:pStyle w:val="Heading3"/>
        <w:rPr>
          <w:rFonts w:asciiTheme="minorHAnsi" w:hAnsiTheme="minorHAnsi" w:cstheme="minorHAnsi"/>
        </w:rPr>
      </w:pPr>
      <w:bookmarkStart w:id="226" w:name="_Ref146277484"/>
      <w:r w:rsidRPr="00EB6857">
        <w:rPr>
          <w:rFonts w:asciiTheme="minorHAnsi" w:hAnsiTheme="minorHAnsi" w:cstheme="minorHAnsi"/>
        </w:rPr>
        <w:t>Cost of upgrades</w:t>
      </w:r>
      <w:bookmarkEnd w:id="226"/>
    </w:p>
    <w:p w14:paraId="3522575A" w14:textId="46451614" w:rsidR="00267ADE" w:rsidRPr="00EB6857" w:rsidRDefault="00CF62E0" w:rsidP="00130E8A">
      <w:pPr>
        <w:pStyle w:val="BodyText"/>
        <w:rPr>
          <w:rFonts w:asciiTheme="minorHAnsi" w:hAnsiTheme="minorHAnsi" w:cstheme="minorHAnsi"/>
        </w:rPr>
      </w:pPr>
      <w:r w:rsidRPr="00EB6857">
        <w:rPr>
          <w:rFonts w:asciiTheme="minorHAnsi" w:hAnsiTheme="minorHAnsi" w:cstheme="minorHAnsi"/>
        </w:rPr>
        <w:t>The cost</w:t>
      </w:r>
      <w:r w:rsidR="00130E8A" w:rsidRPr="00EB6857">
        <w:rPr>
          <w:rFonts w:asciiTheme="minorHAnsi" w:hAnsiTheme="minorHAnsi" w:cstheme="minorHAnsi"/>
        </w:rPr>
        <w:t xml:space="preserve"> of </w:t>
      </w:r>
      <w:r w:rsidRPr="00EB6857">
        <w:rPr>
          <w:rFonts w:asciiTheme="minorHAnsi" w:hAnsiTheme="minorHAnsi" w:cstheme="minorHAnsi"/>
        </w:rPr>
        <w:t>a</w:t>
      </w:r>
      <w:r w:rsidR="00DF04EE" w:rsidRPr="00EB6857">
        <w:rPr>
          <w:rFonts w:asciiTheme="minorHAnsi" w:hAnsiTheme="minorHAnsi" w:cstheme="minorHAnsi"/>
        </w:rPr>
        <w:t>sset upgrades</w:t>
      </w:r>
      <w:r w:rsidR="00794C7F" w:rsidRPr="00EB6857">
        <w:rPr>
          <w:rFonts w:asciiTheme="minorHAnsi" w:hAnsiTheme="minorHAnsi" w:cstheme="minorHAnsi"/>
        </w:rPr>
        <w:t xml:space="preserve"> </w:t>
      </w:r>
      <w:r w:rsidR="00133583">
        <w:rPr>
          <w:rFonts w:asciiTheme="minorHAnsi" w:hAnsiTheme="minorHAnsi" w:cstheme="minorHAnsi"/>
        </w:rPr>
        <w:t>was</w:t>
      </w:r>
      <w:r w:rsidR="00133583" w:rsidRPr="00EB6857">
        <w:rPr>
          <w:rFonts w:asciiTheme="minorHAnsi" w:hAnsiTheme="minorHAnsi" w:cstheme="minorHAnsi"/>
        </w:rPr>
        <w:t xml:space="preserve"> </w:t>
      </w:r>
      <w:r w:rsidR="00130E8A" w:rsidRPr="00EB6857">
        <w:rPr>
          <w:rFonts w:asciiTheme="minorHAnsi" w:hAnsiTheme="minorHAnsi" w:cstheme="minorHAnsi"/>
        </w:rPr>
        <w:t xml:space="preserve">based on a combination of experience delivering </w:t>
      </w:r>
      <w:r w:rsidR="00BB007E" w:rsidRPr="00EB6857">
        <w:rPr>
          <w:rFonts w:asciiTheme="minorHAnsi" w:hAnsiTheme="minorHAnsi" w:cstheme="minorHAnsi"/>
        </w:rPr>
        <w:t>energy efficient upgrades, NABERS impro</w:t>
      </w:r>
      <w:r w:rsidR="009F16F2" w:rsidRPr="00EB6857">
        <w:rPr>
          <w:rFonts w:asciiTheme="minorHAnsi" w:hAnsiTheme="minorHAnsi" w:cstheme="minorHAnsi"/>
        </w:rPr>
        <w:t xml:space="preserve">vement plans and </w:t>
      </w:r>
      <w:r w:rsidR="00BB007E" w:rsidRPr="00EB6857">
        <w:rPr>
          <w:rFonts w:asciiTheme="minorHAnsi" w:hAnsiTheme="minorHAnsi" w:cstheme="minorHAnsi"/>
        </w:rPr>
        <w:t xml:space="preserve">business </w:t>
      </w:r>
      <w:r w:rsidR="009C44D5" w:rsidRPr="00EB6857">
        <w:rPr>
          <w:rFonts w:asciiTheme="minorHAnsi" w:hAnsiTheme="minorHAnsi" w:cstheme="minorHAnsi"/>
        </w:rPr>
        <w:t>case</w:t>
      </w:r>
      <w:r w:rsidR="009F16F2" w:rsidRPr="00EB6857">
        <w:rPr>
          <w:rFonts w:asciiTheme="minorHAnsi" w:hAnsiTheme="minorHAnsi" w:cstheme="minorHAnsi"/>
        </w:rPr>
        <w:t xml:space="preserve"> feasibi</w:t>
      </w:r>
      <w:r w:rsidR="00950BF4" w:rsidRPr="00EB6857">
        <w:rPr>
          <w:rFonts w:asciiTheme="minorHAnsi" w:hAnsiTheme="minorHAnsi" w:cstheme="minorHAnsi"/>
        </w:rPr>
        <w:t xml:space="preserve">lity studies for major </w:t>
      </w:r>
      <w:r w:rsidR="009C44D5" w:rsidRPr="00EB6857">
        <w:rPr>
          <w:rFonts w:asciiTheme="minorHAnsi" w:hAnsiTheme="minorHAnsi" w:cstheme="minorHAnsi"/>
        </w:rPr>
        <w:t xml:space="preserve">and minor capital </w:t>
      </w:r>
      <w:r w:rsidR="00950BF4" w:rsidRPr="00EB6857">
        <w:rPr>
          <w:rFonts w:asciiTheme="minorHAnsi" w:hAnsiTheme="minorHAnsi" w:cstheme="minorHAnsi"/>
        </w:rPr>
        <w:t xml:space="preserve">works </w:t>
      </w:r>
      <w:r w:rsidR="009C44D5" w:rsidRPr="00EB6857">
        <w:rPr>
          <w:rFonts w:asciiTheme="minorHAnsi" w:hAnsiTheme="minorHAnsi" w:cstheme="minorHAnsi"/>
        </w:rPr>
        <w:t>projects in</w:t>
      </w:r>
      <w:r w:rsidR="00950BF4" w:rsidRPr="00EB6857">
        <w:rPr>
          <w:rFonts w:asciiTheme="minorHAnsi" w:hAnsiTheme="minorHAnsi" w:cstheme="minorHAnsi"/>
        </w:rPr>
        <w:t xml:space="preserve"> </w:t>
      </w:r>
      <w:r w:rsidR="00642D7C" w:rsidRPr="00EB6857">
        <w:rPr>
          <w:rFonts w:asciiTheme="minorHAnsi" w:hAnsiTheme="minorHAnsi" w:cstheme="minorHAnsi"/>
        </w:rPr>
        <w:t xml:space="preserve">office </w:t>
      </w:r>
      <w:r w:rsidR="00950BF4" w:rsidRPr="00EB6857">
        <w:rPr>
          <w:rFonts w:asciiTheme="minorHAnsi" w:hAnsiTheme="minorHAnsi" w:cstheme="minorHAnsi"/>
        </w:rPr>
        <w:t xml:space="preserve">base </w:t>
      </w:r>
      <w:r w:rsidR="009C44D5" w:rsidRPr="00EB6857">
        <w:rPr>
          <w:rFonts w:asciiTheme="minorHAnsi" w:hAnsiTheme="minorHAnsi" w:cstheme="minorHAnsi"/>
        </w:rPr>
        <w:t>buildings and tenancies</w:t>
      </w:r>
      <w:r w:rsidR="00CB7E64" w:rsidRPr="00EB6857">
        <w:rPr>
          <w:rFonts w:asciiTheme="minorHAnsi" w:hAnsiTheme="minorHAnsi" w:cstheme="minorHAnsi"/>
        </w:rPr>
        <w:t xml:space="preserve">, </w:t>
      </w:r>
      <w:r w:rsidR="009C44D5" w:rsidRPr="00EB6857">
        <w:rPr>
          <w:rFonts w:asciiTheme="minorHAnsi" w:hAnsiTheme="minorHAnsi" w:cstheme="minorHAnsi"/>
        </w:rPr>
        <w:t>as well as</w:t>
      </w:r>
      <w:r w:rsidR="00910BA3" w:rsidRPr="00EB6857">
        <w:rPr>
          <w:rFonts w:asciiTheme="minorHAnsi" w:hAnsiTheme="minorHAnsi" w:cstheme="minorHAnsi"/>
        </w:rPr>
        <w:t xml:space="preserve"> </w:t>
      </w:r>
      <w:r w:rsidR="00267ADE" w:rsidRPr="00EB6857">
        <w:rPr>
          <w:rFonts w:asciiTheme="minorHAnsi" w:hAnsiTheme="minorHAnsi" w:cstheme="minorHAnsi"/>
        </w:rPr>
        <w:t>research</w:t>
      </w:r>
      <w:r w:rsidR="00CB7E64" w:rsidRPr="00EB6857">
        <w:rPr>
          <w:rFonts w:asciiTheme="minorHAnsi" w:hAnsiTheme="minorHAnsi" w:cstheme="minorHAnsi"/>
        </w:rPr>
        <w:t xml:space="preserve"> </w:t>
      </w:r>
      <w:r w:rsidR="00910BA3" w:rsidRPr="00EB6857">
        <w:rPr>
          <w:rFonts w:asciiTheme="minorHAnsi" w:hAnsiTheme="minorHAnsi" w:cstheme="minorHAnsi"/>
        </w:rPr>
        <w:t>on</w:t>
      </w:r>
      <w:r w:rsidR="00CB7E64" w:rsidRPr="00EB6857">
        <w:rPr>
          <w:rFonts w:asciiTheme="minorHAnsi" w:hAnsiTheme="minorHAnsi" w:cstheme="minorHAnsi"/>
        </w:rPr>
        <w:t xml:space="preserve"> </w:t>
      </w:r>
      <w:r w:rsidR="00B65C9A" w:rsidRPr="00EB6857">
        <w:rPr>
          <w:rFonts w:asciiTheme="minorHAnsi" w:hAnsiTheme="minorHAnsi" w:cstheme="minorHAnsi"/>
        </w:rPr>
        <w:t>expected ROIs for common</w:t>
      </w:r>
      <w:r w:rsidR="00A51FE9" w:rsidRPr="00EB6857">
        <w:rPr>
          <w:rFonts w:asciiTheme="minorHAnsi" w:hAnsiTheme="minorHAnsi" w:cstheme="minorHAnsi"/>
        </w:rPr>
        <w:t xml:space="preserve"> </w:t>
      </w:r>
      <w:r w:rsidR="009C44D5" w:rsidRPr="00EB6857">
        <w:rPr>
          <w:rFonts w:asciiTheme="minorHAnsi" w:hAnsiTheme="minorHAnsi" w:cstheme="minorHAnsi"/>
        </w:rPr>
        <w:t xml:space="preserve">plant </w:t>
      </w:r>
      <w:r w:rsidR="00203E1D" w:rsidRPr="00EB6857">
        <w:rPr>
          <w:rFonts w:asciiTheme="minorHAnsi" w:hAnsiTheme="minorHAnsi" w:cstheme="minorHAnsi"/>
        </w:rPr>
        <w:t>and equipment</w:t>
      </w:r>
      <w:r w:rsidR="00B564BB" w:rsidRPr="00EB6857">
        <w:rPr>
          <w:rFonts w:asciiTheme="minorHAnsi" w:hAnsiTheme="minorHAnsi" w:cstheme="minorHAnsi"/>
        </w:rPr>
        <w:t xml:space="preserve"> </w:t>
      </w:r>
      <w:r w:rsidR="00A51FE9" w:rsidRPr="00EB6857">
        <w:rPr>
          <w:rFonts w:asciiTheme="minorHAnsi" w:hAnsiTheme="minorHAnsi" w:cstheme="minorHAnsi"/>
        </w:rPr>
        <w:t xml:space="preserve">upgrades. </w:t>
      </w:r>
      <w:r w:rsidR="000C775F">
        <w:rPr>
          <w:rFonts w:asciiTheme="minorHAnsi" w:hAnsiTheme="minorHAnsi" w:cstheme="minorHAnsi"/>
        </w:rPr>
        <w:t xml:space="preserve"> </w:t>
      </w:r>
      <w:r w:rsidR="000E4041">
        <w:rPr>
          <w:rFonts w:asciiTheme="minorHAnsi" w:hAnsiTheme="minorHAnsi" w:cstheme="minorHAnsi"/>
        </w:rPr>
        <w:t xml:space="preserve">For each option assessed, the cost of upgrade is assumed to be borne by building owners. Owners may choose to pass this cost on to tenancies, </w:t>
      </w:r>
      <w:r w:rsidR="001B6DEE">
        <w:rPr>
          <w:rFonts w:asciiTheme="minorHAnsi" w:hAnsiTheme="minorHAnsi" w:cstheme="minorHAnsi"/>
        </w:rPr>
        <w:t xml:space="preserve">which is </w:t>
      </w:r>
      <w:r w:rsidR="00092105">
        <w:rPr>
          <w:rFonts w:asciiTheme="minorHAnsi" w:hAnsiTheme="minorHAnsi" w:cstheme="minorHAnsi"/>
        </w:rPr>
        <w:t xml:space="preserve">likely to be offset by </w:t>
      </w:r>
      <w:r w:rsidR="001B0E59">
        <w:rPr>
          <w:rFonts w:asciiTheme="minorHAnsi" w:hAnsiTheme="minorHAnsi" w:cstheme="minorHAnsi"/>
        </w:rPr>
        <w:t xml:space="preserve">savings on lighting and </w:t>
      </w:r>
      <w:r w:rsidR="003C0AAE">
        <w:rPr>
          <w:rFonts w:asciiTheme="minorHAnsi" w:hAnsiTheme="minorHAnsi" w:cstheme="minorHAnsi"/>
        </w:rPr>
        <w:t>power</w:t>
      </w:r>
      <w:r w:rsidR="00586FBB">
        <w:rPr>
          <w:rFonts w:asciiTheme="minorHAnsi" w:hAnsiTheme="minorHAnsi" w:cstheme="minorHAnsi"/>
        </w:rPr>
        <w:t xml:space="preserve"> </w:t>
      </w:r>
      <w:r w:rsidR="001B6DEE">
        <w:rPr>
          <w:rFonts w:asciiTheme="minorHAnsi" w:hAnsiTheme="minorHAnsi" w:cstheme="minorHAnsi"/>
        </w:rPr>
        <w:t xml:space="preserve">from the </w:t>
      </w:r>
      <w:r w:rsidR="00586FBB">
        <w:rPr>
          <w:rFonts w:asciiTheme="minorHAnsi" w:hAnsiTheme="minorHAnsi" w:cstheme="minorHAnsi"/>
        </w:rPr>
        <w:t xml:space="preserve">building upgrades. </w:t>
      </w:r>
    </w:p>
    <w:p w14:paraId="72143118" w14:textId="462F2351" w:rsidR="00130E8A" w:rsidRPr="00EB6857" w:rsidRDefault="003F1EE5" w:rsidP="00130E8A">
      <w:pPr>
        <w:pStyle w:val="BodyText"/>
        <w:rPr>
          <w:rFonts w:asciiTheme="minorHAnsi" w:hAnsiTheme="minorHAnsi" w:cstheme="minorHAnsi"/>
          <w:highlight w:val="yellow"/>
        </w:rPr>
      </w:pPr>
      <w:r w:rsidRPr="00EB6857">
        <w:rPr>
          <w:rFonts w:asciiTheme="minorHAnsi" w:hAnsiTheme="minorHAnsi" w:cstheme="minorHAnsi"/>
        </w:rPr>
        <w:t>F</w:t>
      </w:r>
      <w:r w:rsidR="002D14FC" w:rsidRPr="00EB6857">
        <w:rPr>
          <w:rFonts w:asciiTheme="minorHAnsi" w:hAnsiTheme="minorHAnsi" w:cstheme="minorHAnsi"/>
        </w:rPr>
        <w:t xml:space="preserve">igures </w:t>
      </w:r>
      <w:r w:rsidRPr="00EB6857">
        <w:rPr>
          <w:rFonts w:asciiTheme="minorHAnsi" w:hAnsiTheme="minorHAnsi" w:cstheme="minorHAnsi"/>
        </w:rPr>
        <w:t xml:space="preserve">generated from </w:t>
      </w:r>
      <w:r w:rsidR="00A901F3" w:rsidRPr="00EB6857">
        <w:rPr>
          <w:rFonts w:asciiTheme="minorHAnsi" w:hAnsiTheme="minorHAnsi" w:cstheme="minorHAnsi"/>
        </w:rPr>
        <w:t xml:space="preserve">our professional </w:t>
      </w:r>
      <w:r w:rsidR="00F5096A" w:rsidRPr="00EB6857">
        <w:rPr>
          <w:rFonts w:asciiTheme="minorHAnsi" w:hAnsiTheme="minorHAnsi" w:cstheme="minorHAnsi"/>
        </w:rPr>
        <w:t xml:space="preserve">and peer </w:t>
      </w:r>
      <w:r w:rsidRPr="00EB6857">
        <w:rPr>
          <w:rFonts w:asciiTheme="minorHAnsi" w:hAnsiTheme="minorHAnsi" w:cstheme="minorHAnsi"/>
        </w:rPr>
        <w:t xml:space="preserve">experience </w:t>
      </w:r>
      <w:r w:rsidR="002D14FC" w:rsidRPr="00EB6857">
        <w:rPr>
          <w:rFonts w:asciiTheme="minorHAnsi" w:hAnsiTheme="minorHAnsi" w:cstheme="minorHAnsi"/>
        </w:rPr>
        <w:t>were cross</w:t>
      </w:r>
      <w:r w:rsidRPr="00EB6857">
        <w:rPr>
          <w:rFonts w:asciiTheme="minorHAnsi" w:hAnsiTheme="minorHAnsi" w:cstheme="minorHAnsi"/>
        </w:rPr>
        <w:t>-</w:t>
      </w:r>
      <w:r w:rsidR="002D14FC" w:rsidRPr="00EB6857">
        <w:rPr>
          <w:rFonts w:asciiTheme="minorHAnsi" w:hAnsiTheme="minorHAnsi" w:cstheme="minorHAnsi"/>
        </w:rPr>
        <w:t>checked with</w:t>
      </w:r>
      <w:r w:rsidR="00950BF4" w:rsidRPr="00EB6857">
        <w:rPr>
          <w:rFonts w:asciiTheme="minorHAnsi" w:hAnsiTheme="minorHAnsi" w:cstheme="minorHAnsi"/>
        </w:rPr>
        <w:t xml:space="preserve"> </w:t>
      </w:r>
      <w:proofErr w:type="spellStart"/>
      <w:r w:rsidR="00950BF4" w:rsidRPr="00EB6857">
        <w:rPr>
          <w:rFonts w:asciiTheme="minorHAnsi" w:hAnsiTheme="minorHAnsi" w:cstheme="minorHAnsi"/>
          <w:i/>
        </w:rPr>
        <w:t>Rawlinsons</w:t>
      </w:r>
      <w:proofErr w:type="spellEnd"/>
      <w:r w:rsidR="00950BF4" w:rsidRPr="00EB6857">
        <w:rPr>
          <w:rFonts w:asciiTheme="minorHAnsi" w:hAnsiTheme="minorHAnsi" w:cstheme="minorHAnsi"/>
          <w:i/>
        </w:rPr>
        <w:t xml:space="preserve"> </w:t>
      </w:r>
      <w:r w:rsidR="00410139" w:rsidRPr="00EB6857">
        <w:rPr>
          <w:rFonts w:asciiTheme="minorHAnsi" w:hAnsiTheme="minorHAnsi" w:cstheme="minorHAnsi"/>
          <w:i/>
        </w:rPr>
        <w:t>Australian Construction Handbook 2023</w:t>
      </w:r>
      <w:r w:rsidR="00410139" w:rsidRPr="00EB6857">
        <w:rPr>
          <w:rFonts w:asciiTheme="minorHAnsi" w:hAnsiTheme="minorHAnsi" w:cstheme="minorHAnsi"/>
        </w:rPr>
        <w:t xml:space="preserve"> </w:t>
      </w:r>
      <w:r w:rsidR="00950BF4" w:rsidRPr="00EB6857">
        <w:rPr>
          <w:rFonts w:asciiTheme="minorHAnsi" w:hAnsiTheme="minorHAnsi" w:cstheme="minorHAnsi"/>
        </w:rPr>
        <w:t xml:space="preserve">data to verify </w:t>
      </w:r>
      <w:r w:rsidR="00C674A8" w:rsidRPr="00EB6857">
        <w:rPr>
          <w:rFonts w:asciiTheme="minorHAnsi" w:hAnsiTheme="minorHAnsi" w:cstheme="minorHAnsi"/>
        </w:rPr>
        <w:t xml:space="preserve">the </w:t>
      </w:r>
      <w:r w:rsidR="00DD2E9C" w:rsidRPr="00EB6857">
        <w:rPr>
          <w:rFonts w:asciiTheme="minorHAnsi" w:hAnsiTheme="minorHAnsi" w:cstheme="minorHAnsi"/>
        </w:rPr>
        <w:t>initial estimates</w:t>
      </w:r>
      <w:r w:rsidR="00E50DD9" w:rsidRPr="00EB6857">
        <w:rPr>
          <w:rFonts w:asciiTheme="minorHAnsi" w:hAnsiTheme="minorHAnsi" w:cstheme="minorHAnsi"/>
        </w:rPr>
        <w:t xml:space="preserve"> </w:t>
      </w:r>
      <w:r w:rsidR="009076AD" w:rsidRPr="00EB6857">
        <w:rPr>
          <w:rFonts w:asciiTheme="minorHAnsi" w:hAnsiTheme="minorHAnsi" w:cstheme="minorHAnsi"/>
        </w:rPr>
        <w:t xml:space="preserve">and noted that </w:t>
      </w:r>
      <w:r w:rsidR="004A499E" w:rsidRPr="00EB6857">
        <w:rPr>
          <w:rFonts w:asciiTheme="minorHAnsi" w:hAnsiTheme="minorHAnsi" w:cstheme="minorHAnsi"/>
        </w:rPr>
        <w:t>recommendation were priced</w:t>
      </w:r>
      <w:r w:rsidR="00020AEB" w:rsidRPr="00EB6857">
        <w:rPr>
          <w:rFonts w:asciiTheme="minorHAnsi" w:hAnsiTheme="minorHAnsi" w:cstheme="minorHAnsi"/>
        </w:rPr>
        <w:t xml:space="preserve"> </w:t>
      </w:r>
      <w:r w:rsidR="004A499E" w:rsidRPr="00EB6857">
        <w:rPr>
          <w:rFonts w:asciiTheme="minorHAnsi" w:hAnsiTheme="minorHAnsi" w:cstheme="minorHAnsi"/>
        </w:rPr>
        <w:t>within</w:t>
      </w:r>
      <w:r w:rsidR="009D3F8F" w:rsidRPr="00EB6857">
        <w:rPr>
          <w:rFonts w:asciiTheme="minorHAnsi" w:hAnsiTheme="minorHAnsi" w:cstheme="minorHAnsi"/>
        </w:rPr>
        <w:t>, generally</w:t>
      </w:r>
      <w:r w:rsidR="004A499E" w:rsidRPr="00EB6857">
        <w:rPr>
          <w:rFonts w:asciiTheme="minorHAnsi" w:hAnsiTheme="minorHAnsi" w:cstheme="minorHAnsi"/>
        </w:rPr>
        <w:t xml:space="preserve"> the lower spectrum</w:t>
      </w:r>
      <w:r w:rsidR="00A377B7" w:rsidRPr="00EB6857">
        <w:rPr>
          <w:rFonts w:asciiTheme="minorHAnsi" w:hAnsiTheme="minorHAnsi" w:cstheme="minorHAnsi"/>
        </w:rPr>
        <w:t>,</w:t>
      </w:r>
      <w:r w:rsidR="004A499E" w:rsidRPr="00EB6857">
        <w:rPr>
          <w:rFonts w:asciiTheme="minorHAnsi" w:hAnsiTheme="minorHAnsi" w:cstheme="minorHAnsi"/>
        </w:rPr>
        <w:t xml:space="preserve"> the</w:t>
      </w:r>
      <w:r w:rsidR="00A377B7" w:rsidRPr="00EB6857">
        <w:rPr>
          <w:rFonts w:asciiTheme="minorHAnsi" w:hAnsiTheme="minorHAnsi" w:cstheme="minorHAnsi"/>
        </w:rPr>
        <w:t xml:space="preserve"> </w:t>
      </w:r>
      <w:r w:rsidR="006E16C2" w:rsidRPr="00EB6857">
        <w:rPr>
          <w:rFonts w:asciiTheme="minorHAnsi" w:hAnsiTheme="minorHAnsi" w:cstheme="minorHAnsi"/>
        </w:rPr>
        <w:t xml:space="preserve">cost </w:t>
      </w:r>
      <w:r w:rsidR="00A377B7" w:rsidRPr="00EB6857">
        <w:rPr>
          <w:rFonts w:asciiTheme="minorHAnsi" w:hAnsiTheme="minorHAnsi" w:cstheme="minorHAnsi"/>
        </w:rPr>
        <w:t xml:space="preserve">brackets provided </w:t>
      </w:r>
      <w:r w:rsidR="00A755C9" w:rsidRPr="00EB6857">
        <w:rPr>
          <w:rFonts w:asciiTheme="minorHAnsi" w:hAnsiTheme="minorHAnsi" w:cstheme="minorHAnsi"/>
        </w:rPr>
        <w:t xml:space="preserve">in the </w:t>
      </w:r>
      <w:proofErr w:type="spellStart"/>
      <w:r w:rsidR="00A755C9" w:rsidRPr="00EB6857">
        <w:rPr>
          <w:rFonts w:asciiTheme="minorHAnsi" w:hAnsiTheme="minorHAnsi" w:cstheme="minorHAnsi"/>
          <w:i/>
        </w:rPr>
        <w:t>Rawlinsons</w:t>
      </w:r>
      <w:proofErr w:type="spellEnd"/>
      <w:r w:rsidR="00A755C9" w:rsidRPr="00EB6857">
        <w:rPr>
          <w:rFonts w:asciiTheme="minorHAnsi" w:hAnsiTheme="minorHAnsi" w:cstheme="minorHAnsi"/>
        </w:rPr>
        <w:t xml:space="preserve"> guidelines. </w:t>
      </w:r>
    </w:p>
    <w:p w14:paraId="72D66330" w14:textId="4DE9AED4" w:rsidR="008E5E0E" w:rsidRPr="00EB6857" w:rsidRDefault="00462D02" w:rsidP="009040E3">
      <w:pPr>
        <w:pStyle w:val="BodyText"/>
        <w:rPr>
          <w:rFonts w:asciiTheme="minorHAnsi" w:hAnsiTheme="minorHAnsi" w:cstheme="minorHAnsi"/>
        </w:rPr>
      </w:pPr>
      <w:r w:rsidRPr="00EB6857">
        <w:rPr>
          <w:rFonts w:asciiTheme="minorHAnsi" w:hAnsiTheme="minorHAnsi" w:cstheme="minorHAnsi"/>
        </w:rPr>
        <w:t xml:space="preserve">Applying ROI </w:t>
      </w:r>
      <w:r w:rsidR="001516F7" w:rsidRPr="00EB6857">
        <w:rPr>
          <w:rFonts w:asciiTheme="minorHAnsi" w:hAnsiTheme="minorHAnsi" w:cstheme="minorHAnsi"/>
        </w:rPr>
        <w:t xml:space="preserve">values to each asset allowed a </w:t>
      </w:r>
      <w:r w:rsidR="00B00976" w:rsidRPr="00EB6857">
        <w:rPr>
          <w:rFonts w:asciiTheme="minorHAnsi" w:hAnsiTheme="minorHAnsi" w:cstheme="minorHAnsi"/>
        </w:rPr>
        <w:t xml:space="preserve">reverse calculation of costs </w:t>
      </w:r>
      <w:r w:rsidR="00246E65" w:rsidRPr="00EB6857">
        <w:rPr>
          <w:rFonts w:asciiTheme="minorHAnsi" w:hAnsiTheme="minorHAnsi" w:cstheme="minorHAnsi"/>
        </w:rPr>
        <w:t xml:space="preserve">required to upgrade </w:t>
      </w:r>
      <w:r w:rsidR="007A5011" w:rsidRPr="00EB6857">
        <w:rPr>
          <w:rFonts w:asciiTheme="minorHAnsi" w:hAnsiTheme="minorHAnsi" w:cstheme="minorHAnsi"/>
        </w:rPr>
        <w:t xml:space="preserve">based on the </w:t>
      </w:r>
      <w:r w:rsidR="003164F2" w:rsidRPr="00EB6857">
        <w:rPr>
          <w:rFonts w:asciiTheme="minorHAnsi" w:hAnsiTheme="minorHAnsi" w:cstheme="minorHAnsi"/>
        </w:rPr>
        <w:t xml:space="preserve">facility </w:t>
      </w:r>
      <w:r w:rsidR="007A5011" w:rsidRPr="00EB6857">
        <w:rPr>
          <w:rFonts w:asciiTheme="minorHAnsi" w:hAnsiTheme="minorHAnsi" w:cstheme="minorHAnsi"/>
        </w:rPr>
        <w:t xml:space="preserve">size </w:t>
      </w:r>
      <w:r w:rsidR="003164F2" w:rsidRPr="00EB6857">
        <w:rPr>
          <w:rFonts w:asciiTheme="minorHAnsi" w:hAnsiTheme="minorHAnsi" w:cstheme="minorHAnsi"/>
        </w:rPr>
        <w:t xml:space="preserve">and the likely plant equipment that would be </w:t>
      </w:r>
      <w:r w:rsidR="0066363B" w:rsidRPr="00EB6857">
        <w:rPr>
          <w:rFonts w:asciiTheme="minorHAnsi" w:hAnsiTheme="minorHAnsi" w:cstheme="minorHAnsi"/>
        </w:rPr>
        <w:t>present for each sized building.</w:t>
      </w:r>
      <w:r w:rsidR="007A5011" w:rsidRPr="00EB6857">
        <w:rPr>
          <w:rFonts w:asciiTheme="minorHAnsi" w:hAnsiTheme="minorHAnsi" w:cstheme="minorHAnsi"/>
        </w:rPr>
        <w:t xml:space="preserve"> </w:t>
      </w:r>
    </w:p>
    <w:p w14:paraId="27D39D90" w14:textId="2296C346" w:rsidR="00127067" w:rsidRPr="00744016" w:rsidRDefault="00127067" w:rsidP="00744016">
      <w:pPr>
        <w:pStyle w:val="Caption"/>
        <w:keepNext/>
        <w:spacing w:after="120"/>
        <w:rPr>
          <w:rFonts w:ascii="Calibri" w:eastAsia="Times New Roman" w:hAnsi="Calibri" w:cs="Times New Roman"/>
          <w:b/>
          <w:bCs/>
          <w:i w:val="0"/>
          <w:iCs w:val="0"/>
          <w:color w:val="auto"/>
          <w:sz w:val="24"/>
        </w:rPr>
      </w:pPr>
      <w:bookmarkStart w:id="227" w:name="_Toc162535456"/>
      <w:r w:rsidRPr="00744016">
        <w:rPr>
          <w:rFonts w:ascii="Calibri" w:eastAsia="Times New Roman" w:hAnsi="Calibri" w:cs="Times New Roman"/>
          <w:b/>
          <w:bCs/>
          <w:i w:val="0"/>
          <w:iCs w:val="0"/>
          <w:color w:val="auto"/>
          <w:sz w:val="24"/>
        </w:rPr>
        <w:t xml:space="preserve">Table </w:t>
      </w:r>
      <w:r w:rsidRPr="00744016">
        <w:rPr>
          <w:rFonts w:ascii="Calibri" w:eastAsia="Times New Roman" w:hAnsi="Calibri" w:cs="Times New Roman"/>
          <w:b/>
          <w:bCs/>
          <w:i w:val="0"/>
          <w:iCs w:val="0"/>
          <w:color w:val="auto"/>
          <w:sz w:val="24"/>
        </w:rPr>
        <w:fldChar w:fldCharType="begin"/>
      </w:r>
      <w:r w:rsidRPr="00744016">
        <w:rPr>
          <w:rFonts w:ascii="Calibri" w:eastAsia="Times New Roman" w:hAnsi="Calibri" w:cs="Times New Roman"/>
          <w:b/>
          <w:bCs/>
          <w:i w:val="0"/>
          <w:iCs w:val="0"/>
          <w:color w:val="auto"/>
          <w:sz w:val="24"/>
        </w:rPr>
        <w:instrText xml:space="preserve"> SEQ Table \* ARABIC </w:instrText>
      </w:r>
      <w:r w:rsidRPr="00744016">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20</w:t>
      </w:r>
      <w:r w:rsidRPr="00744016">
        <w:rPr>
          <w:rFonts w:ascii="Calibri" w:eastAsia="Times New Roman" w:hAnsi="Calibri" w:cs="Times New Roman"/>
          <w:b/>
          <w:bCs/>
          <w:i w:val="0"/>
          <w:iCs w:val="0"/>
          <w:color w:val="auto"/>
          <w:sz w:val="24"/>
        </w:rPr>
        <w:fldChar w:fldCharType="end"/>
      </w:r>
      <w:r w:rsidR="00793EF0" w:rsidRPr="00744016">
        <w:rPr>
          <w:rFonts w:ascii="Calibri" w:eastAsia="Times New Roman" w:hAnsi="Calibri" w:cs="Times New Roman"/>
          <w:b/>
          <w:bCs/>
          <w:i w:val="0"/>
          <w:iCs w:val="0"/>
          <w:color w:val="auto"/>
          <w:sz w:val="24"/>
        </w:rPr>
        <w:t>:</w:t>
      </w:r>
      <w:r w:rsidRPr="00744016">
        <w:rPr>
          <w:rFonts w:ascii="Calibri" w:eastAsia="Times New Roman" w:hAnsi="Calibri" w:cs="Times New Roman"/>
          <w:b/>
          <w:bCs/>
          <w:i w:val="0"/>
          <w:iCs w:val="0"/>
          <w:color w:val="auto"/>
          <w:sz w:val="24"/>
        </w:rPr>
        <w:t xml:space="preserve"> Application of Energy Conservation Measures based on building </w:t>
      </w:r>
      <w:proofErr w:type="gramStart"/>
      <w:r w:rsidRPr="00744016">
        <w:rPr>
          <w:rFonts w:ascii="Calibri" w:eastAsia="Times New Roman" w:hAnsi="Calibri" w:cs="Times New Roman"/>
          <w:b/>
          <w:bCs/>
          <w:i w:val="0"/>
          <w:iCs w:val="0"/>
          <w:color w:val="auto"/>
          <w:sz w:val="24"/>
        </w:rPr>
        <w:t>size</w:t>
      </w:r>
      <w:bookmarkEnd w:id="227"/>
      <w:proofErr w:type="gramEnd"/>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40"/>
        <w:gridCol w:w="1016"/>
        <w:gridCol w:w="1151"/>
        <w:gridCol w:w="1256"/>
        <w:gridCol w:w="1136"/>
        <w:gridCol w:w="1036"/>
      </w:tblGrid>
      <w:tr w:rsidR="00E4656C" w:rsidRPr="005B0C2A" w14:paraId="082A0F65" w14:textId="77777777" w:rsidTr="00B95774">
        <w:trPr>
          <w:trHeight w:val="227"/>
        </w:trPr>
        <w:tc>
          <w:tcPr>
            <w:tcW w:w="3256" w:type="dxa"/>
            <w:shd w:val="clear" w:color="auto" w:fill="1E49E2" w:themeFill="accent1"/>
            <w:noWrap/>
            <w:vAlign w:val="center"/>
            <w:hideMark/>
          </w:tcPr>
          <w:p w14:paraId="734D48C2" w14:textId="47CDEFBC" w:rsidR="00E4656C" w:rsidRPr="002E7D6C" w:rsidRDefault="00E75147" w:rsidP="00B95774">
            <w:pPr>
              <w:spacing w:before="0" w:after="0"/>
              <w:rPr>
                <w:rFonts w:asciiTheme="minorHAnsi" w:eastAsia="Univers LT Std 45 Light" w:hAnsiTheme="minorHAnsi" w:cstheme="minorHAnsi"/>
                <w:color w:val="FFFFFF" w:themeColor="background1"/>
                <w:sz w:val="24"/>
                <w:szCs w:val="24"/>
                <w:lang w:eastAsia="en-AU"/>
              </w:rPr>
            </w:pPr>
            <w:r w:rsidRPr="002E7D6C">
              <w:rPr>
                <w:rFonts w:asciiTheme="minorHAnsi" w:eastAsia="Univers LT Std 45 Light" w:hAnsiTheme="minorHAnsi" w:cstheme="minorHAnsi"/>
                <w:b/>
                <w:color w:val="FFFFFF" w:themeColor="background1"/>
                <w:sz w:val="22"/>
                <w:lang w:eastAsia="en-AU"/>
              </w:rPr>
              <w:t>Energy Conservation Measures</w:t>
            </w:r>
          </w:p>
        </w:tc>
        <w:tc>
          <w:tcPr>
            <w:tcW w:w="1240" w:type="dxa"/>
            <w:shd w:val="clear" w:color="auto" w:fill="1E49E2" w:themeFill="accent1"/>
            <w:noWrap/>
            <w:vAlign w:val="center"/>
            <w:hideMark/>
          </w:tcPr>
          <w:p w14:paraId="76ED25FF" w14:textId="4E35DF81" w:rsidR="00E4656C" w:rsidRPr="002E7D6C" w:rsidRDefault="00E4656C" w:rsidP="00B95774">
            <w:pPr>
              <w:spacing w:before="0" w:after="0"/>
              <w:jc w:val="center"/>
              <w:rPr>
                <w:rFonts w:asciiTheme="minorHAnsi" w:eastAsia="Univers LT Std 45 Light" w:hAnsiTheme="minorHAnsi" w:cstheme="minorHAnsi"/>
                <w:b/>
                <w:color w:val="FFFFFF" w:themeColor="background1"/>
                <w:sz w:val="22"/>
                <w:lang w:eastAsia="en-AU"/>
              </w:rPr>
            </w:pPr>
            <w:r w:rsidRPr="002E7D6C">
              <w:rPr>
                <w:rFonts w:asciiTheme="minorHAnsi" w:eastAsia="Univers LT Std 45 Light" w:hAnsiTheme="minorHAnsi" w:cstheme="minorHAnsi"/>
                <w:b/>
                <w:color w:val="FFFFFF" w:themeColor="background1"/>
                <w:sz w:val="22"/>
                <w:lang w:eastAsia="en-AU"/>
              </w:rPr>
              <w:t>500</w:t>
            </w:r>
            <w:r w:rsidR="002D0539" w:rsidRPr="002E7D6C">
              <w:rPr>
                <w:rFonts w:asciiTheme="minorHAnsi" w:eastAsia="Univers LT Std 45 Light" w:hAnsiTheme="minorHAnsi" w:cstheme="minorHAnsi"/>
                <w:b/>
                <w:color w:val="FFFFFF" w:themeColor="background1"/>
                <w:sz w:val="22"/>
                <w:lang w:eastAsia="en-AU"/>
              </w:rPr>
              <w:t xml:space="preserve"> </w:t>
            </w:r>
            <w:r w:rsidR="006F493F" w:rsidRPr="002E7D6C">
              <w:rPr>
                <w:rFonts w:asciiTheme="minorHAnsi" w:eastAsia="Univers LT Std 45 Light" w:hAnsiTheme="minorHAnsi" w:cstheme="minorHAnsi"/>
                <w:b/>
                <w:color w:val="FFFFFF" w:themeColor="background1"/>
                <w:sz w:val="22"/>
                <w:lang w:eastAsia="en-AU"/>
              </w:rPr>
              <w:t>m</w:t>
            </w:r>
            <w:r w:rsidR="006F493F" w:rsidRPr="002E7D6C">
              <w:rPr>
                <w:rFonts w:asciiTheme="minorHAnsi" w:eastAsia="Univers LT Std 45 Light" w:hAnsiTheme="minorHAnsi" w:cstheme="minorHAnsi"/>
                <w:b/>
                <w:color w:val="FFFFFF" w:themeColor="background1"/>
                <w:sz w:val="22"/>
                <w:vertAlign w:val="superscript"/>
                <w:lang w:eastAsia="en-AU"/>
              </w:rPr>
              <w:t>2</w:t>
            </w:r>
          </w:p>
        </w:tc>
        <w:tc>
          <w:tcPr>
            <w:tcW w:w="1016" w:type="dxa"/>
            <w:shd w:val="clear" w:color="auto" w:fill="1E49E2" w:themeFill="accent1"/>
            <w:noWrap/>
            <w:vAlign w:val="center"/>
            <w:hideMark/>
          </w:tcPr>
          <w:p w14:paraId="02D79AA8" w14:textId="601FB515" w:rsidR="00E4656C" w:rsidRPr="002E7D6C" w:rsidRDefault="00E4656C" w:rsidP="00B95774">
            <w:pPr>
              <w:spacing w:before="0" w:after="0"/>
              <w:ind w:left="-70"/>
              <w:jc w:val="center"/>
              <w:rPr>
                <w:rFonts w:asciiTheme="minorHAnsi" w:eastAsia="Univers LT Std 45 Light" w:hAnsiTheme="minorHAnsi" w:cstheme="minorHAnsi"/>
                <w:b/>
                <w:color w:val="FFFFFF" w:themeColor="background1"/>
                <w:sz w:val="22"/>
                <w:lang w:eastAsia="en-AU"/>
              </w:rPr>
            </w:pPr>
            <w:r w:rsidRPr="002E7D6C">
              <w:rPr>
                <w:rFonts w:asciiTheme="minorHAnsi" w:eastAsia="Univers LT Std 45 Light" w:hAnsiTheme="minorHAnsi" w:cstheme="minorHAnsi"/>
                <w:b/>
                <w:color w:val="FFFFFF" w:themeColor="background1"/>
                <w:sz w:val="22"/>
                <w:lang w:eastAsia="en-AU"/>
              </w:rPr>
              <w:t>1,000</w:t>
            </w:r>
            <w:r w:rsidR="006F493F" w:rsidRPr="002E7D6C">
              <w:rPr>
                <w:rFonts w:asciiTheme="minorHAnsi" w:eastAsia="Univers LT Std 45 Light" w:hAnsiTheme="minorHAnsi" w:cstheme="minorHAnsi"/>
                <w:b/>
                <w:color w:val="FFFFFF" w:themeColor="background1"/>
                <w:sz w:val="22"/>
                <w:lang w:eastAsia="en-AU"/>
              </w:rPr>
              <w:t xml:space="preserve"> </w:t>
            </w:r>
            <w:r w:rsidR="0066363B" w:rsidRPr="002E7D6C">
              <w:rPr>
                <w:rFonts w:asciiTheme="minorHAnsi" w:eastAsia="Univers LT Std 45 Light" w:hAnsiTheme="minorHAnsi" w:cstheme="minorHAnsi"/>
                <w:b/>
                <w:color w:val="FFFFFF" w:themeColor="background1"/>
                <w:sz w:val="22"/>
                <w:lang w:eastAsia="en-AU"/>
              </w:rPr>
              <w:t>m</w:t>
            </w:r>
            <w:r w:rsidR="006F493F" w:rsidRPr="002E7D6C">
              <w:rPr>
                <w:rFonts w:asciiTheme="minorHAnsi" w:eastAsia="Univers LT Std 45 Light" w:hAnsiTheme="minorHAnsi" w:cstheme="minorHAnsi"/>
                <w:b/>
                <w:color w:val="FFFFFF" w:themeColor="background1"/>
                <w:sz w:val="22"/>
                <w:vertAlign w:val="superscript"/>
                <w:lang w:eastAsia="en-AU"/>
              </w:rPr>
              <w:t>2</w:t>
            </w:r>
          </w:p>
        </w:tc>
        <w:tc>
          <w:tcPr>
            <w:tcW w:w="1151" w:type="dxa"/>
            <w:shd w:val="clear" w:color="auto" w:fill="1E49E2" w:themeFill="accent1"/>
            <w:noWrap/>
            <w:vAlign w:val="center"/>
            <w:hideMark/>
          </w:tcPr>
          <w:p w14:paraId="2454CB9E" w14:textId="2B3EB090" w:rsidR="00E4656C" w:rsidRPr="002E7D6C" w:rsidRDefault="00E4656C" w:rsidP="00B95774">
            <w:pPr>
              <w:spacing w:before="0" w:after="0"/>
              <w:jc w:val="center"/>
              <w:rPr>
                <w:rFonts w:asciiTheme="minorHAnsi" w:eastAsia="Univers LT Std 45 Light" w:hAnsiTheme="minorHAnsi" w:cstheme="minorHAnsi"/>
                <w:b/>
                <w:color w:val="FFFFFF" w:themeColor="background1"/>
                <w:sz w:val="22"/>
                <w:lang w:eastAsia="en-AU"/>
              </w:rPr>
            </w:pPr>
            <w:r w:rsidRPr="002E7D6C">
              <w:rPr>
                <w:rFonts w:asciiTheme="minorHAnsi" w:eastAsia="Univers LT Std 45 Light" w:hAnsiTheme="minorHAnsi" w:cstheme="minorHAnsi"/>
                <w:b/>
                <w:color w:val="FFFFFF" w:themeColor="background1"/>
                <w:sz w:val="22"/>
                <w:lang w:eastAsia="en-AU"/>
              </w:rPr>
              <w:t>5,000</w:t>
            </w:r>
            <w:r w:rsidR="002D0539" w:rsidRPr="002E7D6C">
              <w:rPr>
                <w:rFonts w:asciiTheme="minorHAnsi" w:eastAsia="Univers LT Std 45 Light" w:hAnsiTheme="minorHAnsi" w:cstheme="minorHAnsi"/>
                <w:b/>
                <w:color w:val="FFFFFF" w:themeColor="background1"/>
                <w:sz w:val="22"/>
                <w:lang w:eastAsia="en-AU"/>
              </w:rPr>
              <w:t xml:space="preserve"> m</w:t>
            </w:r>
            <w:r w:rsidR="002D0539" w:rsidRPr="002E7D6C">
              <w:rPr>
                <w:rFonts w:asciiTheme="minorHAnsi" w:eastAsia="Univers LT Std 45 Light" w:hAnsiTheme="minorHAnsi" w:cstheme="minorHAnsi"/>
                <w:b/>
                <w:color w:val="FFFFFF" w:themeColor="background1"/>
                <w:sz w:val="22"/>
                <w:vertAlign w:val="superscript"/>
                <w:lang w:eastAsia="en-AU"/>
              </w:rPr>
              <w:t>2</w:t>
            </w:r>
          </w:p>
        </w:tc>
        <w:tc>
          <w:tcPr>
            <w:tcW w:w="1256" w:type="dxa"/>
            <w:shd w:val="clear" w:color="auto" w:fill="1E49E2" w:themeFill="accent1"/>
            <w:noWrap/>
            <w:vAlign w:val="center"/>
            <w:hideMark/>
          </w:tcPr>
          <w:p w14:paraId="641422CC" w14:textId="3030704C" w:rsidR="00E4656C" w:rsidRPr="002E7D6C" w:rsidRDefault="00E4656C" w:rsidP="00B95774">
            <w:pPr>
              <w:spacing w:before="0" w:after="0"/>
              <w:jc w:val="center"/>
              <w:rPr>
                <w:rFonts w:asciiTheme="minorHAnsi" w:eastAsia="Univers LT Std 45 Light" w:hAnsiTheme="minorHAnsi" w:cstheme="minorHAnsi"/>
                <w:b/>
                <w:color w:val="FFFFFF" w:themeColor="background1"/>
                <w:sz w:val="22"/>
                <w:lang w:eastAsia="en-AU"/>
              </w:rPr>
            </w:pPr>
            <w:r w:rsidRPr="002E7D6C">
              <w:rPr>
                <w:rFonts w:asciiTheme="minorHAnsi" w:eastAsia="Univers LT Std 45 Light" w:hAnsiTheme="minorHAnsi" w:cstheme="minorHAnsi"/>
                <w:b/>
                <w:color w:val="FFFFFF" w:themeColor="background1"/>
                <w:sz w:val="22"/>
                <w:lang w:eastAsia="en-AU"/>
              </w:rPr>
              <w:t xml:space="preserve">10,000 </w:t>
            </w:r>
            <w:r w:rsidR="002D0539" w:rsidRPr="002E7D6C">
              <w:rPr>
                <w:rFonts w:asciiTheme="minorHAnsi" w:eastAsia="Univers LT Std 45 Light" w:hAnsiTheme="minorHAnsi" w:cstheme="minorHAnsi"/>
                <w:b/>
                <w:color w:val="FFFFFF" w:themeColor="background1"/>
                <w:sz w:val="22"/>
                <w:lang w:eastAsia="en-AU"/>
              </w:rPr>
              <w:t>m</w:t>
            </w:r>
            <w:r w:rsidR="002D0539" w:rsidRPr="002E7D6C">
              <w:rPr>
                <w:rFonts w:asciiTheme="minorHAnsi" w:eastAsia="Univers LT Std 45 Light" w:hAnsiTheme="minorHAnsi" w:cstheme="minorHAnsi"/>
                <w:b/>
                <w:color w:val="FFFFFF" w:themeColor="background1"/>
                <w:sz w:val="22"/>
                <w:vertAlign w:val="superscript"/>
                <w:lang w:eastAsia="en-AU"/>
              </w:rPr>
              <w:t>2</w:t>
            </w:r>
          </w:p>
        </w:tc>
        <w:tc>
          <w:tcPr>
            <w:tcW w:w="1136" w:type="dxa"/>
            <w:shd w:val="clear" w:color="auto" w:fill="1E49E2" w:themeFill="accent1"/>
            <w:noWrap/>
            <w:vAlign w:val="center"/>
            <w:hideMark/>
          </w:tcPr>
          <w:p w14:paraId="7387D801" w14:textId="75BE9DDA" w:rsidR="00E4656C" w:rsidRPr="002E7D6C" w:rsidRDefault="00E4656C" w:rsidP="00B95774">
            <w:pPr>
              <w:spacing w:before="0" w:after="0"/>
              <w:jc w:val="center"/>
              <w:rPr>
                <w:rFonts w:asciiTheme="minorHAnsi" w:eastAsia="Univers LT Std 45 Light" w:hAnsiTheme="minorHAnsi" w:cstheme="minorHAnsi"/>
                <w:b/>
                <w:color w:val="FFFFFF" w:themeColor="background1"/>
                <w:sz w:val="22"/>
                <w:lang w:eastAsia="en-AU"/>
              </w:rPr>
            </w:pPr>
            <w:r w:rsidRPr="002E7D6C">
              <w:rPr>
                <w:rFonts w:asciiTheme="minorHAnsi" w:eastAsia="Univers LT Std 45 Light" w:hAnsiTheme="minorHAnsi" w:cstheme="minorHAnsi"/>
                <w:b/>
                <w:color w:val="FFFFFF" w:themeColor="background1"/>
                <w:sz w:val="22"/>
                <w:lang w:eastAsia="en-AU"/>
              </w:rPr>
              <w:t xml:space="preserve">20,000 </w:t>
            </w:r>
            <w:r w:rsidR="002D0539" w:rsidRPr="002E7D6C">
              <w:rPr>
                <w:rFonts w:asciiTheme="minorHAnsi" w:eastAsia="Univers LT Std 45 Light" w:hAnsiTheme="minorHAnsi" w:cstheme="minorHAnsi"/>
                <w:b/>
                <w:color w:val="FFFFFF" w:themeColor="background1"/>
                <w:sz w:val="22"/>
                <w:lang w:eastAsia="en-AU"/>
              </w:rPr>
              <w:t>m</w:t>
            </w:r>
            <w:r w:rsidR="002D0539" w:rsidRPr="002E7D6C">
              <w:rPr>
                <w:rFonts w:asciiTheme="minorHAnsi" w:eastAsia="Univers LT Std 45 Light" w:hAnsiTheme="minorHAnsi" w:cstheme="minorHAnsi"/>
                <w:b/>
                <w:color w:val="FFFFFF" w:themeColor="background1"/>
                <w:sz w:val="22"/>
                <w:vertAlign w:val="superscript"/>
                <w:lang w:eastAsia="en-AU"/>
              </w:rPr>
              <w:t>2</w:t>
            </w:r>
          </w:p>
        </w:tc>
        <w:tc>
          <w:tcPr>
            <w:tcW w:w="1036" w:type="dxa"/>
            <w:shd w:val="clear" w:color="auto" w:fill="1E49E2" w:themeFill="accent1"/>
            <w:noWrap/>
            <w:vAlign w:val="center"/>
            <w:hideMark/>
          </w:tcPr>
          <w:p w14:paraId="3D768DC8" w14:textId="77777777" w:rsidR="00E4656C" w:rsidRPr="002E7D6C" w:rsidRDefault="00E4656C" w:rsidP="00B95774">
            <w:pPr>
              <w:spacing w:before="0" w:after="0"/>
              <w:jc w:val="center"/>
              <w:rPr>
                <w:rFonts w:asciiTheme="minorHAnsi" w:eastAsia="Univers LT Std 45 Light" w:hAnsiTheme="minorHAnsi" w:cstheme="minorHAnsi"/>
                <w:b/>
                <w:color w:val="FFFFFF" w:themeColor="background1"/>
                <w:sz w:val="22"/>
                <w:lang w:eastAsia="en-AU"/>
              </w:rPr>
            </w:pPr>
            <w:r w:rsidRPr="002E7D6C">
              <w:rPr>
                <w:rFonts w:asciiTheme="minorHAnsi" w:eastAsia="Univers LT Std 45 Light" w:hAnsiTheme="minorHAnsi" w:cstheme="minorHAnsi"/>
                <w:b/>
                <w:color w:val="FFFFFF" w:themeColor="background1"/>
                <w:sz w:val="22"/>
                <w:lang w:eastAsia="en-AU"/>
              </w:rPr>
              <w:t>ROI</w:t>
            </w:r>
          </w:p>
        </w:tc>
      </w:tr>
      <w:tr w:rsidR="00E4656C" w:rsidRPr="00E4656C" w14:paraId="608124FC" w14:textId="77777777" w:rsidTr="00B95774">
        <w:trPr>
          <w:trHeight w:val="227"/>
        </w:trPr>
        <w:tc>
          <w:tcPr>
            <w:tcW w:w="3256" w:type="dxa"/>
            <w:shd w:val="clear" w:color="auto" w:fill="D1DAF9" w:themeFill="accent1" w:themeFillTint="33"/>
            <w:noWrap/>
            <w:vAlign w:val="center"/>
            <w:hideMark/>
          </w:tcPr>
          <w:p w14:paraId="509D5215" w14:textId="77777777"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LED Lighting upgrade</w:t>
            </w:r>
          </w:p>
        </w:tc>
        <w:tc>
          <w:tcPr>
            <w:tcW w:w="1240" w:type="dxa"/>
            <w:shd w:val="clear" w:color="auto" w:fill="D1DAF9" w:themeFill="accent1" w:themeFillTint="33"/>
            <w:noWrap/>
            <w:vAlign w:val="center"/>
            <w:hideMark/>
          </w:tcPr>
          <w:p w14:paraId="3E62D8E7" w14:textId="04351A6C" w:rsidR="00E4656C" w:rsidRPr="00B95774" w:rsidRDefault="00134C46"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04435251" wp14:editId="2F0D1EBF">
                  <wp:extent cx="147071" cy="147071"/>
                  <wp:effectExtent l="0" t="0" r="5715" b="5715"/>
                  <wp:docPr id="756" name="Picture 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Picture 756">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16" w:type="dxa"/>
            <w:shd w:val="clear" w:color="auto" w:fill="D1DAF9" w:themeFill="accent1" w:themeFillTint="33"/>
            <w:noWrap/>
            <w:vAlign w:val="center"/>
            <w:hideMark/>
          </w:tcPr>
          <w:p w14:paraId="7127F79F" w14:textId="0127E817"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72FF59AC" wp14:editId="25614C59">
                  <wp:extent cx="147071" cy="147071"/>
                  <wp:effectExtent l="0" t="0" r="5715" b="5715"/>
                  <wp:docPr id="1209123167" name="Picture 1209123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67" name="Picture 1209123167">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51" w:type="dxa"/>
            <w:shd w:val="clear" w:color="auto" w:fill="D1DAF9" w:themeFill="accent1" w:themeFillTint="33"/>
            <w:noWrap/>
            <w:vAlign w:val="center"/>
            <w:hideMark/>
          </w:tcPr>
          <w:p w14:paraId="25538992" w14:textId="02A100D7"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75A9F219" wp14:editId="20BABD56">
                  <wp:extent cx="147071" cy="147071"/>
                  <wp:effectExtent l="0" t="0" r="5715" b="5715"/>
                  <wp:docPr id="1209123168" name="Picture 1209123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68" name="Picture 1209123168">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256" w:type="dxa"/>
            <w:shd w:val="clear" w:color="auto" w:fill="D1DAF9" w:themeFill="accent1" w:themeFillTint="33"/>
            <w:noWrap/>
            <w:vAlign w:val="center"/>
            <w:hideMark/>
          </w:tcPr>
          <w:p w14:paraId="10D174CB" w14:textId="02081004"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0A5B185D" wp14:editId="36FE5F43">
                  <wp:extent cx="147071" cy="147071"/>
                  <wp:effectExtent l="0" t="0" r="5715" b="5715"/>
                  <wp:docPr id="1209123170" name="Picture 1209123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0" name="Picture 1209123170">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36" w:type="dxa"/>
            <w:shd w:val="clear" w:color="auto" w:fill="D1DAF9" w:themeFill="accent1" w:themeFillTint="33"/>
            <w:noWrap/>
            <w:vAlign w:val="center"/>
            <w:hideMark/>
          </w:tcPr>
          <w:p w14:paraId="4E7A3F8D" w14:textId="508DF4A3"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70EEF983" wp14:editId="57997111">
                  <wp:extent cx="147071" cy="147071"/>
                  <wp:effectExtent l="0" t="0" r="5715" b="5715"/>
                  <wp:docPr id="1209123171" name="Picture 1209123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1" name="Picture 1209123171">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36" w:type="dxa"/>
            <w:shd w:val="clear" w:color="auto" w:fill="D1DAF9" w:themeFill="accent1" w:themeFillTint="33"/>
            <w:noWrap/>
            <w:vAlign w:val="center"/>
            <w:hideMark/>
          </w:tcPr>
          <w:p w14:paraId="42E4D9B7" w14:textId="77777777"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30%</w:t>
            </w:r>
          </w:p>
        </w:tc>
      </w:tr>
      <w:tr w:rsidR="00E4656C" w:rsidRPr="00E4656C" w14:paraId="493CC66F" w14:textId="77777777" w:rsidTr="00B95774">
        <w:trPr>
          <w:trHeight w:val="227"/>
        </w:trPr>
        <w:tc>
          <w:tcPr>
            <w:tcW w:w="3256" w:type="dxa"/>
            <w:shd w:val="clear" w:color="auto" w:fill="auto"/>
            <w:noWrap/>
            <w:vAlign w:val="center"/>
            <w:hideMark/>
          </w:tcPr>
          <w:p w14:paraId="5574B9C7" w14:textId="77777777"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Air Conditioning Split</w:t>
            </w:r>
          </w:p>
        </w:tc>
        <w:tc>
          <w:tcPr>
            <w:tcW w:w="1240" w:type="dxa"/>
            <w:shd w:val="clear" w:color="auto" w:fill="auto"/>
            <w:noWrap/>
            <w:vAlign w:val="center"/>
            <w:hideMark/>
          </w:tcPr>
          <w:p w14:paraId="7A07E626" w14:textId="49D280F2"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2BA9B0DD" wp14:editId="34939050">
                  <wp:extent cx="147071" cy="147071"/>
                  <wp:effectExtent l="0" t="0" r="5715" b="5715"/>
                  <wp:docPr id="1209123166" name="Picture 1209123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66" name="Picture 1209123166">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16" w:type="dxa"/>
            <w:shd w:val="clear" w:color="auto" w:fill="auto"/>
            <w:noWrap/>
            <w:vAlign w:val="center"/>
            <w:hideMark/>
          </w:tcPr>
          <w:p w14:paraId="1C153E5C" w14:textId="77777777" w:rsidR="00E4656C" w:rsidRPr="00B95774" w:rsidRDefault="00E4656C" w:rsidP="00B95774">
            <w:pPr>
              <w:spacing w:before="0" w:after="0"/>
              <w:jc w:val="center"/>
              <w:rPr>
                <w:rFonts w:asciiTheme="minorHAnsi" w:eastAsia="Univers LT Std 45 Light" w:hAnsiTheme="minorHAnsi" w:cstheme="minorHAnsi"/>
                <w:color w:val="000000"/>
                <w:sz w:val="16"/>
                <w:szCs w:val="16"/>
                <w:lang w:eastAsia="en-AU"/>
              </w:rPr>
            </w:pPr>
          </w:p>
        </w:tc>
        <w:tc>
          <w:tcPr>
            <w:tcW w:w="1151" w:type="dxa"/>
            <w:shd w:val="clear" w:color="auto" w:fill="auto"/>
            <w:noWrap/>
            <w:vAlign w:val="center"/>
            <w:hideMark/>
          </w:tcPr>
          <w:p w14:paraId="76062151"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256" w:type="dxa"/>
            <w:shd w:val="clear" w:color="auto" w:fill="auto"/>
            <w:noWrap/>
            <w:vAlign w:val="center"/>
            <w:hideMark/>
          </w:tcPr>
          <w:p w14:paraId="64390EB8"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136" w:type="dxa"/>
            <w:shd w:val="clear" w:color="auto" w:fill="auto"/>
            <w:noWrap/>
            <w:vAlign w:val="center"/>
            <w:hideMark/>
          </w:tcPr>
          <w:p w14:paraId="7BF69111"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036" w:type="dxa"/>
            <w:shd w:val="clear" w:color="auto" w:fill="auto"/>
            <w:noWrap/>
            <w:vAlign w:val="center"/>
            <w:hideMark/>
          </w:tcPr>
          <w:p w14:paraId="3D282C6A" w14:textId="77777777"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25%</w:t>
            </w:r>
          </w:p>
        </w:tc>
      </w:tr>
      <w:tr w:rsidR="00E4656C" w:rsidRPr="00E4656C" w14:paraId="7AEF8E63" w14:textId="77777777" w:rsidTr="00B95774">
        <w:trPr>
          <w:trHeight w:val="227"/>
        </w:trPr>
        <w:tc>
          <w:tcPr>
            <w:tcW w:w="3256" w:type="dxa"/>
            <w:shd w:val="clear" w:color="auto" w:fill="D1DAF9" w:themeFill="accent1" w:themeFillTint="33"/>
            <w:noWrap/>
            <w:vAlign w:val="center"/>
            <w:hideMark/>
          </w:tcPr>
          <w:p w14:paraId="3B9567B1" w14:textId="77777777"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Packaged Unit</w:t>
            </w:r>
          </w:p>
        </w:tc>
        <w:tc>
          <w:tcPr>
            <w:tcW w:w="1240" w:type="dxa"/>
            <w:shd w:val="clear" w:color="auto" w:fill="D1DAF9" w:themeFill="accent1" w:themeFillTint="33"/>
            <w:noWrap/>
            <w:vAlign w:val="center"/>
            <w:hideMark/>
          </w:tcPr>
          <w:p w14:paraId="6DB7C332" w14:textId="77777777" w:rsidR="00E4656C" w:rsidRPr="00B95774" w:rsidRDefault="00E4656C" w:rsidP="00B95774">
            <w:pPr>
              <w:spacing w:before="0" w:after="0"/>
              <w:jc w:val="center"/>
              <w:rPr>
                <w:rFonts w:asciiTheme="minorHAnsi" w:eastAsia="Univers LT Std 45 Light" w:hAnsiTheme="minorHAnsi" w:cstheme="minorHAnsi"/>
                <w:b/>
                <w:color w:val="000000"/>
                <w:sz w:val="16"/>
                <w:szCs w:val="16"/>
                <w:lang w:eastAsia="en-AU"/>
              </w:rPr>
            </w:pPr>
          </w:p>
        </w:tc>
        <w:tc>
          <w:tcPr>
            <w:tcW w:w="1016" w:type="dxa"/>
            <w:shd w:val="clear" w:color="auto" w:fill="D1DAF9" w:themeFill="accent1" w:themeFillTint="33"/>
            <w:noWrap/>
            <w:vAlign w:val="center"/>
            <w:hideMark/>
          </w:tcPr>
          <w:p w14:paraId="3DC84375" w14:textId="13787398"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0EF74824" wp14:editId="1C141F90">
                  <wp:extent cx="147071" cy="147071"/>
                  <wp:effectExtent l="0" t="0" r="5715" b="5715"/>
                  <wp:docPr id="1209123176" name="Picture 1209123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6" name="Picture 1209123176">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51" w:type="dxa"/>
            <w:shd w:val="clear" w:color="auto" w:fill="D1DAF9" w:themeFill="accent1" w:themeFillTint="33"/>
            <w:noWrap/>
            <w:vAlign w:val="center"/>
            <w:hideMark/>
          </w:tcPr>
          <w:p w14:paraId="46D0C7BB" w14:textId="63149F23"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2929E43F" wp14:editId="4B0B8A43">
                  <wp:extent cx="147071" cy="147071"/>
                  <wp:effectExtent l="0" t="0" r="5715" b="5715"/>
                  <wp:docPr id="1209123175" name="Picture 1209123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5" name="Picture 1209123175">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256" w:type="dxa"/>
            <w:shd w:val="clear" w:color="auto" w:fill="D1DAF9" w:themeFill="accent1" w:themeFillTint="33"/>
            <w:noWrap/>
            <w:vAlign w:val="center"/>
            <w:hideMark/>
          </w:tcPr>
          <w:p w14:paraId="528B1DCF" w14:textId="77777777" w:rsidR="00E4656C" w:rsidRPr="00B95774" w:rsidRDefault="00E4656C" w:rsidP="00B95774">
            <w:pPr>
              <w:spacing w:before="0" w:after="0"/>
              <w:jc w:val="center"/>
              <w:rPr>
                <w:rFonts w:asciiTheme="minorHAnsi" w:eastAsia="Univers LT Std 45 Light" w:hAnsiTheme="minorHAnsi" w:cstheme="minorHAnsi"/>
                <w:color w:val="000000"/>
                <w:sz w:val="16"/>
                <w:szCs w:val="16"/>
                <w:lang w:eastAsia="en-AU"/>
              </w:rPr>
            </w:pPr>
          </w:p>
        </w:tc>
        <w:tc>
          <w:tcPr>
            <w:tcW w:w="1136" w:type="dxa"/>
            <w:shd w:val="clear" w:color="auto" w:fill="D1DAF9" w:themeFill="accent1" w:themeFillTint="33"/>
            <w:noWrap/>
            <w:vAlign w:val="center"/>
            <w:hideMark/>
          </w:tcPr>
          <w:p w14:paraId="3E0375FA"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036" w:type="dxa"/>
            <w:shd w:val="clear" w:color="auto" w:fill="D1DAF9" w:themeFill="accent1" w:themeFillTint="33"/>
            <w:noWrap/>
            <w:vAlign w:val="center"/>
            <w:hideMark/>
          </w:tcPr>
          <w:p w14:paraId="25D1C141" w14:textId="77777777"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25%</w:t>
            </w:r>
          </w:p>
        </w:tc>
      </w:tr>
      <w:tr w:rsidR="00E4656C" w:rsidRPr="00E4656C" w14:paraId="6532A08A" w14:textId="77777777" w:rsidTr="00B95774">
        <w:trPr>
          <w:trHeight w:val="227"/>
        </w:trPr>
        <w:tc>
          <w:tcPr>
            <w:tcW w:w="3256" w:type="dxa"/>
            <w:shd w:val="clear" w:color="auto" w:fill="auto"/>
            <w:noWrap/>
            <w:vAlign w:val="center"/>
            <w:hideMark/>
          </w:tcPr>
          <w:p w14:paraId="53365982" w14:textId="77777777"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Boiler</w:t>
            </w:r>
          </w:p>
        </w:tc>
        <w:tc>
          <w:tcPr>
            <w:tcW w:w="1240" w:type="dxa"/>
            <w:shd w:val="clear" w:color="auto" w:fill="auto"/>
            <w:noWrap/>
            <w:vAlign w:val="center"/>
            <w:hideMark/>
          </w:tcPr>
          <w:p w14:paraId="6714BFA5" w14:textId="77777777" w:rsidR="00E4656C" w:rsidRPr="00B95774" w:rsidRDefault="00E4656C" w:rsidP="00B95774">
            <w:pPr>
              <w:spacing w:before="0" w:after="0"/>
              <w:jc w:val="center"/>
              <w:rPr>
                <w:rFonts w:asciiTheme="minorHAnsi" w:eastAsia="Univers LT Std 45 Light" w:hAnsiTheme="minorHAnsi" w:cstheme="minorHAnsi"/>
                <w:b/>
                <w:color w:val="000000"/>
                <w:sz w:val="16"/>
                <w:szCs w:val="16"/>
                <w:lang w:eastAsia="en-AU"/>
              </w:rPr>
            </w:pPr>
          </w:p>
        </w:tc>
        <w:tc>
          <w:tcPr>
            <w:tcW w:w="1016" w:type="dxa"/>
            <w:shd w:val="clear" w:color="auto" w:fill="auto"/>
            <w:noWrap/>
            <w:vAlign w:val="center"/>
            <w:hideMark/>
          </w:tcPr>
          <w:p w14:paraId="2208FA9B"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151" w:type="dxa"/>
            <w:shd w:val="clear" w:color="auto" w:fill="auto"/>
            <w:noWrap/>
            <w:vAlign w:val="center"/>
            <w:hideMark/>
          </w:tcPr>
          <w:p w14:paraId="4D82C1BB" w14:textId="3FD2F998"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1BBE0C78" wp14:editId="173C9021">
                  <wp:extent cx="147071" cy="147071"/>
                  <wp:effectExtent l="0" t="0" r="5715" b="5715"/>
                  <wp:docPr id="1209123174" name="Picture 1209123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4" name="Picture 1209123174">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256" w:type="dxa"/>
            <w:shd w:val="clear" w:color="auto" w:fill="auto"/>
            <w:noWrap/>
            <w:vAlign w:val="center"/>
            <w:hideMark/>
          </w:tcPr>
          <w:p w14:paraId="2C4F1055" w14:textId="6C393392"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697C6086" wp14:editId="4224C23E">
                  <wp:extent cx="147071" cy="147071"/>
                  <wp:effectExtent l="0" t="0" r="5715" b="5715"/>
                  <wp:docPr id="1209123173" name="Picture 1209123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3" name="Picture 1209123173">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36" w:type="dxa"/>
            <w:shd w:val="clear" w:color="auto" w:fill="auto"/>
            <w:noWrap/>
            <w:vAlign w:val="center"/>
            <w:hideMark/>
          </w:tcPr>
          <w:p w14:paraId="703247D8" w14:textId="14E3A196"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7BBAA366" wp14:editId="14C419F7">
                  <wp:extent cx="147071" cy="147071"/>
                  <wp:effectExtent l="0" t="0" r="5715" b="5715"/>
                  <wp:docPr id="1209123172" name="Picture 1209123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2" name="Picture 1209123172">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36" w:type="dxa"/>
            <w:shd w:val="clear" w:color="auto" w:fill="auto"/>
            <w:noWrap/>
            <w:vAlign w:val="center"/>
            <w:hideMark/>
          </w:tcPr>
          <w:p w14:paraId="53FB27CC" w14:textId="77777777"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12%</w:t>
            </w:r>
          </w:p>
        </w:tc>
      </w:tr>
      <w:tr w:rsidR="00642D7C" w:rsidRPr="00E4656C" w14:paraId="17D3816F" w14:textId="77777777" w:rsidTr="00B95774">
        <w:trPr>
          <w:trHeight w:val="227"/>
        </w:trPr>
        <w:tc>
          <w:tcPr>
            <w:tcW w:w="3256" w:type="dxa"/>
            <w:shd w:val="clear" w:color="auto" w:fill="D1DAF9" w:themeFill="accent1" w:themeFillTint="33"/>
            <w:noWrap/>
            <w:vAlign w:val="center"/>
          </w:tcPr>
          <w:p w14:paraId="54AA9C8F" w14:textId="413E263E" w:rsidR="00642D7C" w:rsidRPr="002E7D6C" w:rsidRDefault="004D574F"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Variable speed drive (</w:t>
            </w:r>
            <w:proofErr w:type="spellStart"/>
            <w:r w:rsidRPr="002E7D6C">
              <w:rPr>
                <w:rFonts w:asciiTheme="minorHAnsi" w:eastAsia="Univers LT Std 45 Light" w:hAnsiTheme="minorHAnsi" w:cstheme="minorHAnsi"/>
                <w:color w:val="000000"/>
                <w:sz w:val="22"/>
                <w:lang w:eastAsia="en-AU"/>
              </w:rPr>
              <w:t>VSD</w:t>
            </w:r>
            <w:proofErr w:type="spellEnd"/>
            <w:r w:rsidRPr="002E7D6C">
              <w:rPr>
                <w:rFonts w:asciiTheme="minorHAnsi" w:eastAsia="Univers LT Std 45 Light" w:hAnsiTheme="minorHAnsi" w:cstheme="minorHAnsi"/>
                <w:color w:val="000000"/>
                <w:sz w:val="22"/>
                <w:lang w:eastAsia="en-AU"/>
              </w:rPr>
              <w:t>)</w:t>
            </w:r>
          </w:p>
        </w:tc>
        <w:tc>
          <w:tcPr>
            <w:tcW w:w="1240" w:type="dxa"/>
            <w:shd w:val="clear" w:color="auto" w:fill="D1DAF9" w:themeFill="accent1" w:themeFillTint="33"/>
            <w:noWrap/>
            <w:vAlign w:val="center"/>
          </w:tcPr>
          <w:p w14:paraId="30450E50" w14:textId="77777777" w:rsidR="00642D7C" w:rsidRPr="00B95774" w:rsidRDefault="00642D7C" w:rsidP="00B95774">
            <w:pPr>
              <w:spacing w:before="0" w:after="0"/>
              <w:jc w:val="center"/>
              <w:rPr>
                <w:rFonts w:asciiTheme="minorHAnsi" w:eastAsia="Univers LT Std 45 Light" w:hAnsiTheme="minorHAnsi" w:cstheme="minorHAnsi"/>
                <w:b/>
                <w:color w:val="000000"/>
                <w:sz w:val="16"/>
                <w:szCs w:val="16"/>
                <w:lang w:eastAsia="en-AU"/>
              </w:rPr>
            </w:pPr>
          </w:p>
        </w:tc>
        <w:tc>
          <w:tcPr>
            <w:tcW w:w="1016" w:type="dxa"/>
            <w:shd w:val="clear" w:color="auto" w:fill="D1DAF9" w:themeFill="accent1" w:themeFillTint="33"/>
            <w:noWrap/>
            <w:vAlign w:val="center"/>
          </w:tcPr>
          <w:p w14:paraId="6442F045" w14:textId="77777777" w:rsidR="00642D7C" w:rsidRPr="00B95774" w:rsidRDefault="00642D7C" w:rsidP="00B95774">
            <w:pPr>
              <w:spacing w:before="0" w:after="0"/>
              <w:jc w:val="center"/>
              <w:rPr>
                <w:rFonts w:asciiTheme="minorHAnsi" w:eastAsia="Univers LT Std 45 Light" w:hAnsiTheme="minorHAnsi" w:cstheme="minorHAnsi"/>
                <w:color w:val="auto"/>
                <w:sz w:val="16"/>
                <w:szCs w:val="16"/>
                <w:lang w:eastAsia="en-AU"/>
              </w:rPr>
            </w:pPr>
          </w:p>
        </w:tc>
        <w:tc>
          <w:tcPr>
            <w:tcW w:w="1151" w:type="dxa"/>
            <w:shd w:val="clear" w:color="auto" w:fill="D1DAF9" w:themeFill="accent1" w:themeFillTint="33"/>
            <w:noWrap/>
            <w:vAlign w:val="center"/>
          </w:tcPr>
          <w:p w14:paraId="770885C4" w14:textId="748EF2FA" w:rsidR="00642D7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2B0C6119" wp14:editId="161874E5">
                  <wp:extent cx="147071" cy="147071"/>
                  <wp:effectExtent l="0" t="0" r="5715" b="5715"/>
                  <wp:docPr id="1209123178" name="Picture 1209123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8" name="Picture 1209123178">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256" w:type="dxa"/>
            <w:shd w:val="clear" w:color="auto" w:fill="D1DAF9" w:themeFill="accent1" w:themeFillTint="33"/>
            <w:noWrap/>
            <w:vAlign w:val="center"/>
          </w:tcPr>
          <w:p w14:paraId="1D00B654" w14:textId="698912E1" w:rsidR="00642D7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4AA634E7" wp14:editId="7577F5AA">
                  <wp:extent cx="147071" cy="147071"/>
                  <wp:effectExtent l="0" t="0" r="5715" b="5715"/>
                  <wp:docPr id="1209123180" name="Picture 1209123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0" name="Picture 1209123180">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36" w:type="dxa"/>
            <w:shd w:val="clear" w:color="auto" w:fill="D1DAF9" w:themeFill="accent1" w:themeFillTint="33"/>
            <w:noWrap/>
            <w:vAlign w:val="center"/>
          </w:tcPr>
          <w:p w14:paraId="3F5F6D63" w14:textId="0F61353F" w:rsidR="00642D7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1F44777F" wp14:editId="09720008">
                  <wp:extent cx="147071" cy="147071"/>
                  <wp:effectExtent l="0" t="0" r="5715" b="5715"/>
                  <wp:docPr id="1209123181" name="Picture 1209123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1" name="Picture 1209123181">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36" w:type="dxa"/>
            <w:shd w:val="clear" w:color="auto" w:fill="D1DAF9" w:themeFill="accent1" w:themeFillTint="33"/>
            <w:noWrap/>
            <w:vAlign w:val="center"/>
          </w:tcPr>
          <w:p w14:paraId="4AF443A2" w14:textId="0F345D7C" w:rsidR="00642D7C" w:rsidRPr="002E7D6C" w:rsidRDefault="00586B9D"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2</w:t>
            </w:r>
            <w:r w:rsidR="00E75147" w:rsidRPr="002E7D6C">
              <w:rPr>
                <w:rFonts w:asciiTheme="minorHAnsi" w:eastAsia="Univers LT Std 45 Light" w:hAnsiTheme="minorHAnsi" w:cstheme="minorHAnsi"/>
                <w:b/>
                <w:color w:val="000000"/>
                <w:sz w:val="22"/>
                <w:lang w:eastAsia="en-AU"/>
              </w:rPr>
              <w:t>0</w:t>
            </w:r>
            <w:r w:rsidRPr="002E7D6C">
              <w:rPr>
                <w:rFonts w:asciiTheme="minorHAnsi" w:eastAsia="Univers LT Std 45 Light" w:hAnsiTheme="minorHAnsi" w:cstheme="minorHAnsi"/>
                <w:b/>
                <w:color w:val="000000"/>
                <w:sz w:val="22"/>
                <w:lang w:eastAsia="en-AU"/>
              </w:rPr>
              <w:t>%</w:t>
            </w:r>
          </w:p>
        </w:tc>
      </w:tr>
      <w:tr w:rsidR="00E4656C" w:rsidRPr="00E4656C" w14:paraId="5826A15F" w14:textId="77777777" w:rsidTr="00B95774">
        <w:trPr>
          <w:trHeight w:val="227"/>
        </w:trPr>
        <w:tc>
          <w:tcPr>
            <w:tcW w:w="3256" w:type="dxa"/>
            <w:shd w:val="clear" w:color="auto" w:fill="auto"/>
            <w:noWrap/>
            <w:vAlign w:val="center"/>
            <w:hideMark/>
          </w:tcPr>
          <w:p w14:paraId="6245A965" w14:textId="77777777"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Variable Air Volume</w:t>
            </w:r>
          </w:p>
        </w:tc>
        <w:tc>
          <w:tcPr>
            <w:tcW w:w="1240" w:type="dxa"/>
            <w:shd w:val="clear" w:color="auto" w:fill="auto"/>
            <w:noWrap/>
            <w:vAlign w:val="center"/>
            <w:hideMark/>
          </w:tcPr>
          <w:p w14:paraId="25806AAC" w14:textId="77777777" w:rsidR="00E4656C" w:rsidRPr="00B95774" w:rsidRDefault="00E4656C" w:rsidP="00B95774">
            <w:pPr>
              <w:spacing w:before="0" w:after="0"/>
              <w:jc w:val="center"/>
              <w:rPr>
                <w:rFonts w:asciiTheme="minorHAnsi" w:eastAsia="Univers LT Std 45 Light" w:hAnsiTheme="minorHAnsi" w:cstheme="minorHAnsi"/>
                <w:b/>
                <w:color w:val="000000"/>
                <w:sz w:val="16"/>
                <w:szCs w:val="16"/>
                <w:lang w:eastAsia="en-AU"/>
              </w:rPr>
            </w:pPr>
          </w:p>
        </w:tc>
        <w:tc>
          <w:tcPr>
            <w:tcW w:w="1016" w:type="dxa"/>
            <w:shd w:val="clear" w:color="auto" w:fill="auto"/>
            <w:noWrap/>
            <w:vAlign w:val="center"/>
            <w:hideMark/>
          </w:tcPr>
          <w:p w14:paraId="4A89204D"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151" w:type="dxa"/>
            <w:shd w:val="clear" w:color="auto" w:fill="auto"/>
            <w:noWrap/>
            <w:vAlign w:val="center"/>
            <w:hideMark/>
          </w:tcPr>
          <w:p w14:paraId="09A8FF52" w14:textId="3F576871"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174E7E76" wp14:editId="16E145C4">
                  <wp:extent cx="147071" cy="147071"/>
                  <wp:effectExtent l="0" t="0" r="5715" b="5715"/>
                  <wp:docPr id="1209123179" name="Picture 1209123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79" name="Picture 1209123179">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256" w:type="dxa"/>
            <w:shd w:val="clear" w:color="auto" w:fill="auto"/>
            <w:noWrap/>
            <w:vAlign w:val="center"/>
            <w:hideMark/>
          </w:tcPr>
          <w:p w14:paraId="33579BFF" w14:textId="3FAF63A0"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468DCE8F" wp14:editId="691CF49E">
                  <wp:extent cx="147071" cy="147071"/>
                  <wp:effectExtent l="0" t="0" r="5715" b="5715"/>
                  <wp:docPr id="1209123183" name="Picture 1209123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3" name="Picture 1209123183">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36" w:type="dxa"/>
            <w:shd w:val="clear" w:color="auto" w:fill="auto"/>
            <w:noWrap/>
            <w:vAlign w:val="center"/>
            <w:hideMark/>
          </w:tcPr>
          <w:p w14:paraId="430849BF" w14:textId="1CB9054B"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010CDA01" wp14:editId="43492BAA">
                  <wp:extent cx="147071" cy="147071"/>
                  <wp:effectExtent l="0" t="0" r="5715" b="5715"/>
                  <wp:docPr id="1209123182" name="Picture 1209123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2" name="Picture 1209123182">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36" w:type="dxa"/>
            <w:shd w:val="clear" w:color="auto" w:fill="auto"/>
            <w:noWrap/>
            <w:vAlign w:val="center"/>
            <w:hideMark/>
          </w:tcPr>
          <w:p w14:paraId="3002027F" w14:textId="77777777"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15%</w:t>
            </w:r>
          </w:p>
        </w:tc>
      </w:tr>
      <w:tr w:rsidR="00E4656C" w:rsidRPr="00E4656C" w14:paraId="4F44BE4C" w14:textId="77777777" w:rsidTr="00B95774">
        <w:trPr>
          <w:trHeight w:val="227"/>
        </w:trPr>
        <w:tc>
          <w:tcPr>
            <w:tcW w:w="3256" w:type="dxa"/>
            <w:shd w:val="clear" w:color="auto" w:fill="D1DAF9" w:themeFill="accent1" w:themeFillTint="33"/>
            <w:noWrap/>
            <w:vAlign w:val="center"/>
            <w:hideMark/>
          </w:tcPr>
          <w:p w14:paraId="5D098E2E" w14:textId="77777777"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BMS Optimisation</w:t>
            </w:r>
          </w:p>
        </w:tc>
        <w:tc>
          <w:tcPr>
            <w:tcW w:w="1240" w:type="dxa"/>
            <w:shd w:val="clear" w:color="auto" w:fill="D1DAF9" w:themeFill="accent1" w:themeFillTint="33"/>
            <w:noWrap/>
            <w:vAlign w:val="center"/>
            <w:hideMark/>
          </w:tcPr>
          <w:p w14:paraId="52A05E4A" w14:textId="77777777" w:rsidR="00E4656C" w:rsidRPr="00B95774" w:rsidRDefault="00E4656C" w:rsidP="00B95774">
            <w:pPr>
              <w:spacing w:before="0" w:after="0"/>
              <w:jc w:val="center"/>
              <w:rPr>
                <w:rFonts w:asciiTheme="minorHAnsi" w:eastAsia="Univers LT Std 45 Light" w:hAnsiTheme="minorHAnsi" w:cstheme="minorHAnsi"/>
                <w:b/>
                <w:color w:val="000000"/>
                <w:sz w:val="16"/>
                <w:szCs w:val="16"/>
                <w:lang w:eastAsia="en-AU"/>
              </w:rPr>
            </w:pPr>
          </w:p>
        </w:tc>
        <w:tc>
          <w:tcPr>
            <w:tcW w:w="1016" w:type="dxa"/>
            <w:shd w:val="clear" w:color="auto" w:fill="D1DAF9" w:themeFill="accent1" w:themeFillTint="33"/>
            <w:noWrap/>
            <w:vAlign w:val="center"/>
            <w:hideMark/>
          </w:tcPr>
          <w:p w14:paraId="6D4E2614"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151" w:type="dxa"/>
            <w:shd w:val="clear" w:color="auto" w:fill="D1DAF9" w:themeFill="accent1" w:themeFillTint="33"/>
            <w:noWrap/>
            <w:vAlign w:val="center"/>
            <w:hideMark/>
          </w:tcPr>
          <w:p w14:paraId="6A17CE5D"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256" w:type="dxa"/>
            <w:shd w:val="clear" w:color="auto" w:fill="D1DAF9" w:themeFill="accent1" w:themeFillTint="33"/>
            <w:noWrap/>
            <w:vAlign w:val="center"/>
            <w:hideMark/>
          </w:tcPr>
          <w:p w14:paraId="2E54C4CA" w14:textId="6D9CB2BF"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2F822FD1" wp14:editId="7A6CF60F">
                  <wp:extent cx="147071" cy="147071"/>
                  <wp:effectExtent l="0" t="0" r="5715" b="5715"/>
                  <wp:docPr id="1209123184" name="Picture 1209123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4" name="Picture 1209123184">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36" w:type="dxa"/>
            <w:shd w:val="clear" w:color="auto" w:fill="D1DAF9" w:themeFill="accent1" w:themeFillTint="33"/>
            <w:noWrap/>
            <w:vAlign w:val="center"/>
            <w:hideMark/>
          </w:tcPr>
          <w:p w14:paraId="050E4EA8" w14:textId="27526F43"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2083141D" wp14:editId="5B3E270D">
                  <wp:extent cx="147071" cy="147071"/>
                  <wp:effectExtent l="0" t="0" r="5715" b="5715"/>
                  <wp:docPr id="1209123187" name="Picture 1209123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7" name="Picture 1209123187">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36" w:type="dxa"/>
            <w:shd w:val="clear" w:color="auto" w:fill="D1DAF9" w:themeFill="accent1" w:themeFillTint="33"/>
            <w:noWrap/>
            <w:vAlign w:val="center"/>
            <w:hideMark/>
          </w:tcPr>
          <w:p w14:paraId="10EC2B45" w14:textId="77777777"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40%</w:t>
            </w:r>
          </w:p>
        </w:tc>
      </w:tr>
      <w:tr w:rsidR="00E4656C" w:rsidRPr="00E4656C" w14:paraId="5A1E52D7" w14:textId="77777777" w:rsidTr="00B95774">
        <w:trPr>
          <w:trHeight w:val="227"/>
        </w:trPr>
        <w:tc>
          <w:tcPr>
            <w:tcW w:w="3256" w:type="dxa"/>
            <w:tcBorders>
              <w:bottom w:val="single" w:sz="4" w:space="0" w:color="auto"/>
            </w:tcBorders>
            <w:shd w:val="clear" w:color="auto" w:fill="auto"/>
            <w:noWrap/>
            <w:vAlign w:val="center"/>
            <w:hideMark/>
          </w:tcPr>
          <w:p w14:paraId="1B454759" w14:textId="77777777"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Chiller</w:t>
            </w:r>
          </w:p>
        </w:tc>
        <w:tc>
          <w:tcPr>
            <w:tcW w:w="1240" w:type="dxa"/>
            <w:tcBorders>
              <w:bottom w:val="single" w:sz="4" w:space="0" w:color="auto"/>
            </w:tcBorders>
            <w:shd w:val="clear" w:color="auto" w:fill="auto"/>
            <w:noWrap/>
            <w:vAlign w:val="center"/>
            <w:hideMark/>
          </w:tcPr>
          <w:p w14:paraId="4BCEDDB9" w14:textId="77777777" w:rsidR="00E4656C" w:rsidRPr="00B95774" w:rsidRDefault="00E4656C" w:rsidP="00B95774">
            <w:pPr>
              <w:spacing w:before="0" w:after="0"/>
              <w:jc w:val="center"/>
              <w:rPr>
                <w:rFonts w:asciiTheme="minorHAnsi" w:eastAsia="Univers LT Std 45 Light" w:hAnsiTheme="minorHAnsi" w:cstheme="minorHAnsi"/>
                <w:b/>
                <w:color w:val="000000"/>
                <w:sz w:val="16"/>
                <w:szCs w:val="16"/>
                <w:lang w:eastAsia="en-AU"/>
              </w:rPr>
            </w:pPr>
          </w:p>
        </w:tc>
        <w:tc>
          <w:tcPr>
            <w:tcW w:w="1016" w:type="dxa"/>
            <w:tcBorders>
              <w:bottom w:val="single" w:sz="4" w:space="0" w:color="auto"/>
            </w:tcBorders>
            <w:shd w:val="clear" w:color="auto" w:fill="auto"/>
            <w:noWrap/>
            <w:vAlign w:val="center"/>
            <w:hideMark/>
          </w:tcPr>
          <w:p w14:paraId="5A1CEB7B"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151" w:type="dxa"/>
            <w:tcBorders>
              <w:bottom w:val="single" w:sz="4" w:space="0" w:color="auto"/>
            </w:tcBorders>
            <w:shd w:val="clear" w:color="auto" w:fill="auto"/>
            <w:noWrap/>
            <w:vAlign w:val="center"/>
            <w:hideMark/>
          </w:tcPr>
          <w:p w14:paraId="2282AF64"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256" w:type="dxa"/>
            <w:tcBorders>
              <w:bottom w:val="single" w:sz="4" w:space="0" w:color="auto"/>
            </w:tcBorders>
            <w:shd w:val="clear" w:color="auto" w:fill="auto"/>
            <w:noWrap/>
            <w:vAlign w:val="center"/>
            <w:hideMark/>
          </w:tcPr>
          <w:p w14:paraId="0A8F63C7" w14:textId="54A63DC3"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089C5648" wp14:editId="4F17F746">
                  <wp:extent cx="147071" cy="147071"/>
                  <wp:effectExtent l="0" t="0" r="5715" b="5715"/>
                  <wp:docPr id="1209123185" name="Picture 1209123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5" name="Picture 1209123185">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36" w:type="dxa"/>
            <w:tcBorders>
              <w:bottom w:val="single" w:sz="4" w:space="0" w:color="auto"/>
            </w:tcBorders>
            <w:shd w:val="clear" w:color="auto" w:fill="auto"/>
            <w:noWrap/>
            <w:vAlign w:val="center"/>
            <w:hideMark/>
          </w:tcPr>
          <w:p w14:paraId="39F3719B" w14:textId="30579E97"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2C6BC4AC" wp14:editId="4128A392">
                  <wp:extent cx="147071" cy="147071"/>
                  <wp:effectExtent l="0" t="0" r="5715" b="5715"/>
                  <wp:docPr id="1209123186" name="Picture 1209123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6" name="Picture 1209123186">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36" w:type="dxa"/>
            <w:tcBorders>
              <w:bottom w:val="single" w:sz="4" w:space="0" w:color="auto"/>
            </w:tcBorders>
            <w:shd w:val="clear" w:color="auto" w:fill="auto"/>
            <w:noWrap/>
            <w:vAlign w:val="center"/>
            <w:hideMark/>
          </w:tcPr>
          <w:p w14:paraId="4B5A1682" w14:textId="77777777"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8%</w:t>
            </w:r>
          </w:p>
        </w:tc>
      </w:tr>
      <w:tr w:rsidR="00E4656C" w:rsidRPr="00E4656C" w14:paraId="1D1D3C45" w14:textId="77777777" w:rsidTr="00B95774">
        <w:trPr>
          <w:trHeight w:val="397"/>
        </w:trPr>
        <w:tc>
          <w:tcPr>
            <w:tcW w:w="3256" w:type="dxa"/>
            <w:tcBorders>
              <w:top w:val="single" w:sz="4" w:space="0" w:color="auto"/>
              <w:left w:val="single" w:sz="4" w:space="0" w:color="auto"/>
              <w:bottom w:val="single" w:sz="4" w:space="0" w:color="auto"/>
              <w:right w:val="single" w:sz="4" w:space="0" w:color="auto"/>
            </w:tcBorders>
            <w:shd w:val="clear" w:color="auto" w:fill="D1DAF9" w:themeFill="accent1" w:themeFillTint="33"/>
            <w:vAlign w:val="center"/>
            <w:hideMark/>
          </w:tcPr>
          <w:p w14:paraId="585CE53C" w14:textId="2E36F5F8" w:rsidR="00E4656C" w:rsidRPr="002E7D6C" w:rsidRDefault="00E4656C" w:rsidP="00B95774">
            <w:pPr>
              <w:spacing w:before="0" w:after="0"/>
              <w:rPr>
                <w:rFonts w:asciiTheme="minorHAnsi" w:eastAsia="Univers LT Std 45 Light" w:hAnsiTheme="minorHAnsi" w:cstheme="minorHAnsi"/>
                <w:color w:val="000000"/>
                <w:sz w:val="22"/>
                <w:lang w:eastAsia="en-AU"/>
              </w:rPr>
            </w:pPr>
            <w:r w:rsidRPr="002E7D6C">
              <w:rPr>
                <w:rFonts w:asciiTheme="minorHAnsi" w:eastAsia="Univers LT Std 45 Light" w:hAnsiTheme="minorHAnsi" w:cstheme="minorHAnsi"/>
                <w:color w:val="000000"/>
                <w:sz w:val="22"/>
                <w:lang w:eastAsia="en-AU"/>
              </w:rPr>
              <w:t>Low and no cost options (e.g</w:t>
            </w:r>
            <w:r w:rsidR="00D54793" w:rsidRPr="00D54793">
              <w:rPr>
                <w:rFonts w:asciiTheme="minorHAnsi" w:eastAsia="Univers LT Std 45 Light" w:hAnsiTheme="minorHAnsi" w:cstheme="minorHAnsi"/>
                <w:color w:val="000000"/>
                <w:sz w:val="22"/>
                <w:lang w:eastAsia="en-AU"/>
              </w:rPr>
              <w:t>.,</w:t>
            </w:r>
            <w:r w:rsidRPr="002E7D6C">
              <w:rPr>
                <w:rFonts w:asciiTheme="minorHAnsi" w:eastAsia="Univers LT Std 45 Light" w:hAnsiTheme="minorHAnsi" w:cstheme="minorHAnsi"/>
                <w:color w:val="000000"/>
                <w:sz w:val="22"/>
                <w:lang w:eastAsia="en-AU"/>
              </w:rPr>
              <w:t xml:space="preserve"> behaviour change, control</w:t>
            </w:r>
            <w:r w:rsidR="0066363B" w:rsidRPr="002E7D6C">
              <w:rPr>
                <w:rFonts w:asciiTheme="minorHAnsi" w:eastAsia="Univers LT Std 45 Light" w:hAnsiTheme="minorHAnsi" w:cstheme="minorHAnsi"/>
                <w:color w:val="000000"/>
                <w:sz w:val="22"/>
                <w:lang w:eastAsia="en-AU"/>
              </w:rPr>
              <w:t>s</w:t>
            </w:r>
            <w:r w:rsidRPr="002E7D6C">
              <w:rPr>
                <w:rFonts w:asciiTheme="minorHAnsi" w:eastAsia="Univers LT Std 45 Light" w:hAnsiTheme="minorHAnsi" w:cstheme="minorHAnsi"/>
                <w:color w:val="000000"/>
                <w:sz w:val="22"/>
                <w:lang w:eastAsia="en-AU"/>
              </w:rPr>
              <w:t>)</w:t>
            </w:r>
          </w:p>
        </w:tc>
        <w:tc>
          <w:tcPr>
            <w:tcW w:w="1240" w:type="dxa"/>
            <w:tcBorders>
              <w:top w:val="single" w:sz="4" w:space="0" w:color="auto"/>
              <w:left w:val="single" w:sz="4" w:space="0" w:color="auto"/>
              <w:bottom w:val="single" w:sz="4" w:space="0" w:color="auto"/>
              <w:right w:val="single" w:sz="4" w:space="0" w:color="auto"/>
            </w:tcBorders>
            <w:shd w:val="clear" w:color="auto" w:fill="D1DAF9" w:themeFill="accent1" w:themeFillTint="33"/>
            <w:noWrap/>
            <w:vAlign w:val="center"/>
            <w:hideMark/>
          </w:tcPr>
          <w:p w14:paraId="7ED3148C" w14:textId="1A3C3A71"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139AB308" wp14:editId="120E0008">
                  <wp:extent cx="147071" cy="147071"/>
                  <wp:effectExtent l="0" t="0" r="5715" b="5715"/>
                  <wp:docPr id="1209123189" name="Picture 1209123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9" name="Picture 1209123189">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016" w:type="dxa"/>
            <w:tcBorders>
              <w:top w:val="single" w:sz="4" w:space="0" w:color="auto"/>
              <w:left w:val="single" w:sz="4" w:space="0" w:color="auto"/>
              <w:bottom w:val="single" w:sz="4" w:space="0" w:color="auto"/>
              <w:right w:val="single" w:sz="4" w:space="0" w:color="auto"/>
            </w:tcBorders>
            <w:shd w:val="clear" w:color="auto" w:fill="D1DAF9" w:themeFill="accent1" w:themeFillTint="33"/>
            <w:noWrap/>
            <w:vAlign w:val="center"/>
            <w:hideMark/>
          </w:tcPr>
          <w:p w14:paraId="02C83254" w14:textId="2C8B476C"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763FC8C2" wp14:editId="3E23EC9A">
                  <wp:extent cx="147071" cy="147071"/>
                  <wp:effectExtent l="0" t="0" r="5715" b="5715"/>
                  <wp:docPr id="1209123188" name="Picture 1209123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88" name="Picture 1209123188">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151" w:type="dxa"/>
            <w:tcBorders>
              <w:top w:val="single" w:sz="4" w:space="0" w:color="auto"/>
              <w:left w:val="single" w:sz="4" w:space="0" w:color="auto"/>
              <w:bottom w:val="single" w:sz="4" w:space="0" w:color="auto"/>
              <w:right w:val="single" w:sz="4" w:space="0" w:color="auto"/>
            </w:tcBorders>
            <w:shd w:val="clear" w:color="auto" w:fill="D1DAF9" w:themeFill="accent1" w:themeFillTint="33"/>
            <w:noWrap/>
            <w:vAlign w:val="center"/>
            <w:hideMark/>
          </w:tcPr>
          <w:p w14:paraId="553F708B" w14:textId="712654AA" w:rsidR="00E4656C" w:rsidRPr="00B95774" w:rsidRDefault="00B95774" w:rsidP="00B95774">
            <w:pPr>
              <w:spacing w:before="0" w:after="0"/>
              <w:jc w:val="center"/>
              <w:rPr>
                <w:rFonts w:asciiTheme="minorHAnsi" w:eastAsia="Univers LT Std 45 Light" w:hAnsiTheme="minorHAnsi" w:cstheme="minorHAnsi"/>
                <w:color w:val="000000"/>
                <w:sz w:val="16"/>
                <w:szCs w:val="16"/>
                <w:lang w:eastAsia="en-AU"/>
              </w:rPr>
            </w:pPr>
            <w:r w:rsidRPr="00B95774">
              <w:rPr>
                <w:rFonts w:asciiTheme="minorHAnsi" w:hAnsiTheme="minorHAnsi" w:cstheme="minorHAnsi"/>
                <w:noProof/>
                <w:sz w:val="12"/>
                <w:szCs w:val="12"/>
              </w:rPr>
              <w:drawing>
                <wp:inline distT="0" distB="0" distL="0" distR="0" wp14:anchorId="668AEC5A" wp14:editId="0338A48B">
                  <wp:extent cx="147071" cy="147071"/>
                  <wp:effectExtent l="0" t="0" r="5715" b="5715"/>
                  <wp:docPr id="1209123190" name="Picture 1209123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3190" name="Picture 1209123190">
                            <a:extLst>
                              <a:ext uri="{C183D7F6-B498-43B3-948B-1728B52AA6E4}">
                                <adec:decorative xmlns:adec="http://schemas.microsoft.com/office/drawing/2017/decorative" val="1"/>
                              </a:ext>
                            </a:extLst>
                          </pic:cNvPr>
                          <pic:cNvPicPr/>
                        </pic:nvPicPr>
                        <pic:blipFill>
                          <a:blip r:embed="rId17"/>
                          <a:stretch>
                            <a:fillRect/>
                          </a:stretch>
                        </pic:blipFill>
                        <pic:spPr>
                          <a:xfrm>
                            <a:off x="0" y="0"/>
                            <a:ext cx="154162" cy="154162"/>
                          </a:xfrm>
                          <a:prstGeom prst="rect">
                            <a:avLst/>
                          </a:prstGeom>
                        </pic:spPr>
                      </pic:pic>
                    </a:graphicData>
                  </a:graphic>
                </wp:inline>
              </w:drawing>
            </w:r>
          </w:p>
        </w:tc>
        <w:tc>
          <w:tcPr>
            <w:tcW w:w="1256" w:type="dxa"/>
            <w:tcBorders>
              <w:top w:val="single" w:sz="4" w:space="0" w:color="auto"/>
              <w:left w:val="single" w:sz="4" w:space="0" w:color="auto"/>
              <w:bottom w:val="single" w:sz="4" w:space="0" w:color="auto"/>
              <w:right w:val="single" w:sz="4" w:space="0" w:color="auto"/>
            </w:tcBorders>
            <w:shd w:val="clear" w:color="auto" w:fill="D1DAF9" w:themeFill="accent1" w:themeFillTint="33"/>
            <w:noWrap/>
            <w:vAlign w:val="center"/>
            <w:hideMark/>
          </w:tcPr>
          <w:p w14:paraId="7DCD6EE5" w14:textId="77777777" w:rsidR="00E4656C" w:rsidRPr="00B95774" w:rsidRDefault="00E4656C" w:rsidP="00B95774">
            <w:pPr>
              <w:spacing w:before="0" w:after="0"/>
              <w:jc w:val="center"/>
              <w:rPr>
                <w:rFonts w:asciiTheme="minorHAnsi" w:eastAsia="Univers LT Std 45 Light" w:hAnsiTheme="minorHAnsi" w:cstheme="minorHAnsi"/>
                <w:color w:val="000000"/>
                <w:sz w:val="16"/>
                <w:szCs w:val="16"/>
                <w:lang w:eastAsia="en-AU"/>
              </w:rPr>
            </w:pPr>
          </w:p>
        </w:tc>
        <w:tc>
          <w:tcPr>
            <w:tcW w:w="1136" w:type="dxa"/>
            <w:tcBorders>
              <w:top w:val="single" w:sz="4" w:space="0" w:color="auto"/>
              <w:left w:val="single" w:sz="4" w:space="0" w:color="auto"/>
              <w:bottom w:val="single" w:sz="4" w:space="0" w:color="auto"/>
              <w:right w:val="single" w:sz="4" w:space="0" w:color="auto"/>
            </w:tcBorders>
            <w:shd w:val="clear" w:color="auto" w:fill="D1DAF9" w:themeFill="accent1" w:themeFillTint="33"/>
            <w:noWrap/>
            <w:vAlign w:val="center"/>
            <w:hideMark/>
          </w:tcPr>
          <w:p w14:paraId="4D243556" w14:textId="77777777" w:rsidR="00E4656C" w:rsidRPr="00B95774" w:rsidRDefault="00E4656C" w:rsidP="00B95774">
            <w:pPr>
              <w:spacing w:before="0" w:after="0"/>
              <w:jc w:val="center"/>
              <w:rPr>
                <w:rFonts w:asciiTheme="minorHAnsi" w:eastAsia="Univers LT Std 45 Light" w:hAnsiTheme="minorHAnsi" w:cstheme="minorHAnsi"/>
                <w:color w:val="auto"/>
                <w:sz w:val="16"/>
                <w:szCs w:val="16"/>
                <w:lang w:eastAsia="en-AU"/>
              </w:rPr>
            </w:pPr>
          </w:p>
        </w:tc>
        <w:tc>
          <w:tcPr>
            <w:tcW w:w="1036" w:type="dxa"/>
            <w:tcBorders>
              <w:top w:val="single" w:sz="4" w:space="0" w:color="auto"/>
              <w:left w:val="single" w:sz="4" w:space="0" w:color="auto"/>
              <w:bottom w:val="single" w:sz="4" w:space="0" w:color="auto"/>
              <w:right w:val="single" w:sz="4" w:space="0" w:color="auto"/>
            </w:tcBorders>
            <w:shd w:val="clear" w:color="auto" w:fill="D1DAF9" w:themeFill="accent1" w:themeFillTint="33"/>
            <w:noWrap/>
            <w:vAlign w:val="center"/>
            <w:hideMark/>
          </w:tcPr>
          <w:p w14:paraId="011EFEAF" w14:textId="609CAE18" w:rsidR="00E4656C" w:rsidRPr="002E7D6C" w:rsidRDefault="00E4656C" w:rsidP="00B95774">
            <w:pPr>
              <w:spacing w:before="0" w:after="0"/>
              <w:jc w:val="center"/>
              <w:rPr>
                <w:rFonts w:asciiTheme="minorHAnsi" w:eastAsia="Univers LT Std 45 Light" w:hAnsiTheme="minorHAnsi" w:cstheme="minorHAnsi"/>
                <w:b/>
                <w:color w:val="000000"/>
                <w:sz w:val="22"/>
                <w:lang w:eastAsia="en-AU"/>
              </w:rPr>
            </w:pPr>
            <w:r w:rsidRPr="002E7D6C">
              <w:rPr>
                <w:rFonts w:asciiTheme="minorHAnsi" w:eastAsia="Univers LT Std 45 Light" w:hAnsiTheme="minorHAnsi" w:cstheme="minorHAnsi"/>
                <w:b/>
                <w:color w:val="000000"/>
                <w:sz w:val="22"/>
                <w:lang w:eastAsia="en-AU"/>
              </w:rPr>
              <w:t>400%</w:t>
            </w:r>
          </w:p>
        </w:tc>
      </w:tr>
    </w:tbl>
    <w:p w14:paraId="50ADF7D5" w14:textId="204D1F59" w:rsidR="009C60D4" w:rsidRPr="00D421BF" w:rsidRDefault="009C60D4" w:rsidP="009C60D4">
      <w:pPr>
        <w:pStyle w:val="Heading3"/>
        <w:rPr>
          <w:rFonts w:asciiTheme="minorHAnsi" w:hAnsiTheme="minorHAnsi" w:cstheme="minorHAnsi"/>
        </w:rPr>
      </w:pPr>
      <w:r w:rsidRPr="00D421BF">
        <w:rPr>
          <w:rFonts w:asciiTheme="minorHAnsi" w:hAnsiTheme="minorHAnsi" w:cstheme="minorHAnsi"/>
        </w:rPr>
        <w:lastRenderedPageBreak/>
        <w:t>Assessment compliance costs</w:t>
      </w:r>
    </w:p>
    <w:p w14:paraId="680CD269" w14:textId="61C1BE21" w:rsidR="009C60D4" w:rsidRDefault="000B2306" w:rsidP="009C60D4">
      <w:pPr>
        <w:pStyle w:val="BodyText"/>
        <w:rPr>
          <w:rFonts w:asciiTheme="minorHAnsi" w:hAnsiTheme="minorHAnsi" w:cstheme="minorHAnsi"/>
        </w:rPr>
      </w:pPr>
      <w:r w:rsidRPr="00D421BF">
        <w:rPr>
          <w:rFonts w:asciiTheme="minorHAnsi" w:hAnsiTheme="minorHAnsi" w:cstheme="minorHAnsi"/>
        </w:rPr>
        <w:t xml:space="preserve">A cost that was assumed to occur across all </w:t>
      </w:r>
      <w:r w:rsidR="00771666" w:rsidRPr="00D421BF">
        <w:rPr>
          <w:rFonts w:asciiTheme="minorHAnsi" w:hAnsiTheme="minorHAnsi" w:cstheme="minorHAnsi"/>
        </w:rPr>
        <w:t xml:space="preserve">policies assessed related to the compliance </w:t>
      </w:r>
      <w:r w:rsidR="007A0E6B" w:rsidRPr="00D421BF">
        <w:rPr>
          <w:rFonts w:asciiTheme="minorHAnsi" w:hAnsiTheme="minorHAnsi" w:cstheme="minorHAnsi"/>
        </w:rPr>
        <w:t xml:space="preserve">that building owners would need to perform to meet the needs of each policy. These costs included estimates of NABERS program fees, </w:t>
      </w:r>
      <w:proofErr w:type="spellStart"/>
      <w:r w:rsidR="00564D7B" w:rsidRPr="00D421BF">
        <w:rPr>
          <w:rFonts w:asciiTheme="minorHAnsi" w:hAnsiTheme="minorHAnsi" w:cstheme="minorHAnsi"/>
        </w:rPr>
        <w:t>BEEC</w:t>
      </w:r>
      <w:proofErr w:type="spellEnd"/>
      <w:r w:rsidR="00564D7B" w:rsidRPr="00D421BF">
        <w:rPr>
          <w:rFonts w:asciiTheme="minorHAnsi" w:hAnsiTheme="minorHAnsi" w:cstheme="minorHAnsi"/>
        </w:rPr>
        <w:t xml:space="preserve"> fees and the costs of assessors conducting the </w:t>
      </w:r>
      <w:r w:rsidR="00E37403" w:rsidRPr="00D421BF">
        <w:rPr>
          <w:rFonts w:asciiTheme="minorHAnsi" w:hAnsiTheme="minorHAnsi" w:cstheme="minorHAnsi"/>
        </w:rPr>
        <w:t xml:space="preserve">review of the building. Cost estimates were based on existing </w:t>
      </w:r>
      <w:proofErr w:type="spellStart"/>
      <w:r w:rsidR="00E37403" w:rsidRPr="00D421BF">
        <w:rPr>
          <w:rFonts w:asciiTheme="minorHAnsi" w:hAnsiTheme="minorHAnsi" w:cstheme="minorHAnsi"/>
        </w:rPr>
        <w:t>NABERs</w:t>
      </w:r>
      <w:proofErr w:type="spellEnd"/>
      <w:r w:rsidR="00E37403" w:rsidRPr="00D421BF">
        <w:rPr>
          <w:rFonts w:asciiTheme="minorHAnsi" w:hAnsiTheme="minorHAnsi" w:cstheme="minorHAnsi"/>
        </w:rPr>
        <w:t xml:space="preserve"> and </w:t>
      </w:r>
      <w:proofErr w:type="spellStart"/>
      <w:r w:rsidR="00E37403" w:rsidRPr="00D421BF">
        <w:rPr>
          <w:rFonts w:asciiTheme="minorHAnsi" w:hAnsiTheme="minorHAnsi" w:cstheme="minorHAnsi"/>
        </w:rPr>
        <w:t>BEEC</w:t>
      </w:r>
      <w:proofErr w:type="spellEnd"/>
      <w:r w:rsidR="00E37403" w:rsidRPr="00D421BF">
        <w:rPr>
          <w:rFonts w:asciiTheme="minorHAnsi" w:hAnsiTheme="minorHAnsi" w:cstheme="minorHAnsi"/>
        </w:rPr>
        <w:t xml:space="preserve"> fees and </w:t>
      </w:r>
      <w:r w:rsidR="000606A1" w:rsidRPr="00D421BF">
        <w:rPr>
          <w:rFonts w:asciiTheme="minorHAnsi" w:hAnsiTheme="minorHAnsi" w:cstheme="minorHAnsi"/>
        </w:rPr>
        <w:t>scaled by the relative size of the building. Additionally, NABERS fees were assumed to be discounted by 50% for the first year of the program, as per the existing program design.</w:t>
      </w:r>
      <w:r w:rsidR="00CD0529">
        <w:rPr>
          <w:rFonts w:asciiTheme="minorHAnsi" w:hAnsiTheme="minorHAnsi" w:cstheme="minorHAnsi"/>
        </w:rPr>
        <w:t xml:space="preserve"> The </w:t>
      </w:r>
      <w:r w:rsidR="005C03BC">
        <w:rPr>
          <w:rFonts w:asciiTheme="minorHAnsi" w:hAnsiTheme="minorHAnsi" w:cstheme="minorHAnsi"/>
        </w:rPr>
        <w:t>compliance costs</w:t>
      </w:r>
      <w:r w:rsidR="006E3FA2">
        <w:rPr>
          <w:rFonts w:asciiTheme="minorHAnsi" w:hAnsiTheme="minorHAnsi" w:cstheme="minorHAnsi"/>
        </w:rPr>
        <w:t xml:space="preserve"> assumptions</w:t>
      </w:r>
      <w:r w:rsidR="005C03BC">
        <w:rPr>
          <w:rFonts w:asciiTheme="minorHAnsi" w:hAnsiTheme="minorHAnsi" w:cstheme="minorHAnsi"/>
        </w:rPr>
        <w:t xml:space="preserve"> for the disclosure program are presented in the table below</w:t>
      </w:r>
      <w:r w:rsidR="006E3FA2">
        <w:rPr>
          <w:rFonts w:asciiTheme="minorHAnsi" w:hAnsiTheme="minorHAnsi" w:cstheme="minorHAnsi"/>
        </w:rPr>
        <w:t>.</w:t>
      </w:r>
      <w:r w:rsidR="00363559">
        <w:rPr>
          <w:rFonts w:asciiTheme="minorHAnsi" w:hAnsiTheme="minorHAnsi" w:cstheme="minorHAnsi"/>
        </w:rPr>
        <w:t xml:space="preserve"> These costs w</w:t>
      </w:r>
      <w:r w:rsidR="00803DCB">
        <w:rPr>
          <w:rFonts w:asciiTheme="minorHAnsi" w:hAnsiTheme="minorHAnsi" w:cstheme="minorHAnsi"/>
        </w:rPr>
        <w:t>ere</w:t>
      </w:r>
      <w:r w:rsidR="00CA74CE">
        <w:rPr>
          <w:rFonts w:asciiTheme="minorHAnsi" w:hAnsiTheme="minorHAnsi" w:cstheme="minorHAnsi"/>
        </w:rPr>
        <w:t xml:space="preserve"> kept constant </w:t>
      </w:r>
      <w:r w:rsidR="00E45D00">
        <w:rPr>
          <w:rFonts w:asciiTheme="minorHAnsi" w:hAnsiTheme="minorHAnsi" w:cstheme="minorHAnsi"/>
        </w:rPr>
        <w:t xml:space="preserve">from the second year onwards for simplicity, however it is likely </w:t>
      </w:r>
      <w:r w:rsidR="00802A86">
        <w:rPr>
          <w:rFonts w:asciiTheme="minorHAnsi" w:hAnsiTheme="minorHAnsi" w:cstheme="minorHAnsi"/>
        </w:rPr>
        <w:t xml:space="preserve">that </w:t>
      </w:r>
      <w:r w:rsidR="00E20EC8">
        <w:rPr>
          <w:rFonts w:asciiTheme="minorHAnsi" w:hAnsiTheme="minorHAnsi" w:cstheme="minorHAnsi"/>
        </w:rPr>
        <w:t>efficiencies in the assessment fees will be found through repetition</w:t>
      </w:r>
      <w:r w:rsidR="007A0499">
        <w:rPr>
          <w:rFonts w:asciiTheme="minorHAnsi" w:hAnsiTheme="minorHAnsi" w:cstheme="minorHAnsi"/>
        </w:rPr>
        <w:t xml:space="preserve"> of assessments. </w:t>
      </w:r>
      <w:r w:rsidR="00825C2D">
        <w:rPr>
          <w:rFonts w:asciiTheme="minorHAnsi" w:hAnsiTheme="minorHAnsi" w:cstheme="minorHAnsi"/>
        </w:rPr>
        <w:t>Assessor fees include assumed travel</w:t>
      </w:r>
      <w:r w:rsidR="00886A77">
        <w:rPr>
          <w:rFonts w:asciiTheme="minorHAnsi" w:hAnsiTheme="minorHAnsi" w:cstheme="minorHAnsi"/>
        </w:rPr>
        <w:t>.</w:t>
      </w:r>
    </w:p>
    <w:p w14:paraId="234838AC" w14:textId="46CDC7A6" w:rsidR="00C3314D" w:rsidRPr="00732C3A" w:rsidRDefault="00C3314D" w:rsidP="00732C3A">
      <w:pPr>
        <w:pStyle w:val="Caption"/>
        <w:keepNext/>
        <w:spacing w:after="120"/>
        <w:rPr>
          <w:rFonts w:ascii="Calibri" w:eastAsia="Times New Roman" w:hAnsi="Calibri" w:cs="Times New Roman"/>
          <w:b/>
          <w:bCs/>
          <w:i w:val="0"/>
          <w:iCs w:val="0"/>
          <w:color w:val="auto"/>
          <w:sz w:val="24"/>
        </w:rPr>
      </w:pPr>
      <w:bookmarkStart w:id="228" w:name="_Toc162535457"/>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 xml:space="preserve"> SEQ Table \* ARABIC </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21</w:t>
      </w:r>
      <w:r w:rsidRPr="00732C3A">
        <w:rPr>
          <w:rFonts w:ascii="Calibri" w:eastAsia="Times New Roman" w:hAnsi="Calibri" w:cs="Times New Roman"/>
          <w:b/>
          <w:bCs/>
          <w:i w:val="0"/>
          <w:iCs w:val="0"/>
          <w:color w:val="auto"/>
          <w:sz w:val="24"/>
        </w:rPr>
        <w:fldChar w:fldCharType="end"/>
      </w:r>
      <w:r w:rsidR="00793EF0" w:rsidRPr="00732C3A">
        <w:rPr>
          <w:rFonts w:ascii="Calibri" w:eastAsia="Times New Roman" w:hAnsi="Calibri" w:cs="Times New Roman"/>
          <w:b/>
          <w:bCs/>
          <w:i w:val="0"/>
          <w:iCs w:val="0"/>
          <w:color w:val="auto"/>
          <w:sz w:val="24"/>
        </w:rPr>
        <w:t xml:space="preserve">: </w:t>
      </w:r>
      <w:r w:rsidRPr="00732C3A">
        <w:rPr>
          <w:rFonts w:ascii="Calibri" w:eastAsia="Times New Roman" w:hAnsi="Calibri" w:cs="Times New Roman"/>
          <w:b/>
          <w:bCs/>
          <w:i w:val="0"/>
          <w:iCs w:val="0"/>
          <w:color w:val="auto"/>
          <w:sz w:val="24"/>
        </w:rPr>
        <w:t xml:space="preserve"> Assumed compliance cost for </w:t>
      </w:r>
      <w:proofErr w:type="gramStart"/>
      <w:r w:rsidRPr="00732C3A">
        <w:rPr>
          <w:rFonts w:ascii="Calibri" w:eastAsia="Times New Roman" w:hAnsi="Calibri" w:cs="Times New Roman"/>
          <w:b/>
          <w:bCs/>
          <w:i w:val="0"/>
          <w:iCs w:val="0"/>
          <w:color w:val="auto"/>
          <w:sz w:val="24"/>
        </w:rPr>
        <w:t>disclosure</w:t>
      </w:r>
      <w:bookmarkEnd w:id="228"/>
      <w:proofErr w:type="gramEnd"/>
    </w:p>
    <w:tbl>
      <w:tblPr>
        <w:tblW w:w="6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3"/>
        <w:gridCol w:w="850"/>
        <w:gridCol w:w="1134"/>
        <w:gridCol w:w="851"/>
        <w:gridCol w:w="1222"/>
      </w:tblGrid>
      <w:tr w:rsidR="006E3FA2" w:rsidRPr="006E3FA2" w14:paraId="58769EB7" w14:textId="77777777" w:rsidTr="008A0AEB">
        <w:trPr>
          <w:trHeight w:val="300"/>
        </w:trPr>
        <w:tc>
          <w:tcPr>
            <w:tcW w:w="6184" w:type="dxa"/>
            <w:gridSpan w:val="6"/>
            <w:shd w:val="clear" w:color="000000" w:fill="D6DCE4"/>
            <w:noWrap/>
            <w:vAlign w:val="bottom"/>
            <w:hideMark/>
          </w:tcPr>
          <w:p w14:paraId="5CCA5047" w14:textId="77777777" w:rsidR="006E3FA2" w:rsidRPr="006E3FA2" w:rsidRDefault="006E3FA2" w:rsidP="006E3FA2">
            <w:pPr>
              <w:spacing w:before="0" w:after="0"/>
              <w:jc w:val="center"/>
              <w:rPr>
                <w:rFonts w:ascii="Calibri" w:eastAsia="Times New Roman" w:hAnsi="Calibri" w:cs="Calibri"/>
                <w:b/>
                <w:bCs/>
                <w:color w:val="000000"/>
                <w:sz w:val="22"/>
                <w:lang w:eastAsia="en-AU"/>
              </w:rPr>
            </w:pPr>
            <w:r w:rsidRPr="006E3FA2">
              <w:rPr>
                <w:rFonts w:ascii="Calibri" w:eastAsia="Times New Roman" w:hAnsi="Calibri" w:cs="Calibri"/>
                <w:b/>
                <w:bCs/>
                <w:color w:val="000000"/>
                <w:sz w:val="22"/>
                <w:lang w:eastAsia="en-AU"/>
              </w:rPr>
              <w:t xml:space="preserve">NABERS + </w:t>
            </w:r>
            <w:proofErr w:type="spellStart"/>
            <w:r w:rsidRPr="006E3FA2">
              <w:rPr>
                <w:rFonts w:ascii="Calibri" w:eastAsia="Times New Roman" w:hAnsi="Calibri" w:cs="Calibri"/>
                <w:b/>
                <w:bCs/>
                <w:color w:val="000000"/>
                <w:sz w:val="22"/>
                <w:lang w:eastAsia="en-AU"/>
              </w:rPr>
              <w:t>BEEC</w:t>
            </w:r>
            <w:proofErr w:type="spellEnd"/>
            <w:r w:rsidRPr="006E3FA2">
              <w:rPr>
                <w:rFonts w:ascii="Calibri" w:eastAsia="Times New Roman" w:hAnsi="Calibri" w:cs="Calibri"/>
                <w:b/>
                <w:bCs/>
                <w:color w:val="000000"/>
                <w:sz w:val="22"/>
                <w:lang w:eastAsia="en-AU"/>
              </w:rPr>
              <w:t xml:space="preserve"> + Assessor fees</w:t>
            </w:r>
          </w:p>
        </w:tc>
      </w:tr>
      <w:tr w:rsidR="00C3314D" w:rsidRPr="006E3FA2" w14:paraId="2899EE17" w14:textId="77777777" w:rsidTr="008A0AEB">
        <w:trPr>
          <w:trHeight w:val="300"/>
        </w:trPr>
        <w:tc>
          <w:tcPr>
            <w:tcW w:w="2127" w:type="dxa"/>
            <w:gridSpan w:val="2"/>
            <w:shd w:val="clear" w:color="000000" w:fill="70AD47"/>
            <w:vAlign w:val="bottom"/>
            <w:hideMark/>
          </w:tcPr>
          <w:p w14:paraId="59B3B409" w14:textId="77777777" w:rsidR="006E3FA2" w:rsidRPr="006E3FA2" w:rsidRDefault="006E3FA2" w:rsidP="00342E59">
            <w:pPr>
              <w:spacing w:before="0" w:after="0"/>
              <w:jc w:val="center"/>
              <w:rPr>
                <w:rFonts w:ascii="Calibri" w:eastAsia="Times New Roman" w:hAnsi="Calibri" w:cs="Calibri"/>
                <w:b/>
                <w:bCs/>
                <w:color w:val="000000"/>
                <w:sz w:val="22"/>
                <w:lang w:eastAsia="en-AU"/>
              </w:rPr>
            </w:pPr>
            <w:r w:rsidRPr="006E3FA2">
              <w:rPr>
                <w:rFonts w:ascii="Calibri" w:eastAsia="Times New Roman" w:hAnsi="Calibri" w:cs="Calibri"/>
                <w:b/>
                <w:bCs/>
                <w:color w:val="000000"/>
                <w:sz w:val="22"/>
                <w:lang w:eastAsia="en-AU"/>
              </w:rPr>
              <w:t>1,000-5,000m</w:t>
            </w:r>
            <w:r w:rsidRPr="006E3FA2">
              <w:rPr>
                <w:rFonts w:ascii="Calibri" w:eastAsia="Times New Roman" w:hAnsi="Calibri" w:cs="Calibri"/>
                <w:b/>
                <w:bCs/>
                <w:color w:val="000000"/>
                <w:sz w:val="22"/>
                <w:vertAlign w:val="superscript"/>
                <w:lang w:eastAsia="en-AU"/>
              </w:rPr>
              <w:t>2</w:t>
            </w:r>
          </w:p>
        </w:tc>
        <w:tc>
          <w:tcPr>
            <w:tcW w:w="1984" w:type="dxa"/>
            <w:gridSpan w:val="2"/>
            <w:shd w:val="clear" w:color="000000" w:fill="FFC000"/>
            <w:vAlign w:val="bottom"/>
            <w:hideMark/>
          </w:tcPr>
          <w:p w14:paraId="5E0EAA24" w14:textId="77777777" w:rsidR="006E3FA2" w:rsidRPr="006E3FA2" w:rsidRDefault="006E3FA2" w:rsidP="00342E59">
            <w:pPr>
              <w:spacing w:before="0" w:after="0"/>
              <w:jc w:val="center"/>
              <w:rPr>
                <w:rFonts w:ascii="Calibri" w:eastAsia="Times New Roman" w:hAnsi="Calibri" w:cs="Calibri"/>
                <w:b/>
                <w:bCs/>
                <w:color w:val="000000"/>
                <w:sz w:val="22"/>
                <w:lang w:eastAsia="en-AU"/>
              </w:rPr>
            </w:pPr>
            <w:r w:rsidRPr="006E3FA2">
              <w:rPr>
                <w:rFonts w:ascii="Calibri" w:eastAsia="Times New Roman" w:hAnsi="Calibri" w:cs="Calibri"/>
                <w:b/>
                <w:bCs/>
                <w:color w:val="000000"/>
                <w:sz w:val="22"/>
                <w:lang w:eastAsia="en-AU"/>
              </w:rPr>
              <w:t>5,000-20,000m</w:t>
            </w:r>
            <w:r w:rsidRPr="006E3FA2">
              <w:rPr>
                <w:rFonts w:ascii="Calibri" w:eastAsia="Times New Roman" w:hAnsi="Calibri" w:cs="Calibri"/>
                <w:b/>
                <w:bCs/>
                <w:color w:val="000000"/>
                <w:sz w:val="22"/>
                <w:vertAlign w:val="superscript"/>
                <w:lang w:eastAsia="en-AU"/>
              </w:rPr>
              <w:t>2</w:t>
            </w:r>
          </w:p>
        </w:tc>
        <w:tc>
          <w:tcPr>
            <w:tcW w:w="2073" w:type="dxa"/>
            <w:gridSpan w:val="2"/>
            <w:shd w:val="clear" w:color="000000" w:fill="ED7D31"/>
            <w:vAlign w:val="bottom"/>
            <w:hideMark/>
          </w:tcPr>
          <w:p w14:paraId="73A1FDFE" w14:textId="77777777" w:rsidR="006E3FA2" w:rsidRPr="006E3FA2" w:rsidRDefault="006E3FA2" w:rsidP="00342E59">
            <w:pPr>
              <w:spacing w:before="0" w:after="0"/>
              <w:jc w:val="center"/>
              <w:rPr>
                <w:rFonts w:ascii="Calibri" w:eastAsia="Times New Roman" w:hAnsi="Calibri" w:cs="Calibri"/>
                <w:b/>
                <w:bCs/>
                <w:color w:val="000000"/>
                <w:sz w:val="22"/>
                <w:lang w:eastAsia="en-AU"/>
              </w:rPr>
            </w:pPr>
            <w:r w:rsidRPr="006E3FA2">
              <w:rPr>
                <w:rFonts w:ascii="Calibri" w:eastAsia="Times New Roman" w:hAnsi="Calibri" w:cs="Calibri"/>
                <w:b/>
                <w:bCs/>
                <w:color w:val="000000"/>
                <w:sz w:val="22"/>
                <w:lang w:eastAsia="en-AU"/>
              </w:rPr>
              <w:t>20,000+m</w:t>
            </w:r>
            <w:r w:rsidRPr="006E3FA2">
              <w:rPr>
                <w:rFonts w:ascii="Calibri" w:eastAsia="Times New Roman" w:hAnsi="Calibri" w:cs="Calibri"/>
                <w:b/>
                <w:bCs/>
                <w:color w:val="000000"/>
                <w:sz w:val="22"/>
                <w:vertAlign w:val="superscript"/>
                <w:lang w:eastAsia="en-AU"/>
              </w:rPr>
              <w:t>2</w:t>
            </w:r>
          </w:p>
        </w:tc>
      </w:tr>
      <w:tr w:rsidR="00710914" w:rsidRPr="006E3FA2" w14:paraId="66A0AE75" w14:textId="77777777" w:rsidTr="008A0AEB">
        <w:trPr>
          <w:trHeight w:val="299"/>
        </w:trPr>
        <w:tc>
          <w:tcPr>
            <w:tcW w:w="1134" w:type="dxa"/>
            <w:shd w:val="clear" w:color="000000" w:fill="E2EFDA"/>
            <w:vAlign w:val="center"/>
            <w:hideMark/>
          </w:tcPr>
          <w:p w14:paraId="344FA2BA" w14:textId="77777777" w:rsidR="006E3FA2" w:rsidRPr="006E3FA2" w:rsidRDefault="006E3FA2" w:rsidP="00342E59">
            <w:pPr>
              <w:spacing w:before="0" w:after="0"/>
              <w:jc w:val="center"/>
              <w:rPr>
                <w:rFonts w:ascii="Calibri" w:eastAsia="Times New Roman" w:hAnsi="Calibri" w:cs="Calibri"/>
                <w:i/>
                <w:iCs/>
                <w:color w:val="000000"/>
                <w:sz w:val="22"/>
                <w:lang w:eastAsia="en-AU"/>
              </w:rPr>
            </w:pPr>
            <w:r w:rsidRPr="006E3FA2">
              <w:rPr>
                <w:rFonts w:ascii="Calibri" w:eastAsia="Times New Roman" w:hAnsi="Calibri" w:cs="Calibri"/>
                <w:i/>
                <w:iCs/>
                <w:color w:val="000000"/>
                <w:sz w:val="22"/>
                <w:lang w:eastAsia="en-AU"/>
              </w:rPr>
              <w:t>Initial</w:t>
            </w:r>
          </w:p>
        </w:tc>
        <w:tc>
          <w:tcPr>
            <w:tcW w:w="993" w:type="dxa"/>
            <w:shd w:val="clear" w:color="000000" w:fill="A9D08E"/>
            <w:vAlign w:val="center"/>
            <w:hideMark/>
          </w:tcPr>
          <w:p w14:paraId="6E228026" w14:textId="77777777" w:rsidR="006E3FA2" w:rsidRPr="006E3FA2" w:rsidRDefault="006E3FA2" w:rsidP="00342E59">
            <w:pPr>
              <w:spacing w:before="0" w:after="0"/>
              <w:jc w:val="center"/>
              <w:rPr>
                <w:rFonts w:ascii="Calibri" w:eastAsia="Times New Roman" w:hAnsi="Calibri" w:cs="Calibri"/>
                <w:i/>
                <w:iCs/>
                <w:color w:val="000000"/>
                <w:sz w:val="22"/>
                <w:lang w:eastAsia="en-AU"/>
              </w:rPr>
            </w:pPr>
            <w:r w:rsidRPr="006E3FA2">
              <w:rPr>
                <w:rFonts w:ascii="Calibri" w:eastAsia="Times New Roman" w:hAnsi="Calibri" w:cs="Calibri"/>
                <w:i/>
                <w:iCs/>
                <w:color w:val="000000"/>
                <w:sz w:val="22"/>
                <w:lang w:eastAsia="en-AU"/>
              </w:rPr>
              <w:t>Ongoing</w:t>
            </w:r>
          </w:p>
        </w:tc>
        <w:tc>
          <w:tcPr>
            <w:tcW w:w="850" w:type="dxa"/>
            <w:shd w:val="clear" w:color="000000" w:fill="FFE699"/>
            <w:vAlign w:val="center"/>
            <w:hideMark/>
          </w:tcPr>
          <w:p w14:paraId="3C9B360E" w14:textId="77777777" w:rsidR="006E3FA2" w:rsidRPr="006E3FA2" w:rsidRDefault="006E3FA2" w:rsidP="00342E59">
            <w:pPr>
              <w:spacing w:before="0" w:after="0"/>
              <w:jc w:val="center"/>
              <w:rPr>
                <w:rFonts w:ascii="Calibri" w:eastAsia="Times New Roman" w:hAnsi="Calibri" w:cs="Calibri"/>
                <w:i/>
                <w:iCs/>
                <w:color w:val="000000"/>
                <w:sz w:val="22"/>
                <w:lang w:eastAsia="en-AU"/>
              </w:rPr>
            </w:pPr>
            <w:r w:rsidRPr="006E3FA2">
              <w:rPr>
                <w:rFonts w:ascii="Calibri" w:eastAsia="Times New Roman" w:hAnsi="Calibri" w:cs="Calibri"/>
                <w:i/>
                <w:iCs/>
                <w:color w:val="000000"/>
                <w:sz w:val="22"/>
                <w:lang w:eastAsia="en-AU"/>
              </w:rPr>
              <w:t>Initial</w:t>
            </w:r>
          </w:p>
        </w:tc>
        <w:tc>
          <w:tcPr>
            <w:tcW w:w="1134" w:type="dxa"/>
            <w:shd w:val="clear" w:color="000000" w:fill="FFD966"/>
            <w:vAlign w:val="center"/>
            <w:hideMark/>
          </w:tcPr>
          <w:p w14:paraId="2975817E" w14:textId="77777777" w:rsidR="006E3FA2" w:rsidRPr="006E3FA2" w:rsidRDefault="006E3FA2" w:rsidP="00342E59">
            <w:pPr>
              <w:spacing w:before="0" w:after="0"/>
              <w:jc w:val="center"/>
              <w:rPr>
                <w:rFonts w:ascii="Calibri" w:eastAsia="Times New Roman" w:hAnsi="Calibri" w:cs="Calibri"/>
                <w:i/>
                <w:iCs/>
                <w:color w:val="000000"/>
                <w:sz w:val="22"/>
                <w:lang w:eastAsia="en-AU"/>
              </w:rPr>
            </w:pPr>
            <w:r w:rsidRPr="006E3FA2">
              <w:rPr>
                <w:rFonts w:ascii="Calibri" w:eastAsia="Times New Roman" w:hAnsi="Calibri" w:cs="Calibri"/>
                <w:i/>
                <w:iCs/>
                <w:color w:val="000000"/>
                <w:sz w:val="22"/>
                <w:lang w:eastAsia="en-AU"/>
              </w:rPr>
              <w:t>Ongoing</w:t>
            </w:r>
          </w:p>
        </w:tc>
        <w:tc>
          <w:tcPr>
            <w:tcW w:w="851" w:type="dxa"/>
            <w:shd w:val="clear" w:color="000000" w:fill="FCE4D6"/>
            <w:vAlign w:val="center"/>
            <w:hideMark/>
          </w:tcPr>
          <w:p w14:paraId="1BF5806A" w14:textId="77777777" w:rsidR="006E3FA2" w:rsidRPr="006E3FA2" w:rsidRDefault="006E3FA2" w:rsidP="00342E59">
            <w:pPr>
              <w:spacing w:before="0" w:after="0"/>
              <w:jc w:val="center"/>
              <w:rPr>
                <w:rFonts w:ascii="Calibri" w:eastAsia="Times New Roman" w:hAnsi="Calibri" w:cs="Calibri"/>
                <w:i/>
                <w:iCs/>
                <w:color w:val="000000"/>
                <w:sz w:val="22"/>
                <w:lang w:eastAsia="en-AU"/>
              </w:rPr>
            </w:pPr>
            <w:r w:rsidRPr="006E3FA2">
              <w:rPr>
                <w:rFonts w:ascii="Calibri" w:eastAsia="Times New Roman" w:hAnsi="Calibri" w:cs="Calibri"/>
                <w:i/>
                <w:iCs/>
                <w:color w:val="000000"/>
                <w:sz w:val="22"/>
                <w:lang w:eastAsia="en-AU"/>
              </w:rPr>
              <w:t>Initial</w:t>
            </w:r>
          </w:p>
        </w:tc>
        <w:tc>
          <w:tcPr>
            <w:tcW w:w="1222" w:type="dxa"/>
            <w:shd w:val="clear" w:color="000000" w:fill="F4B084"/>
            <w:vAlign w:val="center"/>
            <w:hideMark/>
          </w:tcPr>
          <w:p w14:paraId="344C1A7B" w14:textId="77777777" w:rsidR="006E3FA2" w:rsidRPr="006E3FA2" w:rsidRDefault="006E3FA2" w:rsidP="00342E59">
            <w:pPr>
              <w:spacing w:before="0" w:after="0"/>
              <w:jc w:val="center"/>
              <w:rPr>
                <w:rFonts w:ascii="Calibri" w:eastAsia="Times New Roman" w:hAnsi="Calibri" w:cs="Calibri"/>
                <w:i/>
                <w:iCs/>
                <w:color w:val="000000"/>
                <w:sz w:val="22"/>
                <w:lang w:eastAsia="en-AU"/>
              </w:rPr>
            </w:pPr>
            <w:r w:rsidRPr="006E3FA2">
              <w:rPr>
                <w:rFonts w:ascii="Calibri" w:eastAsia="Times New Roman" w:hAnsi="Calibri" w:cs="Calibri"/>
                <w:i/>
                <w:iCs/>
                <w:color w:val="000000"/>
                <w:sz w:val="22"/>
                <w:lang w:eastAsia="en-AU"/>
              </w:rPr>
              <w:t>Ongoing</w:t>
            </w:r>
          </w:p>
        </w:tc>
      </w:tr>
      <w:tr w:rsidR="004C2916" w:rsidRPr="006E3FA2" w14:paraId="4AE85D0D" w14:textId="77777777" w:rsidTr="008A0AEB">
        <w:trPr>
          <w:trHeight w:val="300"/>
        </w:trPr>
        <w:tc>
          <w:tcPr>
            <w:tcW w:w="1134" w:type="dxa"/>
            <w:shd w:val="clear" w:color="auto" w:fill="auto"/>
            <w:noWrap/>
            <w:vAlign w:val="bottom"/>
            <w:hideMark/>
          </w:tcPr>
          <w:p w14:paraId="3D51AD2C" w14:textId="70E72604" w:rsidR="006E3FA2" w:rsidRPr="006E3FA2" w:rsidRDefault="006E3FA2" w:rsidP="00342E59">
            <w:pPr>
              <w:spacing w:before="0" w:after="0"/>
              <w:jc w:val="center"/>
              <w:rPr>
                <w:rFonts w:ascii="Calibri" w:eastAsia="Times New Roman" w:hAnsi="Calibri" w:cs="Calibri"/>
                <w:color w:val="000000"/>
                <w:sz w:val="22"/>
                <w:lang w:eastAsia="en-AU"/>
              </w:rPr>
            </w:pPr>
            <w:r w:rsidRPr="006E3FA2">
              <w:rPr>
                <w:rFonts w:ascii="Calibri" w:eastAsia="Times New Roman" w:hAnsi="Calibri" w:cs="Calibri"/>
                <w:color w:val="000000"/>
                <w:sz w:val="22"/>
                <w:lang w:eastAsia="en-AU"/>
              </w:rPr>
              <w:t>$3,084</w:t>
            </w:r>
          </w:p>
        </w:tc>
        <w:tc>
          <w:tcPr>
            <w:tcW w:w="993" w:type="dxa"/>
            <w:shd w:val="clear" w:color="auto" w:fill="auto"/>
            <w:noWrap/>
            <w:vAlign w:val="bottom"/>
            <w:hideMark/>
          </w:tcPr>
          <w:p w14:paraId="016D55B1" w14:textId="16A89433" w:rsidR="006E3FA2" w:rsidRPr="006E3FA2" w:rsidRDefault="006E3FA2" w:rsidP="00342E59">
            <w:pPr>
              <w:spacing w:before="0" w:after="0"/>
              <w:jc w:val="center"/>
              <w:rPr>
                <w:rFonts w:ascii="Calibri" w:eastAsia="Times New Roman" w:hAnsi="Calibri" w:cs="Calibri"/>
                <w:color w:val="000000"/>
                <w:sz w:val="22"/>
                <w:lang w:eastAsia="en-AU"/>
              </w:rPr>
            </w:pPr>
            <w:r w:rsidRPr="006E3FA2">
              <w:rPr>
                <w:rFonts w:ascii="Calibri" w:eastAsia="Times New Roman" w:hAnsi="Calibri" w:cs="Calibri"/>
                <w:color w:val="000000"/>
                <w:sz w:val="22"/>
                <w:lang w:eastAsia="en-AU"/>
              </w:rPr>
              <w:t>$3,739</w:t>
            </w:r>
          </w:p>
        </w:tc>
        <w:tc>
          <w:tcPr>
            <w:tcW w:w="850" w:type="dxa"/>
            <w:shd w:val="clear" w:color="auto" w:fill="auto"/>
            <w:noWrap/>
            <w:vAlign w:val="bottom"/>
            <w:hideMark/>
          </w:tcPr>
          <w:p w14:paraId="5A7D1F92" w14:textId="1FBAD2D5" w:rsidR="006E3FA2" w:rsidRPr="006E3FA2" w:rsidRDefault="006E3FA2" w:rsidP="00342E59">
            <w:pPr>
              <w:spacing w:before="0" w:after="0"/>
              <w:jc w:val="center"/>
              <w:rPr>
                <w:rFonts w:ascii="Calibri" w:eastAsia="Times New Roman" w:hAnsi="Calibri" w:cs="Calibri"/>
                <w:color w:val="000000"/>
                <w:sz w:val="22"/>
                <w:lang w:eastAsia="en-AU"/>
              </w:rPr>
            </w:pPr>
            <w:r w:rsidRPr="006E3FA2">
              <w:rPr>
                <w:rFonts w:ascii="Calibri" w:eastAsia="Times New Roman" w:hAnsi="Calibri" w:cs="Calibri"/>
                <w:color w:val="000000"/>
                <w:sz w:val="22"/>
                <w:lang w:eastAsia="en-AU"/>
              </w:rPr>
              <w:t>$4,584</w:t>
            </w:r>
          </w:p>
        </w:tc>
        <w:tc>
          <w:tcPr>
            <w:tcW w:w="1134" w:type="dxa"/>
            <w:shd w:val="clear" w:color="auto" w:fill="auto"/>
            <w:noWrap/>
            <w:vAlign w:val="bottom"/>
            <w:hideMark/>
          </w:tcPr>
          <w:p w14:paraId="0D310DB1" w14:textId="24770923" w:rsidR="006E3FA2" w:rsidRPr="006E3FA2" w:rsidRDefault="006E3FA2" w:rsidP="00342E59">
            <w:pPr>
              <w:spacing w:before="0" w:after="0"/>
              <w:jc w:val="center"/>
              <w:rPr>
                <w:rFonts w:ascii="Calibri" w:eastAsia="Times New Roman" w:hAnsi="Calibri" w:cs="Calibri"/>
                <w:color w:val="000000"/>
                <w:sz w:val="22"/>
                <w:lang w:eastAsia="en-AU"/>
              </w:rPr>
            </w:pPr>
            <w:r w:rsidRPr="006E3FA2">
              <w:rPr>
                <w:rFonts w:ascii="Calibri" w:eastAsia="Times New Roman" w:hAnsi="Calibri" w:cs="Calibri"/>
                <w:color w:val="000000"/>
                <w:sz w:val="22"/>
                <w:lang w:eastAsia="en-AU"/>
              </w:rPr>
              <w:t>$ 5,239</w:t>
            </w:r>
          </w:p>
        </w:tc>
        <w:tc>
          <w:tcPr>
            <w:tcW w:w="851" w:type="dxa"/>
            <w:shd w:val="clear" w:color="auto" w:fill="auto"/>
            <w:noWrap/>
            <w:vAlign w:val="bottom"/>
            <w:hideMark/>
          </w:tcPr>
          <w:p w14:paraId="2DE70296" w14:textId="05A64FEC" w:rsidR="006E3FA2" w:rsidRPr="006E3FA2" w:rsidRDefault="006E3FA2" w:rsidP="00342E59">
            <w:pPr>
              <w:spacing w:before="0" w:after="0"/>
              <w:jc w:val="center"/>
              <w:rPr>
                <w:rFonts w:ascii="Calibri" w:eastAsia="Times New Roman" w:hAnsi="Calibri" w:cs="Calibri"/>
                <w:color w:val="000000"/>
                <w:sz w:val="22"/>
                <w:lang w:eastAsia="en-AU"/>
              </w:rPr>
            </w:pPr>
            <w:r w:rsidRPr="006E3FA2">
              <w:rPr>
                <w:rFonts w:ascii="Calibri" w:eastAsia="Times New Roman" w:hAnsi="Calibri" w:cs="Calibri"/>
                <w:color w:val="000000"/>
                <w:sz w:val="22"/>
                <w:lang w:eastAsia="en-AU"/>
              </w:rPr>
              <w:t>$5,084</w:t>
            </w:r>
          </w:p>
        </w:tc>
        <w:tc>
          <w:tcPr>
            <w:tcW w:w="1222" w:type="dxa"/>
            <w:shd w:val="clear" w:color="auto" w:fill="auto"/>
            <w:noWrap/>
            <w:vAlign w:val="bottom"/>
            <w:hideMark/>
          </w:tcPr>
          <w:p w14:paraId="125B12AE" w14:textId="1A0D1C72" w:rsidR="006E3FA2" w:rsidRPr="006E3FA2" w:rsidRDefault="006E3FA2" w:rsidP="00342E59">
            <w:pPr>
              <w:spacing w:before="0" w:after="0"/>
              <w:jc w:val="center"/>
              <w:rPr>
                <w:rFonts w:ascii="Calibri" w:eastAsia="Times New Roman" w:hAnsi="Calibri" w:cs="Calibri"/>
                <w:color w:val="000000"/>
                <w:sz w:val="22"/>
                <w:lang w:eastAsia="en-AU"/>
              </w:rPr>
            </w:pPr>
            <w:r w:rsidRPr="006E3FA2">
              <w:rPr>
                <w:rFonts w:ascii="Calibri" w:eastAsia="Times New Roman" w:hAnsi="Calibri" w:cs="Calibri"/>
                <w:color w:val="000000"/>
                <w:sz w:val="22"/>
                <w:lang w:eastAsia="en-AU"/>
              </w:rPr>
              <w:t>$5,739</w:t>
            </w:r>
          </w:p>
        </w:tc>
      </w:tr>
    </w:tbl>
    <w:p w14:paraId="5EB3C918" w14:textId="261CE2C0" w:rsidR="00A1360C" w:rsidRPr="00D421BF" w:rsidRDefault="009C60D4" w:rsidP="00C67B33">
      <w:pPr>
        <w:pStyle w:val="Heading3"/>
        <w:rPr>
          <w:rFonts w:asciiTheme="minorHAnsi" w:hAnsiTheme="minorHAnsi" w:cstheme="minorHAnsi"/>
        </w:rPr>
      </w:pPr>
      <w:r w:rsidRPr="00D421BF">
        <w:rPr>
          <w:rFonts w:asciiTheme="minorHAnsi" w:hAnsiTheme="minorHAnsi" w:cstheme="minorHAnsi"/>
        </w:rPr>
        <w:t xml:space="preserve">Program system development </w:t>
      </w:r>
      <w:r w:rsidR="000679A0" w:rsidRPr="00D421BF">
        <w:rPr>
          <w:rFonts w:asciiTheme="minorHAnsi" w:hAnsiTheme="minorHAnsi" w:cstheme="minorHAnsi"/>
        </w:rPr>
        <w:t xml:space="preserve">and enforcement </w:t>
      </w:r>
      <w:proofErr w:type="gramStart"/>
      <w:r w:rsidRPr="00D421BF">
        <w:rPr>
          <w:rFonts w:asciiTheme="minorHAnsi" w:hAnsiTheme="minorHAnsi" w:cstheme="minorHAnsi"/>
        </w:rPr>
        <w:t>costs</w:t>
      </w:r>
      <w:proofErr w:type="gramEnd"/>
    </w:p>
    <w:p w14:paraId="730D8726" w14:textId="77AFA9AF" w:rsidR="00A1360C" w:rsidRPr="00D421BF" w:rsidRDefault="00B10985" w:rsidP="005B5575">
      <w:pPr>
        <w:pStyle w:val="BodyText"/>
        <w:rPr>
          <w:rFonts w:asciiTheme="minorHAnsi" w:hAnsiTheme="minorHAnsi" w:cstheme="minorHAnsi"/>
        </w:rPr>
      </w:pPr>
      <w:r w:rsidRPr="00D421BF">
        <w:rPr>
          <w:rFonts w:asciiTheme="minorHAnsi" w:hAnsiTheme="minorHAnsi" w:cstheme="minorHAnsi"/>
        </w:rPr>
        <w:t xml:space="preserve">The last cost explicitly considered in the feasibility assessment reflect the costs to Government to establish the expanded programs and enforce </w:t>
      </w:r>
      <w:r w:rsidR="00640EE4" w:rsidRPr="00D421BF">
        <w:rPr>
          <w:rFonts w:asciiTheme="minorHAnsi" w:hAnsiTheme="minorHAnsi" w:cstheme="minorHAnsi"/>
        </w:rPr>
        <w:t xml:space="preserve">the </w:t>
      </w:r>
      <w:r w:rsidR="009A1F11" w:rsidRPr="00D421BF">
        <w:rPr>
          <w:rFonts w:asciiTheme="minorHAnsi" w:hAnsiTheme="minorHAnsi" w:cstheme="minorHAnsi"/>
        </w:rPr>
        <w:t xml:space="preserve">programs. Costs included in this </w:t>
      </w:r>
      <w:r w:rsidR="00D6772F" w:rsidRPr="00D421BF">
        <w:rPr>
          <w:rFonts w:asciiTheme="minorHAnsi" w:hAnsiTheme="minorHAnsi" w:cstheme="minorHAnsi"/>
        </w:rPr>
        <w:t xml:space="preserve">category include ICT support costs, </w:t>
      </w:r>
      <w:r w:rsidR="0052225D" w:rsidRPr="00D421BF">
        <w:rPr>
          <w:rFonts w:asciiTheme="minorHAnsi" w:hAnsiTheme="minorHAnsi" w:cstheme="minorHAnsi"/>
        </w:rPr>
        <w:t>assessor training</w:t>
      </w:r>
      <w:r w:rsidR="0073196C" w:rsidRPr="00D421BF">
        <w:rPr>
          <w:rFonts w:asciiTheme="minorHAnsi" w:hAnsiTheme="minorHAnsi" w:cstheme="minorHAnsi"/>
        </w:rPr>
        <w:t>,</w:t>
      </w:r>
      <w:r w:rsidR="001967FF" w:rsidRPr="00D421BF">
        <w:rPr>
          <w:rFonts w:asciiTheme="minorHAnsi" w:hAnsiTheme="minorHAnsi" w:cstheme="minorHAnsi"/>
        </w:rPr>
        <w:t xml:space="preserve"> program support and enforcement staff. These costs were estimated based on the existing CBD costs and scaled to the relative </w:t>
      </w:r>
      <w:r w:rsidR="009F20B5" w:rsidRPr="00D421BF">
        <w:rPr>
          <w:rFonts w:asciiTheme="minorHAnsi" w:hAnsiTheme="minorHAnsi" w:cstheme="minorHAnsi"/>
        </w:rPr>
        <w:t>coverage</w:t>
      </w:r>
      <w:r w:rsidR="00790D38" w:rsidRPr="00D421BF">
        <w:rPr>
          <w:rFonts w:asciiTheme="minorHAnsi" w:hAnsiTheme="minorHAnsi" w:cstheme="minorHAnsi"/>
        </w:rPr>
        <w:t xml:space="preserve"> (per building)</w:t>
      </w:r>
      <w:r w:rsidR="001967FF" w:rsidRPr="00D421BF">
        <w:rPr>
          <w:rFonts w:asciiTheme="minorHAnsi" w:hAnsiTheme="minorHAnsi" w:cstheme="minorHAnsi"/>
        </w:rPr>
        <w:t xml:space="preserve"> of the respective polic</w:t>
      </w:r>
      <w:r w:rsidR="00790D38" w:rsidRPr="00D421BF">
        <w:rPr>
          <w:rFonts w:asciiTheme="minorHAnsi" w:hAnsiTheme="minorHAnsi" w:cstheme="minorHAnsi"/>
        </w:rPr>
        <w:t>ies.</w:t>
      </w:r>
    </w:p>
    <w:p w14:paraId="57CC9D62" w14:textId="748630AA" w:rsidR="006A29A8" w:rsidRPr="00F81ADB" w:rsidRDefault="00E606DE" w:rsidP="00214D42">
      <w:pPr>
        <w:pStyle w:val="Heading2"/>
        <w:rPr>
          <w:rFonts w:cstheme="minorHAnsi"/>
        </w:rPr>
      </w:pPr>
      <w:bookmarkStart w:id="229" w:name="_Toc154059385"/>
      <w:r w:rsidRPr="00F81ADB">
        <w:rPr>
          <w:rFonts w:cstheme="minorHAnsi"/>
        </w:rPr>
        <w:t>Feasibility assessment results</w:t>
      </w:r>
      <w:bookmarkEnd w:id="229"/>
    </w:p>
    <w:p w14:paraId="2C9623C9" w14:textId="07207A88" w:rsidR="00607887" w:rsidRPr="003263EB" w:rsidRDefault="00E606DE" w:rsidP="00E606DE">
      <w:pPr>
        <w:pStyle w:val="Heading3"/>
        <w:rPr>
          <w:rFonts w:asciiTheme="minorHAnsi" w:hAnsiTheme="minorHAnsi" w:cstheme="minorHAnsi"/>
        </w:rPr>
      </w:pPr>
      <w:r w:rsidRPr="003263EB">
        <w:rPr>
          <w:rFonts w:asciiTheme="minorHAnsi" w:hAnsiTheme="minorHAnsi" w:cstheme="minorHAnsi"/>
        </w:rPr>
        <w:t xml:space="preserve">Tailored sectoral </w:t>
      </w:r>
      <w:proofErr w:type="gramStart"/>
      <w:r w:rsidRPr="003263EB">
        <w:rPr>
          <w:rFonts w:asciiTheme="minorHAnsi" w:hAnsiTheme="minorHAnsi" w:cstheme="minorHAnsi"/>
        </w:rPr>
        <w:t>disclosure</w:t>
      </w:r>
      <w:proofErr w:type="gramEnd"/>
    </w:p>
    <w:p w14:paraId="27CE48FA" w14:textId="38741D3E" w:rsidR="00A75A6A" w:rsidRDefault="00457378" w:rsidP="00A75A6A">
      <w:pPr>
        <w:pStyle w:val="BodyText"/>
        <w:rPr>
          <w:rFonts w:asciiTheme="minorHAnsi" w:hAnsiTheme="minorHAnsi" w:cstheme="minorHAnsi"/>
        </w:rPr>
      </w:pPr>
      <w:r w:rsidRPr="003263EB">
        <w:rPr>
          <w:rFonts w:asciiTheme="minorHAnsi" w:hAnsiTheme="minorHAnsi" w:cstheme="minorHAnsi"/>
        </w:rPr>
        <w:t xml:space="preserve">The feasibility assessment for the </w:t>
      </w:r>
      <w:r w:rsidRPr="003263EB">
        <w:rPr>
          <w:rFonts w:asciiTheme="minorHAnsi" w:hAnsiTheme="minorHAnsi" w:cstheme="minorHAnsi"/>
          <w:i/>
        </w:rPr>
        <w:t>tailored sectoral disclosure</w:t>
      </w:r>
      <w:r w:rsidRPr="003263EB">
        <w:rPr>
          <w:rFonts w:asciiTheme="minorHAnsi" w:hAnsiTheme="minorHAnsi" w:cstheme="minorHAnsi"/>
        </w:rPr>
        <w:t xml:space="preserve"> policy</w:t>
      </w:r>
      <w:r w:rsidR="00FF749B" w:rsidRPr="003263EB">
        <w:rPr>
          <w:rFonts w:asciiTheme="minorHAnsi" w:hAnsiTheme="minorHAnsi" w:cstheme="minorHAnsi"/>
        </w:rPr>
        <w:t xml:space="preserve"> revealed a net benefit for building owners</w:t>
      </w:r>
      <w:r w:rsidR="004B70FE" w:rsidRPr="003263EB">
        <w:rPr>
          <w:rFonts w:asciiTheme="minorHAnsi" w:hAnsiTheme="minorHAnsi" w:cstheme="minorHAnsi"/>
        </w:rPr>
        <w:t xml:space="preserve"> ranging from</w:t>
      </w:r>
      <w:r w:rsidR="00CD73C4" w:rsidRPr="003263EB">
        <w:rPr>
          <w:rFonts w:asciiTheme="minorHAnsi" w:hAnsiTheme="minorHAnsi" w:cstheme="minorHAnsi"/>
        </w:rPr>
        <w:t xml:space="preserve"> around </w:t>
      </w:r>
      <w:r w:rsidR="00FF05D0" w:rsidRPr="003263EB">
        <w:rPr>
          <w:rFonts w:asciiTheme="minorHAnsi" w:hAnsiTheme="minorHAnsi" w:cstheme="minorHAnsi"/>
        </w:rPr>
        <w:t>$</w:t>
      </w:r>
      <w:r w:rsidR="001D1338" w:rsidRPr="001D1338">
        <w:rPr>
          <w:rFonts w:asciiTheme="minorHAnsi" w:hAnsiTheme="minorHAnsi" w:cstheme="minorHAnsi"/>
        </w:rPr>
        <w:t>475,876</w:t>
      </w:r>
      <w:r w:rsidR="00FF05D0" w:rsidRPr="001D1338">
        <w:rPr>
          <w:rFonts w:asciiTheme="minorHAnsi" w:hAnsiTheme="minorHAnsi" w:cstheme="minorHAnsi"/>
        </w:rPr>
        <w:t xml:space="preserve"> to $</w:t>
      </w:r>
      <w:r w:rsidR="001D1338" w:rsidRPr="001D1338">
        <w:rPr>
          <w:rFonts w:asciiTheme="minorHAnsi" w:hAnsiTheme="minorHAnsi" w:cstheme="minorHAnsi"/>
        </w:rPr>
        <w:t>899,143</w:t>
      </w:r>
      <w:r w:rsidR="001B2CC1" w:rsidRPr="009060F4">
        <w:rPr>
          <w:rFonts w:asciiTheme="minorHAnsi" w:hAnsiTheme="minorHAnsi" w:cstheme="minorHAnsi"/>
        </w:rPr>
        <w:t xml:space="preserve"> over a </w:t>
      </w:r>
      <w:r w:rsidR="005C3572" w:rsidRPr="009060F4">
        <w:rPr>
          <w:rFonts w:asciiTheme="minorHAnsi" w:hAnsiTheme="minorHAnsi" w:cstheme="minorHAnsi"/>
        </w:rPr>
        <w:t>20-year</w:t>
      </w:r>
      <w:r w:rsidR="001B2CC1" w:rsidRPr="009060F4">
        <w:rPr>
          <w:rFonts w:asciiTheme="minorHAnsi" w:hAnsiTheme="minorHAnsi" w:cstheme="minorHAnsi"/>
        </w:rPr>
        <w:t xml:space="preserve"> period. This range is based on different </w:t>
      </w:r>
      <w:r w:rsidR="004254DD" w:rsidRPr="009060F4">
        <w:rPr>
          <w:rFonts w:asciiTheme="minorHAnsi" w:hAnsiTheme="minorHAnsi" w:cstheme="minorHAnsi"/>
        </w:rPr>
        <w:t xml:space="preserve">underlying </w:t>
      </w:r>
      <w:r w:rsidR="001B2CC1" w:rsidRPr="009060F4">
        <w:rPr>
          <w:rFonts w:asciiTheme="minorHAnsi" w:hAnsiTheme="minorHAnsi" w:cstheme="minorHAnsi"/>
        </w:rPr>
        <w:t>assumptions on building sizes</w:t>
      </w:r>
      <w:r w:rsidR="00B23563" w:rsidRPr="009060F4">
        <w:rPr>
          <w:rFonts w:asciiTheme="minorHAnsi" w:hAnsiTheme="minorHAnsi" w:cstheme="minorHAnsi"/>
        </w:rPr>
        <w:t xml:space="preserve">, as input data on </w:t>
      </w:r>
      <w:r w:rsidR="009F5263" w:rsidRPr="009060F4">
        <w:rPr>
          <w:rFonts w:asciiTheme="minorHAnsi" w:hAnsiTheme="minorHAnsi" w:cstheme="minorHAnsi"/>
        </w:rPr>
        <w:t xml:space="preserve">the existing </w:t>
      </w:r>
      <w:r w:rsidR="00B23563" w:rsidRPr="009060F4">
        <w:rPr>
          <w:rFonts w:asciiTheme="minorHAnsi" w:hAnsiTheme="minorHAnsi" w:cstheme="minorHAnsi"/>
        </w:rPr>
        <w:t>building stock provide</w:t>
      </w:r>
      <w:r w:rsidR="00973898" w:rsidRPr="009060F4">
        <w:rPr>
          <w:rFonts w:asciiTheme="minorHAnsi" w:hAnsiTheme="minorHAnsi" w:cstheme="minorHAnsi"/>
        </w:rPr>
        <w:t>s</w:t>
      </w:r>
      <w:r w:rsidR="00B23563" w:rsidRPr="009060F4">
        <w:rPr>
          <w:rFonts w:asciiTheme="minorHAnsi" w:hAnsiTheme="minorHAnsi" w:cstheme="minorHAnsi"/>
        </w:rPr>
        <w:t xml:space="preserve"> </w:t>
      </w:r>
      <w:r w:rsidR="00973898" w:rsidRPr="009060F4">
        <w:rPr>
          <w:rFonts w:asciiTheme="minorHAnsi" w:hAnsiTheme="minorHAnsi" w:cstheme="minorHAnsi"/>
        </w:rPr>
        <w:t xml:space="preserve">quantity </w:t>
      </w:r>
      <w:r w:rsidR="00835C6C" w:rsidRPr="009060F4">
        <w:rPr>
          <w:rFonts w:asciiTheme="minorHAnsi" w:hAnsiTheme="minorHAnsi" w:cstheme="minorHAnsi"/>
        </w:rPr>
        <w:t>estimates</w:t>
      </w:r>
      <w:r w:rsidR="00973898" w:rsidRPr="009060F4">
        <w:rPr>
          <w:rFonts w:asciiTheme="minorHAnsi" w:hAnsiTheme="minorHAnsi" w:cstheme="minorHAnsi"/>
        </w:rPr>
        <w:t xml:space="preserve"> in size ranges</w:t>
      </w:r>
      <w:r w:rsidR="00FF749B" w:rsidRPr="009060F4">
        <w:rPr>
          <w:rFonts w:asciiTheme="minorHAnsi" w:hAnsiTheme="minorHAnsi" w:cstheme="minorHAnsi"/>
        </w:rPr>
        <w:t xml:space="preserve">. </w:t>
      </w:r>
      <w:r w:rsidR="0000479A" w:rsidRPr="009060F4">
        <w:rPr>
          <w:rFonts w:asciiTheme="minorHAnsi" w:hAnsiTheme="minorHAnsi" w:cstheme="minorHAnsi"/>
        </w:rPr>
        <w:t xml:space="preserve">This policy could form the foundations of a strong policy suite as it represents the most expansive of the policies explored, in that it has implications for many sectors of the economy and would cover the widest range of buildings. </w:t>
      </w:r>
      <w:r w:rsidR="00FF749B" w:rsidRPr="009060F4">
        <w:rPr>
          <w:rFonts w:asciiTheme="minorHAnsi" w:hAnsiTheme="minorHAnsi" w:cstheme="minorHAnsi"/>
        </w:rPr>
        <w:t>The figure</w:t>
      </w:r>
      <w:r w:rsidR="00973898" w:rsidRPr="009060F4">
        <w:rPr>
          <w:rFonts w:asciiTheme="minorHAnsi" w:hAnsiTheme="minorHAnsi" w:cstheme="minorHAnsi"/>
        </w:rPr>
        <w:t>s</w:t>
      </w:r>
      <w:r w:rsidR="00FF749B" w:rsidRPr="009060F4">
        <w:rPr>
          <w:rFonts w:asciiTheme="minorHAnsi" w:hAnsiTheme="minorHAnsi" w:cstheme="minorHAnsi"/>
        </w:rPr>
        <w:t xml:space="preserve"> below </w:t>
      </w:r>
      <w:r w:rsidR="00DB50EE" w:rsidRPr="009060F4">
        <w:rPr>
          <w:rFonts w:asciiTheme="minorHAnsi" w:hAnsiTheme="minorHAnsi" w:cstheme="minorHAnsi"/>
        </w:rPr>
        <w:t>illustrate</w:t>
      </w:r>
      <w:r w:rsidR="00FF749B" w:rsidRPr="009060F4">
        <w:rPr>
          <w:rFonts w:asciiTheme="minorHAnsi" w:hAnsiTheme="minorHAnsi" w:cstheme="minorHAnsi"/>
        </w:rPr>
        <w:t xml:space="preserve"> the approximate benefits and costs </w:t>
      </w:r>
      <w:r w:rsidR="00973898" w:rsidRPr="009060F4">
        <w:rPr>
          <w:rFonts w:asciiTheme="minorHAnsi" w:hAnsiTheme="minorHAnsi" w:cstheme="minorHAnsi"/>
        </w:rPr>
        <w:t>of the policy under both the larger building size and smaller building size assumptions.</w:t>
      </w:r>
    </w:p>
    <w:p w14:paraId="6FA14759" w14:textId="0B6FAEBA" w:rsidR="00BE2755" w:rsidRDefault="00FB777C" w:rsidP="00505054">
      <w:pPr>
        <w:pStyle w:val="Caption"/>
        <w:keepNext/>
        <w:spacing w:after="120"/>
        <w:rPr>
          <w:rFonts w:ascii="Calibri" w:eastAsia="Times New Roman" w:hAnsi="Calibri" w:cs="Times New Roman"/>
          <w:b/>
          <w:bCs/>
          <w:i w:val="0"/>
          <w:iCs w:val="0"/>
          <w:color w:val="auto"/>
          <w:sz w:val="24"/>
        </w:rPr>
      </w:pPr>
      <w:bookmarkStart w:id="230" w:name="_Ref157675577"/>
      <w:bookmarkStart w:id="231" w:name="_Toc157687019"/>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14</w:t>
      </w:r>
      <w:r w:rsidRPr="00505054">
        <w:rPr>
          <w:rFonts w:ascii="Calibri" w:eastAsia="Times New Roman" w:hAnsi="Calibri" w:cs="Times New Roman"/>
          <w:b/>
          <w:bCs/>
          <w:i w:val="0"/>
          <w:iCs w:val="0"/>
          <w:color w:val="auto"/>
          <w:sz w:val="24"/>
        </w:rPr>
        <w:fldChar w:fldCharType="end"/>
      </w:r>
      <w:bookmarkEnd w:id="230"/>
      <w:r w:rsidRPr="00505054">
        <w:rPr>
          <w:rFonts w:ascii="Calibri" w:eastAsia="Times New Roman" w:hAnsi="Calibri" w:cs="Times New Roman"/>
          <w:b/>
          <w:bCs/>
          <w:i w:val="0"/>
          <w:iCs w:val="0"/>
          <w:color w:val="auto"/>
          <w:sz w:val="24"/>
        </w:rPr>
        <w:t>: Approximate costs and benefits of Tailored Sectoral Disclosure policy for the average building covered by the policy over 20 years (Smaller building size assumed)</w:t>
      </w:r>
      <w:bookmarkEnd w:id="231"/>
    </w:p>
    <w:p w14:paraId="74882E5C" w14:textId="5390F30E" w:rsidR="0085265A" w:rsidRDefault="00E24FB6" w:rsidP="0085265A">
      <w:pPr>
        <w:jc w:val="center"/>
        <w:rPr>
          <w:noProof/>
        </w:rPr>
      </w:pPr>
      <w:r w:rsidRPr="00E24FB6">
        <w:rPr>
          <w:noProof/>
        </w:rPr>
        <w:t xml:space="preserve"> </w:t>
      </w:r>
    </w:p>
    <w:p w14:paraId="552A8D82" w14:textId="66748DC5" w:rsidR="003A1B50" w:rsidRDefault="00C8143E" w:rsidP="0085265A">
      <w:pPr>
        <w:jc w:val="center"/>
      </w:pPr>
      <w:r>
        <w:rPr>
          <w:noProof/>
        </w:rPr>
        <w:drawing>
          <wp:inline distT="0" distB="0" distL="0" distR="0" wp14:anchorId="09196B78" wp14:editId="278F2099">
            <wp:extent cx="5998845" cy="2853055"/>
            <wp:effectExtent l="0" t="0" r="1905" b="4445"/>
            <wp:docPr id="47" name="Picture 47" descr="Net position of Tailored sectorial disclosure policy over 20 years for the average building (Smaller building size assumed).  Underlying data presented in Appendix 11 Tabl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Net position of Tailored sectorial disclosure policy over 20 years for the average building (Smaller building size assumed).  Underlying data presented in Appendix 11 Tabl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8845" cy="2853055"/>
                    </a:xfrm>
                    <a:prstGeom prst="rect">
                      <a:avLst/>
                    </a:prstGeom>
                    <a:noFill/>
                  </pic:spPr>
                </pic:pic>
              </a:graphicData>
            </a:graphic>
          </wp:inline>
        </w:drawing>
      </w:r>
    </w:p>
    <w:p w14:paraId="590548DA" w14:textId="3C216815" w:rsidR="0046190E" w:rsidRDefault="0046190E" w:rsidP="0046190E">
      <w:pPr>
        <w:pStyle w:val="Caption"/>
        <w:jc w:val="center"/>
        <w:rPr>
          <w:rFonts w:ascii="Calibri" w:eastAsia="Times New Roman" w:hAnsi="Calibri" w:cs="Times New Roman"/>
          <w:b/>
          <w:bCs/>
          <w:i w:val="0"/>
          <w:iCs w:val="0"/>
          <w:color w:val="auto"/>
          <w:sz w:val="24"/>
        </w:rPr>
      </w:pPr>
      <w:hyperlink w:anchor="_Table_39:_Figure"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14</w:t>
        </w:r>
        <w:r>
          <w:rPr>
            <w:rStyle w:val="Hyperlink"/>
            <w:rFonts w:asciiTheme="minorHAnsi" w:hAnsiTheme="minorHAnsi" w:cstheme="minorHAnsi"/>
          </w:rPr>
          <w:t xml:space="preserve"> [Appendix 11 Table 3</w:t>
        </w:r>
        <w:r w:rsidR="0008765F">
          <w:rPr>
            <w:rStyle w:val="Hyperlink"/>
            <w:rFonts w:asciiTheme="minorHAnsi" w:hAnsiTheme="minorHAnsi" w:cstheme="minorHAnsi"/>
          </w:rPr>
          <w:t>9</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3D6EA6E4" w14:textId="77777777" w:rsidR="0046190E" w:rsidRPr="0085265A" w:rsidRDefault="0046190E" w:rsidP="0085265A">
      <w:pPr>
        <w:jc w:val="center"/>
      </w:pPr>
    </w:p>
    <w:p w14:paraId="697F8B1E" w14:textId="6FDB9731" w:rsidR="00002074" w:rsidRPr="00002074" w:rsidRDefault="00002074" w:rsidP="00002074"/>
    <w:p w14:paraId="10EAC05B" w14:textId="71E361FA" w:rsidR="008338BF" w:rsidRDefault="00457054" w:rsidP="00505054">
      <w:pPr>
        <w:pStyle w:val="Caption"/>
        <w:keepNext/>
        <w:spacing w:after="120"/>
        <w:rPr>
          <w:rFonts w:ascii="Calibri" w:eastAsia="Times New Roman" w:hAnsi="Calibri" w:cs="Times New Roman"/>
          <w:b/>
          <w:bCs/>
          <w:i w:val="0"/>
          <w:iCs w:val="0"/>
          <w:color w:val="auto"/>
          <w:sz w:val="24"/>
        </w:rPr>
      </w:pPr>
      <w:bookmarkStart w:id="232" w:name="_Ref157679654"/>
      <w:bookmarkStart w:id="233" w:name="_Toc157687020"/>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15</w:t>
      </w:r>
      <w:r w:rsidRPr="00505054">
        <w:rPr>
          <w:rFonts w:ascii="Calibri" w:eastAsia="Times New Roman" w:hAnsi="Calibri" w:cs="Times New Roman"/>
          <w:b/>
          <w:bCs/>
          <w:i w:val="0"/>
          <w:iCs w:val="0"/>
          <w:color w:val="auto"/>
          <w:sz w:val="24"/>
        </w:rPr>
        <w:fldChar w:fldCharType="end"/>
      </w:r>
      <w:bookmarkEnd w:id="232"/>
      <w:r w:rsidRPr="00505054">
        <w:rPr>
          <w:rFonts w:ascii="Calibri" w:eastAsia="Times New Roman" w:hAnsi="Calibri" w:cs="Times New Roman"/>
          <w:b/>
          <w:bCs/>
          <w:i w:val="0"/>
          <w:iCs w:val="0"/>
          <w:color w:val="auto"/>
          <w:sz w:val="24"/>
        </w:rPr>
        <w:t>: Approximate costs and benefits of Tailored Sectoral Disclosure policy for the average building covered by the policy over 20 years (Larger building size assumed)</w:t>
      </w:r>
      <w:bookmarkEnd w:id="233"/>
    </w:p>
    <w:p w14:paraId="1EE092B0" w14:textId="605D9B38" w:rsidR="00A844E2" w:rsidRDefault="00F764C2" w:rsidP="00A844E2">
      <w:pPr>
        <w:jc w:val="center"/>
      </w:pPr>
      <w:r>
        <w:rPr>
          <w:noProof/>
        </w:rPr>
        <w:drawing>
          <wp:inline distT="0" distB="0" distL="0" distR="0" wp14:anchorId="1F7E9E62" wp14:editId="169AB19D">
            <wp:extent cx="5993130" cy="2914015"/>
            <wp:effectExtent l="0" t="0" r="7620" b="635"/>
            <wp:docPr id="50" name="Picture 50" descr="Net position of Tailored sectorial disclosure policy over 20 years for the average building (Larger building size assumed).  Underlying data presented in Appendix 11 Tabl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Net position of Tailored sectorial disclosure policy over 20 years for the average building (Larger building size assumed).  Underlying data presented in Appendix 11 Tabl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3130" cy="2914015"/>
                    </a:xfrm>
                    <a:prstGeom prst="rect">
                      <a:avLst/>
                    </a:prstGeom>
                    <a:noFill/>
                  </pic:spPr>
                </pic:pic>
              </a:graphicData>
            </a:graphic>
          </wp:inline>
        </w:drawing>
      </w:r>
    </w:p>
    <w:p w14:paraId="21420990" w14:textId="69BA14FE" w:rsidR="00AD2486" w:rsidRDefault="00AD2486" w:rsidP="00AD2486">
      <w:pPr>
        <w:pStyle w:val="Caption"/>
        <w:jc w:val="center"/>
        <w:rPr>
          <w:rFonts w:ascii="Calibri" w:eastAsia="Times New Roman" w:hAnsi="Calibri" w:cs="Times New Roman"/>
          <w:b/>
          <w:bCs/>
          <w:i w:val="0"/>
          <w:iCs w:val="0"/>
          <w:color w:val="auto"/>
          <w:sz w:val="24"/>
        </w:rPr>
      </w:pPr>
      <w:hyperlink w:anchor="_Table_40:_Figure"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1</w:t>
        </w:r>
        <w:r>
          <w:rPr>
            <w:rStyle w:val="Hyperlink"/>
            <w:rFonts w:asciiTheme="minorHAnsi" w:hAnsiTheme="minorHAnsi" w:cstheme="minorHAnsi"/>
          </w:rPr>
          <w:t xml:space="preserve">5 [Appendix 11 Table </w:t>
        </w:r>
        <w:r>
          <w:rPr>
            <w:rStyle w:val="Hyperlink"/>
            <w:rFonts w:asciiTheme="minorHAnsi" w:hAnsiTheme="minorHAnsi" w:cstheme="minorHAnsi"/>
          </w:rPr>
          <w:t>40</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2B8DE79A" w14:textId="5754C1B9" w:rsidR="006C69C0" w:rsidRPr="003263EB" w:rsidRDefault="00C25D73" w:rsidP="00C25D73">
      <w:pPr>
        <w:pStyle w:val="BodyText"/>
        <w:rPr>
          <w:rFonts w:asciiTheme="minorHAnsi" w:hAnsiTheme="minorHAnsi" w:cstheme="minorHAnsi"/>
        </w:rPr>
      </w:pPr>
      <w:r w:rsidRPr="003263EB">
        <w:rPr>
          <w:rFonts w:asciiTheme="minorHAnsi" w:hAnsiTheme="minorHAnsi" w:cstheme="minorHAnsi"/>
        </w:rPr>
        <w:t xml:space="preserve">The results </w:t>
      </w:r>
      <w:r w:rsidR="00E20D07" w:rsidRPr="003263EB">
        <w:rPr>
          <w:rFonts w:asciiTheme="minorHAnsi" w:hAnsiTheme="minorHAnsi" w:cstheme="minorHAnsi"/>
        </w:rPr>
        <w:t xml:space="preserve">of the analysis indicate a significant </w:t>
      </w:r>
      <w:r w:rsidR="00F6636A" w:rsidRPr="003263EB">
        <w:rPr>
          <w:rFonts w:asciiTheme="minorHAnsi" w:hAnsiTheme="minorHAnsi" w:cstheme="minorHAnsi"/>
        </w:rPr>
        <w:t xml:space="preserve">bill savings and emissions savings </w:t>
      </w:r>
      <w:r w:rsidR="006D318A" w:rsidRPr="003263EB">
        <w:rPr>
          <w:rFonts w:asciiTheme="minorHAnsi" w:hAnsiTheme="minorHAnsi" w:cstheme="minorHAnsi"/>
        </w:rPr>
        <w:t xml:space="preserve">for the investments made resulting from </w:t>
      </w:r>
      <w:r w:rsidR="008927B8" w:rsidRPr="003263EB">
        <w:rPr>
          <w:rFonts w:asciiTheme="minorHAnsi" w:hAnsiTheme="minorHAnsi" w:cstheme="minorHAnsi"/>
        </w:rPr>
        <w:t xml:space="preserve">the disclosure program. </w:t>
      </w:r>
      <w:r w:rsidR="00B62C03" w:rsidRPr="003263EB">
        <w:rPr>
          <w:rFonts w:asciiTheme="minorHAnsi" w:hAnsiTheme="minorHAnsi" w:cstheme="minorHAnsi"/>
        </w:rPr>
        <w:t xml:space="preserve">The bill savings are </w:t>
      </w:r>
      <w:r w:rsidR="00770438" w:rsidRPr="003263EB">
        <w:rPr>
          <w:rFonts w:asciiTheme="minorHAnsi" w:hAnsiTheme="minorHAnsi" w:cstheme="minorHAnsi"/>
        </w:rPr>
        <w:t xml:space="preserve">expected to be </w:t>
      </w:r>
      <w:r w:rsidR="00B62C03" w:rsidRPr="003263EB">
        <w:rPr>
          <w:rFonts w:asciiTheme="minorHAnsi" w:hAnsiTheme="minorHAnsi" w:cstheme="minorHAnsi"/>
        </w:rPr>
        <w:t xml:space="preserve">around </w:t>
      </w:r>
      <w:r w:rsidR="00C370E0" w:rsidRPr="003263EB">
        <w:rPr>
          <w:rFonts w:asciiTheme="minorHAnsi" w:hAnsiTheme="minorHAnsi" w:cstheme="minorHAnsi"/>
        </w:rPr>
        <w:t>three-fold</w:t>
      </w:r>
      <w:r w:rsidR="00B62C03" w:rsidRPr="003263EB">
        <w:rPr>
          <w:rFonts w:asciiTheme="minorHAnsi" w:hAnsiTheme="minorHAnsi" w:cstheme="minorHAnsi"/>
        </w:rPr>
        <w:t xml:space="preserve"> over </w:t>
      </w:r>
      <w:r w:rsidR="00C370E0" w:rsidRPr="003263EB">
        <w:rPr>
          <w:rFonts w:asciiTheme="minorHAnsi" w:hAnsiTheme="minorHAnsi" w:cstheme="minorHAnsi"/>
        </w:rPr>
        <w:t xml:space="preserve">the capital </w:t>
      </w:r>
      <w:r w:rsidR="00DD441E" w:rsidRPr="003263EB">
        <w:rPr>
          <w:rFonts w:asciiTheme="minorHAnsi" w:hAnsiTheme="minorHAnsi" w:cstheme="minorHAnsi"/>
        </w:rPr>
        <w:t xml:space="preserve">cost </w:t>
      </w:r>
      <w:r w:rsidR="002E3661" w:rsidRPr="003263EB">
        <w:rPr>
          <w:rFonts w:asciiTheme="minorHAnsi" w:hAnsiTheme="minorHAnsi" w:cstheme="minorHAnsi"/>
        </w:rPr>
        <w:t xml:space="preserve">of </w:t>
      </w:r>
      <w:r w:rsidR="006227B4" w:rsidRPr="003263EB">
        <w:rPr>
          <w:rFonts w:asciiTheme="minorHAnsi" w:hAnsiTheme="minorHAnsi" w:cstheme="minorHAnsi"/>
        </w:rPr>
        <w:t xml:space="preserve">the relative </w:t>
      </w:r>
      <w:proofErr w:type="spellStart"/>
      <w:r w:rsidR="006227B4" w:rsidRPr="003263EB">
        <w:rPr>
          <w:rFonts w:asciiTheme="minorHAnsi" w:hAnsiTheme="minorHAnsi" w:cstheme="minorHAnsi"/>
        </w:rPr>
        <w:t>ECMs</w:t>
      </w:r>
      <w:proofErr w:type="spellEnd"/>
      <w:r w:rsidR="006227B4" w:rsidRPr="003263EB">
        <w:rPr>
          <w:rFonts w:asciiTheme="minorHAnsi" w:hAnsiTheme="minorHAnsi" w:cstheme="minorHAnsi"/>
        </w:rPr>
        <w:t xml:space="preserve">. </w:t>
      </w:r>
      <w:r w:rsidR="00A12B42" w:rsidRPr="003263EB">
        <w:rPr>
          <w:rFonts w:asciiTheme="minorHAnsi" w:hAnsiTheme="minorHAnsi" w:cstheme="minorHAnsi"/>
        </w:rPr>
        <w:t>Additionally, there would likely be some unquantified savings in reduced operation and maintenance costs</w:t>
      </w:r>
      <w:r w:rsidR="002F486D" w:rsidRPr="003263EB">
        <w:rPr>
          <w:rFonts w:asciiTheme="minorHAnsi" w:hAnsiTheme="minorHAnsi" w:cstheme="minorHAnsi"/>
        </w:rPr>
        <w:t xml:space="preserve"> from implementing </w:t>
      </w:r>
      <w:r w:rsidR="00EE2752" w:rsidRPr="003263EB">
        <w:rPr>
          <w:rFonts w:asciiTheme="minorHAnsi" w:hAnsiTheme="minorHAnsi" w:cstheme="minorHAnsi"/>
        </w:rPr>
        <w:t>energy efficiency measures. This</w:t>
      </w:r>
      <w:r w:rsidR="00C05C5F" w:rsidRPr="003263EB">
        <w:rPr>
          <w:rFonts w:asciiTheme="minorHAnsi" w:hAnsiTheme="minorHAnsi" w:cstheme="minorHAnsi"/>
        </w:rPr>
        <w:t xml:space="preserve"> associated benefit is well documented across the literature.</w:t>
      </w:r>
      <w:r w:rsidR="00723239">
        <w:rPr>
          <w:rFonts w:ascii="ZWAdobeF" w:hAnsi="ZWAdobeF" w:cs="ZWAdobeF"/>
          <w:color w:val="auto"/>
          <w:sz w:val="2"/>
          <w:szCs w:val="2"/>
        </w:rPr>
        <w:t>158F</w:t>
      </w:r>
      <w:r w:rsidR="00EE36E3">
        <w:rPr>
          <w:rFonts w:ascii="ZWAdobeF" w:hAnsi="ZWAdobeF" w:cs="ZWAdobeF"/>
          <w:color w:val="auto"/>
          <w:sz w:val="2"/>
          <w:szCs w:val="2"/>
        </w:rPr>
        <w:t>159F</w:t>
      </w:r>
      <w:r w:rsidR="00122C48">
        <w:rPr>
          <w:rFonts w:ascii="ZWAdobeF" w:hAnsi="ZWAdobeF" w:cs="ZWAdobeF"/>
          <w:color w:val="auto"/>
          <w:sz w:val="2"/>
          <w:szCs w:val="2"/>
        </w:rPr>
        <w:t>159F</w:t>
      </w:r>
      <w:r w:rsidR="00F73A23">
        <w:rPr>
          <w:rFonts w:ascii="ZWAdobeF" w:hAnsi="ZWAdobeF" w:cs="ZWAdobeF"/>
          <w:color w:val="auto"/>
          <w:sz w:val="2"/>
          <w:szCs w:val="2"/>
        </w:rPr>
        <w:t>159F</w:t>
      </w:r>
      <w:r w:rsidR="00626378">
        <w:rPr>
          <w:rFonts w:ascii="ZWAdobeF" w:hAnsi="ZWAdobeF" w:cs="ZWAdobeF"/>
          <w:color w:val="auto"/>
          <w:sz w:val="2"/>
          <w:szCs w:val="2"/>
        </w:rPr>
        <w:t>159F</w:t>
      </w:r>
      <w:r w:rsidR="00413811">
        <w:rPr>
          <w:rFonts w:ascii="ZWAdobeF" w:hAnsi="ZWAdobeF" w:cs="ZWAdobeF"/>
          <w:color w:val="auto"/>
          <w:sz w:val="2"/>
          <w:szCs w:val="2"/>
        </w:rPr>
        <w:t>159F</w:t>
      </w:r>
      <w:r w:rsidR="002C327C">
        <w:rPr>
          <w:rFonts w:ascii="ZWAdobeF" w:hAnsi="ZWAdobeF" w:cs="ZWAdobeF"/>
          <w:color w:val="auto"/>
          <w:sz w:val="2"/>
          <w:szCs w:val="2"/>
        </w:rPr>
        <w:t>159F</w:t>
      </w:r>
      <w:r w:rsidR="00D24A06">
        <w:rPr>
          <w:rFonts w:ascii="ZWAdobeF" w:hAnsi="ZWAdobeF" w:cs="ZWAdobeF"/>
          <w:color w:val="auto"/>
          <w:sz w:val="2"/>
          <w:szCs w:val="2"/>
        </w:rPr>
        <w:t>159F</w:t>
      </w:r>
      <w:r w:rsidR="00BE6628" w:rsidRPr="003263EB">
        <w:rPr>
          <w:rStyle w:val="FootnoteReference"/>
          <w:rFonts w:asciiTheme="minorHAnsi" w:hAnsiTheme="minorHAnsi" w:cstheme="minorHAnsi"/>
        </w:rPr>
        <w:footnoteReference w:id="161"/>
      </w:r>
      <w:r w:rsidR="00C05C5F" w:rsidRPr="003263EB">
        <w:rPr>
          <w:rFonts w:asciiTheme="minorHAnsi" w:hAnsiTheme="minorHAnsi" w:cstheme="minorHAnsi"/>
        </w:rPr>
        <w:t xml:space="preserve"> </w:t>
      </w:r>
    </w:p>
    <w:p w14:paraId="435039BC" w14:textId="439541D6" w:rsidR="00BB22F5" w:rsidRPr="003263EB" w:rsidRDefault="00BB22F5" w:rsidP="00C25D73">
      <w:pPr>
        <w:pStyle w:val="BodyText"/>
        <w:rPr>
          <w:rFonts w:asciiTheme="minorHAnsi" w:hAnsiTheme="minorHAnsi" w:cstheme="minorHAnsi"/>
        </w:rPr>
      </w:pPr>
      <w:r w:rsidRPr="003263EB">
        <w:rPr>
          <w:rFonts w:asciiTheme="minorHAnsi" w:hAnsiTheme="minorHAnsi" w:cstheme="minorHAnsi"/>
        </w:rPr>
        <w:t xml:space="preserve">For this policy, a sensitivity analysis was conducted to explore the impact of </w:t>
      </w:r>
      <w:r w:rsidR="00B302A8" w:rsidRPr="003263EB">
        <w:rPr>
          <w:rFonts w:asciiTheme="minorHAnsi" w:hAnsiTheme="minorHAnsi" w:cstheme="minorHAnsi"/>
        </w:rPr>
        <w:t xml:space="preserve">adjusting the frequency of </w:t>
      </w:r>
      <w:r w:rsidR="0016157D" w:rsidRPr="003263EB">
        <w:rPr>
          <w:rFonts w:asciiTheme="minorHAnsi" w:hAnsiTheme="minorHAnsi" w:cstheme="minorHAnsi"/>
        </w:rPr>
        <w:t xml:space="preserve">assessments, from the base assumption of annual assessments to bi-annual assessments. Bi-annual assessments </w:t>
      </w:r>
      <w:r w:rsidR="00E817B6" w:rsidRPr="003263EB">
        <w:rPr>
          <w:rFonts w:asciiTheme="minorHAnsi" w:hAnsiTheme="minorHAnsi" w:cstheme="minorHAnsi"/>
        </w:rPr>
        <w:t>would lower the compliance costs for building owners, however</w:t>
      </w:r>
      <w:r w:rsidR="00D54793" w:rsidRPr="003263EB">
        <w:rPr>
          <w:rFonts w:asciiTheme="minorHAnsi" w:hAnsiTheme="minorHAnsi" w:cstheme="minorHAnsi"/>
        </w:rPr>
        <w:t>,</w:t>
      </w:r>
      <w:r w:rsidR="00E817B6" w:rsidRPr="003263EB">
        <w:rPr>
          <w:rFonts w:asciiTheme="minorHAnsi" w:hAnsiTheme="minorHAnsi" w:cstheme="minorHAnsi"/>
        </w:rPr>
        <w:t xml:space="preserve"> would also likely have reduced benefits in motivating additional upgrades and efficiency improvements. To </w:t>
      </w:r>
      <w:r w:rsidR="00DD5ADA" w:rsidRPr="003263EB">
        <w:rPr>
          <w:rFonts w:asciiTheme="minorHAnsi" w:hAnsiTheme="minorHAnsi" w:cstheme="minorHAnsi"/>
        </w:rPr>
        <w:t xml:space="preserve">calculate the likely impacts, the CIE review of the CBD program was drawn on, as it had </w:t>
      </w:r>
      <w:r w:rsidR="005F0440" w:rsidRPr="003263EB">
        <w:rPr>
          <w:rFonts w:asciiTheme="minorHAnsi" w:hAnsiTheme="minorHAnsi" w:cstheme="minorHAnsi"/>
        </w:rPr>
        <w:t xml:space="preserve">explored the efficiency improvements under </w:t>
      </w:r>
      <w:r w:rsidR="00851A55" w:rsidRPr="003263EB">
        <w:rPr>
          <w:rFonts w:asciiTheme="minorHAnsi" w:hAnsiTheme="minorHAnsi" w:cstheme="minorHAnsi"/>
        </w:rPr>
        <w:t xml:space="preserve">for a subset of buildings that had </w:t>
      </w:r>
      <w:r w:rsidR="005E0CAE" w:rsidRPr="003263EB">
        <w:rPr>
          <w:rFonts w:asciiTheme="minorHAnsi" w:hAnsiTheme="minorHAnsi" w:cstheme="minorHAnsi"/>
        </w:rPr>
        <w:t>conducted NABERS rating more than every two years and less than every two years.</w:t>
      </w:r>
      <w:r w:rsidR="00723239">
        <w:rPr>
          <w:rFonts w:ascii="ZWAdobeF" w:hAnsi="ZWAdobeF" w:cs="ZWAdobeF"/>
          <w:color w:val="auto"/>
          <w:sz w:val="2"/>
          <w:szCs w:val="2"/>
        </w:rPr>
        <w:t>159F</w:t>
      </w:r>
      <w:r w:rsidR="00EE36E3">
        <w:rPr>
          <w:rFonts w:ascii="ZWAdobeF" w:hAnsi="ZWAdobeF" w:cs="ZWAdobeF"/>
          <w:color w:val="auto"/>
          <w:sz w:val="2"/>
          <w:szCs w:val="2"/>
        </w:rPr>
        <w:t>160F</w:t>
      </w:r>
      <w:r w:rsidR="00122C48">
        <w:rPr>
          <w:rFonts w:ascii="ZWAdobeF" w:hAnsi="ZWAdobeF" w:cs="ZWAdobeF"/>
          <w:color w:val="auto"/>
          <w:sz w:val="2"/>
          <w:szCs w:val="2"/>
        </w:rPr>
        <w:t>160F</w:t>
      </w:r>
      <w:r w:rsidR="00F73A23">
        <w:rPr>
          <w:rFonts w:ascii="ZWAdobeF" w:hAnsi="ZWAdobeF" w:cs="ZWAdobeF"/>
          <w:color w:val="auto"/>
          <w:sz w:val="2"/>
          <w:szCs w:val="2"/>
        </w:rPr>
        <w:t>160F</w:t>
      </w:r>
      <w:r w:rsidR="00626378">
        <w:rPr>
          <w:rFonts w:ascii="ZWAdobeF" w:hAnsi="ZWAdobeF" w:cs="ZWAdobeF"/>
          <w:color w:val="auto"/>
          <w:sz w:val="2"/>
          <w:szCs w:val="2"/>
        </w:rPr>
        <w:t>160F</w:t>
      </w:r>
      <w:r w:rsidR="00413811">
        <w:rPr>
          <w:rFonts w:ascii="ZWAdobeF" w:hAnsi="ZWAdobeF" w:cs="ZWAdobeF"/>
          <w:color w:val="auto"/>
          <w:sz w:val="2"/>
          <w:szCs w:val="2"/>
        </w:rPr>
        <w:t>160F</w:t>
      </w:r>
      <w:r w:rsidR="002C327C">
        <w:rPr>
          <w:rFonts w:ascii="ZWAdobeF" w:hAnsi="ZWAdobeF" w:cs="ZWAdobeF"/>
          <w:color w:val="auto"/>
          <w:sz w:val="2"/>
          <w:szCs w:val="2"/>
        </w:rPr>
        <w:t>160F</w:t>
      </w:r>
      <w:r w:rsidR="00D24A06">
        <w:rPr>
          <w:rFonts w:ascii="ZWAdobeF" w:hAnsi="ZWAdobeF" w:cs="ZWAdobeF"/>
          <w:color w:val="auto"/>
          <w:sz w:val="2"/>
          <w:szCs w:val="2"/>
        </w:rPr>
        <w:t>160F</w:t>
      </w:r>
      <w:r w:rsidR="00121F61" w:rsidRPr="003263EB">
        <w:rPr>
          <w:rStyle w:val="FootnoteReference"/>
          <w:rFonts w:asciiTheme="minorHAnsi" w:hAnsiTheme="minorHAnsi" w:cstheme="minorHAnsi"/>
        </w:rPr>
        <w:footnoteReference w:id="162"/>
      </w:r>
      <w:r w:rsidR="005E0CAE" w:rsidRPr="003263EB">
        <w:rPr>
          <w:rFonts w:asciiTheme="minorHAnsi" w:hAnsiTheme="minorHAnsi" w:cstheme="minorHAnsi"/>
        </w:rPr>
        <w:t xml:space="preserve"> These </w:t>
      </w:r>
      <w:r w:rsidR="00121F61" w:rsidRPr="003263EB">
        <w:rPr>
          <w:rFonts w:asciiTheme="minorHAnsi" w:hAnsiTheme="minorHAnsi" w:cstheme="minorHAnsi"/>
        </w:rPr>
        <w:t xml:space="preserve">results were factored into </w:t>
      </w:r>
      <w:r w:rsidR="00740012" w:rsidRPr="003263EB">
        <w:rPr>
          <w:rFonts w:asciiTheme="minorHAnsi" w:hAnsiTheme="minorHAnsi" w:cstheme="minorHAnsi"/>
        </w:rPr>
        <w:t xml:space="preserve">the feasibility assessment </w:t>
      </w:r>
      <w:r w:rsidR="005247E8" w:rsidRPr="003263EB">
        <w:rPr>
          <w:rFonts w:asciiTheme="minorHAnsi" w:hAnsiTheme="minorHAnsi" w:cstheme="minorHAnsi"/>
        </w:rPr>
        <w:t>revealing</w:t>
      </w:r>
      <w:r w:rsidR="0035228C">
        <w:rPr>
          <w:rFonts w:asciiTheme="minorHAnsi" w:hAnsiTheme="minorHAnsi" w:cstheme="minorHAnsi"/>
        </w:rPr>
        <w:t xml:space="preserve"> that if assessment frequency was reduced </w:t>
      </w:r>
      <w:r w:rsidR="00E56112">
        <w:rPr>
          <w:rFonts w:asciiTheme="minorHAnsi" w:hAnsiTheme="minorHAnsi" w:cstheme="minorHAnsi"/>
        </w:rPr>
        <w:t xml:space="preserve">to every two years, it would consequently reduce the </w:t>
      </w:r>
      <w:r w:rsidR="00A22B3E" w:rsidRPr="003263EB">
        <w:rPr>
          <w:rFonts w:asciiTheme="minorHAnsi" w:hAnsiTheme="minorHAnsi" w:cstheme="minorHAnsi"/>
        </w:rPr>
        <w:t xml:space="preserve">net benefit per building for this program </w:t>
      </w:r>
      <w:r w:rsidR="00F048FC">
        <w:rPr>
          <w:rFonts w:asciiTheme="minorHAnsi" w:hAnsiTheme="minorHAnsi" w:cstheme="minorHAnsi"/>
        </w:rPr>
        <w:t>to</w:t>
      </w:r>
      <w:r w:rsidR="009A58C7" w:rsidRPr="003263EB">
        <w:rPr>
          <w:rFonts w:asciiTheme="minorHAnsi" w:hAnsiTheme="minorHAnsi" w:cstheme="minorHAnsi"/>
        </w:rPr>
        <w:t xml:space="preserve"> </w:t>
      </w:r>
      <w:r w:rsidR="009A58C7" w:rsidRPr="005A66EF">
        <w:rPr>
          <w:rFonts w:asciiTheme="minorHAnsi" w:hAnsiTheme="minorHAnsi" w:cstheme="minorHAnsi"/>
        </w:rPr>
        <w:t>$</w:t>
      </w:r>
      <w:r w:rsidR="00A22B3E" w:rsidRPr="005A66EF">
        <w:rPr>
          <w:rFonts w:asciiTheme="minorHAnsi" w:hAnsiTheme="minorHAnsi" w:cstheme="minorHAnsi"/>
        </w:rPr>
        <w:t>2</w:t>
      </w:r>
      <w:r w:rsidR="006C4493" w:rsidRPr="005A66EF">
        <w:rPr>
          <w:rFonts w:asciiTheme="minorHAnsi" w:hAnsiTheme="minorHAnsi" w:cstheme="minorHAnsi"/>
        </w:rPr>
        <w:t>55</w:t>
      </w:r>
      <w:r w:rsidR="009A58C7" w:rsidRPr="005A66EF">
        <w:rPr>
          <w:rFonts w:asciiTheme="minorHAnsi" w:hAnsiTheme="minorHAnsi" w:cstheme="minorHAnsi"/>
        </w:rPr>
        <w:t xml:space="preserve">,918 to </w:t>
      </w:r>
      <w:r w:rsidR="00276764" w:rsidRPr="005A66EF">
        <w:rPr>
          <w:rFonts w:asciiTheme="minorHAnsi" w:hAnsiTheme="minorHAnsi" w:cstheme="minorHAnsi"/>
        </w:rPr>
        <w:t>$426</w:t>
      </w:r>
      <w:r w:rsidR="00C52891" w:rsidRPr="005A66EF">
        <w:rPr>
          <w:rFonts w:asciiTheme="minorHAnsi" w:hAnsiTheme="minorHAnsi" w:cstheme="minorHAnsi"/>
        </w:rPr>
        <w:t>,531</w:t>
      </w:r>
      <w:r w:rsidR="00591FFC" w:rsidRPr="005A66EF">
        <w:rPr>
          <w:rFonts w:asciiTheme="minorHAnsi" w:hAnsiTheme="minorHAnsi" w:cstheme="minorHAnsi"/>
        </w:rPr>
        <w:t xml:space="preserve"> or a </w:t>
      </w:r>
      <w:r w:rsidR="00A519D2" w:rsidRPr="005A66EF">
        <w:rPr>
          <w:rFonts w:asciiTheme="minorHAnsi" w:hAnsiTheme="minorHAnsi" w:cstheme="minorHAnsi"/>
        </w:rPr>
        <w:t>4</w:t>
      </w:r>
      <w:r w:rsidR="005A66EF">
        <w:rPr>
          <w:rFonts w:asciiTheme="minorHAnsi" w:hAnsiTheme="minorHAnsi" w:cstheme="minorHAnsi"/>
        </w:rPr>
        <w:t>6</w:t>
      </w:r>
      <w:r w:rsidR="00591FFC" w:rsidRPr="005A66EF">
        <w:rPr>
          <w:rFonts w:asciiTheme="minorHAnsi" w:hAnsiTheme="minorHAnsi" w:cstheme="minorHAnsi"/>
        </w:rPr>
        <w:t>-</w:t>
      </w:r>
      <w:r w:rsidR="00A519D2" w:rsidRPr="005A66EF">
        <w:rPr>
          <w:rFonts w:asciiTheme="minorHAnsi" w:hAnsiTheme="minorHAnsi" w:cstheme="minorHAnsi"/>
        </w:rPr>
        <w:t>5</w:t>
      </w:r>
      <w:r w:rsidR="005A66EF">
        <w:rPr>
          <w:rFonts w:asciiTheme="minorHAnsi" w:hAnsiTheme="minorHAnsi" w:cstheme="minorHAnsi"/>
        </w:rPr>
        <w:t>3</w:t>
      </w:r>
      <w:r w:rsidR="00591FFC" w:rsidRPr="005A66EF">
        <w:rPr>
          <w:rFonts w:asciiTheme="minorHAnsi" w:hAnsiTheme="minorHAnsi" w:cstheme="minorHAnsi"/>
        </w:rPr>
        <w:t xml:space="preserve"> per cent reduction from</w:t>
      </w:r>
      <w:r w:rsidR="00591FFC" w:rsidRPr="003263EB">
        <w:rPr>
          <w:rFonts w:asciiTheme="minorHAnsi" w:hAnsiTheme="minorHAnsi" w:cstheme="minorHAnsi"/>
        </w:rPr>
        <w:t xml:space="preserve"> annual assessments</w:t>
      </w:r>
      <w:r w:rsidR="00C52891" w:rsidRPr="003263EB">
        <w:rPr>
          <w:rFonts w:asciiTheme="minorHAnsi" w:hAnsiTheme="minorHAnsi" w:cstheme="minorHAnsi"/>
        </w:rPr>
        <w:t>.</w:t>
      </w:r>
      <w:r w:rsidR="00922258" w:rsidRPr="003263EB">
        <w:rPr>
          <w:rFonts w:asciiTheme="minorHAnsi" w:hAnsiTheme="minorHAnsi" w:cstheme="minorHAnsi"/>
        </w:rPr>
        <w:t xml:space="preserve"> </w:t>
      </w:r>
    </w:p>
    <w:p w14:paraId="1EFDCFB9" w14:textId="039CC950" w:rsidR="00691D8D" w:rsidRDefault="00DB6D3B" w:rsidP="002A355E">
      <w:pPr>
        <w:pStyle w:val="BodyText"/>
        <w:rPr>
          <w:rFonts w:asciiTheme="minorHAnsi" w:hAnsiTheme="minorHAnsi" w:cstheme="minorHAnsi"/>
        </w:rPr>
      </w:pPr>
      <w:r w:rsidRPr="003263EB">
        <w:rPr>
          <w:rFonts w:asciiTheme="minorHAnsi" w:hAnsiTheme="minorHAnsi" w:cstheme="minorHAnsi"/>
        </w:rPr>
        <w:t xml:space="preserve">Beyond the quantitative impact for individual businesses this policy represents the most expansive of the policies explored, in that it has implications for many sectors of the economy. This means that the benefits of the policy are more transformative for the economy encouraging sectors that had not previously been exposed to building energy efficiency to consider changes. </w:t>
      </w:r>
      <w:r w:rsidR="00691D8D">
        <w:rPr>
          <w:rFonts w:asciiTheme="minorHAnsi" w:hAnsiTheme="minorHAnsi" w:cstheme="minorHAnsi"/>
        </w:rPr>
        <w:t>This</w:t>
      </w:r>
      <w:r w:rsidR="00B92CBF">
        <w:rPr>
          <w:rFonts w:asciiTheme="minorHAnsi" w:hAnsiTheme="minorHAnsi" w:cstheme="minorHAnsi"/>
        </w:rPr>
        <w:t xml:space="preserve"> whole-of-economy approach is more aligned with the </w:t>
      </w:r>
      <w:r w:rsidR="00340070">
        <w:rPr>
          <w:rFonts w:asciiTheme="minorHAnsi" w:hAnsiTheme="minorHAnsi" w:cstheme="minorHAnsi"/>
        </w:rPr>
        <w:t xml:space="preserve">significant change required to meet Australia’s 2030 and </w:t>
      </w:r>
      <w:r w:rsidR="00A868A2">
        <w:rPr>
          <w:rFonts w:asciiTheme="minorHAnsi" w:hAnsiTheme="minorHAnsi" w:cstheme="minorHAnsi"/>
        </w:rPr>
        <w:t xml:space="preserve">2050 decarbonisation targets. </w:t>
      </w:r>
      <w:r w:rsidR="00C4395A">
        <w:rPr>
          <w:rFonts w:asciiTheme="minorHAnsi" w:hAnsiTheme="minorHAnsi" w:cstheme="minorHAnsi"/>
        </w:rPr>
        <w:t xml:space="preserve">Additionally, establishing whole-of-economy disclosure and benchmarking frameworks could support </w:t>
      </w:r>
      <w:r w:rsidR="00DC34CD">
        <w:rPr>
          <w:rFonts w:asciiTheme="minorHAnsi" w:hAnsiTheme="minorHAnsi" w:cstheme="minorHAnsi"/>
        </w:rPr>
        <w:t xml:space="preserve">other </w:t>
      </w:r>
      <w:r w:rsidR="00AE27DC">
        <w:rPr>
          <w:rFonts w:asciiTheme="minorHAnsi" w:hAnsiTheme="minorHAnsi" w:cstheme="minorHAnsi"/>
        </w:rPr>
        <w:t>decarbonisation accelera</w:t>
      </w:r>
      <w:r w:rsidR="00EA6197">
        <w:rPr>
          <w:rFonts w:asciiTheme="minorHAnsi" w:hAnsiTheme="minorHAnsi" w:cstheme="minorHAnsi"/>
        </w:rPr>
        <w:t xml:space="preserve">tors such as </w:t>
      </w:r>
      <w:r w:rsidR="0077716C">
        <w:rPr>
          <w:rFonts w:asciiTheme="minorHAnsi" w:hAnsiTheme="minorHAnsi" w:cstheme="minorHAnsi"/>
        </w:rPr>
        <w:t xml:space="preserve">the finance sector. The </w:t>
      </w:r>
      <w:r w:rsidR="00240E38">
        <w:rPr>
          <w:rFonts w:asciiTheme="minorHAnsi" w:hAnsiTheme="minorHAnsi" w:cstheme="minorHAnsi"/>
        </w:rPr>
        <w:t>finance</w:t>
      </w:r>
      <w:r w:rsidR="0077716C">
        <w:rPr>
          <w:rFonts w:asciiTheme="minorHAnsi" w:hAnsiTheme="minorHAnsi" w:cstheme="minorHAnsi"/>
        </w:rPr>
        <w:t xml:space="preserve"> sector ha</w:t>
      </w:r>
      <w:r w:rsidR="00E44D14">
        <w:rPr>
          <w:rFonts w:asciiTheme="minorHAnsi" w:hAnsiTheme="minorHAnsi" w:cstheme="minorHAnsi"/>
        </w:rPr>
        <w:t>s</w:t>
      </w:r>
      <w:r w:rsidR="0077716C">
        <w:rPr>
          <w:rFonts w:asciiTheme="minorHAnsi" w:hAnsiTheme="minorHAnsi" w:cstheme="minorHAnsi"/>
        </w:rPr>
        <w:t xml:space="preserve"> </w:t>
      </w:r>
      <w:r w:rsidR="007E2871">
        <w:rPr>
          <w:rFonts w:asciiTheme="minorHAnsi" w:hAnsiTheme="minorHAnsi" w:cstheme="minorHAnsi"/>
        </w:rPr>
        <w:t xml:space="preserve">considerable decarbonisation </w:t>
      </w:r>
      <w:r w:rsidR="00113D29">
        <w:rPr>
          <w:rFonts w:asciiTheme="minorHAnsi" w:hAnsiTheme="minorHAnsi" w:cstheme="minorHAnsi"/>
        </w:rPr>
        <w:t xml:space="preserve">targets </w:t>
      </w:r>
      <w:r w:rsidR="00390AA6">
        <w:rPr>
          <w:rFonts w:asciiTheme="minorHAnsi" w:hAnsiTheme="minorHAnsi" w:cstheme="minorHAnsi"/>
        </w:rPr>
        <w:t xml:space="preserve">that </w:t>
      </w:r>
      <w:r w:rsidR="00E44D14">
        <w:rPr>
          <w:rFonts w:asciiTheme="minorHAnsi" w:hAnsiTheme="minorHAnsi" w:cstheme="minorHAnsi"/>
        </w:rPr>
        <w:t xml:space="preserve">require </w:t>
      </w:r>
      <w:r w:rsidR="0003322B">
        <w:rPr>
          <w:rFonts w:asciiTheme="minorHAnsi" w:hAnsiTheme="minorHAnsi" w:cstheme="minorHAnsi"/>
        </w:rPr>
        <w:t>fin</w:t>
      </w:r>
      <w:r w:rsidR="00F135E5">
        <w:rPr>
          <w:rFonts w:asciiTheme="minorHAnsi" w:hAnsiTheme="minorHAnsi" w:cstheme="minorHAnsi"/>
        </w:rPr>
        <w:t xml:space="preserve">ance </w:t>
      </w:r>
      <w:r w:rsidR="00B16729">
        <w:rPr>
          <w:rFonts w:asciiTheme="minorHAnsi" w:hAnsiTheme="minorHAnsi" w:cstheme="minorHAnsi"/>
        </w:rPr>
        <w:t xml:space="preserve">provided to meet decarbonisation goals. </w:t>
      </w:r>
      <w:r w:rsidR="009F3349">
        <w:rPr>
          <w:rFonts w:asciiTheme="minorHAnsi" w:hAnsiTheme="minorHAnsi" w:cstheme="minorHAnsi"/>
        </w:rPr>
        <w:t>Introducing</w:t>
      </w:r>
      <w:r w:rsidR="00E06314">
        <w:rPr>
          <w:rFonts w:asciiTheme="minorHAnsi" w:hAnsiTheme="minorHAnsi" w:cstheme="minorHAnsi"/>
        </w:rPr>
        <w:t xml:space="preserve"> sector-wide </w:t>
      </w:r>
      <w:r w:rsidR="009F3349">
        <w:rPr>
          <w:rFonts w:asciiTheme="minorHAnsi" w:hAnsiTheme="minorHAnsi" w:cstheme="minorHAnsi"/>
        </w:rPr>
        <w:t>benchmarking and disclosure framework</w:t>
      </w:r>
      <w:r w:rsidR="00E06314">
        <w:rPr>
          <w:rFonts w:asciiTheme="minorHAnsi" w:hAnsiTheme="minorHAnsi" w:cstheme="minorHAnsi"/>
        </w:rPr>
        <w:t>s</w:t>
      </w:r>
      <w:r w:rsidR="009F3349">
        <w:rPr>
          <w:rFonts w:asciiTheme="minorHAnsi" w:hAnsiTheme="minorHAnsi" w:cstheme="minorHAnsi"/>
        </w:rPr>
        <w:t xml:space="preserve"> </w:t>
      </w:r>
      <w:r w:rsidR="0092148B">
        <w:rPr>
          <w:rFonts w:asciiTheme="minorHAnsi" w:hAnsiTheme="minorHAnsi" w:cstheme="minorHAnsi"/>
        </w:rPr>
        <w:t xml:space="preserve">are likely to reinforce the impact of regulatory change. </w:t>
      </w:r>
      <w:r w:rsidR="00C2091F" w:rsidRPr="00C2091F">
        <w:rPr>
          <w:rFonts w:asciiTheme="minorHAnsi" w:hAnsiTheme="minorHAnsi" w:cstheme="minorHAnsi"/>
        </w:rPr>
        <w:t xml:space="preserve">The aggregate benefit would depend on precise implementation coverage of any expansion, but initial commencement with larger buildings in relatively mature sub-sectors could produce substantial energy, </w:t>
      </w:r>
      <w:proofErr w:type="gramStart"/>
      <w:r w:rsidR="00C2091F" w:rsidRPr="00C2091F">
        <w:rPr>
          <w:rFonts w:asciiTheme="minorHAnsi" w:hAnsiTheme="minorHAnsi" w:cstheme="minorHAnsi"/>
        </w:rPr>
        <w:t>emissions</w:t>
      </w:r>
      <w:proofErr w:type="gramEnd"/>
      <w:r w:rsidR="00C2091F" w:rsidRPr="00C2091F">
        <w:rPr>
          <w:rFonts w:asciiTheme="minorHAnsi" w:hAnsiTheme="minorHAnsi" w:cstheme="minorHAnsi"/>
        </w:rPr>
        <w:t xml:space="preserve"> and net economic benefits.</w:t>
      </w:r>
    </w:p>
    <w:p w14:paraId="036EB350" w14:textId="6F07F2E3" w:rsidR="00DB6D3B" w:rsidRPr="003263EB" w:rsidRDefault="00DB6D3B" w:rsidP="002A355E">
      <w:pPr>
        <w:pStyle w:val="BodyText"/>
        <w:rPr>
          <w:rFonts w:asciiTheme="minorHAnsi" w:hAnsiTheme="minorHAnsi" w:cstheme="minorHAnsi"/>
        </w:rPr>
      </w:pPr>
      <w:r w:rsidRPr="003263EB">
        <w:rPr>
          <w:rFonts w:asciiTheme="minorHAnsi" w:hAnsiTheme="minorHAnsi" w:cstheme="minorHAnsi"/>
        </w:rPr>
        <w:t xml:space="preserve">However, it would also introduce costs for these sectors. Some sectors such as data centres and offices are more mature in their energy efficiency considerations, and the introduction of a disclosure requirement may have a more streamlined implementation compared to other sectors </w:t>
      </w:r>
      <w:r w:rsidR="006B0089" w:rsidRPr="003263EB">
        <w:rPr>
          <w:rFonts w:asciiTheme="minorHAnsi" w:hAnsiTheme="minorHAnsi" w:cstheme="minorHAnsi"/>
        </w:rPr>
        <w:t xml:space="preserve">which have variable focus on </w:t>
      </w:r>
      <w:r w:rsidRPr="003263EB">
        <w:rPr>
          <w:rFonts w:asciiTheme="minorHAnsi" w:hAnsiTheme="minorHAnsi" w:cstheme="minorHAnsi"/>
        </w:rPr>
        <w:t>energy efficiency</w:t>
      </w:r>
      <w:r w:rsidR="006B0089" w:rsidRPr="003263EB">
        <w:rPr>
          <w:rFonts w:asciiTheme="minorHAnsi" w:hAnsiTheme="minorHAnsi" w:cstheme="minorHAnsi"/>
        </w:rPr>
        <w:t xml:space="preserve">, </w:t>
      </w:r>
      <w:r w:rsidRPr="003263EB">
        <w:rPr>
          <w:rFonts w:asciiTheme="minorHAnsi" w:hAnsiTheme="minorHAnsi" w:cstheme="minorHAnsi"/>
        </w:rPr>
        <w:t xml:space="preserve">such as aged care. Finally, given </w:t>
      </w:r>
      <w:r w:rsidRPr="003263EB">
        <w:rPr>
          <w:rFonts w:asciiTheme="minorHAnsi" w:hAnsiTheme="minorHAnsi" w:cstheme="minorHAnsi"/>
        </w:rPr>
        <w:lastRenderedPageBreak/>
        <w:t xml:space="preserve">the </w:t>
      </w:r>
      <w:r w:rsidR="00777A77" w:rsidRPr="003263EB">
        <w:rPr>
          <w:rFonts w:asciiTheme="minorHAnsi" w:hAnsiTheme="minorHAnsi" w:cstheme="minorHAnsi"/>
        </w:rPr>
        <w:t>reach</w:t>
      </w:r>
      <w:r w:rsidRPr="003263EB">
        <w:rPr>
          <w:rFonts w:asciiTheme="minorHAnsi" w:hAnsiTheme="minorHAnsi" w:cstheme="minorHAnsi"/>
        </w:rPr>
        <w:t xml:space="preserve"> of this policy, it would have the most significant demands for a supporting workforce</w:t>
      </w:r>
      <w:r w:rsidR="005836C3" w:rsidRPr="003263EB">
        <w:rPr>
          <w:rFonts w:asciiTheme="minorHAnsi" w:hAnsiTheme="minorHAnsi" w:cstheme="minorHAnsi"/>
        </w:rPr>
        <w:t xml:space="preserve">, with more assessors, </w:t>
      </w:r>
      <w:r w:rsidR="000D57C3" w:rsidRPr="003263EB">
        <w:rPr>
          <w:rFonts w:asciiTheme="minorHAnsi" w:hAnsiTheme="minorHAnsi" w:cstheme="minorHAnsi"/>
        </w:rPr>
        <w:t xml:space="preserve">inspectors and advisers required to support the larger coverage. </w:t>
      </w:r>
      <w:r w:rsidR="00D577F6" w:rsidRPr="003263EB">
        <w:rPr>
          <w:rFonts w:asciiTheme="minorHAnsi" w:hAnsiTheme="minorHAnsi" w:cstheme="minorHAnsi"/>
        </w:rPr>
        <w:t xml:space="preserve">A staged introduction </w:t>
      </w:r>
      <w:r w:rsidR="00A97896" w:rsidRPr="003263EB">
        <w:rPr>
          <w:rFonts w:asciiTheme="minorHAnsi" w:hAnsiTheme="minorHAnsi" w:cstheme="minorHAnsi"/>
        </w:rPr>
        <w:t xml:space="preserve">may be appropriate to </w:t>
      </w:r>
      <w:r w:rsidR="00F4507F" w:rsidRPr="003263EB">
        <w:rPr>
          <w:rFonts w:asciiTheme="minorHAnsi" w:hAnsiTheme="minorHAnsi" w:cstheme="minorHAnsi"/>
        </w:rPr>
        <w:t xml:space="preserve">help alleviate the workforce demand and allow more time for </w:t>
      </w:r>
      <w:r w:rsidR="00865000" w:rsidRPr="003263EB">
        <w:rPr>
          <w:rFonts w:asciiTheme="minorHAnsi" w:hAnsiTheme="minorHAnsi" w:cstheme="minorHAnsi"/>
        </w:rPr>
        <w:t>the supporting workforce to expand.</w:t>
      </w:r>
    </w:p>
    <w:p w14:paraId="7EB83A77" w14:textId="4B7E291A" w:rsidR="00853467" w:rsidRPr="003263EB" w:rsidRDefault="00B022F6" w:rsidP="00853467">
      <w:pPr>
        <w:pStyle w:val="Heading3"/>
        <w:rPr>
          <w:rFonts w:asciiTheme="minorHAnsi" w:hAnsiTheme="minorHAnsi" w:cstheme="minorHAnsi"/>
        </w:rPr>
      </w:pPr>
      <w:r w:rsidRPr="003263EB">
        <w:rPr>
          <w:rFonts w:asciiTheme="minorHAnsi" w:hAnsiTheme="minorHAnsi" w:cstheme="minorHAnsi"/>
        </w:rPr>
        <w:t xml:space="preserve">Star-rating </w:t>
      </w:r>
      <w:proofErr w:type="spellStart"/>
      <w:r w:rsidRPr="003263EB">
        <w:rPr>
          <w:rFonts w:asciiTheme="minorHAnsi" w:hAnsiTheme="minorHAnsi" w:cstheme="minorHAnsi"/>
        </w:rPr>
        <w:t>MEPS</w:t>
      </w:r>
      <w:proofErr w:type="spellEnd"/>
      <w:r w:rsidRPr="003263EB">
        <w:rPr>
          <w:rFonts w:asciiTheme="minorHAnsi" w:hAnsiTheme="minorHAnsi" w:cstheme="minorHAnsi"/>
        </w:rPr>
        <w:t xml:space="preserve"> for </w:t>
      </w:r>
      <w:r w:rsidR="00853467" w:rsidRPr="003263EB">
        <w:rPr>
          <w:rFonts w:asciiTheme="minorHAnsi" w:hAnsiTheme="minorHAnsi" w:cstheme="minorHAnsi"/>
        </w:rPr>
        <w:t>Office</w:t>
      </w:r>
      <w:r w:rsidRPr="003263EB">
        <w:rPr>
          <w:rFonts w:asciiTheme="minorHAnsi" w:hAnsiTheme="minorHAnsi" w:cstheme="minorHAnsi"/>
        </w:rPr>
        <w:t>s</w:t>
      </w:r>
    </w:p>
    <w:p w14:paraId="2F071FEC" w14:textId="23C99971" w:rsidR="00B80476" w:rsidRDefault="009362E2" w:rsidP="001E1701">
      <w:pPr>
        <w:pStyle w:val="BodyText"/>
        <w:rPr>
          <w:rFonts w:asciiTheme="minorHAnsi" w:hAnsiTheme="minorHAnsi" w:cstheme="minorHAnsi"/>
        </w:rPr>
      </w:pPr>
      <w:r w:rsidRPr="003263EB">
        <w:rPr>
          <w:rFonts w:asciiTheme="minorHAnsi" w:hAnsiTheme="minorHAnsi" w:cstheme="minorHAnsi"/>
        </w:rPr>
        <w:t xml:space="preserve">The feasibility assessment for the </w:t>
      </w:r>
      <w:r w:rsidRPr="003263EB">
        <w:rPr>
          <w:rFonts w:asciiTheme="minorHAnsi" w:hAnsiTheme="minorHAnsi" w:cstheme="minorHAnsi"/>
          <w:i/>
        </w:rPr>
        <w:t xml:space="preserve">Star-rating </w:t>
      </w:r>
      <w:proofErr w:type="spellStart"/>
      <w:r w:rsidRPr="003263EB">
        <w:rPr>
          <w:rFonts w:asciiTheme="minorHAnsi" w:hAnsiTheme="minorHAnsi" w:cstheme="minorHAnsi"/>
          <w:i/>
        </w:rPr>
        <w:t>MEPS</w:t>
      </w:r>
      <w:proofErr w:type="spellEnd"/>
      <w:r w:rsidRPr="003263EB">
        <w:rPr>
          <w:rFonts w:asciiTheme="minorHAnsi" w:hAnsiTheme="minorHAnsi" w:cstheme="minorHAnsi"/>
          <w:i/>
        </w:rPr>
        <w:t xml:space="preserve"> for Offices</w:t>
      </w:r>
      <w:r w:rsidRPr="003263EB">
        <w:rPr>
          <w:rFonts w:asciiTheme="minorHAnsi" w:hAnsiTheme="minorHAnsi" w:cstheme="minorHAnsi"/>
        </w:rPr>
        <w:t xml:space="preserve"> policy revealed a net benefit for building owners ranging from </w:t>
      </w:r>
      <w:r w:rsidRPr="00AF7B02">
        <w:rPr>
          <w:rFonts w:asciiTheme="minorHAnsi" w:hAnsiTheme="minorHAnsi" w:cstheme="minorHAnsi"/>
        </w:rPr>
        <w:t>$</w:t>
      </w:r>
      <w:r w:rsidR="00FE0586" w:rsidRPr="00AF7B02">
        <w:rPr>
          <w:rFonts w:asciiTheme="minorHAnsi" w:hAnsiTheme="minorHAnsi" w:cstheme="minorHAnsi"/>
        </w:rPr>
        <w:t>1</w:t>
      </w:r>
      <w:r w:rsidR="00714F68" w:rsidRPr="00AF7B02">
        <w:rPr>
          <w:rFonts w:asciiTheme="minorHAnsi" w:hAnsiTheme="minorHAnsi" w:cstheme="minorHAnsi"/>
        </w:rPr>
        <w:t>.1</w:t>
      </w:r>
      <w:r w:rsidR="00FE0586" w:rsidRPr="00AF7B02">
        <w:rPr>
          <w:rFonts w:asciiTheme="minorHAnsi" w:hAnsiTheme="minorHAnsi" w:cstheme="minorHAnsi"/>
        </w:rPr>
        <w:t xml:space="preserve"> </w:t>
      </w:r>
      <w:r w:rsidR="006A5D6C" w:rsidRPr="00AF7B02">
        <w:rPr>
          <w:rFonts w:asciiTheme="minorHAnsi" w:hAnsiTheme="minorHAnsi" w:cstheme="minorHAnsi"/>
        </w:rPr>
        <w:t xml:space="preserve">million </w:t>
      </w:r>
      <w:r w:rsidR="00592559" w:rsidRPr="00AF7B02">
        <w:rPr>
          <w:rFonts w:asciiTheme="minorHAnsi" w:hAnsiTheme="minorHAnsi" w:cstheme="minorHAnsi"/>
        </w:rPr>
        <w:t>to $</w:t>
      </w:r>
      <w:r w:rsidR="00C13E3C" w:rsidRPr="00AF7B02">
        <w:rPr>
          <w:rFonts w:asciiTheme="minorHAnsi" w:hAnsiTheme="minorHAnsi" w:cstheme="minorHAnsi"/>
        </w:rPr>
        <w:t>1.</w:t>
      </w:r>
      <w:r w:rsidR="00226B30" w:rsidRPr="00AF7B02">
        <w:rPr>
          <w:rFonts w:asciiTheme="minorHAnsi" w:hAnsiTheme="minorHAnsi" w:cstheme="minorHAnsi"/>
        </w:rPr>
        <w:t>8</w:t>
      </w:r>
      <w:r w:rsidR="0096745E" w:rsidRPr="00AF7B02">
        <w:rPr>
          <w:rFonts w:asciiTheme="minorHAnsi" w:hAnsiTheme="minorHAnsi" w:cstheme="minorHAnsi"/>
        </w:rPr>
        <w:t xml:space="preserve"> million</w:t>
      </w:r>
      <w:r w:rsidRPr="00AF7B02">
        <w:rPr>
          <w:rFonts w:asciiTheme="minorHAnsi" w:hAnsiTheme="minorHAnsi" w:cstheme="minorHAnsi"/>
        </w:rPr>
        <w:t xml:space="preserve"> </w:t>
      </w:r>
      <w:r w:rsidRPr="003263EB">
        <w:rPr>
          <w:rFonts w:asciiTheme="minorHAnsi" w:hAnsiTheme="minorHAnsi" w:cstheme="minorHAnsi"/>
        </w:rPr>
        <w:t>over a 20-year period</w:t>
      </w:r>
      <w:r w:rsidR="0096745E" w:rsidRPr="003263EB">
        <w:rPr>
          <w:rFonts w:asciiTheme="minorHAnsi" w:hAnsiTheme="minorHAnsi" w:cstheme="minorHAnsi"/>
        </w:rPr>
        <w:t xml:space="preserve">, depending on the average size of </w:t>
      </w:r>
      <w:r w:rsidR="00537354" w:rsidRPr="003263EB">
        <w:rPr>
          <w:rFonts w:asciiTheme="minorHAnsi" w:hAnsiTheme="minorHAnsi" w:cstheme="minorHAnsi"/>
        </w:rPr>
        <w:t xml:space="preserve">the underlying buildings. </w:t>
      </w:r>
      <w:r w:rsidR="00F9581E" w:rsidRPr="00F9581E">
        <w:rPr>
          <w:rFonts w:asciiTheme="minorHAnsi" w:hAnsiTheme="minorHAnsi" w:cstheme="minorHAnsi"/>
        </w:rPr>
        <w:t>While this net benefit is larger per building than the results outlined above for the CBD expansion, this proposal targets a much lower population of buildings, generally smaller in size and energy use - that is, this policy targets a subset of buildings with low efficiency ratings, seeking to lift this tail to align better with larger and more modern buildings.</w:t>
      </w:r>
      <w:r w:rsidR="00F9581E">
        <w:rPr>
          <w:rFonts w:cstheme="minorHAnsi"/>
        </w:rPr>
        <w:t xml:space="preserve"> </w:t>
      </w:r>
    </w:p>
    <w:p w14:paraId="53F24B47" w14:textId="0B663973" w:rsidR="008679C3" w:rsidRDefault="00537354" w:rsidP="001E1701">
      <w:pPr>
        <w:pStyle w:val="BodyText"/>
        <w:rPr>
          <w:rFonts w:asciiTheme="minorHAnsi" w:hAnsiTheme="minorHAnsi" w:cstheme="minorHAnsi"/>
        </w:rPr>
      </w:pPr>
      <w:r w:rsidRPr="003263EB">
        <w:rPr>
          <w:rFonts w:asciiTheme="minorHAnsi" w:hAnsiTheme="minorHAnsi" w:cstheme="minorHAnsi"/>
        </w:rPr>
        <w:t xml:space="preserve">As noted in </w:t>
      </w:r>
      <w:r w:rsidR="00FB381A" w:rsidRPr="003263EB">
        <w:rPr>
          <w:rFonts w:asciiTheme="minorHAnsi" w:hAnsiTheme="minorHAnsi" w:cstheme="minorHAnsi"/>
        </w:rPr>
        <w:t>section 6.3 and 6.4, a different approach was used to estimate the relative benefits and costs of th</w:t>
      </w:r>
      <w:r w:rsidR="00A66375" w:rsidRPr="003263EB">
        <w:rPr>
          <w:rFonts w:asciiTheme="minorHAnsi" w:hAnsiTheme="minorHAnsi" w:cstheme="minorHAnsi"/>
        </w:rPr>
        <w:t>is policy</w:t>
      </w:r>
      <w:r w:rsidR="00BE7E3D" w:rsidRPr="003263EB">
        <w:rPr>
          <w:rFonts w:asciiTheme="minorHAnsi" w:hAnsiTheme="minorHAnsi" w:cstheme="minorHAnsi"/>
        </w:rPr>
        <w:t xml:space="preserve">, instead of </w:t>
      </w:r>
      <w:r w:rsidR="00BC20E9" w:rsidRPr="003263EB">
        <w:rPr>
          <w:rFonts w:asciiTheme="minorHAnsi" w:hAnsiTheme="minorHAnsi" w:cstheme="minorHAnsi"/>
        </w:rPr>
        <w:t xml:space="preserve">assuming consumer behaviour and accounting for </w:t>
      </w:r>
      <w:r w:rsidR="00163104" w:rsidRPr="003263EB">
        <w:rPr>
          <w:rFonts w:asciiTheme="minorHAnsi" w:hAnsiTheme="minorHAnsi" w:cstheme="minorHAnsi"/>
        </w:rPr>
        <w:t xml:space="preserve">likely </w:t>
      </w:r>
      <w:proofErr w:type="spellStart"/>
      <w:r w:rsidR="00163104" w:rsidRPr="003263EB">
        <w:rPr>
          <w:rFonts w:asciiTheme="minorHAnsi" w:hAnsiTheme="minorHAnsi" w:cstheme="minorHAnsi"/>
        </w:rPr>
        <w:t>ECMs</w:t>
      </w:r>
      <w:proofErr w:type="spellEnd"/>
      <w:r w:rsidR="00163104" w:rsidRPr="003263EB">
        <w:rPr>
          <w:rFonts w:asciiTheme="minorHAnsi" w:hAnsiTheme="minorHAnsi" w:cstheme="minorHAnsi"/>
        </w:rPr>
        <w:t xml:space="preserve"> adopted as assumed in </w:t>
      </w:r>
      <w:r w:rsidR="00BC725C" w:rsidRPr="003263EB">
        <w:rPr>
          <w:rFonts w:asciiTheme="minorHAnsi" w:hAnsiTheme="minorHAnsi" w:cstheme="minorHAnsi"/>
          <w:i/>
        </w:rPr>
        <w:t>Tailored sectoral disclosure</w:t>
      </w:r>
      <w:r w:rsidR="00BC725C" w:rsidRPr="003263EB">
        <w:rPr>
          <w:rFonts w:asciiTheme="minorHAnsi" w:hAnsiTheme="minorHAnsi" w:cstheme="minorHAnsi"/>
        </w:rPr>
        <w:t xml:space="preserve">, </w:t>
      </w:r>
      <w:r w:rsidR="00E408B2" w:rsidRPr="003263EB">
        <w:rPr>
          <w:rFonts w:asciiTheme="minorHAnsi" w:hAnsiTheme="minorHAnsi" w:cstheme="minorHAnsi"/>
        </w:rPr>
        <w:t>estimates of costs and benefits were based on reported improvements of select buildings that entered the NABERS program</w:t>
      </w:r>
      <w:r w:rsidR="002F792C" w:rsidRPr="003263EB">
        <w:rPr>
          <w:rFonts w:asciiTheme="minorHAnsi" w:hAnsiTheme="minorHAnsi" w:cstheme="minorHAnsi"/>
        </w:rPr>
        <w:t xml:space="preserve">, of which a regression analysis was conducted. </w:t>
      </w:r>
      <w:r w:rsidR="00B53204" w:rsidRPr="003263EB">
        <w:rPr>
          <w:rFonts w:asciiTheme="minorHAnsi" w:hAnsiTheme="minorHAnsi" w:cstheme="minorHAnsi"/>
        </w:rPr>
        <w:t xml:space="preserve">However, as noted above, this approach could </w:t>
      </w:r>
      <w:r w:rsidR="00200BE6" w:rsidRPr="003263EB">
        <w:rPr>
          <w:rFonts w:asciiTheme="minorHAnsi" w:hAnsiTheme="minorHAnsi" w:cstheme="minorHAnsi"/>
        </w:rPr>
        <w:t xml:space="preserve">incorporate some self-reporting biases for buildings owners that </w:t>
      </w:r>
      <w:r w:rsidR="007B40E6" w:rsidRPr="003263EB">
        <w:rPr>
          <w:rFonts w:asciiTheme="minorHAnsi" w:hAnsiTheme="minorHAnsi" w:cstheme="minorHAnsi"/>
        </w:rPr>
        <w:t xml:space="preserve">were more willing to share their data, relative </w:t>
      </w:r>
      <w:proofErr w:type="gramStart"/>
      <w:r w:rsidR="007B40E6" w:rsidRPr="003263EB">
        <w:rPr>
          <w:rFonts w:asciiTheme="minorHAnsi" w:hAnsiTheme="minorHAnsi" w:cstheme="minorHAnsi"/>
        </w:rPr>
        <w:t>costs</w:t>
      </w:r>
      <w:proofErr w:type="gramEnd"/>
      <w:r w:rsidR="007B40E6" w:rsidRPr="003263EB">
        <w:rPr>
          <w:rFonts w:asciiTheme="minorHAnsi" w:hAnsiTheme="minorHAnsi" w:cstheme="minorHAnsi"/>
        </w:rPr>
        <w:t xml:space="preserve"> and benefits.</w:t>
      </w:r>
    </w:p>
    <w:p w14:paraId="06108E6A" w14:textId="3F8F8BBF" w:rsidR="001A117B" w:rsidRPr="00505054" w:rsidRDefault="001A117B" w:rsidP="00505054">
      <w:pPr>
        <w:pStyle w:val="Caption"/>
        <w:keepNext/>
        <w:spacing w:after="120"/>
        <w:rPr>
          <w:rFonts w:ascii="Calibri" w:eastAsia="Times New Roman" w:hAnsi="Calibri" w:cs="Times New Roman"/>
          <w:b/>
          <w:bCs/>
          <w:i w:val="0"/>
          <w:iCs w:val="0"/>
          <w:color w:val="auto"/>
          <w:sz w:val="24"/>
        </w:rPr>
      </w:pPr>
      <w:bookmarkStart w:id="234" w:name="_Ref157679944"/>
      <w:bookmarkStart w:id="235" w:name="_Toc157687021"/>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16</w:t>
      </w:r>
      <w:r w:rsidRPr="00505054">
        <w:rPr>
          <w:rFonts w:ascii="Calibri" w:eastAsia="Times New Roman" w:hAnsi="Calibri" w:cs="Times New Roman"/>
          <w:b/>
          <w:bCs/>
          <w:i w:val="0"/>
          <w:iCs w:val="0"/>
          <w:color w:val="auto"/>
          <w:sz w:val="24"/>
        </w:rPr>
        <w:fldChar w:fldCharType="end"/>
      </w:r>
      <w:bookmarkEnd w:id="234"/>
      <w:r w:rsidRPr="00505054">
        <w:rPr>
          <w:rFonts w:ascii="Calibri" w:eastAsia="Times New Roman" w:hAnsi="Calibri" w:cs="Times New Roman"/>
          <w:b/>
          <w:bCs/>
          <w:i w:val="0"/>
          <w:iCs w:val="0"/>
          <w:color w:val="auto"/>
          <w:sz w:val="24"/>
        </w:rPr>
        <w:t xml:space="preserve">: </w:t>
      </w:r>
      <w:r w:rsidR="00350F35">
        <w:rPr>
          <w:rFonts w:ascii="Calibri" w:eastAsia="Times New Roman" w:hAnsi="Calibri" w:cs="Times New Roman"/>
          <w:b/>
          <w:bCs/>
          <w:i w:val="0"/>
          <w:iCs w:val="0"/>
          <w:color w:val="auto"/>
          <w:sz w:val="24"/>
        </w:rPr>
        <w:t>Approximate</w:t>
      </w:r>
      <w:r w:rsidRPr="00505054">
        <w:rPr>
          <w:rFonts w:ascii="Calibri" w:eastAsia="Times New Roman" w:hAnsi="Calibri" w:cs="Times New Roman"/>
          <w:b/>
          <w:bCs/>
          <w:i w:val="0"/>
          <w:iCs w:val="0"/>
          <w:color w:val="auto"/>
          <w:sz w:val="24"/>
        </w:rPr>
        <w:t xml:space="preserve"> costs and benefits of Star-rating </w:t>
      </w:r>
      <w:proofErr w:type="spellStart"/>
      <w:r w:rsidRPr="00505054">
        <w:rPr>
          <w:rFonts w:ascii="Calibri" w:eastAsia="Times New Roman" w:hAnsi="Calibri" w:cs="Times New Roman"/>
          <w:b/>
          <w:bCs/>
          <w:i w:val="0"/>
          <w:iCs w:val="0"/>
          <w:color w:val="auto"/>
          <w:sz w:val="24"/>
        </w:rPr>
        <w:t>MEPS</w:t>
      </w:r>
      <w:proofErr w:type="spellEnd"/>
      <w:r w:rsidRPr="00505054">
        <w:rPr>
          <w:rFonts w:ascii="Calibri" w:eastAsia="Times New Roman" w:hAnsi="Calibri" w:cs="Times New Roman"/>
          <w:b/>
          <w:bCs/>
          <w:i w:val="0"/>
          <w:iCs w:val="0"/>
          <w:color w:val="auto"/>
          <w:sz w:val="24"/>
        </w:rPr>
        <w:t xml:space="preserve"> for Offices policy for the average building covered by the policy over 20 years (Smaller building size assumed)</w:t>
      </w:r>
      <w:bookmarkEnd w:id="235"/>
    </w:p>
    <w:p w14:paraId="24284EC5" w14:textId="3CC0EED1" w:rsidR="009A54CA" w:rsidRPr="003263EB" w:rsidRDefault="009A54CA" w:rsidP="009A54CA">
      <w:pPr>
        <w:pStyle w:val="BodyText"/>
        <w:jc w:val="center"/>
        <w:rPr>
          <w:rFonts w:asciiTheme="minorHAnsi" w:hAnsiTheme="minorHAnsi" w:cstheme="minorHAnsi"/>
        </w:rPr>
      </w:pPr>
      <w:r w:rsidRPr="00645155">
        <w:rPr>
          <w:rFonts w:asciiTheme="minorHAnsi" w:hAnsiTheme="minorHAnsi" w:cstheme="minorHAnsi"/>
          <w:noProof/>
        </w:rPr>
        <w:drawing>
          <wp:inline distT="0" distB="0" distL="0" distR="0" wp14:anchorId="1666BB8A" wp14:editId="531780BC">
            <wp:extent cx="5815965" cy="2914015"/>
            <wp:effectExtent l="0" t="0" r="0" b="635"/>
            <wp:docPr id="62" name="Picture 62" descr="Approximate cost and benefits of Star-rating for MEPS policy over 20 years for the average building (Smaller building size assumed). Underlying data presented in Appendix 11 Tabl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pproximate cost and benefits of Star-rating for MEPS policy over 20 years for the average building (Smaller building size assumed). Underlying data presented in Appendix 11 Tabl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5965" cy="2914015"/>
                    </a:xfrm>
                    <a:prstGeom prst="rect">
                      <a:avLst/>
                    </a:prstGeom>
                    <a:noFill/>
                  </pic:spPr>
                </pic:pic>
              </a:graphicData>
            </a:graphic>
          </wp:inline>
        </w:drawing>
      </w:r>
    </w:p>
    <w:bookmarkStart w:id="236" w:name="_Ref162534951"/>
    <w:bookmarkStart w:id="237" w:name="_Toc157687022"/>
    <w:p w14:paraId="07C9957B" w14:textId="48CD6E0B" w:rsidR="005F3E2C" w:rsidRDefault="005F3E2C" w:rsidP="005F3E2C">
      <w:pPr>
        <w:pStyle w:val="Caption"/>
        <w:jc w:val="center"/>
        <w:rPr>
          <w:rFonts w:ascii="Calibri" w:eastAsia="Times New Roman" w:hAnsi="Calibri" w:cs="Times New Roman"/>
          <w:b/>
          <w:bCs/>
          <w:i w:val="0"/>
          <w:iCs w:val="0"/>
          <w:color w:val="auto"/>
          <w:sz w:val="24"/>
        </w:rPr>
      </w:pPr>
      <w:r>
        <w:rPr>
          <w:rFonts w:asciiTheme="minorHAnsi" w:hAnsiTheme="minorHAnsi" w:cstheme="minorHAnsi"/>
        </w:rPr>
        <w:fldChar w:fldCharType="begin"/>
      </w:r>
      <w:r w:rsidR="00CA6EDB">
        <w:rPr>
          <w:rFonts w:asciiTheme="minorHAnsi" w:hAnsiTheme="minorHAnsi" w:cstheme="minorHAnsi"/>
        </w:rPr>
        <w:instrText>HYPERLINK  \l "_Table_41:_Figure"</w:instrText>
      </w:r>
      <w:r w:rsidR="00CA6EDB">
        <w:rPr>
          <w:rFonts w:asciiTheme="minorHAnsi" w:hAnsiTheme="minorHAnsi" w:cstheme="minorHAnsi"/>
        </w:rPr>
      </w:r>
      <w:r>
        <w:rPr>
          <w:rFonts w:asciiTheme="minorHAnsi" w:hAnsiTheme="minorHAnsi" w:cstheme="minorHAnsi"/>
        </w:rPr>
        <w:fldChar w:fldCharType="separate"/>
      </w:r>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16</w:t>
      </w:r>
      <w:r>
        <w:rPr>
          <w:rStyle w:val="Hyperlink"/>
          <w:rFonts w:asciiTheme="minorHAnsi" w:hAnsiTheme="minorHAnsi" w:cstheme="minorHAnsi"/>
        </w:rPr>
        <w:t xml:space="preserve"> [Appendix 11 Table </w:t>
      </w:r>
      <w:r w:rsidR="00CA6EDB">
        <w:rPr>
          <w:rStyle w:val="Hyperlink"/>
          <w:rFonts w:asciiTheme="minorHAnsi" w:hAnsiTheme="minorHAnsi" w:cstheme="minorHAnsi"/>
        </w:rPr>
        <w:t>41</w:t>
      </w:r>
      <w:r>
        <w:rPr>
          <w:rStyle w:val="Hyperlink"/>
          <w:rFonts w:asciiTheme="minorHAnsi" w:hAnsiTheme="minorHAnsi" w:cstheme="minorHAnsi"/>
        </w:rPr>
        <w:t>]</w:t>
      </w:r>
      <w:r w:rsidRPr="00171C8F">
        <w:rPr>
          <w:rStyle w:val="Hyperlink"/>
          <w:rFonts w:asciiTheme="minorHAnsi" w:hAnsiTheme="minorHAnsi" w:cstheme="minorHAnsi"/>
        </w:rPr>
        <w:t xml:space="preserve">. </w:t>
      </w:r>
      <w:r>
        <w:rPr>
          <w:rFonts w:asciiTheme="minorHAnsi" w:hAnsiTheme="minorHAnsi" w:cstheme="minorHAnsi"/>
        </w:rPr>
        <w:fldChar w:fldCharType="end"/>
      </w:r>
    </w:p>
    <w:p w14:paraId="39901EBE" w14:textId="77777777" w:rsidR="00AD2486" w:rsidRDefault="00AD2486" w:rsidP="00505054">
      <w:pPr>
        <w:pStyle w:val="Caption"/>
        <w:keepNext/>
        <w:spacing w:after="120"/>
        <w:rPr>
          <w:rFonts w:ascii="Calibri" w:eastAsia="Times New Roman" w:hAnsi="Calibri" w:cs="Times New Roman"/>
          <w:b/>
          <w:bCs/>
          <w:i w:val="0"/>
          <w:iCs w:val="0"/>
          <w:color w:val="auto"/>
          <w:sz w:val="24"/>
        </w:rPr>
      </w:pPr>
    </w:p>
    <w:p w14:paraId="1EBEAA03" w14:textId="7FECC6B6" w:rsidR="001A117B" w:rsidRDefault="001A117B" w:rsidP="00505054">
      <w:pPr>
        <w:pStyle w:val="Caption"/>
        <w:keepNext/>
        <w:spacing w:after="120"/>
        <w:rPr>
          <w:rFonts w:ascii="Calibri" w:eastAsia="Times New Roman" w:hAnsi="Calibri" w:cs="Times New Roman"/>
          <w:b/>
          <w:bCs/>
          <w:i w:val="0"/>
          <w:iCs w:val="0"/>
          <w:color w:val="auto"/>
          <w:sz w:val="24"/>
        </w:rPr>
      </w:pPr>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17</w:t>
      </w:r>
      <w:r w:rsidRPr="00505054">
        <w:rPr>
          <w:rFonts w:ascii="Calibri" w:eastAsia="Times New Roman" w:hAnsi="Calibri" w:cs="Times New Roman"/>
          <w:b/>
          <w:bCs/>
          <w:i w:val="0"/>
          <w:iCs w:val="0"/>
          <w:color w:val="auto"/>
          <w:sz w:val="24"/>
        </w:rPr>
        <w:fldChar w:fldCharType="end"/>
      </w:r>
      <w:bookmarkEnd w:id="236"/>
      <w:r w:rsidRPr="00505054">
        <w:rPr>
          <w:rFonts w:ascii="Calibri" w:eastAsia="Times New Roman" w:hAnsi="Calibri" w:cs="Times New Roman"/>
          <w:b/>
          <w:bCs/>
          <w:i w:val="0"/>
          <w:iCs w:val="0"/>
          <w:color w:val="auto"/>
          <w:sz w:val="24"/>
        </w:rPr>
        <w:t xml:space="preserve">: Approximate costs and benefits of Star-rating </w:t>
      </w:r>
      <w:proofErr w:type="spellStart"/>
      <w:r w:rsidRPr="00505054">
        <w:rPr>
          <w:rFonts w:ascii="Calibri" w:eastAsia="Times New Roman" w:hAnsi="Calibri" w:cs="Times New Roman"/>
          <w:b/>
          <w:bCs/>
          <w:i w:val="0"/>
          <w:iCs w:val="0"/>
          <w:color w:val="auto"/>
          <w:sz w:val="24"/>
        </w:rPr>
        <w:t>MEPS</w:t>
      </w:r>
      <w:proofErr w:type="spellEnd"/>
      <w:r w:rsidRPr="00505054">
        <w:rPr>
          <w:rFonts w:ascii="Calibri" w:eastAsia="Times New Roman" w:hAnsi="Calibri" w:cs="Times New Roman"/>
          <w:b/>
          <w:bCs/>
          <w:i w:val="0"/>
          <w:iCs w:val="0"/>
          <w:color w:val="auto"/>
          <w:sz w:val="24"/>
        </w:rPr>
        <w:t xml:space="preserve"> for Offices policy for the average building covered by the policy over 20 years (Larger building size assumed)</w:t>
      </w:r>
      <w:bookmarkEnd w:id="237"/>
    </w:p>
    <w:p w14:paraId="67C449E1" w14:textId="09649D41" w:rsidR="00CD3F0C" w:rsidRDefault="00CD3F0C" w:rsidP="00CD3F0C">
      <w:pPr>
        <w:jc w:val="center"/>
      </w:pPr>
      <w:r w:rsidRPr="00645155">
        <w:rPr>
          <w:noProof/>
        </w:rPr>
        <w:drawing>
          <wp:inline distT="0" distB="0" distL="0" distR="0" wp14:anchorId="43924404" wp14:editId="0869A298">
            <wp:extent cx="5661728" cy="2647950"/>
            <wp:effectExtent l="0" t="0" r="0" b="0"/>
            <wp:docPr id="63" name="Picture 63" descr="Approximate cost and benefits of Star-rating for MEPS policy over 20 years for the average building (Larger building size assumed). Underlying data presented in Appendix 11 Tabl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pproximate cost and benefits of Star-rating for MEPS policy over 20 years for the average building (Larger building size assumed). Underlying data presented in Appendix 11 Tabl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3288" cy="2676741"/>
                    </a:xfrm>
                    <a:prstGeom prst="rect">
                      <a:avLst/>
                    </a:prstGeom>
                    <a:noFill/>
                  </pic:spPr>
                </pic:pic>
              </a:graphicData>
            </a:graphic>
          </wp:inline>
        </w:drawing>
      </w:r>
    </w:p>
    <w:p w14:paraId="7D1C9E96" w14:textId="25F7634C" w:rsidR="004967E3" w:rsidRDefault="004967E3" w:rsidP="004967E3">
      <w:pPr>
        <w:pStyle w:val="Caption"/>
        <w:jc w:val="center"/>
        <w:rPr>
          <w:rFonts w:ascii="Calibri" w:eastAsia="Times New Roman" w:hAnsi="Calibri" w:cs="Times New Roman"/>
          <w:b/>
          <w:bCs/>
          <w:i w:val="0"/>
          <w:iCs w:val="0"/>
          <w:color w:val="auto"/>
          <w:sz w:val="24"/>
        </w:rPr>
      </w:pPr>
      <w:hyperlink w:anchor="_Table_42:_Figure"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Figure 1</w:t>
        </w:r>
        <w:r>
          <w:rPr>
            <w:rStyle w:val="Hyperlink"/>
            <w:rFonts w:asciiTheme="minorHAnsi" w:hAnsiTheme="minorHAnsi" w:cstheme="minorHAnsi"/>
          </w:rPr>
          <w:t>7</w:t>
        </w:r>
        <w:r>
          <w:rPr>
            <w:rStyle w:val="Hyperlink"/>
            <w:rFonts w:asciiTheme="minorHAnsi" w:hAnsiTheme="minorHAnsi" w:cstheme="minorHAnsi"/>
          </w:rPr>
          <w:t xml:space="preserve"> [Appendix 11 Table 4</w:t>
        </w:r>
        <w:r>
          <w:rPr>
            <w:rStyle w:val="Hyperlink"/>
            <w:rFonts w:asciiTheme="minorHAnsi" w:hAnsiTheme="minorHAnsi" w:cstheme="minorHAnsi"/>
          </w:rPr>
          <w:t>2</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3F6CF905" w14:textId="77777777" w:rsidR="004967E3" w:rsidRPr="00CD3F0C" w:rsidRDefault="004967E3" w:rsidP="00CD3F0C">
      <w:pPr>
        <w:jc w:val="center"/>
      </w:pPr>
    </w:p>
    <w:p w14:paraId="4B4208A0" w14:textId="4B6CE32E" w:rsidR="007B40E6" w:rsidRPr="003263EB" w:rsidRDefault="00AB68BF" w:rsidP="00374B1C">
      <w:pPr>
        <w:pStyle w:val="BodyText"/>
        <w:rPr>
          <w:rFonts w:asciiTheme="minorHAnsi" w:hAnsiTheme="minorHAnsi" w:cstheme="minorHAnsi"/>
        </w:rPr>
      </w:pPr>
      <w:r w:rsidRPr="003263EB">
        <w:rPr>
          <w:rFonts w:asciiTheme="minorHAnsi" w:hAnsiTheme="minorHAnsi" w:cstheme="minorHAnsi"/>
        </w:rPr>
        <w:t xml:space="preserve">The </w:t>
      </w:r>
      <w:r w:rsidR="00A7321E" w:rsidRPr="003263EB">
        <w:rPr>
          <w:rFonts w:asciiTheme="minorHAnsi" w:hAnsiTheme="minorHAnsi" w:cstheme="minorHAnsi"/>
        </w:rPr>
        <w:t>feasibility revealed</w:t>
      </w:r>
      <w:r w:rsidR="009A79BF" w:rsidRPr="003263EB">
        <w:rPr>
          <w:rFonts w:asciiTheme="minorHAnsi" w:hAnsiTheme="minorHAnsi" w:cstheme="minorHAnsi"/>
        </w:rPr>
        <w:t xml:space="preserve"> </w:t>
      </w:r>
      <w:r w:rsidR="00B31282" w:rsidRPr="003263EB">
        <w:rPr>
          <w:rFonts w:asciiTheme="minorHAnsi" w:hAnsiTheme="minorHAnsi" w:cstheme="minorHAnsi"/>
        </w:rPr>
        <w:t xml:space="preserve">reasonable </w:t>
      </w:r>
      <w:r w:rsidR="00E2026B" w:rsidRPr="003263EB">
        <w:rPr>
          <w:rFonts w:asciiTheme="minorHAnsi" w:hAnsiTheme="minorHAnsi" w:cstheme="minorHAnsi"/>
        </w:rPr>
        <w:t xml:space="preserve">net benefit from </w:t>
      </w:r>
      <w:r w:rsidR="00A7321E" w:rsidRPr="003263EB">
        <w:rPr>
          <w:rFonts w:asciiTheme="minorHAnsi" w:hAnsiTheme="minorHAnsi" w:cstheme="minorHAnsi"/>
        </w:rPr>
        <w:t xml:space="preserve">for buildings moving </w:t>
      </w:r>
      <w:r w:rsidR="00545853" w:rsidRPr="003263EB">
        <w:rPr>
          <w:rFonts w:asciiTheme="minorHAnsi" w:hAnsiTheme="minorHAnsi" w:cstheme="minorHAnsi"/>
        </w:rPr>
        <w:t xml:space="preserve">from </w:t>
      </w:r>
      <w:r w:rsidR="009930EC" w:rsidRPr="003263EB">
        <w:rPr>
          <w:rFonts w:asciiTheme="minorHAnsi" w:hAnsiTheme="minorHAnsi" w:cstheme="minorHAnsi"/>
        </w:rPr>
        <w:t>2- or 3-star</w:t>
      </w:r>
      <w:r w:rsidR="009634EC" w:rsidRPr="003263EB">
        <w:rPr>
          <w:rFonts w:asciiTheme="minorHAnsi" w:hAnsiTheme="minorHAnsi" w:cstheme="minorHAnsi"/>
        </w:rPr>
        <w:t xml:space="preserve"> ratings to 4</w:t>
      </w:r>
      <w:r w:rsidR="00034AA6" w:rsidRPr="003263EB">
        <w:rPr>
          <w:rFonts w:asciiTheme="minorHAnsi" w:hAnsiTheme="minorHAnsi" w:cstheme="minorHAnsi"/>
        </w:rPr>
        <w:t>-</w:t>
      </w:r>
      <w:r w:rsidR="009930EC" w:rsidRPr="003263EB">
        <w:rPr>
          <w:rFonts w:asciiTheme="minorHAnsi" w:hAnsiTheme="minorHAnsi" w:cstheme="minorHAnsi"/>
        </w:rPr>
        <w:t xml:space="preserve"> and </w:t>
      </w:r>
      <w:r w:rsidR="00034AA6" w:rsidRPr="003263EB">
        <w:rPr>
          <w:rFonts w:asciiTheme="minorHAnsi" w:hAnsiTheme="minorHAnsi" w:cstheme="minorHAnsi"/>
        </w:rPr>
        <w:t>5-star</w:t>
      </w:r>
      <w:r w:rsidR="009634EC" w:rsidRPr="003263EB">
        <w:rPr>
          <w:rFonts w:asciiTheme="minorHAnsi" w:hAnsiTheme="minorHAnsi" w:cstheme="minorHAnsi"/>
        </w:rPr>
        <w:t xml:space="preserve"> ratings</w:t>
      </w:r>
      <w:r w:rsidR="00F150C1">
        <w:rPr>
          <w:rFonts w:asciiTheme="minorHAnsi" w:hAnsiTheme="minorHAnsi" w:cstheme="minorHAnsi"/>
        </w:rPr>
        <w:t>.</w:t>
      </w:r>
      <w:r w:rsidR="00D61410" w:rsidRPr="003263EB">
        <w:rPr>
          <w:rFonts w:asciiTheme="minorHAnsi" w:hAnsiTheme="minorHAnsi" w:cstheme="minorHAnsi"/>
        </w:rPr>
        <w:t xml:space="preserve"> The benefits come from </w:t>
      </w:r>
      <w:r w:rsidR="00DB38A1" w:rsidRPr="003263EB">
        <w:rPr>
          <w:rFonts w:asciiTheme="minorHAnsi" w:hAnsiTheme="minorHAnsi" w:cstheme="minorHAnsi"/>
        </w:rPr>
        <w:t>significant bill savings and carbon savings compared to the up</w:t>
      </w:r>
      <w:r w:rsidR="0006396E" w:rsidRPr="003263EB">
        <w:rPr>
          <w:rFonts w:asciiTheme="minorHAnsi" w:hAnsiTheme="minorHAnsi" w:cstheme="minorHAnsi"/>
        </w:rPr>
        <w:t>g</w:t>
      </w:r>
      <w:r w:rsidR="00DB38A1" w:rsidRPr="003263EB">
        <w:rPr>
          <w:rFonts w:asciiTheme="minorHAnsi" w:hAnsiTheme="minorHAnsi" w:cstheme="minorHAnsi"/>
        </w:rPr>
        <w:t xml:space="preserve">rade costs, which presumably is driven largely from </w:t>
      </w:r>
      <w:r w:rsidR="0006396E" w:rsidRPr="003263EB">
        <w:rPr>
          <w:rFonts w:asciiTheme="minorHAnsi" w:hAnsiTheme="minorHAnsi" w:cstheme="minorHAnsi"/>
        </w:rPr>
        <w:t>operational improvements, over capital works.</w:t>
      </w:r>
    </w:p>
    <w:p w14:paraId="72DB486F" w14:textId="5DDC1403" w:rsidR="00356D3A" w:rsidRPr="003263EB" w:rsidRDefault="00356D3A" w:rsidP="00374B1C">
      <w:pPr>
        <w:pStyle w:val="BodyText"/>
        <w:rPr>
          <w:rFonts w:asciiTheme="minorHAnsi" w:hAnsiTheme="minorHAnsi" w:cstheme="minorHAnsi"/>
        </w:rPr>
      </w:pPr>
      <w:r>
        <w:rPr>
          <w:rFonts w:asciiTheme="minorHAnsi" w:hAnsiTheme="minorHAnsi" w:cstheme="minorHAnsi"/>
        </w:rPr>
        <w:t>The scale</w:t>
      </w:r>
      <w:r w:rsidR="00A904B6">
        <w:rPr>
          <w:rFonts w:asciiTheme="minorHAnsi" w:hAnsiTheme="minorHAnsi" w:cstheme="minorHAnsi"/>
        </w:rPr>
        <w:t xml:space="preserve"> of </w:t>
      </w:r>
      <w:r w:rsidR="00617E09">
        <w:rPr>
          <w:rFonts w:asciiTheme="minorHAnsi" w:hAnsiTheme="minorHAnsi" w:cstheme="minorHAnsi"/>
        </w:rPr>
        <w:t>net benefits</w:t>
      </w:r>
      <w:r w:rsidR="00161BD5">
        <w:rPr>
          <w:rFonts w:asciiTheme="minorHAnsi" w:hAnsiTheme="minorHAnsi" w:cstheme="minorHAnsi"/>
        </w:rPr>
        <w:t xml:space="preserve"> under this policy </w:t>
      </w:r>
      <w:r>
        <w:rPr>
          <w:rFonts w:asciiTheme="minorHAnsi" w:hAnsiTheme="minorHAnsi" w:cstheme="minorHAnsi"/>
        </w:rPr>
        <w:t xml:space="preserve">are </w:t>
      </w:r>
      <w:r w:rsidR="00CC5C8A">
        <w:rPr>
          <w:rFonts w:asciiTheme="minorHAnsi" w:hAnsiTheme="minorHAnsi" w:cstheme="minorHAnsi"/>
        </w:rPr>
        <w:t xml:space="preserve">larger than those in the </w:t>
      </w:r>
      <w:r w:rsidR="00617E09" w:rsidRPr="009C53A0">
        <w:rPr>
          <w:rFonts w:asciiTheme="minorHAnsi" w:hAnsiTheme="minorHAnsi" w:cstheme="minorHAnsi"/>
          <w:i/>
        </w:rPr>
        <w:t>Tailored sectoral disclosure</w:t>
      </w:r>
      <w:r w:rsidR="00617E09">
        <w:rPr>
          <w:rFonts w:asciiTheme="minorHAnsi" w:hAnsiTheme="minorHAnsi" w:cstheme="minorHAnsi"/>
        </w:rPr>
        <w:t xml:space="preserve"> policy</w:t>
      </w:r>
      <w:r w:rsidR="00945B4E">
        <w:rPr>
          <w:rFonts w:asciiTheme="minorHAnsi" w:hAnsiTheme="minorHAnsi" w:cstheme="minorHAnsi"/>
        </w:rPr>
        <w:t xml:space="preserve"> due to </w:t>
      </w:r>
      <w:proofErr w:type="gramStart"/>
      <w:r w:rsidR="00945B4E">
        <w:rPr>
          <w:rFonts w:asciiTheme="minorHAnsi" w:hAnsiTheme="minorHAnsi" w:cstheme="minorHAnsi"/>
        </w:rPr>
        <w:t>a number of</w:t>
      </w:r>
      <w:proofErr w:type="gramEnd"/>
      <w:r w:rsidR="00945B4E">
        <w:rPr>
          <w:rFonts w:asciiTheme="minorHAnsi" w:hAnsiTheme="minorHAnsi" w:cstheme="minorHAnsi"/>
        </w:rPr>
        <w:t xml:space="preserve"> reasons including:</w:t>
      </w:r>
    </w:p>
    <w:p w14:paraId="5EF88FE1" w14:textId="1668BE5F" w:rsidR="00945B4E" w:rsidRPr="003263EB" w:rsidRDefault="00945B4E" w:rsidP="00A253E6">
      <w:pPr>
        <w:pStyle w:val="BodyText"/>
        <w:numPr>
          <w:ilvl w:val="0"/>
          <w:numId w:val="61"/>
        </w:numPr>
        <w:rPr>
          <w:rFonts w:asciiTheme="minorHAnsi" w:hAnsiTheme="minorHAnsi" w:cstheme="minorHAnsi"/>
        </w:rPr>
      </w:pPr>
      <w:r>
        <w:rPr>
          <w:rFonts w:asciiTheme="minorHAnsi" w:hAnsiTheme="minorHAnsi" w:cstheme="minorHAnsi"/>
        </w:rPr>
        <w:t xml:space="preserve">A different methodology </w:t>
      </w:r>
      <w:r w:rsidR="00161BD5">
        <w:rPr>
          <w:rFonts w:asciiTheme="minorHAnsi" w:hAnsiTheme="minorHAnsi" w:cstheme="minorHAnsi"/>
        </w:rPr>
        <w:t xml:space="preserve">was </w:t>
      </w:r>
      <w:r>
        <w:rPr>
          <w:rFonts w:asciiTheme="minorHAnsi" w:hAnsiTheme="minorHAnsi" w:cstheme="minorHAnsi"/>
        </w:rPr>
        <w:t xml:space="preserve">adopted to </w:t>
      </w:r>
      <w:r w:rsidR="0024742A">
        <w:rPr>
          <w:rFonts w:asciiTheme="minorHAnsi" w:hAnsiTheme="minorHAnsi" w:cstheme="minorHAnsi"/>
        </w:rPr>
        <w:t xml:space="preserve">calculate building owner response – this </w:t>
      </w:r>
      <w:r w:rsidR="009C53A0">
        <w:rPr>
          <w:rFonts w:asciiTheme="minorHAnsi" w:hAnsiTheme="minorHAnsi" w:cstheme="minorHAnsi"/>
        </w:rPr>
        <w:t xml:space="preserve">policy used reported data from a small sample group, whereas the other policy assumed a range of </w:t>
      </w:r>
      <w:proofErr w:type="spellStart"/>
      <w:r w:rsidR="009C53A0">
        <w:rPr>
          <w:rFonts w:asciiTheme="minorHAnsi" w:hAnsiTheme="minorHAnsi" w:cstheme="minorHAnsi"/>
        </w:rPr>
        <w:t>ECMs</w:t>
      </w:r>
      <w:proofErr w:type="spellEnd"/>
      <w:r w:rsidR="009C53A0">
        <w:rPr>
          <w:rFonts w:asciiTheme="minorHAnsi" w:hAnsiTheme="minorHAnsi" w:cstheme="minorHAnsi"/>
        </w:rPr>
        <w:t xml:space="preserve"> were </w:t>
      </w:r>
      <w:proofErr w:type="gramStart"/>
      <w:r w:rsidR="009C53A0">
        <w:rPr>
          <w:rFonts w:asciiTheme="minorHAnsi" w:hAnsiTheme="minorHAnsi" w:cstheme="minorHAnsi"/>
        </w:rPr>
        <w:t>implemented</w:t>
      </w:r>
      <w:proofErr w:type="gramEnd"/>
    </w:p>
    <w:p w14:paraId="32B9DF9F" w14:textId="77777777" w:rsidR="00EF3FC5" w:rsidRDefault="009C53A0" w:rsidP="00A253E6">
      <w:pPr>
        <w:pStyle w:val="BodyText"/>
        <w:numPr>
          <w:ilvl w:val="0"/>
          <w:numId w:val="61"/>
        </w:numPr>
        <w:rPr>
          <w:rFonts w:asciiTheme="minorHAnsi" w:hAnsiTheme="minorHAnsi" w:cstheme="minorHAnsi"/>
        </w:rPr>
      </w:pPr>
      <w:r>
        <w:rPr>
          <w:rFonts w:asciiTheme="minorHAnsi" w:hAnsiTheme="minorHAnsi" w:cstheme="minorHAnsi"/>
        </w:rPr>
        <w:t>The scale of buildings covered under this policy is significantly smaller than the other policy</w:t>
      </w:r>
      <w:r w:rsidR="001A5243">
        <w:rPr>
          <w:rFonts w:asciiTheme="minorHAnsi" w:hAnsiTheme="minorHAnsi" w:cstheme="minorHAnsi"/>
        </w:rPr>
        <w:t xml:space="preserve"> – with this </w:t>
      </w:r>
      <w:proofErr w:type="spellStart"/>
      <w:r w:rsidR="001A5243">
        <w:rPr>
          <w:rFonts w:asciiTheme="minorHAnsi" w:hAnsiTheme="minorHAnsi" w:cstheme="minorHAnsi"/>
        </w:rPr>
        <w:t>MEPS</w:t>
      </w:r>
      <w:proofErr w:type="spellEnd"/>
      <w:r w:rsidR="001A5243">
        <w:rPr>
          <w:rFonts w:asciiTheme="minorHAnsi" w:hAnsiTheme="minorHAnsi" w:cstheme="minorHAnsi"/>
        </w:rPr>
        <w:t xml:space="preserve"> policy covering</w:t>
      </w:r>
      <w:r w:rsidR="00256928">
        <w:rPr>
          <w:rFonts w:asciiTheme="minorHAnsi" w:hAnsiTheme="minorHAnsi" w:cstheme="minorHAnsi"/>
        </w:rPr>
        <w:t xml:space="preserve"> around</w:t>
      </w:r>
      <w:r w:rsidR="001A5243">
        <w:rPr>
          <w:rFonts w:asciiTheme="minorHAnsi" w:hAnsiTheme="minorHAnsi" w:cstheme="minorHAnsi"/>
        </w:rPr>
        <w:t xml:space="preserve"> 8</w:t>
      </w:r>
      <w:r w:rsidR="00256928">
        <w:rPr>
          <w:rFonts w:asciiTheme="minorHAnsi" w:hAnsiTheme="minorHAnsi" w:cstheme="minorHAnsi"/>
        </w:rPr>
        <w:t>8</w:t>
      </w:r>
      <w:r w:rsidR="001A5243">
        <w:rPr>
          <w:rFonts w:asciiTheme="minorHAnsi" w:hAnsiTheme="minorHAnsi" w:cstheme="minorHAnsi"/>
        </w:rPr>
        <w:t xml:space="preserve">,000 buildings, </w:t>
      </w:r>
      <w:r w:rsidR="00256928">
        <w:rPr>
          <w:rFonts w:asciiTheme="minorHAnsi" w:hAnsiTheme="minorHAnsi" w:cstheme="minorHAnsi"/>
        </w:rPr>
        <w:t xml:space="preserve">whereas the </w:t>
      </w:r>
      <w:r w:rsidR="00EF3FC5">
        <w:rPr>
          <w:rFonts w:asciiTheme="minorHAnsi" w:hAnsiTheme="minorHAnsi" w:cstheme="minorHAnsi"/>
        </w:rPr>
        <w:t>disclosure policy covered around 190,000 buildings.</w:t>
      </w:r>
    </w:p>
    <w:p w14:paraId="7A3BF3B4" w14:textId="7D3A79BA" w:rsidR="00A904B6" w:rsidRPr="003263EB" w:rsidRDefault="009B3881" w:rsidP="00A253E6">
      <w:pPr>
        <w:pStyle w:val="BodyText"/>
        <w:numPr>
          <w:ilvl w:val="0"/>
          <w:numId w:val="61"/>
        </w:numPr>
        <w:rPr>
          <w:rFonts w:asciiTheme="minorHAnsi" w:hAnsiTheme="minorHAnsi" w:cstheme="minorHAnsi"/>
        </w:rPr>
      </w:pPr>
      <w:r>
        <w:rPr>
          <w:rFonts w:asciiTheme="minorHAnsi" w:hAnsiTheme="minorHAnsi" w:cstheme="minorHAnsi"/>
        </w:rPr>
        <w:t>T</w:t>
      </w:r>
      <w:r w:rsidR="00161BD5" w:rsidRPr="00EF3FC5">
        <w:rPr>
          <w:rFonts w:asciiTheme="minorHAnsi" w:hAnsiTheme="minorHAnsi" w:cstheme="minorHAnsi"/>
        </w:rPr>
        <w:t>he</w:t>
      </w:r>
      <w:r w:rsidR="00161BD5" w:rsidRPr="003263EB">
        <w:rPr>
          <w:rFonts w:asciiTheme="minorHAnsi" w:hAnsiTheme="minorHAnsi" w:cstheme="minorHAnsi"/>
        </w:rPr>
        <w:t xml:space="preserve"> high proportion of</w:t>
      </w:r>
      <w:r w:rsidR="00D14972" w:rsidRPr="003263EB">
        <w:rPr>
          <w:rFonts w:asciiTheme="minorHAnsi" w:hAnsiTheme="minorHAnsi" w:cstheme="minorHAnsi"/>
        </w:rPr>
        <w:t xml:space="preserve"> larger buildings that are already </w:t>
      </w:r>
      <w:r w:rsidR="003D5E47" w:rsidRPr="003263EB">
        <w:rPr>
          <w:rFonts w:asciiTheme="minorHAnsi" w:hAnsiTheme="minorHAnsi" w:cstheme="minorHAnsi"/>
        </w:rPr>
        <w:t xml:space="preserve">rated </w:t>
      </w:r>
      <w:r w:rsidR="00E56151" w:rsidRPr="003263EB">
        <w:rPr>
          <w:rFonts w:asciiTheme="minorHAnsi" w:hAnsiTheme="minorHAnsi" w:cstheme="minorHAnsi"/>
        </w:rPr>
        <w:t>5 star</w:t>
      </w:r>
      <w:r w:rsidR="000F3638" w:rsidRPr="003263EB">
        <w:rPr>
          <w:rFonts w:asciiTheme="minorHAnsi" w:hAnsiTheme="minorHAnsi" w:cstheme="minorHAnsi"/>
        </w:rPr>
        <w:t>s and above</w:t>
      </w:r>
      <w:r w:rsidR="0017520A" w:rsidRPr="003263EB">
        <w:rPr>
          <w:rFonts w:asciiTheme="minorHAnsi" w:hAnsiTheme="minorHAnsi" w:cstheme="minorHAnsi"/>
        </w:rPr>
        <w:t xml:space="preserve">, with </w:t>
      </w:r>
      <w:r w:rsidR="00BB3B45" w:rsidRPr="003263EB">
        <w:rPr>
          <w:rFonts w:asciiTheme="minorHAnsi" w:hAnsiTheme="minorHAnsi" w:cstheme="minorHAnsi"/>
        </w:rPr>
        <w:t xml:space="preserve">the buildings with the most significant star-increases required </w:t>
      </w:r>
      <w:r w:rsidR="0047491B" w:rsidRPr="003263EB">
        <w:rPr>
          <w:rFonts w:asciiTheme="minorHAnsi" w:hAnsiTheme="minorHAnsi" w:cstheme="minorHAnsi"/>
        </w:rPr>
        <w:t>being in th</w:t>
      </w:r>
      <w:r w:rsidR="002729FC" w:rsidRPr="003263EB">
        <w:rPr>
          <w:rFonts w:asciiTheme="minorHAnsi" w:hAnsiTheme="minorHAnsi" w:cstheme="minorHAnsi"/>
        </w:rPr>
        <w:t xml:space="preserve">e smallest building size category. </w:t>
      </w:r>
      <w:r w:rsidR="00D563B5" w:rsidRPr="003263EB">
        <w:rPr>
          <w:rFonts w:asciiTheme="minorHAnsi" w:hAnsiTheme="minorHAnsi" w:cstheme="minorHAnsi"/>
        </w:rPr>
        <w:t>The cost of upgrades of these smaller buildings</w:t>
      </w:r>
      <w:r w:rsidR="00C040F0" w:rsidRPr="003263EB">
        <w:rPr>
          <w:rFonts w:asciiTheme="minorHAnsi" w:hAnsiTheme="minorHAnsi" w:cstheme="minorHAnsi"/>
        </w:rPr>
        <w:t xml:space="preserve"> is also considerably </w:t>
      </w:r>
      <w:r w:rsidR="00414EF6" w:rsidRPr="003263EB">
        <w:rPr>
          <w:rFonts w:asciiTheme="minorHAnsi" w:hAnsiTheme="minorHAnsi" w:cstheme="minorHAnsi"/>
        </w:rPr>
        <w:t xml:space="preserve">lower according to the </w:t>
      </w:r>
      <w:r w:rsidR="00761026" w:rsidRPr="003263EB">
        <w:rPr>
          <w:rFonts w:asciiTheme="minorHAnsi" w:hAnsiTheme="minorHAnsi" w:cstheme="minorHAnsi"/>
        </w:rPr>
        <w:t>CIE regression analysis</w:t>
      </w:r>
      <w:r w:rsidR="00A15EF6" w:rsidRPr="003263EB">
        <w:rPr>
          <w:rFonts w:asciiTheme="minorHAnsi" w:hAnsiTheme="minorHAnsi" w:cstheme="minorHAnsi"/>
        </w:rPr>
        <w:t>, as illustrated in the figure below.</w:t>
      </w:r>
    </w:p>
    <w:p w14:paraId="775CC810" w14:textId="071117DB" w:rsidR="002629C0" w:rsidRPr="00732C3A" w:rsidRDefault="002629C0" w:rsidP="00732C3A">
      <w:pPr>
        <w:pStyle w:val="Caption"/>
        <w:keepNext/>
        <w:spacing w:after="120"/>
        <w:rPr>
          <w:rFonts w:ascii="Calibri" w:eastAsia="Times New Roman" w:hAnsi="Calibri" w:cs="Times New Roman"/>
          <w:b/>
          <w:bCs/>
          <w:i w:val="0"/>
          <w:iCs w:val="0"/>
          <w:color w:val="auto"/>
          <w:sz w:val="24"/>
        </w:rPr>
      </w:pPr>
      <w:bookmarkStart w:id="238" w:name="_Toc162535458"/>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 xml:space="preserve"> SEQ Table \* ARABIC </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22</w:t>
      </w:r>
      <w:r w:rsidRPr="00732C3A">
        <w:rPr>
          <w:rFonts w:ascii="Calibri" w:eastAsia="Times New Roman" w:hAnsi="Calibri" w:cs="Times New Roman"/>
          <w:b/>
          <w:bCs/>
          <w:i w:val="0"/>
          <w:iCs w:val="0"/>
          <w:color w:val="auto"/>
          <w:sz w:val="24"/>
        </w:rPr>
        <w:fldChar w:fldCharType="end"/>
      </w:r>
      <w:r w:rsidR="007421E2" w:rsidRPr="00732C3A">
        <w:rPr>
          <w:rFonts w:ascii="Calibri" w:eastAsia="Times New Roman" w:hAnsi="Calibri" w:cs="Times New Roman"/>
          <w:b/>
          <w:bCs/>
          <w:i w:val="0"/>
          <w:iCs w:val="0"/>
          <w:color w:val="auto"/>
          <w:sz w:val="24"/>
        </w:rPr>
        <w:t>:</w:t>
      </w:r>
      <w:r w:rsidRPr="00732C3A">
        <w:rPr>
          <w:rFonts w:ascii="Calibri" w:eastAsia="Times New Roman" w:hAnsi="Calibri" w:cs="Times New Roman"/>
          <w:b/>
          <w:bCs/>
          <w:i w:val="0"/>
          <w:iCs w:val="0"/>
          <w:color w:val="auto"/>
          <w:sz w:val="24"/>
        </w:rPr>
        <w:t xml:space="preserve"> Breakdown of NABERS rating by building size</w:t>
      </w:r>
      <w:r w:rsidR="00F73A23">
        <w:rPr>
          <w:rFonts w:ascii="ZWAdobeF" w:eastAsia="Times New Roman" w:hAnsi="ZWAdobeF" w:cs="ZWAdobeF"/>
          <w:bCs/>
          <w:i w:val="0"/>
          <w:iCs w:val="0"/>
          <w:color w:val="auto"/>
          <w:sz w:val="2"/>
          <w:szCs w:val="2"/>
        </w:rPr>
        <w:t>161F</w:t>
      </w:r>
      <w:r w:rsidR="00626378">
        <w:rPr>
          <w:rFonts w:ascii="ZWAdobeF" w:eastAsia="Times New Roman" w:hAnsi="ZWAdobeF" w:cs="ZWAdobeF"/>
          <w:bCs/>
          <w:i w:val="0"/>
          <w:iCs w:val="0"/>
          <w:color w:val="auto"/>
          <w:sz w:val="2"/>
          <w:szCs w:val="2"/>
        </w:rPr>
        <w:t>161F</w:t>
      </w:r>
      <w:r w:rsidR="00413811">
        <w:rPr>
          <w:rFonts w:ascii="ZWAdobeF" w:eastAsia="Times New Roman" w:hAnsi="ZWAdobeF" w:cs="ZWAdobeF"/>
          <w:bCs/>
          <w:i w:val="0"/>
          <w:iCs w:val="0"/>
          <w:color w:val="auto"/>
          <w:sz w:val="2"/>
          <w:szCs w:val="2"/>
        </w:rPr>
        <w:t>161F</w:t>
      </w:r>
      <w:r w:rsidR="002C327C">
        <w:rPr>
          <w:rFonts w:ascii="ZWAdobeF" w:eastAsia="Times New Roman" w:hAnsi="ZWAdobeF" w:cs="ZWAdobeF"/>
          <w:bCs/>
          <w:i w:val="0"/>
          <w:iCs w:val="0"/>
          <w:color w:val="auto"/>
          <w:sz w:val="2"/>
          <w:szCs w:val="2"/>
        </w:rPr>
        <w:t>161F</w:t>
      </w:r>
      <w:r w:rsidR="00D24A06">
        <w:rPr>
          <w:rFonts w:ascii="ZWAdobeF" w:eastAsia="Times New Roman" w:hAnsi="ZWAdobeF" w:cs="ZWAdobeF"/>
          <w:bCs/>
          <w:i w:val="0"/>
          <w:iCs w:val="0"/>
          <w:color w:val="auto"/>
          <w:sz w:val="2"/>
          <w:szCs w:val="2"/>
        </w:rPr>
        <w:t>161F</w:t>
      </w:r>
      <w:r w:rsidR="00732C3A">
        <w:rPr>
          <w:rStyle w:val="FootnoteReference"/>
          <w:rFonts w:ascii="Calibri" w:eastAsia="Times New Roman" w:hAnsi="Calibri" w:cs="Times New Roman"/>
          <w:b/>
          <w:bCs/>
          <w:i w:val="0"/>
          <w:iCs w:val="0"/>
          <w:color w:val="auto"/>
          <w:sz w:val="24"/>
        </w:rPr>
        <w:footnoteReference w:id="163"/>
      </w:r>
      <w:bookmarkEnd w:id="238"/>
    </w:p>
    <w:tbl>
      <w:tblPr>
        <w:tblStyle w:val="GridTable1Light"/>
        <w:tblW w:w="8160" w:type="dxa"/>
        <w:tblLook w:val="06A0" w:firstRow="1" w:lastRow="0" w:firstColumn="1" w:lastColumn="0" w:noHBand="1" w:noVBand="1"/>
      </w:tblPr>
      <w:tblGrid>
        <w:gridCol w:w="2300"/>
        <w:gridCol w:w="2460"/>
        <w:gridCol w:w="1920"/>
        <w:gridCol w:w="1480"/>
      </w:tblGrid>
      <w:tr w:rsidR="00400810" w:rsidRPr="00B50DF2" w14:paraId="1CBE8275" w14:textId="77777777" w:rsidTr="003E729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300" w:type="dxa"/>
            <w:hideMark/>
          </w:tcPr>
          <w:p w14:paraId="224B0C44" w14:textId="77777777" w:rsidR="00400810" w:rsidRPr="003263EB" w:rsidRDefault="00400810" w:rsidP="007421E2">
            <w:pPr>
              <w:pStyle w:val="BodyText"/>
              <w:spacing w:after="0"/>
              <w:rPr>
                <w:rFonts w:asciiTheme="minorHAnsi" w:hAnsiTheme="minorHAnsi" w:cstheme="minorHAnsi"/>
              </w:rPr>
            </w:pPr>
          </w:p>
        </w:tc>
        <w:tc>
          <w:tcPr>
            <w:tcW w:w="2460" w:type="dxa"/>
            <w:hideMark/>
          </w:tcPr>
          <w:p w14:paraId="34225A08" w14:textId="77777777" w:rsidR="00400810" w:rsidRPr="003263EB" w:rsidRDefault="00400810" w:rsidP="009B3881">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263EB">
              <w:rPr>
                <w:rFonts w:asciiTheme="minorHAnsi" w:hAnsiTheme="minorHAnsi" w:cstheme="minorHAnsi"/>
              </w:rPr>
              <w:t>1,000 - 5,000m</w:t>
            </w:r>
            <w:r w:rsidRPr="003263EB">
              <w:rPr>
                <w:rFonts w:asciiTheme="minorHAnsi" w:hAnsiTheme="minorHAnsi" w:cstheme="minorHAnsi"/>
                <w:vertAlign w:val="superscript"/>
              </w:rPr>
              <w:t>2</w:t>
            </w:r>
          </w:p>
        </w:tc>
        <w:tc>
          <w:tcPr>
            <w:tcW w:w="1920" w:type="dxa"/>
            <w:hideMark/>
          </w:tcPr>
          <w:p w14:paraId="24E4A9C4" w14:textId="77777777" w:rsidR="00400810" w:rsidRPr="003263EB" w:rsidRDefault="00400810" w:rsidP="009B3881">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263EB">
              <w:rPr>
                <w:rFonts w:asciiTheme="minorHAnsi" w:hAnsiTheme="minorHAnsi" w:cstheme="minorHAnsi"/>
              </w:rPr>
              <w:t>5,000-20,000 m</w:t>
            </w:r>
            <w:r w:rsidRPr="003263EB">
              <w:rPr>
                <w:rFonts w:asciiTheme="minorHAnsi" w:hAnsiTheme="minorHAnsi" w:cstheme="minorHAnsi"/>
                <w:vertAlign w:val="superscript"/>
              </w:rPr>
              <w:t>2</w:t>
            </w:r>
          </w:p>
        </w:tc>
        <w:tc>
          <w:tcPr>
            <w:tcW w:w="1480" w:type="dxa"/>
            <w:hideMark/>
          </w:tcPr>
          <w:p w14:paraId="73519B44" w14:textId="77777777" w:rsidR="00400810" w:rsidRPr="003263EB" w:rsidRDefault="00400810" w:rsidP="009B3881">
            <w:pPr>
              <w:pStyle w:val="BodyText"/>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3263EB">
              <w:rPr>
                <w:rFonts w:asciiTheme="minorHAnsi" w:hAnsiTheme="minorHAnsi" w:cstheme="minorHAnsi"/>
              </w:rPr>
              <w:t>&gt;20,000m</w:t>
            </w:r>
            <w:r w:rsidRPr="003263EB">
              <w:rPr>
                <w:rFonts w:asciiTheme="minorHAnsi" w:hAnsiTheme="minorHAnsi" w:cstheme="minorHAnsi"/>
                <w:vertAlign w:val="superscript"/>
              </w:rPr>
              <w:t>2</w:t>
            </w:r>
          </w:p>
        </w:tc>
      </w:tr>
      <w:tr w:rsidR="00400810" w:rsidRPr="00B50DF2" w14:paraId="5B8C78F9" w14:textId="77777777" w:rsidTr="003E7297">
        <w:trPr>
          <w:trHeight w:val="359"/>
        </w:trPr>
        <w:tc>
          <w:tcPr>
            <w:cnfStyle w:val="001000000000" w:firstRow="0" w:lastRow="0" w:firstColumn="1" w:lastColumn="0" w:oddVBand="0" w:evenVBand="0" w:oddHBand="0" w:evenHBand="0" w:firstRowFirstColumn="0" w:firstRowLastColumn="0" w:lastRowFirstColumn="0" w:lastRowLastColumn="0"/>
            <w:tcW w:w="2300" w:type="dxa"/>
            <w:hideMark/>
          </w:tcPr>
          <w:p w14:paraId="539F74A1" w14:textId="77777777" w:rsidR="00400810" w:rsidRPr="003263EB" w:rsidRDefault="00400810" w:rsidP="007421E2">
            <w:pPr>
              <w:pStyle w:val="BodyText"/>
              <w:spacing w:after="0"/>
              <w:rPr>
                <w:rFonts w:asciiTheme="minorHAnsi" w:hAnsiTheme="minorHAnsi" w:cstheme="minorHAnsi"/>
              </w:rPr>
            </w:pPr>
            <w:r w:rsidRPr="003263EB">
              <w:rPr>
                <w:rFonts w:asciiTheme="minorHAnsi" w:hAnsiTheme="minorHAnsi" w:cstheme="minorHAnsi"/>
              </w:rPr>
              <w:t>% 2 Star or less</w:t>
            </w:r>
          </w:p>
        </w:tc>
        <w:tc>
          <w:tcPr>
            <w:tcW w:w="2460" w:type="dxa"/>
            <w:hideMark/>
          </w:tcPr>
          <w:p w14:paraId="274A322F"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26%</w:t>
            </w:r>
          </w:p>
        </w:tc>
        <w:tc>
          <w:tcPr>
            <w:tcW w:w="1920" w:type="dxa"/>
            <w:hideMark/>
          </w:tcPr>
          <w:p w14:paraId="64740BEA"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7%</w:t>
            </w:r>
          </w:p>
        </w:tc>
        <w:tc>
          <w:tcPr>
            <w:tcW w:w="1480" w:type="dxa"/>
            <w:hideMark/>
          </w:tcPr>
          <w:p w14:paraId="52F9FDDA"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1%</w:t>
            </w:r>
          </w:p>
        </w:tc>
      </w:tr>
      <w:tr w:rsidR="00400810" w:rsidRPr="00B50DF2" w14:paraId="1C9C97AE" w14:textId="77777777" w:rsidTr="003E7297">
        <w:trPr>
          <w:trHeight w:val="359"/>
        </w:trPr>
        <w:tc>
          <w:tcPr>
            <w:cnfStyle w:val="001000000000" w:firstRow="0" w:lastRow="0" w:firstColumn="1" w:lastColumn="0" w:oddVBand="0" w:evenVBand="0" w:oddHBand="0" w:evenHBand="0" w:firstRowFirstColumn="0" w:firstRowLastColumn="0" w:lastRowFirstColumn="0" w:lastRowLastColumn="0"/>
            <w:tcW w:w="2300" w:type="dxa"/>
            <w:hideMark/>
          </w:tcPr>
          <w:p w14:paraId="3709CE10" w14:textId="77777777" w:rsidR="00400810" w:rsidRPr="003263EB" w:rsidRDefault="00400810" w:rsidP="007421E2">
            <w:pPr>
              <w:pStyle w:val="BodyText"/>
              <w:spacing w:after="0"/>
              <w:rPr>
                <w:rFonts w:asciiTheme="minorHAnsi" w:hAnsiTheme="minorHAnsi" w:cstheme="minorHAnsi"/>
              </w:rPr>
            </w:pPr>
            <w:r w:rsidRPr="003263EB">
              <w:rPr>
                <w:rFonts w:asciiTheme="minorHAnsi" w:hAnsiTheme="minorHAnsi" w:cstheme="minorHAnsi"/>
              </w:rPr>
              <w:t>% 3 Star</w:t>
            </w:r>
          </w:p>
        </w:tc>
        <w:tc>
          <w:tcPr>
            <w:tcW w:w="2460" w:type="dxa"/>
            <w:hideMark/>
          </w:tcPr>
          <w:p w14:paraId="0E32FAFB"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16%</w:t>
            </w:r>
          </w:p>
        </w:tc>
        <w:tc>
          <w:tcPr>
            <w:tcW w:w="1920" w:type="dxa"/>
            <w:hideMark/>
          </w:tcPr>
          <w:p w14:paraId="54D32761"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10%</w:t>
            </w:r>
          </w:p>
        </w:tc>
        <w:tc>
          <w:tcPr>
            <w:tcW w:w="1480" w:type="dxa"/>
            <w:hideMark/>
          </w:tcPr>
          <w:p w14:paraId="439A96EB"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2%</w:t>
            </w:r>
          </w:p>
        </w:tc>
      </w:tr>
      <w:tr w:rsidR="00400810" w:rsidRPr="00B50DF2" w14:paraId="55529A4B" w14:textId="77777777" w:rsidTr="003E7297">
        <w:trPr>
          <w:trHeight w:val="359"/>
        </w:trPr>
        <w:tc>
          <w:tcPr>
            <w:cnfStyle w:val="001000000000" w:firstRow="0" w:lastRow="0" w:firstColumn="1" w:lastColumn="0" w:oddVBand="0" w:evenVBand="0" w:oddHBand="0" w:evenHBand="0" w:firstRowFirstColumn="0" w:firstRowLastColumn="0" w:lastRowFirstColumn="0" w:lastRowLastColumn="0"/>
            <w:tcW w:w="2300" w:type="dxa"/>
            <w:hideMark/>
          </w:tcPr>
          <w:p w14:paraId="3E73ADAD" w14:textId="77777777" w:rsidR="00400810" w:rsidRPr="003263EB" w:rsidRDefault="00400810" w:rsidP="007421E2">
            <w:pPr>
              <w:pStyle w:val="BodyText"/>
              <w:spacing w:after="0"/>
              <w:rPr>
                <w:rFonts w:asciiTheme="minorHAnsi" w:hAnsiTheme="minorHAnsi" w:cstheme="minorHAnsi"/>
              </w:rPr>
            </w:pPr>
            <w:r w:rsidRPr="003263EB">
              <w:rPr>
                <w:rFonts w:asciiTheme="minorHAnsi" w:hAnsiTheme="minorHAnsi" w:cstheme="minorHAnsi"/>
              </w:rPr>
              <w:t>% 4 Star</w:t>
            </w:r>
          </w:p>
        </w:tc>
        <w:tc>
          <w:tcPr>
            <w:tcW w:w="2460" w:type="dxa"/>
            <w:hideMark/>
          </w:tcPr>
          <w:p w14:paraId="76DA99EA"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24%</w:t>
            </w:r>
          </w:p>
        </w:tc>
        <w:tc>
          <w:tcPr>
            <w:tcW w:w="1920" w:type="dxa"/>
            <w:hideMark/>
          </w:tcPr>
          <w:p w14:paraId="3B4F9E91"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21%</w:t>
            </w:r>
          </w:p>
        </w:tc>
        <w:tc>
          <w:tcPr>
            <w:tcW w:w="1480" w:type="dxa"/>
            <w:hideMark/>
          </w:tcPr>
          <w:p w14:paraId="7883048D" w14:textId="77777777" w:rsidR="00400810" w:rsidRPr="003263EB"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263EB">
              <w:rPr>
                <w:rFonts w:asciiTheme="minorHAnsi" w:hAnsiTheme="minorHAnsi" w:cstheme="minorHAnsi"/>
              </w:rPr>
              <w:t>9%</w:t>
            </w:r>
          </w:p>
        </w:tc>
      </w:tr>
      <w:tr w:rsidR="00400810" w:rsidRPr="00B50DF2" w14:paraId="1F9953D6" w14:textId="77777777" w:rsidTr="00C2007D">
        <w:trPr>
          <w:trHeight w:val="359"/>
        </w:trPr>
        <w:tc>
          <w:tcPr>
            <w:cnfStyle w:val="001000000000" w:firstRow="0" w:lastRow="0" w:firstColumn="1" w:lastColumn="0" w:oddVBand="0" w:evenVBand="0" w:oddHBand="0" w:evenHBand="0" w:firstRowFirstColumn="0" w:firstRowLastColumn="0" w:lastRowFirstColumn="0" w:lastRowLastColumn="0"/>
            <w:tcW w:w="2300" w:type="dxa"/>
            <w:shd w:val="clear" w:color="auto" w:fill="D9D9D9" w:themeFill="background1" w:themeFillShade="D9"/>
            <w:hideMark/>
          </w:tcPr>
          <w:p w14:paraId="5CF61FDD" w14:textId="77777777" w:rsidR="00400810" w:rsidRPr="00C2007D" w:rsidRDefault="00400810" w:rsidP="007421E2">
            <w:pPr>
              <w:pStyle w:val="BodyText"/>
              <w:spacing w:after="0"/>
              <w:rPr>
                <w:rFonts w:asciiTheme="minorHAnsi" w:hAnsiTheme="minorHAnsi" w:cstheme="minorHAnsi"/>
                <w:color w:val="auto"/>
              </w:rPr>
            </w:pPr>
            <w:r w:rsidRPr="00C2007D">
              <w:rPr>
                <w:rFonts w:asciiTheme="minorHAnsi" w:hAnsiTheme="minorHAnsi" w:cstheme="minorHAnsi"/>
                <w:color w:val="auto"/>
              </w:rPr>
              <w:t>% 5 Star or above</w:t>
            </w:r>
          </w:p>
        </w:tc>
        <w:tc>
          <w:tcPr>
            <w:tcW w:w="2460" w:type="dxa"/>
            <w:shd w:val="clear" w:color="auto" w:fill="D9D9D9" w:themeFill="background1" w:themeFillShade="D9"/>
            <w:hideMark/>
          </w:tcPr>
          <w:p w14:paraId="69313B59" w14:textId="77777777" w:rsidR="00400810" w:rsidRPr="00C2007D"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2007D">
              <w:rPr>
                <w:rFonts w:asciiTheme="minorHAnsi" w:hAnsiTheme="minorHAnsi" w:cstheme="minorHAnsi"/>
                <w:color w:val="auto"/>
              </w:rPr>
              <w:t>35%</w:t>
            </w:r>
          </w:p>
        </w:tc>
        <w:tc>
          <w:tcPr>
            <w:tcW w:w="1920" w:type="dxa"/>
            <w:shd w:val="clear" w:color="auto" w:fill="D9D9D9" w:themeFill="background1" w:themeFillShade="D9"/>
            <w:hideMark/>
          </w:tcPr>
          <w:p w14:paraId="20BEABE9" w14:textId="77777777" w:rsidR="00400810" w:rsidRPr="00C2007D"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2007D">
              <w:rPr>
                <w:rFonts w:asciiTheme="minorHAnsi" w:hAnsiTheme="minorHAnsi" w:cstheme="minorHAnsi"/>
                <w:color w:val="auto"/>
              </w:rPr>
              <w:t>61%</w:t>
            </w:r>
          </w:p>
        </w:tc>
        <w:tc>
          <w:tcPr>
            <w:tcW w:w="1480" w:type="dxa"/>
            <w:shd w:val="clear" w:color="auto" w:fill="D9D9D9" w:themeFill="background1" w:themeFillShade="D9"/>
            <w:hideMark/>
          </w:tcPr>
          <w:p w14:paraId="4DD5D6AC" w14:textId="77777777" w:rsidR="00400810" w:rsidRPr="00C2007D" w:rsidRDefault="00400810" w:rsidP="009B3881">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2007D">
              <w:rPr>
                <w:rFonts w:asciiTheme="minorHAnsi" w:hAnsiTheme="minorHAnsi" w:cstheme="minorHAnsi"/>
                <w:color w:val="auto"/>
              </w:rPr>
              <w:t>87%</w:t>
            </w:r>
          </w:p>
        </w:tc>
      </w:tr>
    </w:tbl>
    <w:p w14:paraId="0E460CCA" w14:textId="77777777" w:rsidR="00505054" w:rsidRDefault="00505054" w:rsidP="00505054">
      <w:pPr>
        <w:pStyle w:val="Caption"/>
        <w:keepNext/>
        <w:spacing w:after="120"/>
        <w:rPr>
          <w:rFonts w:ascii="Calibri" w:eastAsia="Times New Roman" w:hAnsi="Calibri" w:cs="Times New Roman"/>
          <w:b/>
          <w:bCs/>
          <w:i w:val="0"/>
          <w:iCs w:val="0"/>
          <w:color w:val="auto"/>
          <w:sz w:val="24"/>
        </w:rPr>
      </w:pPr>
      <w:bookmarkStart w:id="239" w:name="_Ref146105067"/>
      <w:bookmarkStart w:id="240" w:name="_Ref146105062"/>
    </w:p>
    <w:p w14:paraId="3C6684EA" w14:textId="3858C6A2" w:rsidR="00B50DF2" w:rsidRPr="00505054" w:rsidRDefault="00505054" w:rsidP="00505054">
      <w:pPr>
        <w:pStyle w:val="Caption"/>
        <w:keepNext/>
        <w:spacing w:after="120"/>
        <w:rPr>
          <w:rFonts w:ascii="Calibri" w:eastAsia="Times New Roman" w:hAnsi="Calibri" w:cs="Times New Roman"/>
          <w:b/>
          <w:bCs/>
          <w:i w:val="0"/>
          <w:iCs w:val="0"/>
          <w:color w:val="auto"/>
          <w:sz w:val="24"/>
        </w:rPr>
      </w:pPr>
      <w:bookmarkStart w:id="241" w:name="_Ref157682275"/>
      <w:bookmarkStart w:id="242" w:name="_Toc157687023"/>
      <w:bookmarkStart w:id="243" w:name="_Hlk154057702"/>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18</w:t>
      </w:r>
      <w:r w:rsidRPr="00505054">
        <w:rPr>
          <w:rFonts w:ascii="Calibri" w:eastAsia="Times New Roman" w:hAnsi="Calibri" w:cs="Times New Roman"/>
          <w:b/>
          <w:bCs/>
          <w:i w:val="0"/>
          <w:iCs w:val="0"/>
          <w:color w:val="auto"/>
          <w:sz w:val="24"/>
        </w:rPr>
        <w:fldChar w:fldCharType="end"/>
      </w:r>
      <w:bookmarkEnd w:id="241"/>
      <w:r w:rsidRPr="00505054">
        <w:rPr>
          <w:rFonts w:ascii="Calibri" w:eastAsia="Times New Roman" w:hAnsi="Calibri" w:cs="Times New Roman"/>
          <w:b/>
          <w:bCs/>
          <w:i w:val="0"/>
          <w:iCs w:val="0"/>
          <w:color w:val="auto"/>
          <w:sz w:val="24"/>
        </w:rPr>
        <w:t>:</w:t>
      </w:r>
      <w:bookmarkEnd w:id="239"/>
      <w:r w:rsidRPr="00505054">
        <w:rPr>
          <w:rFonts w:ascii="Calibri" w:eastAsia="Times New Roman" w:hAnsi="Calibri" w:cs="Times New Roman"/>
          <w:b/>
          <w:bCs/>
          <w:i w:val="0"/>
          <w:iCs w:val="0"/>
          <w:color w:val="auto"/>
          <w:sz w:val="24"/>
        </w:rPr>
        <w:t xml:space="preserve"> </w:t>
      </w:r>
      <w:bookmarkEnd w:id="240"/>
      <w:r w:rsidRPr="00505054">
        <w:rPr>
          <w:rFonts w:ascii="Calibri" w:eastAsia="Times New Roman" w:hAnsi="Calibri" w:cs="Times New Roman"/>
          <w:b/>
          <w:bCs/>
          <w:i w:val="0"/>
          <w:iCs w:val="0"/>
          <w:color w:val="auto"/>
          <w:sz w:val="24"/>
        </w:rPr>
        <w:t xml:space="preserve">Cost of upgrading NABERS ratings by building </w:t>
      </w:r>
      <w:proofErr w:type="gramStart"/>
      <w:r w:rsidRPr="00505054">
        <w:rPr>
          <w:rFonts w:ascii="Calibri" w:eastAsia="Times New Roman" w:hAnsi="Calibri" w:cs="Times New Roman"/>
          <w:b/>
          <w:bCs/>
          <w:i w:val="0"/>
          <w:iCs w:val="0"/>
          <w:color w:val="auto"/>
          <w:sz w:val="24"/>
        </w:rPr>
        <w:t>size</w:t>
      </w:r>
      <w:bookmarkEnd w:id="242"/>
      <w:proofErr w:type="gramEnd"/>
    </w:p>
    <w:bookmarkEnd w:id="243"/>
    <w:p w14:paraId="3AC2C1A5" w14:textId="7CF92A4F" w:rsidR="00880568" w:rsidRDefault="009D199A" w:rsidP="001E1701">
      <w:pPr>
        <w:pStyle w:val="BodyText"/>
        <w:rPr>
          <w:rFonts w:asciiTheme="minorHAnsi" w:hAnsiTheme="minorHAnsi" w:cstheme="minorHAnsi"/>
        </w:rPr>
      </w:pPr>
      <w:r>
        <w:rPr>
          <w:rFonts w:asciiTheme="minorHAnsi" w:hAnsiTheme="minorHAnsi" w:cstheme="minorHAnsi"/>
          <w:noProof/>
        </w:rPr>
        <w:drawing>
          <wp:inline distT="0" distB="0" distL="0" distR="0" wp14:anchorId="1764C11F" wp14:editId="6E9ED3E0">
            <wp:extent cx="6157595" cy="3078480"/>
            <wp:effectExtent l="0" t="0" r="0" b="7620"/>
            <wp:docPr id="1837010264" name="Picture 1837010264" descr="Cost of upgrading NABERS rating by building size. Underlying data presented in Appendix 11, Tabl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10264" name="Picture 1837010264" descr="Cost of upgrading NABERS rating by building size. Underlying data presented in Appendix 11, Tabl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7595" cy="3078480"/>
                    </a:xfrm>
                    <a:prstGeom prst="rect">
                      <a:avLst/>
                    </a:prstGeom>
                    <a:noFill/>
                  </pic:spPr>
                </pic:pic>
              </a:graphicData>
            </a:graphic>
          </wp:inline>
        </w:drawing>
      </w:r>
    </w:p>
    <w:p w14:paraId="5C7CDF3F" w14:textId="683D3AFA" w:rsidR="002A790F" w:rsidRDefault="002A790F" w:rsidP="002A790F">
      <w:pPr>
        <w:pStyle w:val="Caption"/>
        <w:jc w:val="center"/>
        <w:rPr>
          <w:rFonts w:ascii="Calibri" w:eastAsia="Times New Roman" w:hAnsi="Calibri" w:cs="Times New Roman"/>
          <w:b/>
          <w:bCs/>
          <w:i w:val="0"/>
          <w:iCs w:val="0"/>
          <w:color w:val="auto"/>
          <w:sz w:val="24"/>
        </w:rPr>
      </w:pPr>
      <w:hyperlink w:anchor="_Table_43:_Figure"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Figure 1</w:t>
        </w:r>
        <w:r>
          <w:rPr>
            <w:rStyle w:val="Hyperlink"/>
            <w:rFonts w:asciiTheme="minorHAnsi" w:hAnsiTheme="minorHAnsi" w:cstheme="minorHAnsi"/>
          </w:rPr>
          <w:t>8</w:t>
        </w:r>
        <w:r>
          <w:rPr>
            <w:rStyle w:val="Hyperlink"/>
            <w:rFonts w:asciiTheme="minorHAnsi" w:hAnsiTheme="minorHAnsi" w:cstheme="minorHAnsi"/>
          </w:rPr>
          <w:t xml:space="preserve"> [Appendix 11 Table 4</w:t>
        </w:r>
        <w:r>
          <w:rPr>
            <w:rStyle w:val="Hyperlink"/>
            <w:rFonts w:asciiTheme="minorHAnsi" w:hAnsiTheme="minorHAnsi" w:cstheme="minorHAnsi"/>
          </w:rPr>
          <w:t>3</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56E4BF8A" w14:textId="79F98DEC" w:rsidR="00AC640D" w:rsidRPr="003263EB" w:rsidRDefault="009A3D72" w:rsidP="001E1701">
      <w:pPr>
        <w:pStyle w:val="BodyText"/>
        <w:rPr>
          <w:rFonts w:asciiTheme="minorHAnsi" w:hAnsiTheme="minorHAnsi" w:cstheme="minorHAnsi"/>
        </w:rPr>
      </w:pPr>
      <w:r w:rsidRPr="003263EB">
        <w:rPr>
          <w:rFonts w:asciiTheme="minorHAnsi" w:hAnsiTheme="minorHAnsi" w:cstheme="minorHAnsi"/>
        </w:rPr>
        <w:t>One benefit of this policy</w:t>
      </w:r>
      <w:r w:rsidR="006C5164" w:rsidRPr="003263EB">
        <w:rPr>
          <w:rFonts w:asciiTheme="minorHAnsi" w:hAnsiTheme="minorHAnsi" w:cstheme="minorHAnsi"/>
        </w:rPr>
        <w:t xml:space="preserve"> approach is </w:t>
      </w:r>
      <w:r w:rsidR="00684104" w:rsidRPr="003263EB">
        <w:rPr>
          <w:rFonts w:asciiTheme="minorHAnsi" w:hAnsiTheme="minorHAnsi" w:cstheme="minorHAnsi"/>
        </w:rPr>
        <w:t>that</w:t>
      </w:r>
      <w:r w:rsidR="00FC36FF" w:rsidRPr="003263EB">
        <w:rPr>
          <w:rFonts w:asciiTheme="minorHAnsi" w:hAnsiTheme="minorHAnsi" w:cstheme="minorHAnsi"/>
        </w:rPr>
        <w:t xml:space="preserve"> </w:t>
      </w:r>
      <w:r w:rsidR="006C5164" w:rsidRPr="003263EB">
        <w:rPr>
          <w:rFonts w:asciiTheme="minorHAnsi" w:hAnsiTheme="minorHAnsi" w:cstheme="minorHAnsi"/>
        </w:rPr>
        <w:t xml:space="preserve">the environmental outcomes of the policy are more certain as there is a set </w:t>
      </w:r>
      <w:r w:rsidR="0032695D" w:rsidRPr="003263EB">
        <w:rPr>
          <w:rFonts w:asciiTheme="minorHAnsi" w:hAnsiTheme="minorHAnsi" w:cstheme="minorHAnsi"/>
        </w:rPr>
        <w:t xml:space="preserve">emissions intensity requirement </w:t>
      </w:r>
      <w:r w:rsidR="00951C3C" w:rsidRPr="003263EB">
        <w:rPr>
          <w:rFonts w:asciiTheme="minorHAnsi" w:hAnsiTheme="minorHAnsi" w:cstheme="minorHAnsi"/>
        </w:rPr>
        <w:t xml:space="preserve">that </w:t>
      </w:r>
      <w:r w:rsidR="0032695D" w:rsidRPr="003263EB">
        <w:rPr>
          <w:rFonts w:asciiTheme="minorHAnsi" w:hAnsiTheme="minorHAnsi" w:cstheme="minorHAnsi"/>
        </w:rPr>
        <w:t xml:space="preserve">guarantees </w:t>
      </w:r>
      <w:r w:rsidR="00F72239" w:rsidRPr="003263EB">
        <w:rPr>
          <w:rFonts w:asciiTheme="minorHAnsi" w:hAnsiTheme="minorHAnsi" w:cstheme="minorHAnsi"/>
        </w:rPr>
        <w:t>a response for building ow</w:t>
      </w:r>
      <w:r w:rsidR="00FB201B" w:rsidRPr="003263EB">
        <w:rPr>
          <w:rFonts w:asciiTheme="minorHAnsi" w:hAnsiTheme="minorHAnsi" w:cstheme="minorHAnsi"/>
        </w:rPr>
        <w:t xml:space="preserve">ners. </w:t>
      </w:r>
      <w:r w:rsidR="00B54CBA" w:rsidRPr="003263EB">
        <w:rPr>
          <w:rFonts w:asciiTheme="minorHAnsi" w:hAnsiTheme="minorHAnsi" w:cstheme="minorHAnsi"/>
        </w:rPr>
        <w:t>Additionally, t</w:t>
      </w:r>
      <w:r w:rsidR="00D60517" w:rsidRPr="003263EB">
        <w:rPr>
          <w:rFonts w:asciiTheme="minorHAnsi" w:hAnsiTheme="minorHAnsi" w:cstheme="minorHAnsi"/>
        </w:rPr>
        <w:t xml:space="preserve">o improve the </w:t>
      </w:r>
      <w:r w:rsidR="00D95E09" w:rsidRPr="003263EB">
        <w:rPr>
          <w:rFonts w:asciiTheme="minorHAnsi" w:hAnsiTheme="minorHAnsi" w:cstheme="minorHAnsi"/>
        </w:rPr>
        <w:t>cost-</w:t>
      </w:r>
      <w:r w:rsidR="00D60517" w:rsidRPr="003263EB">
        <w:rPr>
          <w:rFonts w:asciiTheme="minorHAnsi" w:hAnsiTheme="minorHAnsi" w:cstheme="minorHAnsi"/>
        </w:rPr>
        <w:t xml:space="preserve">effectiveness of the program, a cost-cap </w:t>
      </w:r>
      <w:r w:rsidR="00B54CBA" w:rsidRPr="003263EB">
        <w:rPr>
          <w:rFonts w:asciiTheme="minorHAnsi" w:hAnsiTheme="minorHAnsi" w:cstheme="minorHAnsi"/>
        </w:rPr>
        <w:t>c</w:t>
      </w:r>
      <w:r w:rsidR="00D60517" w:rsidRPr="003263EB">
        <w:rPr>
          <w:rFonts w:asciiTheme="minorHAnsi" w:hAnsiTheme="minorHAnsi" w:cstheme="minorHAnsi"/>
        </w:rPr>
        <w:t>ould be considered, to limit building capital upgrade costs where it is impractical. E.g</w:t>
      </w:r>
      <w:r w:rsidR="00D54793" w:rsidRPr="003263EB">
        <w:rPr>
          <w:rFonts w:asciiTheme="minorHAnsi" w:hAnsiTheme="minorHAnsi" w:cstheme="minorHAnsi"/>
        </w:rPr>
        <w:t>.,</w:t>
      </w:r>
      <w:r w:rsidR="00D60517" w:rsidRPr="003263EB">
        <w:rPr>
          <w:rFonts w:asciiTheme="minorHAnsi" w:hAnsiTheme="minorHAnsi" w:cstheme="minorHAnsi"/>
        </w:rPr>
        <w:t xml:space="preserve"> a cost cap of ~$100/m</w:t>
      </w:r>
      <w:r w:rsidR="00D60517" w:rsidRPr="003263EB">
        <w:rPr>
          <w:rFonts w:asciiTheme="minorHAnsi" w:hAnsiTheme="minorHAnsi" w:cstheme="minorHAnsi"/>
          <w:vertAlign w:val="superscript"/>
        </w:rPr>
        <w:t>2</w:t>
      </w:r>
      <w:r w:rsidR="00D60517" w:rsidRPr="003263EB">
        <w:rPr>
          <w:rFonts w:asciiTheme="minorHAnsi" w:hAnsiTheme="minorHAnsi" w:cstheme="minorHAnsi"/>
        </w:rPr>
        <w:t xml:space="preserve"> may reduce risks associated with upgrade variability</w:t>
      </w:r>
      <w:r w:rsidR="001C481C" w:rsidRPr="003263EB">
        <w:rPr>
          <w:rFonts w:asciiTheme="minorHAnsi" w:hAnsiTheme="minorHAnsi" w:cstheme="minorHAnsi"/>
        </w:rPr>
        <w:t>.</w:t>
      </w:r>
    </w:p>
    <w:p w14:paraId="02219759" w14:textId="77777777" w:rsidR="00AC640D" w:rsidRPr="003263EB" w:rsidRDefault="00B466F6" w:rsidP="00B466F6">
      <w:pPr>
        <w:pStyle w:val="Heading3"/>
        <w:rPr>
          <w:rFonts w:asciiTheme="minorHAnsi" w:hAnsiTheme="minorHAnsi" w:cstheme="minorHAnsi"/>
        </w:rPr>
      </w:pPr>
      <w:r w:rsidRPr="003263EB">
        <w:rPr>
          <w:rFonts w:asciiTheme="minorHAnsi" w:hAnsiTheme="minorHAnsi" w:cstheme="minorHAnsi"/>
        </w:rPr>
        <w:t>Scope 1 disclosure</w:t>
      </w:r>
    </w:p>
    <w:p w14:paraId="36E316FF" w14:textId="0468839E" w:rsidR="005A57D2" w:rsidRDefault="0005036E" w:rsidP="001C481C">
      <w:pPr>
        <w:pStyle w:val="BodyText"/>
        <w:rPr>
          <w:rFonts w:asciiTheme="minorHAnsi" w:hAnsiTheme="minorHAnsi" w:cstheme="minorHAnsi"/>
        </w:rPr>
      </w:pPr>
      <w:r w:rsidRPr="003263EB">
        <w:rPr>
          <w:rFonts w:asciiTheme="minorHAnsi" w:hAnsiTheme="minorHAnsi" w:cstheme="minorHAnsi"/>
        </w:rPr>
        <w:t xml:space="preserve">The feasibility assessment for the </w:t>
      </w:r>
      <w:r w:rsidRPr="003263EB">
        <w:rPr>
          <w:rFonts w:asciiTheme="minorHAnsi" w:hAnsiTheme="minorHAnsi" w:cstheme="minorHAnsi"/>
          <w:i/>
        </w:rPr>
        <w:t xml:space="preserve">Scope 1 </w:t>
      </w:r>
      <w:r w:rsidR="003F6368" w:rsidRPr="003263EB">
        <w:rPr>
          <w:rFonts w:asciiTheme="minorHAnsi" w:hAnsiTheme="minorHAnsi" w:cstheme="minorHAnsi"/>
          <w:i/>
        </w:rPr>
        <w:t>disclosure</w:t>
      </w:r>
      <w:r w:rsidRPr="003263EB">
        <w:rPr>
          <w:rFonts w:asciiTheme="minorHAnsi" w:hAnsiTheme="minorHAnsi" w:cstheme="minorHAnsi"/>
        </w:rPr>
        <w:t xml:space="preserve"> policy revealed a </w:t>
      </w:r>
      <w:r w:rsidR="003A107E" w:rsidRPr="003263EB">
        <w:rPr>
          <w:rFonts w:asciiTheme="minorHAnsi" w:hAnsiTheme="minorHAnsi" w:cstheme="minorHAnsi"/>
        </w:rPr>
        <w:t xml:space="preserve">modest </w:t>
      </w:r>
      <w:r w:rsidRPr="003263EB">
        <w:rPr>
          <w:rFonts w:asciiTheme="minorHAnsi" w:hAnsiTheme="minorHAnsi" w:cstheme="minorHAnsi"/>
        </w:rPr>
        <w:t>net benefit for building owners ranging from</w:t>
      </w:r>
      <w:r w:rsidR="003F6368" w:rsidRPr="003263EB">
        <w:rPr>
          <w:rFonts w:asciiTheme="minorHAnsi" w:hAnsiTheme="minorHAnsi" w:cstheme="minorHAnsi"/>
        </w:rPr>
        <w:t xml:space="preserve"> around</w:t>
      </w:r>
      <w:r w:rsidRPr="003263EB">
        <w:rPr>
          <w:rFonts w:asciiTheme="minorHAnsi" w:hAnsiTheme="minorHAnsi" w:cstheme="minorHAnsi"/>
        </w:rPr>
        <w:t xml:space="preserve"> $</w:t>
      </w:r>
      <w:r w:rsidR="00DB4215" w:rsidRPr="003263EB">
        <w:rPr>
          <w:rFonts w:asciiTheme="minorHAnsi" w:hAnsiTheme="minorHAnsi" w:cstheme="minorHAnsi"/>
        </w:rPr>
        <w:t>3,1</w:t>
      </w:r>
      <w:r w:rsidR="003F6368" w:rsidRPr="003263EB">
        <w:rPr>
          <w:rFonts w:asciiTheme="minorHAnsi" w:hAnsiTheme="minorHAnsi" w:cstheme="minorHAnsi"/>
        </w:rPr>
        <w:t>00</w:t>
      </w:r>
      <w:r w:rsidRPr="003263EB">
        <w:rPr>
          <w:rFonts w:asciiTheme="minorHAnsi" w:hAnsiTheme="minorHAnsi" w:cstheme="minorHAnsi"/>
        </w:rPr>
        <w:t xml:space="preserve"> to $</w:t>
      </w:r>
      <w:r w:rsidR="00B70C21" w:rsidRPr="003263EB">
        <w:rPr>
          <w:rFonts w:asciiTheme="minorHAnsi" w:hAnsiTheme="minorHAnsi" w:cstheme="minorHAnsi"/>
        </w:rPr>
        <w:t>5,2</w:t>
      </w:r>
      <w:r w:rsidR="003F6368" w:rsidRPr="003263EB">
        <w:rPr>
          <w:rFonts w:asciiTheme="minorHAnsi" w:hAnsiTheme="minorHAnsi" w:cstheme="minorHAnsi"/>
        </w:rPr>
        <w:t>00</w:t>
      </w:r>
      <w:r w:rsidRPr="003263EB">
        <w:rPr>
          <w:rFonts w:asciiTheme="minorHAnsi" w:hAnsiTheme="minorHAnsi" w:cstheme="minorHAnsi"/>
        </w:rPr>
        <w:t xml:space="preserve"> over a 20-year period, depending on the average size of the underlying buildings.</w:t>
      </w:r>
      <w:r w:rsidR="00BB7B7F" w:rsidRPr="003263EB">
        <w:rPr>
          <w:rFonts w:asciiTheme="minorHAnsi" w:hAnsiTheme="minorHAnsi" w:cstheme="minorHAnsi"/>
        </w:rPr>
        <w:t xml:space="preserve"> As this reform is a </w:t>
      </w:r>
      <w:r w:rsidR="00EA6B2B" w:rsidRPr="003263EB">
        <w:rPr>
          <w:rFonts w:asciiTheme="minorHAnsi" w:hAnsiTheme="minorHAnsi" w:cstheme="minorHAnsi"/>
        </w:rPr>
        <w:t>relatively</w:t>
      </w:r>
      <w:r w:rsidR="00BB7B7F" w:rsidRPr="003263EB">
        <w:rPr>
          <w:rFonts w:asciiTheme="minorHAnsi" w:hAnsiTheme="minorHAnsi" w:cstheme="minorHAnsi"/>
        </w:rPr>
        <w:t xml:space="preserve"> </w:t>
      </w:r>
      <w:r w:rsidR="00EA6B2B" w:rsidRPr="003263EB">
        <w:rPr>
          <w:rFonts w:asciiTheme="minorHAnsi" w:hAnsiTheme="minorHAnsi" w:cstheme="minorHAnsi"/>
        </w:rPr>
        <w:t xml:space="preserve">light touch, it was assumed that </w:t>
      </w:r>
      <w:r w:rsidR="00DE32B8" w:rsidRPr="003263EB">
        <w:rPr>
          <w:rFonts w:asciiTheme="minorHAnsi" w:hAnsiTheme="minorHAnsi" w:cstheme="minorHAnsi"/>
        </w:rPr>
        <w:t>the additional disclosure of detailed scope 1 emissions would result in a 0.5 per cent reduction in energy consumption and emissions per annum</w:t>
      </w:r>
      <w:r w:rsidR="002E0BD7" w:rsidRPr="003263EB">
        <w:rPr>
          <w:rFonts w:asciiTheme="minorHAnsi" w:hAnsiTheme="minorHAnsi" w:cstheme="minorHAnsi"/>
        </w:rPr>
        <w:t>, and this improvement is the result of zero-cost operational improvements</w:t>
      </w:r>
      <w:r w:rsidR="00DE32B8" w:rsidRPr="003263EB">
        <w:rPr>
          <w:rFonts w:asciiTheme="minorHAnsi" w:hAnsiTheme="minorHAnsi" w:cstheme="minorHAnsi"/>
        </w:rPr>
        <w:t xml:space="preserve">. </w:t>
      </w:r>
      <w:r w:rsidR="00A36A9D" w:rsidRPr="003263EB">
        <w:rPr>
          <w:rFonts w:asciiTheme="minorHAnsi" w:hAnsiTheme="minorHAnsi" w:cstheme="minorHAnsi"/>
        </w:rPr>
        <w:t xml:space="preserve">The costs incurred for this policy </w:t>
      </w:r>
      <w:r w:rsidR="002E0BD7" w:rsidRPr="003263EB">
        <w:rPr>
          <w:rFonts w:asciiTheme="minorHAnsi" w:hAnsiTheme="minorHAnsi" w:cstheme="minorHAnsi"/>
        </w:rPr>
        <w:t>assessment are largel</w:t>
      </w:r>
      <w:r w:rsidR="00331EBD" w:rsidRPr="003263EB">
        <w:rPr>
          <w:rFonts w:asciiTheme="minorHAnsi" w:hAnsiTheme="minorHAnsi" w:cstheme="minorHAnsi"/>
        </w:rPr>
        <w:t>y centred on system upli</w:t>
      </w:r>
      <w:r w:rsidR="001E72CA" w:rsidRPr="003263EB">
        <w:rPr>
          <w:rFonts w:asciiTheme="minorHAnsi" w:hAnsiTheme="minorHAnsi" w:cstheme="minorHAnsi"/>
        </w:rPr>
        <w:t>ft of the NABERS/</w:t>
      </w:r>
      <w:proofErr w:type="spellStart"/>
      <w:r w:rsidR="001E72CA" w:rsidRPr="003263EB">
        <w:rPr>
          <w:rFonts w:asciiTheme="minorHAnsi" w:hAnsiTheme="minorHAnsi" w:cstheme="minorHAnsi"/>
        </w:rPr>
        <w:t>BEEC</w:t>
      </w:r>
      <w:proofErr w:type="spellEnd"/>
      <w:r w:rsidR="001E72CA" w:rsidRPr="003263EB">
        <w:rPr>
          <w:rFonts w:asciiTheme="minorHAnsi" w:hAnsiTheme="minorHAnsi" w:cstheme="minorHAnsi"/>
        </w:rPr>
        <w:t xml:space="preserve"> </w:t>
      </w:r>
      <w:r w:rsidR="006E40EA" w:rsidRPr="003263EB">
        <w:rPr>
          <w:rFonts w:asciiTheme="minorHAnsi" w:hAnsiTheme="minorHAnsi" w:cstheme="minorHAnsi"/>
        </w:rPr>
        <w:t>policy, and</w:t>
      </w:r>
      <w:r w:rsidR="00E8306D" w:rsidRPr="003263EB">
        <w:rPr>
          <w:rFonts w:asciiTheme="minorHAnsi" w:hAnsiTheme="minorHAnsi" w:cstheme="minorHAnsi"/>
        </w:rPr>
        <w:t xml:space="preserve"> costs </w:t>
      </w:r>
      <w:r w:rsidR="006E40EA" w:rsidRPr="003263EB">
        <w:rPr>
          <w:rFonts w:asciiTheme="minorHAnsi" w:hAnsiTheme="minorHAnsi" w:cstheme="minorHAnsi"/>
        </w:rPr>
        <w:t>t</w:t>
      </w:r>
      <w:r w:rsidR="006B5FDE" w:rsidRPr="003263EB">
        <w:rPr>
          <w:rFonts w:asciiTheme="minorHAnsi" w:hAnsiTheme="minorHAnsi" w:cstheme="minorHAnsi"/>
        </w:rPr>
        <w:t>o support the additional reporting requirements</w:t>
      </w:r>
      <w:r w:rsidR="00E8306D" w:rsidRPr="003263EB">
        <w:rPr>
          <w:rFonts w:asciiTheme="minorHAnsi" w:hAnsiTheme="minorHAnsi" w:cstheme="minorHAnsi"/>
        </w:rPr>
        <w:t xml:space="preserve"> and some ongoing maintenance costs. The results of this policy are presented in the figures below</w:t>
      </w:r>
      <w:r w:rsidR="00DF5008" w:rsidRPr="003263EB">
        <w:rPr>
          <w:rFonts w:asciiTheme="minorHAnsi" w:hAnsiTheme="minorHAnsi" w:cstheme="minorHAnsi"/>
        </w:rPr>
        <w:t>.</w:t>
      </w:r>
    </w:p>
    <w:p w14:paraId="2354EB39" w14:textId="77777777" w:rsidR="001A117B" w:rsidRDefault="001A117B" w:rsidP="001C481C">
      <w:pPr>
        <w:pStyle w:val="BodyText"/>
        <w:rPr>
          <w:rFonts w:asciiTheme="minorHAnsi" w:hAnsiTheme="minorHAnsi" w:cstheme="minorHAnsi"/>
        </w:rPr>
      </w:pPr>
    </w:p>
    <w:p w14:paraId="61EDAEE9" w14:textId="37132725" w:rsidR="001A117B" w:rsidRPr="00505054" w:rsidRDefault="001A117B" w:rsidP="00505054">
      <w:pPr>
        <w:pStyle w:val="Caption"/>
        <w:keepNext/>
        <w:spacing w:after="120"/>
        <w:rPr>
          <w:rFonts w:ascii="Calibri" w:eastAsia="Times New Roman" w:hAnsi="Calibri" w:cs="Times New Roman"/>
          <w:b/>
          <w:bCs/>
          <w:i w:val="0"/>
          <w:iCs w:val="0"/>
          <w:color w:val="auto"/>
          <w:sz w:val="24"/>
        </w:rPr>
      </w:pPr>
      <w:bookmarkStart w:id="244" w:name="_Ref157680974"/>
      <w:bookmarkStart w:id="245" w:name="_Toc157687024"/>
      <w:r w:rsidRPr="00505054">
        <w:rPr>
          <w:rFonts w:ascii="Calibri" w:eastAsia="Times New Roman" w:hAnsi="Calibri" w:cs="Times New Roman"/>
          <w:b/>
          <w:bCs/>
          <w:i w:val="0"/>
          <w:iCs w:val="0"/>
          <w:color w:val="auto"/>
          <w:sz w:val="24"/>
        </w:rPr>
        <w:lastRenderedPageBreak/>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19</w:t>
      </w:r>
      <w:r w:rsidRPr="00505054">
        <w:rPr>
          <w:rFonts w:ascii="Calibri" w:eastAsia="Times New Roman" w:hAnsi="Calibri" w:cs="Times New Roman"/>
          <w:b/>
          <w:bCs/>
          <w:i w:val="0"/>
          <w:iCs w:val="0"/>
          <w:color w:val="auto"/>
          <w:sz w:val="24"/>
        </w:rPr>
        <w:fldChar w:fldCharType="end"/>
      </w:r>
      <w:bookmarkEnd w:id="244"/>
      <w:r w:rsidRPr="00505054">
        <w:rPr>
          <w:rFonts w:ascii="Calibri" w:eastAsia="Times New Roman" w:hAnsi="Calibri" w:cs="Times New Roman"/>
          <w:b/>
          <w:bCs/>
          <w:i w:val="0"/>
          <w:iCs w:val="0"/>
          <w:color w:val="auto"/>
          <w:sz w:val="24"/>
        </w:rPr>
        <w:t>: Approximate costs and benefits of Scope 1 disclosure policy for the average building covered by the policy over 20 years (Smaller building size assumed)</w:t>
      </w:r>
      <w:bookmarkEnd w:id="245"/>
    </w:p>
    <w:p w14:paraId="529C22ED" w14:textId="738F275F" w:rsidR="005A57D2" w:rsidRPr="009B3881" w:rsidRDefault="001D569C" w:rsidP="001C481C">
      <w:pPr>
        <w:pStyle w:val="BodyText"/>
        <w:rPr>
          <w:rFonts w:asciiTheme="minorHAnsi" w:hAnsiTheme="minorHAnsi" w:cstheme="minorHAnsi"/>
        </w:rPr>
      </w:pPr>
      <w:r>
        <w:rPr>
          <w:rFonts w:asciiTheme="minorHAnsi" w:hAnsiTheme="minorHAnsi" w:cstheme="minorHAnsi"/>
          <w:noProof/>
        </w:rPr>
        <w:drawing>
          <wp:inline distT="0" distB="0" distL="0" distR="0" wp14:anchorId="3785BFA3" wp14:editId="5B77D754">
            <wp:extent cx="6431915" cy="2334895"/>
            <wp:effectExtent l="0" t="0" r="6985" b="8255"/>
            <wp:docPr id="58" name="Picture 58" descr="Approximate cost and benefits of Scope 1 disclosure policy  over 20 years for the average building (Smaller building size assumed). Underlying data presented in Appendix 11 Tabl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pproximate cost and benefits of Scope 1 disclosure policy  over 20 years for the average building (Smaller building size assumed). Underlying data presented in Appendix 11 Tabl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1915" cy="2334895"/>
                    </a:xfrm>
                    <a:prstGeom prst="rect">
                      <a:avLst/>
                    </a:prstGeom>
                    <a:noFill/>
                  </pic:spPr>
                </pic:pic>
              </a:graphicData>
            </a:graphic>
          </wp:inline>
        </w:drawing>
      </w:r>
    </w:p>
    <w:bookmarkStart w:id="246" w:name="_Ref157681203"/>
    <w:bookmarkStart w:id="247" w:name="_Toc157687025"/>
    <w:p w14:paraId="0140B1F2" w14:textId="6A54E795" w:rsidR="00D7493A" w:rsidRDefault="00D7493A" w:rsidP="00D7493A">
      <w:pPr>
        <w:pStyle w:val="Caption"/>
        <w:jc w:val="center"/>
        <w:rPr>
          <w:rFonts w:ascii="Calibri" w:eastAsia="Times New Roman" w:hAnsi="Calibri" w:cs="Times New Roman"/>
          <w:b/>
          <w:bCs/>
          <w:i w:val="0"/>
          <w:iCs w:val="0"/>
          <w:color w:val="auto"/>
          <w:sz w:val="24"/>
        </w:rPr>
      </w:pPr>
      <w:r>
        <w:rPr>
          <w:rFonts w:asciiTheme="minorHAnsi" w:hAnsiTheme="minorHAnsi" w:cstheme="minorHAnsi"/>
        </w:rPr>
        <w:fldChar w:fldCharType="begin"/>
      </w:r>
      <w:r w:rsidR="003D0A2A">
        <w:rPr>
          <w:rFonts w:asciiTheme="minorHAnsi" w:hAnsiTheme="minorHAnsi" w:cstheme="minorHAnsi"/>
        </w:rPr>
        <w:instrText>HYPERLINK  \l "_Table_44:_Figure"</w:instrText>
      </w:r>
      <w:r w:rsidR="003D0A2A">
        <w:rPr>
          <w:rFonts w:asciiTheme="minorHAnsi" w:hAnsiTheme="minorHAnsi" w:cstheme="minorHAnsi"/>
        </w:rPr>
      </w:r>
      <w:r>
        <w:rPr>
          <w:rFonts w:asciiTheme="minorHAnsi" w:hAnsiTheme="minorHAnsi" w:cstheme="minorHAnsi"/>
        </w:rPr>
        <w:fldChar w:fldCharType="separate"/>
      </w:r>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Figure 1</w:t>
      </w:r>
      <w:r>
        <w:rPr>
          <w:rStyle w:val="Hyperlink"/>
          <w:rFonts w:asciiTheme="minorHAnsi" w:hAnsiTheme="minorHAnsi" w:cstheme="minorHAnsi"/>
        </w:rPr>
        <w:t>9</w:t>
      </w:r>
      <w:r>
        <w:rPr>
          <w:rStyle w:val="Hyperlink"/>
          <w:rFonts w:asciiTheme="minorHAnsi" w:hAnsiTheme="minorHAnsi" w:cstheme="minorHAnsi"/>
        </w:rPr>
        <w:t xml:space="preserve"> [Appendix 1</w:t>
      </w:r>
      <w:r w:rsidR="00022246">
        <w:rPr>
          <w:rStyle w:val="Hyperlink"/>
          <w:rFonts w:asciiTheme="minorHAnsi" w:hAnsiTheme="minorHAnsi" w:cstheme="minorHAnsi"/>
        </w:rPr>
        <w:t>1</w:t>
      </w:r>
      <w:r>
        <w:rPr>
          <w:rStyle w:val="Hyperlink"/>
          <w:rFonts w:asciiTheme="minorHAnsi" w:hAnsiTheme="minorHAnsi" w:cstheme="minorHAnsi"/>
        </w:rPr>
        <w:t xml:space="preserve"> Table 4</w:t>
      </w:r>
      <w:r w:rsidR="003D0A2A">
        <w:rPr>
          <w:rStyle w:val="Hyperlink"/>
          <w:rFonts w:asciiTheme="minorHAnsi" w:hAnsiTheme="minorHAnsi" w:cstheme="minorHAnsi"/>
        </w:rPr>
        <w:t>4</w:t>
      </w:r>
      <w:r>
        <w:rPr>
          <w:rStyle w:val="Hyperlink"/>
          <w:rFonts w:asciiTheme="minorHAnsi" w:hAnsiTheme="minorHAnsi" w:cstheme="minorHAnsi"/>
        </w:rPr>
        <w:t>]</w:t>
      </w:r>
      <w:r w:rsidRPr="00171C8F">
        <w:rPr>
          <w:rStyle w:val="Hyperlink"/>
          <w:rFonts w:asciiTheme="minorHAnsi" w:hAnsiTheme="minorHAnsi" w:cstheme="minorHAnsi"/>
        </w:rPr>
        <w:t xml:space="preserve">. </w:t>
      </w:r>
      <w:r>
        <w:rPr>
          <w:rFonts w:asciiTheme="minorHAnsi" w:hAnsiTheme="minorHAnsi" w:cstheme="minorHAnsi"/>
        </w:rPr>
        <w:fldChar w:fldCharType="end"/>
      </w:r>
    </w:p>
    <w:p w14:paraId="46CFD7F4" w14:textId="77777777" w:rsidR="002A790F" w:rsidRDefault="002A790F" w:rsidP="00505054">
      <w:pPr>
        <w:pStyle w:val="Caption"/>
        <w:keepNext/>
        <w:spacing w:after="120"/>
        <w:rPr>
          <w:rFonts w:ascii="Calibri" w:eastAsia="Times New Roman" w:hAnsi="Calibri" w:cs="Times New Roman"/>
          <w:b/>
          <w:bCs/>
          <w:i w:val="0"/>
          <w:iCs w:val="0"/>
          <w:color w:val="auto"/>
          <w:sz w:val="24"/>
        </w:rPr>
      </w:pPr>
    </w:p>
    <w:p w14:paraId="2D802FC7" w14:textId="100C66C9" w:rsidR="001A117B" w:rsidRPr="00505054" w:rsidRDefault="001A117B" w:rsidP="00505054">
      <w:pPr>
        <w:pStyle w:val="Caption"/>
        <w:keepNext/>
        <w:spacing w:after="120"/>
        <w:rPr>
          <w:rFonts w:ascii="Calibri" w:eastAsia="Times New Roman" w:hAnsi="Calibri" w:cs="Times New Roman"/>
          <w:b/>
          <w:bCs/>
          <w:i w:val="0"/>
          <w:iCs w:val="0"/>
          <w:color w:val="auto"/>
          <w:sz w:val="24"/>
        </w:rPr>
      </w:pPr>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20</w:t>
      </w:r>
      <w:r w:rsidRPr="00505054">
        <w:rPr>
          <w:rFonts w:ascii="Calibri" w:eastAsia="Times New Roman" w:hAnsi="Calibri" w:cs="Times New Roman"/>
          <w:b/>
          <w:bCs/>
          <w:i w:val="0"/>
          <w:iCs w:val="0"/>
          <w:color w:val="auto"/>
          <w:sz w:val="24"/>
        </w:rPr>
        <w:fldChar w:fldCharType="end"/>
      </w:r>
      <w:bookmarkEnd w:id="246"/>
      <w:r w:rsidRPr="00505054">
        <w:rPr>
          <w:rFonts w:ascii="Calibri" w:eastAsia="Times New Roman" w:hAnsi="Calibri" w:cs="Times New Roman"/>
          <w:b/>
          <w:bCs/>
          <w:i w:val="0"/>
          <w:iCs w:val="0"/>
          <w:color w:val="auto"/>
          <w:sz w:val="24"/>
        </w:rPr>
        <w:t>: Approximate costs and benefits of Scope 1 disclosure policy for the average building covered by the policy over 20 years (Larger building size assumed)</w:t>
      </w:r>
      <w:bookmarkEnd w:id="247"/>
    </w:p>
    <w:p w14:paraId="2B29EDE0" w14:textId="7FB7523E" w:rsidR="00152E21" w:rsidRPr="00CB1039" w:rsidRDefault="001D569C" w:rsidP="001C481C">
      <w:pPr>
        <w:pStyle w:val="BodyText"/>
        <w:rPr>
          <w:rFonts w:asciiTheme="minorHAnsi" w:hAnsiTheme="minorHAnsi" w:cstheme="minorHAnsi"/>
        </w:rPr>
      </w:pPr>
      <w:r>
        <w:rPr>
          <w:rFonts w:asciiTheme="minorHAnsi" w:hAnsiTheme="minorHAnsi" w:cstheme="minorHAnsi"/>
          <w:noProof/>
        </w:rPr>
        <w:drawing>
          <wp:inline distT="0" distB="0" distL="0" distR="0" wp14:anchorId="6BCC941F" wp14:editId="07CFEA06">
            <wp:extent cx="6657340" cy="2341245"/>
            <wp:effectExtent l="0" t="0" r="0" b="1905"/>
            <wp:docPr id="59" name="Picture 59" descr="Approximate cost and benefits of Scope 1 disclosure policy  over 20 years for the average building (Larger building size assumed). Underlying data presented in Appendix 11 Tabl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pproximate cost and benefits of Scope 1 disclosure policy  over 20 years for the average building (Larger building size assumed). Underlying data presented in Appendix 11 Tabl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7340" cy="2341245"/>
                    </a:xfrm>
                    <a:prstGeom prst="rect">
                      <a:avLst/>
                    </a:prstGeom>
                    <a:noFill/>
                  </pic:spPr>
                </pic:pic>
              </a:graphicData>
            </a:graphic>
          </wp:inline>
        </w:drawing>
      </w:r>
    </w:p>
    <w:p w14:paraId="37BF3686" w14:textId="07A239EA" w:rsidR="003D0A2A" w:rsidRDefault="003D0A2A" w:rsidP="003D0A2A">
      <w:pPr>
        <w:pStyle w:val="Caption"/>
        <w:jc w:val="center"/>
        <w:rPr>
          <w:rFonts w:ascii="Calibri" w:eastAsia="Times New Roman" w:hAnsi="Calibri" w:cs="Times New Roman"/>
          <w:b/>
          <w:bCs/>
          <w:i w:val="0"/>
          <w:iCs w:val="0"/>
          <w:color w:val="auto"/>
          <w:sz w:val="24"/>
        </w:rPr>
      </w:pPr>
      <w:hyperlink w:anchor="_Table_45:_Figure"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sidR="00133673">
          <w:rPr>
            <w:rStyle w:val="Hyperlink"/>
            <w:rFonts w:asciiTheme="minorHAnsi" w:hAnsiTheme="minorHAnsi" w:cstheme="minorHAnsi"/>
          </w:rPr>
          <w:t>20</w:t>
        </w:r>
        <w:r>
          <w:rPr>
            <w:rStyle w:val="Hyperlink"/>
            <w:rFonts w:asciiTheme="minorHAnsi" w:hAnsiTheme="minorHAnsi" w:cstheme="minorHAnsi"/>
          </w:rPr>
          <w:t xml:space="preserve"> [Appendix </w:t>
        </w:r>
        <w:r w:rsidR="00970000">
          <w:rPr>
            <w:rStyle w:val="Hyperlink"/>
            <w:rFonts w:asciiTheme="minorHAnsi" w:hAnsiTheme="minorHAnsi" w:cstheme="minorHAnsi"/>
          </w:rPr>
          <w:t>11</w:t>
        </w:r>
        <w:r>
          <w:rPr>
            <w:rStyle w:val="Hyperlink"/>
            <w:rFonts w:asciiTheme="minorHAnsi" w:hAnsiTheme="minorHAnsi" w:cstheme="minorHAnsi"/>
          </w:rPr>
          <w:t xml:space="preserve"> Table 4</w:t>
        </w:r>
        <w:r w:rsidR="00E8312B">
          <w:rPr>
            <w:rStyle w:val="Hyperlink"/>
            <w:rFonts w:asciiTheme="minorHAnsi" w:hAnsiTheme="minorHAnsi" w:cstheme="minorHAnsi"/>
          </w:rPr>
          <w:t>5</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641B0451" w14:textId="7C8EE5D2" w:rsidR="009B3881" w:rsidRPr="00694BB8" w:rsidRDefault="009B3881" w:rsidP="009B3881">
      <w:pPr>
        <w:pStyle w:val="BodyText"/>
        <w:rPr>
          <w:rFonts w:asciiTheme="minorHAnsi" w:hAnsiTheme="minorHAnsi" w:cstheme="minorHAnsi"/>
        </w:rPr>
      </w:pPr>
      <w:r w:rsidRPr="003263EB">
        <w:rPr>
          <w:rFonts w:asciiTheme="minorHAnsi" w:hAnsiTheme="minorHAnsi" w:cstheme="minorHAnsi"/>
        </w:rPr>
        <w:t>Scope 1 disclosure aims to completely round-out the scope 1 &amp; 2 building emissions and display these emission sources on the certificate by using the available data already collected by NABERS as well as incorporating refrigerants used in the buildings HVAC and refrigeration systems. The impact of this will be to reduce scope 1 &amp; 2 emissions from an organisational control approach while providing exposure that will drive the change towards natural and low global warming potential (</w:t>
      </w:r>
      <w:r w:rsidRPr="003263EB">
        <w:rPr>
          <w:rFonts w:asciiTheme="minorHAnsi" w:hAnsiTheme="minorHAnsi" w:cstheme="minorHAnsi"/>
          <w:b/>
        </w:rPr>
        <w:t>GWP</w:t>
      </w:r>
      <w:r w:rsidRPr="003263EB">
        <w:rPr>
          <w:rFonts w:asciiTheme="minorHAnsi" w:hAnsiTheme="minorHAnsi" w:cstheme="minorHAnsi"/>
        </w:rPr>
        <w:t xml:space="preserve">) refrigerants. </w:t>
      </w:r>
      <w:r w:rsidR="00602167" w:rsidRPr="00F93D4B">
        <w:rPr>
          <w:rFonts w:asciiTheme="minorHAnsi" w:hAnsiTheme="minorHAnsi" w:cstheme="minorHAnsi"/>
          <w:i/>
          <w:iCs/>
        </w:rPr>
        <w:t>Scope 1 disclosure</w:t>
      </w:r>
      <w:r w:rsidR="00602167">
        <w:rPr>
          <w:rFonts w:asciiTheme="minorHAnsi" w:hAnsiTheme="minorHAnsi" w:cstheme="minorHAnsi"/>
        </w:rPr>
        <w:t xml:space="preserve"> </w:t>
      </w:r>
      <w:r w:rsidR="00F93D4B" w:rsidRPr="00F93D4B">
        <w:rPr>
          <w:rFonts w:asciiTheme="minorHAnsi" w:hAnsiTheme="minorHAnsi" w:cstheme="minorHAnsi"/>
        </w:rPr>
        <w:t>policy</w:t>
      </w:r>
      <w:r w:rsidR="00F93D4B">
        <w:rPr>
          <w:rFonts w:asciiTheme="minorHAnsi" w:hAnsiTheme="minorHAnsi" w:cstheme="minorHAnsi"/>
        </w:rPr>
        <w:t xml:space="preserve"> </w:t>
      </w:r>
      <w:r w:rsidR="00602167">
        <w:rPr>
          <w:rFonts w:asciiTheme="minorHAnsi" w:hAnsiTheme="minorHAnsi" w:cstheme="minorHAnsi"/>
        </w:rPr>
        <w:t xml:space="preserve">also needs to be considered in the context of </w:t>
      </w:r>
      <w:r w:rsidR="00302C16">
        <w:rPr>
          <w:rFonts w:asciiTheme="minorHAnsi" w:hAnsiTheme="minorHAnsi" w:cstheme="minorHAnsi"/>
        </w:rPr>
        <w:t>other changes, including the renewable energy indicator (see below)</w:t>
      </w:r>
      <w:r w:rsidR="00FA4FF1">
        <w:rPr>
          <w:rFonts w:asciiTheme="minorHAnsi" w:hAnsiTheme="minorHAnsi" w:cstheme="minorHAnsi"/>
        </w:rPr>
        <w:t xml:space="preserve">, </w:t>
      </w:r>
      <w:r w:rsidR="005B6B83">
        <w:rPr>
          <w:rFonts w:asciiTheme="minorHAnsi" w:hAnsiTheme="minorHAnsi" w:cstheme="minorHAnsi"/>
        </w:rPr>
        <w:t>the Montreal Protocol</w:t>
      </w:r>
      <w:r w:rsidR="00EE36E3">
        <w:rPr>
          <w:rFonts w:ascii="ZWAdobeF" w:hAnsi="ZWAdobeF" w:cs="ZWAdobeF"/>
          <w:color w:val="auto"/>
          <w:sz w:val="2"/>
          <w:szCs w:val="2"/>
        </w:rPr>
        <w:t>162F</w:t>
      </w:r>
      <w:r w:rsidR="00122C48">
        <w:rPr>
          <w:rFonts w:ascii="ZWAdobeF" w:hAnsi="ZWAdobeF" w:cs="ZWAdobeF"/>
          <w:color w:val="auto"/>
          <w:sz w:val="2"/>
          <w:szCs w:val="2"/>
        </w:rPr>
        <w:t>162F</w:t>
      </w:r>
      <w:r w:rsidR="00F73A23">
        <w:rPr>
          <w:rFonts w:ascii="ZWAdobeF" w:hAnsi="ZWAdobeF" w:cs="ZWAdobeF"/>
          <w:color w:val="auto"/>
          <w:sz w:val="2"/>
          <w:szCs w:val="2"/>
        </w:rPr>
        <w:t>162F</w:t>
      </w:r>
      <w:r w:rsidR="00626378">
        <w:rPr>
          <w:rFonts w:ascii="ZWAdobeF" w:hAnsi="ZWAdobeF" w:cs="ZWAdobeF"/>
          <w:color w:val="auto"/>
          <w:sz w:val="2"/>
          <w:szCs w:val="2"/>
        </w:rPr>
        <w:t>162F</w:t>
      </w:r>
      <w:r w:rsidR="00413811">
        <w:rPr>
          <w:rFonts w:ascii="ZWAdobeF" w:hAnsi="ZWAdobeF" w:cs="ZWAdobeF"/>
          <w:color w:val="auto"/>
          <w:sz w:val="2"/>
          <w:szCs w:val="2"/>
        </w:rPr>
        <w:t>162F</w:t>
      </w:r>
      <w:r w:rsidR="002C327C">
        <w:rPr>
          <w:rFonts w:ascii="ZWAdobeF" w:hAnsi="ZWAdobeF" w:cs="ZWAdobeF"/>
          <w:color w:val="auto"/>
          <w:sz w:val="2"/>
          <w:szCs w:val="2"/>
        </w:rPr>
        <w:t>162F</w:t>
      </w:r>
      <w:r w:rsidR="00D24A06">
        <w:rPr>
          <w:rFonts w:ascii="ZWAdobeF" w:hAnsi="ZWAdobeF" w:cs="ZWAdobeF"/>
          <w:color w:val="auto"/>
          <w:sz w:val="2"/>
          <w:szCs w:val="2"/>
        </w:rPr>
        <w:t>162F</w:t>
      </w:r>
      <w:r w:rsidR="005B6B83">
        <w:rPr>
          <w:rStyle w:val="FootnoteReference"/>
          <w:rFonts w:asciiTheme="minorHAnsi" w:hAnsiTheme="minorHAnsi" w:cstheme="minorHAnsi"/>
        </w:rPr>
        <w:footnoteReference w:id="164"/>
      </w:r>
      <w:r w:rsidR="005B6B83">
        <w:rPr>
          <w:rFonts w:asciiTheme="minorHAnsi" w:hAnsiTheme="minorHAnsi" w:cstheme="minorHAnsi"/>
        </w:rPr>
        <w:t xml:space="preserve">, which </w:t>
      </w:r>
      <w:r w:rsidR="00B55FE7">
        <w:rPr>
          <w:rFonts w:asciiTheme="minorHAnsi" w:hAnsiTheme="minorHAnsi" w:cstheme="minorHAnsi"/>
        </w:rPr>
        <w:t>is phasing out refrigerants globally</w:t>
      </w:r>
      <w:r w:rsidR="00FA4FF1">
        <w:rPr>
          <w:rFonts w:asciiTheme="minorHAnsi" w:hAnsiTheme="minorHAnsi" w:cstheme="minorHAnsi"/>
        </w:rPr>
        <w:t xml:space="preserve">, and </w:t>
      </w:r>
      <w:r w:rsidR="00F93D4B" w:rsidRPr="00F93D4B">
        <w:rPr>
          <w:rFonts w:asciiTheme="minorHAnsi" w:hAnsiTheme="minorHAnsi" w:cstheme="minorHAnsi"/>
        </w:rPr>
        <w:t>other drivers of increasing electrification of buildings</w:t>
      </w:r>
      <w:r w:rsidR="00B55FE7">
        <w:rPr>
          <w:rFonts w:asciiTheme="minorHAnsi" w:hAnsiTheme="minorHAnsi" w:cstheme="minorHAnsi"/>
        </w:rPr>
        <w:t xml:space="preserve">. </w:t>
      </w:r>
      <w:r w:rsidR="0046239E">
        <w:rPr>
          <w:rFonts w:asciiTheme="minorHAnsi" w:hAnsiTheme="minorHAnsi" w:cstheme="minorHAnsi"/>
        </w:rPr>
        <w:t xml:space="preserve">It may be that these </w:t>
      </w:r>
      <w:r w:rsidR="00980211">
        <w:rPr>
          <w:rFonts w:asciiTheme="minorHAnsi" w:hAnsiTheme="minorHAnsi" w:cstheme="minorHAnsi"/>
        </w:rPr>
        <w:t xml:space="preserve">can </w:t>
      </w:r>
      <w:r w:rsidR="0046239E">
        <w:rPr>
          <w:rFonts w:asciiTheme="minorHAnsi" w:hAnsiTheme="minorHAnsi" w:cstheme="minorHAnsi"/>
        </w:rPr>
        <w:t xml:space="preserve">cover </w:t>
      </w:r>
      <w:r w:rsidR="008F7A5E">
        <w:rPr>
          <w:rFonts w:asciiTheme="minorHAnsi" w:hAnsiTheme="minorHAnsi" w:cstheme="minorHAnsi"/>
        </w:rPr>
        <w:t xml:space="preserve">the Scope 1 disclosure </w:t>
      </w:r>
      <w:r w:rsidR="001E6BBE">
        <w:rPr>
          <w:rFonts w:asciiTheme="minorHAnsi" w:hAnsiTheme="minorHAnsi" w:cstheme="minorHAnsi"/>
        </w:rPr>
        <w:t>requirements,</w:t>
      </w:r>
      <w:r w:rsidR="00FC694B">
        <w:rPr>
          <w:rFonts w:asciiTheme="minorHAnsi" w:hAnsiTheme="minorHAnsi" w:cstheme="minorHAnsi"/>
        </w:rPr>
        <w:t xml:space="preserve"> so a separate policy is not nee</w:t>
      </w:r>
      <w:r w:rsidR="001E6BBE">
        <w:rPr>
          <w:rFonts w:asciiTheme="minorHAnsi" w:hAnsiTheme="minorHAnsi" w:cstheme="minorHAnsi"/>
        </w:rPr>
        <w:t>d</w:t>
      </w:r>
      <w:r w:rsidR="00FC694B">
        <w:rPr>
          <w:rFonts w:asciiTheme="minorHAnsi" w:hAnsiTheme="minorHAnsi" w:cstheme="minorHAnsi"/>
        </w:rPr>
        <w:t>ed</w:t>
      </w:r>
      <w:r w:rsidR="00980211">
        <w:rPr>
          <w:rFonts w:asciiTheme="minorHAnsi" w:hAnsiTheme="minorHAnsi" w:cstheme="minorHAnsi"/>
        </w:rPr>
        <w:t xml:space="preserve">. </w:t>
      </w:r>
      <w:r w:rsidR="001E6BBE">
        <w:rPr>
          <w:rFonts w:asciiTheme="minorHAnsi" w:hAnsiTheme="minorHAnsi" w:cstheme="minorHAnsi"/>
        </w:rPr>
        <w:t>We note that t</w:t>
      </w:r>
      <w:r w:rsidR="00DE56F6">
        <w:rPr>
          <w:rFonts w:asciiTheme="minorHAnsi" w:hAnsiTheme="minorHAnsi" w:cstheme="minorHAnsi"/>
        </w:rPr>
        <w:t xml:space="preserve">he suggested Scope 1 disclosure </w:t>
      </w:r>
      <w:r w:rsidR="00341DB3">
        <w:rPr>
          <w:rFonts w:asciiTheme="minorHAnsi" w:hAnsiTheme="minorHAnsi" w:cstheme="minorHAnsi"/>
        </w:rPr>
        <w:t xml:space="preserve">will complement </w:t>
      </w:r>
      <w:r w:rsidR="00390E83">
        <w:rPr>
          <w:rFonts w:asciiTheme="minorHAnsi" w:hAnsiTheme="minorHAnsi" w:cstheme="minorHAnsi"/>
        </w:rPr>
        <w:t xml:space="preserve">the Montreal </w:t>
      </w:r>
      <w:r w:rsidR="00CE1254">
        <w:rPr>
          <w:rFonts w:asciiTheme="minorHAnsi" w:hAnsiTheme="minorHAnsi" w:cstheme="minorHAnsi"/>
        </w:rPr>
        <w:t>Protocol</w:t>
      </w:r>
      <w:r w:rsidR="00D00FD6">
        <w:rPr>
          <w:rFonts w:asciiTheme="minorHAnsi" w:hAnsiTheme="minorHAnsi" w:cstheme="minorHAnsi"/>
        </w:rPr>
        <w:t xml:space="preserve">. </w:t>
      </w:r>
    </w:p>
    <w:p w14:paraId="7B81905C" w14:textId="0F554DEB" w:rsidR="009B3881" w:rsidRPr="00694BB8" w:rsidRDefault="00850BD4" w:rsidP="009B3881">
      <w:pPr>
        <w:pStyle w:val="BodyText"/>
        <w:rPr>
          <w:rFonts w:asciiTheme="minorHAnsi" w:hAnsiTheme="minorHAnsi" w:cstheme="minorHAnsi"/>
        </w:rPr>
      </w:pPr>
      <w:r>
        <w:rPr>
          <w:noProof/>
        </w:rPr>
        <w:lastRenderedPageBreak/>
        <mc:AlternateContent>
          <mc:Choice Requires="wpg">
            <w:drawing>
              <wp:anchor distT="0" distB="0" distL="114300" distR="114300" simplePos="0" relativeHeight="251658243" behindDoc="0" locked="0" layoutInCell="1" allowOverlap="1" wp14:anchorId="260302E7" wp14:editId="424B1A2F">
                <wp:simplePos x="0" y="0"/>
                <wp:positionH relativeFrom="margin">
                  <wp:posOffset>3536315</wp:posOffset>
                </wp:positionH>
                <wp:positionV relativeFrom="paragraph">
                  <wp:posOffset>278765</wp:posOffset>
                </wp:positionV>
                <wp:extent cx="2931160" cy="2705100"/>
                <wp:effectExtent l="0" t="0" r="2540" b="0"/>
                <wp:wrapSquare wrapText="bothSides"/>
                <wp:docPr id="514390043" name="Group 514390043" descr="Illustrative NABERS renewable energy indicator pie chart as an example of the breakdown of different energy sources. Diagram is illustrative, there is no underlying da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160" cy="2705100"/>
                          <a:chOff x="-196908" y="142642"/>
                          <a:chExt cx="2379340" cy="2035746"/>
                        </a:xfrm>
                      </wpg:grpSpPr>
                      <pic:pic xmlns:pic="http://schemas.openxmlformats.org/drawingml/2006/picture">
                        <pic:nvPicPr>
                          <pic:cNvPr id="926418170" name="Picture 711"/>
                          <pic:cNvPicPr>
                            <a:picLocks noChangeAspect="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rcRect/>
                          <a:stretch/>
                        </pic:blipFill>
                        <pic:spPr bwMode="auto">
                          <a:xfrm>
                            <a:off x="-196908" y="461975"/>
                            <a:ext cx="2219322" cy="1716413"/>
                          </a:xfrm>
                          <a:prstGeom prst="rect">
                            <a:avLst/>
                          </a:prstGeom>
                          <a:noFill/>
                          <a:ln>
                            <a:noFill/>
                          </a:ln>
                        </pic:spPr>
                      </pic:pic>
                      <wps:wsp>
                        <wps:cNvPr id="1834895199" name="Text Box 712"/>
                        <wps:cNvSpPr txBox="1"/>
                        <wps:spPr>
                          <a:xfrm>
                            <a:off x="-55943" y="142642"/>
                            <a:ext cx="2238375" cy="342988"/>
                          </a:xfrm>
                          <a:prstGeom prst="rect">
                            <a:avLst/>
                          </a:prstGeom>
                          <a:solidFill>
                            <a:prstClr val="white"/>
                          </a:solidFill>
                          <a:ln>
                            <a:noFill/>
                          </a:ln>
                        </wps:spPr>
                        <wps:txbx>
                          <w:txbxContent>
                            <w:p w14:paraId="024D21EC" w14:textId="7B1DFA93" w:rsidR="009B3881" w:rsidRPr="00505054" w:rsidRDefault="009B3881" w:rsidP="00505054">
                              <w:pPr>
                                <w:pStyle w:val="Caption"/>
                                <w:keepNext/>
                                <w:spacing w:after="120"/>
                                <w:rPr>
                                  <w:rFonts w:ascii="Calibri" w:eastAsia="Times New Roman" w:hAnsi="Calibri" w:cs="Times New Roman"/>
                                  <w:b/>
                                  <w:bCs/>
                                  <w:i w:val="0"/>
                                  <w:iCs w:val="0"/>
                                  <w:color w:val="auto"/>
                                  <w:sz w:val="24"/>
                                </w:rPr>
                              </w:pPr>
                              <w:bookmarkStart w:id="248" w:name="_Ref147229378"/>
                              <w:bookmarkStart w:id="249" w:name="_Toc157687026"/>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21</w:t>
                              </w:r>
                              <w:r w:rsidRPr="00505054">
                                <w:rPr>
                                  <w:rFonts w:ascii="Calibri" w:eastAsia="Times New Roman" w:hAnsi="Calibri" w:cs="Times New Roman"/>
                                  <w:b/>
                                  <w:bCs/>
                                  <w:i w:val="0"/>
                                  <w:iCs w:val="0"/>
                                  <w:color w:val="auto"/>
                                  <w:sz w:val="24"/>
                                </w:rPr>
                                <w:fldChar w:fldCharType="end"/>
                              </w:r>
                              <w:bookmarkEnd w:id="248"/>
                              <w:r w:rsidRPr="00505054">
                                <w:rPr>
                                  <w:rFonts w:ascii="Calibri" w:eastAsia="Times New Roman" w:hAnsi="Calibri" w:cs="Times New Roman"/>
                                  <w:b/>
                                  <w:bCs/>
                                  <w:i w:val="0"/>
                                  <w:iCs w:val="0"/>
                                  <w:color w:val="auto"/>
                                  <w:sz w:val="24"/>
                                </w:rPr>
                                <w:t xml:space="preserve">: </w:t>
                              </w:r>
                              <w:r w:rsidR="006B1BD5">
                                <w:rPr>
                                  <w:rFonts w:ascii="Calibri" w:eastAsia="Times New Roman" w:hAnsi="Calibri" w:cs="Times New Roman"/>
                                  <w:b/>
                                  <w:bCs/>
                                  <w:i w:val="0"/>
                                  <w:iCs w:val="0"/>
                                  <w:color w:val="auto"/>
                                  <w:sz w:val="24"/>
                                </w:rPr>
                                <w:t xml:space="preserve">Illustrative </w:t>
                              </w:r>
                              <w:r w:rsidRPr="00505054">
                                <w:rPr>
                                  <w:rFonts w:ascii="Calibri" w:eastAsia="Times New Roman" w:hAnsi="Calibri" w:cs="Times New Roman"/>
                                  <w:b/>
                                  <w:bCs/>
                                  <w:i w:val="0"/>
                                  <w:iCs w:val="0"/>
                                  <w:color w:val="auto"/>
                                  <w:sz w:val="24"/>
                                </w:rPr>
                                <w:t>NABERS Renewable Energy Indicator</w:t>
                              </w:r>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302E7" id="Group 514390043" o:spid="_x0000_s1026" alt="Illustrative NABERS renewable energy indicator pie chart as an example of the breakdown of different energy sources. Diagram is illustrative, there is no underlying data." style="position:absolute;margin-left:278.45pt;margin-top:21.95pt;width:230.8pt;height:213pt;z-index:251658243;mso-position-horizontal-relative:margin;mso-width-relative:margin;mso-height-relative:margin" coordorigin="-1969,1426" coordsize="23793,2035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1" o:spid="_x0000_s1027" type="#_x0000_t75" style="position:absolute;left:-1969;top:4619;width:2219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">
                  <v:imagedata r:id="rId57" o:title=""/>
                </v:shape>
                <v:shapetype id="_x0000_t202" coordsize="21600,21600" o:spt="202" path="m,l,21600r21600,l21600,xe">
                  <v:stroke joinstyle="miter"/>
                  <v:path gradientshapeok="t" o:connecttype="rect"/>
                </v:shapetype>
                <v:shape id="Text Box 712" o:spid="_x0000_s1028" type="#_x0000_t202" style="position:absolute;left:-559;top:1426;width:2238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" stroked="f">
                  <v:textbox inset="0,0,0,0">
                    <w:txbxContent>
                      <w:p w14:paraId="024D21EC" w14:textId="7B1DFA93" w:rsidR="009B3881" w:rsidRPr="00505054" w:rsidRDefault="009B3881" w:rsidP="00505054">
                        <w:pPr>
                          <w:pStyle w:val="Caption"/>
                          <w:keepNext/>
                          <w:spacing w:after="120"/>
                          <w:rPr>
                            <w:rFonts w:ascii="Calibri" w:eastAsia="Times New Roman" w:hAnsi="Calibri" w:cs="Times New Roman"/>
                            <w:b/>
                            <w:bCs/>
                            <w:i w:val="0"/>
                            <w:iCs w:val="0"/>
                            <w:color w:val="auto"/>
                            <w:sz w:val="24"/>
                          </w:rPr>
                        </w:pPr>
                        <w:bookmarkStart w:id="250" w:name="_Ref147229378"/>
                        <w:bookmarkStart w:id="251" w:name="_Toc157687026"/>
                        <w:r w:rsidRPr="00505054">
                          <w:rPr>
                            <w:rFonts w:ascii="Calibri" w:eastAsia="Times New Roman" w:hAnsi="Calibri" w:cs="Times New Roman"/>
                            <w:b/>
                            <w:bCs/>
                            <w:i w:val="0"/>
                            <w:iCs w:val="0"/>
                            <w:color w:val="auto"/>
                            <w:sz w:val="24"/>
                          </w:rPr>
                          <w:t xml:space="preserve">Figure </w:t>
                        </w:r>
                        <w:r w:rsidRPr="00505054">
                          <w:rPr>
                            <w:rFonts w:ascii="Calibri" w:eastAsia="Times New Roman" w:hAnsi="Calibri" w:cs="Times New Roman"/>
                            <w:b/>
                            <w:bCs/>
                            <w:i w:val="0"/>
                            <w:iCs w:val="0"/>
                            <w:color w:val="auto"/>
                            <w:sz w:val="24"/>
                          </w:rPr>
                          <w:fldChar w:fldCharType="begin"/>
                        </w:r>
                        <w:r w:rsidRPr="00505054">
                          <w:rPr>
                            <w:rFonts w:ascii="Calibri" w:eastAsia="Times New Roman" w:hAnsi="Calibri" w:cs="Times New Roman"/>
                            <w:b/>
                            <w:bCs/>
                            <w:i w:val="0"/>
                            <w:iCs w:val="0"/>
                            <w:color w:val="auto"/>
                            <w:sz w:val="24"/>
                          </w:rPr>
                          <w:instrText xml:space="preserve"> SEQ Figure \* ARABIC </w:instrText>
                        </w:r>
                        <w:r w:rsidRPr="0050505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21</w:t>
                        </w:r>
                        <w:r w:rsidRPr="00505054">
                          <w:rPr>
                            <w:rFonts w:ascii="Calibri" w:eastAsia="Times New Roman" w:hAnsi="Calibri" w:cs="Times New Roman"/>
                            <w:b/>
                            <w:bCs/>
                            <w:i w:val="0"/>
                            <w:iCs w:val="0"/>
                            <w:color w:val="auto"/>
                            <w:sz w:val="24"/>
                          </w:rPr>
                          <w:fldChar w:fldCharType="end"/>
                        </w:r>
                        <w:bookmarkEnd w:id="250"/>
                        <w:r w:rsidRPr="00505054">
                          <w:rPr>
                            <w:rFonts w:ascii="Calibri" w:eastAsia="Times New Roman" w:hAnsi="Calibri" w:cs="Times New Roman"/>
                            <w:b/>
                            <w:bCs/>
                            <w:i w:val="0"/>
                            <w:iCs w:val="0"/>
                            <w:color w:val="auto"/>
                            <w:sz w:val="24"/>
                          </w:rPr>
                          <w:t xml:space="preserve">: </w:t>
                        </w:r>
                        <w:r w:rsidR="006B1BD5">
                          <w:rPr>
                            <w:rFonts w:ascii="Calibri" w:eastAsia="Times New Roman" w:hAnsi="Calibri" w:cs="Times New Roman"/>
                            <w:b/>
                            <w:bCs/>
                            <w:i w:val="0"/>
                            <w:iCs w:val="0"/>
                            <w:color w:val="auto"/>
                            <w:sz w:val="24"/>
                          </w:rPr>
                          <w:t xml:space="preserve">Illustrative </w:t>
                        </w:r>
                        <w:r w:rsidRPr="00505054">
                          <w:rPr>
                            <w:rFonts w:ascii="Calibri" w:eastAsia="Times New Roman" w:hAnsi="Calibri" w:cs="Times New Roman"/>
                            <w:b/>
                            <w:bCs/>
                            <w:i w:val="0"/>
                            <w:iCs w:val="0"/>
                            <w:color w:val="auto"/>
                            <w:sz w:val="24"/>
                          </w:rPr>
                          <w:t>NABERS Renewable Energy Indicator</w:t>
                        </w:r>
                        <w:bookmarkEnd w:id="251"/>
                      </w:p>
                    </w:txbxContent>
                  </v:textbox>
                </v:shape>
                <w10:wrap type="square" anchorx="margin"/>
              </v:group>
            </w:pict>
          </mc:Fallback>
        </mc:AlternateContent>
      </w:r>
      <w:r w:rsidR="009B3881" w:rsidRPr="00694BB8">
        <w:rPr>
          <w:rFonts w:asciiTheme="minorHAnsi" w:hAnsiTheme="minorHAnsi" w:cstheme="minorHAnsi"/>
        </w:rPr>
        <w:t xml:space="preserve">The option to include </w:t>
      </w:r>
      <w:r w:rsidR="009B3881" w:rsidRPr="00694BB8">
        <w:rPr>
          <w:rFonts w:asciiTheme="minorHAnsi" w:hAnsiTheme="minorHAnsi" w:cstheme="minorHAnsi"/>
          <w:i/>
        </w:rPr>
        <w:t>Scope 1 disclosure</w:t>
      </w:r>
      <w:r w:rsidR="009B3881" w:rsidRPr="00694BB8">
        <w:rPr>
          <w:rFonts w:asciiTheme="minorHAnsi" w:hAnsiTheme="minorHAnsi" w:cstheme="minorHAnsi"/>
        </w:rPr>
        <w:t xml:space="preserve"> was considered prior to the release of the NABERS Renewable Energy Indicator (</w:t>
      </w:r>
      <w:r w:rsidR="009B3881" w:rsidRPr="00694BB8">
        <w:rPr>
          <w:rFonts w:asciiTheme="minorHAnsi" w:hAnsiTheme="minorHAnsi" w:cstheme="minorHAnsi"/>
          <w:b/>
        </w:rPr>
        <w:t>REI</w:t>
      </w:r>
      <w:r w:rsidR="009B3881" w:rsidRPr="00694BB8">
        <w:rPr>
          <w:rFonts w:asciiTheme="minorHAnsi" w:hAnsiTheme="minorHAnsi" w:cstheme="minorHAnsi"/>
        </w:rPr>
        <w:t>). The NABERS REI is a new initiative that includes a pie-chart displaying the breakdown of the source of energy used to power the building on the NABERS certificate (</w:t>
      </w:r>
      <w:r w:rsidR="002D41AB">
        <w:rPr>
          <w:rFonts w:asciiTheme="minorHAnsi" w:hAnsiTheme="minorHAnsi" w:cstheme="minorHAnsi"/>
        </w:rPr>
        <w:fldChar w:fldCharType="begin" w:fldLock="1"/>
      </w:r>
      <w:r w:rsidR="002D41AB">
        <w:rPr>
          <w:rFonts w:asciiTheme="minorHAnsi" w:hAnsiTheme="minorHAnsi" w:cstheme="minorHAnsi"/>
        </w:rPr>
        <w:instrText xml:space="preserve"> REF _Ref147229378 \h </w:instrText>
      </w:r>
      <w:r w:rsidR="002D41AB">
        <w:rPr>
          <w:rFonts w:asciiTheme="minorHAnsi" w:hAnsiTheme="minorHAnsi" w:cstheme="minorHAnsi"/>
        </w:rPr>
      </w:r>
      <w:r w:rsidR="002D41AB">
        <w:rPr>
          <w:rFonts w:asciiTheme="minorHAnsi" w:hAnsiTheme="minorHAnsi" w:cstheme="minorHAnsi"/>
        </w:rPr>
        <w:fldChar w:fldCharType="separate"/>
      </w:r>
      <w:r w:rsidR="002D41AB" w:rsidRPr="00CB1039">
        <w:rPr>
          <w:rFonts w:asciiTheme="minorHAnsi" w:hAnsiTheme="minorHAnsi" w:cstheme="minorHAnsi"/>
        </w:rPr>
        <w:t xml:space="preserve">Figure </w:t>
      </w:r>
      <w:r w:rsidR="002D41AB">
        <w:rPr>
          <w:rFonts w:asciiTheme="minorHAnsi" w:hAnsiTheme="minorHAnsi" w:cstheme="minorHAnsi"/>
          <w:noProof/>
        </w:rPr>
        <w:t>22</w:t>
      </w:r>
      <w:r w:rsidR="002D41AB">
        <w:rPr>
          <w:rFonts w:asciiTheme="minorHAnsi" w:hAnsiTheme="minorHAnsi" w:cstheme="minorHAnsi"/>
        </w:rPr>
        <w:fldChar w:fldCharType="end"/>
      </w:r>
      <w:r w:rsidR="009B3881" w:rsidRPr="00694BB8">
        <w:rPr>
          <w:rFonts w:asciiTheme="minorHAnsi" w:hAnsiTheme="minorHAnsi" w:cstheme="minorHAnsi"/>
        </w:rPr>
        <w:t xml:space="preserve">). The REI initiative was released together with the closure of a well-utilised loophole that enabled building owners to purchase Greenpower to boost their rating, whereby if a building used 100% Greenpower a 6-star rating was inevitably achieved. While this was effective in promoting the uptake of Greenpower to commercial buildings it misrepresented the energy efficiency of the building by focussing on emissions rather than energy. The NABERS rating of </w:t>
      </w:r>
      <w:proofErr w:type="spellStart"/>
      <w:r w:rsidR="009B3881" w:rsidRPr="00694BB8">
        <w:rPr>
          <w:rFonts w:asciiTheme="minorHAnsi" w:hAnsiTheme="minorHAnsi" w:cstheme="minorHAnsi"/>
        </w:rPr>
        <w:t>BEECs</w:t>
      </w:r>
      <w:proofErr w:type="spellEnd"/>
      <w:r w:rsidR="009B3881" w:rsidRPr="00694BB8">
        <w:rPr>
          <w:rFonts w:asciiTheme="minorHAnsi" w:hAnsiTheme="minorHAnsi" w:cstheme="minorHAnsi"/>
        </w:rPr>
        <w:t xml:space="preserve"> were </w:t>
      </w:r>
      <w:r w:rsidR="00EE4424">
        <w:rPr>
          <w:rFonts w:asciiTheme="minorHAnsi" w:hAnsiTheme="minorHAnsi" w:cstheme="minorHAnsi"/>
        </w:rPr>
        <w:t xml:space="preserve">required to be </w:t>
      </w:r>
      <w:r w:rsidR="009B3881" w:rsidRPr="00694BB8">
        <w:rPr>
          <w:rFonts w:asciiTheme="minorHAnsi" w:hAnsiTheme="minorHAnsi" w:cstheme="minorHAnsi"/>
        </w:rPr>
        <w:t>displayed without Greenpower thereby providing the true rating to prospective tenants and buyers.</w:t>
      </w:r>
    </w:p>
    <w:p w14:paraId="348C10B5" w14:textId="134D3538" w:rsidR="009B3881" w:rsidRDefault="009B3881" w:rsidP="009B3881">
      <w:pPr>
        <w:pStyle w:val="BodyText"/>
        <w:rPr>
          <w:rFonts w:asciiTheme="minorHAnsi" w:hAnsiTheme="minorHAnsi" w:cstheme="minorHAnsi"/>
        </w:rPr>
      </w:pPr>
      <w:r w:rsidRPr="00694BB8">
        <w:rPr>
          <w:rFonts w:asciiTheme="minorHAnsi" w:hAnsiTheme="minorHAnsi" w:cstheme="minorHAnsi"/>
        </w:rPr>
        <w:t>The Scope 1 emission sources is a low-cost option that brings focus to refrigerants</w:t>
      </w:r>
      <w:r>
        <w:rPr>
          <w:rFonts w:asciiTheme="minorHAnsi" w:hAnsiTheme="minorHAnsi" w:cstheme="minorHAnsi"/>
        </w:rPr>
        <w:t xml:space="preserve">, </w:t>
      </w:r>
      <w:proofErr w:type="gramStart"/>
      <w:r>
        <w:rPr>
          <w:rFonts w:asciiTheme="minorHAnsi" w:hAnsiTheme="minorHAnsi" w:cstheme="minorHAnsi"/>
        </w:rPr>
        <w:t>electrification</w:t>
      </w:r>
      <w:proofErr w:type="gramEnd"/>
      <w:r w:rsidRPr="00694BB8">
        <w:rPr>
          <w:rFonts w:asciiTheme="minorHAnsi" w:hAnsiTheme="minorHAnsi" w:cstheme="minorHAnsi"/>
        </w:rPr>
        <w:t xml:space="preserve"> and the operational control of buildings by encompasses all scope 1 &amp; 2 emissions. However, displaying this information in conjunction with the REI could be confusing to people viewing the certificate as similar information (energy and emissions) is presented </w:t>
      </w:r>
      <w:r>
        <w:rPr>
          <w:rFonts w:asciiTheme="minorHAnsi" w:hAnsiTheme="minorHAnsi" w:cstheme="minorHAnsi"/>
        </w:rPr>
        <w:t xml:space="preserve">alongside </w:t>
      </w:r>
      <w:r w:rsidR="00406313">
        <w:rPr>
          <w:rFonts w:asciiTheme="minorHAnsi" w:hAnsiTheme="minorHAnsi" w:cstheme="minorHAnsi"/>
        </w:rPr>
        <w:t>one-an</w:t>
      </w:r>
      <w:r>
        <w:rPr>
          <w:rFonts w:asciiTheme="minorHAnsi" w:hAnsiTheme="minorHAnsi" w:cstheme="minorHAnsi"/>
        </w:rPr>
        <w:t xml:space="preserve">other </w:t>
      </w:r>
      <w:r w:rsidRPr="00694BB8">
        <w:rPr>
          <w:rFonts w:asciiTheme="minorHAnsi" w:hAnsiTheme="minorHAnsi" w:cstheme="minorHAnsi"/>
        </w:rPr>
        <w:t>and changes according to the relevant emission factors. With the recent update and inclusion of the REI on the NABERS certificates the Scope 1 emissions disclosure is something worth considering for the next modification of the NABERS disclosure.</w:t>
      </w:r>
    </w:p>
    <w:p w14:paraId="4EF38F6F" w14:textId="77777777" w:rsidR="00C01D89" w:rsidRPr="009B3881" w:rsidRDefault="00C01D89" w:rsidP="009B3881">
      <w:pPr>
        <w:pStyle w:val="BodyText"/>
        <w:rPr>
          <w:rFonts w:asciiTheme="minorHAnsi" w:hAnsiTheme="minorHAnsi" w:cstheme="minorHAnsi"/>
        </w:rPr>
      </w:pPr>
    </w:p>
    <w:p w14:paraId="27BCA658" w14:textId="21C61EAB" w:rsidR="00152E21" w:rsidRPr="00694BB8" w:rsidRDefault="00152E21" w:rsidP="001C481C">
      <w:pPr>
        <w:pStyle w:val="BodyText"/>
        <w:rPr>
          <w:rFonts w:asciiTheme="minorHAnsi" w:hAnsiTheme="minorHAnsi" w:cstheme="minorHAnsi"/>
        </w:rPr>
        <w:sectPr w:rsidR="00152E21" w:rsidRPr="00694BB8" w:rsidSect="00A77C53">
          <w:pgSz w:w="11906" w:h="16838"/>
          <w:pgMar w:top="851" w:right="851" w:bottom="1418" w:left="851" w:header="567" w:footer="283" w:gutter="0"/>
          <w:cols w:space="708"/>
          <w:docGrid w:linePitch="360"/>
        </w:sectPr>
      </w:pPr>
    </w:p>
    <w:p w14:paraId="1B1DD42F" w14:textId="444C549B" w:rsidR="00724F8C" w:rsidRDefault="0013509C" w:rsidP="00214D42">
      <w:pPr>
        <w:pStyle w:val="Heading1"/>
      </w:pPr>
      <w:bookmarkStart w:id="252" w:name="_Toc154059386"/>
      <w:r>
        <w:lastRenderedPageBreak/>
        <w:t>F</w:t>
      </w:r>
      <w:r w:rsidR="00724F8C">
        <w:t>uture roadmap</w:t>
      </w:r>
      <w:bookmarkEnd w:id="252"/>
    </w:p>
    <w:p w14:paraId="68E5502F" w14:textId="69A634CE" w:rsidR="008C59FE" w:rsidRPr="00694BB8" w:rsidRDefault="00BA56D1" w:rsidP="005A7347">
      <w:pPr>
        <w:pStyle w:val="BodyText"/>
        <w:rPr>
          <w:rFonts w:asciiTheme="minorHAnsi" w:hAnsiTheme="minorHAnsi" w:cstheme="minorHAnsi"/>
          <w:b/>
        </w:rPr>
      </w:pPr>
      <w:r w:rsidRPr="00694BB8">
        <w:rPr>
          <w:rFonts w:asciiTheme="minorHAnsi" w:hAnsiTheme="minorHAnsi" w:cstheme="minorHAnsi"/>
          <w:b/>
        </w:rPr>
        <w:t xml:space="preserve">This section provides </w:t>
      </w:r>
      <w:r w:rsidR="008C4F7A" w:rsidRPr="00694BB8">
        <w:rPr>
          <w:rFonts w:asciiTheme="minorHAnsi" w:hAnsiTheme="minorHAnsi" w:cstheme="minorHAnsi"/>
          <w:b/>
        </w:rPr>
        <w:t xml:space="preserve">a </w:t>
      </w:r>
      <w:r w:rsidR="004075B8" w:rsidRPr="00694BB8">
        <w:rPr>
          <w:rFonts w:asciiTheme="minorHAnsi" w:hAnsiTheme="minorHAnsi" w:cstheme="minorHAnsi"/>
          <w:b/>
        </w:rPr>
        <w:t xml:space="preserve">potential roadmap for </w:t>
      </w:r>
      <w:r w:rsidR="008E2786" w:rsidRPr="00694BB8">
        <w:rPr>
          <w:rFonts w:asciiTheme="minorHAnsi" w:hAnsiTheme="minorHAnsi" w:cstheme="minorHAnsi"/>
          <w:b/>
        </w:rPr>
        <w:t xml:space="preserve">energy </w:t>
      </w:r>
      <w:r w:rsidR="00BC30C2" w:rsidRPr="00694BB8">
        <w:rPr>
          <w:rFonts w:asciiTheme="minorHAnsi" w:hAnsiTheme="minorHAnsi" w:cstheme="minorHAnsi"/>
          <w:b/>
        </w:rPr>
        <w:t>and emissions regulatory reform for</w:t>
      </w:r>
      <w:r w:rsidR="008C59FE" w:rsidRPr="00694BB8">
        <w:rPr>
          <w:rFonts w:asciiTheme="minorHAnsi" w:hAnsiTheme="minorHAnsi" w:cstheme="minorHAnsi"/>
          <w:b/>
        </w:rPr>
        <w:t xml:space="preserve"> the </w:t>
      </w:r>
      <w:r w:rsidR="00D87A38" w:rsidRPr="00694BB8">
        <w:rPr>
          <w:rFonts w:asciiTheme="minorHAnsi" w:hAnsiTheme="minorHAnsi" w:cstheme="minorHAnsi"/>
          <w:b/>
        </w:rPr>
        <w:t xml:space="preserve">building sector. </w:t>
      </w:r>
    </w:p>
    <w:p w14:paraId="7CB06E87" w14:textId="2844BCBF" w:rsidR="00C87EA6" w:rsidRPr="00694BB8" w:rsidRDefault="00C87EA6" w:rsidP="00724F8C">
      <w:pPr>
        <w:pStyle w:val="BodyText"/>
        <w:rPr>
          <w:rFonts w:asciiTheme="minorHAnsi" w:hAnsiTheme="minorHAnsi" w:cstheme="minorHAnsi"/>
        </w:rPr>
      </w:pPr>
      <w:r w:rsidRPr="00694BB8">
        <w:rPr>
          <w:rFonts w:asciiTheme="minorHAnsi" w:hAnsiTheme="minorHAnsi" w:cstheme="minorHAnsi"/>
        </w:rPr>
        <w:t xml:space="preserve">In this project we have explored </w:t>
      </w:r>
      <w:r w:rsidR="001E7697" w:rsidRPr="00694BB8">
        <w:rPr>
          <w:rFonts w:asciiTheme="minorHAnsi" w:hAnsiTheme="minorHAnsi" w:cstheme="minorHAnsi"/>
        </w:rPr>
        <w:t xml:space="preserve">expanding the CBD program in Australia. </w:t>
      </w:r>
      <w:r w:rsidR="00D9085D" w:rsidRPr="00694BB8">
        <w:rPr>
          <w:rFonts w:asciiTheme="minorHAnsi" w:hAnsiTheme="minorHAnsi" w:cstheme="minorHAnsi"/>
        </w:rPr>
        <w:t>Expanding</w:t>
      </w:r>
      <w:r w:rsidR="00D538C8" w:rsidRPr="00694BB8">
        <w:rPr>
          <w:rFonts w:asciiTheme="minorHAnsi" w:hAnsiTheme="minorHAnsi" w:cstheme="minorHAnsi"/>
        </w:rPr>
        <w:t xml:space="preserve"> the program </w:t>
      </w:r>
      <w:r w:rsidR="00D9085D" w:rsidRPr="00694BB8">
        <w:rPr>
          <w:rFonts w:asciiTheme="minorHAnsi" w:hAnsiTheme="minorHAnsi" w:cstheme="minorHAnsi"/>
        </w:rPr>
        <w:t>is intended</w:t>
      </w:r>
      <w:r w:rsidR="00B67D04" w:rsidRPr="00694BB8">
        <w:rPr>
          <w:rFonts w:asciiTheme="minorHAnsi" w:hAnsiTheme="minorHAnsi" w:cstheme="minorHAnsi"/>
        </w:rPr>
        <w:t xml:space="preserve"> to support improved building energy efficiency </w:t>
      </w:r>
      <w:r w:rsidR="007B0E7F" w:rsidRPr="00694BB8">
        <w:rPr>
          <w:rFonts w:asciiTheme="minorHAnsi" w:hAnsiTheme="minorHAnsi" w:cstheme="minorHAnsi"/>
        </w:rPr>
        <w:t xml:space="preserve">across Australia, </w:t>
      </w:r>
      <w:r w:rsidR="00ED7322" w:rsidRPr="00694BB8">
        <w:rPr>
          <w:rFonts w:asciiTheme="minorHAnsi" w:hAnsiTheme="minorHAnsi" w:cstheme="minorHAnsi"/>
        </w:rPr>
        <w:t>contribut</w:t>
      </w:r>
      <w:r w:rsidR="007B0E7F" w:rsidRPr="00694BB8">
        <w:rPr>
          <w:rFonts w:asciiTheme="minorHAnsi" w:hAnsiTheme="minorHAnsi" w:cstheme="minorHAnsi"/>
        </w:rPr>
        <w:t>ing</w:t>
      </w:r>
      <w:r w:rsidR="00ED7322" w:rsidRPr="00694BB8">
        <w:rPr>
          <w:rFonts w:asciiTheme="minorHAnsi" w:hAnsiTheme="minorHAnsi" w:cstheme="minorHAnsi"/>
        </w:rPr>
        <w:t xml:space="preserve"> to </w:t>
      </w:r>
      <w:r w:rsidR="00621021" w:rsidRPr="00694BB8">
        <w:rPr>
          <w:rFonts w:asciiTheme="minorHAnsi" w:hAnsiTheme="minorHAnsi" w:cstheme="minorHAnsi"/>
        </w:rPr>
        <w:t xml:space="preserve">reduced greenhouse gas emissions </w:t>
      </w:r>
      <w:r w:rsidR="001B338F" w:rsidRPr="00694BB8">
        <w:rPr>
          <w:rFonts w:asciiTheme="minorHAnsi" w:hAnsiTheme="minorHAnsi" w:cstheme="minorHAnsi"/>
        </w:rPr>
        <w:t>and energy use</w:t>
      </w:r>
      <w:r w:rsidR="00621021" w:rsidRPr="00694BB8">
        <w:rPr>
          <w:rFonts w:asciiTheme="minorHAnsi" w:hAnsiTheme="minorHAnsi" w:cstheme="minorHAnsi"/>
        </w:rPr>
        <w:t xml:space="preserve"> from the sector. </w:t>
      </w:r>
      <w:r w:rsidR="00140F62" w:rsidRPr="00694BB8">
        <w:rPr>
          <w:rFonts w:asciiTheme="minorHAnsi" w:hAnsiTheme="minorHAnsi" w:cstheme="minorHAnsi"/>
        </w:rPr>
        <w:t xml:space="preserve">The options we assessed appear to provide considerable net benefits, although these need to be further assessed via intensive consultation with industry, more accurate data on the size of the building stock and a more detailed cost benefit analysis. Provided this confirms the positive return on these options, this suggests a phased approach to regulatory reform can make significant contributions to both sectoral and national </w:t>
      </w:r>
      <w:r w:rsidR="00DF4A66" w:rsidRPr="00694BB8">
        <w:rPr>
          <w:rFonts w:asciiTheme="minorHAnsi" w:hAnsiTheme="minorHAnsi" w:cstheme="minorHAnsi"/>
        </w:rPr>
        <w:t xml:space="preserve">emissions reductions. </w:t>
      </w:r>
    </w:p>
    <w:p w14:paraId="2B58CD98" w14:textId="4B610773" w:rsidR="00F11E99" w:rsidRPr="00694BB8" w:rsidRDefault="00D37F1B" w:rsidP="00724F8C">
      <w:pPr>
        <w:pStyle w:val="BodyText"/>
        <w:rPr>
          <w:rFonts w:asciiTheme="minorHAnsi" w:hAnsiTheme="minorHAnsi" w:cstheme="minorHAnsi"/>
        </w:rPr>
      </w:pPr>
      <w:r w:rsidRPr="00694BB8">
        <w:rPr>
          <w:rFonts w:asciiTheme="minorHAnsi" w:hAnsiTheme="minorHAnsi" w:cstheme="minorHAnsi"/>
        </w:rPr>
        <w:t>Based on findings from this project</w:t>
      </w:r>
      <w:r w:rsidR="00D47C15" w:rsidRPr="00694BB8">
        <w:rPr>
          <w:rFonts w:asciiTheme="minorHAnsi" w:hAnsiTheme="minorHAnsi" w:cstheme="minorHAnsi"/>
        </w:rPr>
        <w:t xml:space="preserve"> </w:t>
      </w:r>
      <w:r w:rsidR="00F3442D" w:rsidRPr="00694BB8">
        <w:rPr>
          <w:rFonts w:asciiTheme="minorHAnsi" w:hAnsiTheme="minorHAnsi" w:cstheme="minorHAnsi"/>
        </w:rPr>
        <w:t>there</w:t>
      </w:r>
      <w:r w:rsidR="00D47C15" w:rsidRPr="00694BB8">
        <w:rPr>
          <w:rFonts w:asciiTheme="minorHAnsi" w:hAnsiTheme="minorHAnsi" w:cstheme="minorHAnsi"/>
        </w:rPr>
        <w:t xml:space="preserve"> is </w:t>
      </w:r>
      <w:r w:rsidR="00DF4A66" w:rsidRPr="00694BB8">
        <w:rPr>
          <w:rFonts w:asciiTheme="minorHAnsi" w:hAnsiTheme="minorHAnsi" w:cstheme="minorHAnsi"/>
        </w:rPr>
        <w:t xml:space="preserve">an </w:t>
      </w:r>
      <w:r w:rsidR="00D47C15" w:rsidRPr="00694BB8">
        <w:rPr>
          <w:rFonts w:asciiTheme="minorHAnsi" w:hAnsiTheme="minorHAnsi" w:cstheme="minorHAnsi"/>
        </w:rPr>
        <w:t>opportunity to expan</w:t>
      </w:r>
      <w:r w:rsidR="00807160" w:rsidRPr="00694BB8">
        <w:rPr>
          <w:rFonts w:asciiTheme="minorHAnsi" w:hAnsiTheme="minorHAnsi" w:cstheme="minorHAnsi"/>
        </w:rPr>
        <w:t>d</w:t>
      </w:r>
      <w:r w:rsidR="00D47C15" w:rsidRPr="00694BB8">
        <w:rPr>
          <w:rFonts w:asciiTheme="minorHAnsi" w:hAnsiTheme="minorHAnsi" w:cstheme="minorHAnsi"/>
        </w:rPr>
        <w:t xml:space="preserve"> </w:t>
      </w:r>
      <w:r w:rsidR="00960340" w:rsidRPr="00694BB8">
        <w:rPr>
          <w:rFonts w:asciiTheme="minorHAnsi" w:hAnsiTheme="minorHAnsi" w:cstheme="minorHAnsi"/>
        </w:rPr>
        <w:t>building regulation</w:t>
      </w:r>
      <w:r w:rsidR="00D24C01" w:rsidRPr="00694BB8">
        <w:rPr>
          <w:rFonts w:asciiTheme="minorHAnsi" w:hAnsiTheme="minorHAnsi" w:cstheme="minorHAnsi"/>
        </w:rPr>
        <w:t xml:space="preserve"> in</w:t>
      </w:r>
      <w:r w:rsidR="00F3442D" w:rsidRPr="00694BB8">
        <w:rPr>
          <w:rFonts w:asciiTheme="minorHAnsi" w:hAnsiTheme="minorHAnsi" w:cstheme="minorHAnsi"/>
        </w:rPr>
        <w:t xml:space="preserve"> a </w:t>
      </w:r>
      <w:r w:rsidR="008454F4" w:rsidRPr="00694BB8">
        <w:rPr>
          <w:rFonts w:asciiTheme="minorHAnsi" w:hAnsiTheme="minorHAnsi" w:cstheme="minorHAnsi"/>
        </w:rPr>
        <w:t>systematic way</w:t>
      </w:r>
      <w:r w:rsidR="000B53B8" w:rsidRPr="00694BB8">
        <w:rPr>
          <w:rFonts w:asciiTheme="minorHAnsi" w:hAnsiTheme="minorHAnsi" w:cstheme="minorHAnsi"/>
        </w:rPr>
        <w:t xml:space="preserve"> </w:t>
      </w:r>
      <w:r w:rsidR="00C3179C" w:rsidRPr="00694BB8">
        <w:rPr>
          <w:rFonts w:asciiTheme="minorHAnsi" w:hAnsiTheme="minorHAnsi" w:cstheme="minorHAnsi"/>
        </w:rPr>
        <w:t>that is sensitive to the</w:t>
      </w:r>
      <w:r w:rsidR="001A544E" w:rsidRPr="00694BB8">
        <w:rPr>
          <w:rFonts w:asciiTheme="minorHAnsi" w:hAnsiTheme="minorHAnsi" w:cstheme="minorHAnsi"/>
        </w:rPr>
        <w:t xml:space="preserve"> </w:t>
      </w:r>
      <w:r w:rsidR="00EB7761" w:rsidRPr="00694BB8">
        <w:rPr>
          <w:rFonts w:asciiTheme="minorHAnsi" w:hAnsiTheme="minorHAnsi" w:cstheme="minorHAnsi"/>
        </w:rPr>
        <w:t xml:space="preserve">levels of readiness and maturity in </w:t>
      </w:r>
      <w:r w:rsidR="001A544E" w:rsidRPr="00694BB8">
        <w:rPr>
          <w:rFonts w:asciiTheme="minorHAnsi" w:hAnsiTheme="minorHAnsi" w:cstheme="minorHAnsi"/>
        </w:rPr>
        <w:t xml:space="preserve">key non-residential building </w:t>
      </w:r>
      <w:r w:rsidR="000C3E8B" w:rsidRPr="00694BB8">
        <w:rPr>
          <w:rFonts w:asciiTheme="minorHAnsi" w:hAnsiTheme="minorHAnsi" w:cstheme="minorHAnsi"/>
        </w:rPr>
        <w:t>sectors</w:t>
      </w:r>
      <w:r w:rsidR="00D314B8" w:rsidRPr="00694BB8">
        <w:rPr>
          <w:rFonts w:asciiTheme="minorHAnsi" w:hAnsiTheme="minorHAnsi" w:cstheme="minorHAnsi"/>
        </w:rPr>
        <w:t xml:space="preserve">. </w:t>
      </w:r>
      <w:r w:rsidR="00BA68CE" w:rsidRPr="00694BB8">
        <w:rPr>
          <w:rFonts w:asciiTheme="minorHAnsi" w:hAnsiTheme="minorHAnsi" w:cstheme="minorHAnsi"/>
        </w:rPr>
        <w:t>This involves</w:t>
      </w:r>
      <w:r w:rsidR="00302435" w:rsidRPr="00694BB8">
        <w:rPr>
          <w:rFonts w:asciiTheme="minorHAnsi" w:hAnsiTheme="minorHAnsi" w:cstheme="minorHAnsi"/>
        </w:rPr>
        <w:t xml:space="preserve"> </w:t>
      </w:r>
      <w:r w:rsidR="006E2543" w:rsidRPr="00694BB8">
        <w:rPr>
          <w:rFonts w:asciiTheme="minorHAnsi" w:hAnsiTheme="minorHAnsi" w:cstheme="minorHAnsi"/>
        </w:rPr>
        <w:t>reform on</w:t>
      </w:r>
      <w:r w:rsidR="00302435" w:rsidRPr="00694BB8">
        <w:rPr>
          <w:rFonts w:asciiTheme="minorHAnsi" w:hAnsiTheme="minorHAnsi" w:cstheme="minorHAnsi"/>
        </w:rPr>
        <w:t xml:space="preserve"> </w:t>
      </w:r>
      <w:r w:rsidR="00F11E99" w:rsidRPr="00694BB8">
        <w:rPr>
          <w:rFonts w:asciiTheme="minorHAnsi" w:hAnsiTheme="minorHAnsi" w:cstheme="minorHAnsi"/>
        </w:rPr>
        <w:t>several</w:t>
      </w:r>
      <w:r w:rsidR="007203BD" w:rsidRPr="00694BB8">
        <w:rPr>
          <w:rFonts w:asciiTheme="minorHAnsi" w:hAnsiTheme="minorHAnsi" w:cstheme="minorHAnsi"/>
        </w:rPr>
        <w:t xml:space="preserve"> </w:t>
      </w:r>
      <w:r w:rsidR="00F700CA" w:rsidRPr="00694BB8">
        <w:rPr>
          <w:rFonts w:asciiTheme="minorHAnsi" w:hAnsiTheme="minorHAnsi" w:cstheme="minorHAnsi"/>
        </w:rPr>
        <w:t>dimensions</w:t>
      </w:r>
      <w:r w:rsidR="00F11E99" w:rsidRPr="00694BB8">
        <w:rPr>
          <w:rFonts w:asciiTheme="minorHAnsi" w:hAnsiTheme="minorHAnsi" w:cstheme="minorHAnsi"/>
        </w:rPr>
        <w:t xml:space="preserve">. </w:t>
      </w:r>
    </w:p>
    <w:p w14:paraId="431CF038" w14:textId="110CBEAD" w:rsidR="00F11E99" w:rsidRPr="00694BB8" w:rsidRDefault="007203BD" w:rsidP="00A253E6">
      <w:pPr>
        <w:pStyle w:val="BodyText"/>
        <w:numPr>
          <w:ilvl w:val="0"/>
          <w:numId w:val="56"/>
        </w:numPr>
        <w:rPr>
          <w:rFonts w:asciiTheme="minorHAnsi" w:hAnsiTheme="minorHAnsi" w:cstheme="minorHAnsi"/>
        </w:rPr>
      </w:pPr>
      <w:r w:rsidRPr="00694BB8">
        <w:rPr>
          <w:rFonts w:asciiTheme="minorHAnsi" w:hAnsiTheme="minorHAnsi" w:cstheme="minorHAnsi"/>
        </w:rPr>
        <w:t xml:space="preserve">expanding the </w:t>
      </w:r>
      <w:r w:rsidRPr="00694BB8">
        <w:rPr>
          <w:rFonts w:asciiTheme="minorHAnsi" w:hAnsiTheme="minorHAnsi" w:cstheme="minorHAnsi"/>
          <w:i/>
        </w:rPr>
        <w:t>scope</w:t>
      </w:r>
      <w:r w:rsidR="00F700CA" w:rsidRPr="00694BB8">
        <w:rPr>
          <w:rFonts w:asciiTheme="minorHAnsi" w:hAnsiTheme="minorHAnsi" w:cstheme="minorHAnsi"/>
        </w:rPr>
        <w:t xml:space="preserve"> of </w:t>
      </w:r>
      <w:r w:rsidRPr="00694BB8">
        <w:rPr>
          <w:rFonts w:asciiTheme="minorHAnsi" w:hAnsiTheme="minorHAnsi" w:cstheme="minorHAnsi"/>
        </w:rPr>
        <w:t>building</w:t>
      </w:r>
      <w:r w:rsidR="00302435" w:rsidRPr="00694BB8">
        <w:rPr>
          <w:rFonts w:asciiTheme="minorHAnsi" w:hAnsiTheme="minorHAnsi" w:cstheme="minorHAnsi"/>
        </w:rPr>
        <w:t xml:space="preserve"> </w:t>
      </w:r>
      <w:r w:rsidR="00620616" w:rsidRPr="00694BB8">
        <w:rPr>
          <w:rFonts w:asciiTheme="minorHAnsi" w:hAnsiTheme="minorHAnsi" w:cstheme="minorHAnsi"/>
        </w:rPr>
        <w:t xml:space="preserve">regulation from the current focus on </w:t>
      </w:r>
      <w:r w:rsidR="00302435" w:rsidRPr="00694BB8">
        <w:rPr>
          <w:rFonts w:asciiTheme="minorHAnsi" w:hAnsiTheme="minorHAnsi" w:cstheme="minorHAnsi"/>
        </w:rPr>
        <w:t xml:space="preserve">larger </w:t>
      </w:r>
      <w:r w:rsidR="00C84BDD" w:rsidRPr="00694BB8">
        <w:rPr>
          <w:rFonts w:asciiTheme="minorHAnsi" w:hAnsiTheme="minorHAnsi" w:cstheme="minorHAnsi"/>
        </w:rPr>
        <w:t xml:space="preserve">office </w:t>
      </w:r>
      <w:r w:rsidR="00302435" w:rsidRPr="00694BB8">
        <w:rPr>
          <w:rFonts w:asciiTheme="minorHAnsi" w:hAnsiTheme="minorHAnsi" w:cstheme="minorHAnsi"/>
        </w:rPr>
        <w:t xml:space="preserve">buildings </w:t>
      </w:r>
      <w:r w:rsidR="003301C8" w:rsidRPr="00694BB8">
        <w:rPr>
          <w:rFonts w:asciiTheme="minorHAnsi" w:hAnsiTheme="minorHAnsi" w:cstheme="minorHAnsi"/>
        </w:rPr>
        <w:t>owned by corporations</w:t>
      </w:r>
      <w:r w:rsidR="00173723" w:rsidRPr="00694BB8">
        <w:rPr>
          <w:rFonts w:asciiTheme="minorHAnsi" w:hAnsiTheme="minorHAnsi" w:cstheme="minorHAnsi"/>
        </w:rPr>
        <w:t xml:space="preserve"> to a </w:t>
      </w:r>
      <w:r w:rsidR="00F11E99" w:rsidRPr="00694BB8">
        <w:rPr>
          <w:rFonts w:asciiTheme="minorHAnsi" w:hAnsiTheme="minorHAnsi" w:cstheme="minorHAnsi"/>
        </w:rPr>
        <w:t xml:space="preserve">progressively </w:t>
      </w:r>
      <w:r w:rsidR="00FD1B63" w:rsidRPr="00694BB8">
        <w:rPr>
          <w:rFonts w:asciiTheme="minorHAnsi" w:hAnsiTheme="minorHAnsi" w:cstheme="minorHAnsi"/>
        </w:rPr>
        <w:t>wider set of</w:t>
      </w:r>
      <w:r w:rsidR="00302435" w:rsidRPr="00694BB8">
        <w:rPr>
          <w:rFonts w:asciiTheme="minorHAnsi" w:hAnsiTheme="minorHAnsi" w:cstheme="minorHAnsi"/>
        </w:rPr>
        <w:t xml:space="preserve"> </w:t>
      </w:r>
      <w:r w:rsidR="005C790B" w:rsidRPr="00694BB8">
        <w:rPr>
          <w:rFonts w:asciiTheme="minorHAnsi" w:hAnsiTheme="minorHAnsi" w:cstheme="minorHAnsi"/>
        </w:rPr>
        <w:t xml:space="preserve">building types </w:t>
      </w:r>
      <w:r w:rsidR="001B6F2B" w:rsidRPr="00694BB8">
        <w:rPr>
          <w:rFonts w:asciiTheme="minorHAnsi" w:hAnsiTheme="minorHAnsi" w:cstheme="minorHAnsi"/>
        </w:rPr>
        <w:t xml:space="preserve">and ownership </w:t>
      </w:r>
      <w:proofErr w:type="gramStart"/>
      <w:r w:rsidR="001B6F2B" w:rsidRPr="00694BB8">
        <w:rPr>
          <w:rFonts w:asciiTheme="minorHAnsi" w:hAnsiTheme="minorHAnsi" w:cstheme="minorHAnsi"/>
        </w:rPr>
        <w:t>structures</w:t>
      </w:r>
      <w:proofErr w:type="gramEnd"/>
      <w:r w:rsidR="00F11E99" w:rsidRPr="00694BB8">
        <w:rPr>
          <w:rFonts w:asciiTheme="minorHAnsi" w:hAnsiTheme="minorHAnsi" w:cstheme="minorHAnsi"/>
        </w:rPr>
        <w:t xml:space="preserve"> </w:t>
      </w:r>
    </w:p>
    <w:p w14:paraId="505B1901" w14:textId="5667FBD4" w:rsidR="002512D9" w:rsidRPr="00694BB8" w:rsidRDefault="00C24DD5" w:rsidP="00A253E6">
      <w:pPr>
        <w:pStyle w:val="BodyText"/>
        <w:numPr>
          <w:ilvl w:val="0"/>
          <w:numId w:val="56"/>
        </w:numPr>
        <w:rPr>
          <w:rFonts w:asciiTheme="minorHAnsi" w:hAnsiTheme="minorHAnsi" w:cstheme="minorHAnsi"/>
        </w:rPr>
      </w:pPr>
      <w:r w:rsidRPr="00694BB8">
        <w:rPr>
          <w:rFonts w:asciiTheme="minorHAnsi" w:hAnsiTheme="minorHAnsi" w:cstheme="minorHAnsi"/>
          <w:i/>
        </w:rPr>
        <w:t>deepening</w:t>
      </w:r>
      <w:r w:rsidRPr="00694BB8">
        <w:rPr>
          <w:rFonts w:asciiTheme="minorHAnsi" w:hAnsiTheme="minorHAnsi" w:cstheme="minorHAnsi"/>
        </w:rPr>
        <w:t xml:space="preserve"> building regulation from the current focus on</w:t>
      </w:r>
      <w:r w:rsidR="009E6A9A" w:rsidRPr="00694BB8">
        <w:rPr>
          <w:rFonts w:asciiTheme="minorHAnsi" w:hAnsiTheme="minorHAnsi" w:cstheme="minorHAnsi"/>
        </w:rPr>
        <w:t xml:space="preserve"> disclosure </w:t>
      </w:r>
      <w:r w:rsidRPr="00694BB8">
        <w:rPr>
          <w:rFonts w:asciiTheme="minorHAnsi" w:hAnsiTheme="minorHAnsi" w:cstheme="minorHAnsi"/>
        </w:rPr>
        <w:t xml:space="preserve">to </w:t>
      </w:r>
      <w:proofErr w:type="spellStart"/>
      <w:r w:rsidR="009E6A9A" w:rsidRPr="00694BB8">
        <w:rPr>
          <w:rFonts w:asciiTheme="minorHAnsi" w:hAnsiTheme="minorHAnsi" w:cstheme="minorHAnsi"/>
        </w:rPr>
        <w:t>MEPS</w:t>
      </w:r>
      <w:proofErr w:type="spellEnd"/>
      <w:r w:rsidR="005F2B28" w:rsidRPr="00694BB8">
        <w:rPr>
          <w:rFonts w:asciiTheme="minorHAnsi" w:hAnsiTheme="minorHAnsi" w:cstheme="minorHAnsi"/>
        </w:rPr>
        <w:t xml:space="preserve">, </w:t>
      </w:r>
      <w:r w:rsidR="008A6E37" w:rsidRPr="00694BB8">
        <w:rPr>
          <w:rFonts w:asciiTheme="minorHAnsi" w:hAnsiTheme="minorHAnsi" w:cstheme="minorHAnsi"/>
        </w:rPr>
        <w:t xml:space="preserve">to reduce </w:t>
      </w:r>
      <w:r w:rsidR="009D333C" w:rsidRPr="00694BB8">
        <w:rPr>
          <w:rFonts w:asciiTheme="minorHAnsi" w:hAnsiTheme="minorHAnsi" w:cstheme="minorHAnsi"/>
        </w:rPr>
        <w:t xml:space="preserve">the tail of low performing </w:t>
      </w:r>
      <w:proofErr w:type="gramStart"/>
      <w:r w:rsidR="009D333C" w:rsidRPr="00694BB8">
        <w:rPr>
          <w:rFonts w:asciiTheme="minorHAnsi" w:hAnsiTheme="minorHAnsi" w:cstheme="minorHAnsi"/>
        </w:rPr>
        <w:t>buildings</w:t>
      </w:r>
      <w:proofErr w:type="gramEnd"/>
    </w:p>
    <w:p w14:paraId="5E6FB015" w14:textId="55A5E26F" w:rsidR="004C10C5" w:rsidRPr="00694BB8" w:rsidRDefault="00B17D3F" w:rsidP="00A253E6">
      <w:pPr>
        <w:pStyle w:val="BodyText"/>
        <w:numPr>
          <w:ilvl w:val="0"/>
          <w:numId w:val="56"/>
        </w:numPr>
        <w:rPr>
          <w:rFonts w:asciiTheme="minorHAnsi" w:hAnsiTheme="minorHAnsi" w:cstheme="minorHAnsi"/>
        </w:rPr>
      </w:pPr>
      <w:r w:rsidRPr="00694BB8">
        <w:rPr>
          <w:rFonts w:asciiTheme="minorHAnsi" w:hAnsiTheme="minorHAnsi" w:cstheme="minorHAnsi"/>
        </w:rPr>
        <w:t>phasing these reforms in</w:t>
      </w:r>
      <w:r w:rsidR="008009F0" w:rsidRPr="00694BB8">
        <w:rPr>
          <w:rFonts w:asciiTheme="minorHAnsi" w:hAnsiTheme="minorHAnsi" w:cstheme="minorHAnsi"/>
        </w:rPr>
        <w:t xml:space="preserve"> a way that </w:t>
      </w:r>
      <w:r w:rsidR="00707C1A" w:rsidRPr="00694BB8">
        <w:rPr>
          <w:rFonts w:asciiTheme="minorHAnsi" w:hAnsiTheme="minorHAnsi" w:cstheme="minorHAnsi"/>
          <w:i/>
        </w:rPr>
        <w:t>builds the</w:t>
      </w:r>
      <w:r w:rsidR="008009F0" w:rsidRPr="00694BB8">
        <w:rPr>
          <w:rFonts w:asciiTheme="minorHAnsi" w:hAnsiTheme="minorHAnsi" w:cstheme="minorHAnsi"/>
          <w:i/>
        </w:rPr>
        <w:t xml:space="preserve"> maturity and </w:t>
      </w:r>
      <w:r w:rsidR="006F5B8E" w:rsidRPr="00694BB8">
        <w:rPr>
          <w:rFonts w:asciiTheme="minorHAnsi" w:hAnsiTheme="minorHAnsi" w:cstheme="minorHAnsi"/>
          <w:i/>
        </w:rPr>
        <w:t>implementation capacity</w:t>
      </w:r>
      <w:r w:rsidR="006F5B8E" w:rsidRPr="00694BB8">
        <w:rPr>
          <w:rFonts w:asciiTheme="minorHAnsi" w:hAnsiTheme="minorHAnsi" w:cstheme="minorHAnsi"/>
        </w:rPr>
        <w:t xml:space="preserve"> of different building sizes and types</w:t>
      </w:r>
      <w:r w:rsidR="00BB73B4" w:rsidRPr="00694BB8">
        <w:rPr>
          <w:rFonts w:asciiTheme="minorHAnsi" w:hAnsiTheme="minorHAnsi" w:cstheme="minorHAnsi"/>
        </w:rPr>
        <w:t>, while working</w:t>
      </w:r>
      <w:r w:rsidR="005F2B28" w:rsidRPr="00694BB8">
        <w:rPr>
          <w:rFonts w:asciiTheme="minorHAnsi" w:hAnsiTheme="minorHAnsi" w:cstheme="minorHAnsi"/>
        </w:rPr>
        <w:t xml:space="preserve"> to </w:t>
      </w:r>
      <w:r w:rsidR="00B36FE1" w:rsidRPr="00694BB8">
        <w:rPr>
          <w:rFonts w:asciiTheme="minorHAnsi" w:hAnsiTheme="minorHAnsi" w:cstheme="minorHAnsi"/>
        </w:rPr>
        <w:t>build capacity</w:t>
      </w:r>
      <w:r w:rsidR="005F2B28" w:rsidRPr="00694BB8">
        <w:rPr>
          <w:rFonts w:asciiTheme="minorHAnsi" w:hAnsiTheme="minorHAnsi" w:cstheme="minorHAnsi"/>
        </w:rPr>
        <w:t xml:space="preserve"> and </w:t>
      </w:r>
      <w:r w:rsidR="00B36FE1" w:rsidRPr="00694BB8">
        <w:rPr>
          <w:rFonts w:asciiTheme="minorHAnsi" w:hAnsiTheme="minorHAnsi" w:cstheme="minorHAnsi"/>
        </w:rPr>
        <w:t>tools.</w:t>
      </w:r>
      <w:r w:rsidR="005F2B28" w:rsidRPr="00694BB8">
        <w:rPr>
          <w:rFonts w:asciiTheme="minorHAnsi" w:hAnsiTheme="minorHAnsi" w:cstheme="minorHAnsi"/>
        </w:rPr>
        <w:t xml:space="preserve"> </w:t>
      </w:r>
    </w:p>
    <w:p w14:paraId="0DFB6D6B" w14:textId="2A55930E" w:rsidR="00D37F1B" w:rsidRPr="00694BB8" w:rsidRDefault="004C10C5" w:rsidP="004C10C5">
      <w:pPr>
        <w:pStyle w:val="BodyText"/>
        <w:rPr>
          <w:rFonts w:asciiTheme="minorHAnsi" w:hAnsiTheme="minorHAnsi" w:cstheme="minorHAnsi"/>
        </w:rPr>
      </w:pPr>
      <w:r w:rsidRPr="00694BB8">
        <w:rPr>
          <w:rFonts w:asciiTheme="minorHAnsi" w:hAnsiTheme="minorHAnsi" w:cstheme="minorHAnsi"/>
        </w:rPr>
        <w:t xml:space="preserve">Such an approach has potential to cover a </w:t>
      </w:r>
      <w:r w:rsidR="00FD726D" w:rsidRPr="00694BB8">
        <w:rPr>
          <w:rFonts w:asciiTheme="minorHAnsi" w:hAnsiTheme="minorHAnsi" w:cstheme="minorHAnsi"/>
        </w:rPr>
        <w:t>high</w:t>
      </w:r>
      <w:r w:rsidR="0098341E" w:rsidRPr="00694BB8">
        <w:rPr>
          <w:rFonts w:asciiTheme="minorHAnsi" w:hAnsiTheme="minorHAnsi" w:cstheme="minorHAnsi"/>
        </w:rPr>
        <w:t xml:space="preserve"> proportion of </w:t>
      </w:r>
      <w:r w:rsidR="00580C19" w:rsidRPr="00694BB8">
        <w:rPr>
          <w:rFonts w:asciiTheme="minorHAnsi" w:hAnsiTheme="minorHAnsi" w:cstheme="minorHAnsi"/>
        </w:rPr>
        <w:t xml:space="preserve">energy use in </w:t>
      </w:r>
      <w:r w:rsidR="0098341E" w:rsidRPr="00694BB8">
        <w:rPr>
          <w:rFonts w:asciiTheme="minorHAnsi" w:hAnsiTheme="minorHAnsi" w:cstheme="minorHAnsi"/>
        </w:rPr>
        <w:t>Australia’s commercial building stock</w:t>
      </w:r>
      <w:r w:rsidR="00212CCC" w:rsidRPr="00694BB8">
        <w:rPr>
          <w:rFonts w:asciiTheme="minorHAnsi" w:hAnsiTheme="minorHAnsi" w:cstheme="minorHAnsi"/>
        </w:rPr>
        <w:t xml:space="preserve"> over </w:t>
      </w:r>
      <w:r w:rsidR="00DF7365" w:rsidRPr="00694BB8">
        <w:rPr>
          <w:rFonts w:asciiTheme="minorHAnsi" w:hAnsiTheme="minorHAnsi" w:cstheme="minorHAnsi"/>
        </w:rPr>
        <w:t>time and</w:t>
      </w:r>
      <w:r w:rsidR="00580C19" w:rsidRPr="00694BB8">
        <w:rPr>
          <w:rFonts w:asciiTheme="minorHAnsi" w:hAnsiTheme="minorHAnsi" w:cstheme="minorHAnsi"/>
        </w:rPr>
        <w:t xml:space="preserve"> contribute to </w:t>
      </w:r>
      <w:r w:rsidR="00BE0419" w:rsidRPr="00694BB8">
        <w:rPr>
          <w:rFonts w:asciiTheme="minorHAnsi" w:hAnsiTheme="minorHAnsi" w:cstheme="minorHAnsi"/>
        </w:rPr>
        <w:t xml:space="preserve">achievement of Australia’s net zero ambition while </w:t>
      </w:r>
      <w:r w:rsidR="00FF5F15" w:rsidRPr="00694BB8">
        <w:rPr>
          <w:rFonts w:asciiTheme="minorHAnsi" w:hAnsiTheme="minorHAnsi" w:cstheme="minorHAnsi"/>
        </w:rPr>
        <w:t>constraining energy bills</w:t>
      </w:r>
      <w:r w:rsidR="009E6A9A" w:rsidRPr="00694BB8">
        <w:rPr>
          <w:rFonts w:asciiTheme="minorHAnsi" w:hAnsiTheme="minorHAnsi" w:cstheme="minorHAnsi"/>
        </w:rPr>
        <w:t xml:space="preserve">. </w:t>
      </w:r>
    </w:p>
    <w:p w14:paraId="7A0C22F3" w14:textId="50296F14" w:rsidR="00033D01" w:rsidRDefault="003C7AC4" w:rsidP="003C7AC4">
      <w:pPr>
        <w:pStyle w:val="BodyText"/>
        <w:rPr>
          <w:rFonts w:asciiTheme="minorHAnsi" w:hAnsiTheme="minorHAnsi" w:cstheme="minorHAnsi"/>
        </w:rPr>
      </w:pPr>
      <w:r w:rsidRPr="00694BB8">
        <w:rPr>
          <w:rFonts w:asciiTheme="minorHAnsi" w:hAnsiTheme="minorHAnsi" w:cstheme="minorHAnsi"/>
        </w:rPr>
        <w:t xml:space="preserve">Based on the findings from this project, we </w:t>
      </w:r>
      <w:r w:rsidR="00F61DFC" w:rsidRPr="00694BB8">
        <w:rPr>
          <w:rFonts w:asciiTheme="minorHAnsi" w:hAnsiTheme="minorHAnsi" w:cstheme="minorHAnsi"/>
        </w:rPr>
        <w:t xml:space="preserve">have </w:t>
      </w:r>
      <w:r w:rsidR="00EF18A6" w:rsidRPr="00694BB8">
        <w:rPr>
          <w:rFonts w:asciiTheme="minorHAnsi" w:hAnsiTheme="minorHAnsi" w:cstheme="minorHAnsi"/>
        </w:rPr>
        <w:t xml:space="preserve">developed </w:t>
      </w:r>
      <w:r w:rsidRPr="00694BB8">
        <w:rPr>
          <w:rFonts w:asciiTheme="minorHAnsi" w:hAnsiTheme="minorHAnsi" w:cstheme="minorHAnsi"/>
        </w:rPr>
        <w:t xml:space="preserve">a </w:t>
      </w:r>
      <w:r w:rsidR="00BA3B6C" w:rsidRPr="00694BB8">
        <w:rPr>
          <w:rFonts w:asciiTheme="minorHAnsi" w:hAnsiTheme="minorHAnsi" w:cstheme="minorHAnsi"/>
        </w:rPr>
        <w:t>high-level</w:t>
      </w:r>
      <w:r w:rsidRPr="00694BB8">
        <w:rPr>
          <w:rFonts w:asciiTheme="minorHAnsi" w:hAnsiTheme="minorHAnsi" w:cstheme="minorHAnsi"/>
        </w:rPr>
        <w:t xml:space="preserve"> roadmap </w:t>
      </w:r>
      <w:r w:rsidR="0018696A" w:rsidRPr="00694BB8">
        <w:rPr>
          <w:rFonts w:asciiTheme="minorHAnsi" w:hAnsiTheme="minorHAnsi" w:cstheme="minorHAnsi"/>
        </w:rPr>
        <w:t>(</w:t>
      </w:r>
      <w:r w:rsidR="000F5FDD">
        <w:rPr>
          <w:rFonts w:asciiTheme="minorHAnsi" w:hAnsiTheme="minorHAnsi" w:cstheme="minorHAnsi"/>
        </w:rPr>
        <w:fldChar w:fldCharType="begin" w:fldLock="1"/>
      </w:r>
      <w:r w:rsidR="000F5FDD">
        <w:rPr>
          <w:rFonts w:asciiTheme="minorHAnsi" w:hAnsiTheme="minorHAnsi" w:cstheme="minorHAnsi"/>
        </w:rPr>
        <w:instrText xml:space="preserve"> REF _Ref148523587 \h </w:instrText>
      </w:r>
      <w:r w:rsidR="000F5FDD">
        <w:rPr>
          <w:rFonts w:asciiTheme="minorHAnsi" w:hAnsiTheme="minorHAnsi" w:cstheme="minorHAnsi"/>
        </w:rPr>
      </w:r>
      <w:r w:rsidR="000F5FDD">
        <w:rPr>
          <w:rFonts w:asciiTheme="minorHAnsi" w:hAnsiTheme="minorHAnsi" w:cstheme="minorHAnsi"/>
        </w:rPr>
        <w:fldChar w:fldCharType="separate"/>
      </w:r>
      <w:r w:rsidR="000F5FDD" w:rsidRPr="00CB1039">
        <w:rPr>
          <w:rFonts w:asciiTheme="minorHAnsi" w:hAnsiTheme="minorHAnsi" w:cstheme="minorHAnsi"/>
        </w:rPr>
        <w:t xml:space="preserve">Figure </w:t>
      </w:r>
      <w:r w:rsidR="000F5FDD">
        <w:rPr>
          <w:rFonts w:asciiTheme="minorHAnsi" w:hAnsiTheme="minorHAnsi" w:cstheme="minorHAnsi"/>
          <w:noProof/>
        </w:rPr>
        <w:t>25</w:t>
      </w:r>
      <w:r w:rsidR="000F5FDD">
        <w:rPr>
          <w:rFonts w:asciiTheme="minorHAnsi" w:hAnsiTheme="minorHAnsi" w:cstheme="minorHAnsi"/>
        </w:rPr>
        <w:fldChar w:fldCharType="end"/>
      </w:r>
      <w:r w:rsidR="0018696A" w:rsidRPr="00694BB8">
        <w:rPr>
          <w:rFonts w:asciiTheme="minorHAnsi" w:hAnsiTheme="minorHAnsi" w:cstheme="minorHAnsi"/>
        </w:rPr>
        <w:t>)</w:t>
      </w:r>
      <w:r w:rsidR="00EF18A6" w:rsidRPr="00694BB8">
        <w:rPr>
          <w:rFonts w:asciiTheme="minorHAnsi" w:hAnsiTheme="minorHAnsi" w:cstheme="minorHAnsi"/>
        </w:rPr>
        <w:t xml:space="preserve"> </w:t>
      </w:r>
      <w:r w:rsidR="0018696A" w:rsidRPr="00694BB8">
        <w:rPr>
          <w:rFonts w:asciiTheme="minorHAnsi" w:hAnsiTheme="minorHAnsi" w:cstheme="minorHAnsi"/>
        </w:rPr>
        <w:t>as a suggested guide</w:t>
      </w:r>
      <w:r w:rsidR="00EF18A6" w:rsidRPr="00694BB8">
        <w:rPr>
          <w:rFonts w:asciiTheme="minorHAnsi" w:hAnsiTheme="minorHAnsi" w:cstheme="minorHAnsi"/>
        </w:rPr>
        <w:t xml:space="preserve"> </w:t>
      </w:r>
      <w:r w:rsidR="00033D01" w:rsidRPr="00694BB8">
        <w:rPr>
          <w:rFonts w:asciiTheme="minorHAnsi" w:hAnsiTheme="minorHAnsi" w:cstheme="minorHAnsi"/>
        </w:rPr>
        <w:t xml:space="preserve">over the next ten years. </w:t>
      </w:r>
      <w:r w:rsidR="00330E3F" w:rsidRPr="00694BB8">
        <w:rPr>
          <w:rFonts w:asciiTheme="minorHAnsi" w:hAnsiTheme="minorHAnsi" w:cstheme="minorHAnsi"/>
        </w:rPr>
        <w:t xml:space="preserve">This roadmap has been developed </w:t>
      </w:r>
      <w:r w:rsidR="00B75AC9" w:rsidRPr="00694BB8">
        <w:rPr>
          <w:rFonts w:asciiTheme="minorHAnsi" w:hAnsiTheme="minorHAnsi" w:cstheme="minorHAnsi"/>
        </w:rPr>
        <w:t>considering</w:t>
      </w:r>
      <w:r w:rsidR="00330E3F" w:rsidRPr="00694BB8">
        <w:rPr>
          <w:rFonts w:asciiTheme="minorHAnsi" w:hAnsiTheme="minorHAnsi" w:cstheme="minorHAnsi"/>
        </w:rPr>
        <w:t xml:space="preserve"> the following </w:t>
      </w:r>
      <w:r w:rsidR="00324038" w:rsidRPr="00694BB8">
        <w:rPr>
          <w:rFonts w:asciiTheme="minorHAnsi" w:hAnsiTheme="minorHAnsi" w:cstheme="minorHAnsi"/>
        </w:rPr>
        <w:t xml:space="preserve">general </w:t>
      </w:r>
      <w:r w:rsidR="00324038" w:rsidRPr="00AB6845">
        <w:rPr>
          <w:rFonts w:asciiTheme="minorHAnsi" w:hAnsiTheme="minorHAnsi" w:cstheme="minorHAnsi"/>
        </w:rPr>
        <w:t xml:space="preserve">principles </w:t>
      </w:r>
      <w:r w:rsidR="00AB6845" w:rsidRPr="00AB6845">
        <w:rPr>
          <w:rFonts w:asciiTheme="minorHAnsi" w:hAnsiTheme="minorHAnsi" w:cstheme="minorHAnsi"/>
        </w:rPr>
        <w:t>(</w:t>
      </w:r>
      <w:r w:rsidR="000F5FDD">
        <w:rPr>
          <w:rFonts w:asciiTheme="minorHAnsi" w:hAnsiTheme="minorHAnsi" w:cstheme="minorHAnsi"/>
        </w:rPr>
        <w:fldChar w:fldCharType="begin" w:fldLock="1"/>
      </w:r>
      <w:r w:rsidR="000F5FDD">
        <w:rPr>
          <w:rFonts w:asciiTheme="minorHAnsi" w:hAnsiTheme="minorHAnsi" w:cstheme="minorHAnsi"/>
        </w:rPr>
        <w:instrText xml:space="preserve"> REF _Ref148099500 \h </w:instrText>
      </w:r>
      <w:r w:rsidR="000F5FDD">
        <w:rPr>
          <w:rFonts w:asciiTheme="minorHAnsi" w:hAnsiTheme="minorHAnsi" w:cstheme="minorHAnsi"/>
        </w:rPr>
      </w:r>
      <w:r w:rsidR="000F5FDD">
        <w:rPr>
          <w:rFonts w:asciiTheme="minorHAnsi" w:hAnsiTheme="minorHAnsi" w:cstheme="minorHAnsi"/>
        </w:rPr>
        <w:fldChar w:fldCharType="separate"/>
      </w:r>
      <w:r w:rsidR="000F5FDD" w:rsidRPr="00CB1039">
        <w:rPr>
          <w:rFonts w:asciiTheme="minorHAnsi" w:hAnsiTheme="minorHAnsi" w:cstheme="minorHAnsi"/>
        </w:rPr>
        <w:t xml:space="preserve">Figure </w:t>
      </w:r>
      <w:r w:rsidR="000F5FDD">
        <w:rPr>
          <w:rFonts w:asciiTheme="minorHAnsi" w:hAnsiTheme="minorHAnsi" w:cstheme="minorHAnsi"/>
          <w:noProof/>
        </w:rPr>
        <w:t>23</w:t>
      </w:r>
      <w:r w:rsidR="000F5FDD">
        <w:rPr>
          <w:rFonts w:asciiTheme="minorHAnsi" w:hAnsiTheme="minorHAnsi" w:cstheme="minorHAnsi"/>
        </w:rPr>
        <w:fldChar w:fldCharType="end"/>
      </w:r>
      <w:r w:rsidR="00AB6845" w:rsidRPr="00AB6845">
        <w:rPr>
          <w:rFonts w:asciiTheme="minorHAnsi" w:hAnsiTheme="minorHAnsi" w:cstheme="minorHAnsi"/>
        </w:rPr>
        <w:fldChar w:fldCharType="begin" w:fldLock="1"/>
      </w:r>
      <w:r w:rsidR="00AB6845" w:rsidRPr="00AB6845">
        <w:rPr>
          <w:rFonts w:asciiTheme="minorHAnsi" w:hAnsiTheme="minorHAnsi" w:cstheme="minorHAnsi"/>
        </w:rPr>
        <w:instrText xml:space="preserve"> REF _Ref148099500 \h  \* MERGEFORMAT </w:instrText>
      </w:r>
      <w:r w:rsidR="00AB6845" w:rsidRPr="00AB6845">
        <w:rPr>
          <w:rFonts w:asciiTheme="minorHAnsi" w:hAnsiTheme="minorHAnsi" w:cstheme="minorHAnsi"/>
        </w:rPr>
      </w:r>
      <w:r w:rsidR="00000000">
        <w:rPr>
          <w:rFonts w:asciiTheme="minorHAnsi" w:hAnsiTheme="minorHAnsi" w:cstheme="minorHAnsi"/>
        </w:rPr>
        <w:fldChar w:fldCharType="separate"/>
      </w:r>
      <w:r w:rsidR="00AB6845" w:rsidRPr="00AB6845">
        <w:rPr>
          <w:rFonts w:asciiTheme="minorHAnsi" w:hAnsiTheme="minorHAnsi" w:cstheme="minorHAnsi"/>
        </w:rPr>
        <w:fldChar w:fldCharType="end"/>
      </w:r>
      <w:r w:rsidR="00AB6845" w:rsidRPr="00AB6845">
        <w:rPr>
          <w:rFonts w:asciiTheme="minorHAnsi" w:hAnsiTheme="minorHAnsi" w:cstheme="minorHAnsi"/>
        </w:rPr>
        <w:t xml:space="preserve">) </w:t>
      </w:r>
      <w:r w:rsidR="00330E3F" w:rsidRPr="00AB6845">
        <w:rPr>
          <w:rFonts w:asciiTheme="minorHAnsi" w:hAnsiTheme="minorHAnsi" w:cstheme="minorHAnsi"/>
        </w:rPr>
        <w:t>which have</w:t>
      </w:r>
      <w:r w:rsidR="00330E3F" w:rsidRPr="00694BB8">
        <w:rPr>
          <w:rFonts w:asciiTheme="minorHAnsi" w:hAnsiTheme="minorHAnsi" w:cstheme="minorHAnsi"/>
        </w:rPr>
        <w:t xml:space="preserve"> emerged from our analysis and stakeholder consultation</w:t>
      </w:r>
      <w:r w:rsidR="00324038" w:rsidRPr="00694BB8">
        <w:rPr>
          <w:rFonts w:asciiTheme="minorHAnsi" w:hAnsiTheme="minorHAnsi" w:cstheme="minorHAnsi"/>
        </w:rPr>
        <w:t>:</w:t>
      </w:r>
      <w:r w:rsidR="00033D01" w:rsidRPr="00694BB8">
        <w:rPr>
          <w:rFonts w:asciiTheme="minorHAnsi" w:hAnsiTheme="minorHAnsi" w:cstheme="minorHAnsi"/>
        </w:rPr>
        <w:t xml:space="preserve"> </w:t>
      </w:r>
    </w:p>
    <w:p w14:paraId="2D304C65" w14:textId="3450E4FB" w:rsidR="004E30B4" w:rsidRPr="008068D2" w:rsidRDefault="004E30B4" w:rsidP="008068D2">
      <w:pPr>
        <w:pStyle w:val="Caption"/>
        <w:keepNext/>
        <w:spacing w:after="120"/>
        <w:rPr>
          <w:rFonts w:ascii="Calibri" w:eastAsia="Times New Roman" w:hAnsi="Calibri" w:cs="Times New Roman"/>
          <w:b/>
          <w:bCs/>
          <w:i w:val="0"/>
          <w:iCs w:val="0"/>
          <w:color w:val="auto"/>
          <w:sz w:val="24"/>
        </w:rPr>
      </w:pPr>
      <w:bookmarkStart w:id="253" w:name="_Ref148099500"/>
      <w:bookmarkStart w:id="254" w:name="_Toc157687027"/>
      <w:r w:rsidRPr="00585524">
        <w:rPr>
          <w:rFonts w:ascii="Calibri" w:eastAsia="Times New Roman" w:hAnsi="Calibri" w:cs="Times New Roman"/>
          <w:b/>
          <w:bCs/>
          <w:i w:val="0"/>
          <w:iCs w:val="0"/>
          <w:color w:val="auto"/>
          <w:sz w:val="24"/>
        </w:rPr>
        <w:t xml:space="preserve">Figure </w:t>
      </w:r>
      <w:r w:rsidRPr="00585524">
        <w:rPr>
          <w:rFonts w:ascii="Calibri" w:eastAsia="Times New Roman" w:hAnsi="Calibri" w:cs="Times New Roman"/>
          <w:b/>
          <w:bCs/>
          <w:i w:val="0"/>
          <w:iCs w:val="0"/>
          <w:color w:val="auto"/>
          <w:sz w:val="24"/>
        </w:rPr>
        <w:fldChar w:fldCharType="begin"/>
      </w:r>
      <w:r w:rsidRPr="00585524">
        <w:rPr>
          <w:rFonts w:ascii="Calibri" w:eastAsia="Times New Roman" w:hAnsi="Calibri" w:cs="Times New Roman"/>
          <w:b/>
          <w:bCs/>
          <w:i w:val="0"/>
          <w:iCs w:val="0"/>
          <w:color w:val="auto"/>
          <w:sz w:val="24"/>
        </w:rPr>
        <w:instrText xml:space="preserve"> SEQ Figure \* ARABIC </w:instrText>
      </w:r>
      <w:r w:rsidRPr="0058552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22</w:t>
      </w:r>
      <w:r w:rsidRPr="00585524">
        <w:rPr>
          <w:rFonts w:ascii="Calibri" w:eastAsia="Times New Roman" w:hAnsi="Calibri" w:cs="Times New Roman"/>
          <w:b/>
          <w:bCs/>
          <w:i w:val="0"/>
          <w:iCs w:val="0"/>
          <w:color w:val="auto"/>
          <w:sz w:val="24"/>
        </w:rPr>
        <w:fldChar w:fldCharType="end"/>
      </w:r>
      <w:bookmarkEnd w:id="253"/>
      <w:r w:rsidRPr="00585524">
        <w:rPr>
          <w:rFonts w:ascii="Calibri" w:eastAsia="Times New Roman" w:hAnsi="Calibri" w:cs="Times New Roman"/>
          <w:b/>
          <w:bCs/>
          <w:i w:val="0"/>
          <w:iCs w:val="0"/>
          <w:color w:val="auto"/>
          <w:sz w:val="24"/>
        </w:rPr>
        <w:t xml:space="preserve">: Roadmap </w:t>
      </w:r>
      <w:proofErr w:type="gramStart"/>
      <w:r w:rsidRPr="00585524">
        <w:rPr>
          <w:rFonts w:ascii="Calibri" w:eastAsia="Times New Roman" w:hAnsi="Calibri" w:cs="Times New Roman"/>
          <w:b/>
          <w:bCs/>
          <w:i w:val="0"/>
          <w:iCs w:val="0"/>
          <w:color w:val="auto"/>
          <w:sz w:val="24"/>
        </w:rPr>
        <w:t>principles</w:t>
      </w:r>
      <w:bookmarkEnd w:id="254"/>
      <w:proofErr w:type="gramEnd"/>
    </w:p>
    <w:p w14:paraId="78510EA3" w14:textId="76D9532F" w:rsidR="001975FD" w:rsidRPr="00694BB8" w:rsidRDefault="007028BE" w:rsidP="003C7AC4">
      <w:pPr>
        <w:pStyle w:val="BodyText"/>
        <w:rPr>
          <w:rFonts w:asciiTheme="minorHAnsi" w:hAnsiTheme="minorHAnsi" w:cstheme="minorHAnsi"/>
        </w:rPr>
      </w:pPr>
      <w:r>
        <w:rPr>
          <w:rFonts w:asciiTheme="minorHAnsi" w:hAnsiTheme="minorHAnsi" w:cstheme="minorHAnsi"/>
          <w:noProof/>
        </w:rPr>
        <w:drawing>
          <wp:inline distT="0" distB="0" distL="0" distR="0" wp14:anchorId="1A85913A" wp14:editId="12C73C61">
            <wp:extent cx="6424863" cy="2819295"/>
            <wp:effectExtent l="0" t="0" r="0" b="635"/>
            <wp:docPr id="738" name="Picture 738" descr="Roadmap principles. Full description in Appendi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738" descr="Roadmap principles. Full description in Appendix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7494" cy="2829226"/>
                    </a:xfrm>
                    <a:prstGeom prst="rect">
                      <a:avLst/>
                    </a:prstGeom>
                    <a:noFill/>
                  </pic:spPr>
                </pic:pic>
              </a:graphicData>
            </a:graphic>
          </wp:inline>
        </w:drawing>
      </w:r>
    </w:p>
    <w:p w14:paraId="14794902" w14:textId="6188D211" w:rsidR="008B6801" w:rsidRDefault="008B6801" w:rsidP="008B6801">
      <w:pPr>
        <w:pStyle w:val="Caption"/>
        <w:jc w:val="center"/>
        <w:rPr>
          <w:rFonts w:ascii="Calibri" w:eastAsia="Times New Roman" w:hAnsi="Calibri" w:cs="Times New Roman"/>
          <w:b/>
          <w:bCs/>
          <w:i w:val="0"/>
          <w:iCs w:val="0"/>
          <w:color w:val="auto"/>
          <w:sz w:val="24"/>
        </w:rPr>
      </w:pPr>
      <w:hyperlink w:anchor="_Appendix_11:_Accessibility"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sidR="00970000">
          <w:rPr>
            <w:rStyle w:val="Hyperlink"/>
            <w:rFonts w:asciiTheme="minorHAnsi" w:hAnsiTheme="minorHAnsi" w:cstheme="minorHAnsi"/>
          </w:rPr>
          <w:t>22</w:t>
        </w:r>
        <w:r>
          <w:rPr>
            <w:rStyle w:val="Hyperlink"/>
            <w:rFonts w:asciiTheme="minorHAnsi" w:hAnsiTheme="minorHAnsi" w:cstheme="minorHAnsi"/>
          </w:rPr>
          <w:t xml:space="preserve"> [Appendix </w:t>
        </w:r>
        <w:r w:rsidR="00970000">
          <w:rPr>
            <w:rStyle w:val="Hyperlink"/>
            <w:rFonts w:asciiTheme="minorHAnsi" w:hAnsiTheme="minorHAnsi" w:cstheme="minorHAnsi"/>
          </w:rPr>
          <w:t>11</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4F94A48B" w14:textId="77777777" w:rsidR="008B6801" w:rsidRDefault="008B6801" w:rsidP="00446F4B">
      <w:pPr>
        <w:pStyle w:val="BodyText"/>
        <w:rPr>
          <w:rFonts w:asciiTheme="minorHAnsi" w:hAnsiTheme="minorHAnsi" w:cstheme="minorHAnsi"/>
        </w:rPr>
      </w:pPr>
    </w:p>
    <w:p w14:paraId="40EE71DC" w14:textId="3696BB1A" w:rsidR="00802DAB" w:rsidRDefault="00B20A7A" w:rsidP="00446F4B">
      <w:pPr>
        <w:pStyle w:val="BodyText"/>
        <w:rPr>
          <w:rFonts w:asciiTheme="minorHAnsi" w:hAnsiTheme="minorHAnsi" w:cstheme="minorHAnsi"/>
        </w:rPr>
      </w:pPr>
      <w:r>
        <w:rPr>
          <w:rFonts w:asciiTheme="minorHAnsi" w:hAnsiTheme="minorHAnsi" w:cstheme="minorHAnsi"/>
        </w:rPr>
        <w:t xml:space="preserve">The roadmap is also based on a goal of </w:t>
      </w:r>
      <w:r w:rsidR="00440496" w:rsidRPr="00940B5A">
        <w:rPr>
          <w:rFonts w:asciiTheme="minorHAnsi" w:hAnsiTheme="minorHAnsi" w:cstheme="minorHAnsi"/>
        </w:rPr>
        <w:t xml:space="preserve">80% </w:t>
      </w:r>
      <w:r w:rsidR="00440496">
        <w:rPr>
          <w:rFonts w:asciiTheme="minorHAnsi" w:hAnsiTheme="minorHAnsi" w:cstheme="minorHAnsi"/>
        </w:rPr>
        <w:t xml:space="preserve">mandatory disclosure coverage across </w:t>
      </w:r>
      <w:r w:rsidR="00440496" w:rsidRPr="00940B5A">
        <w:rPr>
          <w:rFonts w:asciiTheme="minorHAnsi" w:hAnsiTheme="minorHAnsi" w:cstheme="minorHAnsi"/>
        </w:rPr>
        <w:t>non-residential buildings by 203</w:t>
      </w:r>
      <w:r w:rsidR="00D6378E">
        <w:rPr>
          <w:rFonts w:asciiTheme="minorHAnsi" w:hAnsiTheme="minorHAnsi" w:cstheme="minorHAnsi"/>
        </w:rPr>
        <w:t>5</w:t>
      </w:r>
      <w:r w:rsidR="000950C8">
        <w:rPr>
          <w:rFonts w:asciiTheme="minorHAnsi" w:hAnsiTheme="minorHAnsi" w:cstheme="minorHAnsi"/>
        </w:rPr>
        <w:t>.</w:t>
      </w:r>
      <w:r w:rsidR="00A63B3E">
        <w:rPr>
          <w:rFonts w:asciiTheme="minorHAnsi" w:hAnsiTheme="minorHAnsi" w:cstheme="minorHAnsi"/>
        </w:rPr>
        <w:t xml:space="preserve"> </w:t>
      </w:r>
      <w:r w:rsidR="00B4322F">
        <w:rPr>
          <w:rFonts w:asciiTheme="minorHAnsi" w:hAnsiTheme="minorHAnsi" w:cstheme="minorHAnsi"/>
        </w:rPr>
        <w:t>C</w:t>
      </w:r>
      <w:r w:rsidR="000950C8">
        <w:rPr>
          <w:rFonts w:asciiTheme="minorHAnsi" w:hAnsiTheme="minorHAnsi" w:cstheme="minorHAnsi"/>
        </w:rPr>
        <w:t xml:space="preserve">onsultation with an expert panel indicated this was </w:t>
      </w:r>
      <w:r w:rsidR="00440496">
        <w:rPr>
          <w:rFonts w:asciiTheme="minorHAnsi" w:hAnsiTheme="minorHAnsi" w:cstheme="minorHAnsi"/>
        </w:rPr>
        <w:t xml:space="preserve">a suitable level of ambition and that industry capacity </w:t>
      </w:r>
      <w:r w:rsidR="00A63B3E">
        <w:rPr>
          <w:rFonts w:asciiTheme="minorHAnsi" w:hAnsiTheme="minorHAnsi" w:cstheme="minorHAnsi"/>
        </w:rPr>
        <w:t xml:space="preserve">is </w:t>
      </w:r>
      <w:r w:rsidR="00440496">
        <w:rPr>
          <w:rFonts w:asciiTheme="minorHAnsi" w:hAnsiTheme="minorHAnsi" w:cstheme="minorHAnsi"/>
        </w:rPr>
        <w:t>available</w:t>
      </w:r>
      <w:r w:rsidR="00F06AA5">
        <w:rPr>
          <w:rFonts w:asciiTheme="minorHAnsi" w:hAnsiTheme="minorHAnsi" w:cstheme="minorHAnsi"/>
        </w:rPr>
        <w:t xml:space="preserve"> to meet the increase in demand for services</w:t>
      </w:r>
      <w:r w:rsidR="00B4322F">
        <w:rPr>
          <w:rFonts w:asciiTheme="minorHAnsi" w:hAnsiTheme="minorHAnsi" w:cstheme="minorHAnsi"/>
        </w:rPr>
        <w:t xml:space="preserve">. However, </w:t>
      </w:r>
      <w:r w:rsidR="00651847">
        <w:rPr>
          <w:rFonts w:asciiTheme="minorHAnsi" w:hAnsiTheme="minorHAnsi" w:cstheme="minorHAnsi"/>
        </w:rPr>
        <w:t xml:space="preserve">further work is needed to confirm </w:t>
      </w:r>
      <w:r w:rsidR="003A196B">
        <w:rPr>
          <w:rFonts w:asciiTheme="minorHAnsi" w:hAnsiTheme="minorHAnsi" w:cstheme="minorHAnsi"/>
        </w:rPr>
        <w:t>this is the case</w:t>
      </w:r>
      <w:r w:rsidR="0072521D">
        <w:rPr>
          <w:rFonts w:asciiTheme="minorHAnsi" w:hAnsiTheme="minorHAnsi" w:cstheme="minorHAnsi"/>
        </w:rPr>
        <w:t xml:space="preserve">, </w:t>
      </w:r>
      <w:r w:rsidR="002B2041">
        <w:rPr>
          <w:rFonts w:asciiTheme="minorHAnsi" w:hAnsiTheme="minorHAnsi" w:cstheme="minorHAnsi"/>
        </w:rPr>
        <w:t xml:space="preserve">potential </w:t>
      </w:r>
      <w:r w:rsidR="0072521D">
        <w:rPr>
          <w:rFonts w:asciiTheme="minorHAnsi" w:hAnsiTheme="minorHAnsi" w:cstheme="minorHAnsi"/>
        </w:rPr>
        <w:t>exemptions,</w:t>
      </w:r>
      <w:r w:rsidR="003A196B">
        <w:rPr>
          <w:rFonts w:asciiTheme="minorHAnsi" w:hAnsiTheme="minorHAnsi" w:cstheme="minorHAnsi"/>
        </w:rPr>
        <w:t xml:space="preserve"> and whether there are</w:t>
      </w:r>
      <w:r w:rsidR="00651847">
        <w:rPr>
          <w:rFonts w:asciiTheme="minorHAnsi" w:hAnsiTheme="minorHAnsi" w:cstheme="minorHAnsi"/>
        </w:rPr>
        <w:t xml:space="preserve"> </w:t>
      </w:r>
      <w:r w:rsidR="003A196B">
        <w:rPr>
          <w:rFonts w:asciiTheme="minorHAnsi" w:hAnsiTheme="minorHAnsi" w:cstheme="minorHAnsi"/>
        </w:rPr>
        <w:t xml:space="preserve">other </w:t>
      </w:r>
      <w:r w:rsidR="00651847">
        <w:rPr>
          <w:rFonts w:asciiTheme="minorHAnsi" w:hAnsiTheme="minorHAnsi" w:cstheme="minorHAnsi"/>
        </w:rPr>
        <w:t xml:space="preserve">practical limitations for the proposed </w:t>
      </w:r>
      <w:r w:rsidR="003A196B">
        <w:rPr>
          <w:rFonts w:asciiTheme="minorHAnsi" w:hAnsiTheme="minorHAnsi" w:cstheme="minorHAnsi"/>
        </w:rPr>
        <w:t xml:space="preserve">level of </w:t>
      </w:r>
      <w:r w:rsidR="00651847">
        <w:rPr>
          <w:rFonts w:asciiTheme="minorHAnsi" w:hAnsiTheme="minorHAnsi" w:cstheme="minorHAnsi"/>
        </w:rPr>
        <w:t>ambition</w:t>
      </w:r>
      <w:r w:rsidR="003A196B">
        <w:rPr>
          <w:rFonts w:asciiTheme="minorHAnsi" w:hAnsiTheme="minorHAnsi" w:cstheme="minorHAnsi"/>
        </w:rPr>
        <w:t>.</w:t>
      </w:r>
      <w:r w:rsidR="0075236A">
        <w:rPr>
          <w:rFonts w:asciiTheme="minorHAnsi" w:hAnsiTheme="minorHAnsi" w:cstheme="minorHAnsi"/>
        </w:rPr>
        <w:t xml:space="preserve"> </w:t>
      </w:r>
    </w:p>
    <w:p w14:paraId="1173F4F8" w14:textId="554F0A52" w:rsidR="00D6060D" w:rsidRDefault="00802DAB" w:rsidP="00446F4B">
      <w:pPr>
        <w:pStyle w:val="BodyText"/>
        <w:rPr>
          <w:rFonts w:asciiTheme="minorHAnsi" w:hAnsiTheme="minorHAnsi" w:cstheme="minorHAnsi"/>
        </w:rPr>
      </w:pPr>
      <w:r>
        <w:rPr>
          <w:rFonts w:asciiTheme="minorHAnsi" w:hAnsiTheme="minorHAnsi" w:cstheme="minorHAnsi"/>
        </w:rPr>
        <w:lastRenderedPageBreak/>
        <w:t xml:space="preserve">The </w:t>
      </w:r>
      <w:r w:rsidR="00440496" w:rsidRPr="0037036A">
        <w:rPr>
          <w:rFonts w:asciiTheme="minorHAnsi" w:hAnsiTheme="minorHAnsi" w:cstheme="minorHAnsi"/>
        </w:rPr>
        <w:t>roadmap is illustrative, and detailed analysis and considerations would need to be made about the specific elements of a formal roadmap</w:t>
      </w:r>
      <w:r>
        <w:rPr>
          <w:rFonts w:asciiTheme="minorHAnsi" w:hAnsiTheme="minorHAnsi" w:cstheme="minorHAnsi"/>
        </w:rPr>
        <w:t xml:space="preserve">. </w:t>
      </w:r>
      <w:r w:rsidR="000B240E" w:rsidRPr="00694BB8">
        <w:rPr>
          <w:rFonts w:asciiTheme="minorHAnsi" w:hAnsiTheme="minorHAnsi" w:cstheme="minorHAnsi"/>
        </w:rPr>
        <w:t>T</w:t>
      </w:r>
      <w:r w:rsidR="00155869" w:rsidRPr="00694BB8">
        <w:rPr>
          <w:rFonts w:asciiTheme="minorHAnsi" w:hAnsiTheme="minorHAnsi" w:cstheme="minorHAnsi"/>
        </w:rPr>
        <w:t>he</w:t>
      </w:r>
      <w:r w:rsidR="008D1EE5" w:rsidRPr="00694BB8">
        <w:rPr>
          <w:rFonts w:asciiTheme="minorHAnsi" w:hAnsiTheme="minorHAnsi" w:cstheme="minorHAnsi"/>
        </w:rPr>
        <w:t xml:space="preserve"> </w:t>
      </w:r>
      <w:r w:rsidR="00155869" w:rsidRPr="00694BB8">
        <w:rPr>
          <w:rFonts w:asciiTheme="minorHAnsi" w:hAnsiTheme="minorHAnsi" w:cstheme="minorHAnsi"/>
        </w:rPr>
        <w:t>development of</w:t>
      </w:r>
      <w:r w:rsidR="008D1EE5" w:rsidRPr="00694BB8">
        <w:rPr>
          <w:rFonts w:asciiTheme="minorHAnsi" w:hAnsiTheme="minorHAnsi" w:cstheme="minorHAnsi"/>
        </w:rPr>
        <w:t xml:space="preserve"> </w:t>
      </w:r>
      <w:r w:rsidR="00155869" w:rsidRPr="00694BB8">
        <w:rPr>
          <w:rFonts w:asciiTheme="minorHAnsi" w:hAnsiTheme="minorHAnsi" w:cstheme="minorHAnsi"/>
        </w:rPr>
        <w:t xml:space="preserve">the proposed </w:t>
      </w:r>
      <w:r w:rsidR="001C5504" w:rsidRPr="00694BB8">
        <w:rPr>
          <w:rFonts w:asciiTheme="minorHAnsi" w:hAnsiTheme="minorHAnsi" w:cstheme="minorHAnsi"/>
        </w:rPr>
        <w:t xml:space="preserve">building sector </w:t>
      </w:r>
      <w:r w:rsidR="00155869" w:rsidRPr="00694BB8">
        <w:rPr>
          <w:rFonts w:asciiTheme="minorHAnsi" w:hAnsiTheme="minorHAnsi" w:cstheme="minorHAnsi"/>
        </w:rPr>
        <w:t xml:space="preserve">emissions </w:t>
      </w:r>
      <w:r w:rsidR="001C5504" w:rsidRPr="00694BB8">
        <w:rPr>
          <w:rFonts w:asciiTheme="minorHAnsi" w:hAnsiTheme="minorHAnsi" w:cstheme="minorHAnsi"/>
        </w:rPr>
        <w:t>pathway</w:t>
      </w:r>
      <w:r w:rsidR="00155869" w:rsidRPr="00694BB8">
        <w:rPr>
          <w:rFonts w:asciiTheme="minorHAnsi" w:hAnsiTheme="minorHAnsi" w:cstheme="minorHAnsi"/>
        </w:rPr>
        <w:t xml:space="preserve"> in </w:t>
      </w:r>
      <w:r w:rsidR="000B240E" w:rsidRPr="00694BB8">
        <w:rPr>
          <w:rFonts w:asciiTheme="minorHAnsi" w:hAnsiTheme="minorHAnsi" w:cstheme="minorHAnsi"/>
        </w:rPr>
        <w:t xml:space="preserve">2024 provides an opportunity for further consultation with industry and </w:t>
      </w:r>
      <w:r w:rsidR="00827BB3" w:rsidRPr="00694BB8">
        <w:rPr>
          <w:rFonts w:asciiTheme="minorHAnsi" w:hAnsiTheme="minorHAnsi" w:cstheme="minorHAnsi"/>
        </w:rPr>
        <w:t xml:space="preserve">the </w:t>
      </w:r>
      <w:r w:rsidR="00825B0D" w:rsidRPr="00694BB8">
        <w:rPr>
          <w:rFonts w:asciiTheme="minorHAnsi" w:hAnsiTheme="minorHAnsi" w:cstheme="minorHAnsi"/>
        </w:rPr>
        <w:t>finalisation</w:t>
      </w:r>
      <w:r w:rsidR="00827BB3" w:rsidRPr="00694BB8">
        <w:rPr>
          <w:rFonts w:asciiTheme="minorHAnsi" w:hAnsiTheme="minorHAnsi" w:cstheme="minorHAnsi"/>
        </w:rPr>
        <w:t xml:space="preserve"> of such a regulatory roadmap</w:t>
      </w:r>
      <w:r w:rsidR="00057136" w:rsidRPr="00694BB8">
        <w:rPr>
          <w:rFonts w:asciiTheme="minorHAnsi" w:hAnsiTheme="minorHAnsi" w:cstheme="minorHAnsi"/>
        </w:rPr>
        <w:t>. This could consider</w:t>
      </w:r>
      <w:r w:rsidR="00825B0D" w:rsidRPr="00694BB8">
        <w:rPr>
          <w:rFonts w:asciiTheme="minorHAnsi" w:hAnsiTheme="minorHAnsi" w:cstheme="minorHAnsi"/>
        </w:rPr>
        <w:t xml:space="preserve"> other elements outside the scope</w:t>
      </w:r>
      <w:r w:rsidR="00827BB3" w:rsidRPr="00694BB8">
        <w:rPr>
          <w:rFonts w:asciiTheme="minorHAnsi" w:hAnsiTheme="minorHAnsi" w:cstheme="minorHAnsi"/>
        </w:rPr>
        <w:t xml:space="preserve"> of </w:t>
      </w:r>
      <w:r w:rsidR="00825B0D" w:rsidRPr="00694BB8">
        <w:rPr>
          <w:rFonts w:asciiTheme="minorHAnsi" w:hAnsiTheme="minorHAnsi" w:cstheme="minorHAnsi"/>
        </w:rPr>
        <w:t xml:space="preserve">this report, such as </w:t>
      </w:r>
      <w:r w:rsidR="00827BB3" w:rsidRPr="00694BB8">
        <w:rPr>
          <w:rFonts w:asciiTheme="minorHAnsi" w:hAnsiTheme="minorHAnsi" w:cstheme="minorHAnsi"/>
        </w:rPr>
        <w:t xml:space="preserve">complementary policy </w:t>
      </w:r>
      <w:r w:rsidR="00057136" w:rsidRPr="00694BB8">
        <w:rPr>
          <w:rFonts w:asciiTheme="minorHAnsi" w:hAnsiTheme="minorHAnsi" w:cstheme="minorHAnsi"/>
        </w:rPr>
        <w:t xml:space="preserve">measures </w:t>
      </w:r>
      <w:r w:rsidR="00825B0D" w:rsidRPr="00694BB8">
        <w:rPr>
          <w:rFonts w:asciiTheme="minorHAnsi" w:hAnsiTheme="minorHAnsi" w:cstheme="minorHAnsi"/>
        </w:rPr>
        <w:t xml:space="preserve">for the sector </w:t>
      </w:r>
      <w:r w:rsidR="00057136" w:rsidRPr="00694BB8">
        <w:rPr>
          <w:rFonts w:asciiTheme="minorHAnsi" w:hAnsiTheme="minorHAnsi" w:cstheme="minorHAnsi"/>
        </w:rPr>
        <w:t xml:space="preserve">(for example, around financing). </w:t>
      </w:r>
      <w:r w:rsidR="00D22B0A" w:rsidRPr="00694BB8">
        <w:rPr>
          <w:rFonts w:asciiTheme="minorHAnsi" w:hAnsiTheme="minorHAnsi" w:cstheme="minorHAnsi"/>
        </w:rPr>
        <w:t xml:space="preserve">Such a timeline would provide </w:t>
      </w:r>
      <w:r w:rsidR="000B260D" w:rsidRPr="00694BB8">
        <w:rPr>
          <w:rFonts w:asciiTheme="minorHAnsi" w:hAnsiTheme="minorHAnsi" w:cstheme="minorHAnsi"/>
        </w:rPr>
        <w:t xml:space="preserve">further scope to conduct more detailed </w:t>
      </w:r>
      <w:r w:rsidR="00B95595" w:rsidRPr="00694BB8">
        <w:rPr>
          <w:rFonts w:asciiTheme="minorHAnsi" w:hAnsiTheme="minorHAnsi" w:cstheme="minorHAnsi"/>
        </w:rPr>
        <w:t xml:space="preserve">cost benefit </w:t>
      </w:r>
      <w:r w:rsidR="00331053" w:rsidRPr="00694BB8">
        <w:rPr>
          <w:rFonts w:asciiTheme="minorHAnsi" w:hAnsiTheme="minorHAnsi" w:cstheme="minorHAnsi"/>
        </w:rPr>
        <w:t xml:space="preserve">and policy </w:t>
      </w:r>
      <w:r w:rsidR="00B95595" w:rsidRPr="00694BB8">
        <w:rPr>
          <w:rFonts w:asciiTheme="minorHAnsi" w:hAnsiTheme="minorHAnsi" w:cstheme="minorHAnsi"/>
        </w:rPr>
        <w:t>analys</w:t>
      </w:r>
      <w:r w:rsidR="00331053" w:rsidRPr="00694BB8">
        <w:rPr>
          <w:rFonts w:asciiTheme="minorHAnsi" w:hAnsiTheme="minorHAnsi" w:cstheme="minorHAnsi"/>
        </w:rPr>
        <w:t xml:space="preserve">is. </w:t>
      </w:r>
    </w:p>
    <w:p w14:paraId="37DDA723" w14:textId="77777777" w:rsidR="0060155C" w:rsidRPr="00B64CE4" w:rsidRDefault="0060155C" w:rsidP="0089159B">
      <w:pPr>
        <w:pStyle w:val="BodyBullet"/>
        <w:rPr>
          <w:rFonts w:cstheme="minorHAnsi"/>
        </w:rPr>
      </w:pPr>
      <w:r w:rsidRPr="00044B73">
        <w:rPr>
          <w:rFonts w:cstheme="minorHAnsi"/>
        </w:rPr>
        <w:t xml:space="preserve">Feedback from an expert reference group suggests there may be variance within some of the building sectors below that could vary the generalised approach to rolling out mandatory disclosure or </w:t>
      </w:r>
      <w:proofErr w:type="spellStart"/>
      <w:r w:rsidRPr="00044B73">
        <w:rPr>
          <w:rFonts w:cstheme="minorHAnsi"/>
        </w:rPr>
        <w:t>MEPS</w:t>
      </w:r>
      <w:proofErr w:type="spellEnd"/>
      <w:r w:rsidRPr="00044B73">
        <w:rPr>
          <w:rFonts w:cstheme="minorHAnsi"/>
        </w:rPr>
        <w:t xml:space="preserve">. For example, in higher education there are some sub-sectors such as large universities that could develop maturity and regulated disclosure more quickly than would be </w:t>
      </w:r>
      <w:r w:rsidRPr="00B64CE4">
        <w:rPr>
          <w:rFonts w:cstheme="minorHAnsi"/>
        </w:rPr>
        <w:t xml:space="preserve">suggested by NABERS maturity, given voluntary developments in the </w:t>
      </w:r>
      <w:proofErr w:type="gramStart"/>
      <w:r w:rsidRPr="00B64CE4">
        <w:rPr>
          <w:rFonts w:cstheme="minorHAnsi"/>
        </w:rPr>
        <w:t>sector</w:t>
      </w:r>
      <w:proofErr w:type="gramEnd"/>
    </w:p>
    <w:p w14:paraId="6337088D" w14:textId="5A11E4CC" w:rsidR="0089159B" w:rsidRDefault="00494BD1" w:rsidP="0089159B">
      <w:pPr>
        <w:pStyle w:val="BodyBullet"/>
        <w:rPr>
          <w:rFonts w:cstheme="minorHAnsi"/>
        </w:rPr>
      </w:pPr>
      <w:r w:rsidRPr="00B64CE4">
        <w:rPr>
          <w:rFonts w:cstheme="minorHAnsi"/>
        </w:rPr>
        <w:t xml:space="preserve">The roadmap classifies buildings according to </w:t>
      </w:r>
      <w:r w:rsidR="00B64CE4">
        <w:rPr>
          <w:rFonts w:cstheme="minorHAnsi"/>
        </w:rPr>
        <w:t xml:space="preserve">NABERS </w:t>
      </w:r>
      <w:r w:rsidRPr="00B64CE4">
        <w:rPr>
          <w:rFonts w:cstheme="minorHAnsi"/>
        </w:rPr>
        <w:t xml:space="preserve">maturity. Group 1 and 2 buildings have had NABERS more than 5 years. For Group 3 buildings, NABERS has been recently released or is about to be released, and NABERS does not cover Group 4 buildings. </w:t>
      </w:r>
      <w:r w:rsidR="0089159B" w:rsidRPr="00B64CE4">
        <w:rPr>
          <w:rFonts w:cstheme="minorHAnsi"/>
        </w:rPr>
        <w:t xml:space="preserve">Feedback from an expert reference group suggests there may be variance within some of the building sectors in the roadmap that has an influence on dates for rolling out mandatory disclosure or </w:t>
      </w:r>
      <w:proofErr w:type="spellStart"/>
      <w:r w:rsidR="0089159B" w:rsidRPr="00B64CE4">
        <w:rPr>
          <w:rFonts w:cstheme="minorHAnsi"/>
        </w:rPr>
        <w:t>MEPS</w:t>
      </w:r>
      <w:proofErr w:type="spellEnd"/>
      <w:r w:rsidR="0089159B" w:rsidRPr="00B64CE4">
        <w:rPr>
          <w:rFonts w:cstheme="minorHAnsi"/>
        </w:rPr>
        <w:t xml:space="preserve">. For example, in higher education there are some sub-sectors such as large universities that could introduce disclosure more quickly than what is suggested for the broader group. </w:t>
      </w:r>
    </w:p>
    <w:p w14:paraId="5D2685A7" w14:textId="655F6DCE" w:rsidR="00331053" w:rsidRPr="00694BB8" w:rsidRDefault="00331053" w:rsidP="00446F4B">
      <w:pPr>
        <w:pStyle w:val="BodyText"/>
        <w:rPr>
          <w:rFonts w:asciiTheme="minorHAnsi" w:hAnsiTheme="minorHAnsi" w:cstheme="minorHAnsi"/>
        </w:rPr>
      </w:pPr>
      <w:r w:rsidRPr="00694BB8">
        <w:rPr>
          <w:rFonts w:asciiTheme="minorHAnsi" w:hAnsiTheme="minorHAnsi" w:cstheme="minorHAnsi"/>
        </w:rPr>
        <w:t xml:space="preserve">With these caveats in mind, a roadmap for regulatory reform </w:t>
      </w:r>
      <w:r w:rsidR="00BB755E" w:rsidRPr="00694BB8">
        <w:rPr>
          <w:rFonts w:asciiTheme="minorHAnsi" w:hAnsiTheme="minorHAnsi" w:cstheme="minorHAnsi"/>
        </w:rPr>
        <w:t xml:space="preserve">is set out </w:t>
      </w:r>
      <w:r w:rsidR="00F4046D">
        <w:rPr>
          <w:rFonts w:asciiTheme="minorHAnsi" w:hAnsiTheme="minorHAnsi" w:cstheme="minorHAnsi"/>
        </w:rPr>
        <w:t>overleaf</w:t>
      </w:r>
      <w:r w:rsidR="00BB755E" w:rsidRPr="00694BB8">
        <w:rPr>
          <w:rFonts w:asciiTheme="minorHAnsi" w:hAnsiTheme="minorHAnsi" w:cstheme="minorHAnsi"/>
        </w:rPr>
        <w:t>.</w:t>
      </w:r>
    </w:p>
    <w:p w14:paraId="55361074" w14:textId="0301E8D0" w:rsidR="00F4046D" w:rsidRPr="00694BB8" w:rsidRDefault="00F4046D" w:rsidP="00F4046D">
      <w:pPr>
        <w:pStyle w:val="BodyText"/>
        <w:rPr>
          <w:rFonts w:asciiTheme="minorHAnsi" w:hAnsiTheme="minorHAnsi" w:cstheme="minorHAnsi"/>
          <w:b/>
        </w:rPr>
      </w:pPr>
      <w:r w:rsidRPr="00694BB8">
        <w:rPr>
          <w:rFonts w:asciiTheme="minorHAnsi" w:hAnsiTheme="minorHAnsi" w:cstheme="minorHAnsi"/>
          <w:b/>
        </w:rPr>
        <w:t>Other considerations</w:t>
      </w:r>
    </w:p>
    <w:p w14:paraId="162216D9" w14:textId="77777777" w:rsidR="00F4046D" w:rsidRPr="00694BB8" w:rsidRDefault="00F4046D" w:rsidP="00F4046D">
      <w:pPr>
        <w:pStyle w:val="BodyText"/>
        <w:rPr>
          <w:rFonts w:asciiTheme="minorHAnsi" w:hAnsiTheme="minorHAnsi" w:cstheme="minorHAnsi"/>
        </w:rPr>
      </w:pPr>
      <w:r w:rsidRPr="00694BB8">
        <w:rPr>
          <w:rFonts w:asciiTheme="minorHAnsi" w:hAnsiTheme="minorHAnsi" w:cstheme="minorHAnsi"/>
        </w:rPr>
        <w:t>This roadmap</w:t>
      </w:r>
      <w:r w:rsidRPr="00694BB8" w:rsidDel="00A30153">
        <w:rPr>
          <w:rFonts w:asciiTheme="minorHAnsi" w:hAnsiTheme="minorHAnsi" w:cstheme="minorHAnsi"/>
        </w:rPr>
        <w:t xml:space="preserve"> </w:t>
      </w:r>
      <w:r w:rsidRPr="00694BB8">
        <w:rPr>
          <w:rFonts w:asciiTheme="minorHAnsi" w:hAnsiTheme="minorHAnsi" w:cstheme="minorHAnsi"/>
        </w:rPr>
        <w:t>should not be considered in isolation, and other policies can be integrated and used to complement the expansion of the CBD program, for example:</w:t>
      </w:r>
    </w:p>
    <w:p w14:paraId="34D33B1B" w14:textId="77777777" w:rsidR="00F4046D" w:rsidRPr="00694BB8" w:rsidRDefault="00F4046D" w:rsidP="00A253E6">
      <w:pPr>
        <w:pStyle w:val="BodyText"/>
        <w:numPr>
          <w:ilvl w:val="0"/>
          <w:numId w:val="56"/>
        </w:numPr>
        <w:rPr>
          <w:rFonts w:asciiTheme="minorHAnsi" w:hAnsiTheme="minorHAnsi" w:cstheme="minorHAnsi"/>
        </w:rPr>
      </w:pPr>
      <w:r w:rsidRPr="00694BB8">
        <w:rPr>
          <w:rFonts w:asciiTheme="minorHAnsi" w:hAnsiTheme="minorHAnsi" w:cstheme="minorHAnsi"/>
        </w:rPr>
        <w:t xml:space="preserve">Changes to the National Construction Code. </w:t>
      </w:r>
    </w:p>
    <w:p w14:paraId="268F3E19" w14:textId="77777777" w:rsidR="00F4046D" w:rsidRPr="00694BB8" w:rsidRDefault="00F4046D" w:rsidP="00A253E6">
      <w:pPr>
        <w:pStyle w:val="BodyText"/>
        <w:numPr>
          <w:ilvl w:val="0"/>
          <w:numId w:val="56"/>
        </w:numPr>
        <w:rPr>
          <w:rFonts w:asciiTheme="minorHAnsi" w:hAnsiTheme="minorHAnsi" w:cstheme="minorHAnsi"/>
        </w:rPr>
      </w:pPr>
      <w:r w:rsidRPr="00694BB8">
        <w:rPr>
          <w:rFonts w:asciiTheme="minorHAnsi" w:hAnsiTheme="minorHAnsi" w:cstheme="minorHAnsi"/>
        </w:rPr>
        <w:t>The Australian Government’s draft National Energy Performance Strategy</w:t>
      </w:r>
      <w:r w:rsidRPr="00064D80">
        <w:rPr>
          <w:rFonts w:asciiTheme="minorHAnsi" w:hAnsiTheme="minorHAnsi" w:cstheme="minorHAnsi"/>
        </w:rPr>
        <w:t xml:space="preserve"> </w:t>
      </w:r>
      <w:r w:rsidRPr="00694BB8">
        <w:rPr>
          <w:rFonts w:asciiTheme="minorHAnsi" w:hAnsiTheme="minorHAnsi" w:cstheme="minorHAnsi"/>
        </w:rPr>
        <w:t xml:space="preserve">when it is released. </w:t>
      </w:r>
    </w:p>
    <w:p w14:paraId="604DFCE7" w14:textId="77777777" w:rsidR="00F4046D" w:rsidRPr="00694BB8" w:rsidRDefault="00F4046D" w:rsidP="00A253E6">
      <w:pPr>
        <w:pStyle w:val="BodyText"/>
        <w:numPr>
          <w:ilvl w:val="0"/>
          <w:numId w:val="56"/>
        </w:numPr>
        <w:rPr>
          <w:rFonts w:asciiTheme="minorHAnsi" w:hAnsiTheme="minorHAnsi" w:cstheme="minorHAnsi"/>
        </w:rPr>
      </w:pPr>
      <w:r w:rsidRPr="00694BB8">
        <w:rPr>
          <w:rFonts w:asciiTheme="minorHAnsi" w:hAnsiTheme="minorHAnsi" w:cstheme="minorHAnsi"/>
        </w:rPr>
        <w:t>Any update or expansion to NABERS or other building benchmark performance tools.</w:t>
      </w:r>
    </w:p>
    <w:p w14:paraId="2AEC101F" w14:textId="77777777" w:rsidR="00F4046D" w:rsidRPr="00694BB8" w:rsidRDefault="00F4046D" w:rsidP="00A253E6">
      <w:pPr>
        <w:pStyle w:val="BodyText"/>
        <w:numPr>
          <w:ilvl w:val="0"/>
          <w:numId w:val="56"/>
        </w:numPr>
        <w:rPr>
          <w:rFonts w:asciiTheme="minorHAnsi" w:hAnsiTheme="minorHAnsi" w:cstheme="minorHAnsi"/>
        </w:rPr>
      </w:pPr>
      <w:r w:rsidRPr="00694BB8">
        <w:rPr>
          <w:rFonts w:asciiTheme="minorHAnsi" w:hAnsiTheme="minorHAnsi" w:cstheme="minorHAnsi"/>
        </w:rPr>
        <w:t>Potential finance or capacity building assistance to facilitate adjustment and mitigate any disproportionate impacts on particular asset or stakeholder categories.</w:t>
      </w:r>
    </w:p>
    <w:p w14:paraId="3D3345CF" w14:textId="77777777" w:rsidR="00F4046D" w:rsidRPr="00694BB8" w:rsidRDefault="00F4046D" w:rsidP="00F4046D">
      <w:pPr>
        <w:pStyle w:val="BodyText"/>
        <w:rPr>
          <w:rFonts w:asciiTheme="minorHAnsi" w:hAnsiTheme="minorHAnsi" w:cstheme="minorHAnsi"/>
        </w:rPr>
      </w:pPr>
      <w:r w:rsidRPr="00694BB8">
        <w:rPr>
          <w:rFonts w:asciiTheme="minorHAnsi" w:hAnsiTheme="minorHAnsi" w:cstheme="minorHAnsi"/>
        </w:rPr>
        <w:t xml:space="preserve">There is also the opportunity to work with the finance sector to make sure there is a broader finance package available. </w:t>
      </w:r>
    </w:p>
    <w:p w14:paraId="7309FA27" w14:textId="77777777" w:rsidR="00F4046D" w:rsidRPr="00694BB8" w:rsidRDefault="00F4046D" w:rsidP="00F4046D">
      <w:pPr>
        <w:spacing w:before="0" w:after="160" w:line="259" w:lineRule="auto"/>
        <w:rPr>
          <w:rFonts w:asciiTheme="minorHAnsi" w:hAnsiTheme="minorHAnsi" w:cstheme="minorHAnsi"/>
          <w:b/>
        </w:rPr>
      </w:pPr>
      <w:r w:rsidRPr="00694BB8">
        <w:rPr>
          <w:rFonts w:asciiTheme="minorHAnsi" w:hAnsiTheme="minorHAnsi" w:cstheme="minorHAnsi"/>
          <w:b/>
        </w:rPr>
        <w:t xml:space="preserve">Emissions reductions will occur prior to compliance </w:t>
      </w:r>
      <w:proofErr w:type="gramStart"/>
      <w:r w:rsidRPr="00694BB8">
        <w:rPr>
          <w:rFonts w:asciiTheme="minorHAnsi" w:hAnsiTheme="minorHAnsi" w:cstheme="minorHAnsi"/>
          <w:b/>
        </w:rPr>
        <w:t>dates</w:t>
      </w:r>
      <w:proofErr w:type="gramEnd"/>
    </w:p>
    <w:p w14:paraId="60CE8FD8" w14:textId="2926F052" w:rsidR="00F4046D" w:rsidRDefault="00F4046D" w:rsidP="00F4046D">
      <w:pPr>
        <w:pStyle w:val="BodyText"/>
        <w:rPr>
          <w:rFonts w:asciiTheme="minorHAnsi" w:hAnsiTheme="minorHAnsi" w:cstheme="minorHAnsi"/>
        </w:rPr>
      </w:pPr>
      <w:r w:rsidRPr="00694BB8">
        <w:rPr>
          <w:rFonts w:asciiTheme="minorHAnsi" w:hAnsiTheme="minorHAnsi" w:cstheme="minorHAnsi"/>
        </w:rPr>
        <w:t xml:space="preserve">Expanding the CBD program will lead to emissions savings building over time. These savings occur as behaviours in the building sector change in response to the disclosure and </w:t>
      </w:r>
      <w:proofErr w:type="spellStart"/>
      <w:r w:rsidRPr="00694BB8">
        <w:rPr>
          <w:rFonts w:asciiTheme="minorHAnsi" w:hAnsiTheme="minorHAnsi" w:cstheme="minorHAnsi"/>
        </w:rPr>
        <w:t>MEPS</w:t>
      </w:r>
      <w:proofErr w:type="spellEnd"/>
      <w:r w:rsidRPr="00694BB8">
        <w:rPr>
          <w:rFonts w:asciiTheme="minorHAnsi" w:hAnsiTheme="minorHAnsi" w:cstheme="minorHAnsi"/>
        </w:rPr>
        <w:t xml:space="preserve"> requirements when introduced. Given the phased expansion, and the voluntary nature of some of the responses, the energy improvements will accrue over </w:t>
      </w:r>
      <w:proofErr w:type="gramStart"/>
      <w:r w:rsidRPr="00694BB8">
        <w:rPr>
          <w:rFonts w:asciiTheme="minorHAnsi" w:hAnsiTheme="minorHAnsi" w:cstheme="minorHAnsi"/>
        </w:rPr>
        <w:t>a period of time</w:t>
      </w:r>
      <w:proofErr w:type="gramEnd"/>
      <w:r w:rsidRPr="00694BB8">
        <w:rPr>
          <w:rFonts w:asciiTheme="minorHAnsi" w:hAnsiTheme="minorHAnsi" w:cstheme="minorHAnsi"/>
        </w:rPr>
        <w:t xml:space="preserve">. </w:t>
      </w:r>
      <w:proofErr w:type="gramStart"/>
      <w:r w:rsidRPr="00694BB8">
        <w:rPr>
          <w:rFonts w:asciiTheme="minorHAnsi" w:hAnsiTheme="minorHAnsi" w:cstheme="minorHAnsi"/>
        </w:rPr>
        <w:t>Past experience</w:t>
      </w:r>
      <w:proofErr w:type="gramEnd"/>
      <w:r w:rsidRPr="00694BB8">
        <w:rPr>
          <w:rFonts w:asciiTheme="minorHAnsi" w:hAnsiTheme="minorHAnsi" w:cstheme="minorHAnsi"/>
        </w:rPr>
        <w:t xml:space="preserve"> with office regulation suggests these can build to be very substantial following regulatory coverage. However, we would expect</w:t>
      </w:r>
      <w:r w:rsidRPr="00694BB8" w:rsidDel="00D66C51">
        <w:rPr>
          <w:rFonts w:asciiTheme="minorHAnsi" w:hAnsiTheme="minorHAnsi" w:cstheme="minorHAnsi"/>
        </w:rPr>
        <w:t xml:space="preserve"> </w:t>
      </w:r>
      <w:r w:rsidRPr="00694BB8">
        <w:rPr>
          <w:rFonts w:asciiTheme="minorHAnsi" w:hAnsiTheme="minorHAnsi" w:cstheme="minorHAnsi"/>
        </w:rPr>
        <w:t>some of this response will occur ahead of legislated dates if these are clearly signalled, as demonstrated indicatively in</w:t>
      </w:r>
      <w:r w:rsidR="008716E7">
        <w:rPr>
          <w:rFonts w:asciiTheme="minorHAnsi" w:hAnsiTheme="minorHAnsi" w:cstheme="minorHAnsi"/>
        </w:rPr>
        <w:t xml:space="preserve"> </w:t>
      </w:r>
      <w:r w:rsidR="005256E8">
        <w:rPr>
          <w:rFonts w:asciiTheme="minorHAnsi" w:hAnsiTheme="minorHAnsi" w:cstheme="minorHAnsi"/>
        </w:rPr>
        <w:fldChar w:fldCharType="begin" w:fldLock="1"/>
      </w:r>
      <w:r w:rsidR="005256E8">
        <w:rPr>
          <w:rFonts w:asciiTheme="minorHAnsi" w:hAnsiTheme="minorHAnsi" w:cstheme="minorHAnsi"/>
        </w:rPr>
        <w:instrText xml:space="preserve"> REF _Ref145512787 \h </w:instrText>
      </w:r>
      <w:r w:rsidR="005256E8">
        <w:rPr>
          <w:rFonts w:asciiTheme="minorHAnsi" w:hAnsiTheme="minorHAnsi" w:cstheme="minorHAnsi"/>
        </w:rPr>
      </w:r>
      <w:r w:rsidR="005256E8">
        <w:rPr>
          <w:rFonts w:asciiTheme="minorHAnsi" w:hAnsiTheme="minorHAnsi" w:cstheme="minorHAnsi"/>
        </w:rPr>
        <w:fldChar w:fldCharType="separate"/>
      </w:r>
      <w:r w:rsidR="005256E8" w:rsidRPr="00CB1039">
        <w:rPr>
          <w:rFonts w:asciiTheme="minorHAnsi" w:hAnsiTheme="minorHAnsi" w:cstheme="minorHAnsi"/>
        </w:rPr>
        <w:t xml:space="preserve">Figure </w:t>
      </w:r>
      <w:r w:rsidR="005256E8">
        <w:rPr>
          <w:rFonts w:asciiTheme="minorHAnsi" w:hAnsiTheme="minorHAnsi" w:cstheme="minorHAnsi"/>
          <w:noProof/>
        </w:rPr>
        <w:t>24</w:t>
      </w:r>
      <w:r w:rsidR="005256E8">
        <w:rPr>
          <w:rFonts w:asciiTheme="minorHAnsi" w:hAnsiTheme="minorHAnsi" w:cstheme="minorHAnsi"/>
        </w:rPr>
        <w:fldChar w:fldCharType="end"/>
      </w:r>
      <w:r w:rsidRPr="00694BB8">
        <w:rPr>
          <w:rFonts w:asciiTheme="minorHAnsi" w:hAnsiTheme="minorHAnsi" w:cstheme="minorHAnsi"/>
        </w:rPr>
        <w:t xml:space="preserve">. For example, if there are requirements for a certain building type and size by the early 2030s, changes in emissions may be seen by the late 2020s as owners take advantage of scheduled major maintenance to upgrade to levels consistent with anticipated regulatory standards. </w:t>
      </w:r>
    </w:p>
    <w:p w14:paraId="3C8C4962" w14:textId="41F26FB2" w:rsidR="008601B8" w:rsidRPr="00585524" w:rsidRDefault="008601B8" w:rsidP="00585524">
      <w:pPr>
        <w:pStyle w:val="Caption"/>
        <w:keepNext/>
        <w:spacing w:after="120"/>
        <w:rPr>
          <w:rFonts w:ascii="Calibri" w:eastAsia="Times New Roman" w:hAnsi="Calibri" w:cs="Times New Roman"/>
          <w:b/>
          <w:bCs/>
          <w:i w:val="0"/>
          <w:iCs w:val="0"/>
          <w:color w:val="auto"/>
          <w:sz w:val="24"/>
        </w:rPr>
      </w:pPr>
      <w:bookmarkStart w:id="255" w:name="_Ref145512787"/>
      <w:bookmarkStart w:id="256" w:name="_Toc157687028"/>
      <w:r w:rsidRPr="00585524">
        <w:rPr>
          <w:rFonts w:ascii="Calibri" w:eastAsia="Times New Roman" w:hAnsi="Calibri" w:cs="Times New Roman"/>
          <w:b/>
          <w:bCs/>
          <w:i w:val="0"/>
          <w:iCs w:val="0"/>
          <w:color w:val="auto"/>
          <w:sz w:val="24"/>
        </w:rPr>
        <w:t xml:space="preserve">Figure </w:t>
      </w:r>
      <w:r w:rsidRPr="00585524">
        <w:rPr>
          <w:rFonts w:ascii="Calibri" w:eastAsia="Times New Roman" w:hAnsi="Calibri" w:cs="Times New Roman"/>
          <w:b/>
          <w:bCs/>
          <w:i w:val="0"/>
          <w:iCs w:val="0"/>
          <w:color w:val="auto"/>
          <w:sz w:val="24"/>
        </w:rPr>
        <w:fldChar w:fldCharType="begin"/>
      </w:r>
      <w:r w:rsidRPr="00585524">
        <w:rPr>
          <w:rFonts w:ascii="Calibri" w:eastAsia="Times New Roman" w:hAnsi="Calibri" w:cs="Times New Roman"/>
          <w:b/>
          <w:bCs/>
          <w:i w:val="0"/>
          <w:iCs w:val="0"/>
          <w:color w:val="auto"/>
          <w:sz w:val="24"/>
        </w:rPr>
        <w:instrText xml:space="preserve"> SEQ Figure \* ARABIC </w:instrText>
      </w:r>
      <w:r w:rsidRPr="0058552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23</w:t>
      </w:r>
      <w:r w:rsidRPr="00585524">
        <w:rPr>
          <w:rFonts w:ascii="Calibri" w:eastAsia="Times New Roman" w:hAnsi="Calibri" w:cs="Times New Roman"/>
          <w:b/>
          <w:bCs/>
          <w:i w:val="0"/>
          <w:iCs w:val="0"/>
          <w:color w:val="auto"/>
          <w:sz w:val="24"/>
        </w:rPr>
        <w:fldChar w:fldCharType="end"/>
      </w:r>
      <w:bookmarkEnd w:id="255"/>
      <w:r w:rsidRPr="00585524">
        <w:rPr>
          <w:rFonts w:ascii="Calibri" w:eastAsia="Times New Roman" w:hAnsi="Calibri" w:cs="Times New Roman"/>
          <w:b/>
          <w:bCs/>
          <w:i w:val="0"/>
          <w:iCs w:val="0"/>
          <w:color w:val="auto"/>
          <w:sz w:val="24"/>
        </w:rPr>
        <w:t xml:space="preserve">: Adoption curve for </w:t>
      </w:r>
      <w:proofErr w:type="gramStart"/>
      <w:r w:rsidRPr="00585524">
        <w:rPr>
          <w:rFonts w:ascii="Calibri" w:eastAsia="Times New Roman" w:hAnsi="Calibri" w:cs="Times New Roman"/>
          <w:b/>
          <w:bCs/>
          <w:i w:val="0"/>
          <w:iCs w:val="0"/>
          <w:color w:val="auto"/>
          <w:sz w:val="24"/>
        </w:rPr>
        <w:t>regulation</w:t>
      </w:r>
      <w:bookmarkEnd w:id="256"/>
      <w:proofErr w:type="gramEnd"/>
    </w:p>
    <w:p w14:paraId="6665E70A" w14:textId="39E69626" w:rsidR="00F4046D" w:rsidRPr="00694BB8" w:rsidRDefault="00F4046D" w:rsidP="00F4046D">
      <w:pPr>
        <w:spacing w:before="0" w:after="160" w:line="259" w:lineRule="auto"/>
        <w:rPr>
          <w:rFonts w:asciiTheme="minorHAnsi" w:hAnsiTheme="minorHAnsi" w:cstheme="minorHAnsi"/>
        </w:rPr>
      </w:pPr>
      <w:r w:rsidRPr="00694BB8">
        <w:rPr>
          <w:rFonts w:asciiTheme="minorHAnsi" w:hAnsiTheme="minorHAnsi" w:cstheme="minorHAnsi"/>
          <w:noProof/>
        </w:rPr>
        <w:drawing>
          <wp:anchor distT="0" distB="0" distL="114300" distR="114300" simplePos="0" relativeHeight="251658240" behindDoc="0" locked="0" layoutInCell="1" allowOverlap="1" wp14:anchorId="1697C598" wp14:editId="7D99DD2F">
            <wp:simplePos x="542260" y="5209953"/>
            <wp:positionH relativeFrom="column">
              <wp:align>left</wp:align>
            </wp:positionH>
            <wp:positionV relativeFrom="paragraph">
              <wp:align>top</wp:align>
            </wp:positionV>
            <wp:extent cx="3721210" cy="1860605"/>
            <wp:effectExtent l="0" t="0" r="0" b="6350"/>
            <wp:wrapSquare wrapText="bothSides"/>
            <wp:docPr id="917" name="Picture 917" descr="Figure 23 depicts renovation activity over the time period between announcement and enforcement of a new MEPS policy. The graph is a bell curve split into three sections: a small amount of activity attributed to signalling from announcements; a majority the activity attributed to funding, finance, information and practical support; and a final small amount of activity due to enforcement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Picture 917" descr="Figure 23 depicts renovation activity over the time period between announcement and enforcement of a new MEPS policy. The graph is a bell curve split into three sections: a small amount of activity attributed to signalling from announcements; a majority the activity attributed to funding, finance, information and practical support; and a final small amount of activity due to enforcement operation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21210" cy="1860605"/>
                    </a:xfrm>
                    <a:prstGeom prst="rect">
                      <a:avLst/>
                    </a:prstGeom>
                  </pic:spPr>
                </pic:pic>
              </a:graphicData>
            </a:graphic>
          </wp:anchor>
        </w:drawing>
      </w:r>
      <w:r w:rsidR="008716E7">
        <w:rPr>
          <w:rFonts w:asciiTheme="minorHAnsi" w:hAnsiTheme="minorHAnsi" w:cstheme="minorHAnsi"/>
          <w:noProof/>
        </w:rPr>
        <w:t xml:space="preserve"> </w:t>
      </w:r>
      <w:r w:rsidRPr="00694BB8">
        <w:rPr>
          <w:rFonts w:asciiTheme="minorHAnsi" w:hAnsiTheme="minorHAnsi" w:cstheme="minorHAnsi"/>
        </w:rPr>
        <w:br/>
      </w:r>
    </w:p>
    <w:p w14:paraId="6E5D4991" w14:textId="77777777" w:rsidR="00F4046D" w:rsidRDefault="00F4046D" w:rsidP="00F4046D">
      <w:pPr>
        <w:spacing w:before="0" w:after="160" w:line="259" w:lineRule="auto"/>
        <w:rPr>
          <w:rFonts w:asciiTheme="minorHAnsi" w:hAnsiTheme="minorHAnsi" w:cstheme="minorHAnsi"/>
        </w:rPr>
      </w:pPr>
    </w:p>
    <w:p w14:paraId="3C4A1D41" w14:textId="77777777" w:rsidR="00876B13" w:rsidRDefault="00876B13" w:rsidP="00F4046D">
      <w:pPr>
        <w:spacing w:before="0" w:after="160" w:line="259" w:lineRule="auto"/>
        <w:rPr>
          <w:rFonts w:asciiTheme="minorHAnsi" w:hAnsiTheme="minorHAnsi" w:cstheme="minorHAnsi"/>
        </w:rPr>
      </w:pPr>
    </w:p>
    <w:p w14:paraId="7BCFE566" w14:textId="77777777" w:rsidR="00876B13" w:rsidRDefault="00876B13" w:rsidP="00F4046D">
      <w:pPr>
        <w:spacing w:before="0" w:after="160" w:line="259" w:lineRule="auto"/>
        <w:rPr>
          <w:rFonts w:asciiTheme="minorHAnsi" w:hAnsiTheme="minorHAnsi" w:cstheme="minorHAnsi"/>
        </w:rPr>
      </w:pPr>
    </w:p>
    <w:p w14:paraId="322EF94B" w14:textId="77777777" w:rsidR="00876B13" w:rsidRDefault="00876B13" w:rsidP="00F4046D">
      <w:pPr>
        <w:spacing w:before="0" w:after="160" w:line="259" w:lineRule="auto"/>
        <w:rPr>
          <w:rFonts w:asciiTheme="minorHAnsi" w:hAnsiTheme="minorHAnsi" w:cstheme="minorHAnsi"/>
        </w:rPr>
      </w:pPr>
    </w:p>
    <w:p w14:paraId="6144816C" w14:textId="77777777" w:rsidR="00876B13" w:rsidRDefault="00876B13" w:rsidP="00F4046D">
      <w:pPr>
        <w:spacing w:before="0" w:after="160" w:line="259" w:lineRule="auto"/>
        <w:rPr>
          <w:rFonts w:asciiTheme="minorHAnsi" w:hAnsiTheme="minorHAnsi" w:cstheme="minorHAnsi"/>
        </w:rPr>
      </w:pPr>
    </w:p>
    <w:p w14:paraId="77765BDC" w14:textId="77777777" w:rsidR="00876B13" w:rsidRDefault="00876B13" w:rsidP="00F4046D">
      <w:pPr>
        <w:spacing w:before="0" w:after="160" w:line="259" w:lineRule="auto"/>
        <w:rPr>
          <w:rFonts w:asciiTheme="minorHAnsi" w:hAnsiTheme="minorHAnsi" w:cstheme="minorHAnsi"/>
        </w:rPr>
      </w:pPr>
    </w:p>
    <w:p w14:paraId="60801F0F" w14:textId="77777777" w:rsidR="00876B13" w:rsidRPr="00694BB8" w:rsidRDefault="00876B13" w:rsidP="00F4046D">
      <w:pPr>
        <w:spacing w:before="0" w:after="160" w:line="259" w:lineRule="auto"/>
        <w:rPr>
          <w:rFonts w:asciiTheme="minorHAnsi" w:hAnsiTheme="minorHAnsi" w:cstheme="minorHAnsi"/>
        </w:rPr>
      </w:pPr>
    </w:p>
    <w:p w14:paraId="0916B4FA" w14:textId="0BDC1ED7" w:rsidR="009622C9" w:rsidRPr="00694BB8" w:rsidRDefault="009622C9">
      <w:pPr>
        <w:spacing w:before="0" w:after="160" w:line="259" w:lineRule="auto"/>
        <w:rPr>
          <w:rFonts w:asciiTheme="minorHAnsi" w:hAnsiTheme="minorHAnsi" w:cstheme="minorHAnsi"/>
        </w:rPr>
        <w:sectPr w:rsidR="009622C9" w:rsidRPr="00694BB8" w:rsidSect="00A77C53">
          <w:pgSz w:w="11906" w:h="16838"/>
          <w:pgMar w:top="851" w:right="851" w:bottom="1418" w:left="851" w:header="567" w:footer="283" w:gutter="0"/>
          <w:cols w:space="708"/>
          <w:docGrid w:linePitch="360"/>
        </w:sectPr>
      </w:pPr>
    </w:p>
    <w:p w14:paraId="1CED430E" w14:textId="4FF969FA" w:rsidR="00181914" w:rsidRPr="00585524" w:rsidRDefault="008601B8" w:rsidP="00585524">
      <w:pPr>
        <w:pStyle w:val="Caption"/>
        <w:keepNext/>
        <w:spacing w:after="120"/>
        <w:rPr>
          <w:rFonts w:ascii="Calibri" w:eastAsia="Times New Roman" w:hAnsi="Calibri" w:cs="Times New Roman"/>
          <w:b/>
          <w:bCs/>
          <w:i w:val="0"/>
          <w:iCs w:val="0"/>
          <w:color w:val="auto"/>
          <w:sz w:val="24"/>
        </w:rPr>
      </w:pPr>
      <w:bookmarkStart w:id="257" w:name="_Toc146296568"/>
      <w:bookmarkStart w:id="258" w:name="_Toc157687029"/>
      <w:bookmarkEnd w:id="257"/>
      <w:r w:rsidRPr="00585524">
        <w:rPr>
          <w:rFonts w:ascii="Calibri" w:eastAsia="Times New Roman" w:hAnsi="Calibri" w:cs="Times New Roman"/>
          <w:b/>
          <w:bCs/>
          <w:i w:val="0"/>
          <w:iCs w:val="0"/>
          <w:color w:val="auto"/>
          <w:sz w:val="24"/>
        </w:rPr>
        <w:lastRenderedPageBreak/>
        <w:t xml:space="preserve">Figure </w:t>
      </w:r>
      <w:r w:rsidRPr="00585524">
        <w:rPr>
          <w:rFonts w:ascii="Calibri" w:eastAsia="Times New Roman" w:hAnsi="Calibri" w:cs="Times New Roman"/>
          <w:b/>
          <w:bCs/>
          <w:i w:val="0"/>
          <w:iCs w:val="0"/>
          <w:color w:val="auto"/>
          <w:sz w:val="24"/>
        </w:rPr>
        <w:fldChar w:fldCharType="begin"/>
      </w:r>
      <w:r w:rsidRPr="00585524">
        <w:rPr>
          <w:rFonts w:ascii="Calibri" w:eastAsia="Times New Roman" w:hAnsi="Calibri" w:cs="Times New Roman"/>
          <w:b/>
          <w:bCs/>
          <w:i w:val="0"/>
          <w:iCs w:val="0"/>
          <w:color w:val="auto"/>
          <w:sz w:val="24"/>
        </w:rPr>
        <w:instrText xml:space="preserve"> SEQ Figure \* ARABIC </w:instrText>
      </w:r>
      <w:r w:rsidRPr="0058552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24</w:t>
      </w:r>
      <w:r w:rsidRPr="00585524">
        <w:rPr>
          <w:rFonts w:ascii="Calibri" w:eastAsia="Times New Roman" w:hAnsi="Calibri" w:cs="Times New Roman"/>
          <w:b/>
          <w:bCs/>
          <w:i w:val="0"/>
          <w:iCs w:val="0"/>
          <w:color w:val="auto"/>
          <w:sz w:val="24"/>
        </w:rPr>
        <w:fldChar w:fldCharType="end"/>
      </w:r>
      <w:r w:rsidRPr="00585524">
        <w:rPr>
          <w:rFonts w:ascii="Calibri" w:eastAsia="Times New Roman" w:hAnsi="Calibri" w:cs="Times New Roman"/>
          <w:b/>
          <w:bCs/>
          <w:i w:val="0"/>
          <w:iCs w:val="0"/>
          <w:color w:val="auto"/>
          <w:sz w:val="24"/>
        </w:rPr>
        <w:t xml:space="preserve">: High-level roadmap for CBD Program </w:t>
      </w:r>
      <w:proofErr w:type="gramStart"/>
      <w:r w:rsidRPr="00585524">
        <w:rPr>
          <w:rFonts w:ascii="Calibri" w:eastAsia="Times New Roman" w:hAnsi="Calibri" w:cs="Times New Roman"/>
          <w:b/>
          <w:bCs/>
          <w:i w:val="0"/>
          <w:iCs w:val="0"/>
          <w:color w:val="auto"/>
          <w:sz w:val="24"/>
        </w:rPr>
        <w:t>expansion</w:t>
      </w:r>
      <w:bookmarkEnd w:id="258"/>
      <w:proofErr w:type="gramEnd"/>
    </w:p>
    <w:p w14:paraId="2B52A5C6" w14:textId="005EA42D" w:rsidR="00431D80" w:rsidRDefault="00F420A1" w:rsidP="00876B13">
      <w:pPr>
        <w:pStyle w:val="Caption"/>
        <w:rPr>
          <w:rFonts w:asciiTheme="minorHAnsi" w:hAnsiTheme="minorHAnsi" w:cstheme="minorHAnsi"/>
        </w:rPr>
      </w:pPr>
      <w:bookmarkStart w:id="259" w:name="_Ref147322089"/>
      <w:bookmarkStart w:id="260" w:name="_Ref148523587"/>
      <w:r>
        <w:rPr>
          <w:rFonts w:cstheme="minorHAnsi"/>
          <w:noProof/>
        </w:rPr>
        <w:drawing>
          <wp:inline distT="0" distB="0" distL="0" distR="0" wp14:anchorId="49CCF770" wp14:editId="00A96525">
            <wp:extent cx="6479540" cy="5373957"/>
            <wp:effectExtent l="0" t="0" r="0" b="0"/>
            <wp:docPr id="41" name="Picture 41" descr="High Level Roadmap of the CBD program expansion into the different building groups. Details of the roadmap are presented in Appendix 11, 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igh Level Roadmap of the CBD program expansion into the different building groups. Details of the roadmap are presented in Appendix 11, Tabl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5373957"/>
                    </a:xfrm>
                    <a:prstGeom prst="rect">
                      <a:avLst/>
                    </a:prstGeom>
                    <a:noFill/>
                  </pic:spPr>
                </pic:pic>
              </a:graphicData>
            </a:graphic>
          </wp:inline>
        </w:drawing>
      </w:r>
    </w:p>
    <w:bookmarkEnd w:id="259"/>
    <w:bookmarkEnd w:id="260"/>
    <w:p w14:paraId="37904917" w14:textId="77777777" w:rsidR="00181914" w:rsidRDefault="00181914" w:rsidP="00F0473D">
      <w:pPr>
        <w:rPr>
          <w:rFonts w:asciiTheme="minorHAnsi" w:hAnsiTheme="minorHAnsi" w:cstheme="minorHAnsi"/>
        </w:rPr>
      </w:pPr>
    </w:p>
    <w:p w14:paraId="3550BF83" w14:textId="777C6F8E" w:rsidR="00022246" w:rsidRDefault="00022246" w:rsidP="00022246">
      <w:pPr>
        <w:pStyle w:val="Caption"/>
        <w:jc w:val="center"/>
        <w:rPr>
          <w:rFonts w:ascii="Calibri" w:eastAsia="Times New Roman" w:hAnsi="Calibri" w:cs="Times New Roman"/>
          <w:b/>
          <w:bCs/>
          <w:i w:val="0"/>
          <w:iCs w:val="0"/>
          <w:color w:val="auto"/>
          <w:sz w:val="24"/>
        </w:rPr>
      </w:pPr>
      <w:hyperlink w:anchor="_Table_32:_Details" w:history="1">
        <w:r w:rsidRPr="00171C8F">
          <w:rPr>
            <w:rStyle w:val="Hyperlink"/>
            <w:rFonts w:asciiTheme="minorHAnsi" w:hAnsiTheme="minorHAnsi" w:cstheme="minorHAnsi"/>
          </w:rPr>
          <w:t xml:space="preserve">Link to text version of </w:t>
        </w:r>
        <w:r>
          <w:rPr>
            <w:rStyle w:val="Hyperlink"/>
            <w:rFonts w:asciiTheme="minorHAnsi" w:hAnsiTheme="minorHAnsi" w:cstheme="minorHAnsi"/>
          </w:rPr>
          <w:t xml:space="preserve">Figure </w:t>
        </w:r>
        <w:r>
          <w:rPr>
            <w:rStyle w:val="Hyperlink"/>
            <w:rFonts w:asciiTheme="minorHAnsi" w:hAnsiTheme="minorHAnsi" w:cstheme="minorHAnsi"/>
          </w:rPr>
          <w:t>24</w:t>
        </w:r>
        <w:r>
          <w:rPr>
            <w:rStyle w:val="Hyperlink"/>
            <w:rFonts w:asciiTheme="minorHAnsi" w:hAnsiTheme="minorHAnsi" w:cstheme="minorHAnsi"/>
          </w:rPr>
          <w:t xml:space="preserve"> [Appendix 1</w:t>
        </w:r>
        <w:r>
          <w:rPr>
            <w:rStyle w:val="Hyperlink"/>
            <w:rFonts w:asciiTheme="minorHAnsi" w:hAnsiTheme="minorHAnsi" w:cstheme="minorHAnsi"/>
          </w:rPr>
          <w:t>1</w:t>
        </w:r>
        <w:r>
          <w:rPr>
            <w:rStyle w:val="Hyperlink"/>
            <w:rFonts w:asciiTheme="minorHAnsi" w:hAnsiTheme="minorHAnsi" w:cstheme="minorHAnsi"/>
          </w:rPr>
          <w:t xml:space="preserve"> Table </w:t>
        </w:r>
        <w:r>
          <w:rPr>
            <w:rStyle w:val="Hyperlink"/>
            <w:rFonts w:asciiTheme="minorHAnsi" w:hAnsiTheme="minorHAnsi" w:cstheme="minorHAnsi"/>
          </w:rPr>
          <w:t>32</w:t>
        </w:r>
        <w:r>
          <w:rPr>
            <w:rStyle w:val="Hyperlink"/>
            <w:rFonts w:asciiTheme="minorHAnsi" w:hAnsiTheme="minorHAnsi" w:cstheme="minorHAnsi"/>
          </w:rPr>
          <w:t>]</w:t>
        </w:r>
        <w:r w:rsidRPr="00171C8F">
          <w:rPr>
            <w:rStyle w:val="Hyperlink"/>
            <w:rFonts w:asciiTheme="minorHAnsi" w:hAnsiTheme="minorHAnsi" w:cstheme="minorHAnsi"/>
          </w:rPr>
          <w:t xml:space="preserve">. </w:t>
        </w:r>
      </w:hyperlink>
    </w:p>
    <w:p w14:paraId="1195C31D" w14:textId="14E1B9B1" w:rsidR="00022246" w:rsidRPr="00694BB8" w:rsidRDefault="00022246" w:rsidP="00F0473D">
      <w:pPr>
        <w:rPr>
          <w:rFonts w:asciiTheme="minorHAnsi" w:hAnsiTheme="minorHAnsi" w:cstheme="minorHAnsi"/>
        </w:rPr>
        <w:sectPr w:rsidR="00022246" w:rsidRPr="00694BB8" w:rsidSect="00A77C53">
          <w:pgSz w:w="11906" w:h="16838"/>
          <w:pgMar w:top="851" w:right="851" w:bottom="1418" w:left="851" w:header="567" w:footer="283" w:gutter="0"/>
          <w:cols w:space="708"/>
          <w:docGrid w:linePitch="360"/>
        </w:sectPr>
      </w:pPr>
    </w:p>
    <w:p w14:paraId="4F9C5877" w14:textId="0D14DA8C" w:rsidR="0013509C" w:rsidRDefault="0013509C" w:rsidP="0013509C">
      <w:pPr>
        <w:pStyle w:val="Heading1"/>
      </w:pPr>
      <w:bookmarkStart w:id="261" w:name="_Toc154059387"/>
      <w:r>
        <w:lastRenderedPageBreak/>
        <w:t>Conclusion</w:t>
      </w:r>
      <w:bookmarkEnd w:id="261"/>
    </w:p>
    <w:p w14:paraId="6AEBD149" w14:textId="6C11C04B" w:rsidR="00336724" w:rsidRDefault="001F134D" w:rsidP="00000E88">
      <w:pPr>
        <w:pStyle w:val="BodyText"/>
        <w:rPr>
          <w:rFonts w:asciiTheme="minorHAnsi" w:hAnsiTheme="minorHAnsi" w:cstheme="minorHAnsi"/>
        </w:rPr>
      </w:pPr>
      <w:r w:rsidRPr="00694BB8">
        <w:rPr>
          <w:rFonts w:asciiTheme="minorHAnsi" w:hAnsiTheme="minorHAnsi" w:cstheme="minorHAnsi"/>
        </w:rPr>
        <w:t xml:space="preserve">An investigation of </w:t>
      </w:r>
      <w:r w:rsidR="0056714C" w:rsidRPr="00694BB8">
        <w:rPr>
          <w:rFonts w:asciiTheme="minorHAnsi" w:hAnsiTheme="minorHAnsi" w:cstheme="minorHAnsi"/>
        </w:rPr>
        <w:t xml:space="preserve">international approaches to mandatory disclosure and minimum energy performance standards of buildings led the project team to </w:t>
      </w:r>
      <w:r w:rsidR="00D56C82" w:rsidRPr="00694BB8">
        <w:rPr>
          <w:rFonts w:asciiTheme="minorHAnsi" w:hAnsiTheme="minorHAnsi" w:cstheme="minorHAnsi"/>
        </w:rPr>
        <w:t xml:space="preserve">seven potential options for expanding the CBD program in Australia. </w:t>
      </w:r>
      <w:r w:rsidR="007C425C" w:rsidRPr="00694BB8">
        <w:rPr>
          <w:rFonts w:asciiTheme="minorHAnsi" w:hAnsiTheme="minorHAnsi" w:cstheme="minorHAnsi"/>
        </w:rPr>
        <w:t xml:space="preserve">Through assessing the current regulatory and policy environments of commercial buildings energy efficiency in Australia and comparing it internationally, we were able to create seven potential options for expanding the CBD program in Australia. These options reflect the success of Australia's current regulatory program </w:t>
      </w:r>
      <w:proofErr w:type="gramStart"/>
      <w:r w:rsidR="007C425C" w:rsidRPr="00694BB8">
        <w:rPr>
          <w:rFonts w:asciiTheme="minorHAnsi" w:hAnsiTheme="minorHAnsi" w:cstheme="minorHAnsi"/>
        </w:rPr>
        <w:t>through the use of</w:t>
      </w:r>
      <w:proofErr w:type="gramEnd"/>
      <w:r w:rsidR="007C425C" w:rsidRPr="00694BB8">
        <w:rPr>
          <w:rFonts w:asciiTheme="minorHAnsi" w:hAnsiTheme="minorHAnsi" w:cstheme="minorHAnsi"/>
        </w:rPr>
        <w:t xml:space="preserve"> a performance</w:t>
      </w:r>
      <w:r w:rsidR="005E48EF" w:rsidRPr="00694BB8">
        <w:rPr>
          <w:rFonts w:asciiTheme="minorHAnsi" w:hAnsiTheme="minorHAnsi" w:cstheme="minorHAnsi"/>
        </w:rPr>
        <w:t>-</w:t>
      </w:r>
      <w:r w:rsidR="007C425C" w:rsidRPr="00694BB8">
        <w:rPr>
          <w:rFonts w:asciiTheme="minorHAnsi" w:hAnsiTheme="minorHAnsi" w:cstheme="minorHAnsi"/>
        </w:rPr>
        <w:t>based assessment compliance, whilst acknowledging the significant scale of work achieved intentionally predominantly using attribute</w:t>
      </w:r>
      <w:r w:rsidR="009D39D3" w:rsidRPr="00694BB8">
        <w:rPr>
          <w:rFonts w:asciiTheme="minorHAnsi" w:hAnsiTheme="minorHAnsi" w:cstheme="minorHAnsi"/>
        </w:rPr>
        <w:t>-</w:t>
      </w:r>
      <w:r w:rsidR="007C425C" w:rsidRPr="00694BB8">
        <w:rPr>
          <w:rFonts w:asciiTheme="minorHAnsi" w:hAnsiTheme="minorHAnsi" w:cstheme="minorHAnsi"/>
        </w:rPr>
        <w:t xml:space="preserve">based assessment compliance. </w:t>
      </w:r>
      <w:r w:rsidR="00D56C82" w:rsidRPr="00694BB8">
        <w:rPr>
          <w:rFonts w:asciiTheme="minorHAnsi" w:hAnsiTheme="minorHAnsi" w:cstheme="minorHAnsi"/>
        </w:rPr>
        <w:t xml:space="preserve">After evaluating these </w:t>
      </w:r>
      <w:r w:rsidR="009D39D3" w:rsidRPr="00694BB8">
        <w:rPr>
          <w:rFonts w:asciiTheme="minorHAnsi" w:hAnsiTheme="minorHAnsi" w:cstheme="minorHAnsi"/>
        </w:rPr>
        <w:t xml:space="preserve">seven </w:t>
      </w:r>
      <w:r w:rsidR="00D56C82" w:rsidRPr="00694BB8">
        <w:rPr>
          <w:rFonts w:asciiTheme="minorHAnsi" w:hAnsiTheme="minorHAnsi" w:cstheme="minorHAnsi"/>
        </w:rPr>
        <w:t xml:space="preserve">options at a high level and consultation with </w:t>
      </w:r>
      <w:r w:rsidR="005A0AF9" w:rsidRPr="00694BB8">
        <w:rPr>
          <w:rFonts w:asciiTheme="minorHAnsi" w:hAnsiTheme="minorHAnsi" w:cstheme="minorHAnsi"/>
        </w:rPr>
        <w:t xml:space="preserve">a reference group, these were narrowed to three options for expanding the program: </w:t>
      </w:r>
    </w:p>
    <w:p w14:paraId="7EDB6EAE" w14:textId="27FB98E0" w:rsidR="00336724" w:rsidRDefault="005A0AF9" w:rsidP="00A253E6">
      <w:pPr>
        <w:pStyle w:val="BodyText"/>
        <w:numPr>
          <w:ilvl w:val="0"/>
          <w:numId w:val="62"/>
        </w:numPr>
        <w:rPr>
          <w:rFonts w:asciiTheme="minorHAnsi" w:hAnsiTheme="minorHAnsi" w:cstheme="minorHAnsi"/>
        </w:rPr>
      </w:pPr>
      <w:r w:rsidRPr="00694BB8">
        <w:rPr>
          <w:rFonts w:asciiTheme="minorHAnsi" w:hAnsiTheme="minorHAnsi" w:cstheme="minorHAnsi"/>
        </w:rPr>
        <w:t xml:space="preserve">tailored sectoral disclosure, </w:t>
      </w:r>
    </w:p>
    <w:p w14:paraId="139B0B9D" w14:textId="7A247E92" w:rsidR="00336724" w:rsidRDefault="005A0AF9" w:rsidP="00A253E6">
      <w:pPr>
        <w:pStyle w:val="BodyText"/>
        <w:numPr>
          <w:ilvl w:val="0"/>
          <w:numId w:val="62"/>
        </w:numPr>
        <w:rPr>
          <w:rFonts w:asciiTheme="minorHAnsi" w:hAnsiTheme="minorHAnsi" w:cstheme="minorHAnsi"/>
        </w:rPr>
      </w:pPr>
      <w:r w:rsidRPr="00694BB8">
        <w:rPr>
          <w:rFonts w:asciiTheme="minorHAnsi" w:hAnsiTheme="minorHAnsi" w:cstheme="minorHAnsi"/>
        </w:rPr>
        <w:t xml:space="preserve">star rating </w:t>
      </w:r>
      <w:proofErr w:type="spellStart"/>
      <w:r w:rsidRPr="00694BB8">
        <w:rPr>
          <w:rFonts w:asciiTheme="minorHAnsi" w:hAnsiTheme="minorHAnsi" w:cstheme="minorHAnsi"/>
        </w:rPr>
        <w:t>MEPS</w:t>
      </w:r>
      <w:proofErr w:type="spellEnd"/>
      <w:r w:rsidRPr="00694BB8">
        <w:rPr>
          <w:rFonts w:asciiTheme="minorHAnsi" w:hAnsiTheme="minorHAnsi" w:cstheme="minorHAnsi"/>
        </w:rPr>
        <w:t xml:space="preserve"> for offices, and</w:t>
      </w:r>
    </w:p>
    <w:p w14:paraId="124A9B14" w14:textId="6518A5E4" w:rsidR="00336724" w:rsidRDefault="005A0AF9" w:rsidP="00A253E6">
      <w:pPr>
        <w:pStyle w:val="BodyText"/>
        <w:numPr>
          <w:ilvl w:val="0"/>
          <w:numId w:val="62"/>
        </w:numPr>
        <w:rPr>
          <w:rFonts w:asciiTheme="minorHAnsi" w:hAnsiTheme="minorHAnsi" w:cstheme="minorHAnsi"/>
        </w:rPr>
      </w:pPr>
      <w:r w:rsidRPr="00694BB8">
        <w:rPr>
          <w:rFonts w:asciiTheme="minorHAnsi" w:hAnsiTheme="minorHAnsi" w:cstheme="minorHAnsi"/>
        </w:rPr>
        <w:t>scope 1 disclosure</w:t>
      </w:r>
      <w:r w:rsidR="000C6EE3" w:rsidRPr="00694BB8">
        <w:rPr>
          <w:rFonts w:asciiTheme="minorHAnsi" w:hAnsiTheme="minorHAnsi" w:cstheme="minorHAnsi"/>
        </w:rPr>
        <w:t>.</w:t>
      </w:r>
    </w:p>
    <w:p w14:paraId="4AAF017F" w14:textId="7DA10998" w:rsidR="00D74728" w:rsidRPr="00694BB8" w:rsidRDefault="000C6EE3" w:rsidP="00000E88">
      <w:pPr>
        <w:pStyle w:val="BodyText"/>
        <w:rPr>
          <w:rFonts w:asciiTheme="minorHAnsi" w:hAnsiTheme="minorHAnsi" w:cstheme="minorHAnsi"/>
        </w:rPr>
      </w:pPr>
      <w:r w:rsidRPr="00694BB8">
        <w:rPr>
          <w:rFonts w:asciiTheme="minorHAnsi" w:hAnsiTheme="minorHAnsi" w:cstheme="minorHAnsi"/>
        </w:rPr>
        <w:t xml:space="preserve">A more detailed assessment indicated that </w:t>
      </w:r>
      <w:r w:rsidR="00AA6C88" w:rsidRPr="00694BB8">
        <w:rPr>
          <w:rFonts w:asciiTheme="minorHAnsi" w:hAnsiTheme="minorHAnsi" w:cstheme="minorHAnsi"/>
        </w:rPr>
        <w:t>all</w:t>
      </w:r>
      <w:r w:rsidRPr="00694BB8">
        <w:rPr>
          <w:rFonts w:asciiTheme="minorHAnsi" w:hAnsiTheme="minorHAnsi" w:cstheme="minorHAnsi"/>
        </w:rPr>
        <w:t xml:space="preserve"> of these </w:t>
      </w:r>
      <w:r w:rsidR="00AA6C88" w:rsidRPr="00694BB8">
        <w:rPr>
          <w:rFonts w:asciiTheme="minorHAnsi" w:hAnsiTheme="minorHAnsi" w:cstheme="minorHAnsi"/>
        </w:rPr>
        <w:t>were</w:t>
      </w:r>
      <w:r w:rsidRPr="00694BB8">
        <w:rPr>
          <w:rFonts w:asciiTheme="minorHAnsi" w:hAnsiTheme="minorHAnsi" w:cstheme="minorHAnsi"/>
        </w:rPr>
        <w:t xml:space="preserve"> viable and </w:t>
      </w:r>
      <w:r w:rsidR="00AA6C88" w:rsidRPr="00694BB8">
        <w:rPr>
          <w:rFonts w:asciiTheme="minorHAnsi" w:hAnsiTheme="minorHAnsi" w:cstheme="minorHAnsi"/>
        </w:rPr>
        <w:t>could complement one another</w:t>
      </w:r>
      <w:r w:rsidR="00776BB4" w:rsidRPr="00694BB8">
        <w:rPr>
          <w:rFonts w:asciiTheme="minorHAnsi" w:hAnsiTheme="minorHAnsi" w:cstheme="minorHAnsi"/>
        </w:rPr>
        <w:t xml:space="preserve">, </w:t>
      </w:r>
      <w:r w:rsidRPr="00694BB8">
        <w:rPr>
          <w:rFonts w:asciiTheme="minorHAnsi" w:hAnsiTheme="minorHAnsi" w:cstheme="minorHAnsi"/>
        </w:rPr>
        <w:t>lead</w:t>
      </w:r>
      <w:r w:rsidR="00776BB4" w:rsidRPr="00694BB8">
        <w:rPr>
          <w:rFonts w:asciiTheme="minorHAnsi" w:hAnsiTheme="minorHAnsi" w:cstheme="minorHAnsi"/>
        </w:rPr>
        <w:t>ing</w:t>
      </w:r>
      <w:r w:rsidRPr="00694BB8">
        <w:rPr>
          <w:rFonts w:asciiTheme="minorHAnsi" w:hAnsiTheme="minorHAnsi" w:cstheme="minorHAnsi"/>
        </w:rPr>
        <w:t xml:space="preserve"> to </w:t>
      </w:r>
      <w:r w:rsidR="002030C4" w:rsidRPr="00694BB8">
        <w:rPr>
          <w:rFonts w:asciiTheme="minorHAnsi" w:hAnsiTheme="minorHAnsi" w:cstheme="minorHAnsi"/>
        </w:rPr>
        <w:t>emissions and cost reductions</w:t>
      </w:r>
      <w:r w:rsidR="003F1247" w:rsidRPr="00694BB8">
        <w:rPr>
          <w:rFonts w:asciiTheme="minorHAnsi" w:hAnsiTheme="minorHAnsi" w:cstheme="minorHAnsi"/>
        </w:rPr>
        <w:t xml:space="preserve"> </w:t>
      </w:r>
      <w:r w:rsidR="00776BB4" w:rsidRPr="00694BB8">
        <w:rPr>
          <w:rFonts w:asciiTheme="minorHAnsi" w:hAnsiTheme="minorHAnsi" w:cstheme="minorHAnsi"/>
        </w:rPr>
        <w:t xml:space="preserve">in the Australian </w:t>
      </w:r>
      <w:r w:rsidR="00615231" w:rsidRPr="00694BB8">
        <w:rPr>
          <w:rFonts w:asciiTheme="minorHAnsi" w:hAnsiTheme="minorHAnsi" w:cstheme="minorHAnsi"/>
        </w:rPr>
        <w:t xml:space="preserve">non-residential </w:t>
      </w:r>
      <w:r w:rsidR="00776BB4" w:rsidRPr="00694BB8">
        <w:rPr>
          <w:rFonts w:asciiTheme="minorHAnsi" w:hAnsiTheme="minorHAnsi" w:cstheme="minorHAnsi"/>
        </w:rPr>
        <w:t>Building sector</w:t>
      </w:r>
      <w:r w:rsidR="003F1247" w:rsidRPr="00694BB8">
        <w:rPr>
          <w:rFonts w:asciiTheme="minorHAnsi" w:hAnsiTheme="minorHAnsi" w:cstheme="minorHAnsi"/>
        </w:rPr>
        <w:t xml:space="preserve">. </w:t>
      </w:r>
      <w:r w:rsidR="00DB6D0E">
        <w:rPr>
          <w:rFonts w:asciiTheme="minorHAnsi" w:hAnsiTheme="minorHAnsi" w:cstheme="minorHAnsi"/>
        </w:rPr>
        <w:t xml:space="preserve">As such, it is recommended that all three policies </w:t>
      </w:r>
      <w:r w:rsidR="004A49AC">
        <w:rPr>
          <w:rFonts w:asciiTheme="minorHAnsi" w:hAnsiTheme="minorHAnsi" w:cstheme="minorHAnsi"/>
        </w:rPr>
        <w:t>be considered further by the government and progress to a formal cost-benefit analysis and regulatory impact statement process.</w:t>
      </w:r>
    </w:p>
    <w:p w14:paraId="2EFF196A" w14:textId="24D7C222" w:rsidR="003F1247" w:rsidRPr="00694BB8" w:rsidRDefault="003F1247" w:rsidP="00000E88">
      <w:pPr>
        <w:pStyle w:val="BodyText"/>
        <w:rPr>
          <w:rFonts w:asciiTheme="minorHAnsi" w:hAnsiTheme="minorHAnsi" w:cstheme="minorHAnsi"/>
        </w:rPr>
      </w:pPr>
      <w:r w:rsidRPr="00694BB8">
        <w:rPr>
          <w:rFonts w:asciiTheme="minorHAnsi" w:hAnsiTheme="minorHAnsi" w:cstheme="minorHAnsi"/>
        </w:rPr>
        <w:t xml:space="preserve">We have suggested a pathway to introducing each of these in phases, based on priority building types and sizes. </w:t>
      </w:r>
      <w:r w:rsidR="00A255C9" w:rsidRPr="00694BB8">
        <w:rPr>
          <w:rFonts w:asciiTheme="minorHAnsi" w:hAnsiTheme="minorHAnsi" w:cstheme="minorHAnsi"/>
        </w:rPr>
        <w:t xml:space="preserve">This tailored approach for each of the options </w:t>
      </w:r>
      <w:r w:rsidR="00144F90" w:rsidRPr="00694BB8">
        <w:rPr>
          <w:rFonts w:asciiTheme="minorHAnsi" w:hAnsiTheme="minorHAnsi" w:cstheme="minorHAnsi"/>
        </w:rPr>
        <w:t>would</w:t>
      </w:r>
      <w:r w:rsidR="009B3F27" w:rsidRPr="00694BB8" w:rsidDel="00144F90">
        <w:rPr>
          <w:rFonts w:asciiTheme="minorHAnsi" w:hAnsiTheme="minorHAnsi" w:cstheme="minorHAnsi"/>
        </w:rPr>
        <w:t xml:space="preserve"> </w:t>
      </w:r>
      <w:r w:rsidR="009B3F27" w:rsidRPr="00694BB8">
        <w:rPr>
          <w:rFonts w:asciiTheme="minorHAnsi" w:hAnsiTheme="minorHAnsi" w:cstheme="minorHAnsi"/>
        </w:rPr>
        <w:t>focus first on larger buildings</w:t>
      </w:r>
      <w:r w:rsidR="00937487" w:rsidRPr="00694BB8">
        <w:rPr>
          <w:rFonts w:asciiTheme="minorHAnsi" w:hAnsiTheme="minorHAnsi" w:cstheme="minorHAnsi"/>
        </w:rPr>
        <w:t xml:space="preserve">, capturing a good proportion of sectoral energy and emissions. </w:t>
      </w:r>
      <w:r w:rsidR="00567ED6" w:rsidRPr="00694BB8">
        <w:rPr>
          <w:rFonts w:asciiTheme="minorHAnsi" w:hAnsiTheme="minorHAnsi" w:cstheme="minorHAnsi"/>
        </w:rPr>
        <w:t xml:space="preserve">Further </w:t>
      </w:r>
      <w:r w:rsidR="009B3F27" w:rsidRPr="00694BB8">
        <w:rPr>
          <w:rFonts w:asciiTheme="minorHAnsi" w:hAnsiTheme="minorHAnsi" w:cstheme="minorHAnsi"/>
        </w:rPr>
        <w:t>phase</w:t>
      </w:r>
      <w:r w:rsidR="00567ED6" w:rsidRPr="00694BB8">
        <w:rPr>
          <w:rFonts w:asciiTheme="minorHAnsi" w:hAnsiTheme="minorHAnsi" w:cstheme="minorHAnsi"/>
        </w:rPr>
        <w:t xml:space="preserve">d expansion to more sectors and </w:t>
      </w:r>
      <w:r w:rsidR="009B3F27" w:rsidRPr="00694BB8">
        <w:rPr>
          <w:rFonts w:asciiTheme="minorHAnsi" w:hAnsiTheme="minorHAnsi" w:cstheme="minorHAnsi"/>
        </w:rPr>
        <w:t>smaller buildings</w:t>
      </w:r>
      <w:r w:rsidR="00567ED6" w:rsidRPr="00694BB8">
        <w:rPr>
          <w:rFonts w:asciiTheme="minorHAnsi" w:hAnsiTheme="minorHAnsi" w:cstheme="minorHAnsi"/>
        </w:rPr>
        <w:t xml:space="preserve"> </w:t>
      </w:r>
      <w:r w:rsidR="007924C0" w:rsidRPr="00694BB8">
        <w:rPr>
          <w:rFonts w:asciiTheme="minorHAnsi" w:hAnsiTheme="minorHAnsi" w:cstheme="minorHAnsi"/>
        </w:rPr>
        <w:t>could add significant increments of energy bill and emissions savings</w:t>
      </w:r>
      <w:r w:rsidR="009B3F27" w:rsidRPr="00694BB8">
        <w:rPr>
          <w:rFonts w:asciiTheme="minorHAnsi" w:hAnsiTheme="minorHAnsi" w:cstheme="minorHAnsi"/>
        </w:rPr>
        <w:t xml:space="preserve">. </w:t>
      </w:r>
    </w:p>
    <w:p w14:paraId="7D328C40" w14:textId="608781B4" w:rsidR="003058BB" w:rsidRPr="00694BB8" w:rsidRDefault="00FE341E" w:rsidP="00005F8A">
      <w:pPr>
        <w:pStyle w:val="BodyText"/>
        <w:rPr>
          <w:rFonts w:asciiTheme="minorHAnsi" w:hAnsiTheme="minorHAnsi" w:cstheme="minorHAnsi"/>
        </w:rPr>
      </w:pPr>
      <w:r w:rsidRPr="00694BB8">
        <w:rPr>
          <w:rFonts w:asciiTheme="minorHAnsi" w:hAnsiTheme="minorHAnsi" w:cstheme="minorHAnsi"/>
        </w:rPr>
        <w:t xml:space="preserve">Buildings play an important role in Australia’s journey to net zero. This project focuses on two key areas: disclosure of energy efficiency ratings and </w:t>
      </w:r>
      <w:r w:rsidR="00DF782D" w:rsidRPr="00694BB8">
        <w:rPr>
          <w:rFonts w:asciiTheme="minorHAnsi" w:hAnsiTheme="minorHAnsi" w:cstheme="minorHAnsi"/>
        </w:rPr>
        <w:t>minimum energy performance standards</w:t>
      </w:r>
      <w:r w:rsidR="00985003" w:rsidRPr="00694BB8">
        <w:rPr>
          <w:rFonts w:asciiTheme="minorHAnsi" w:hAnsiTheme="minorHAnsi" w:cstheme="minorHAnsi"/>
        </w:rPr>
        <w:t xml:space="preserve"> in the commercial building sector</w:t>
      </w:r>
      <w:r w:rsidR="00DF782D" w:rsidRPr="00694BB8">
        <w:rPr>
          <w:rFonts w:asciiTheme="minorHAnsi" w:hAnsiTheme="minorHAnsi" w:cstheme="minorHAnsi"/>
        </w:rPr>
        <w:t xml:space="preserve">. By </w:t>
      </w:r>
      <w:r w:rsidR="007924C0" w:rsidRPr="00694BB8">
        <w:rPr>
          <w:rFonts w:asciiTheme="minorHAnsi" w:hAnsiTheme="minorHAnsi" w:cstheme="minorHAnsi"/>
        </w:rPr>
        <w:t>pursuing a clear</w:t>
      </w:r>
      <w:r w:rsidR="00DF782D" w:rsidRPr="00694BB8">
        <w:rPr>
          <w:rFonts w:asciiTheme="minorHAnsi" w:hAnsiTheme="minorHAnsi" w:cstheme="minorHAnsi"/>
        </w:rPr>
        <w:t xml:space="preserve"> roadmap</w:t>
      </w:r>
      <w:r w:rsidR="00680A2F" w:rsidRPr="00694BB8">
        <w:rPr>
          <w:rFonts w:asciiTheme="minorHAnsi" w:hAnsiTheme="minorHAnsi" w:cstheme="minorHAnsi"/>
        </w:rPr>
        <w:t>,</w:t>
      </w:r>
      <w:r w:rsidR="00DF782D" w:rsidRPr="00694BB8">
        <w:rPr>
          <w:rFonts w:asciiTheme="minorHAnsi" w:hAnsiTheme="minorHAnsi" w:cstheme="minorHAnsi"/>
        </w:rPr>
        <w:t xml:space="preserve"> government can navigate </w:t>
      </w:r>
      <w:r w:rsidR="00985003" w:rsidRPr="00694BB8">
        <w:rPr>
          <w:rFonts w:asciiTheme="minorHAnsi" w:hAnsiTheme="minorHAnsi" w:cstheme="minorHAnsi"/>
        </w:rPr>
        <w:t>expansion of the existing CBD program over</w:t>
      </w:r>
      <w:r w:rsidR="00DF782D" w:rsidRPr="00694BB8">
        <w:rPr>
          <w:rFonts w:asciiTheme="minorHAnsi" w:hAnsiTheme="minorHAnsi" w:cstheme="minorHAnsi"/>
        </w:rPr>
        <w:t xml:space="preserve"> the next ten years</w:t>
      </w:r>
      <w:r w:rsidR="007B1504" w:rsidRPr="00694BB8">
        <w:rPr>
          <w:rFonts w:asciiTheme="minorHAnsi" w:hAnsiTheme="minorHAnsi" w:cstheme="minorHAnsi"/>
        </w:rPr>
        <w:t xml:space="preserve">, leading to disclosure and energy requirements in a high proportion of Australia’s commercial building stock. Australia’s </w:t>
      </w:r>
      <w:r w:rsidR="000852BC" w:rsidRPr="00694BB8">
        <w:rPr>
          <w:rFonts w:asciiTheme="minorHAnsi" w:hAnsiTheme="minorHAnsi" w:cstheme="minorHAnsi"/>
        </w:rPr>
        <w:t xml:space="preserve">non-residential </w:t>
      </w:r>
      <w:r w:rsidR="007B1504" w:rsidRPr="00694BB8">
        <w:rPr>
          <w:rFonts w:asciiTheme="minorHAnsi" w:hAnsiTheme="minorHAnsi" w:cstheme="minorHAnsi"/>
        </w:rPr>
        <w:t xml:space="preserve">building stock </w:t>
      </w:r>
      <w:r w:rsidR="000852BC" w:rsidRPr="00694BB8">
        <w:rPr>
          <w:rFonts w:asciiTheme="minorHAnsi" w:hAnsiTheme="minorHAnsi" w:cstheme="minorHAnsi"/>
        </w:rPr>
        <w:t xml:space="preserve">is </w:t>
      </w:r>
      <w:r w:rsidR="007B1504" w:rsidRPr="00694BB8">
        <w:rPr>
          <w:rFonts w:asciiTheme="minorHAnsi" w:hAnsiTheme="minorHAnsi" w:cstheme="minorHAnsi"/>
        </w:rPr>
        <w:t xml:space="preserve">estimated to </w:t>
      </w:r>
      <w:r w:rsidR="00AF2994" w:rsidRPr="00694BB8">
        <w:rPr>
          <w:rFonts w:asciiTheme="minorHAnsi" w:hAnsiTheme="minorHAnsi" w:cstheme="minorHAnsi"/>
        </w:rPr>
        <w:t xml:space="preserve">contribute </w:t>
      </w:r>
      <w:r w:rsidR="000852BC" w:rsidRPr="00694BB8">
        <w:rPr>
          <w:rFonts w:asciiTheme="minorHAnsi" w:hAnsiTheme="minorHAnsi" w:cstheme="minorHAnsi"/>
        </w:rPr>
        <w:t>10</w:t>
      </w:r>
      <w:r w:rsidR="00741E38" w:rsidRPr="00694BB8">
        <w:rPr>
          <w:rFonts w:asciiTheme="minorHAnsi" w:hAnsiTheme="minorHAnsi" w:cstheme="minorHAnsi"/>
        </w:rPr>
        <w:t xml:space="preserve"> </w:t>
      </w:r>
      <w:r w:rsidR="000852BC" w:rsidRPr="00694BB8">
        <w:rPr>
          <w:rFonts w:asciiTheme="minorHAnsi" w:hAnsiTheme="minorHAnsi" w:cstheme="minorHAnsi"/>
        </w:rPr>
        <w:t>per cent</w:t>
      </w:r>
      <w:r w:rsidR="00AF2994" w:rsidRPr="00694BB8">
        <w:rPr>
          <w:rFonts w:asciiTheme="minorHAnsi" w:hAnsiTheme="minorHAnsi" w:cstheme="minorHAnsi"/>
        </w:rPr>
        <w:t xml:space="preserve"> </w:t>
      </w:r>
      <w:r w:rsidR="000852BC" w:rsidRPr="00694BB8">
        <w:rPr>
          <w:rFonts w:asciiTheme="minorHAnsi" w:hAnsiTheme="minorHAnsi" w:cstheme="minorHAnsi"/>
        </w:rPr>
        <w:t>of total greenhouse gas emissions</w:t>
      </w:r>
      <w:r w:rsidR="00DF4BF6" w:rsidRPr="00694BB8">
        <w:rPr>
          <w:rFonts w:asciiTheme="minorHAnsi" w:hAnsiTheme="minorHAnsi" w:cstheme="minorHAnsi"/>
        </w:rPr>
        <w:t xml:space="preserve">. </w:t>
      </w:r>
      <w:r w:rsidR="00E4479A" w:rsidRPr="00694BB8">
        <w:rPr>
          <w:rFonts w:asciiTheme="minorHAnsi" w:hAnsiTheme="minorHAnsi" w:cstheme="minorHAnsi"/>
        </w:rPr>
        <w:t>The CBD program has already reduced energy intensity (MJ/m</w:t>
      </w:r>
      <w:r w:rsidR="00E4479A" w:rsidRPr="009E4D19">
        <w:rPr>
          <w:rFonts w:asciiTheme="minorHAnsi" w:hAnsiTheme="minorHAnsi" w:cstheme="minorHAnsi"/>
          <w:vertAlign w:val="superscript"/>
        </w:rPr>
        <w:t>2</w:t>
      </w:r>
      <w:r w:rsidR="00E4479A" w:rsidRPr="00694BB8">
        <w:rPr>
          <w:rFonts w:asciiTheme="minorHAnsi" w:hAnsiTheme="minorHAnsi" w:cstheme="minorHAnsi"/>
        </w:rPr>
        <w:t>) of participating commercial office buildings by 27</w:t>
      </w:r>
      <w:r w:rsidR="00741E38" w:rsidRPr="00694BB8">
        <w:rPr>
          <w:rFonts w:asciiTheme="minorHAnsi" w:hAnsiTheme="minorHAnsi" w:cstheme="minorHAnsi"/>
        </w:rPr>
        <w:t xml:space="preserve"> </w:t>
      </w:r>
      <w:r w:rsidR="00E4479A" w:rsidRPr="00694BB8">
        <w:rPr>
          <w:rFonts w:asciiTheme="minorHAnsi" w:hAnsiTheme="minorHAnsi" w:cstheme="minorHAnsi"/>
        </w:rPr>
        <w:t xml:space="preserve">per cent and lowered energy bills by $82M. The steps the Australian Government is seeking to take here </w:t>
      </w:r>
      <w:r w:rsidR="00F13F16" w:rsidRPr="00694BB8">
        <w:rPr>
          <w:rFonts w:asciiTheme="minorHAnsi" w:hAnsiTheme="minorHAnsi" w:cstheme="minorHAnsi"/>
        </w:rPr>
        <w:t xml:space="preserve">in combination with other relevant changes to policy and legislation </w:t>
      </w:r>
      <w:r w:rsidR="00E4479A" w:rsidRPr="00694BB8">
        <w:rPr>
          <w:rFonts w:asciiTheme="minorHAnsi" w:hAnsiTheme="minorHAnsi" w:cstheme="minorHAnsi"/>
        </w:rPr>
        <w:t xml:space="preserve">will continue the journey to decarbonising the buildings sector. </w:t>
      </w:r>
    </w:p>
    <w:p w14:paraId="730B8D3E" w14:textId="5C9AD7E8" w:rsidR="00342834" w:rsidRPr="00694BB8" w:rsidRDefault="00342834">
      <w:pPr>
        <w:spacing w:before="0" w:after="160" w:line="259" w:lineRule="auto"/>
        <w:rPr>
          <w:rFonts w:asciiTheme="minorHAnsi" w:hAnsiTheme="minorHAnsi" w:cstheme="minorHAnsi"/>
          <w:b/>
        </w:rPr>
      </w:pPr>
      <w:r w:rsidRPr="00694BB8">
        <w:rPr>
          <w:rFonts w:asciiTheme="minorHAnsi" w:hAnsiTheme="minorHAnsi" w:cstheme="minorHAnsi"/>
          <w:b/>
        </w:rPr>
        <w:br w:type="page"/>
      </w:r>
    </w:p>
    <w:p w14:paraId="58CBF507" w14:textId="77777777" w:rsidR="00AC5AF2" w:rsidRPr="00694BB8" w:rsidRDefault="00AC5AF2" w:rsidP="00000E88">
      <w:pPr>
        <w:pStyle w:val="BodyText"/>
        <w:rPr>
          <w:rFonts w:asciiTheme="minorHAnsi" w:hAnsiTheme="minorHAnsi" w:cstheme="minorHAnsi"/>
          <w:b/>
        </w:rPr>
        <w:sectPr w:rsidR="00AC5AF2" w:rsidRPr="00694BB8" w:rsidSect="00A77C53">
          <w:pgSz w:w="11906" w:h="16838"/>
          <w:pgMar w:top="851" w:right="851" w:bottom="1418" w:left="851" w:header="567" w:footer="283" w:gutter="0"/>
          <w:cols w:space="708"/>
          <w:docGrid w:linePitch="360"/>
        </w:sectPr>
      </w:pPr>
    </w:p>
    <w:p w14:paraId="4D5EAB59" w14:textId="6B05180F" w:rsidR="00341EE7" w:rsidRPr="00694BB8" w:rsidRDefault="00833097" w:rsidP="00214D42">
      <w:pPr>
        <w:pStyle w:val="Heading1"/>
      </w:pPr>
      <w:bookmarkStart w:id="262" w:name="_Toc136286395"/>
      <w:bookmarkStart w:id="263" w:name="_Toc154059388"/>
      <w:bookmarkEnd w:id="198"/>
      <w:r w:rsidRPr="00694BB8">
        <w:lastRenderedPageBreak/>
        <w:t>Appendi</w:t>
      </w:r>
      <w:r w:rsidR="00A939DD" w:rsidRPr="00694BB8">
        <w:t>ces</w:t>
      </w:r>
      <w:bookmarkEnd w:id="194"/>
      <w:bookmarkEnd w:id="195"/>
      <w:bookmarkEnd w:id="196"/>
      <w:bookmarkEnd w:id="262"/>
      <w:bookmarkEnd w:id="263"/>
    </w:p>
    <w:p w14:paraId="3E39E100" w14:textId="47BA8B9B" w:rsidR="009B2EE9" w:rsidRPr="00F81ADB" w:rsidRDefault="009B2EE9" w:rsidP="00214D42">
      <w:pPr>
        <w:pStyle w:val="Heading2"/>
        <w:rPr>
          <w:rFonts w:cstheme="minorHAnsi"/>
          <w:lang w:val="en-GB"/>
        </w:rPr>
      </w:pPr>
      <w:bookmarkStart w:id="264" w:name="_Toc136286396"/>
      <w:bookmarkStart w:id="265" w:name="_Toc154059389"/>
      <w:bookmarkStart w:id="266" w:name="_Toc132295392"/>
      <w:bookmarkStart w:id="267" w:name="_Toc132295413"/>
      <w:bookmarkStart w:id="268" w:name="_Toc133844046"/>
      <w:r w:rsidRPr="00F81ADB">
        <w:rPr>
          <w:rFonts w:cstheme="minorHAnsi"/>
          <w:lang w:val="en-GB"/>
        </w:rPr>
        <w:t>Appendix 1: Framework of government levers influencing behaviour</w:t>
      </w:r>
      <w:bookmarkEnd w:id="264"/>
      <w:bookmarkEnd w:id="265"/>
    </w:p>
    <w:p w14:paraId="328CF917" w14:textId="653CBEB8" w:rsidR="00A37982" w:rsidRPr="00694BB8" w:rsidRDefault="00A37982" w:rsidP="00E4173E">
      <w:pPr>
        <w:pStyle w:val="Caption"/>
        <w:keepNext/>
        <w:rPr>
          <w:rFonts w:asciiTheme="minorHAnsi" w:hAnsiTheme="minorHAnsi" w:cstheme="minorHAnsi"/>
          <w:i w:val="0"/>
          <w:color w:val="auto"/>
          <w:sz w:val="20"/>
          <w:szCs w:val="20"/>
        </w:rPr>
      </w:pPr>
      <w:r w:rsidRPr="00694BB8">
        <w:rPr>
          <w:rFonts w:asciiTheme="minorHAnsi" w:hAnsiTheme="minorHAnsi" w:cstheme="minorHAnsi"/>
          <w:i w:val="0"/>
          <w:color w:val="auto"/>
          <w:sz w:val="20"/>
          <w:szCs w:val="20"/>
        </w:rPr>
        <w:t>The table below outlines the range of key levers from less to more significant market interventions.</w:t>
      </w:r>
    </w:p>
    <w:p w14:paraId="678A85C9" w14:textId="513A126D" w:rsidR="00E4173E" w:rsidRPr="00732C3A" w:rsidRDefault="00E4173E" w:rsidP="00732C3A">
      <w:pPr>
        <w:pStyle w:val="Caption"/>
        <w:keepNext/>
        <w:spacing w:after="120"/>
        <w:rPr>
          <w:rFonts w:ascii="Calibri" w:eastAsia="Times New Roman" w:hAnsi="Calibri" w:cs="Times New Roman"/>
          <w:b/>
          <w:bCs/>
          <w:i w:val="0"/>
          <w:iCs w:val="0"/>
          <w:color w:val="auto"/>
          <w:sz w:val="24"/>
        </w:rPr>
      </w:pPr>
      <w:bookmarkStart w:id="269" w:name="_Ref136358356"/>
      <w:bookmarkStart w:id="270" w:name="_Toc162535459"/>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SEQ Table \* ARABIC</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23</w:t>
      </w:r>
      <w:r w:rsidRPr="00732C3A">
        <w:rPr>
          <w:rFonts w:ascii="Calibri" w:eastAsia="Times New Roman" w:hAnsi="Calibri" w:cs="Times New Roman"/>
          <w:b/>
          <w:bCs/>
          <w:i w:val="0"/>
          <w:iCs w:val="0"/>
          <w:color w:val="auto"/>
          <w:sz w:val="24"/>
        </w:rPr>
        <w:fldChar w:fldCharType="end"/>
      </w:r>
      <w:r w:rsidRPr="00732C3A">
        <w:rPr>
          <w:rFonts w:ascii="Calibri" w:eastAsia="Times New Roman" w:hAnsi="Calibri" w:cs="Times New Roman"/>
          <w:b/>
          <w:bCs/>
          <w:i w:val="0"/>
          <w:iCs w:val="0"/>
          <w:color w:val="auto"/>
          <w:sz w:val="24"/>
        </w:rPr>
        <w:t xml:space="preserve">: Framework of government levers influencing </w:t>
      </w:r>
      <w:proofErr w:type="gramStart"/>
      <w:r w:rsidRPr="00732C3A">
        <w:rPr>
          <w:rFonts w:ascii="Calibri" w:eastAsia="Times New Roman" w:hAnsi="Calibri" w:cs="Times New Roman"/>
          <w:b/>
          <w:bCs/>
          <w:i w:val="0"/>
          <w:iCs w:val="0"/>
          <w:color w:val="auto"/>
          <w:sz w:val="24"/>
        </w:rPr>
        <w:t>behaviour</w:t>
      </w:r>
      <w:bookmarkEnd w:id="269"/>
      <w:bookmarkEnd w:id="270"/>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229"/>
      </w:tblGrid>
      <w:tr w:rsidR="00E4173E" w:rsidRPr="00D21E18" w14:paraId="0AD66FDA" w14:textId="77777777" w:rsidTr="00D21E18">
        <w:trPr>
          <w:trHeight w:val="1093"/>
        </w:trPr>
        <w:tc>
          <w:tcPr>
            <w:tcW w:w="2410" w:type="dxa"/>
            <w:tcBorders>
              <w:top w:val="single" w:sz="8" w:space="0" w:color="FFFFFF" w:themeColor="background1"/>
              <w:bottom w:val="single" w:sz="12" w:space="0" w:color="FFFFFF" w:themeColor="background1"/>
            </w:tcBorders>
            <w:shd w:val="clear" w:color="auto" w:fill="00338D" w:themeFill="text2"/>
            <w:vAlign w:val="center"/>
          </w:tcPr>
          <w:p w14:paraId="483B6E6C" w14:textId="77777777" w:rsidR="00E4173E" w:rsidRPr="00694BB8" w:rsidRDefault="00E4173E" w:rsidP="00F00FAF">
            <w:pPr>
              <w:pStyle w:val="BodyBullet"/>
              <w:jc w:val="center"/>
              <w:rPr>
                <w:rFonts w:cstheme="minorHAnsi"/>
                <w:b/>
                <w:color w:val="FFFFFF" w:themeColor="background1"/>
                <w:sz w:val="18"/>
                <w:szCs w:val="18"/>
              </w:rPr>
            </w:pPr>
            <w:r w:rsidRPr="00F81ADB">
              <w:rPr>
                <w:rFonts w:cstheme="minorHAnsi"/>
                <w:b/>
                <w:noProof/>
                <w:color w:val="FFFFFF" w:themeColor="background1"/>
                <w:sz w:val="18"/>
                <w:szCs w:val="18"/>
              </w:rPr>
              <w:drawing>
                <wp:inline distT="0" distB="0" distL="0" distR="0" wp14:anchorId="1A223F88" wp14:editId="071524A2">
                  <wp:extent cx="304800" cy="3048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7781" cy="317781"/>
                          </a:xfrm>
                          <a:prstGeom prst="rect">
                            <a:avLst/>
                          </a:prstGeom>
                          <a:noFill/>
                          <a:ln>
                            <a:noFill/>
                          </a:ln>
                        </pic:spPr>
                      </pic:pic>
                    </a:graphicData>
                  </a:graphic>
                </wp:inline>
              </w:drawing>
            </w:r>
          </w:p>
          <w:p w14:paraId="2B080F7C"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color w:val="FFFFFF" w:themeColor="background1"/>
                <w:sz w:val="18"/>
                <w:szCs w:val="18"/>
              </w:rPr>
              <w:t>VOLUNTARY BENCHMARKING STANDARDS</w:t>
            </w:r>
          </w:p>
        </w:tc>
        <w:tc>
          <w:tcPr>
            <w:tcW w:w="7229" w:type="dxa"/>
            <w:tcBorders>
              <w:top w:val="single" w:sz="8" w:space="0" w:color="00338D" w:themeColor="text2"/>
              <w:bottom w:val="single" w:sz="8" w:space="0" w:color="00338D" w:themeColor="text2"/>
            </w:tcBorders>
            <w:vAlign w:val="center"/>
          </w:tcPr>
          <w:p w14:paraId="6F46D140" w14:textId="737AE5BA" w:rsidR="00E4173E" w:rsidRPr="00694BB8" w:rsidRDefault="00E4173E" w:rsidP="00F00FAF">
            <w:pPr>
              <w:pStyle w:val="BodyBullet"/>
              <w:rPr>
                <w:rFonts w:cstheme="minorHAnsi"/>
                <w:sz w:val="18"/>
                <w:szCs w:val="18"/>
              </w:rPr>
            </w:pPr>
            <w:r w:rsidRPr="00F81ADB">
              <w:rPr>
                <w:rFonts w:cstheme="minorHAnsi"/>
                <w:sz w:val="18"/>
                <w:szCs w:val="18"/>
              </w:rPr>
              <w:t>Governments and industry entities can work together to develop standards for voluntary adoption, and there are a variety of approaches in different jurisdictions. Governments are increasingly requiring commercial building owners to benchmark their energy use and emissions against standards at certain decision points, e.g</w:t>
            </w:r>
            <w:r w:rsidR="00D54793" w:rsidRPr="00F81ADB">
              <w:rPr>
                <w:rFonts w:cstheme="minorHAnsi"/>
                <w:sz w:val="18"/>
                <w:szCs w:val="18"/>
              </w:rPr>
              <w:t>.,</w:t>
            </w:r>
            <w:r w:rsidRPr="00F81ADB">
              <w:rPr>
                <w:rFonts w:cstheme="minorHAnsi"/>
                <w:sz w:val="18"/>
                <w:szCs w:val="18"/>
              </w:rPr>
              <w:t xml:space="preserve"> sale or lease. </w:t>
            </w:r>
          </w:p>
        </w:tc>
      </w:tr>
      <w:tr w:rsidR="00E4173E" w:rsidRPr="00D21E18" w14:paraId="5279C2ED" w14:textId="77777777" w:rsidTr="00D21E18">
        <w:trPr>
          <w:trHeight w:val="706"/>
        </w:trPr>
        <w:tc>
          <w:tcPr>
            <w:tcW w:w="2410" w:type="dxa"/>
            <w:tcBorders>
              <w:top w:val="single" w:sz="8" w:space="0" w:color="FFFFFF" w:themeColor="background1"/>
              <w:bottom w:val="single" w:sz="8" w:space="0" w:color="FFFFFF" w:themeColor="background1"/>
            </w:tcBorders>
            <w:shd w:val="clear" w:color="auto" w:fill="00338D" w:themeFill="text2"/>
            <w:vAlign w:val="center"/>
          </w:tcPr>
          <w:p w14:paraId="5F8DAB60" w14:textId="77777777" w:rsidR="00E4173E" w:rsidRPr="00694BB8" w:rsidRDefault="00E4173E" w:rsidP="00F00FAF">
            <w:pPr>
              <w:pStyle w:val="BodyBullet"/>
              <w:jc w:val="center"/>
              <w:rPr>
                <w:rFonts w:cstheme="minorHAnsi"/>
                <w:b/>
                <w:color w:val="FFFFFF" w:themeColor="background1"/>
                <w:sz w:val="18"/>
                <w:szCs w:val="18"/>
              </w:rPr>
            </w:pPr>
            <w:r w:rsidRPr="00F81ADB">
              <w:rPr>
                <w:rFonts w:cstheme="minorHAnsi"/>
                <w:b/>
                <w:noProof/>
                <w:color w:val="FFFFFF" w:themeColor="background1"/>
                <w:sz w:val="18"/>
                <w:szCs w:val="18"/>
              </w:rPr>
              <w:drawing>
                <wp:inline distT="0" distB="0" distL="0" distR="0" wp14:anchorId="30462B9B" wp14:editId="512AFC45">
                  <wp:extent cx="246185" cy="246185"/>
                  <wp:effectExtent l="0" t="0" r="1905" b="190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413" cy="254413"/>
                          </a:xfrm>
                          <a:prstGeom prst="rect">
                            <a:avLst/>
                          </a:prstGeom>
                          <a:noFill/>
                          <a:ln>
                            <a:noFill/>
                          </a:ln>
                        </pic:spPr>
                      </pic:pic>
                    </a:graphicData>
                  </a:graphic>
                </wp:inline>
              </w:drawing>
            </w:r>
          </w:p>
          <w:p w14:paraId="58F47005"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color w:val="FFFFFF" w:themeColor="background1"/>
                <w:sz w:val="18"/>
                <w:szCs w:val="18"/>
              </w:rPr>
              <w:t>ENERGY EFFICIENCY INCENTIVES</w:t>
            </w:r>
          </w:p>
        </w:tc>
        <w:tc>
          <w:tcPr>
            <w:tcW w:w="7229" w:type="dxa"/>
            <w:tcBorders>
              <w:top w:val="single" w:sz="8" w:space="0" w:color="00338D" w:themeColor="text2"/>
              <w:bottom w:val="single" w:sz="8" w:space="0" w:color="00338D" w:themeColor="text2"/>
            </w:tcBorders>
            <w:vAlign w:val="center"/>
          </w:tcPr>
          <w:p w14:paraId="347A4A1B" w14:textId="77777777" w:rsidR="00E4173E" w:rsidRPr="00694BB8" w:rsidRDefault="00E4173E" w:rsidP="00F00FAF">
            <w:pPr>
              <w:pStyle w:val="BodyBullet"/>
              <w:rPr>
                <w:rFonts w:cstheme="minorHAnsi"/>
                <w:sz w:val="18"/>
                <w:szCs w:val="18"/>
              </w:rPr>
            </w:pPr>
            <w:r w:rsidRPr="00F81ADB">
              <w:rPr>
                <w:rFonts w:cstheme="minorHAnsi"/>
                <w:sz w:val="18"/>
                <w:szCs w:val="18"/>
              </w:rPr>
              <w:t xml:space="preserve">Governments can offer incentives to commercial building owners who invest in energy-efficient equipment and retrofits, often to improve against the above standards. The incentives can be in the form of tax credits, rebates, or low-interest loans. </w:t>
            </w:r>
          </w:p>
        </w:tc>
      </w:tr>
      <w:tr w:rsidR="00E4173E" w:rsidRPr="00D21E18" w14:paraId="2B3F16FA" w14:textId="77777777" w:rsidTr="00D21E18">
        <w:trPr>
          <w:trHeight w:val="1058"/>
        </w:trPr>
        <w:tc>
          <w:tcPr>
            <w:tcW w:w="2410" w:type="dxa"/>
            <w:tcBorders>
              <w:top w:val="single" w:sz="8" w:space="0" w:color="FFFFFF" w:themeColor="background1"/>
              <w:bottom w:val="single" w:sz="8" w:space="0" w:color="FFFFFF" w:themeColor="background1"/>
            </w:tcBorders>
            <w:shd w:val="clear" w:color="auto" w:fill="00338D" w:themeFill="text2"/>
            <w:vAlign w:val="center"/>
          </w:tcPr>
          <w:p w14:paraId="2437E520" w14:textId="77777777" w:rsidR="00E4173E" w:rsidRPr="00694BB8" w:rsidRDefault="00E4173E" w:rsidP="00F00FAF">
            <w:pPr>
              <w:pStyle w:val="BodyBullet"/>
              <w:jc w:val="center"/>
              <w:rPr>
                <w:rFonts w:cstheme="minorHAnsi"/>
                <w:b/>
                <w:color w:val="FFFFFF" w:themeColor="background1"/>
                <w:sz w:val="18"/>
                <w:szCs w:val="18"/>
              </w:rPr>
            </w:pPr>
            <w:r w:rsidRPr="00694BB8">
              <w:rPr>
                <w:rFonts w:cstheme="minorHAnsi"/>
                <w:b/>
                <w:noProof/>
                <w:color w:val="FFFFFF" w:themeColor="background1"/>
                <w:sz w:val="18"/>
                <w:szCs w:val="18"/>
              </w:rPr>
              <w:drawing>
                <wp:inline distT="0" distB="0" distL="0" distR="0" wp14:anchorId="1C8F23E2" wp14:editId="791CBD5A">
                  <wp:extent cx="274320" cy="274320"/>
                  <wp:effectExtent l="0" t="0" r="0" b="0"/>
                  <wp:docPr id="896" name="Picture 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896">
                            <a:extLst>
                              <a:ext uri="{C183D7F6-B498-43B3-948B-1728B52AA6E4}">
                                <adec:decorative xmlns:adec="http://schemas.microsoft.com/office/drawing/2017/decorative" val="1"/>
                              </a:ext>
                            </a:extLst>
                          </pic:cNvPr>
                          <pic:cNvPicPr/>
                        </pic:nvPicPr>
                        <pic:blipFill>
                          <a:blip r:embed="rId60"/>
                          <a:stretch>
                            <a:fillRect/>
                          </a:stretch>
                        </pic:blipFill>
                        <pic:spPr>
                          <a:xfrm>
                            <a:off x="0" y="0"/>
                            <a:ext cx="275826" cy="275826"/>
                          </a:xfrm>
                          <a:prstGeom prst="rect">
                            <a:avLst/>
                          </a:prstGeom>
                        </pic:spPr>
                      </pic:pic>
                    </a:graphicData>
                  </a:graphic>
                </wp:inline>
              </w:drawing>
            </w:r>
          </w:p>
          <w:p w14:paraId="0F5DCD1A"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color w:val="FFFFFF" w:themeColor="background1"/>
                <w:sz w:val="18"/>
                <w:szCs w:val="18"/>
              </w:rPr>
              <w:t>GOVERNMENT PROCUREMENT</w:t>
            </w:r>
          </w:p>
        </w:tc>
        <w:tc>
          <w:tcPr>
            <w:tcW w:w="7229" w:type="dxa"/>
            <w:tcBorders>
              <w:top w:val="single" w:sz="8" w:space="0" w:color="00338D" w:themeColor="text2"/>
              <w:bottom w:val="single" w:sz="8" w:space="0" w:color="00338D" w:themeColor="text2"/>
            </w:tcBorders>
            <w:vAlign w:val="center"/>
          </w:tcPr>
          <w:p w14:paraId="1C921512" w14:textId="0F26EEFF" w:rsidR="00E4173E" w:rsidRPr="00F81ADB" w:rsidRDefault="00E4173E" w:rsidP="00F00FAF">
            <w:pPr>
              <w:pStyle w:val="BodyBullet"/>
              <w:rPr>
                <w:rFonts w:cstheme="minorHAnsi"/>
                <w:sz w:val="18"/>
                <w:szCs w:val="18"/>
              </w:rPr>
            </w:pPr>
            <w:r w:rsidRPr="00F81ADB">
              <w:rPr>
                <w:rFonts w:cstheme="minorHAnsi"/>
                <w:sz w:val="18"/>
                <w:szCs w:val="18"/>
              </w:rPr>
              <w:t xml:space="preserve">Government can set minimum energy ratings achievements for buildings it will lease or buy. This happens in Australia where government office buildings require a NABERS rating of at least 4.5 </w:t>
            </w:r>
            <w:r w:rsidR="009B2EE9" w:rsidRPr="00F81ADB">
              <w:rPr>
                <w:rFonts w:cstheme="minorHAnsi"/>
                <w:sz w:val="18"/>
                <w:szCs w:val="18"/>
              </w:rPr>
              <w:t>stars</w:t>
            </w:r>
            <w:r w:rsidR="002D0089">
              <w:rPr>
                <w:rFonts w:ascii="ZWAdobeF" w:hAnsi="ZWAdobeF" w:cs="ZWAdobeF"/>
                <w:color w:val="auto"/>
                <w:sz w:val="2"/>
                <w:szCs w:val="2"/>
              </w:rPr>
              <w:t>160F</w:t>
            </w:r>
            <w:r w:rsidR="00EE36E3">
              <w:rPr>
                <w:rFonts w:ascii="ZWAdobeF" w:hAnsi="ZWAdobeF" w:cs="ZWAdobeF"/>
                <w:color w:val="auto"/>
                <w:sz w:val="2"/>
                <w:szCs w:val="2"/>
              </w:rPr>
              <w:t>163F</w:t>
            </w:r>
            <w:r w:rsidR="00122C48">
              <w:rPr>
                <w:rFonts w:ascii="ZWAdobeF" w:hAnsi="ZWAdobeF" w:cs="ZWAdobeF"/>
                <w:color w:val="auto"/>
                <w:sz w:val="2"/>
                <w:szCs w:val="2"/>
              </w:rPr>
              <w:t>163F</w:t>
            </w:r>
            <w:r w:rsidR="00F73A23">
              <w:rPr>
                <w:rFonts w:ascii="ZWAdobeF" w:hAnsi="ZWAdobeF" w:cs="ZWAdobeF"/>
                <w:color w:val="auto"/>
                <w:sz w:val="2"/>
                <w:szCs w:val="2"/>
              </w:rPr>
              <w:t>163F</w:t>
            </w:r>
            <w:r w:rsidR="00626378">
              <w:rPr>
                <w:rFonts w:ascii="ZWAdobeF" w:hAnsi="ZWAdobeF" w:cs="ZWAdobeF"/>
                <w:color w:val="auto"/>
                <w:sz w:val="2"/>
                <w:szCs w:val="2"/>
              </w:rPr>
              <w:t>163F</w:t>
            </w:r>
            <w:r w:rsidR="00413811">
              <w:rPr>
                <w:rFonts w:ascii="ZWAdobeF" w:hAnsi="ZWAdobeF" w:cs="ZWAdobeF"/>
                <w:color w:val="auto"/>
                <w:sz w:val="2"/>
                <w:szCs w:val="2"/>
              </w:rPr>
              <w:t>163F</w:t>
            </w:r>
            <w:r w:rsidR="002C327C">
              <w:rPr>
                <w:rFonts w:ascii="ZWAdobeF" w:hAnsi="ZWAdobeF" w:cs="ZWAdobeF"/>
                <w:color w:val="auto"/>
                <w:sz w:val="2"/>
                <w:szCs w:val="2"/>
              </w:rPr>
              <w:t>163F</w:t>
            </w:r>
            <w:r w:rsidR="00D24A06">
              <w:rPr>
                <w:rFonts w:ascii="ZWAdobeF" w:hAnsi="ZWAdobeF" w:cs="ZWAdobeF"/>
                <w:color w:val="auto"/>
                <w:sz w:val="2"/>
                <w:szCs w:val="2"/>
              </w:rPr>
              <w:t>163F</w:t>
            </w:r>
            <w:r w:rsidRPr="00F81ADB">
              <w:rPr>
                <w:rStyle w:val="FootnoteReference"/>
                <w:rFonts w:cstheme="minorHAnsi"/>
                <w:sz w:val="18"/>
                <w:szCs w:val="18"/>
              </w:rPr>
              <w:footnoteReference w:id="165"/>
            </w:r>
            <w:r w:rsidRPr="00F81ADB">
              <w:rPr>
                <w:rFonts w:cstheme="minorHAnsi"/>
                <w:sz w:val="18"/>
                <w:szCs w:val="18"/>
              </w:rPr>
              <w:t xml:space="preserve">. </w:t>
            </w:r>
          </w:p>
        </w:tc>
      </w:tr>
      <w:tr w:rsidR="00E4173E" w:rsidRPr="00D21E18" w14:paraId="10EED690" w14:textId="77777777" w:rsidTr="00D21E18">
        <w:trPr>
          <w:trHeight w:val="1192"/>
        </w:trPr>
        <w:tc>
          <w:tcPr>
            <w:tcW w:w="2410" w:type="dxa"/>
            <w:tcBorders>
              <w:top w:val="single" w:sz="12" w:space="0" w:color="FFFFFF" w:themeColor="background1"/>
              <w:bottom w:val="single" w:sz="12" w:space="0" w:color="FFFFFF" w:themeColor="background1"/>
            </w:tcBorders>
            <w:shd w:val="clear" w:color="auto" w:fill="00338D" w:themeFill="text2"/>
            <w:vAlign w:val="center"/>
          </w:tcPr>
          <w:p w14:paraId="2E613A94"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noProof/>
                <w:color w:val="FFFFFF" w:themeColor="background1"/>
                <w:sz w:val="18"/>
                <w:szCs w:val="18"/>
              </w:rPr>
              <w:drawing>
                <wp:inline distT="0" distB="0" distL="0" distR="0" wp14:anchorId="1DBB65B0" wp14:editId="5E99212D">
                  <wp:extent cx="310515" cy="31051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61"/>
                          <a:stretch>
                            <a:fillRect/>
                          </a:stretch>
                        </pic:blipFill>
                        <pic:spPr>
                          <a:xfrm>
                            <a:off x="0" y="0"/>
                            <a:ext cx="316792" cy="316792"/>
                          </a:xfrm>
                          <a:prstGeom prst="rect">
                            <a:avLst/>
                          </a:prstGeom>
                        </pic:spPr>
                      </pic:pic>
                    </a:graphicData>
                  </a:graphic>
                </wp:inline>
              </w:drawing>
            </w:r>
          </w:p>
          <w:p w14:paraId="63111DB9"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color w:val="FFFFFF" w:themeColor="background1"/>
                <w:sz w:val="18"/>
                <w:szCs w:val="18"/>
              </w:rPr>
              <w:t>MANDATORY DISCLOSURE</w:t>
            </w:r>
          </w:p>
        </w:tc>
        <w:tc>
          <w:tcPr>
            <w:tcW w:w="7229" w:type="dxa"/>
            <w:tcBorders>
              <w:top w:val="single" w:sz="8" w:space="0" w:color="00338D" w:themeColor="text2"/>
              <w:bottom w:val="single" w:sz="8" w:space="0" w:color="00338D" w:themeColor="text2"/>
            </w:tcBorders>
            <w:vAlign w:val="center"/>
          </w:tcPr>
          <w:p w14:paraId="22AE39DF" w14:textId="77777777" w:rsidR="00E4173E" w:rsidRPr="00F81ADB" w:rsidRDefault="00E4173E" w:rsidP="00F00FAF">
            <w:pPr>
              <w:pStyle w:val="BodyBullet"/>
              <w:rPr>
                <w:rFonts w:cstheme="minorHAnsi"/>
                <w:sz w:val="18"/>
                <w:szCs w:val="18"/>
              </w:rPr>
            </w:pPr>
            <w:r w:rsidRPr="00F81ADB">
              <w:rPr>
                <w:rFonts w:cstheme="minorHAnsi"/>
                <w:sz w:val="18"/>
                <w:szCs w:val="18"/>
              </w:rPr>
              <w:t xml:space="preserve">This includes mandatory disclose of energy use and emissions using an independent and consistent rating system. This is also used at certain decision points such as sale or lease. This policy provides transparency and an independent score/system for potential purchasers/lessees to weigh up </w:t>
            </w:r>
            <w:proofErr w:type="spellStart"/>
            <w:r w:rsidRPr="00F81ADB">
              <w:rPr>
                <w:rFonts w:cstheme="minorHAnsi"/>
                <w:sz w:val="18"/>
                <w:szCs w:val="18"/>
              </w:rPr>
              <w:t>ESG</w:t>
            </w:r>
            <w:proofErr w:type="spellEnd"/>
            <w:r w:rsidRPr="00F81ADB">
              <w:rPr>
                <w:rFonts w:cstheme="minorHAnsi"/>
                <w:sz w:val="18"/>
                <w:szCs w:val="18"/>
              </w:rPr>
              <w:t xml:space="preserve"> cost and benefits prior to deciding. An indirect impact is it may encourage building owners to improve energy efficiency and reduce emissions to increase likelihood to sale/lease.</w:t>
            </w:r>
          </w:p>
        </w:tc>
      </w:tr>
      <w:tr w:rsidR="00E4173E" w:rsidRPr="00D21E18" w14:paraId="0048C0E2" w14:textId="77777777" w:rsidTr="00D21E18">
        <w:trPr>
          <w:trHeight w:val="1713"/>
        </w:trPr>
        <w:tc>
          <w:tcPr>
            <w:tcW w:w="2410" w:type="dxa"/>
            <w:tcBorders>
              <w:top w:val="single" w:sz="12" w:space="0" w:color="FFFFFF" w:themeColor="background1"/>
              <w:bottom w:val="single" w:sz="12" w:space="0" w:color="FFFFFF" w:themeColor="background1"/>
            </w:tcBorders>
            <w:shd w:val="clear" w:color="auto" w:fill="00338D" w:themeFill="text2"/>
            <w:vAlign w:val="center"/>
          </w:tcPr>
          <w:p w14:paraId="35AA0EC8" w14:textId="77777777" w:rsidR="00E4173E" w:rsidRPr="00694BB8" w:rsidRDefault="00E4173E" w:rsidP="00F00FAF">
            <w:pPr>
              <w:pStyle w:val="BodyBullet"/>
              <w:jc w:val="center"/>
              <w:rPr>
                <w:rFonts w:cstheme="minorHAnsi"/>
                <w:b/>
                <w:color w:val="FFFFFF" w:themeColor="background1"/>
                <w:sz w:val="18"/>
                <w:szCs w:val="18"/>
              </w:rPr>
            </w:pPr>
            <w:r w:rsidRPr="00F81ADB">
              <w:rPr>
                <w:rFonts w:cstheme="minorHAnsi"/>
                <w:b/>
                <w:noProof/>
                <w:color w:val="FFFFFF" w:themeColor="background1"/>
                <w:sz w:val="18"/>
                <w:szCs w:val="18"/>
              </w:rPr>
              <w:drawing>
                <wp:inline distT="0" distB="0" distL="0" distR="0" wp14:anchorId="518C0B69" wp14:editId="6AA61610">
                  <wp:extent cx="369277" cy="36927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6089" cy="376089"/>
                          </a:xfrm>
                          <a:prstGeom prst="rect">
                            <a:avLst/>
                          </a:prstGeom>
                          <a:noFill/>
                          <a:ln>
                            <a:noFill/>
                          </a:ln>
                        </pic:spPr>
                      </pic:pic>
                    </a:graphicData>
                  </a:graphic>
                </wp:inline>
              </w:drawing>
            </w:r>
          </w:p>
          <w:p w14:paraId="5805D889"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color w:val="FFFFFF" w:themeColor="background1"/>
                <w:sz w:val="18"/>
                <w:szCs w:val="18"/>
              </w:rPr>
              <w:t>BUILDING CODES AND STANDARDS</w:t>
            </w:r>
          </w:p>
        </w:tc>
        <w:tc>
          <w:tcPr>
            <w:tcW w:w="7229" w:type="dxa"/>
            <w:tcBorders>
              <w:top w:val="single" w:sz="8" w:space="0" w:color="00338D" w:themeColor="text2"/>
              <w:bottom w:val="single" w:sz="8" w:space="0" w:color="00338D" w:themeColor="text2"/>
            </w:tcBorders>
            <w:vAlign w:val="center"/>
          </w:tcPr>
          <w:p w14:paraId="7350DD5A" w14:textId="63AB6E0C" w:rsidR="00E4173E" w:rsidRPr="00694BB8" w:rsidRDefault="00E4173E" w:rsidP="00F00FAF">
            <w:pPr>
              <w:pStyle w:val="BodyBullet"/>
              <w:rPr>
                <w:rFonts w:cstheme="minorHAnsi"/>
                <w:i/>
                <w:sz w:val="18"/>
                <w:szCs w:val="18"/>
              </w:rPr>
            </w:pPr>
            <w:r w:rsidRPr="00F81ADB">
              <w:rPr>
                <w:rFonts w:cstheme="minorHAnsi"/>
                <w:sz w:val="18"/>
                <w:szCs w:val="18"/>
              </w:rPr>
              <w:t xml:space="preserve">Governments can mandate building codes and standards that require new commercial buildings to meet specific energy efficiency and emission targets or standards. Minimum or prescriptive standards for new buildings is generally relatively cost effective as they can be designed into the build. Stronger versions can include mandating certain high energy or emissions equipment no longer be installed, and instead only energy-efficient heating, ventilation, air conditioning systems, and efficient lighting systems be installed. For example, Denmark building regulations has an energy efficiency requirement that insulation, pipes and tanks must be optimally placed for sharing </w:t>
            </w:r>
            <w:r w:rsidR="009B2EE9" w:rsidRPr="00F81ADB">
              <w:rPr>
                <w:rFonts w:cstheme="minorHAnsi"/>
                <w:sz w:val="18"/>
                <w:szCs w:val="18"/>
              </w:rPr>
              <w:t>heat</w:t>
            </w:r>
            <w:r w:rsidR="002D0089">
              <w:rPr>
                <w:rFonts w:ascii="ZWAdobeF" w:hAnsi="ZWAdobeF" w:cs="ZWAdobeF"/>
                <w:color w:val="auto"/>
                <w:sz w:val="2"/>
                <w:szCs w:val="2"/>
              </w:rPr>
              <w:t>161F</w:t>
            </w:r>
            <w:r w:rsidR="00EE36E3">
              <w:rPr>
                <w:rFonts w:ascii="ZWAdobeF" w:hAnsi="ZWAdobeF" w:cs="ZWAdobeF"/>
                <w:color w:val="auto"/>
                <w:sz w:val="2"/>
                <w:szCs w:val="2"/>
              </w:rPr>
              <w:t>164F</w:t>
            </w:r>
            <w:r w:rsidR="00122C48">
              <w:rPr>
                <w:rFonts w:ascii="ZWAdobeF" w:hAnsi="ZWAdobeF" w:cs="ZWAdobeF"/>
                <w:color w:val="auto"/>
                <w:sz w:val="2"/>
                <w:szCs w:val="2"/>
              </w:rPr>
              <w:t>164F</w:t>
            </w:r>
            <w:r w:rsidR="00F73A23">
              <w:rPr>
                <w:rFonts w:ascii="ZWAdobeF" w:hAnsi="ZWAdobeF" w:cs="ZWAdobeF"/>
                <w:color w:val="auto"/>
                <w:sz w:val="2"/>
                <w:szCs w:val="2"/>
              </w:rPr>
              <w:t>164F</w:t>
            </w:r>
            <w:r w:rsidR="00626378">
              <w:rPr>
                <w:rFonts w:ascii="ZWAdobeF" w:hAnsi="ZWAdobeF" w:cs="ZWAdobeF"/>
                <w:color w:val="auto"/>
                <w:sz w:val="2"/>
                <w:szCs w:val="2"/>
              </w:rPr>
              <w:t>164F</w:t>
            </w:r>
            <w:r w:rsidR="00413811">
              <w:rPr>
                <w:rFonts w:ascii="ZWAdobeF" w:hAnsi="ZWAdobeF" w:cs="ZWAdobeF"/>
                <w:color w:val="auto"/>
                <w:sz w:val="2"/>
                <w:szCs w:val="2"/>
              </w:rPr>
              <w:t>164F</w:t>
            </w:r>
            <w:r w:rsidR="002C327C">
              <w:rPr>
                <w:rFonts w:ascii="ZWAdobeF" w:hAnsi="ZWAdobeF" w:cs="ZWAdobeF"/>
                <w:color w:val="auto"/>
                <w:sz w:val="2"/>
                <w:szCs w:val="2"/>
              </w:rPr>
              <w:t>164F</w:t>
            </w:r>
            <w:r w:rsidR="00D24A06">
              <w:rPr>
                <w:rFonts w:ascii="ZWAdobeF" w:hAnsi="ZWAdobeF" w:cs="ZWAdobeF"/>
                <w:color w:val="auto"/>
                <w:sz w:val="2"/>
                <w:szCs w:val="2"/>
              </w:rPr>
              <w:t>164F</w:t>
            </w:r>
            <w:r w:rsidRPr="00F81ADB">
              <w:rPr>
                <w:rStyle w:val="FootnoteReference"/>
                <w:rFonts w:cstheme="minorHAnsi"/>
                <w:sz w:val="18"/>
                <w:szCs w:val="18"/>
              </w:rPr>
              <w:footnoteReference w:id="166"/>
            </w:r>
            <w:r w:rsidRPr="00F81ADB">
              <w:rPr>
                <w:rFonts w:cstheme="minorHAnsi"/>
                <w:sz w:val="18"/>
                <w:szCs w:val="18"/>
              </w:rPr>
              <w:t xml:space="preserve">. </w:t>
            </w:r>
          </w:p>
        </w:tc>
      </w:tr>
      <w:tr w:rsidR="00E4173E" w:rsidRPr="00D21E18" w14:paraId="292C7FF1" w14:textId="77777777" w:rsidTr="00D21E18">
        <w:trPr>
          <w:trHeight w:val="980"/>
        </w:trPr>
        <w:tc>
          <w:tcPr>
            <w:tcW w:w="2410" w:type="dxa"/>
            <w:tcBorders>
              <w:top w:val="single" w:sz="12" w:space="0" w:color="FFFFFF" w:themeColor="background1"/>
              <w:bottom w:val="single" w:sz="12" w:space="0" w:color="FFFFFF" w:themeColor="background1"/>
            </w:tcBorders>
            <w:shd w:val="clear" w:color="auto" w:fill="00338D" w:themeFill="text2"/>
            <w:vAlign w:val="center"/>
          </w:tcPr>
          <w:p w14:paraId="021C42E5" w14:textId="77777777" w:rsidR="00E4173E" w:rsidRPr="00694BB8" w:rsidRDefault="00E4173E" w:rsidP="00F00FAF">
            <w:pPr>
              <w:pStyle w:val="BodyBullet"/>
              <w:jc w:val="center"/>
              <w:rPr>
                <w:rFonts w:cstheme="minorHAnsi"/>
                <w:b/>
                <w:color w:val="FFFFFF" w:themeColor="background1"/>
                <w:sz w:val="18"/>
                <w:szCs w:val="18"/>
              </w:rPr>
            </w:pPr>
            <w:r w:rsidRPr="00F81ADB">
              <w:rPr>
                <w:rFonts w:cstheme="minorHAnsi"/>
                <w:b/>
                <w:noProof/>
                <w:color w:val="FFFFFF" w:themeColor="background1"/>
                <w:sz w:val="18"/>
                <w:szCs w:val="18"/>
              </w:rPr>
              <w:drawing>
                <wp:inline distT="0" distB="0" distL="0" distR="0" wp14:anchorId="56A60C9A" wp14:editId="4E540D59">
                  <wp:extent cx="297180" cy="297180"/>
                  <wp:effectExtent l="0" t="0" r="7620" b="762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3295" cy="303295"/>
                          </a:xfrm>
                          <a:prstGeom prst="rect">
                            <a:avLst/>
                          </a:prstGeom>
                          <a:noFill/>
                          <a:ln>
                            <a:noFill/>
                          </a:ln>
                        </pic:spPr>
                      </pic:pic>
                    </a:graphicData>
                  </a:graphic>
                </wp:inline>
              </w:drawing>
            </w:r>
          </w:p>
          <w:p w14:paraId="113F05CA"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color w:val="FFFFFF" w:themeColor="background1"/>
                <w:sz w:val="18"/>
                <w:szCs w:val="18"/>
              </w:rPr>
              <w:t>CARBON PRICING</w:t>
            </w:r>
          </w:p>
        </w:tc>
        <w:tc>
          <w:tcPr>
            <w:tcW w:w="7229" w:type="dxa"/>
            <w:tcBorders>
              <w:top w:val="single" w:sz="8" w:space="0" w:color="00338D" w:themeColor="text2"/>
              <w:bottom w:val="single" w:sz="8" w:space="0" w:color="00338D" w:themeColor="text2"/>
            </w:tcBorders>
            <w:vAlign w:val="center"/>
          </w:tcPr>
          <w:p w14:paraId="39CDD9E2" w14:textId="77777777" w:rsidR="00E4173E" w:rsidRPr="00F81ADB" w:rsidRDefault="00E4173E" w:rsidP="00F00FAF">
            <w:pPr>
              <w:pStyle w:val="BodyBullet"/>
              <w:rPr>
                <w:rFonts w:cstheme="minorHAnsi"/>
                <w:sz w:val="18"/>
                <w:szCs w:val="18"/>
              </w:rPr>
            </w:pPr>
            <w:r w:rsidRPr="00F81ADB">
              <w:rPr>
                <w:rFonts w:cstheme="minorHAnsi"/>
                <w:sz w:val="18"/>
                <w:szCs w:val="18"/>
              </w:rPr>
              <w:t>Governments can implement carbon pricing policies that include coverage of commercial buildings emissions (often implemented upstream via fuels). This policy can provide an economic incentive for commercial building owners to reduce their emissions and invest in energy-efficient equipment.</w:t>
            </w:r>
          </w:p>
        </w:tc>
      </w:tr>
      <w:tr w:rsidR="00E4173E" w:rsidRPr="00D21E18" w14:paraId="196037D5" w14:textId="77777777" w:rsidTr="00D21E18">
        <w:trPr>
          <w:trHeight w:val="1156"/>
        </w:trPr>
        <w:tc>
          <w:tcPr>
            <w:tcW w:w="2410" w:type="dxa"/>
            <w:tcBorders>
              <w:top w:val="single" w:sz="8" w:space="0" w:color="FFFFFF" w:themeColor="background1"/>
              <w:bottom w:val="single" w:sz="8" w:space="0" w:color="FFFFFF" w:themeColor="background1"/>
            </w:tcBorders>
            <w:shd w:val="clear" w:color="auto" w:fill="00338D" w:themeFill="text2"/>
            <w:vAlign w:val="center"/>
          </w:tcPr>
          <w:p w14:paraId="2B3511A0" w14:textId="77777777" w:rsidR="00E4173E" w:rsidRPr="00694BB8" w:rsidRDefault="00E4173E" w:rsidP="00F00FAF">
            <w:pPr>
              <w:pStyle w:val="BodyBullet"/>
              <w:jc w:val="center"/>
              <w:rPr>
                <w:rFonts w:cstheme="minorHAnsi"/>
                <w:b/>
                <w:color w:val="FFFFFF" w:themeColor="background1"/>
                <w:sz w:val="18"/>
                <w:szCs w:val="18"/>
              </w:rPr>
            </w:pPr>
            <w:r w:rsidRPr="00F81ADB">
              <w:rPr>
                <w:rFonts w:cstheme="minorHAnsi"/>
                <w:b/>
                <w:noProof/>
                <w:color w:val="FFFFFF" w:themeColor="background1"/>
                <w:sz w:val="18"/>
                <w:szCs w:val="18"/>
              </w:rPr>
              <w:drawing>
                <wp:inline distT="0" distB="0" distL="0" distR="0" wp14:anchorId="5F371A7A" wp14:editId="3BEF6943">
                  <wp:extent cx="392430" cy="392430"/>
                  <wp:effectExtent l="0" t="0" r="7620" b="7620"/>
                  <wp:docPr id="897" name="Picture 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897">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8971" cy="398971"/>
                          </a:xfrm>
                          <a:prstGeom prst="rect">
                            <a:avLst/>
                          </a:prstGeom>
                          <a:noFill/>
                          <a:ln>
                            <a:noFill/>
                          </a:ln>
                        </pic:spPr>
                      </pic:pic>
                    </a:graphicData>
                  </a:graphic>
                </wp:inline>
              </w:drawing>
            </w:r>
          </w:p>
          <w:p w14:paraId="2DF1EF22" w14:textId="77777777" w:rsidR="00E4173E" w:rsidRPr="00F81ADB" w:rsidRDefault="00E4173E" w:rsidP="00F00FAF">
            <w:pPr>
              <w:pStyle w:val="BodyBullet"/>
              <w:jc w:val="center"/>
              <w:rPr>
                <w:rFonts w:cstheme="minorHAnsi"/>
                <w:b/>
                <w:color w:val="FFFFFF" w:themeColor="background1"/>
                <w:sz w:val="18"/>
                <w:szCs w:val="18"/>
              </w:rPr>
            </w:pPr>
            <w:r w:rsidRPr="00F81ADB">
              <w:rPr>
                <w:rFonts w:cstheme="minorHAnsi"/>
                <w:b/>
                <w:color w:val="FFFFFF" w:themeColor="background1"/>
                <w:sz w:val="18"/>
                <w:szCs w:val="18"/>
              </w:rPr>
              <w:t>MINIMUM ENERGY PERFORMANCE STANDARDS (</w:t>
            </w:r>
            <w:proofErr w:type="spellStart"/>
            <w:r w:rsidRPr="00F81ADB">
              <w:rPr>
                <w:rFonts w:cstheme="minorHAnsi"/>
                <w:b/>
                <w:color w:val="FFFFFF" w:themeColor="background1"/>
                <w:sz w:val="18"/>
                <w:szCs w:val="18"/>
              </w:rPr>
              <w:t>MEPS</w:t>
            </w:r>
            <w:proofErr w:type="spellEnd"/>
            <w:r w:rsidRPr="00F81ADB">
              <w:rPr>
                <w:rFonts w:cstheme="minorHAnsi"/>
                <w:b/>
                <w:color w:val="FFFFFF" w:themeColor="background1"/>
                <w:sz w:val="18"/>
                <w:szCs w:val="18"/>
              </w:rPr>
              <w:t>)</w:t>
            </w:r>
          </w:p>
        </w:tc>
        <w:tc>
          <w:tcPr>
            <w:tcW w:w="7229" w:type="dxa"/>
            <w:tcBorders>
              <w:top w:val="single" w:sz="8" w:space="0" w:color="00338D" w:themeColor="text2"/>
              <w:bottom w:val="single" w:sz="8" w:space="0" w:color="00338D" w:themeColor="text2"/>
            </w:tcBorders>
            <w:vAlign w:val="center"/>
          </w:tcPr>
          <w:p w14:paraId="356FB42F" w14:textId="24F609E2" w:rsidR="00E4173E" w:rsidRPr="00694BB8" w:rsidRDefault="00E4173E" w:rsidP="00F00FAF">
            <w:pPr>
              <w:pStyle w:val="CommentText"/>
              <w:rPr>
                <w:rFonts w:asciiTheme="minorHAnsi" w:hAnsiTheme="minorHAnsi" w:cstheme="minorHAnsi"/>
                <w:sz w:val="18"/>
                <w:szCs w:val="18"/>
              </w:rPr>
            </w:pPr>
            <w:proofErr w:type="spellStart"/>
            <w:r w:rsidRPr="00694BB8">
              <w:rPr>
                <w:rFonts w:asciiTheme="minorHAnsi" w:hAnsiTheme="minorHAnsi" w:cstheme="minorHAnsi"/>
                <w:sz w:val="18"/>
                <w:szCs w:val="18"/>
              </w:rPr>
              <w:t>MEPS</w:t>
            </w:r>
            <w:proofErr w:type="spellEnd"/>
            <w:r w:rsidRPr="00694BB8">
              <w:rPr>
                <w:rFonts w:asciiTheme="minorHAnsi" w:hAnsiTheme="minorHAnsi" w:cstheme="minorHAnsi"/>
                <w:sz w:val="18"/>
                <w:szCs w:val="18"/>
              </w:rPr>
              <w:t xml:space="preserve"> mandate a base level requirement for the energy performance of existing building and plant. This may be a minimum standard for individual plant and appliances, or </w:t>
            </w:r>
            <w:r w:rsidR="00D54793" w:rsidRPr="00694BB8">
              <w:rPr>
                <w:rFonts w:asciiTheme="minorHAnsi" w:hAnsiTheme="minorHAnsi" w:cstheme="minorHAnsi"/>
                <w:sz w:val="18"/>
                <w:szCs w:val="18"/>
              </w:rPr>
              <w:t>broader</w:t>
            </w:r>
            <w:r w:rsidRPr="00694BB8">
              <w:rPr>
                <w:rFonts w:asciiTheme="minorHAnsi" w:hAnsiTheme="minorHAnsi" w:cstheme="minorHAnsi"/>
                <w:sz w:val="18"/>
                <w:szCs w:val="18"/>
              </w:rPr>
              <w:t xml:space="preserve"> </w:t>
            </w:r>
            <w:proofErr w:type="spellStart"/>
            <w:r w:rsidRPr="00694BB8">
              <w:rPr>
                <w:rFonts w:asciiTheme="minorHAnsi" w:hAnsiTheme="minorHAnsi" w:cstheme="minorHAnsi"/>
                <w:sz w:val="18"/>
                <w:szCs w:val="18"/>
              </w:rPr>
              <w:t>MEPS</w:t>
            </w:r>
            <w:proofErr w:type="spellEnd"/>
            <w:r w:rsidRPr="00694BB8">
              <w:rPr>
                <w:rFonts w:asciiTheme="minorHAnsi" w:hAnsiTheme="minorHAnsi" w:cstheme="minorHAnsi"/>
                <w:sz w:val="18"/>
                <w:szCs w:val="18"/>
              </w:rPr>
              <w:t xml:space="preserve"> for whole buildings </w:t>
            </w:r>
            <w:proofErr w:type="gramStart"/>
            <w:r w:rsidRPr="00694BB8">
              <w:rPr>
                <w:rFonts w:asciiTheme="minorHAnsi" w:hAnsiTheme="minorHAnsi" w:cstheme="minorHAnsi"/>
                <w:sz w:val="18"/>
                <w:szCs w:val="18"/>
              </w:rPr>
              <w:t>on the basis of</w:t>
            </w:r>
            <w:proofErr w:type="gramEnd"/>
            <w:r w:rsidRPr="00694BB8">
              <w:rPr>
                <w:rFonts w:asciiTheme="minorHAnsi" w:hAnsiTheme="minorHAnsi" w:cstheme="minorHAnsi"/>
                <w:sz w:val="18"/>
                <w:szCs w:val="18"/>
              </w:rPr>
              <w:t xml:space="preserve"> performance, attributes, or both. Examples include mandating installation of energy/emissions saving features or no new installation of high energy/emissions plant (attribute)</w:t>
            </w:r>
            <w:r w:rsidR="002D0089">
              <w:rPr>
                <w:rFonts w:ascii="ZWAdobeF" w:hAnsi="ZWAdobeF" w:cs="ZWAdobeF"/>
                <w:color w:val="auto"/>
                <w:sz w:val="2"/>
                <w:szCs w:val="2"/>
              </w:rPr>
              <w:t>162F</w:t>
            </w:r>
            <w:r w:rsidR="00EE36E3">
              <w:rPr>
                <w:rFonts w:ascii="ZWAdobeF" w:hAnsi="ZWAdobeF" w:cs="ZWAdobeF"/>
                <w:color w:val="auto"/>
                <w:sz w:val="2"/>
                <w:szCs w:val="2"/>
              </w:rPr>
              <w:t>165F</w:t>
            </w:r>
            <w:r w:rsidR="00122C48">
              <w:rPr>
                <w:rFonts w:ascii="ZWAdobeF" w:hAnsi="ZWAdobeF" w:cs="ZWAdobeF"/>
                <w:color w:val="auto"/>
                <w:sz w:val="2"/>
                <w:szCs w:val="2"/>
              </w:rPr>
              <w:t>165F</w:t>
            </w:r>
            <w:r w:rsidR="00F73A23">
              <w:rPr>
                <w:rFonts w:ascii="ZWAdobeF" w:hAnsi="ZWAdobeF" w:cs="ZWAdobeF"/>
                <w:color w:val="auto"/>
                <w:sz w:val="2"/>
                <w:szCs w:val="2"/>
              </w:rPr>
              <w:t>165F</w:t>
            </w:r>
            <w:r w:rsidR="00626378">
              <w:rPr>
                <w:rFonts w:ascii="ZWAdobeF" w:hAnsi="ZWAdobeF" w:cs="ZWAdobeF"/>
                <w:color w:val="auto"/>
                <w:sz w:val="2"/>
                <w:szCs w:val="2"/>
              </w:rPr>
              <w:t>165F</w:t>
            </w:r>
            <w:r w:rsidR="00413811">
              <w:rPr>
                <w:rFonts w:ascii="ZWAdobeF" w:hAnsi="ZWAdobeF" w:cs="ZWAdobeF"/>
                <w:color w:val="auto"/>
                <w:sz w:val="2"/>
                <w:szCs w:val="2"/>
              </w:rPr>
              <w:t>165F</w:t>
            </w:r>
            <w:r w:rsidR="002C327C">
              <w:rPr>
                <w:rFonts w:ascii="ZWAdobeF" w:hAnsi="ZWAdobeF" w:cs="ZWAdobeF"/>
                <w:color w:val="auto"/>
                <w:sz w:val="2"/>
                <w:szCs w:val="2"/>
              </w:rPr>
              <w:t>165F</w:t>
            </w:r>
            <w:r w:rsidR="00D24A06">
              <w:rPr>
                <w:rFonts w:ascii="ZWAdobeF" w:hAnsi="ZWAdobeF" w:cs="ZWAdobeF"/>
                <w:color w:val="auto"/>
                <w:sz w:val="2"/>
                <w:szCs w:val="2"/>
              </w:rPr>
              <w:t>165F</w:t>
            </w:r>
            <w:r w:rsidRPr="00694BB8">
              <w:rPr>
                <w:rStyle w:val="FootnoteReference"/>
                <w:rFonts w:asciiTheme="minorHAnsi" w:hAnsiTheme="minorHAnsi" w:cstheme="minorHAnsi"/>
                <w:sz w:val="18"/>
                <w:szCs w:val="18"/>
              </w:rPr>
              <w:footnoteReference w:id="167"/>
            </w:r>
            <w:r w:rsidRPr="00694BB8">
              <w:rPr>
                <w:rFonts w:asciiTheme="minorHAnsi" w:hAnsiTheme="minorHAnsi" w:cstheme="minorHAnsi"/>
                <w:sz w:val="18"/>
                <w:szCs w:val="18"/>
              </w:rPr>
              <w:t xml:space="preserve">. Applying regulations requiring this in the private market is now common especially in Europe and the required ratings are becoming stricter (e.g. in the </w:t>
            </w:r>
            <w:r w:rsidR="009B2EE9" w:rsidRPr="00694BB8">
              <w:rPr>
                <w:rFonts w:asciiTheme="minorHAnsi" w:hAnsiTheme="minorHAnsi" w:cstheme="minorHAnsi"/>
                <w:sz w:val="18"/>
                <w:szCs w:val="18"/>
              </w:rPr>
              <w:t>EU</w:t>
            </w:r>
            <w:r w:rsidR="002D0089">
              <w:rPr>
                <w:rFonts w:ascii="ZWAdobeF" w:hAnsi="ZWAdobeF" w:cs="ZWAdobeF"/>
                <w:color w:val="auto"/>
                <w:sz w:val="2"/>
                <w:szCs w:val="2"/>
              </w:rPr>
              <w:t>163F</w:t>
            </w:r>
            <w:r w:rsidR="00EE36E3">
              <w:rPr>
                <w:rFonts w:ascii="ZWAdobeF" w:hAnsi="ZWAdobeF" w:cs="ZWAdobeF"/>
                <w:color w:val="auto"/>
                <w:sz w:val="2"/>
                <w:szCs w:val="2"/>
              </w:rPr>
              <w:t>166F</w:t>
            </w:r>
            <w:r w:rsidR="00122C48">
              <w:rPr>
                <w:rFonts w:ascii="ZWAdobeF" w:hAnsi="ZWAdobeF" w:cs="ZWAdobeF"/>
                <w:color w:val="auto"/>
                <w:sz w:val="2"/>
                <w:szCs w:val="2"/>
              </w:rPr>
              <w:t>166F</w:t>
            </w:r>
            <w:r w:rsidR="00F73A23">
              <w:rPr>
                <w:rFonts w:ascii="ZWAdobeF" w:hAnsi="ZWAdobeF" w:cs="ZWAdobeF"/>
                <w:color w:val="auto"/>
                <w:sz w:val="2"/>
                <w:szCs w:val="2"/>
              </w:rPr>
              <w:t>166F</w:t>
            </w:r>
            <w:r w:rsidR="00626378">
              <w:rPr>
                <w:rFonts w:ascii="ZWAdobeF" w:hAnsi="ZWAdobeF" w:cs="ZWAdobeF"/>
                <w:color w:val="auto"/>
                <w:sz w:val="2"/>
                <w:szCs w:val="2"/>
              </w:rPr>
              <w:t>166F</w:t>
            </w:r>
            <w:r w:rsidR="00413811">
              <w:rPr>
                <w:rFonts w:ascii="ZWAdobeF" w:hAnsi="ZWAdobeF" w:cs="ZWAdobeF"/>
                <w:color w:val="auto"/>
                <w:sz w:val="2"/>
                <w:szCs w:val="2"/>
              </w:rPr>
              <w:t>166F</w:t>
            </w:r>
            <w:r w:rsidR="002C327C">
              <w:rPr>
                <w:rFonts w:ascii="ZWAdobeF" w:hAnsi="ZWAdobeF" w:cs="ZWAdobeF"/>
                <w:color w:val="auto"/>
                <w:sz w:val="2"/>
                <w:szCs w:val="2"/>
              </w:rPr>
              <w:t>166F</w:t>
            </w:r>
            <w:r w:rsidR="00D24A06">
              <w:rPr>
                <w:rFonts w:ascii="ZWAdobeF" w:hAnsi="ZWAdobeF" w:cs="ZWAdobeF"/>
                <w:color w:val="auto"/>
                <w:sz w:val="2"/>
                <w:szCs w:val="2"/>
              </w:rPr>
              <w:t>166F</w:t>
            </w:r>
            <w:r w:rsidRPr="00694BB8">
              <w:rPr>
                <w:rStyle w:val="FootnoteReference"/>
                <w:rFonts w:asciiTheme="minorHAnsi" w:hAnsiTheme="minorHAnsi" w:cstheme="minorHAnsi"/>
                <w:sz w:val="18"/>
                <w:szCs w:val="18"/>
              </w:rPr>
              <w:footnoteReference w:id="168"/>
            </w:r>
            <w:r w:rsidRPr="00694BB8">
              <w:rPr>
                <w:rFonts w:asciiTheme="minorHAnsi" w:hAnsiTheme="minorHAnsi" w:cstheme="minorHAnsi"/>
                <w:sz w:val="18"/>
                <w:szCs w:val="18"/>
              </w:rPr>
              <w:t xml:space="preserve"> and UK</w:t>
            </w:r>
            <w:r w:rsidR="002D0089">
              <w:rPr>
                <w:rFonts w:ascii="ZWAdobeF" w:hAnsi="ZWAdobeF" w:cs="ZWAdobeF"/>
                <w:color w:val="auto"/>
                <w:sz w:val="2"/>
                <w:szCs w:val="2"/>
              </w:rPr>
              <w:t>164F</w:t>
            </w:r>
            <w:r w:rsidR="00EE36E3">
              <w:rPr>
                <w:rFonts w:ascii="ZWAdobeF" w:hAnsi="ZWAdobeF" w:cs="ZWAdobeF"/>
                <w:color w:val="auto"/>
                <w:sz w:val="2"/>
                <w:szCs w:val="2"/>
              </w:rPr>
              <w:t>167F</w:t>
            </w:r>
            <w:r w:rsidR="00122C48">
              <w:rPr>
                <w:rFonts w:ascii="ZWAdobeF" w:hAnsi="ZWAdobeF" w:cs="ZWAdobeF"/>
                <w:color w:val="auto"/>
                <w:sz w:val="2"/>
                <w:szCs w:val="2"/>
              </w:rPr>
              <w:t>167F</w:t>
            </w:r>
            <w:r w:rsidR="00F73A23">
              <w:rPr>
                <w:rFonts w:ascii="ZWAdobeF" w:hAnsi="ZWAdobeF" w:cs="ZWAdobeF"/>
                <w:color w:val="auto"/>
                <w:sz w:val="2"/>
                <w:szCs w:val="2"/>
              </w:rPr>
              <w:t>167F</w:t>
            </w:r>
            <w:r w:rsidR="00626378">
              <w:rPr>
                <w:rFonts w:ascii="ZWAdobeF" w:hAnsi="ZWAdobeF" w:cs="ZWAdobeF"/>
                <w:color w:val="auto"/>
                <w:sz w:val="2"/>
                <w:szCs w:val="2"/>
              </w:rPr>
              <w:t>167F</w:t>
            </w:r>
            <w:r w:rsidR="00413811">
              <w:rPr>
                <w:rFonts w:ascii="ZWAdobeF" w:hAnsi="ZWAdobeF" w:cs="ZWAdobeF"/>
                <w:color w:val="auto"/>
                <w:sz w:val="2"/>
                <w:szCs w:val="2"/>
              </w:rPr>
              <w:t>167F</w:t>
            </w:r>
            <w:r w:rsidR="002C327C">
              <w:rPr>
                <w:rFonts w:ascii="ZWAdobeF" w:hAnsi="ZWAdobeF" w:cs="ZWAdobeF"/>
                <w:color w:val="auto"/>
                <w:sz w:val="2"/>
                <w:szCs w:val="2"/>
              </w:rPr>
              <w:t>167F</w:t>
            </w:r>
            <w:r w:rsidR="00D24A06">
              <w:rPr>
                <w:rFonts w:ascii="ZWAdobeF" w:hAnsi="ZWAdobeF" w:cs="ZWAdobeF"/>
                <w:color w:val="auto"/>
                <w:sz w:val="2"/>
                <w:szCs w:val="2"/>
              </w:rPr>
              <w:t>167F</w:t>
            </w:r>
            <w:r w:rsidRPr="00694BB8">
              <w:rPr>
                <w:rStyle w:val="FootnoteReference"/>
                <w:rFonts w:asciiTheme="minorHAnsi" w:hAnsiTheme="minorHAnsi" w:cstheme="minorHAnsi"/>
                <w:sz w:val="18"/>
                <w:szCs w:val="18"/>
              </w:rPr>
              <w:footnoteReference w:id="169"/>
            </w:r>
            <w:r w:rsidRPr="00694BB8">
              <w:rPr>
                <w:rFonts w:asciiTheme="minorHAnsi" w:hAnsiTheme="minorHAnsi" w:cstheme="minorHAnsi"/>
                <w:sz w:val="18"/>
                <w:szCs w:val="18"/>
              </w:rPr>
              <w:t>).</w:t>
            </w:r>
          </w:p>
        </w:tc>
      </w:tr>
    </w:tbl>
    <w:p w14:paraId="2BF74BFA" w14:textId="11DD3D38" w:rsidR="00C10AC4" w:rsidRPr="00F81ADB" w:rsidRDefault="00C10AC4" w:rsidP="00214D42">
      <w:pPr>
        <w:pStyle w:val="Heading2"/>
        <w:rPr>
          <w:rFonts w:cstheme="minorHAnsi"/>
          <w:lang w:val="en-GB"/>
        </w:rPr>
      </w:pPr>
      <w:bookmarkStart w:id="271" w:name="_Toc154059390"/>
      <w:bookmarkStart w:id="272" w:name="_Toc136286397"/>
      <w:r w:rsidRPr="00F81ADB">
        <w:rPr>
          <w:rFonts w:cstheme="minorHAnsi"/>
          <w:lang w:val="en-GB"/>
        </w:rPr>
        <w:lastRenderedPageBreak/>
        <w:t xml:space="preserve">Appendix 2: Australian Buildings Data used in this </w:t>
      </w:r>
      <w:proofErr w:type="gramStart"/>
      <w:r w:rsidRPr="00F81ADB">
        <w:rPr>
          <w:rFonts w:cstheme="minorHAnsi"/>
          <w:lang w:val="en-GB"/>
        </w:rPr>
        <w:t>report</w:t>
      </w:r>
      <w:bookmarkEnd w:id="271"/>
      <w:proofErr w:type="gramEnd"/>
    </w:p>
    <w:tbl>
      <w:tblPr>
        <w:tblStyle w:val="TableGrid"/>
        <w:tblW w:w="0" w:type="auto"/>
        <w:tblLook w:val="04A0" w:firstRow="1" w:lastRow="0" w:firstColumn="1" w:lastColumn="0" w:noHBand="0" w:noVBand="1"/>
      </w:tblPr>
      <w:tblGrid>
        <w:gridCol w:w="9351"/>
      </w:tblGrid>
      <w:tr w:rsidR="006B1E5E" w14:paraId="5C794547" w14:textId="77777777" w:rsidTr="00AC4923">
        <w:tc>
          <w:tcPr>
            <w:tcW w:w="9351" w:type="dxa"/>
            <w:shd w:val="clear" w:color="auto" w:fill="F2F2F2" w:themeFill="background1" w:themeFillShade="F2"/>
          </w:tcPr>
          <w:p w14:paraId="0877BD29" w14:textId="4E10204A" w:rsidR="001C1649" w:rsidRDefault="000615A6" w:rsidP="00AC4923">
            <w:pPr>
              <w:pStyle w:val="BodyText1"/>
              <w:jc w:val="left"/>
              <w:rPr>
                <w:rFonts w:asciiTheme="minorHAnsi" w:hAnsiTheme="minorHAnsi"/>
                <w:b/>
                <w:sz w:val="20"/>
                <w:szCs w:val="18"/>
                <w:lang w:val="en-US"/>
              </w:rPr>
            </w:pPr>
            <w:r>
              <w:rPr>
                <w:noProof/>
              </w:rPr>
              <mc:AlternateContent>
                <mc:Choice Requires="wps">
                  <w:drawing>
                    <wp:anchor distT="0" distB="0" distL="114300" distR="114300" simplePos="0" relativeHeight="251658245" behindDoc="0" locked="0" layoutInCell="1" allowOverlap="1" wp14:anchorId="469A440B" wp14:editId="74739A6B">
                      <wp:simplePos x="0" y="0"/>
                      <wp:positionH relativeFrom="column">
                        <wp:posOffset>255270</wp:posOffset>
                      </wp:positionH>
                      <wp:positionV relativeFrom="paragraph">
                        <wp:posOffset>59690</wp:posOffset>
                      </wp:positionV>
                      <wp:extent cx="2457450" cy="55245"/>
                      <wp:effectExtent l="0" t="0" r="0" b="1905"/>
                      <wp:wrapNone/>
                      <wp:docPr id="1923235309" name="Rectangle 1923235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57450" cy="55245"/>
                              </a:xfrm>
                              <a:prstGeom prst="rect">
                                <a:avLst/>
                              </a:prstGeom>
                              <a:solidFill>
                                <a:srgbClr val="000000"/>
                              </a:solidFill>
                              <a:ln w="25400" cap="flat" cmpd="sng" algn="ctr">
                                <a:noFill/>
                                <a:prstDash val="solid"/>
                              </a:ln>
                              <a:effectLst/>
                            </wps:spPr>
                            <wps:bodyPr lIns="49540" tIns="49540" rIns="49540" bIns="49540" rtlCol="0" anchor="ctr"/>
                          </wps:wsp>
                        </a:graphicData>
                      </a:graphic>
                    </wp:anchor>
                  </w:drawing>
                </mc:Choice>
                <mc:Fallback>
                  <w:pict>
                    <v:rect w14:anchorId="3E9E3262" id="Rectangle 1923235309" o:spid="_x0000_s1026" alt="&quot;&quot;" style="position:absolute;margin-left:20.1pt;margin-top:4.7pt;width:193.5pt;height:4.3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" fillcolor="black" stroked="f" strokeweight="2pt">
                      <v:textbox inset="1.3761mm,1.3761mm,1.3761mm,1.3761mm"/>
                    </v:rect>
                  </w:pict>
                </mc:Fallback>
              </mc:AlternateContent>
            </w:r>
            <w:r w:rsidRPr="00694BB8">
              <w:rPr>
                <w:rFonts w:asciiTheme="minorHAnsi" w:hAnsiTheme="minorHAnsi"/>
                <w:noProof/>
              </w:rPr>
              <w:drawing>
                <wp:anchor distT="0" distB="0" distL="114300" distR="114300" simplePos="0" relativeHeight="251658247" behindDoc="0" locked="0" layoutInCell="1" allowOverlap="1" wp14:anchorId="0CEC3CB1" wp14:editId="0A958B27">
                  <wp:simplePos x="0" y="0"/>
                  <wp:positionH relativeFrom="margin">
                    <wp:posOffset>31750</wp:posOffset>
                  </wp:positionH>
                  <wp:positionV relativeFrom="paragraph">
                    <wp:posOffset>62865</wp:posOffset>
                  </wp:positionV>
                  <wp:extent cx="254000" cy="254000"/>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BEBA8EAE-BF5A-486C-A8C5-ECC9F3942E4B}">
                                <a14:imgProps xmlns:a14="http://schemas.microsoft.com/office/drawing/2010/main">
                                  <a14:imgLayer r:embed="rId66">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649">
              <w:rPr>
                <w:noProof/>
              </w:rPr>
              <mc:AlternateContent>
                <mc:Choice Requires="wps">
                  <w:drawing>
                    <wp:anchor distT="0" distB="0" distL="114300" distR="114300" simplePos="0" relativeHeight="251658246" behindDoc="0" locked="0" layoutInCell="1" allowOverlap="1" wp14:anchorId="4F478BE3" wp14:editId="11F7E75F">
                      <wp:simplePos x="0" y="0"/>
                      <wp:positionH relativeFrom="column">
                        <wp:posOffset>-6350</wp:posOffset>
                      </wp:positionH>
                      <wp:positionV relativeFrom="paragraph">
                        <wp:posOffset>9525</wp:posOffset>
                      </wp:positionV>
                      <wp:extent cx="339371" cy="395645"/>
                      <wp:effectExtent l="0" t="0" r="0" b="0"/>
                      <wp:wrapNone/>
                      <wp:docPr id="1949312881" name="Oval 19493128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9371" cy="395645"/>
                              </a:xfrm>
                              <a:prstGeom prst="ellipse">
                                <a:avLst/>
                              </a:prstGeom>
                              <a:solidFill>
                                <a:srgbClr val="000000"/>
                              </a:solidFill>
                              <a:ln w="25400" cap="flat" cmpd="sng" algn="ctr">
                                <a:noFill/>
                                <a:prstDash val="solid"/>
                              </a:ln>
                              <a:effectLst/>
                            </wps:spPr>
                            <wps:bodyPr lIns="49540" tIns="49540" rIns="49540" bIns="49540" rtlCol="0" anchor="ctr"/>
                          </wps:wsp>
                        </a:graphicData>
                      </a:graphic>
                    </wp:anchor>
                  </w:drawing>
                </mc:Choice>
                <mc:Fallback>
                  <w:pict>
                    <v:oval w14:anchorId="50BF2751" id="Oval 1949312881" o:spid="_x0000_s1026" alt="&quot;&quot;" style="position:absolute;margin-left:-.5pt;margin-top:.75pt;width:26.7pt;height:31.1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" fillcolor="black" stroked="f" strokeweight="2pt">
                      <v:textbox inset="1.3761mm,1.3761mm,1.3761mm,1.3761mm"/>
                    </v:oval>
                  </w:pict>
                </mc:Fallback>
              </mc:AlternateContent>
            </w:r>
          </w:p>
          <w:p w14:paraId="5356CB21" w14:textId="6B804D2B" w:rsidR="00AC4923" w:rsidRPr="00D44FE5" w:rsidRDefault="00AC4923" w:rsidP="00AC4923">
            <w:pPr>
              <w:pStyle w:val="BodyText1"/>
              <w:jc w:val="left"/>
              <w:rPr>
                <w:rFonts w:asciiTheme="minorHAnsi" w:hAnsiTheme="minorHAnsi"/>
                <w:b/>
                <w:szCs w:val="22"/>
              </w:rPr>
            </w:pPr>
            <w:r>
              <w:rPr>
                <w:rFonts w:asciiTheme="minorHAnsi" w:hAnsiTheme="minorHAnsi"/>
                <w:b/>
                <w:sz w:val="20"/>
                <w:szCs w:val="18"/>
                <w:lang w:val="en-US"/>
              </w:rPr>
              <w:t xml:space="preserve">                  </w:t>
            </w:r>
            <w:r w:rsidRPr="00D44FE5">
              <w:rPr>
                <w:rFonts w:asciiTheme="minorHAnsi" w:hAnsiTheme="minorHAnsi"/>
                <w:b/>
                <w:sz w:val="20"/>
                <w:szCs w:val="18"/>
                <w:lang w:val="en-US"/>
              </w:rPr>
              <w:t>DATA SOURCES FOR AUSTRALIAN NON-RESIDENTIAL BUILDING STOCK</w:t>
            </w:r>
          </w:p>
          <w:p w14:paraId="298213D1" w14:textId="77777777" w:rsidR="006B1E5E" w:rsidRPr="00D44FE5" w:rsidRDefault="006B1E5E" w:rsidP="006B1E5E">
            <w:pPr>
              <w:spacing w:before="0" w:after="120"/>
              <w:rPr>
                <w:rFonts w:asciiTheme="minorHAnsi" w:hAnsiTheme="minorHAnsi" w:cstheme="minorHAnsi"/>
              </w:rPr>
            </w:pPr>
            <w:r w:rsidRPr="00D44FE5">
              <w:rPr>
                <w:rFonts w:asciiTheme="minorHAnsi" w:hAnsiTheme="minorHAnsi" w:cstheme="minorHAnsi"/>
              </w:rPr>
              <w:t xml:space="preserve">Data and metrics for Australia’s building stock are extracted from the </w:t>
            </w:r>
            <w:r w:rsidRPr="00D44FE5">
              <w:rPr>
                <w:rFonts w:asciiTheme="minorHAnsi" w:hAnsiTheme="minorHAnsi" w:cstheme="minorHAnsi"/>
                <w:i/>
              </w:rPr>
              <w:t xml:space="preserve">2022 Commercial Building Baseline Study </w:t>
            </w:r>
            <w:r w:rsidRPr="00D44FE5">
              <w:rPr>
                <w:rFonts w:asciiTheme="minorHAnsi" w:hAnsiTheme="minorHAnsi" w:cstheme="minorHAnsi"/>
              </w:rPr>
              <w:t>(</w:t>
            </w:r>
            <w:proofErr w:type="spellStart"/>
            <w:r w:rsidRPr="00D44FE5">
              <w:rPr>
                <w:rFonts w:asciiTheme="minorHAnsi" w:hAnsiTheme="minorHAnsi" w:cstheme="minorHAnsi"/>
                <w:b/>
              </w:rPr>
              <w:t>CBBS</w:t>
            </w:r>
            <w:proofErr w:type="spellEnd"/>
            <w:r w:rsidRPr="00D44FE5">
              <w:rPr>
                <w:rFonts w:asciiTheme="minorHAnsi" w:hAnsiTheme="minorHAnsi" w:cstheme="minorHAnsi"/>
              </w:rPr>
              <w:t xml:space="preserve">), which is the latest revised version of the </w:t>
            </w:r>
            <w:r w:rsidRPr="00D44FE5">
              <w:rPr>
                <w:rFonts w:asciiTheme="minorHAnsi" w:hAnsiTheme="minorHAnsi" w:cstheme="minorHAnsi"/>
                <w:i/>
              </w:rPr>
              <w:t>Baseline Energy Consumption and Greenhouse Gas Emissions in Commercial Buildings in Australia</w:t>
            </w:r>
            <w:r w:rsidRPr="00D44FE5">
              <w:rPr>
                <w:rFonts w:asciiTheme="minorHAnsi" w:hAnsiTheme="minorHAnsi" w:cstheme="minorHAnsi"/>
              </w:rPr>
              <w:t xml:space="preserve"> published in 2012.</w:t>
            </w:r>
          </w:p>
          <w:p w14:paraId="7E3F001B" w14:textId="77777777" w:rsidR="006B1E5E" w:rsidRPr="00D44FE5" w:rsidRDefault="006B1E5E" w:rsidP="006B1E5E">
            <w:pPr>
              <w:spacing w:before="0" w:after="120"/>
              <w:rPr>
                <w:rFonts w:asciiTheme="minorHAnsi" w:hAnsiTheme="minorHAnsi" w:cstheme="minorHAnsi"/>
              </w:rPr>
            </w:pPr>
            <w:r w:rsidRPr="00D44FE5">
              <w:rPr>
                <w:rFonts w:asciiTheme="minorHAnsi" w:hAnsiTheme="minorHAnsi" w:cstheme="minorHAnsi"/>
              </w:rPr>
              <w:t xml:space="preserve">The </w:t>
            </w:r>
            <w:r w:rsidRPr="00D44FE5">
              <w:rPr>
                <w:rFonts w:asciiTheme="minorHAnsi" w:hAnsiTheme="minorHAnsi" w:cstheme="minorHAnsi"/>
                <w:i/>
              </w:rPr>
              <w:t>2022 Commercial Building Baseline Study</w:t>
            </w:r>
            <w:r w:rsidRPr="00D44FE5">
              <w:rPr>
                <w:rFonts w:asciiTheme="minorHAnsi" w:hAnsiTheme="minorHAnsi" w:cstheme="minorHAnsi"/>
              </w:rPr>
              <w:t xml:space="preserve"> is intended to support applied building research, planning, and policy development initiatives in Australia. The information and analysis can be applied for policy and program research and development, National Construction Code development and planning, analysis and projections of energy efficiency, greenhouse gas (</w:t>
            </w:r>
            <w:r w:rsidRPr="00D44FE5">
              <w:rPr>
                <w:rFonts w:asciiTheme="minorHAnsi" w:hAnsiTheme="minorHAnsi" w:cstheme="minorHAnsi"/>
                <w:b/>
              </w:rPr>
              <w:t>GHG</w:t>
            </w:r>
            <w:r w:rsidRPr="00D44FE5">
              <w:rPr>
                <w:rFonts w:asciiTheme="minorHAnsi" w:hAnsiTheme="minorHAnsi" w:cstheme="minorHAnsi"/>
              </w:rPr>
              <w:t>) abatement trends and other related purposes. Although this study does provide high confidence data and metrics, it carries limitations and qualifications. Ultimately, this resource serves as a valuable reference tool to support decision-making and policy development efforts in the building sector.</w:t>
            </w:r>
          </w:p>
          <w:p w14:paraId="2C41341F" w14:textId="7DC783A4" w:rsidR="006B1E5E" w:rsidRPr="00AC4923" w:rsidRDefault="006B1E5E" w:rsidP="00AC4923">
            <w:pPr>
              <w:spacing w:before="0" w:after="120"/>
              <w:rPr>
                <w:rFonts w:asciiTheme="minorHAnsi" w:hAnsiTheme="minorHAnsi" w:cstheme="minorHAnsi"/>
              </w:rPr>
            </w:pPr>
            <w:r w:rsidRPr="00D44FE5">
              <w:rPr>
                <w:rFonts w:asciiTheme="minorHAnsi" w:hAnsiTheme="minorHAnsi" w:cstheme="minorHAnsi"/>
              </w:rPr>
              <w:t>The National Greenhouse Gas Inventory (</w:t>
            </w:r>
            <w:proofErr w:type="spellStart"/>
            <w:r w:rsidRPr="00D44FE5">
              <w:rPr>
                <w:rFonts w:asciiTheme="minorHAnsi" w:hAnsiTheme="minorHAnsi" w:cstheme="minorHAnsi"/>
                <w:b/>
              </w:rPr>
              <w:t>NGGI</w:t>
            </w:r>
            <w:proofErr w:type="spellEnd"/>
            <w:r w:rsidRPr="00D44FE5">
              <w:rPr>
                <w:rFonts w:asciiTheme="minorHAnsi" w:hAnsiTheme="minorHAnsi" w:cstheme="minorHAnsi"/>
              </w:rPr>
              <w:t>) reports on the latest national greenhouse gas emissions. Direct Emissions data from the National Inventory have not been applied in this Interim Report as the Australian and New Zealand Standard Industrial Classification does not accurately classify the building types in Australia’s non-residential building stock.</w:t>
            </w:r>
          </w:p>
        </w:tc>
      </w:tr>
    </w:tbl>
    <w:p w14:paraId="29A2A49B" w14:textId="77777777" w:rsidR="006B1E5E" w:rsidRDefault="006B1E5E">
      <w:pPr>
        <w:spacing w:before="0" w:after="160" w:line="259" w:lineRule="auto"/>
        <w:rPr>
          <w:rFonts w:asciiTheme="minorHAnsi" w:hAnsiTheme="minorHAnsi" w:cstheme="minorHAnsi"/>
          <w:lang w:val="en-GB"/>
        </w:rPr>
      </w:pPr>
    </w:p>
    <w:p w14:paraId="6F96A660" w14:textId="77777777" w:rsidR="006B1E5E" w:rsidRDefault="006B1E5E">
      <w:pPr>
        <w:spacing w:before="0" w:after="160" w:line="259" w:lineRule="auto"/>
        <w:rPr>
          <w:rFonts w:asciiTheme="minorHAnsi" w:hAnsiTheme="minorHAnsi" w:cstheme="minorHAnsi"/>
          <w:lang w:val="en-GB"/>
        </w:rPr>
      </w:pPr>
    </w:p>
    <w:p w14:paraId="30B40A3E" w14:textId="77777777" w:rsidR="006B1E5E" w:rsidRDefault="006B1E5E">
      <w:pPr>
        <w:spacing w:before="0" w:after="160" w:line="259" w:lineRule="auto"/>
        <w:rPr>
          <w:rFonts w:asciiTheme="minorHAnsi" w:hAnsiTheme="minorHAnsi" w:cstheme="minorHAnsi"/>
          <w:lang w:val="en-GB"/>
        </w:rPr>
      </w:pPr>
    </w:p>
    <w:p w14:paraId="59B4A109" w14:textId="77777777" w:rsidR="006B1E5E" w:rsidRDefault="006B1E5E">
      <w:pPr>
        <w:spacing w:before="0" w:after="160" w:line="259" w:lineRule="auto"/>
        <w:rPr>
          <w:rFonts w:asciiTheme="minorHAnsi" w:hAnsiTheme="minorHAnsi" w:cstheme="minorHAnsi"/>
          <w:lang w:val="en-GB"/>
        </w:rPr>
      </w:pPr>
    </w:p>
    <w:p w14:paraId="0DC20C81" w14:textId="05F9C2D9" w:rsidR="00C10AC4" w:rsidRPr="00694BB8" w:rsidRDefault="00C10AC4">
      <w:pPr>
        <w:spacing w:before="0" w:after="160" w:line="259" w:lineRule="auto"/>
        <w:rPr>
          <w:rFonts w:asciiTheme="minorHAnsi" w:eastAsiaTheme="majorEastAsia" w:hAnsiTheme="minorHAnsi" w:cstheme="minorHAnsi"/>
          <w:b/>
          <w:color w:val="1E49E2" w:themeColor="accent1"/>
          <w:sz w:val="28"/>
          <w:szCs w:val="24"/>
          <w:lang w:val="en-GB"/>
        </w:rPr>
      </w:pPr>
      <w:r w:rsidRPr="00694BB8">
        <w:rPr>
          <w:rFonts w:asciiTheme="minorHAnsi" w:hAnsiTheme="minorHAnsi" w:cstheme="minorHAnsi"/>
          <w:lang w:val="en-GB"/>
        </w:rPr>
        <w:br w:type="page"/>
      </w:r>
    </w:p>
    <w:p w14:paraId="22E2CC68" w14:textId="24FC679E" w:rsidR="00CE2B00" w:rsidRPr="00F81ADB" w:rsidRDefault="00CE2B00" w:rsidP="00214D42">
      <w:pPr>
        <w:pStyle w:val="Heading2"/>
        <w:rPr>
          <w:rFonts w:cstheme="minorHAnsi"/>
          <w:lang w:val="en-GB"/>
        </w:rPr>
      </w:pPr>
      <w:bookmarkStart w:id="273" w:name="_Toc154059391"/>
      <w:r w:rsidRPr="00F81ADB">
        <w:rPr>
          <w:rFonts w:cstheme="minorHAnsi"/>
          <w:lang w:val="en-GB"/>
        </w:rPr>
        <w:lastRenderedPageBreak/>
        <w:t xml:space="preserve">Appendix </w:t>
      </w:r>
      <w:r w:rsidR="00920D83" w:rsidRPr="00F81ADB">
        <w:rPr>
          <w:rFonts w:cstheme="minorHAnsi"/>
          <w:lang w:val="en-GB"/>
        </w:rPr>
        <w:t>3</w:t>
      </w:r>
      <w:r w:rsidRPr="00F81ADB">
        <w:rPr>
          <w:rFonts w:cstheme="minorHAnsi"/>
          <w:lang w:val="en-GB"/>
        </w:rPr>
        <w:t xml:space="preserve">: Australian building stock breakdown by </w:t>
      </w:r>
      <w:r w:rsidR="009A455E" w:rsidRPr="00F81ADB">
        <w:rPr>
          <w:rFonts w:cstheme="minorHAnsi"/>
          <w:lang w:val="en-GB"/>
        </w:rPr>
        <w:t xml:space="preserve">emissions, </w:t>
      </w:r>
      <w:proofErr w:type="gramStart"/>
      <w:r w:rsidRPr="00F81ADB">
        <w:rPr>
          <w:rFonts w:cstheme="minorHAnsi"/>
          <w:lang w:val="en-GB"/>
        </w:rPr>
        <w:t>ratings</w:t>
      </w:r>
      <w:proofErr w:type="gramEnd"/>
      <w:r w:rsidRPr="00F81ADB">
        <w:rPr>
          <w:rFonts w:cstheme="minorHAnsi"/>
          <w:lang w:val="en-GB"/>
        </w:rPr>
        <w:t xml:space="preserve"> and standards</w:t>
      </w:r>
      <w:bookmarkEnd w:id="273"/>
      <w:r w:rsidRPr="00F81ADB">
        <w:rPr>
          <w:rFonts w:cstheme="minorHAnsi"/>
          <w:lang w:val="en-GB"/>
        </w:rPr>
        <w:t xml:space="preserve"> </w:t>
      </w:r>
    </w:p>
    <w:p w14:paraId="783FF132" w14:textId="0DE5EC03" w:rsidR="00B1186F" w:rsidRPr="00694BB8" w:rsidRDefault="00CB1039" w:rsidP="00B1186F">
      <w:pPr>
        <w:pStyle w:val="Caption"/>
        <w:keepNext/>
        <w:rPr>
          <w:rFonts w:asciiTheme="minorHAnsi" w:hAnsiTheme="minorHAnsi" w:cstheme="minorHAnsi"/>
          <w:i w:val="0"/>
          <w:color w:val="auto"/>
          <w:sz w:val="20"/>
          <w:szCs w:val="20"/>
        </w:rPr>
      </w:pPr>
      <w:bookmarkStart w:id="274" w:name="_Ref132225875"/>
      <w:r>
        <w:rPr>
          <w:rFonts w:asciiTheme="minorHAnsi" w:hAnsiTheme="minorHAnsi" w:cstheme="minorHAnsi"/>
          <w:i w:val="0"/>
          <w:color w:val="auto"/>
          <w:sz w:val="20"/>
          <w:szCs w:val="20"/>
        </w:rPr>
        <w:t>The table below</w:t>
      </w:r>
      <w:r w:rsidR="00B1186F" w:rsidRPr="00694BB8">
        <w:rPr>
          <w:rFonts w:asciiTheme="minorHAnsi" w:hAnsiTheme="minorHAnsi" w:cstheme="minorHAnsi"/>
          <w:i w:val="0"/>
          <w:color w:val="auto"/>
          <w:sz w:val="20"/>
          <w:szCs w:val="20"/>
        </w:rPr>
        <w:t xml:space="preserve"> </w:t>
      </w:r>
      <w:r w:rsidR="00044DB5" w:rsidRPr="00694BB8">
        <w:rPr>
          <w:rFonts w:asciiTheme="minorHAnsi" w:hAnsiTheme="minorHAnsi" w:cstheme="minorHAnsi"/>
          <w:i w:val="0"/>
          <w:color w:val="auto"/>
          <w:sz w:val="20"/>
          <w:szCs w:val="20"/>
        </w:rPr>
        <w:t>applies</w:t>
      </w:r>
      <w:r w:rsidR="00B1186F" w:rsidRPr="00694BB8">
        <w:rPr>
          <w:rFonts w:asciiTheme="minorHAnsi" w:hAnsiTheme="minorHAnsi" w:cstheme="minorHAnsi"/>
          <w:i w:val="0"/>
          <w:color w:val="auto"/>
          <w:sz w:val="20"/>
          <w:szCs w:val="20"/>
        </w:rPr>
        <w:t xml:space="preserve"> </w:t>
      </w:r>
      <w:r w:rsidR="00B76255" w:rsidRPr="00694BB8">
        <w:rPr>
          <w:rFonts w:asciiTheme="minorHAnsi" w:hAnsiTheme="minorHAnsi" w:cstheme="minorHAnsi"/>
          <w:i w:val="0"/>
          <w:color w:val="auto"/>
          <w:sz w:val="20"/>
          <w:szCs w:val="20"/>
        </w:rPr>
        <w:t xml:space="preserve">the </w:t>
      </w:r>
      <w:r w:rsidR="00B1186F" w:rsidRPr="00694BB8">
        <w:rPr>
          <w:rFonts w:asciiTheme="minorHAnsi" w:hAnsiTheme="minorHAnsi" w:cstheme="minorHAnsi"/>
          <w:i w:val="0"/>
          <w:color w:val="auto"/>
          <w:sz w:val="20"/>
          <w:szCs w:val="20"/>
        </w:rPr>
        <w:t>national scope 2 emissions factor for electricity and the national scope 1 emissions factor for gas</w:t>
      </w:r>
      <w:r w:rsidR="002D0089">
        <w:rPr>
          <w:rFonts w:ascii="ZWAdobeF" w:hAnsi="ZWAdobeF" w:cs="ZWAdobeF"/>
          <w:i w:val="0"/>
          <w:color w:val="auto"/>
          <w:sz w:val="2"/>
          <w:szCs w:val="2"/>
        </w:rPr>
        <w:t>165F</w:t>
      </w:r>
      <w:r w:rsidR="00EE36E3">
        <w:rPr>
          <w:rFonts w:ascii="ZWAdobeF" w:hAnsi="ZWAdobeF" w:cs="ZWAdobeF"/>
          <w:i w:val="0"/>
          <w:color w:val="auto"/>
          <w:sz w:val="2"/>
          <w:szCs w:val="2"/>
        </w:rPr>
        <w:t>168F</w:t>
      </w:r>
      <w:r w:rsidR="00122C48">
        <w:rPr>
          <w:rFonts w:ascii="ZWAdobeF" w:hAnsi="ZWAdobeF" w:cs="ZWAdobeF"/>
          <w:i w:val="0"/>
          <w:color w:val="auto"/>
          <w:sz w:val="2"/>
          <w:szCs w:val="2"/>
        </w:rPr>
        <w:t>168F</w:t>
      </w:r>
      <w:r w:rsidR="00F73A23">
        <w:rPr>
          <w:rFonts w:ascii="ZWAdobeF" w:hAnsi="ZWAdobeF" w:cs="ZWAdobeF"/>
          <w:i w:val="0"/>
          <w:color w:val="auto"/>
          <w:sz w:val="2"/>
          <w:szCs w:val="2"/>
        </w:rPr>
        <w:t>168F</w:t>
      </w:r>
      <w:r w:rsidR="00626378">
        <w:rPr>
          <w:rFonts w:ascii="ZWAdobeF" w:hAnsi="ZWAdobeF" w:cs="ZWAdobeF"/>
          <w:i w:val="0"/>
          <w:color w:val="auto"/>
          <w:sz w:val="2"/>
          <w:szCs w:val="2"/>
        </w:rPr>
        <w:t>168F</w:t>
      </w:r>
      <w:r w:rsidR="00413811">
        <w:rPr>
          <w:rFonts w:ascii="ZWAdobeF" w:hAnsi="ZWAdobeF" w:cs="ZWAdobeF"/>
          <w:i w:val="0"/>
          <w:color w:val="auto"/>
          <w:sz w:val="2"/>
          <w:szCs w:val="2"/>
        </w:rPr>
        <w:t>168F</w:t>
      </w:r>
      <w:r w:rsidR="002C327C">
        <w:rPr>
          <w:rFonts w:ascii="ZWAdobeF" w:hAnsi="ZWAdobeF" w:cs="ZWAdobeF"/>
          <w:i w:val="0"/>
          <w:color w:val="auto"/>
          <w:sz w:val="2"/>
          <w:szCs w:val="2"/>
        </w:rPr>
        <w:t>168F</w:t>
      </w:r>
      <w:r w:rsidR="00D24A06">
        <w:rPr>
          <w:rFonts w:ascii="ZWAdobeF" w:hAnsi="ZWAdobeF" w:cs="ZWAdobeF"/>
          <w:i w:val="0"/>
          <w:color w:val="auto"/>
          <w:sz w:val="2"/>
          <w:szCs w:val="2"/>
        </w:rPr>
        <w:t>168F</w:t>
      </w:r>
      <w:r w:rsidR="00C74584" w:rsidRPr="00694BB8">
        <w:rPr>
          <w:rStyle w:val="FootnoteReference"/>
          <w:rFonts w:asciiTheme="minorHAnsi" w:hAnsiTheme="minorHAnsi" w:cstheme="minorHAnsi"/>
          <w:i w:val="0"/>
          <w:color w:val="auto"/>
          <w:sz w:val="20"/>
          <w:szCs w:val="20"/>
        </w:rPr>
        <w:footnoteReference w:id="170"/>
      </w:r>
      <w:r w:rsidR="00B1186F" w:rsidRPr="00694BB8">
        <w:rPr>
          <w:rFonts w:asciiTheme="minorHAnsi" w:hAnsiTheme="minorHAnsi" w:cstheme="minorHAnsi"/>
          <w:i w:val="0"/>
          <w:color w:val="auto"/>
          <w:sz w:val="20"/>
          <w:szCs w:val="20"/>
        </w:rPr>
        <w:t xml:space="preserve"> against the 2020 non-residential building energy consumption data</w:t>
      </w:r>
      <w:r w:rsidR="00292CB3" w:rsidRPr="00694BB8">
        <w:rPr>
          <w:rFonts w:asciiTheme="minorHAnsi" w:hAnsiTheme="minorHAnsi" w:cstheme="minorHAnsi"/>
          <w:i w:val="0"/>
          <w:color w:val="auto"/>
          <w:sz w:val="20"/>
          <w:szCs w:val="20"/>
        </w:rPr>
        <w:t>.</w:t>
      </w:r>
    </w:p>
    <w:p w14:paraId="63332D71" w14:textId="4B9D40D5" w:rsidR="00B1186F" w:rsidRPr="00732C3A" w:rsidRDefault="00B1186F" w:rsidP="00732C3A">
      <w:pPr>
        <w:pStyle w:val="Caption"/>
        <w:keepNext/>
        <w:spacing w:after="120"/>
        <w:rPr>
          <w:rFonts w:ascii="Calibri" w:eastAsia="Times New Roman" w:hAnsi="Calibri" w:cs="Times New Roman"/>
          <w:b/>
          <w:bCs/>
          <w:i w:val="0"/>
          <w:iCs w:val="0"/>
          <w:color w:val="auto"/>
          <w:sz w:val="24"/>
        </w:rPr>
      </w:pPr>
      <w:bookmarkStart w:id="275" w:name="_Ref136358368"/>
      <w:bookmarkStart w:id="276" w:name="_Toc162535460"/>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SEQ Table \* ARABIC</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24</w:t>
      </w:r>
      <w:r w:rsidRPr="00732C3A">
        <w:rPr>
          <w:rFonts w:ascii="Calibri" w:eastAsia="Times New Roman" w:hAnsi="Calibri" w:cs="Times New Roman"/>
          <w:b/>
          <w:bCs/>
          <w:i w:val="0"/>
          <w:iCs w:val="0"/>
          <w:color w:val="auto"/>
          <w:sz w:val="24"/>
        </w:rPr>
        <w:fldChar w:fldCharType="end"/>
      </w:r>
      <w:bookmarkEnd w:id="274"/>
      <w:bookmarkEnd w:id="275"/>
      <w:r w:rsidRPr="00732C3A">
        <w:rPr>
          <w:rFonts w:ascii="Calibri" w:eastAsia="Times New Roman" w:hAnsi="Calibri" w:cs="Times New Roman"/>
          <w:b/>
          <w:bCs/>
          <w:i w:val="0"/>
          <w:iCs w:val="0"/>
          <w:color w:val="auto"/>
          <w:sz w:val="24"/>
        </w:rPr>
        <w:t>: Scope 1 Natural Gas Emissions and Scope 2 Emissions by Building Type</w:t>
      </w:r>
      <w:r w:rsidR="00EE36E3" w:rsidRPr="00732C3A">
        <w:rPr>
          <w:rFonts w:ascii="Calibri" w:eastAsia="Times New Roman" w:hAnsi="Calibri" w:cs="Times New Roman"/>
          <w:b/>
          <w:bCs/>
          <w:i w:val="0"/>
          <w:iCs w:val="0"/>
          <w:color w:val="auto"/>
          <w:sz w:val="24"/>
        </w:rPr>
        <w:t>169F</w:t>
      </w:r>
      <w:r w:rsidR="00122C48" w:rsidRPr="00732C3A">
        <w:rPr>
          <w:rFonts w:ascii="Calibri" w:eastAsia="Times New Roman" w:hAnsi="Calibri" w:cs="Times New Roman"/>
          <w:b/>
          <w:bCs/>
          <w:i w:val="0"/>
          <w:iCs w:val="0"/>
          <w:color w:val="auto"/>
          <w:sz w:val="24"/>
        </w:rPr>
        <w:t>169F</w:t>
      </w:r>
      <w:r w:rsidR="00F73A23">
        <w:rPr>
          <w:rFonts w:ascii="ZWAdobeF" w:eastAsia="Times New Roman" w:hAnsi="ZWAdobeF" w:cs="ZWAdobeF"/>
          <w:bCs/>
          <w:i w:val="0"/>
          <w:iCs w:val="0"/>
          <w:color w:val="auto"/>
          <w:sz w:val="2"/>
          <w:szCs w:val="2"/>
        </w:rPr>
        <w:t>169F</w:t>
      </w:r>
      <w:r w:rsidR="00626378">
        <w:rPr>
          <w:rFonts w:ascii="ZWAdobeF" w:eastAsia="Times New Roman" w:hAnsi="ZWAdobeF" w:cs="ZWAdobeF"/>
          <w:bCs/>
          <w:i w:val="0"/>
          <w:iCs w:val="0"/>
          <w:color w:val="auto"/>
          <w:sz w:val="2"/>
          <w:szCs w:val="2"/>
        </w:rPr>
        <w:t>169F</w:t>
      </w:r>
      <w:r w:rsidR="00413811">
        <w:rPr>
          <w:rFonts w:ascii="ZWAdobeF" w:eastAsia="Times New Roman" w:hAnsi="ZWAdobeF" w:cs="ZWAdobeF"/>
          <w:bCs/>
          <w:i w:val="0"/>
          <w:iCs w:val="0"/>
          <w:color w:val="auto"/>
          <w:sz w:val="2"/>
          <w:szCs w:val="2"/>
        </w:rPr>
        <w:t>169F</w:t>
      </w:r>
      <w:r w:rsidR="002C327C">
        <w:rPr>
          <w:rFonts w:ascii="ZWAdobeF" w:eastAsia="Times New Roman" w:hAnsi="ZWAdobeF" w:cs="ZWAdobeF"/>
          <w:bCs/>
          <w:i w:val="0"/>
          <w:iCs w:val="0"/>
          <w:color w:val="auto"/>
          <w:sz w:val="2"/>
          <w:szCs w:val="2"/>
        </w:rPr>
        <w:t>169F</w:t>
      </w:r>
      <w:r w:rsidR="00D24A06">
        <w:rPr>
          <w:rFonts w:ascii="ZWAdobeF" w:eastAsia="Times New Roman" w:hAnsi="ZWAdobeF" w:cs="ZWAdobeF"/>
          <w:bCs/>
          <w:i w:val="0"/>
          <w:iCs w:val="0"/>
          <w:color w:val="auto"/>
          <w:sz w:val="2"/>
          <w:szCs w:val="2"/>
        </w:rPr>
        <w:t>169F</w:t>
      </w:r>
      <w:r w:rsidRPr="00732C3A">
        <w:rPr>
          <w:rFonts w:ascii="Calibri" w:eastAsia="Times New Roman" w:hAnsi="Calibri" w:cs="Times New Roman"/>
          <w:b/>
          <w:bCs/>
          <w:i w:val="0"/>
          <w:iCs w:val="0"/>
          <w:color w:val="auto"/>
          <w:sz w:val="24"/>
        </w:rPr>
        <w:footnoteReference w:id="171"/>
      </w:r>
      <w:bookmarkEnd w:id="276"/>
    </w:p>
    <w:tbl>
      <w:tblPr>
        <w:tblStyle w:val="GridTable4-Accent1"/>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5206"/>
        <w:gridCol w:w="1634"/>
        <w:gridCol w:w="1634"/>
        <w:gridCol w:w="1531"/>
      </w:tblGrid>
      <w:tr w:rsidR="00B1186F" w:rsidRPr="00E6542E" w14:paraId="3BCBDB67" w14:textId="77777777" w:rsidTr="00313AE2">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noWrap/>
            <w:vAlign w:val="center"/>
            <w:hideMark/>
          </w:tcPr>
          <w:p w14:paraId="3D633CDD" w14:textId="77777777" w:rsidR="00B1186F" w:rsidRPr="00865F8F" w:rsidRDefault="00B1186F" w:rsidP="007A18FE">
            <w:pPr>
              <w:spacing w:before="0" w:after="0"/>
              <w:jc w:val="center"/>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Space Use</w:t>
            </w:r>
          </w:p>
        </w:tc>
        <w:tc>
          <w:tcPr>
            <w:tcW w:w="1634" w:type="dxa"/>
            <w:tcBorders>
              <w:top w:val="single" w:sz="4" w:space="0" w:color="auto"/>
              <w:bottom w:val="single" w:sz="4" w:space="0" w:color="auto"/>
            </w:tcBorders>
            <w:shd w:val="clear" w:color="auto" w:fill="auto"/>
            <w:vAlign w:val="center"/>
          </w:tcPr>
          <w:p w14:paraId="2322CAF2" w14:textId="77777777" w:rsidR="00B1186F" w:rsidRPr="00865F8F" w:rsidRDefault="00B1186F" w:rsidP="007A18F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Gas Consumption (TJ)</w:t>
            </w:r>
          </w:p>
        </w:tc>
        <w:tc>
          <w:tcPr>
            <w:tcW w:w="1634" w:type="dxa"/>
            <w:tcBorders>
              <w:top w:val="single" w:sz="4" w:space="0" w:color="auto"/>
              <w:bottom w:val="single" w:sz="4" w:space="0" w:color="auto"/>
            </w:tcBorders>
            <w:shd w:val="clear" w:color="auto" w:fill="auto"/>
            <w:noWrap/>
            <w:vAlign w:val="center"/>
            <w:hideMark/>
          </w:tcPr>
          <w:p w14:paraId="08D06588" w14:textId="77777777" w:rsidR="00B1186F" w:rsidRPr="00865F8F" w:rsidRDefault="00B1186F" w:rsidP="007A18F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Electricity Consumption (TJ)</w:t>
            </w:r>
          </w:p>
        </w:tc>
        <w:tc>
          <w:tcPr>
            <w:tcW w:w="1531" w:type="dxa"/>
            <w:tcBorders>
              <w:top w:val="single" w:sz="4" w:space="0" w:color="auto"/>
              <w:bottom w:val="single" w:sz="4" w:space="0" w:color="auto"/>
              <w:right w:val="single" w:sz="4" w:space="0" w:color="auto"/>
            </w:tcBorders>
            <w:shd w:val="clear" w:color="auto" w:fill="auto"/>
            <w:noWrap/>
            <w:vAlign w:val="center"/>
            <w:hideMark/>
          </w:tcPr>
          <w:p w14:paraId="3DD3CE0D" w14:textId="77777777" w:rsidR="00B1186F" w:rsidRPr="00865F8F" w:rsidRDefault="00B1186F" w:rsidP="007A18F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sz w:val="18"/>
                <w:szCs w:val="18"/>
                <w:lang w:eastAsia="en-AU"/>
              </w:rPr>
              <w:t>Total GHG Emissions</w:t>
            </w:r>
          </w:p>
          <w:p w14:paraId="019492AE" w14:textId="77777777" w:rsidR="00B1186F" w:rsidRPr="00865F8F" w:rsidRDefault="00B1186F" w:rsidP="007A18FE">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(Mt CO</w:t>
            </w:r>
            <w:r w:rsidRPr="00865F8F">
              <w:rPr>
                <w:rFonts w:asciiTheme="minorHAnsi" w:eastAsia="CG Times (W1)" w:hAnsiTheme="minorHAnsi" w:cstheme="minorHAnsi"/>
                <w:sz w:val="18"/>
                <w:szCs w:val="18"/>
                <w:vertAlign w:val="subscript"/>
                <w:lang w:eastAsia="en-AU"/>
              </w:rPr>
              <w:t>2</w:t>
            </w:r>
            <w:r w:rsidRPr="00865F8F">
              <w:rPr>
                <w:rFonts w:asciiTheme="minorHAnsi" w:eastAsia="CG Times (W1)" w:hAnsiTheme="minorHAnsi" w:cstheme="minorHAnsi"/>
                <w:sz w:val="18"/>
                <w:szCs w:val="18"/>
                <w:lang w:eastAsia="en-AU"/>
              </w:rPr>
              <w:t>-e)</w:t>
            </w:r>
          </w:p>
        </w:tc>
      </w:tr>
      <w:tr w:rsidR="00B1186F" w:rsidRPr="00E6542E" w14:paraId="57A8B696" w14:textId="77777777" w:rsidTr="00313AE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vAlign w:val="center"/>
            <w:hideMark/>
          </w:tcPr>
          <w:p w14:paraId="16ACCF1F"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Retail and wholesale trade buildings</w:t>
            </w:r>
          </w:p>
        </w:tc>
        <w:tc>
          <w:tcPr>
            <w:tcW w:w="1634" w:type="dxa"/>
            <w:tcBorders>
              <w:top w:val="single" w:sz="4" w:space="0" w:color="auto"/>
            </w:tcBorders>
            <w:shd w:val="clear" w:color="auto" w:fill="auto"/>
            <w:vAlign w:val="center"/>
          </w:tcPr>
          <w:p w14:paraId="7E9288E3"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6,687</w:t>
            </w:r>
          </w:p>
        </w:tc>
        <w:tc>
          <w:tcPr>
            <w:tcW w:w="1634" w:type="dxa"/>
            <w:tcBorders>
              <w:top w:val="single" w:sz="4" w:space="0" w:color="auto"/>
            </w:tcBorders>
            <w:shd w:val="clear" w:color="auto" w:fill="auto"/>
            <w:noWrap/>
            <w:vAlign w:val="center"/>
            <w:hideMark/>
          </w:tcPr>
          <w:p w14:paraId="569A683F"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37,814</w:t>
            </w:r>
          </w:p>
        </w:tc>
        <w:tc>
          <w:tcPr>
            <w:tcW w:w="1531" w:type="dxa"/>
            <w:tcBorders>
              <w:top w:val="single" w:sz="4" w:space="0" w:color="auto"/>
            </w:tcBorders>
            <w:shd w:val="clear" w:color="auto" w:fill="auto"/>
            <w:noWrap/>
            <w:vAlign w:val="center"/>
            <w:hideMark/>
          </w:tcPr>
          <w:p w14:paraId="7C9E156B"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7.49</w:t>
            </w:r>
          </w:p>
        </w:tc>
      </w:tr>
      <w:tr w:rsidR="00B1186F" w:rsidRPr="00E6542E" w14:paraId="71D5847D" w14:textId="77777777" w:rsidTr="00865F8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E717720"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Transport buildings</w:t>
            </w:r>
          </w:p>
        </w:tc>
        <w:tc>
          <w:tcPr>
            <w:tcW w:w="1634" w:type="dxa"/>
            <w:shd w:val="clear" w:color="auto" w:fill="auto"/>
            <w:vAlign w:val="center"/>
          </w:tcPr>
          <w:p w14:paraId="61F3F046"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1,223</w:t>
            </w:r>
          </w:p>
        </w:tc>
        <w:tc>
          <w:tcPr>
            <w:tcW w:w="1634" w:type="dxa"/>
            <w:shd w:val="clear" w:color="auto" w:fill="auto"/>
            <w:noWrap/>
            <w:vAlign w:val="center"/>
            <w:hideMark/>
          </w:tcPr>
          <w:p w14:paraId="66558BC3"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6,634</w:t>
            </w:r>
          </w:p>
        </w:tc>
        <w:tc>
          <w:tcPr>
            <w:tcW w:w="1531" w:type="dxa"/>
            <w:shd w:val="clear" w:color="auto" w:fill="auto"/>
            <w:noWrap/>
            <w:vAlign w:val="center"/>
            <w:hideMark/>
          </w:tcPr>
          <w:p w14:paraId="7ADFABFA"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1.32</w:t>
            </w:r>
          </w:p>
        </w:tc>
      </w:tr>
      <w:tr w:rsidR="00B1186F" w:rsidRPr="00E6542E" w14:paraId="74CC4005" w14:textId="77777777" w:rsidTr="00865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7489431"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Offices</w:t>
            </w:r>
          </w:p>
        </w:tc>
        <w:tc>
          <w:tcPr>
            <w:tcW w:w="1634" w:type="dxa"/>
            <w:shd w:val="clear" w:color="auto" w:fill="auto"/>
            <w:vAlign w:val="center"/>
          </w:tcPr>
          <w:p w14:paraId="2669DB1E"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10,688</w:t>
            </w:r>
          </w:p>
        </w:tc>
        <w:tc>
          <w:tcPr>
            <w:tcW w:w="1634" w:type="dxa"/>
            <w:shd w:val="clear" w:color="auto" w:fill="auto"/>
            <w:noWrap/>
            <w:vAlign w:val="center"/>
            <w:hideMark/>
          </w:tcPr>
          <w:p w14:paraId="4607D408"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58,777</w:t>
            </w:r>
          </w:p>
        </w:tc>
        <w:tc>
          <w:tcPr>
            <w:tcW w:w="1531" w:type="dxa"/>
            <w:shd w:val="clear" w:color="auto" w:fill="auto"/>
            <w:noWrap/>
            <w:vAlign w:val="center"/>
            <w:hideMark/>
          </w:tcPr>
          <w:p w14:paraId="355E1158"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11.66</w:t>
            </w:r>
          </w:p>
        </w:tc>
      </w:tr>
      <w:tr w:rsidR="00B1186F" w:rsidRPr="00E6542E" w14:paraId="12CB2C57" w14:textId="77777777" w:rsidTr="00865F8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AC104F6"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 xml:space="preserve">Commercial buildings </w:t>
            </w:r>
            <w:proofErr w:type="spellStart"/>
            <w:r w:rsidRPr="00865F8F">
              <w:rPr>
                <w:rFonts w:asciiTheme="minorHAnsi" w:eastAsia="CG Times (W1)" w:hAnsiTheme="minorHAnsi" w:cstheme="minorHAnsi"/>
                <w:b w:val="0"/>
                <w:sz w:val="18"/>
                <w:szCs w:val="18"/>
                <w:lang w:eastAsia="en-AU"/>
              </w:rPr>
              <w:t>nec</w:t>
            </w:r>
            <w:proofErr w:type="spellEnd"/>
          </w:p>
        </w:tc>
        <w:tc>
          <w:tcPr>
            <w:tcW w:w="1634" w:type="dxa"/>
            <w:shd w:val="clear" w:color="auto" w:fill="auto"/>
            <w:vAlign w:val="center"/>
          </w:tcPr>
          <w:p w14:paraId="39E84907"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447</w:t>
            </w:r>
          </w:p>
        </w:tc>
        <w:tc>
          <w:tcPr>
            <w:tcW w:w="1634" w:type="dxa"/>
            <w:shd w:val="clear" w:color="auto" w:fill="auto"/>
            <w:noWrap/>
            <w:vAlign w:val="center"/>
            <w:hideMark/>
          </w:tcPr>
          <w:p w14:paraId="1F466E75"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2,455</w:t>
            </w:r>
          </w:p>
        </w:tc>
        <w:tc>
          <w:tcPr>
            <w:tcW w:w="1531" w:type="dxa"/>
            <w:shd w:val="clear" w:color="auto" w:fill="auto"/>
            <w:noWrap/>
            <w:vAlign w:val="center"/>
            <w:hideMark/>
          </w:tcPr>
          <w:p w14:paraId="6C083AF8"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0.49</w:t>
            </w:r>
          </w:p>
        </w:tc>
      </w:tr>
      <w:tr w:rsidR="00B1186F" w:rsidRPr="00E6542E" w14:paraId="1B9E9B08" w14:textId="77777777" w:rsidTr="00865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770BCFB"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Factories and other secondary production buildings</w:t>
            </w:r>
          </w:p>
        </w:tc>
        <w:tc>
          <w:tcPr>
            <w:tcW w:w="1634" w:type="dxa"/>
            <w:shd w:val="clear" w:color="auto" w:fill="auto"/>
            <w:vAlign w:val="center"/>
          </w:tcPr>
          <w:p w14:paraId="5B0EA593"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1,259</w:t>
            </w:r>
          </w:p>
        </w:tc>
        <w:tc>
          <w:tcPr>
            <w:tcW w:w="1634" w:type="dxa"/>
            <w:shd w:val="clear" w:color="auto" w:fill="auto"/>
            <w:noWrap/>
            <w:vAlign w:val="center"/>
            <w:hideMark/>
          </w:tcPr>
          <w:p w14:paraId="5BF2E1AD"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7,805</w:t>
            </w:r>
          </w:p>
        </w:tc>
        <w:tc>
          <w:tcPr>
            <w:tcW w:w="1531" w:type="dxa"/>
            <w:shd w:val="clear" w:color="auto" w:fill="auto"/>
            <w:noWrap/>
            <w:vAlign w:val="center"/>
            <w:hideMark/>
          </w:tcPr>
          <w:p w14:paraId="0FC88B8F"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1.54</w:t>
            </w:r>
          </w:p>
        </w:tc>
      </w:tr>
      <w:tr w:rsidR="00B1186F" w:rsidRPr="00E6542E" w14:paraId="4759B4A7" w14:textId="77777777" w:rsidTr="00865F8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EAE5095"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Warehouses</w:t>
            </w:r>
          </w:p>
        </w:tc>
        <w:tc>
          <w:tcPr>
            <w:tcW w:w="1634" w:type="dxa"/>
            <w:shd w:val="clear" w:color="auto" w:fill="auto"/>
            <w:vAlign w:val="center"/>
          </w:tcPr>
          <w:p w14:paraId="70563353"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2,447</w:t>
            </w:r>
          </w:p>
        </w:tc>
        <w:tc>
          <w:tcPr>
            <w:tcW w:w="1634" w:type="dxa"/>
            <w:shd w:val="clear" w:color="auto" w:fill="auto"/>
            <w:noWrap/>
            <w:vAlign w:val="center"/>
            <w:hideMark/>
          </w:tcPr>
          <w:p w14:paraId="35FBF721"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13,221</w:t>
            </w:r>
          </w:p>
        </w:tc>
        <w:tc>
          <w:tcPr>
            <w:tcW w:w="1531" w:type="dxa"/>
            <w:shd w:val="clear" w:color="auto" w:fill="auto"/>
            <w:noWrap/>
            <w:vAlign w:val="center"/>
            <w:hideMark/>
          </w:tcPr>
          <w:p w14:paraId="1E44901F"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2.62</w:t>
            </w:r>
          </w:p>
        </w:tc>
      </w:tr>
      <w:tr w:rsidR="00B1186F" w:rsidRPr="00E6542E" w14:paraId="68418619" w14:textId="77777777" w:rsidTr="00865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77437C5"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Agricultural and aquacultural buildings</w:t>
            </w:r>
          </w:p>
        </w:tc>
        <w:tc>
          <w:tcPr>
            <w:tcW w:w="1634" w:type="dxa"/>
            <w:shd w:val="clear" w:color="auto" w:fill="auto"/>
            <w:vAlign w:val="center"/>
          </w:tcPr>
          <w:p w14:paraId="208C56E3"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674</w:t>
            </w:r>
          </w:p>
        </w:tc>
        <w:tc>
          <w:tcPr>
            <w:tcW w:w="1634" w:type="dxa"/>
            <w:shd w:val="clear" w:color="auto" w:fill="auto"/>
            <w:noWrap/>
            <w:vAlign w:val="center"/>
            <w:hideMark/>
          </w:tcPr>
          <w:p w14:paraId="42EDFF88"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4,351</w:t>
            </w:r>
          </w:p>
        </w:tc>
        <w:tc>
          <w:tcPr>
            <w:tcW w:w="1531" w:type="dxa"/>
            <w:shd w:val="clear" w:color="auto" w:fill="auto"/>
            <w:noWrap/>
            <w:vAlign w:val="center"/>
            <w:hideMark/>
          </w:tcPr>
          <w:p w14:paraId="3F70DFAB"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0.86</w:t>
            </w:r>
          </w:p>
        </w:tc>
      </w:tr>
      <w:tr w:rsidR="00B1186F" w:rsidRPr="00E6542E" w14:paraId="5FB12F55" w14:textId="77777777" w:rsidTr="00865F8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4C26B43"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 xml:space="preserve">Other industrial buildings </w:t>
            </w:r>
            <w:proofErr w:type="spellStart"/>
            <w:r w:rsidRPr="00865F8F">
              <w:rPr>
                <w:rFonts w:asciiTheme="minorHAnsi" w:eastAsia="CG Times (W1)" w:hAnsiTheme="minorHAnsi" w:cstheme="minorHAnsi"/>
                <w:b w:val="0"/>
                <w:sz w:val="18"/>
                <w:szCs w:val="18"/>
                <w:lang w:eastAsia="en-AU"/>
              </w:rPr>
              <w:t>nec</w:t>
            </w:r>
            <w:proofErr w:type="spellEnd"/>
          </w:p>
        </w:tc>
        <w:tc>
          <w:tcPr>
            <w:tcW w:w="1634" w:type="dxa"/>
            <w:shd w:val="clear" w:color="auto" w:fill="auto"/>
            <w:vAlign w:val="center"/>
          </w:tcPr>
          <w:p w14:paraId="2199BEAF"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223</w:t>
            </w:r>
          </w:p>
        </w:tc>
        <w:tc>
          <w:tcPr>
            <w:tcW w:w="1634" w:type="dxa"/>
            <w:shd w:val="clear" w:color="auto" w:fill="auto"/>
            <w:noWrap/>
            <w:vAlign w:val="center"/>
            <w:hideMark/>
          </w:tcPr>
          <w:p w14:paraId="22351525"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1,432</w:t>
            </w:r>
          </w:p>
        </w:tc>
        <w:tc>
          <w:tcPr>
            <w:tcW w:w="1531" w:type="dxa"/>
            <w:shd w:val="clear" w:color="auto" w:fill="auto"/>
            <w:noWrap/>
            <w:vAlign w:val="center"/>
            <w:hideMark/>
          </w:tcPr>
          <w:p w14:paraId="6978F08D"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0.28</w:t>
            </w:r>
          </w:p>
        </w:tc>
      </w:tr>
      <w:tr w:rsidR="00B1186F" w:rsidRPr="00E6542E" w14:paraId="03A5787D" w14:textId="77777777" w:rsidTr="00865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B71AF1D"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Education buildings</w:t>
            </w:r>
          </w:p>
        </w:tc>
        <w:tc>
          <w:tcPr>
            <w:tcW w:w="1634" w:type="dxa"/>
            <w:shd w:val="clear" w:color="auto" w:fill="auto"/>
            <w:vAlign w:val="center"/>
          </w:tcPr>
          <w:p w14:paraId="4357C034"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609</w:t>
            </w:r>
          </w:p>
        </w:tc>
        <w:tc>
          <w:tcPr>
            <w:tcW w:w="1634" w:type="dxa"/>
            <w:shd w:val="clear" w:color="auto" w:fill="auto"/>
            <w:noWrap/>
            <w:vAlign w:val="center"/>
            <w:hideMark/>
          </w:tcPr>
          <w:p w14:paraId="18756E79"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3,587</w:t>
            </w:r>
          </w:p>
        </w:tc>
        <w:tc>
          <w:tcPr>
            <w:tcW w:w="1531" w:type="dxa"/>
            <w:shd w:val="clear" w:color="auto" w:fill="auto"/>
            <w:noWrap/>
            <w:vAlign w:val="center"/>
            <w:hideMark/>
          </w:tcPr>
          <w:p w14:paraId="6C1BDACA"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0.71</w:t>
            </w:r>
          </w:p>
        </w:tc>
      </w:tr>
      <w:tr w:rsidR="00B1186F" w:rsidRPr="00E6542E" w14:paraId="674AA0E6" w14:textId="77777777" w:rsidTr="00865F8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E0C05AF"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Religion buildings</w:t>
            </w:r>
          </w:p>
        </w:tc>
        <w:tc>
          <w:tcPr>
            <w:tcW w:w="1634" w:type="dxa"/>
            <w:shd w:val="clear" w:color="auto" w:fill="auto"/>
            <w:vAlign w:val="center"/>
          </w:tcPr>
          <w:p w14:paraId="2E430635"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384</w:t>
            </w:r>
          </w:p>
        </w:tc>
        <w:tc>
          <w:tcPr>
            <w:tcW w:w="1634" w:type="dxa"/>
            <w:shd w:val="clear" w:color="auto" w:fill="auto"/>
            <w:noWrap/>
            <w:vAlign w:val="center"/>
            <w:hideMark/>
          </w:tcPr>
          <w:p w14:paraId="5C51EE01"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2,220</w:t>
            </w:r>
          </w:p>
        </w:tc>
        <w:tc>
          <w:tcPr>
            <w:tcW w:w="1531" w:type="dxa"/>
            <w:shd w:val="clear" w:color="auto" w:fill="auto"/>
            <w:noWrap/>
            <w:vAlign w:val="center"/>
            <w:hideMark/>
          </w:tcPr>
          <w:p w14:paraId="4E247288"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0.44</w:t>
            </w:r>
          </w:p>
        </w:tc>
      </w:tr>
      <w:tr w:rsidR="00B1186F" w:rsidRPr="00E6542E" w14:paraId="37780BC2" w14:textId="77777777" w:rsidTr="00865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50B7B0F"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Aged care facilities (including nursing homes)</w:t>
            </w:r>
          </w:p>
        </w:tc>
        <w:tc>
          <w:tcPr>
            <w:tcW w:w="1634" w:type="dxa"/>
            <w:shd w:val="clear" w:color="auto" w:fill="auto"/>
            <w:vAlign w:val="center"/>
          </w:tcPr>
          <w:p w14:paraId="147CD0AF"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2,226</w:t>
            </w:r>
          </w:p>
        </w:tc>
        <w:tc>
          <w:tcPr>
            <w:tcW w:w="1634" w:type="dxa"/>
            <w:shd w:val="clear" w:color="auto" w:fill="auto"/>
            <w:noWrap/>
            <w:vAlign w:val="center"/>
            <w:hideMark/>
          </w:tcPr>
          <w:p w14:paraId="135E8213"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12,513</w:t>
            </w:r>
          </w:p>
        </w:tc>
        <w:tc>
          <w:tcPr>
            <w:tcW w:w="1531" w:type="dxa"/>
            <w:shd w:val="clear" w:color="auto" w:fill="auto"/>
            <w:noWrap/>
            <w:vAlign w:val="center"/>
            <w:hideMark/>
          </w:tcPr>
          <w:p w14:paraId="2BB0C4BB"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2.48</w:t>
            </w:r>
          </w:p>
        </w:tc>
      </w:tr>
      <w:tr w:rsidR="00B1186F" w:rsidRPr="00E6542E" w14:paraId="59E1B452" w14:textId="77777777" w:rsidTr="00865F8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367D271"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Health facilities</w:t>
            </w:r>
          </w:p>
        </w:tc>
        <w:tc>
          <w:tcPr>
            <w:tcW w:w="1634" w:type="dxa"/>
            <w:shd w:val="clear" w:color="auto" w:fill="auto"/>
            <w:vAlign w:val="center"/>
          </w:tcPr>
          <w:p w14:paraId="1100FF09"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1,761</w:t>
            </w:r>
          </w:p>
        </w:tc>
        <w:tc>
          <w:tcPr>
            <w:tcW w:w="1634" w:type="dxa"/>
            <w:shd w:val="clear" w:color="auto" w:fill="auto"/>
            <w:noWrap/>
            <w:vAlign w:val="center"/>
            <w:hideMark/>
          </w:tcPr>
          <w:p w14:paraId="6E44C8C5"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9,761</w:t>
            </w:r>
          </w:p>
        </w:tc>
        <w:tc>
          <w:tcPr>
            <w:tcW w:w="1531" w:type="dxa"/>
            <w:shd w:val="clear" w:color="auto" w:fill="auto"/>
            <w:noWrap/>
            <w:vAlign w:val="center"/>
            <w:hideMark/>
          </w:tcPr>
          <w:p w14:paraId="5FD718DD"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1.94</w:t>
            </w:r>
          </w:p>
        </w:tc>
      </w:tr>
      <w:tr w:rsidR="00B1186F" w:rsidRPr="00E6542E" w14:paraId="7CC22563" w14:textId="77777777" w:rsidTr="00865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2CF860E"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Entertainment and recreation buildings</w:t>
            </w:r>
          </w:p>
        </w:tc>
        <w:tc>
          <w:tcPr>
            <w:tcW w:w="1634" w:type="dxa"/>
            <w:shd w:val="clear" w:color="auto" w:fill="auto"/>
            <w:vAlign w:val="center"/>
          </w:tcPr>
          <w:p w14:paraId="2E569FE1"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3,680</w:t>
            </w:r>
          </w:p>
        </w:tc>
        <w:tc>
          <w:tcPr>
            <w:tcW w:w="1634" w:type="dxa"/>
            <w:shd w:val="clear" w:color="auto" w:fill="auto"/>
            <w:noWrap/>
            <w:vAlign w:val="center"/>
            <w:hideMark/>
          </w:tcPr>
          <w:p w14:paraId="4C403794"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21,213</w:t>
            </w:r>
          </w:p>
        </w:tc>
        <w:tc>
          <w:tcPr>
            <w:tcW w:w="1531" w:type="dxa"/>
            <w:shd w:val="clear" w:color="auto" w:fill="auto"/>
            <w:noWrap/>
            <w:vAlign w:val="center"/>
            <w:hideMark/>
          </w:tcPr>
          <w:p w14:paraId="56A1157C"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4.20</w:t>
            </w:r>
          </w:p>
        </w:tc>
      </w:tr>
      <w:tr w:rsidR="00B1186F" w:rsidRPr="00E6542E" w14:paraId="7DEAB081" w14:textId="77777777" w:rsidTr="00865F8F">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F214405"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Short term accommodation buildings</w:t>
            </w:r>
          </w:p>
        </w:tc>
        <w:tc>
          <w:tcPr>
            <w:tcW w:w="1634" w:type="dxa"/>
            <w:shd w:val="clear" w:color="auto" w:fill="auto"/>
            <w:vAlign w:val="center"/>
          </w:tcPr>
          <w:p w14:paraId="7A3B53CC"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5,976</w:t>
            </w:r>
          </w:p>
        </w:tc>
        <w:tc>
          <w:tcPr>
            <w:tcW w:w="1634" w:type="dxa"/>
            <w:shd w:val="clear" w:color="auto" w:fill="auto"/>
            <w:noWrap/>
            <w:vAlign w:val="center"/>
            <w:hideMark/>
          </w:tcPr>
          <w:p w14:paraId="510AAD19"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35,145</w:t>
            </w:r>
          </w:p>
        </w:tc>
        <w:tc>
          <w:tcPr>
            <w:tcW w:w="1531" w:type="dxa"/>
            <w:shd w:val="clear" w:color="auto" w:fill="auto"/>
            <w:noWrap/>
            <w:vAlign w:val="center"/>
            <w:hideMark/>
          </w:tcPr>
          <w:p w14:paraId="219F78D1" w14:textId="77777777" w:rsidR="00B1186F" w:rsidRPr="00865F8F" w:rsidRDefault="00B1186F"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6.95</w:t>
            </w:r>
          </w:p>
        </w:tc>
      </w:tr>
      <w:tr w:rsidR="00B1186F" w:rsidRPr="00E6542E" w14:paraId="7F5246C7" w14:textId="77777777" w:rsidTr="00865F8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noWrap/>
            <w:vAlign w:val="center"/>
            <w:hideMark/>
          </w:tcPr>
          <w:p w14:paraId="2F82491D" w14:textId="77777777" w:rsidR="00B1186F" w:rsidRPr="00865F8F" w:rsidRDefault="00B1186F" w:rsidP="007A18FE">
            <w:pPr>
              <w:spacing w:before="0" w:after="0"/>
              <w:rPr>
                <w:rFonts w:asciiTheme="minorHAnsi" w:eastAsia="CG Times (W1)" w:hAnsiTheme="minorHAnsi" w:cstheme="minorHAnsi"/>
                <w:b w:val="0"/>
                <w:sz w:val="18"/>
                <w:szCs w:val="18"/>
                <w:lang w:eastAsia="en-AU"/>
              </w:rPr>
            </w:pPr>
            <w:r w:rsidRPr="00865F8F">
              <w:rPr>
                <w:rFonts w:asciiTheme="minorHAnsi" w:eastAsia="CG Times (W1)" w:hAnsiTheme="minorHAnsi" w:cstheme="minorHAnsi"/>
                <w:b w:val="0"/>
                <w:sz w:val="18"/>
                <w:szCs w:val="18"/>
                <w:lang w:eastAsia="en-AU"/>
              </w:rPr>
              <w:t xml:space="preserve">Non-residential buildings </w:t>
            </w:r>
            <w:proofErr w:type="spellStart"/>
            <w:r w:rsidRPr="00865F8F">
              <w:rPr>
                <w:rFonts w:asciiTheme="minorHAnsi" w:eastAsia="CG Times (W1)" w:hAnsiTheme="minorHAnsi" w:cstheme="minorHAnsi"/>
                <w:b w:val="0"/>
                <w:sz w:val="18"/>
                <w:szCs w:val="18"/>
                <w:lang w:eastAsia="en-AU"/>
              </w:rPr>
              <w:t>nec</w:t>
            </w:r>
            <w:proofErr w:type="spellEnd"/>
          </w:p>
        </w:tc>
        <w:tc>
          <w:tcPr>
            <w:tcW w:w="1634" w:type="dxa"/>
            <w:tcBorders>
              <w:bottom w:val="single" w:sz="4" w:space="0" w:color="auto"/>
            </w:tcBorders>
            <w:shd w:val="clear" w:color="auto" w:fill="auto"/>
            <w:vAlign w:val="center"/>
          </w:tcPr>
          <w:p w14:paraId="343BA7F1"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1,605</w:t>
            </w:r>
          </w:p>
        </w:tc>
        <w:tc>
          <w:tcPr>
            <w:tcW w:w="1634" w:type="dxa"/>
            <w:tcBorders>
              <w:bottom w:val="single" w:sz="4" w:space="0" w:color="auto"/>
            </w:tcBorders>
            <w:shd w:val="clear" w:color="auto" w:fill="auto"/>
            <w:noWrap/>
            <w:vAlign w:val="center"/>
            <w:hideMark/>
          </w:tcPr>
          <w:p w14:paraId="6FA68A2F"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10,085</w:t>
            </w:r>
          </w:p>
        </w:tc>
        <w:tc>
          <w:tcPr>
            <w:tcW w:w="1531" w:type="dxa"/>
            <w:tcBorders>
              <w:bottom w:val="single" w:sz="4" w:space="0" w:color="auto"/>
            </w:tcBorders>
            <w:shd w:val="clear" w:color="auto" w:fill="auto"/>
            <w:noWrap/>
            <w:vAlign w:val="center"/>
            <w:hideMark/>
          </w:tcPr>
          <w:p w14:paraId="631031C5" w14:textId="77777777" w:rsidR="00B1186F" w:rsidRPr="00865F8F" w:rsidRDefault="00B1186F"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1.99</w:t>
            </w:r>
          </w:p>
        </w:tc>
      </w:tr>
      <w:tr w:rsidR="00B1186F" w:rsidRPr="00E6542E" w14:paraId="3EF010C2" w14:textId="77777777" w:rsidTr="00865F8F">
        <w:trPr>
          <w:cnfStyle w:val="010000000000" w:firstRow="0" w:lastRow="1"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vAlign w:val="center"/>
            <w:hideMark/>
          </w:tcPr>
          <w:p w14:paraId="127235EF" w14:textId="77777777" w:rsidR="00B1186F" w:rsidRPr="00865F8F" w:rsidRDefault="00B1186F" w:rsidP="007A18FE">
            <w:pPr>
              <w:spacing w:before="0" w:after="0"/>
              <w:rPr>
                <w:rFonts w:asciiTheme="minorHAnsi" w:eastAsia="CG Times (W1)" w:hAnsiTheme="minorHAnsi" w:cstheme="minorHAnsi"/>
                <w:sz w:val="18"/>
                <w:szCs w:val="18"/>
                <w:lang w:eastAsia="en-AU"/>
              </w:rPr>
            </w:pPr>
            <w:r w:rsidRPr="00865F8F">
              <w:rPr>
                <w:rFonts w:asciiTheme="minorHAnsi" w:eastAsia="CG Times (W1)" w:hAnsiTheme="minorHAnsi" w:cstheme="minorHAnsi"/>
                <w:sz w:val="18"/>
                <w:szCs w:val="18"/>
                <w:lang w:eastAsia="en-AU"/>
              </w:rPr>
              <w:t>Total</w:t>
            </w:r>
          </w:p>
        </w:tc>
        <w:tc>
          <w:tcPr>
            <w:tcW w:w="1634" w:type="dxa"/>
            <w:tcBorders>
              <w:top w:val="single" w:sz="4" w:space="0" w:color="auto"/>
            </w:tcBorders>
            <w:shd w:val="clear" w:color="auto" w:fill="auto"/>
            <w:vAlign w:val="center"/>
          </w:tcPr>
          <w:p w14:paraId="428BCC32" w14:textId="77777777" w:rsidR="00B1186F" w:rsidRPr="00865F8F" w:rsidRDefault="00B1186F" w:rsidP="007A18FE">
            <w:pPr>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65F8F">
              <w:rPr>
                <w:rFonts w:asciiTheme="minorHAnsi" w:hAnsiTheme="minorHAnsi" w:cstheme="minorHAnsi"/>
                <w:sz w:val="18"/>
                <w:szCs w:val="18"/>
              </w:rPr>
              <w:t>39,889</w:t>
            </w:r>
          </w:p>
        </w:tc>
        <w:tc>
          <w:tcPr>
            <w:tcW w:w="1634" w:type="dxa"/>
            <w:tcBorders>
              <w:top w:val="single" w:sz="4" w:space="0" w:color="auto"/>
            </w:tcBorders>
            <w:shd w:val="clear" w:color="auto" w:fill="auto"/>
            <w:noWrap/>
            <w:vAlign w:val="center"/>
            <w:hideMark/>
          </w:tcPr>
          <w:p w14:paraId="082560C0" w14:textId="77777777" w:rsidR="00B1186F" w:rsidRPr="00865F8F" w:rsidRDefault="00B1186F" w:rsidP="007A18FE">
            <w:pPr>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865F8F">
              <w:rPr>
                <w:rFonts w:asciiTheme="minorHAnsi" w:hAnsiTheme="minorHAnsi" w:cstheme="minorHAnsi"/>
                <w:sz w:val="18"/>
                <w:szCs w:val="18"/>
              </w:rPr>
              <w:t>227,013</w:t>
            </w:r>
          </w:p>
        </w:tc>
        <w:tc>
          <w:tcPr>
            <w:tcW w:w="1531" w:type="dxa"/>
            <w:tcBorders>
              <w:top w:val="single" w:sz="4" w:space="0" w:color="auto"/>
            </w:tcBorders>
            <w:shd w:val="clear" w:color="auto" w:fill="auto"/>
            <w:noWrap/>
            <w:vAlign w:val="center"/>
            <w:hideMark/>
          </w:tcPr>
          <w:p w14:paraId="1CFD5D46" w14:textId="77777777" w:rsidR="00B1186F" w:rsidRPr="00865F8F" w:rsidRDefault="00B1186F" w:rsidP="007A18FE">
            <w:pPr>
              <w:spacing w:before="0" w:after="0"/>
              <w:jc w:val="center"/>
              <w:cnfStyle w:val="010000000000" w:firstRow="0" w:lastRow="1" w:firstColumn="0" w:lastColumn="0" w:oddVBand="0" w:evenVBand="0" w:oddHBand="0" w:evenHBand="0" w:firstRowFirstColumn="0" w:firstRowLastColumn="0" w:lastRowFirstColumn="0" w:lastRowLastColumn="0"/>
              <w:rPr>
                <w:rFonts w:asciiTheme="minorHAnsi" w:eastAsia="CG Times (W1)" w:hAnsiTheme="minorHAnsi" w:cstheme="minorHAnsi"/>
                <w:sz w:val="18"/>
                <w:szCs w:val="18"/>
                <w:lang w:eastAsia="en-AU"/>
              </w:rPr>
            </w:pPr>
            <w:r w:rsidRPr="00694BB8">
              <w:rPr>
                <w:rFonts w:asciiTheme="minorHAnsi" w:hAnsiTheme="minorHAnsi" w:cstheme="minorHAnsi"/>
                <w:sz w:val="18"/>
                <w:szCs w:val="18"/>
              </w:rPr>
              <w:t>44.96</w:t>
            </w:r>
          </w:p>
        </w:tc>
      </w:tr>
    </w:tbl>
    <w:p w14:paraId="71207421" w14:textId="29EB6A7D" w:rsidR="00B1186F" w:rsidRPr="00694BB8" w:rsidRDefault="00B1186F" w:rsidP="00CE2B00">
      <w:pPr>
        <w:pStyle w:val="BodyText"/>
        <w:rPr>
          <w:rFonts w:asciiTheme="minorHAnsi" w:hAnsiTheme="minorHAnsi" w:cstheme="minorHAnsi"/>
        </w:rPr>
      </w:pPr>
    </w:p>
    <w:p w14:paraId="60101540" w14:textId="77777777" w:rsidR="001C4791" w:rsidRPr="00694BB8" w:rsidRDefault="001C4791">
      <w:pPr>
        <w:spacing w:before="0" w:after="160" w:line="259" w:lineRule="auto"/>
        <w:rPr>
          <w:rFonts w:asciiTheme="minorHAnsi" w:hAnsiTheme="minorHAnsi" w:cstheme="minorHAnsi"/>
        </w:rPr>
      </w:pPr>
      <w:r w:rsidRPr="00694BB8">
        <w:rPr>
          <w:rFonts w:asciiTheme="minorHAnsi" w:hAnsiTheme="minorHAnsi" w:cstheme="minorHAnsi"/>
        </w:rPr>
        <w:br w:type="page"/>
      </w:r>
    </w:p>
    <w:p w14:paraId="0EDD633B" w14:textId="77777777" w:rsidR="000121D7" w:rsidRPr="00694BB8" w:rsidRDefault="000121D7" w:rsidP="00214D42">
      <w:pPr>
        <w:pStyle w:val="Heading3"/>
        <w:rPr>
          <w:rFonts w:asciiTheme="minorHAnsi" w:hAnsiTheme="minorHAnsi" w:cstheme="minorHAnsi"/>
        </w:rPr>
      </w:pPr>
      <w:r w:rsidRPr="00694BB8">
        <w:rPr>
          <w:rFonts w:asciiTheme="minorHAnsi" w:hAnsiTheme="minorHAnsi" w:cstheme="minorHAnsi"/>
        </w:rPr>
        <w:lastRenderedPageBreak/>
        <w:t xml:space="preserve">NABERS rated building stock </w:t>
      </w:r>
      <w:proofErr w:type="gramStart"/>
      <w:r w:rsidRPr="00694BB8">
        <w:rPr>
          <w:rFonts w:asciiTheme="minorHAnsi" w:hAnsiTheme="minorHAnsi" w:cstheme="minorHAnsi"/>
        </w:rPr>
        <w:t>breakdown</w:t>
      </w:r>
      <w:proofErr w:type="gramEnd"/>
    </w:p>
    <w:p w14:paraId="71C86C73" w14:textId="155B783D" w:rsidR="00CE2B00" w:rsidRPr="00694BB8" w:rsidRDefault="00CE2B00" w:rsidP="00CE2B00">
      <w:pPr>
        <w:pStyle w:val="BodyText"/>
        <w:rPr>
          <w:rFonts w:asciiTheme="minorHAnsi" w:hAnsiTheme="minorHAnsi" w:cstheme="minorHAnsi"/>
        </w:rPr>
      </w:pPr>
      <w:r w:rsidRPr="00694BB8">
        <w:rPr>
          <w:rFonts w:asciiTheme="minorHAnsi" w:hAnsiTheme="minorHAnsi" w:cstheme="minorHAnsi"/>
        </w:rPr>
        <w:t>Building ratings and standards are a set of guidelines and criteria used to assess the sustainability and energy efficiency of buildings. These ratings and standards provide a framework for evaluating a building's performance and identifying areas for improvement. They are typically based on a range of factors, such as energy consumption, indoor air quality, materials sustainability, and water use. The most used rating schemes in Australia are include Green Star and NABERS (National Australian Built Environment Rating System). These systems assign a score or rating to a building based on its environmental performance, which can be used to demonstrate compliance with regulations, attract tenants or buyers, and reduce operating costs. Compliance with these ratings and standards can also enhance the overall sustainability and value of a building.</w:t>
      </w:r>
    </w:p>
    <w:p w14:paraId="4F937D59" w14:textId="0BDD3D2E" w:rsidR="00CE2B00" w:rsidRPr="00585524" w:rsidRDefault="007B1D44" w:rsidP="00585524">
      <w:pPr>
        <w:pStyle w:val="Caption"/>
        <w:keepNext/>
        <w:spacing w:after="120"/>
        <w:jc w:val="center"/>
        <w:rPr>
          <w:rFonts w:ascii="Calibri" w:eastAsia="Times New Roman" w:hAnsi="Calibri" w:cs="Times New Roman"/>
          <w:b/>
          <w:bCs/>
          <w:i w:val="0"/>
          <w:iCs w:val="0"/>
          <w:color w:val="auto"/>
          <w:sz w:val="24"/>
        </w:rPr>
      </w:pPr>
      <w:bookmarkStart w:id="277" w:name="_Toc157687030"/>
      <w:r w:rsidRPr="00585524">
        <w:rPr>
          <w:rFonts w:ascii="Calibri" w:eastAsia="Times New Roman" w:hAnsi="Calibri" w:cs="Times New Roman"/>
          <w:b/>
          <w:bCs/>
          <w:i w:val="0"/>
          <w:iCs w:val="0"/>
          <w:color w:val="auto"/>
          <w:sz w:val="24"/>
        </w:rPr>
        <w:t xml:space="preserve">Figure </w:t>
      </w:r>
      <w:r w:rsidRPr="00585524">
        <w:rPr>
          <w:rFonts w:ascii="Calibri" w:eastAsia="Times New Roman" w:hAnsi="Calibri" w:cs="Times New Roman"/>
          <w:b/>
          <w:bCs/>
          <w:i w:val="0"/>
          <w:iCs w:val="0"/>
          <w:color w:val="auto"/>
          <w:sz w:val="24"/>
        </w:rPr>
        <w:fldChar w:fldCharType="begin"/>
      </w:r>
      <w:r w:rsidRPr="00585524">
        <w:rPr>
          <w:rFonts w:ascii="Calibri" w:eastAsia="Times New Roman" w:hAnsi="Calibri" w:cs="Times New Roman"/>
          <w:b/>
          <w:bCs/>
          <w:i w:val="0"/>
          <w:iCs w:val="0"/>
          <w:color w:val="auto"/>
          <w:sz w:val="24"/>
        </w:rPr>
        <w:instrText>SEQ Figure \* ARABIC</w:instrText>
      </w:r>
      <w:r w:rsidRPr="0058552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25</w:t>
      </w:r>
      <w:r w:rsidRPr="00585524">
        <w:rPr>
          <w:rFonts w:ascii="Calibri" w:eastAsia="Times New Roman" w:hAnsi="Calibri" w:cs="Times New Roman"/>
          <w:b/>
          <w:bCs/>
          <w:i w:val="0"/>
          <w:iCs w:val="0"/>
          <w:color w:val="auto"/>
          <w:sz w:val="24"/>
        </w:rPr>
        <w:fldChar w:fldCharType="end"/>
      </w:r>
      <w:r w:rsidRPr="00585524">
        <w:rPr>
          <w:rFonts w:ascii="Calibri" w:eastAsia="Times New Roman" w:hAnsi="Calibri" w:cs="Times New Roman"/>
          <w:b/>
          <w:bCs/>
          <w:i w:val="0"/>
          <w:iCs w:val="0"/>
          <w:color w:val="auto"/>
          <w:sz w:val="24"/>
        </w:rPr>
        <w:t>: Total current NABERS Ratings, by Premise Type, FY2023, Australia</w:t>
      </w:r>
      <w:bookmarkEnd w:id="277"/>
    </w:p>
    <w:p w14:paraId="605B9F41" w14:textId="1B0D185D" w:rsidR="002E19ED" w:rsidRPr="00694BB8" w:rsidRDefault="002E19ED" w:rsidP="00CE2B00">
      <w:pPr>
        <w:pStyle w:val="BodyText"/>
        <w:keepNext/>
        <w:jc w:val="center"/>
        <w:rPr>
          <w:rFonts w:asciiTheme="minorHAnsi" w:hAnsiTheme="minorHAnsi" w:cstheme="minorHAnsi"/>
        </w:rPr>
      </w:pPr>
      <w:r>
        <w:rPr>
          <w:rFonts w:asciiTheme="minorHAnsi" w:hAnsiTheme="minorHAnsi" w:cstheme="minorHAnsi"/>
          <w:noProof/>
        </w:rPr>
        <w:drawing>
          <wp:inline distT="0" distB="0" distL="0" distR="0" wp14:anchorId="49C5AB36" wp14:editId="4905C5F2">
            <wp:extent cx="3009900" cy="3130668"/>
            <wp:effectExtent l="0" t="0" r="0" b="0"/>
            <wp:docPr id="44" name="Picture 44" descr="3 Categories of premise type. Office, Shopping Centre and Other. Office at 87%, Shopping centre at 10% and Other at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3 Categories of premise type. Office, Shopping Centre and Other. Office at 87%, Shopping centre at 10% and Other at 3%.&#10;"/>
                    <pic:cNvPicPr>
                      <a:picLocks noChangeAspect="1" noChangeArrowheads="1"/>
                    </pic:cNvPicPr>
                  </pic:nvPicPr>
                  <pic:blipFill rotWithShape="1">
                    <a:blip r:embed="rId67">
                      <a:extLst>
                        <a:ext uri="{28A0092B-C50C-407E-A947-70E740481C1C}">
                          <a14:useLocalDpi xmlns:a14="http://schemas.microsoft.com/office/drawing/2010/main" val="0"/>
                        </a:ext>
                      </a:extLst>
                    </a:blip>
                    <a:srcRect l="27806" t="3052" r="22419" b="3423"/>
                    <a:stretch/>
                  </pic:blipFill>
                  <pic:spPr bwMode="auto">
                    <a:xfrm>
                      <a:off x="0" y="0"/>
                      <a:ext cx="3014524" cy="3135477"/>
                    </a:xfrm>
                    <a:prstGeom prst="rect">
                      <a:avLst/>
                    </a:prstGeom>
                    <a:noFill/>
                    <a:ln>
                      <a:noFill/>
                    </a:ln>
                    <a:extLst>
                      <a:ext uri="{53640926-AAD7-44D8-BBD7-CCE9431645EC}">
                        <a14:shadowObscured xmlns:a14="http://schemas.microsoft.com/office/drawing/2010/main"/>
                      </a:ext>
                    </a:extLst>
                  </pic:spPr>
                </pic:pic>
              </a:graphicData>
            </a:graphic>
          </wp:inline>
        </w:drawing>
      </w:r>
    </w:p>
    <w:p w14:paraId="77CA1EC8" w14:textId="04C36E26" w:rsidR="00CE2B00" w:rsidRPr="00585524" w:rsidRDefault="001E69C1" w:rsidP="00585524">
      <w:pPr>
        <w:pStyle w:val="Caption"/>
        <w:keepNext/>
        <w:spacing w:after="120"/>
        <w:jc w:val="center"/>
        <w:rPr>
          <w:rFonts w:ascii="Calibri" w:eastAsia="Times New Roman" w:hAnsi="Calibri" w:cs="Times New Roman"/>
          <w:b/>
          <w:bCs/>
          <w:i w:val="0"/>
          <w:iCs w:val="0"/>
          <w:color w:val="auto"/>
          <w:sz w:val="24"/>
        </w:rPr>
      </w:pPr>
      <w:bookmarkStart w:id="278" w:name="_Toc157687031"/>
      <w:r w:rsidRPr="00585524">
        <w:rPr>
          <w:rFonts w:ascii="Calibri" w:eastAsia="Times New Roman" w:hAnsi="Calibri" w:cs="Times New Roman"/>
          <w:b/>
          <w:bCs/>
          <w:i w:val="0"/>
          <w:iCs w:val="0"/>
          <w:color w:val="auto"/>
          <w:sz w:val="24"/>
        </w:rPr>
        <w:t xml:space="preserve">Figure </w:t>
      </w:r>
      <w:r w:rsidRPr="00585524">
        <w:rPr>
          <w:rFonts w:ascii="Calibri" w:eastAsia="Times New Roman" w:hAnsi="Calibri" w:cs="Times New Roman"/>
          <w:b/>
          <w:bCs/>
          <w:i w:val="0"/>
          <w:iCs w:val="0"/>
          <w:color w:val="auto"/>
          <w:sz w:val="24"/>
        </w:rPr>
        <w:fldChar w:fldCharType="begin"/>
      </w:r>
      <w:r w:rsidRPr="00585524">
        <w:rPr>
          <w:rFonts w:ascii="Calibri" w:eastAsia="Times New Roman" w:hAnsi="Calibri" w:cs="Times New Roman"/>
          <w:b/>
          <w:bCs/>
          <w:i w:val="0"/>
          <w:iCs w:val="0"/>
          <w:color w:val="auto"/>
          <w:sz w:val="24"/>
        </w:rPr>
        <w:instrText>SEQ Figure \* ARABIC</w:instrText>
      </w:r>
      <w:r w:rsidRPr="0058552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26</w:t>
      </w:r>
      <w:r w:rsidRPr="00585524">
        <w:rPr>
          <w:rFonts w:ascii="Calibri" w:eastAsia="Times New Roman" w:hAnsi="Calibri" w:cs="Times New Roman"/>
          <w:b/>
          <w:bCs/>
          <w:i w:val="0"/>
          <w:iCs w:val="0"/>
          <w:color w:val="auto"/>
          <w:sz w:val="24"/>
        </w:rPr>
        <w:fldChar w:fldCharType="end"/>
      </w:r>
      <w:r w:rsidRPr="00585524">
        <w:rPr>
          <w:rFonts w:ascii="Calibri" w:eastAsia="Times New Roman" w:hAnsi="Calibri" w:cs="Times New Roman"/>
          <w:b/>
          <w:bCs/>
          <w:i w:val="0"/>
          <w:iCs w:val="0"/>
          <w:color w:val="auto"/>
          <w:sz w:val="24"/>
        </w:rPr>
        <w:t>: Total current NABERS Ratings, Other by Premise Type, FY2023, Australia</w:t>
      </w:r>
      <w:bookmarkEnd w:id="278"/>
    </w:p>
    <w:p w14:paraId="056E6F03" w14:textId="6AB89D71" w:rsidR="001A01AA" w:rsidRPr="00694BB8" w:rsidRDefault="0099712E" w:rsidP="00CE2B00">
      <w:pPr>
        <w:keepNext/>
        <w:jc w:val="center"/>
        <w:rPr>
          <w:rFonts w:asciiTheme="minorHAnsi" w:hAnsiTheme="minorHAnsi" w:cstheme="minorHAnsi"/>
        </w:rPr>
      </w:pPr>
      <w:r>
        <w:rPr>
          <w:rFonts w:asciiTheme="minorHAnsi" w:hAnsiTheme="minorHAnsi" w:cstheme="minorHAnsi"/>
          <w:noProof/>
        </w:rPr>
        <w:drawing>
          <wp:inline distT="0" distB="0" distL="0" distR="0" wp14:anchorId="2EDDD307" wp14:editId="1F818359">
            <wp:extent cx="4562914" cy="3007111"/>
            <wp:effectExtent l="0" t="0" r="0" b="3175"/>
            <wp:docPr id="45" name="Picture 45" descr="Breakdown of Other premise type total NABERS ratings. Hotel at 66%, Apartment at 17%, Data centre at 14%, RACRL at 2% and Warehouse and cold store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reakdown of Other premise type total NABERS ratings. Hotel at 66%, Apartment at 17%, Data centre at 14%, RACRL at 2% and Warehouse and cold store at 1%"/>
                    <pic:cNvPicPr>
                      <a:picLocks noChangeAspect="1" noChangeArrowheads="1"/>
                    </pic:cNvPicPr>
                  </pic:nvPicPr>
                  <pic:blipFill rotWithShape="1">
                    <a:blip r:embed="rId68">
                      <a:extLst>
                        <a:ext uri="{28A0092B-C50C-407E-A947-70E740481C1C}">
                          <a14:useLocalDpi xmlns:a14="http://schemas.microsoft.com/office/drawing/2010/main" val="0"/>
                        </a:ext>
                      </a:extLst>
                    </a:blip>
                    <a:srcRect l="14335" t="1037" r="4016" b="9447"/>
                    <a:stretch/>
                  </pic:blipFill>
                  <pic:spPr bwMode="auto">
                    <a:xfrm>
                      <a:off x="0" y="0"/>
                      <a:ext cx="4581538" cy="3019385"/>
                    </a:xfrm>
                    <a:prstGeom prst="rect">
                      <a:avLst/>
                    </a:prstGeom>
                    <a:noFill/>
                    <a:ln>
                      <a:noFill/>
                    </a:ln>
                    <a:extLst>
                      <a:ext uri="{53640926-AAD7-44D8-BBD7-CCE9431645EC}">
                        <a14:shadowObscured xmlns:a14="http://schemas.microsoft.com/office/drawing/2010/main"/>
                      </a:ext>
                    </a:extLst>
                  </pic:spPr>
                </pic:pic>
              </a:graphicData>
            </a:graphic>
          </wp:inline>
        </w:drawing>
      </w:r>
    </w:p>
    <w:p w14:paraId="1E1A94EB" w14:textId="77777777" w:rsidR="007B1D44" w:rsidRDefault="007B1D44" w:rsidP="007B1D44">
      <w:pPr>
        <w:pStyle w:val="Caption"/>
        <w:jc w:val="center"/>
        <w:rPr>
          <w:rFonts w:asciiTheme="minorHAnsi" w:hAnsiTheme="minorHAnsi" w:cstheme="minorHAnsi"/>
        </w:rPr>
      </w:pPr>
    </w:p>
    <w:p w14:paraId="704D3840" w14:textId="3E96716D" w:rsidR="00CE2B00" w:rsidRDefault="007B1D44" w:rsidP="00585524">
      <w:pPr>
        <w:pStyle w:val="Caption"/>
        <w:keepNext/>
        <w:spacing w:after="120"/>
        <w:jc w:val="center"/>
        <w:rPr>
          <w:rFonts w:ascii="Calibri" w:eastAsia="Times New Roman" w:hAnsi="Calibri" w:cs="Times New Roman"/>
          <w:b/>
          <w:bCs/>
          <w:i w:val="0"/>
          <w:iCs w:val="0"/>
          <w:color w:val="auto"/>
          <w:sz w:val="24"/>
        </w:rPr>
      </w:pPr>
      <w:bookmarkStart w:id="279" w:name="_Toc157687032"/>
      <w:r w:rsidRPr="00585524">
        <w:rPr>
          <w:rFonts w:ascii="Calibri" w:eastAsia="Times New Roman" w:hAnsi="Calibri" w:cs="Times New Roman"/>
          <w:b/>
          <w:bCs/>
          <w:i w:val="0"/>
          <w:iCs w:val="0"/>
          <w:color w:val="auto"/>
          <w:sz w:val="24"/>
        </w:rPr>
        <w:lastRenderedPageBreak/>
        <w:t xml:space="preserve">Figure </w:t>
      </w:r>
      <w:r w:rsidRPr="00585524">
        <w:rPr>
          <w:rFonts w:ascii="Calibri" w:eastAsia="Times New Roman" w:hAnsi="Calibri" w:cs="Times New Roman"/>
          <w:b/>
          <w:bCs/>
          <w:i w:val="0"/>
          <w:iCs w:val="0"/>
          <w:color w:val="auto"/>
          <w:sz w:val="24"/>
        </w:rPr>
        <w:fldChar w:fldCharType="begin"/>
      </w:r>
      <w:r w:rsidRPr="00585524">
        <w:rPr>
          <w:rFonts w:ascii="Calibri" w:eastAsia="Times New Roman" w:hAnsi="Calibri" w:cs="Times New Roman"/>
          <w:b/>
          <w:bCs/>
          <w:i w:val="0"/>
          <w:iCs w:val="0"/>
          <w:color w:val="auto"/>
          <w:sz w:val="24"/>
        </w:rPr>
        <w:instrText>SEQ Figure \* ARABIC</w:instrText>
      </w:r>
      <w:r w:rsidRPr="00585524">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27</w:t>
      </w:r>
      <w:r w:rsidRPr="00585524">
        <w:rPr>
          <w:rFonts w:ascii="Calibri" w:eastAsia="Times New Roman" w:hAnsi="Calibri" w:cs="Times New Roman"/>
          <w:b/>
          <w:bCs/>
          <w:i w:val="0"/>
          <w:iCs w:val="0"/>
          <w:color w:val="auto"/>
          <w:sz w:val="24"/>
        </w:rPr>
        <w:fldChar w:fldCharType="end"/>
      </w:r>
      <w:r w:rsidRPr="00585524">
        <w:rPr>
          <w:rFonts w:ascii="Calibri" w:eastAsia="Times New Roman" w:hAnsi="Calibri" w:cs="Times New Roman"/>
          <w:b/>
          <w:bCs/>
          <w:i w:val="0"/>
          <w:iCs w:val="0"/>
          <w:color w:val="auto"/>
          <w:sz w:val="24"/>
        </w:rPr>
        <w:t>: Number of Individual Buildings Rated, by Rating Type, FY14 to FY20</w:t>
      </w:r>
      <w:bookmarkEnd w:id="279"/>
    </w:p>
    <w:p w14:paraId="1FD071D3" w14:textId="3B27F4D6" w:rsidR="00DF064C" w:rsidRPr="00DF064C" w:rsidRDefault="00DF064C" w:rsidP="00DF064C">
      <w:pPr>
        <w:jc w:val="center"/>
      </w:pPr>
      <w:r>
        <w:rPr>
          <w:noProof/>
        </w:rPr>
        <w:drawing>
          <wp:inline distT="0" distB="0" distL="0" distR="0" wp14:anchorId="3F7DD7D8" wp14:editId="6DEA1042">
            <wp:extent cx="5758815" cy="3125851"/>
            <wp:effectExtent l="0" t="0" r="0" b="0"/>
            <wp:docPr id="53" name="Picture 53" descr="Office Energy and Office Water are separated as the only two individual buildings with over 500 buildings rated. Office Energy starts at 2300 buildings in the 2014 financial year, 2550 in 2015, 2750 in 2016, 2900 in 2017, 3200 in 2018, 3400 in 2019, 3550 in 2020. Office Water spans from 950 buildings in 2014, 1000 in 2015, 1100 in 2016 1200 in 2017, 1300 in 2018, 1400 in 2019, 1450 in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Office Energy and Office Water are separated as the only two individual buildings with over 500 buildings rated. Office Energy starts at 2300 buildings in the 2014 financial year, 2550 in 2015, 2750 in 2016, 2900 in 2017, 3200 in 2018, 3400 in 2019, 3550 in 2020. Office Water spans from 950 buildings in 2014, 1000 in 2015, 1100 in 2016 1200 in 2017, 1300 in 2018, 1400 in 2019, 1450 in 2020.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947" cy="3127008"/>
                    </a:xfrm>
                    <a:prstGeom prst="rect">
                      <a:avLst/>
                    </a:prstGeom>
                    <a:noFill/>
                  </pic:spPr>
                </pic:pic>
              </a:graphicData>
            </a:graphic>
          </wp:inline>
        </w:drawing>
      </w:r>
    </w:p>
    <w:p w14:paraId="5D73CFD5" w14:textId="477E9F6C" w:rsidR="00CE2B00" w:rsidRPr="00694BB8" w:rsidRDefault="00CE2B00" w:rsidP="00CE2B00">
      <w:pPr>
        <w:pStyle w:val="BodyText"/>
        <w:keepNext/>
        <w:jc w:val="center"/>
        <w:rPr>
          <w:rFonts w:asciiTheme="minorHAnsi" w:hAnsiTheme="minorHAnsi" w:cstheme="minorHAnsi"/>
        </w:rPr>
      </w:pPr>
    </w:p>
    <w:p w14:paraId="6D0B0067" w14:textId="07CAD3BF" w:rsidR="00FD0EBE" w:rsidRPr="00B5781B" w:rsidRDefault="00B6718B" w:rsidP="00B6718B">
      <w:pPr>
        <w:pStyle w:val="BodyText"/>
        <w:rPr>
          <w:rFonts w:ascii="Calibri" w:eastAsia="Times New Roman" w:hAnsi="Calibri" w:cs="Times New Roman"/>
          <w:color w:val="auto"/>
          <w:sz w:val="24"/>
        </w:rPr>
      </w:pPr>
      <w:r w:rsidRPr="00B5781B">
        <w:rPr>
          <w:rFonts w:ascii="Calibri" w:eastAsia="Times New Roman" w:hAnsi="Calibri" w:cs="Times New Roman"/>
          <w:color w:val="auto"/>
          <w:sz w:val="24"/>
        </w:rPr>
        <w:t>Figure 27</w:t>
      </w:r>
      <w:r w:rsidR="003942A1" w:rsidRPr="00B5781B">
        <w:rPr>
          <w:rFonts w:ascii="Calibri" w:eastAsia="Times New Roman" w:hAnsi="Calibri" w:cs="Times New Roman"/>
          <w:color w:val="auto"/>
          <w:sz w:val="24"/>
        </w:rPr>
        <w:t xml:space="preserve"> does not include </w:t>
      </w:r>
      <w:r w:rsidR="004D2682" w:rsidRPr="00B5781B">
        <w:rPr>
          <w:rFonts w:ascii="Calibri" w:eastAsia="Times New Roman" w:hAnsi="Calibri" w:cs="Times New Roman"/>
          <w:color w:val="auto"/>
          <w:sz w:val="24"/>
        </w:rPr>
        <w:t>other individual buildings rated by rating type</w:t>
      </w:r>
      <w:r w:rsidR="00CF49E7">
        <w:rPr>
          <w:rFonts w:ascii="Calibri" w:eastAsia="Times New Roman" w:hAnsi="Calibri" w:cs="Times New Roman"/>
          <w:color w:val="auto"/>
          <w:sz w:val="24"/>
        </w:rPr>
        <w:t>. A</w:t>
      </w:r>
      <w:r w:rsidR="004D2682" w:rsidRPr="00B5781B">
        <w:rPr>
          <w:rFonts w:ascii="Calibri" w:eastAsia="Times New Roman" w:hAnsi="Calibri" w:cs="Times New Roman"/>
          <w:color w:val="auto"/>
          <w:sz w:val="24"/>
        </w:rPr>
        <w:t>ll are under 500</w:t>
      </w:r>
      <w:r w:rsidR="006E3DCF">
        <w:rPr>
          <w:rFonts w:ascii="Calibri" w:eastAsia="Times New Roman" w:hAnsi="Calibri" w:cs="Times New Roman"/>
          <w:color w:val="auto"/>
          <w:sz w:val="24"/>
        </w:rPr>
        <w:t xml:space="preserve"> individual buildings</w:t>
      </w:r>
      <w:r w:rsidR="00637887" w:rsidRPr="00B5781B">
        <w:rPr>
          <w:rFonts w:ascii="Calibri" w:eastAsia="Times New Roman" w:hAnsi="Calibri" w:cs="Times New Roman"/>
          <w:color w:val="auto"/>
          <w:sz w:val="24"/>
        </w:rPr>
        <w:t xml:space="preserve">. This includes </w:t>
      </w:r>
      <w:r w:rsidR="00B5781B" w:rsidRPr="00B5781B">
        <w:rPr>
          <w:rFonts w:ascii="Calibri" w:eastAsia="Times New Roman" w:hAnsi="Calibri" w:cs="Times New Roman"/>
          <w:color w:val="auto"/>
          <w:sz w:val="24"/>
        </w:rPr>
        <w:t xml:space="preserve">Office IE, Office Waste, Shopping Centres, Hotels, Data Centres, Apartment Buildings and Public Hospitals. </w:t>
      </w:r>
      <w:r w:rsidR="003942A1" w:rsidRPr="00B5781B">
        <w:rPr>
          <w:rFonts w:ascii="Calibri" w:eastAsia="Times New Roman" w:hAnsi="Calibri" w:cs="Times New Roman"/>
          <w:color w:val="auto"/>
          <w:sz w:val="24"/>
        </w:rPr>
        <w:t xml:space="preserve"> </w:t>
      </w:r>
    </w:p>
    <w:p w14:paraId="54B4AF07" w14:textId="5C777AEF" w:rsidR="00CE2B00" w:rsidRPr="00694BB8" w:rsidRDefault="00CE2B00" w:rsidP="00CE2B00">
      <w:pPr>
        <w:spacing w:before="0" w:after="160" w:line="259" w:lineRule="auto"/>
        <w:rPr>
          <w:rFonts w:asciiTheme="minorHAnsi" w:hAnsiTheme="minorHAnsi" w:cstheme="minorHAnsi"/>
          <w:lang w:val="en-GB"/>
        </w:rPr>
      </w:pPr>
      <w:r w:rsidRPr="00694BB8">
        <w:rPr>
          <w:rFonts w:asciiTheme="minorHAnsi" w:hAnsiTheme="minorHAnsi" w:cstheme="minorHAnsi"/>
          <w:lang w:val="en-GB"/>
        </w:rPr>
        <w:br w:type="page"/>
      </w:r>
    </w:p>
    <w:p w14:paraId="32AB8F90" w14:textId="00D92C59" w:rsidR="00CE2B00" w:rsidRPr="00F81ADB" w:rsidRDefault="00CE2B00" w:rsidP="00214D42">
      <w:pPr>
        <w:pStyle w:val="Heading2"/>
        <w:rPr>
          <w:rFonts w:cstheme="minorHAnsi"/>
          <w:lang w:val="en-GB"/>
        </w:rPr>
      </w:pPr>
      <w:bookmarkStart w:id="280" w:name="_Ref145498894"/>
      <w:bookmarkStart w:id="281" w:name="_Ref145498903"/>
      <w:bookmarkStart w:id="282" w:name="_Ref145498916"/>
      <w:bookmarkStart w:id="283" w:name="_Toc154059392"/>
      <w:r w:rsidRPr="00F81ADB">
        <w:rPr>
          <w:rFonts w:cstheme="minorHAnsi"/>
          <w:lang w:val="en-GB"/>
        </w:rPr>
        <w:lastRenderedPageBreak/>
        <w:t xml:space="preserve">Appendix </w:t>
      </w:r>
      <w:r w:rsidR="00920D83" w:rsidRPr="00F81ADB">
        <w:rPr>
          <w:rFonts w:cstheme="minorHAnsi"/>
          <w:lang w:val="en-GB"/>
        </w:rPr>
        <w:t>4</w:t>
      </w:r>
      <w:r w:rsidRPr="00F81ADB">
        <w:rPr>
          <w:rFonts w:cstheme="minorHAnsi"/>
          <w:lang w:val="en-GB"/>
        </w:rPr>
        <w:t xml:space="preserve">: Australian building stock breakdown including data centres, hotels and shopping </w:t>
      </w:r>
      <w:proofErr w:type="gramStart"/>
      <w:r w:rsidRPr="00F81ADB">
        <w:rPr>
          <w:rFonts w:cstheme="minorHAnsi"/>
          <w:lang w:val="en-GB"/>
        </w:rPr>
        <w:t>centres</w:t>
      </w:r>
      <w:bookmarkEnd w:id="280"/>
      <w:bookmarkEnd w:id="281"/>
      <w:bookmarkEnd w:id="282"/>
      <w:bookmarkEnd w:id="283"/>
      <w:proofErr w:type="gramEnd"/>
      <w:r w:rsidRPr="00F81ADB">
        <w:rPr>
          <w:rFonts w:cstheme="minorHAnsi"/>
          <w:lang w:val="en-GB"/>
        </w:rPr>
        <w:t xml:space="preserve"> </w:t>
      </w:r>
    </w:p>
    <w:p w14:paraId="329CA475" w14:textId="213E101B" w:rsidR="00CE2B00" w:rsidRPr="00694BB8" w:rsidRDefault="00CE2B00" w:rsidP="00CE2B00">
      <w:pPr>
        <w:spacing w:before="0" w:after="160" w:line="259" w:lineRule="auto"/>
        <w:rPr>
          <w:rFonts w:asciiTheme="minorHAnsi" w:hAnsiTheme="minorHAnsi" w:cstheme="minorHAnsi"/>
        </w:rPr>
      </w:pPr>
      <w:r w:rsidRPr="00694BB8">
        <w:rPr>
          <w:rFonts w:asciiTheme="minorHAnsi" w:hAnsiTheme="minorHAnsi" w:cstheme="minorHAnsi"/>
        </w:rPr>
        <w:t xml:space="preserve">Given the opportunity to expand mandatory disclosure of energy consumption into other </w:t>
      </w:r>
      <w:proofErr w:type="gramStart"/>
      <w:r w:rsidRPr="00694BB8">
        <w:rPr>
          <w:rFonts w:asciiTheme="minorHAnsi" w:hAnsiTheme="minorHAnsi" w:cstheme="minorHAnsi"/>
        </w:rPr>
        <w:t>buildings</w:t>
      </w:r>
      <w:proofErr w:type="gramEnd"/>
      <w:r w:rsidRPr="00694BB8">
        <w:rPr>
          <w:rFonts w:asciiTheme="minorHAnsi" w:hAnsiTheme="minorHAnsi" w:cstheme="minorHAnsi"/>
        </w:rPr>
        <w:t xml:space="preserve"> types such as data centres, hotels and shopping centres</w:t>
      </w:r>
      <w:r w:rsidR="002D0089">
        <w:rPr>
          <w:rFonts w:ascii="ZWAdobeF" w:hAnsi="ZWAdobeF" w:cs="ZWAdobeF"/>
          <w:color w:val="auto"/>
          <w:sz w:val="2"/>
          <w:szCs w:val="2"/>
        </w:rPr>
        <w:t>167F</w:t>
      </w:r>
      <w:r w:rsidR="00EE36E3">
        <w:rPr>
          <w:rFonts w:ascii="ZWAdobeF" w:hAnsi="ZWAdobeF" w:cs="ZWAdobeF"/>
          <w:color w:val="auto"/>
          <w:sz w:val="2"/>
          <w:szCs w:val="2"/>
        </w:rPr>
        <w:t>170F</w:t>
      </w:r>
      <w:r w:rsidR="00122C48">
        <w:rPr>
          <w:rFonts w:ascii="ZWAdobeF" w:hAnsi="ZWAdobeF" w:cs="ZWAdobeF"/>
          <w:color w:val="auto"/>
          <w:sz w:val="2"/>
          <w:szCs w:val="2"/>
        </w:rPr>
        <w:t>170F</w:t>
      </w:r>
      <w:r w:rsidR="00F73A23">
        <w:rPr>
          <w:rFonts w:ascii="ZWAdobeF" w:hAnsi="ZWAdobeF" w:cs="ZWAdobeF"/>
          <w:color w:val="auto"/>
          <w:sz w:val="2"/>
          <w:szCs w:val="2"/>
        </w:rPr>
        <w:t>170F</w:t>
      </w:r>
      <w:r w:rsidR="00626378">
        <w:rPr>
          <w:rFonts w:ascii="ZWAdobeF" w:hAnsi="ZWAdobeF" w:cs="ZWAdobeF"/>
          <w:color w:val="auto"/>
          <w:sz w:val="2"/>
          <w:szCs w:val="2"/>
        </w:rPr>
        <w:t>170F</w:t>
      </w:r>
      <w:r w:rsidR="00413811">
        <w:rPr>
          <w:rFonts w:ascii="ZWAdobeF" w:hAnsi="ZWAdobeF" w:cs="ZWAdobeF"/>
          <w:color w:val="auto"/>
          <w:sz w:val="2"/>
          <w:szCs w:val="2"/>
        </w:rPr>
        <w:t>170F</w:t>
      </w:r>
      <w:r w:rsidR="002C327C">
        <w:rPr>
          <w:rFonts w:ascii="ZWAdobeF" w:hAnsi="ZWAdobeF" w:cs="ZWAdobeF"/>
          <w:color w:val="auto"/>
          <w:sz w:val="2"/>
          <w:szCs w:val="2"/>
        </w:rPr>
        <w:t>170F</w:t>
      </w:r>
      <w:r w:rsidR="00D24A06">
        <w:rPr>
          <w:rFonts w:ascii="ZWAdobeF" w:hAnsi="ZWAdobeF" w:cs="ZWAdobeF"/>
          <w:color w:val="auto"/>
          <w:sz w:val="2"/>
          <w:szCs w:val="2"/>
        </w:rPr>
        <w:t>170F</w:t>
      </w:r>
      <w:r w:rsidRPr="00694BB8">
        <w:rPr>
          <w:rStyle w:val="FootnoteReference"/>
          <w:rFonts w:asciiTheme="minorHAnsi" w:hAnsiTheme="minorHAnsi" w:cstheme="minorHAnsi"/>
        </w:rPr>
        <w:footnoteReference w:id="172"/>
      </w:r>
      <w:r w:rsidRPr="00694BB8">
        <w:rPr>
          <w:rFonts w:asciiTheme="minorHAnsi" w:hAnsiTheme="minorHAnsi" w:cstheme="minorHAnsi"/>
        </w:rPr>
        <w:t xml:space="preserve">, </w:t>
      </w:r>
      <w:r w:rsidR="00CB1039">
        <w:rPr>
          <w:rFonts w:asciiTheme="minorHAnsi" w:hAnsiTheme="minorHAnsi" w:cstheme="minorHAnsi"/>
        </w:rPr>
        <w:t>the table below</w:t>
      </w:r>
      <w:r w:rsidRPr="00694BB8">
        <w:rPr>
          <w:rFonts w:asciiTheme="minorHAnsi" w:hAnsiTheme="minorHAnsi" w:cstheme="minorHAnsi"/>
        </w:rPr>
        <w:fldChar w:fldCharType="begin" w:fldLock="1"/>
      </w:r>
      <w:r w:rsidRPr="00694BB8">
        <w:rPr>
          <w:rFonts w:asciiTheme="minorHAnsi" w:hAnsiTheme="minorHAnsi" w:cstheme="minorHAnsi"/>
        </w:rPr>
        <w:instrText xml:space="preserve"> REF _Ref132225556 \h </w:instrText>
      </w:r>
      <w:r w:rsidR="000C274B">
        <w:rPr>
          <w:rFonts w:asciiTheme="minorHAnsi" w:hAnsiTheme="minorHAnsi" w:cstheme="minorHAnsi"/>
        </w:rPr>
        <w:instrText xml:space="preserve"> \* MERGEFORMAT </w:instrText>
      </w:r>
      <w:r w:rsidRPr="00694BB8">
        <w:rPr>
          <w:rFonts w:asciiTheme="minorHAnsi" w:hAnsiTheme="minorHAnsi" w:cstheme="minorHAnsi"/>
        </w:rPr>
      </w:r>
      <w:r w:rsidR="00000000">
        <w:rPr>
          <w:rFonts w:asciiTheme="minorHAnsi" w:hAnsiTheme="minorHAnsi" w:cstheme="minorHAnsi"/>
        </w:rPr>
        <w:fldChar w:fldCharType="separate"/>
      </w:r>
      <w:r w:rsidRPr="00694BB8">
        <w:rPr>
          <w:rFonts w:asciiTheme="minorHAnsi" w:hAnsiTheme="minorHAnsi" w:cstheme="minorHAnsi"/>
        </w:rPr>
        <w:fldChar w:fldCharType="end"/>
      </w:r>
      <w:r w:rsidRPr="00694BB8">
        <w:rPr>
          <w:rFonts w:asciiTheme="minorHAnsi" w:hAnsiTheme="minorHAnsi" w:cstheme="minorHAnsi"/>
        </w:rPr>
        <w:t xml:space="preserve"> breaks down national non-residential building counts further in categories where data sets allow it.</w:t>
      </w:r>
    </w:p>
    <w:p w14:paraId="3E5DE69C" w14:textId="3B233116" w:rsidR="00CE2B00" w:rsidRPr="00732C3A" w:rsidRDefault="00CE2B00" w:rsidP="00732C3A">
      <w:pPr>
        <w:pStyle w:val="Caption"/>
        <w:keepNext/>
        <w:spacing w:after="120"/>
        <w:rPr>
          <w:rFonts w:ascii="Calibri" w:eastAsia="Times New Roman" w:hAnsi="Calibri" w:cs="Times New Roman"/>
          <w:b/>
          <w:bCs/>
          <w:i w:val="0"/>
          <w:iCs w:val="0"/>
          <w:color w:val="auto"/>
          <w:sz w:val="24"/>
        </w:rPr>
      </w:pPr>
      <w:bookmarkStart w:id="284" w:name="_Ref136423879"/>
      <w:bookmarkStart w:id="285" w:name="_Toc162535461"/>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SEQ Table \* ARABIC</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25</w:t>
      </w:r>
      <w:r w:rsidRPr="00732C3A">
        <w:rPr>
          <w:rFonts w:ascii="Calibri" w:eastAsia="Times New Roman" w:hAnsi="Calibri" w:cs="Times New Roman"/>
          <w:b/>
          <w:bCs/>
          <w:i w:val="0"/>
          <w:iCs w:val="0"/>
          <w:color w:val="auto"/>
          <w:sz w:val="24"/>
        </w:rPr>
        <w:fldChar w:fldCharType="end"/>
      </w:r>
      <w:bookmarkEnd w:id="284"/>
      <w:r w:rsidRPr="00732C3A">
        <w:rPr>
          <w:rFonts w:ascii="Calibri" w:eastAsia="Times New Roman" w:hAnsi="Calibri" w:cs="Times New Roman"/>
          <w:b/>
          <w:bCs/>
          <w:i w:val="0"/>
          <w:iCs w:val="0"/>
          <w:color w:val="auto"/>
          <w:sz w:val="24"/>
        </w:rPr>
        <w:t>: FY2021 Non-residential Building Count, Expanded (Strategy Policy Research, 2022)</w:t>
      </w:r>
      <w:bookmarkEnd w:id="285"/>
    </w:p>
    <w:tbl>
      <w:tblPr>
        <w:tblStyle w:val="GridTable4-Accent1"/>
        <w:tblW w:w="5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1151"/>
      </w:tblGrid>
      <w:tr w:rsidR="00CE2B00" w:rsidRPr="00FB1E7F" w14:paraId="6C6600BC" w14:textId="77777777" w:rsidTr="00313AE2">
        <w:trPr>
          <w:cnfStyle w:val="100000000000" w:firstRow="1" w:lastRow="0" w:firstColumn="0" w:lastColumn="0" w:oddVBand="0" w:evenVBand="0" w:oddHBand="0"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noWrap/>
            <w:vAlign w:val="center"/>
            <w:hideMark/>
          </w:tcPr>
          <w:p w14:paraId="3364BACD"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szCs w:val="20"/>
                <w:lang w:eastAsia="en-AU"/>
              </w:rPr>
              <w:t>Primary Purpose Building Type</w:t>
            </w:r>
          </w:p>
        </w:tc>
        <w:tc>
          <w:tcPr>
            <w:tcW w:w="0" w:type="auto"/>
            <w:tcBorders>
              <w:top w:val="single" w:sz="4" w:space="0" w:color="auto"/>
              <w:bottom w:val="single" w:sz="4" w:space="0" w:color="auto"/>
              <w:right w:val="single" w:sz="4" w:space="0" w:color="auto"/>
            </w:tcBorders>
            <w:shd w:val="clear" w:color="auto" w:fill="auto"/>
            <w:noWrap/>
            <w:vAlign w:val="center"/>
            <w:hideMark/>
          </w:tcPr>
          <w:p w14:paraId="3A5F12EE" w14:textId="77777777" w:rsidR="00CE2B00" w:rsidRPr="007E2E18" w:rsidRDefault="00CE2B00" w:rsidP="007A18FE">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G Times (W1)" w:hAnsiTheme="minorHAnsi" w:cstheme="minorHAnsi"/>
                <w:b w:val="0"/>
                <w:szCs w:val="20"/>
                <w:lang w:eastAsia="en-AU"/>
              </w:rPr>
            </w:pPr>
            <w:r w:rsidRPr="007E2E18">
              <w:rPr>
                <w:rFonts w:asciiTheme="minorHAnsi" w:eastAsia="CG Times (W1)" w:hAnsiTheme="minorHAnsi" w:cstheme="minorHAnsi"/>
                <w:szCs w:val="20"/>
                <w:lang w:eastAsia="en-AU"/>
              </w:rPr>
              <w:t>Count</w:t>
            </w:r>
          </w:p>
        </w:tc>
      </w:tr>
      <w:tr w:rsidR="00CE2B00" w:rsidRPr="00FB1E7F" w14:paraId="3FDCD646" w14:textId="77777777" w:rsidTr="00313AE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vAlign w:val="center"/>
            <w:hideMark/>
          </w:tcPr>
          <w:p w14:paraId="2037290E"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Retail and wholesale trade buildings*</w:t>
            </w:r>
          </w:p>
        </w:tc>
        <w:tc>
          <w:tcPr>
            <w:tcW w:w="0" w:type="auto"/>
            <w:tcBorders>
              <w:top w:val="single" w:sz="4" w:space="0" w:color="auto"/>
            </w:tcBorders>
            <w:shd w:val="clear" w:color="auto" w:fill="auto"/>
            <w:noWrap/>
            <w:vAlign w:val="center"/>
            <w:hideMark/>
          </w:tcPr>
          <w:p w14:paraId="7F2EC231"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175,504</w:t>
            </w:r>
          </w:p>
        </w:tc>
      </w:tr>
      <w:tr w:rsidR="00CE2B00" w:rsidRPr="00FB1E7F" w14:paraId="785EF92D"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6151AAB"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Offices*</w:t>
            </w:r>
          </w:p>
        </w:tc>
        <w:tc>
          <w:tcPr>
            <w:tcW w:w="0" w:type="auto"/>
            <w:shd w:val="clear" w:color="auto" w:fill="auto"/>
            <w:noWrap/>
            <w:vAlign w:val="center"/>
            <w:hideMark/>
          </w:tcPr>
          <w:p w14:paraId="42ACC06D"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127,295</w:t>
            </w:r>
          </w:p>
        </w:tc>
      </w:tr>
      <w:tr w:rsidR="00CE2B00" w:rsidRPr="00FB1E7F" w14:paraId="21282339"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E8A1C8B"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Transport buildings</w:t>
            </w:r>
          </w:p>
        </w:tc>
        <w:tc>
          <w:tcPr>
            <w:tcW w:w="0" w:type="auto"/>
            <w:shd w:val="clear" w:color="auto" w:fill="auto"/>
            <w:noWrap/>
            <w:vAlign w:val="center"/>
            <w:hideMark/>
          </w:tcPr>
          <w:p w14:paraId="43760199"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34,157</w:t>
            </w:r>
          </w:p>
        </w:tc>
      </w:tr>
      <w:tr w:rsidR="00CE2B00" w:rsidRPr="00FB1E7F" w14:paraId="38A94E77"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1BDC16FA" w14:textId="64FCA2EA"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lang w:eastAsia="en-AU"/>
              </w:rPr>
              <w:t>Commercial buildings nec</w:t>
            </w:r>
            <w:r w:rsidR="002D0089" w:rsidRPr="007E2E18">
              <w:rPr>
                <w:rFonts w:ascii="ZWAdobeF" w:eastAsia="CG Times (W1)" w:hAnsi="ZWAdobeF" w:cs="ZWAdobeF"/>
                <w:b w:val="0"/>
                <w:sz w:val="2"/>
                <w:szCs w:val="2"/>
                <w:lang w:eastAsia="en-AU"/>
              </w:rPr>
              <w:t>168F</w:t>
            </w:r>
            <w:r w:rsidR="00EE36E3" w:rsidRPr="007E2E18">
              <w:rPr>
                <w:rFonts w:ascii="ZWAdobeF" w:eastAsia="CG Times (W1)" w:hAnsi="ZWAdobeF" w:cs="ZWAdobeF"/>
                <w:b w:val="0"/>
                <w:sz w:val="2"/>
                <w:szCs w:val="2"/>
                <w:lang w:eastAsia="en-AU"/>
              </w:rPr>
              <w:t>171F</w:t>
            </w:r>
            <w:r w:rsidR="00122C48" w:rsidRPr="007E2E18">
              <w:rPr>
                <w:rFonts w:ascii="ZWAdobeF" w:eastAsia="CG Times (W1)" w:hAnsi="ZWAdobeF" w:cs="ZWAdobeF"/>
                <w:b w:val="0"/>
                <w:sz w:val="2"/>
                <w:szCs w:val="2"/>
                <w:lang w:eastAsia="en-AU"/>
              </w:rPr>
              <w:t>171F</w:t>
            </w:r>
            <w:r w:rsidR="00F73A23" w:rsidRPr="007E2E18">
              <w:rPr>
                <w:rFonts w:ascii="ZWAdobeF" w:eastAsia="CG Times (W1)" w:hAnsi="ZWAdobeF" w:cs="ZWAdobeF"/>
                <w:b w:val="0"/>
                <w:sz w:val="2"/>
                <w:szCs w:val="2"/>
                <w:lang w:eastAsia="en-AU"/>
              </w:rPr>
              <w:t>171F</w:t>
            </w:r>
            <w:r w:rsidR="00626378">
              <w:rPr>
                <w:rFonts w:ascii="ZWAdobeF" w:eastAsia="CG Times (W1)" w:hAnsi="ZWAdobeF" w:cs="ZWAdobeF"/>
                <w:b w:val="0"/>
                <w:color w:val="auto"/>
                <w:sz w:val="2"/>
                <w:szCs w:val="2"/>
                <w:lang w:eastAsia="en-AU"/>
              </w:rPr>
              <w:t>171F</w:t>
            </w:r>
            <w:r w:rsidR="00413811">
              <w:rPr>
                <w:rFonts w:ascii="ZWAdobeF" w:eastAsia="CG Times (W1)" w:hAnsi="ZWAdobeF" w:cs="ZWAdobeF"/>
                <w:b w:val="0"/>
                <w:color w:val="auto"/>
                <w:sz w:val="2"/>
                <w:szCs w:val="2"/>
                <w:lang w:eastAsia="en-AU"/>
              </w:rPr>
              <w:t>171F</w:t>
            </w:r>
            <w:r w:rsidR="002C327C">
              <w:rPr>
                <w:rFonts w:ascii="ZWAdobeF" w:eastAsia="CG Times (W1)" w:hAnsi="ZWAdobeF" w:cs="ZWAdobeF"/>
                <w:b w:val="0"/>
                <w:color w:val="auto"/>
                <w:sz w:val="2"/>
                <w:szCs w:val="2"/>
                <w:lang w:eastAsia="en-AU"/>
              </w:rPr>
              <w:t>171F</w:t>
            </w:r>
            <w:r w:rsidR="00D24A06">
              <w:rPr>
                <w:rFonts w:ascii="ZWAdobeF" w:eastAsia="CG Times (W1)" w:hAnsi="ZWAdobeF" w:cs="ZWAdobeF"/>
                <w:b w:val="0"/>
                <w:color w:val="auto"/>
                <w:sz w:val="2"/>
                <w:szCs w:val="2"/>
                <w:lang w:eastAsia="en-AU"/>
              </w:rPr>
              <w:t>171F</w:t>
            </w:r>
            <w:r w:rsidRPr="007E2E18">
              <w:rPr>
                <w:rStyle w:val="FootnoteReference"/>
                <w:rFonts w:asciiTheme="minorHAnsi" w:eastAsia="CG Times (W1)" w:hAnsiTheme="minorHAnsi" w:cstheme="minorHAnsi"/>
                <w:b w:val="0"/>
                <w:lang w:eastAsia="en-AU"/>
              </w:rPr>
              <w:footnoteReference w:id="173"/>
            </w:r>
          </w:p>
        </w:tc>
        <w:tc>
          <w:tcPr>
            <w:tcW w:w="0" w:type="auto"/>
            <w:shd w:val="clear" w:color="auto" w:fill="auto"/>
            <w:noWrap/>
            <w:vAlign w:val="center"/>
            <w:hideMark/>
          </w:tcPr>
          <w:p w14:paraId="656A436B"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12,478</w:t>
            </w:r>
          </w:p>
        </w:tc>
      </w:tr>
      <w:tr w:rsidR="00CE2B00" w:rsidRPr="00FB1E7F" w14:paraId="51265452"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23408F7"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Factories and other secondary production</w:t>
            </w:r>
            <w:r w:rsidRPr="007E2E18">
              <w:rPr>
                <w:rFonts w:asciiTheme="minorHAnsi" w:eastAsia="CG Times (W1)" w:hAnsiTheme="minorHAnsi" w:cstheme="minorHAnsi"/>
                <w:b w:val="0"/>
                <w:szCs w:val="20"/>
                <w:lang w:eastAsia="en-AU"/>
              </w:rPr>
              <w:br/>
              <w:t>buildings</w:t>
            </w:r>
          </w:p>
        </w:tc>
        <w:tc>
          <w:tcPr>
            <w:tcW w:w="0" w:type="auto"/>
            <w:shd w:val="clear" w:color="auto" w:fill="auto"/>
            <w:noWrap/>
            <w:vAlign w:val="center"/>
            <w:hideMark/>
          </w:tcPr>
          <w:p w14:paraId="3148CE7D"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146,728</w:t>
            </w:r>
          </w:p>
        </w:tc>
      </w:tr>
      <w:tr w:rsidR="00CE2B00" w:rsidRPr="00FB1E7F" w14:paraId="643F75CD"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67DAF7F"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Warehouses*</w:t>
            </w:r>
          </w:p>
        </w:tc>
        <w:tc>
          <w:tcPr>
            <w:tcW w:w="0" w:type="auto"/>
            <w:shd w:val="clear" w:color="auto" w:fill="auto"/>
            <w:noWrap/>
            <w:vAlign w:val="center"/>
            <w:hideMark/>
          </w:tcPr>
          <w:p w14:paraId="5EC26F94"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103,665</w:t>
            </w:r>
          </w:p>
        </w:tc>
      </w:tr>
      <w:tr w:rsidR="00CE2B00" w:rsidRPr="00FB1E7F" w14:paraId="6929D23B"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1972F08"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Agricultural and aquacultural buildings</w:t>
            </w:r>
          </w:p>
        </w:tc>
        <w:tc>
          <w:tcPr>
            <w:tcW w:w="0" w:type="auto"/>
            <w:shd w:val="clear" w:color="auto" w:fill="auto"/>
            <w:noWrap/>
            <w:vAlign w:val="center"/>
            <w:hideMark/>
          </w:tcPr>
          <w:p w14:paraId="4FF445E2"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72,648</w:t>
            </w:r>
          </w:p>
        </w:tc>
      </w:tr>
      <w:tr w:rsidR="00CE2B00" w:rsidRPr="00FB1E7F" w14:paraId="0C944974"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4730731"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Data Centre*</w:t>
            </w:r>
          </w:p>
        </w:tc>
        <w:tc>
          <w:tcPr>
            <w:tcW w:w="0" w:type="auto"/>
            <w:shd w:val="clear" w:color="auto" w:fill="auto"/>
            <w:noWrap/>
            <w:vAlign w:val="center"/>
            <w:hideMark/>
          </w:tcPr>
          <w:p w14:paraId="4BE7898A"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16</w:t>
            </w:r>
          </w:p>
        </w:tc>
      </w:tr>
      <w:tr w:rsidR="00CE2B00" w:rsidRPr="00FB1E7F" w14:paraId="736D8AEE"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FD2A435"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 xml:space="preserve">Other industrial buildings </w:t>
            </w:r>
            <w:proofErr w:type="spellStart"/>
            <w:r w:rsidRPr="007E2E18">
              <w:rPr>
                <w:rFonts w:asciiTheme="minorHAnsi" w:eastAsia="CG Times (W1)" w:hAnsiTheme="minorHAnsi" w:cstheme="minorHAnsi"/>
                <w:b w:val="0"/>
                <w:szCs w:val="20"/>
                <w:lang w:eastAsia="en-AU"/>
              </w:rPr>
              <w:t>nec</w:t>
            </w:r>
            <w:proofErr w:type="spellEnd"/>
          </w:p>
        </w:tc>
        <w:tc>
          <w:tcPr>
            <w:tcW w:w="0" w:type="auto"/>
            <w:shd w:val="clear" w:color="auto" w:fill="auto"/>
            <w:noWrap/>
            <w:vAlign w:val="center"/>
            <w:hideMark/>
          </w:tcPr>
          <w:p w14:paraId="3EF26084"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369,32</w:t>
            </w:r>
          </w:p>
        </w:tc>
      </w:tr>
      <w:tr w:rsidR="00CE2B00" w:rsidRPr="00FB1E7F" w14:paraId="3566954E"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C77CAA4"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Hotels*</w:t>
            </w:r>
          </w:p>
        </w:tc>
        <w:tc>
          <w:tcPr>
            <w:tcW w:w="0" w:type="auto"/>
            <w:shd w:val="clear" w:color="auto" w:fill="auto"/>
            <w:noWrap/>
            <w:vAlign w:val="center"/>
            <w:hideMark/>
          </w:tcPr>
          <w:p w14:paraId="2AA5CAEC"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9,035</w:t>
            </w:r>
          </w:p>
        </w:tc>
      </w:tr>
      <w:tr w:rsidR="00CE2B00" w:rsidRPr="00FB1E7F" w14:paraId="455437EA"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B7A9572"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Other Accommodation</w:t>
            </w:r>
          </w:p>
        </w:tc>
        <w:tc>
          <w:tcPr>
            <w:tcW w:w="0" w:type="auto"/>
            <w:shd w:val="clear" w:color="auto" w:fill="auto"/>
            <w:noWrap/>
            <w:vAlign w:val="center"/>
            <w:hideMark/>
          </w:tcPr>
          <w:p w14:paraId="68C41486"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79,494</w:t>
            </w:r>
          </w:p>
        </w:tc>
      </w:tr>
      <w:tr w:rsidR="00CE2B00" w:rsidRPr="00FB1E7F" w14:paraId="455FAECC"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AF1E0AD"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Entertainment and Recreation - cultural</w:t>
            </w:r>
          </w:p>
        </w:tc>
        <w:tc>
          <w:tcPr>
            <w:tcW w:w="0" w:type="auto"/>
            <w:shd w:val="clear" w:color="auto" w:fill="auto"/>
            <w:noWrap/>
            <w:vAlign w:val="center"/>
            <w:hideMark/>
          </w:tcPr>
          <w:p w14:paraId="3C45306E"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37,826</w:t>
            </w:r>
          </w:p>
        </w:tc>
      </w:tr>
      <w:tr w:rsidR="00CE2B00" w:rsidRPr="00FB1E7F" w14:paraId="3307125C"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02C1A2DA"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Entertainment and Recreation - sports centre</w:t>
            </w:r>
          </w:p>
        </w:tc>
        <w:tc>
          <w:tcPr>
            <w:tcW w:w="0" w:type="auto"/>
            <w:shd w:val="clear" w:color="auto" w:fill="auto"/>
            <w:noWrap/>
            <w:vAlign w:val="center"/>
            <w:hideMark/>
          </w:tcPr>
          <w:p w14:paraId="59913765"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35,899</w:t>
            </w:r>
          </w:p>
        </w:tc>
      </w:tr>
      <w:tr w:rsidR="00CE2B00" w:rsidRPr="00FB1E7F" w14:paraId="06F37649"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15816C9"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Entertainment and Recreation - aquatic centre</w:t>
            </w:r>
          </w:p>
        </w:tc>
        <w:tc>
          <w:tcPr>
            <w:tcW w:w="0" w:type="auto"/>
            <w:shd w:val="clear" w:color="auto" w:fill="auto"/>
            <w:noWrap/>
            <w:vAlign w:val="center"/>
            <w:hideMark/>
          </w:tcPr>
          <w:p w14:paraId="1B6EDBD0"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1,978</w:t>
            </w:r>
          </w:p>
        </w:tc>
      </w:tr>
      <w:tr w:rsidR="00CE2B00" w:rsidRPr="00FB1E7F" w14:paraId="3BEEA81A"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50D7914"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Entertainment and Recreation - other</w:t>
            </w:r>
          </w:p>
        </w:tc>
        <w:tc>
          <w:tcPr>
            <w:tcW w:w="0" w:type="auto"/>
            <w:shd w:val="clear" w:color="auto" w:fill="auto"/>
            <w:noWrap/>
            <w:vAlign w:val="center"/>
            <w:hideMark/>
          </w:tcPr>
          <w:p w14:paraId="30EAD4B3"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5,031</w:t>
            </w:r>
          </w:p>
        </w:tc>
      </w:tr>
      <w:tr w:rsidR="00CE2B00" w:rsidRPr="00FB1E7F" w14:paraId="291D7837"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4DB3B573"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Presecondary</w:t>
            </w:r>
          </w:p>
        </w:tc>
        <w:tc>
          <w:tcPr>
            <w:tcW w:w="0" w:type="auto"/>
            <w:shd w:val="clear" w:color="auto" w:fill="auto"/>
            <w:noWrap/>
            <w:vAlign w:val="center"/>
            <w:hideMark/>
          </w:tcPr>
          <w:p w14:paraId="0244EBFA"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15,647</w:t>
            </w:r>
          </w:p>
        </w:tc>
      </w:tr>
      <w:tr w:rsidR="00CE2B00" w:rsidRPr="00FB1E7F" w14:paraId="04235428"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A9997C5"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Secondary</w:t>
            </w:r>
          </w:p>
        </w:tc>
        <w:tc>
          <w:tcPr>
            <w:tcW w:w="0" w:type="auto"/>
            <w:shd w:val="clear" w:color="auto" w:fill="auto"/>
            <w:noWrap/>
            <w:vAlign w:val="center"/>
            <w:hideMark/>
          </w:tcPr>
          <w:p w14:paraId="21603D7B"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21,199</w:t>
            </w:r>
          </w:p>
        </w:tc>
      </w:tr>
      <w:tr w:rsidR="00CE2B00" w:rsidRPr="00FB1E7F" w14:paraId="682653BB"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A60260C"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Combined</w:t>
            </w:r>
          </w:p>
        </w:tc>
        <w:tc>
          <w:tcPr>
            <w:tcW w:w="0" w:type="auto"/>
            <w:shd w:val="clear" w:color="auto" w:fill="auto"/>
            <w:noWrap/>
            <w:vAlign w:val="center"/>
            <w:hideMark/>
          </w:tcPr>
          <w:p w14:paraId="35A077F2"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2,260</w:t>
            </w:r>
          </w:p>
        </w:tc>
      </w:tr>
      <w:tr w:rsidR="00CE2B00" w:rsidRPr="00FB1E7F" w14:paraId="2A5DC1C9"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1671E74"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TAFE</w:t>
            </w:r>
          </w:p>
        </w:tc>
        <w:tc>
          <w:tcPr>
            <w:tcW w:w="0" w:type="auto"/>
            <w:shd w:val="clear" w:color="auto" w:fill="auto"/>
            <w:noWrap/>
            <w:vAlign w:val="center"/>
            <w:hideMark/>
          </w:tcPr>
          <w:p w14:paraId="0C0802BD"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742</w:t>
            </w:r>
          </w:p>
        </w:tc>
      </w:tr>
      <w:tr w:rsidR="00CE2B00" w:rsidRPr="00FB1E7F" w14:paraId="318538BF"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9E00D8A"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University</w:t>
            </w:r>
          </w:p>
        </w:tc>
        <w:tc>
          <w:tcPr>
            <w:tcW w:w="0" w:type="auto"/>
            <w:shd w:val="clear" w:color="auto" w:fill="auto"/>
            <w:noWrap/>
            <w:vAlign w:val="center"/>
            <w:hideMark/>
          </w:tcPr>
          <w:p w14:paraId="537458F3"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1,273</w:t>
            </w:r>
          </w:p>
        </w:tc>
      </w:tr>
      <w:tr w:rsidR="00CE2B00" w:rsidRPr="00FB1E7F" w14:paraId="450EBF10"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5EDEC263"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Other Education</w:t>
            </w:r>
          </w:p>
        </w:tc>
        <w:tc>
          <w:tcPr>
            <w:tcW w:w="0" w:type="auto"/>
            <w:shd w:val="clear" w:color="auto" w:fill="auto"/>
            <w:noWrap/>
            <w:vAlign w:val="center"/>
            <w:hideMark/>
          </w:tcPr>
          <w:p w14:paraId="22D4495A"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9,130</w:t>
            </w:r>
          </w:p>
        </w:tc>
      </w:tr>
      <w:tr w:rsidR="00CE2B00" w:rsidRPr="00FB1E7F" w14:paraId="439E803A"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1C49995"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Aged care facilities (including nursing homes)</w:t>
            </w:r>
          </w:p>
        </w:tc>
        <w:tc>
          <w:tcPr>
            <w:tcW w:w="0" w:type="auto"/>
            <w:shd w:val="clear" w:color="auto" w:fill="auto"/>
            <w:noWrap/>
            <w:vAlign w:val="center"/>
            <w:hideMark/>
          </w:tcPr>
          <w:p w14:paraId="4E44E1FD"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30,671</w:t>
            </w:r>
          </w:p>
        </w:tc>
      </w:tr>
      <w:tr w:rsidR="00CE2B00" w:rsidRPr="00FB1E7F" w14:paraId="04058DEF"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2A9F854"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Hospitals</w:t>
            </w:r>
          </w:p>
        </w:tc>
        <w:tc>
          <w:tcPr>
            <w:tcW w:w="0" w:type="auto"/>
            <w:shd w:val="clear" w:color="auto" w:fill="auto"/>
            <w:noWrap/>
            <w:vAlign w:val="center"/>
            <w:hideMark/>
          </w:tcPr>
          <w:p w14:paraId="3DA87E64"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32,08</w:t>
            </w:r>
          </w:p>
        </w:tc>
      </w:tr>
      <w:tr w:rsidR="00CE2B00" w:rsidRPr="00FB1E7F" w14:paraId="151859EB"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422C7DD"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Other healthcare</w:t>
            </w:r>
          </w:p>
        </w:tc>
        <w:tc>
          <w:tcPr>
            <w:tcW w:w="0" w:type="auto"/>
            <w:shd w:val="clear" w:color="auto" w:fill="auto"/>
            <w:noWrap/>
            <w:vAlign w:val="center"/>
            <w:hideMark/>
          </w:tcPr>
          <w:p w14:paraId="255A5269"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19,544</w:t>
            </w:r>
          </w:p>
        </w:tc>
      </w:tr>
      <w:tr w:rsidR="00CE2B00" w:rsidRPr="00FB1E7F" w14:paraId="2C329B19"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623E42B1"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Religion buildings</w:t>
            </w:r>
          </w:p>
        </w:tc>
        <w:tc>
          <w:tcPr>
            <w:tcW w:w="0" w:type="auto"/>
            <w:shd w:val="clear" w:color="auto" w:fill="auto"/>
            <w:noWrap/>
            <w:vAlign w:val="center"/>
            <w:hideMark/>
          </w:tcPr>
          <w:p w14:paraId="09917498"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19,260</w:t>
            </w:r>
          </w:p>
        </w:tc>
      </w:tr>
      <w:tr w:rsidR="00CE2B00" w:rsidRPr="00FB1E7F" w14:paraId="458C5B58" w14:textId="77777777" w:rsidTr="007E2E18">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C74EA8C"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b w:val="0"/>
                <w:szCs w:val="20"/>
                <w:lang w:eastAsia="en-AU"/>
              </w:rPr>
              <w:t xml:space="preserve">Non-residential buildings </w:t>
            </w:r>
            <w:proofErr w:type="spellStart"/>
            <w:r w:rsidRPr="007E2E18">
              <w:rPr>
                <w:rFonts w:asciiTheme="minorHAnsi" w:eastAsia="CG Times (W1)" w:hAnsiTheme="minorHAnsi" w:cstheme="minorHAnsi"/>
                <w:b w:val="0"/>
                <w:szCs w:val="20"/>
                <w:lang w:eastAsia="en-AU"/>
              </w:rPr>
              <w:t>nec</w:t>
            </w:r>
            <w:proofErr w:type="spellEnd"/>
          </w:p>
        </w:tc>
        <w:tc>
          <w:tcPr>
            <w:tcW w:w="0" w:type="auto"/>
            <w:shd w:val="clear" w:color="auto" w:fill="auto"/>
            <w:noWrap/>
            <w:vAlign w:val="center"/>
            <w:hideMark/>
          </w:tcPr>
          <w:p w14:paraId="1C56B5E2" w14:textId="77777777" w:rsidR="00CE2B00" w:rsidRPr="007E2E18" w:rsidRDefault="00CE2B00" w:rsidP="007A18FE">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CG Times (W1)" w:hAnsiTheme="minorHAnsi" w:cstheme="minorHAnsi"/>
                <w:szCs w:val="20"/>
                <w:lang w:eastAsia="en-AU"/>
              </w:rPr>
            </w:pPr>
            <w:r w:rsidRPr="007E2E18">
              <w:rPr>
                <w:rFonts w:asciiTheme="minorHAnsi" w:eastAsia="CG Times (W1)" w:hAnsiTheme="minorHAnsi" w:cstheme="minorHAnsi"/>
                <w:szCs w:val="20"/>
                <w:lang w:eastAsia="en-AU"/>
              </w:rPr>
              <w:t>45,801</w:t>
            </w:r>
          </w:p>
        </w:tc>
      </w:tr>
      <w:tr w:rsidR="00CE2B00" w:rsidRPr="00FB1E7F" w14:paraId="544B2037" w14:textId="77777777" w:rsidTr="007E2E1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34991A4F" w14:textId="77777777" w:rsidR="00CE2B00" w:rsidRPr="007E2E18" w:rsidRDefault="00CE2B00" w:rsidP="007A18FE">
            <w:pPr>
              <w:spacing w:before="0" w:after="0"/>
              <w:rPr>
                <w:rFonts w:asciiTheme="minorHAnsi" w:eastAsia="CG Times (W1)" w:hAnsiTheme="minorHAnsi" w:cstheme="minorHAnsi"/>
                <w:b w:val="0"/>
                <w:szCs w:val="20"/>
                <w:lang w:eastAsia="en-AU"/>
              </w:rPr>
            </w:pPr>
            <w:r w:rsidRPr="007E2E18">
              <w:rPr>
                <w:rFonts w:asciiTheme="minorHAnsi" w:eastAsia="CG Times (W1)" w:hAnsiTheme="minorHAnsi" w:cstheme="minorHAnsi"/>
                <w:szCs w:val="20"/>
                <w:lang w:eastAsia="en-AU"/>
              </w:rPr>
              <w:t>Total</w:t>
            </w:r>
          </w:p>
        </w:tc>
        <w:tc>
          <w:tcPr>
            <w:tcW w:w="0" w:type="auto"/>
            <w:shd w:val="clear" w:color="auto" w:fill="auto"/>
            <w:noWrap/>
            <w:vAlign w:val="center"/>
            <w:hideMark/>
          </w:tcPr>
          <w:p w14:paraId="70930C48" w14:textId="77777777" w:rsidR="00CE2B00" w:rsidRPr="007E2E18" w:rsidRDefault="00CE2B00" w:rsidP="007A18FE">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CG Times (W1)" w:hAnsiTheme="minorHAnsi" w:cstheme="minorHAnsi"/>
                <w:b/>
                <w:szCs w:val="20"/>
                <w:lang w:eastAsia="en-AU"/>
              </w:rPr>
            </w:pPr>
            <w:r w:rsidRPr="007E2E18">
              <w:rPr>
                <w:rFonts w:asciiTheme="minorHAnsi" w:eastAsia="CG Times (W1)" w:hAnsiTheme="minorHAnsi" w:cstheme="minorHAnsi"/>
                <w:b/>
                <w:szCs w:val="20"/>
                <w:lang w:eastAsia="en-AU"/>
              </w:rPr>
              <w:t>1,047,421</w:t>
            </w:r>
          </w:p>
        </w:tc>
      </w:tr>
    </w:tbl>
    <w:p w14:paraId="451B03C3" w14:textId="77777777" w:rsidR="00A14641" w:rsidRPr="00F81ADB" w:rsidRDefault="00A14641" w:rsidP="005F7414">
      <w:pPr>
        <w:pStyle w:val="BodyBullet"/>
        <w:rPr>
          <w:rFonts w:cstheme="minorHAnsi"/>
          <w:lang w:val="en-GB"/>
        </w:rPr>
      </w:pPr>
    </w:p>
    <w:p w14:paraId="5DDC23B6" w14:textId="7D2DDC7E" w:rsidR="00D6060A" w:rsidRPr="00E63900" w:rsidRDefault="00D6060A">
      <w:pPr>
        <w:spacing w:before="0" w:after="160" w:line="259" w:lineRule="auto"/>
        <w:rPr>
          <w:rFonts w:asciiTheme="minorHAnsi" w:hAnsiTheme="minorHAnsi" w:cstheme="minorHAnsi"/>
          <w:lang w:val="en-GB"/>
        </w:rPr>
        <w:sectPr w:rsidR="00D6060A" w:rsidRPr="00E63900" w:rsidSect="00A77C53">
          <w:pgSz w:w="11906" w:h="16838"/>
          <w:pgMar w:top="851" w:right="851" w:bottom="1418" w:left="851" w:header="567" w:footer="283" w:gutter="0"/>
          <w:cols w:space="708"/>
          <w:docGrid w:linePitch="360"/>
        </w:sectPr>
      </w:pPr>
    </w:p>
    <w:p w14:paraId="324E80EC" w14:textId="392C0E7E" w:rsidR="005D2BAF" w:rsidRPr="00F81ADB" w:rsidRDefault="004F00D8" w:rsidP="0055174F">
      <w:pPr>
        <w:pStyle w:val="Heading2"/>
        <w:rPr>
          <w:rFonts w:cstheme="minorHAnsi"/>
          <w:lang w:val="en-GB"/>
        </w:rPr>
      </w:pPr>
      <w:bookmarkStart w:id="286" w:name="_Toc154059393"/>
      <w:r w:rsidRPr="00F81ADB">
        <w:rPr>
          <w:rFonts w:cstheme="minorHAnsi"/>
          <w:lang w:val="en-GB"/>
        </w:rPr>
        <w:lastRenderedPageBreak/>
        <w:t xml:space="preserve">Appendix </w:t>
      </w:r>
      <w:r w:rsidR="00182AB2">
        <w:rPr>
          <w:rFonts w:cstheme="minorHAnsi"/>
          <w:lang w:val="en-GB"/>
        </w:rPr>
        <w:t>5</w:t>
      </w:r>
      <w:r w:rsidRPr="00F81ADB">
        <w:rPr>
          <w:rFonts w:cstheme="minorHAnsi"/>
          <w:lang w:val="en-GB"/>
        </w:rPr>
        <w:t xml:space="preserve">: </w:t>
      </w:r>
      <w:r w:rsidR="00DD5BAF" w:rsidRPr="00F81ADB">
        <w:rPr>
          <w:rFonts w:cstheme="minorHAnsi"/>
          <w:lang w:val="en-GB"/>
        </w:rPr>
        <w:t>Analysis of Datasets</w:t>
      </w:r>
      <w:bookmarkEnd w:id="286"/>
    </w:p>
    <w:p w14:paraId="12D3F625" w14:textId="2AC9D17D"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 xml:space="preserve">Three datasets were provided for analysis of the non-residential building </w:t>
      </w:r>
      <w:proofErr w:type="gramStart"/>
      <w:r w:rsidRPr="00E63900">
        <w:rPr>
          <w:rFonts w:asciiTheme="minorHAnsi" w:hAnsiTheme="minorHAnsi" w:cstheme="minorHAnsi"/>
        </w:rPr>
        <w:t>stock;</w:t>
      </w:r>
      <w:proofErr w:type="gramEnd"/>
    </w:p>
    <w:p w14:paraId="68969B31" w14:textId="77777777" w:rsidR="005D2BAF" w:rsidRPr="00E63900" w:rsidRDefault="005D2BAF" w:rsidP="00A253E6">
      <w:pPr>
        <w:pStyle w:val="BodyText"/>
        <w:numPr>
          <w:ilvl w:val="0"/>
          <w:numId w:val="51"/>
        </w:numPr>
        <w:rPr>
          <w:rFonts w:asciiTheme="minorHAnsi" w:hAnsiTheme="minorHAnsi" w:cstheme="minorHAnsi"/>
        </w:rPr>
      </w:pP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Buildings</w:t>
      </w:r>
    </w:p>
    <w:p w14:paraId="74CC9804" w14:textId="77777777" w:rsidR="005D2BAF" w:rsidRPr="00E63900" w:rsidRDefault="005D2BAF" w:rsidP="00A253E6">
      <w:pPr>
        <w:pStyle w:val="BodyText"/>
        <w:numPr>
          <w:ilvl w:val="0"/>
          <w:numId w:val="51"/>
        </w:numPr>
        <w:rPr>
          <w:rFonts w:asciiTheme="minorHAnsi" w:hAnsiTheme="minorHAnsi" w:cstheme="minorHAnsi"/>
        </w:rPr>
      </w:pPr>
      <w:r w:rsidRPr="00E63900">
        <w:rPr>
          <w:rFonts w:asciiTheme="minorHAnsi" w:hAnsiTheme="minorHAnsi" w:cstheme="minorHAnsi"/>
        </w:rPr>
        <w:t>CBD Historical ratings data (2011 – 2023)</w:t>
      </w:r>
    </w:p>
    <w:p w14:paraId="67F0BCE6" w14:textId="77777777" w:rsidR="005D2BAF" w:rsidRPr="00E63900" w:rsidRDefault="005D2BAF" w:rsidP="00A253E6">
      <w:pPr>
        <w:pStyle w:val="BodyText"/>
        <w:numPr>
          <w:ilvl w:val="0"/>
          <w:numId w:val="51"/>
        </w:numPr>
        <w:rPr>
          <w:rFonts w:asciiTheme="minorHAnsi" w:hAnsiTheme="minorHAnsi" w:cstheme="minorHAnsi"/>
        </w:rPr>
      </w:pPr>
      <w:r w:rsidRPr="00E63900">
        <w:rPr>
          <w:rFonts w:asciiTheme="minorHAnsi" w:hAnsiTheme="minorHAnsi" w:cstheme="minorHAnsi"/>
        </w:rPr>
        <w:t>NABERS historical ratings (2010 – 2023)</w:t>
      </w:r>
    </w:p>
    <w:p w14:paraId="198BAFAE" w14:textId="2681FAB1"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 xml:space="preserve">Due to the maturity of reporting and mandatory disclosure in the commercial office building sector there is significantly more information here than other building types. Therefore, commercial office buildings have been analysed with findings of each dataset summarised in </w:t>
      </w:r>
      <w:r w:rsidR="009922BF" w:rsidRPr="00E63900">
        <w:rPr>
          <w:rFonts w:asciiTheme="minorHAnsi" w:hAnsiTheme="minorHAnsi" w:cstheme="minorHAnsi"/>
        </w:rPr>
        <w:fldChar w:fldCharType="begin" w:fldLock="1"/>
      </w:r>
      <w:r w:rsidR="009922BF" w:rsidRPr="00E63900">
        <w:rPr>
          <w:rFonts w:asciiTheme="minorHAnsi" w:hAnsiTheme="minorHAnsi" w:cstheme="minorHAnsi"/>
        </w:rPr>
        <w:instrText xml:space="preserve"> REF _Ref146296674 \h </w:instrText>
      </w:r>
      <w:r w:rsidR="000C274B">
        <w:rPr>
          <w:rFonts w:asciiTheme="minorHAnsi" w:hAnsiTheme="minorHAnsi" w:cstheme="minorHAnsi"/>
        </w:rPr>
        <w:instrText xml:space="preserve"> \* MERGEFORMAT </w:instrText>
      </w:r>
      <w:r w:rsidR="009922BF" w:rsidRPr="00E63900">
        <w:rPr>
          <w:rFonts w:asciiTheme="minorHAnsi" w:hAnsiTheme="minorHAnsi" w:cstheme="minorHAnsi"/>
        </w:rPr>
      </w:r>
      <w:r w:rsidR="009922BF" w:rsidRPr="00E63900">
        <w:rPr>
          <w:rFonts w:asciiTheme="minorHAnsi" w:hAnsiTheme="minorHAnsi" w:cstheme="minorHAnsi"/>
        </w:rPr>
        <w:fldChar w:fldCharType="separate"/>
      </w:r>
      <w:r w:rsidR="005452F5" w:rsidRPr="00E63900">
        <w:rPr>
          <w:rFonts w:asciiTheme="minorHAnsi" w:hAnsiTheme="minorHAnsi" w:cstheme="minorHAnsi"/>
        </w:rPr>
        <w:t xml:space="preserve">Table </w:t>
      </w:r>
      <w:r w:rsidR="005452F5" w:rsidRPr="005452F5">
        <w:rPr>
          <w:rFonts w:asciiTheme="minorHAnsi" w:hAnsiTheme="minorHAnsi" w:cstheme="minorHAnsi"/>
        </w:rPr>
        <w:t>24</w:t>
      </w:r>
      <w:r w:rsidR="009922BF" w:rsidRPr="00E63900">
        <w:rPr>
          <w:rFonts w:asciiTheme="minorHAnsi" w:hAnsiTheme="minorHAnsi" w:cstheme="minorHAnsi"/>
        </w:rPr>
        <w:fldChar w:fldCharType="end"/>
      </w:r>
      <w:r w:rsidR="009922BF" w:rsidRPr="00E63900">
        <w:rPr>
          <w:rFonts w:asciiTheme="minorHAnsi" w:hAnsiTheme="minorHAnsi" w:cstheme="minorHAnsi"/>
        </w:rPr>
        <w:t>.</w:t>
      </w:r>
    </w:p>
    <w:p w14:paraId="1EDF5DCF" w14:textId="602203D3" w:rsidR="005D2BAF" w:rsidRPr="00732C3A" w:rsidRDefault="005D2BAF" w:rsidP="00732C3A">
      <w:pPr>
        <w:pStyle w:val="Caption"/>
        <w:keepNext/>
        <w:spacing w:after="120"/>
        <w:rPr>
          <w:rFonts w:ascii="Calibri" w:eastAsia="Times New Roman" w:hAnsi="Calibri" w:cs="Times New Roman"/>
          <w:b/>
          <w:bCs/>
          <w:i w:val="0"/>
          <w:iCs w:val="0"/>
          <w:color w:val="auto"/>
          <w:sz w:val="24"/>
        </w:rPr>
      </w:pPr>
      <w:bookmarkStart w:id="287" w:name="_Ref146296674"/>
      <w:bookmarkStart w:id="288" w:name="_Toc162535462"/>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 xml:space="preserve"> SEQ Table \* ARABIC </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26</w:t>
      </w:r>
      <w:r w:rsidRPr="00732C3A">
        <w:rPr>
          <w:rFonts w:ascii="Calibri" w:eastAsia="Times New Roman" w:hAnsi="Calibri" w:cs="Times New Roman"/>
          <w:b/>
          <w:bCs/>
          <w:i w:val="0"/>
          <w:iCs w:val="0"/>
          <w:color w:val="auto"/>
          <w:sz w:val="24"/>
        </w:rPr>
        <w:fldChar w:fldCharType="end"/>
      </w:r>
      <w:bookmarkEnd w:id="287"/>
      <w:r w:rsidRPr="00732C3A">
        <w:rPr>
          <w:rFonts w:ascii="Calibri" w:eastAsia="Times New Roman" w:hAnsi="Calibri" w:cs="Times New Roman"/>
          <w:b/>
          <w:bCs/>
          <w:i w:val="0"/>
          <w:iCs w:val="0"/>
          <w:color w:val="auto"/>
          <w:sz w:val="24"/>
        </w:rPr>
        <w:t>: Summary of commercial office building count and area (m2) of different datasets</w:t>
      </w:r>
      <w:bookmarkEnd w:id="288"/>
    </w:p>
    <w:tbl>
      <w:tblPr>
        <w:tblStyle w:val="PlainTable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418"/>
        <w:gridCol w:w="1404"/>
        <w:gridCol w:w="1406"/>
        <w:gridCol w:w="1403"/>
        <w:gridCol w:w="1405"/>
      </w:tblGrid>
      <w:tr w:rsidR="00636AA3" w:rsidRPr="00252A12" w14:paraId="18C8B7C1" w14:textId="77777777" w:rsidTr="004922F3">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tcPr>
          <w:p w14:paraId="2BF7ABEB" w14:textId="77777777" w:rsidR="00636AA3" w:rsidRPr="007E2E18" w:rsidRDefault="00636AA3" w:rsidP="00636AA3">
            <w:pPr>
              <w:spacing w:before="0" w:after="0"/>
              <w:rPr>
                <w:rFonts w:asciiTheme="minorHAnsi" w:hAnsiTheme="minorHAnsi" w:cstheme="minorHAnsi"/>
                <w:color w:val="000000"/>
                <w:sz w:val="18"/>
                <w:szCs w:val="18"/>
              </w:rPr>
            </w:pPr>
          </w:p>
        </w:tc>
        <w:tc>
          <w:tcPr>
            <w:tcW w:w="1559" w:type="dxa"/>
            <w:tcBorders>
              <w:right w:val="nil"/>
            </w:tcBorders>
            <w:shd w:val="clear" w:color="auto" w:fill="auto"/>
            <w:vAlign w:val="center"/>
          </w:tcPr>
          <w:p w14:paraId="578B1DDA" w14:textId="27F056EE" w:rsidR="00636AA3" w:rsidRPr="007E2E18" w:rsidRDefault="00636AA3" w:rsidP="004922F3">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rPr>
            </w:pPr>
            <w:proofErr w:type="spellStart"/>
            <w:r w:rsidRPr="007E2E18">
              <w:rPr>
                <w:rFonts w:asciiTheme="minorHAnsi" w:hAnsiTheme="minorHAnsi" w:cstheme="minorHAnsi"/>
                <w:color w:val="000000"/>
                <w:sz w:val="18"/>
                <w:szCs w:val="18"/>
              </w:rPr>
              <w:t>Geoscape</w:t>
            </w:r>
            <w:proofErr w:type="spellEnd"/>
            <w:r w:rsidRPr="007E2E18">
              <w:rPr>
                <w:rFonts w:asciiTheme="minorHAnsi" w:hAnsiTheme="minorHAnsi" w:cstheme="minorHAnsi"/>
                <w:color w:val="000000"/>
                <w:sz w:val="18"/>
                <w:szCs w:val="18"/>
              </w:rPr>
              <w:t xml:space="preserve"> Buildings</w:t>
            </w:r>
          </w:p>
        </w:tc>
        <w:tc>
          <w:tcPr>
            <w:tcW w:w="1418" w:type="dxa"/>
            <w:tcBorders>
              <w:left w:val="nil"/>
              <w:right w:val="single" w:sz="12" w:space="0" w:color="auto"/>
            </w:tcBorders>
            <w:shd w:val="clear" w:color="auto" w:fill="auto"/>
            <w:vAlign w:val="center"/>
          </w:tcPr>
          <w:p w14:paraId="0F0518FA" w14:textId="77777777" w:rsidR="00636AA3" w:rsidRPr="007E2E18" w:rsidRDefault="00636AA3" w:rsidP="004922F3">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rPr>
            </w:pPr>
          </w:p>
        </w:tc>
        <w:tc>
          <w:tcPr>
            <w:tcW w:w="1404" w:type="dxa"/>
            <w:tcBorders>
              <w:left w:val="single" w:sz="12" w:space="0" w:color="auto"/>
              <w:right w:val="nil"/>
            </w:tcBorders>
            <w:shd w:val="clear" w:color="auto" w:fill="auto"/>
            <w:noWrap/>
            <w:vAlign w:val="center"/>
          </w:tcPr>
          <w:p w14:paraId="519BEE0F" w14:textId="62E7A2E5" w:rsidR="00636AA3" w:rsidRPr="007E2E18" w:rsidRDefault="00636AA3" w:rsidP="004922F3">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rPr>
            </w:pPr>
            <w:r w:rsidRPr="007E2E18">
              <w:rPr>
                <w:rFonts w:asciiTheme="minorHAnsi" w:hAnsiTheme="minorHAnsi" w:cstheme="minorHAnsi"/>
                <w:color w:val="000000"/>
                <w:sz w:val="18"/>
                <w:szCs w:val="18"/>
              </w:rPr>
              <w:t>CBD Program</w:t>
            </w:r>
          </w:p>
        </w:tc>
        <w:tc>
          <w:tcPr>
            <w:tcW w:w="1406" w:type="dxa"/>
            <w:tcBorders>
              <w:left w:val="nil"/>
              <w:right w:val="single" w:sz="12" w:space="0" w:color="auto"/>
            </w:tcBorders>
            <w:shd w:val="clear" w:color="auto" w:fill="auto"/>
            <w:vAlign w:val="center"/>
          </w:tcPr>
          <w:p w14:paraId="66089AFA" w14:textId="77777777" w:rsidR="00636AA3" w:rsidRPr="007E2E18" w:rsidRDefault="00636AA3" w:rsidP="004922F3">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rPr>
            </w:pPr>
          </w:p>
        </w:tc>
        <w:tc>
          <w:tcPr>
            <w:tcW w:w="1403" w:type="dxa"/>
            <w:tcBorders>
              <w:left w:val="single" w:sz="12" w:space="0" w:color="auto"/>
              <w:right w:val="nil"/>
            </w:tcBorders>
            <w:shd w:val="clear" w:color="auto" w:fill="auto"/>
            <w:vAlign w:val="center"/>
          </w:tcPr>
          <w:p w14:paraId="732E4761" w14:textId="103BE2F5" w:rsidR="00636AA3" w:rsidRPr="007E2E18" w:rsidRDefault="00636AA3" w:rsidP="004922F3">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rPr>
            </w:pPr>
            <w:r w:rsidRPr="007E2E18">
              <w:rPr>
                <w:rFonts w:asciiTheme="minorHAnsi" w:hAnsiTheme="minorHAnsi" w:cstheme="minorHAnsi"/>
                <w:color w:val="000000"/>
                <w:sz w:val="18"/>
                <w:szCs w:val="18"/>
              </w:rPr>
              <w:t>NABERS</w:t>
            </w:r>
          </w:p>
        </w:tc>
        <w:tc>
          <w:tcPr>
            <w:tcW w:w="1405" w:type="dxa"/>
            <w:tcBorders>
              <w:left w:val="nil"/>
            </w:tcBorders>
            <w:shd w:val="clear" w:color="auto" w:fill="auto"/>
            <w:vAlign w:val="center"/>
          </w:tcPr>
          <w:p w14:paraId="517536EB" w14:textId="77777777" w:rsidR="00636AA3" w:rsidRPr="007E2E18" w:rsidRDefault="00636AA3" w:rsidP="004922F3">
            <w:pPr>
              <w:spacing w:before="0" w:after="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rPr>
            </w:pPr>
          </w:p>
        </w:tc>
      </w:tr>
      <w:tr w:rsidR="00636AA3" w:rsidRPr="00252A12" w14:paraId="6F05049D" w14:textId="77777777" w:rsidTr="00636AA3">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726712ED" w14:textId="77777777" w:rsidR="00636AA3" w:rsidRPr="007E2E18" w:rsidRDefault="00636AA3" w:rsidP="00636AA3">
            <w:pPr>
              <w:spacing w:before="0" w:after="0"/>
              <w:rPr>
                <w:rFonts w:asciiTheme="minorHAnsi" w:hAnsiTheme="minorHAnsi" w:cstheme="minorHAnsi"/>
                <w:b w:val="0"/>
                <w:color w:val="000000"/>
                <w:sz w:val="18"/>
                <w:szCs w:val="18"/>
              </w:rPr>
            </w:pPr>
            <w:r w:rsidRPr="007E2E18">
              <w:rPr>
                <w:rFonts w:asciiTheme="minorHAnsi" w:hAnsiTheme="minorHAnsi" w:cstheme="minorHAnsi"/>
                <w:color w:val="000000"/>
                <w:sz w:val="18"/>
                <w:szCs w:val="18"/>
              </w:rPr>
              <w:t>State/Territory</w:t>
            </w:r>
          </w:p>
        </w:tc>
        <w:tc>
          <w:tcPr>
            <w:tcW w:w="1559" w:type="dxa"/>
            <w:shd w:val="clear" w:color="auto" w:fill="auto"/>
          </w:tcPr>
          <w:p w14:paraId="774DFF9C"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Count of Buildings &gt; 1000m</w:t>
            </w:r>
            <w:r w:rsidRPr="007E2E18">
              <w:rPr>
                <w:rFonts w:asciiTheme="minorHAnsi" w:hAnsiTheme="minorHAnsi" w:cstheme="minorHAnsi"/>
                <w:b/>
                <w:color w:val="000000"/>
                <w:sz w:val="18"/>
                <w:szCs w:val="18"/>
                <w:vertAlign w:val="superscript"/>
              </w:rPr>
              <w:t>2</w:t>
            </w:r>
          </w:p>
        </w:tc>
        <w:tc>
          <w:tcPr>
            <w:tcW w:w="1418" w:type="dxa"/>
            <w:tcBorders>
              <w:right w:val="single" w:sz="12" w:space="0" w:color="auto"/>
            </w:tcBorders>
            <w:shd w:val="clear" w:color="auto" w:fill="auto"/>
          </w:tcPr>
          <w:p w14:paraId="06540B12"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roofErr w:type="spellStart"/>
            <w:r w:rsidRPr="007E2E18">
              <w:rPr>
                <w:rFonts w:asciiTheme="minorHAnsi" w:hAnsiTheme="minorHAnsi" w:cstheme="minorHAnsi"/>
                <w:b/>
                <w:color w:val="000000"/>
                <w:sz w:val="18"/>
                <w:szCs w:val="18"/>
              </w:rPr>
              <w:t>GFA</w:t>
            </w:r>
            <w:proofErr w:type="spellEnd"/>
            <w:r w:rsidRPr="007E2E18">
              <w:rPr>
                <w:rFonts w:asciiTheme="minorHAnsi" w:hAnsiTheme="minorHAnsi" w:cstheme="minorHAnsi"/>
                <w:b/>
                <w:color w:val="000000"/>
                <w:sz w:val="18"/>
                <w:szCs w:val="18"/>
              </w:rPr>
              <w:t xml:space="preserve"> (</w:t>
            </w:r>
            <w:proofErr w:type="spellStart"/>
            <w:r w:rsidRPr="007E2E18">
              <w:rPr>
                <w:rFonts w:asciiTheme="minorHAnsi" w:hAnsiTheme="minorHAnsi" w:cstheme="minorHAnsi"/>
                <w:b/>
                <w:color w:val="000000"/>
                <w:sz w:val="18"/>
                <w:szCs w:val="18"/>
              </w:rPr>
              <w:t>m</w:t>
            </w:r>
            <w:r w:rsidRPr="007E2E18">
              <w:rPr>
                <w:rFonts w:asciiTheme="minorHAnsi" w:hAnsiTheme="minorHAnsi" w:cstheme="minorHAnsi"/>
                <w:b/>
                <w:color w:val="000000"/>
                <w:sz w:val="18"/>
                <w:szCs w:val="18"/>
                <w:vertAlign w:val="superscript"/>
              </w:rPr>
              <w:t>2</w:t>
            </w:r>
            <w:proofErr w:type="spellEnd"/>
            <w:r w:rsidRPr="007E2E18">
              <w:rPr>
                <w:rFonts w:asciiTheme="minorHAnsi" w:hAnsiTheme="minorHAnsi" w:cstheme="minorHAnsi"/>
                <w:b/>
                <w:color w:val="000000"/>
                <w:sz w:val="18"/>
                <w:szCs w:val="18"/>
              </w:rPr>
              <w:t>)</w:t>
            </w:r>
          </w:p>
        </w:tc>
        <w:tc>
          <w:tcPr>
            <w:tcW w:w="1404" w:type="dxa"/>
            <w:tcBorders>
              <w:left w:val="single" w:sz="12" w:space="0" w:color="auto"/>
            </w:tcBorders>
            <w:shd w:val="clear" w:color="auto" w:fill="auto"/>
            <w:noWrap/>
            <w:hideMark/>
          </w:tcPr>
          <w:p w14:paraId="61396DB4"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Count of Buildings</w:t>
            </w:r>
          </w:p>
        </w:tc>
        <w:tc>
          <w:tcPr>
            <w:tcW w:w="1406" w:type="dxa"/>
            <w:tcBorders>
              <w:right w:val="single" w:sz="12" w:space="0" w:color="auto"/>
            </w:tcBorders>
            <w:shd w:val="clear" w:color="auto" w:fill="auto"/>
            <w:hideMark/>
          </w:tcPr>
          <w:p w14:paraId="73328D1F"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NLA (m</w:t>
            </w:r>
            <w:r w:rsidRPr="007E2E18">
              <w:rPr>
                <w:rFonts w:asciiTheme="minorHAnsi" w:hAnsiTheme="minorHAnsi" w:cstheme="minorHAnsi"/>
                <w:b/>
                <w:color w:val="000000"/>
                <w:sz w:val="18"/>
                <w:szCs w:val="18"/>
                <w:vertAlign w:val="superscript"/>
              </w:rPr>
              <w:t>2</w:t>
            </w:r>
            <w:r w:rsidRPr="007E2E18">
              <w:rPr>
                <w:rFonts w:asciiTheme="minorHAnsi" w:hAnsiTheme="minorHAnsi" w:cstheme="minorHAnsi"/>
                <w:b/>
                <w:color w:val="000000"/>
                <w:sz w:val="18"/>
                <w:szCs w:val="18"/>
              </w:rPr>
              <w:t>)</w:t>
            </w:r>
          </w:p>
          <w:p w14:paraId="755CCC54"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p>
        </w:tc>
        <w:tc>
          <w:tcPr>
            <w:tcW w:w="1403" w:type="dxa"/>
            <w:tcBorders>
              <w:left w:val="single" w:sz="12" w:space="0" w:color="auto"/>
            </w:tcBorders>
            <w:shd w:val="clear" w:color="auto" w:fill="auto"/>
          </w:tcPr>
          <w:p w14:paraId="0417AC47"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Count of Buildings</w:t>
            </w:r>
          </w:p>
        </w:tc>
        <w:tc>
          <w:tcPr>
            <w:tcW w:w="1405" w:type="dxa"/>
            <w:shd w:val="clear" w:color="auto" w:fill="auto"/>
          </w:tcPr>
          <w:p w14:paraId="1B38D9B7"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NLA (m</w:t>
            </w:r>
            <w:r w:rsidRPr="007E2E18">
              <w:rPr>
                <w:rFonts w:asciiTheme="minorHAnsi" w:hAnsiTheme="minorHAnsi" w:cstheme="minorHAnsi"/>
                <w:b/>
                <w:color w:val="000000"/>
                <w:sz w:val="18"/>
                <w:szCs w:val="18"/>
                <w:vertAlign w:val="superscript"/>
              </w:rPr>
              <w:t>2</w:t>
            </w:r>
            <w:r w:rsidRPr="007E2E18">
              <w:rPr>
                <w:rFonts w:asciiTheme="minorHAnsi" w:hAnsiTheme="minorHAnsi" w:cstheme="minorHAnsi"/>
                <w:b/>
                <w:color w:val="000000"/>
                <w:sz w:val="18"/>
                <w:szCs w:val="18"/>
              </w:rPr>
              <w:t>)</w:t>
            </w:r>
          </w:p>
        </w:tc>
      </w:tr>
      <w:tr w:rsidR="00636AA3" w:rsidRPr="00252A12" w14:paraId="253D369D" w14:textId="77777777" w:rsidTr="00636AA3">
        <w:trPr>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2E8EF1A6"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ACT</w:t>
            </w:r>
          </w:p>
        </w:tc>
        <w:tc>
          <w:tcPr>
            <w:tcW w:w="1559" w:type="dxa"/>
            <w:shd w:val="clear" w:color="auto" w:fill="auto"/>
          </w:tcPr>
          <w:p w14:paraId="3CD93576"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877</w:t>
            </w:r>
          </w:p>
        </w:tc>
        <w:tc>
          <w:tcPr>
            <w:tcW w:w="1418" w:type="dxa"/>
            <w:tcBorders>
              <w:right w:val="single" w:sz="12" w:space="0" w:color="auto"/>
            </w:tcBorders>
            <w:shd w:val="clear" w:color="auto" w:fill="auto"/>
          </w:tcPr>
          <w:p w14:paraId="73E4C6A2" w14:textId="7C6ED0F9"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2,347,548</w:t>
            </w:r>
          </w:p>
        </w:tc>
        <w:tc>
          <w:tcPr>
            <w:tcW w:w="1404" w:type="dxa"/>
            <w:tcBorders>
              <w:left w:val="single" w:sz="12" w:space="0" w:color="auto"/>
            </w:tcBorders>
            <w:shd w:val="clear" w:color="auto" w:fill="auto"/>
            <w:noWrap/>
            <w:hideMark/>
          </w:tcPr>
          <w:p w14:paraId="2AA51BBB"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181</w:t>
            </w:r>
          </w:p>
        </w:tc>
        <w:tc>
          <w:tcPr>
            <w:tcW w:w="1406" w:type="dxa"/>
            <w:tcBorders>
              <w:right w:val="single" w:sz="12" w:space="0" w:color="auto"/>
            </w:tcBorders>
            <w:shd w:val="clear" w:color="auto" w:fill="auto"/>
            <w:noWrap/>
            <w:hideMark/>
          </w:tcPr>
          <w:p w14:paraId="1B25978C" w14:textId="4253CD8E"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1,667,990</w:t>
            </w:r>
          </w:p>
        </w:tc>
        <w:tc>
          <w:tcPr>
            <w:tcW w:w="1403" w:type="dxa"/>
            <w:tcBorders>
              <w:left w:val="single" w:sz="12" w:space="0" w:color="auto"/>
            </w:tcBorders>
            <w:shd w:val="clear" w:color="auto" w:fill="auto"/>
          </w:tcPr>
          <w:p w14:paraId="0C339BB2"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234</w:t>
            </w:r>
          </w:p>
        </w:tc>
        <w:tc>
          <w:tcPr>
            <w:tcW w:w="1405" w:type="dxa"/>
            <w:shd w:val="clear" w:color="auto" w:fill="auto"/>
          </w:tcPr>
          <w:p w14:paraId="32E8BA3B" w14:textId="69803C72"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2,182,985</w:t>
            </w:r>
          </w:p>
        </w:tc>
      </w:tr>
      <w:tr w:rsidR="00636AA3" w:rsidRPr="00252A12" w14:paraId="58F01005" w14:textId="77777777" w:rsidTr="00636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3864DBF5"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NSW</w:t>
            </w:r>
          </w:p>
        </w:tc>
        <w:tc>
          <w:tcPr>
            <w:tcW w:w="1559" w:type="dxa"/>
            <w:shd w:val="clear" w:color="auto" w:fill="auto"/>
          </w:tcPr>
          <w:p w14:paraId="10572551"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23,865</w:t>
            </w:r>
          </w:p>
        </w:tc>
        <w:tc>
          <w:tcPr>
            <w:tcW w:w="1418" w:type="dxa"/>
            <w:tcBorders>
              <w:right w:val="single" w:sz="12" w:space="0" w:color="auto"/>
            </w:tcBorders>
            <w:shd w:val="clear" w:color="auto" w:fill="auto"/>
          </w:tcPr>
          <w:p w14:paraId="7A3F49B2" w14:textId="2D9C3094"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46,572,695</w:t>
            </w:r>
          </w:p>
        </w:tc>
        <w:tc>
          <w:tcPr>
            <w:tcW w:w="1404" w:type="dxa"/>
            <w:tcBorders>
              <w:left w:val="single" w:sz="12" w:space="0" w:color="auto"/>
            </w:tcBorders>
            <w:shd w:val="clear" w:color="auto" w:fill="auto"/>
            <w:noWrap/>
            <w:hideMark/>
          </w:tcPr>
          <w:p w14:paraId="68FB377C"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982</w:t>
            </w:r>
          </w:p>
        </w:tc>
        <w:tc>
          <w:tcPr>
            <w:tcW w:w="1406" w:type="dxa"/>
            <w:tcBorders>
              <w:right w:val="single" w:sz="12" w:space="0" w:color="auto"/>
            </w:tcBorders>
            <w:shd w:val="clear" w:color="auto" w:fill="auto"/>
            <w:noWrap/>
            <w:hideMark/>
          </w:tcPr>
          <w:p w14:paraId="088C79C6" w14:textId="5C006851"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9,349,733</w:t>
            </w:r>
          </w:p>
        </w:tc>
        <w:tc>
          <w:tcPr>
            <w:tcW w:w="1403" w:type="dxa"/>
            <w:tcBorders>
              <w:left w:val="single" w:sz="12" w:space="0" w:color="auto"/>
            </w:tcBorders>
            <w:shd w:val="clear" w:color="auto" w:fill="auto"/>
          </w:tcPr>
          <w:p w14:paraId="10285FB9"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1340</w:t>
            </w:r>
          </w:p>
        </w:tc>
        <w:tc>
          <w:tcPr>
            <w:tcW w:w="1405" w:type="dxa"/>
            <w:shd w:val="clear" w:color="auto" w:fill="auto"/>
          </w:tcPr>
          <w:p w14:paraId="77ECF7EC" w14:textId="4E0882E1"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11,696,616</w:t>
            </w:r>
          </w:p>
        </w:tc>
      </w:tr>
      <w:tr w:rsidR="00636AA3" w:rsidRPr="00252A12" w14:paraId="644348FD" w14:textId="77777777" w:rsidTr="00636AA3">
        <w:trPr>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0CA37041"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NT</w:t>
            </w:r>
          </w:p>
        </w:tc>
        <w:tc>
          <w:tcPr>
            <w:tcW w:w="1559" w:type="dxa"/>
            <w:shd w:val="clear" w:color="auto" w:fill="auto"/>
          </w:tcPr>
          <w:p w14:paraId="75161852"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624</w:t>
            </w:r>
          </w:p>
        </w:tc>
        <w:tc>
          <w:tcPr>
            <w:tcW w:w="1418" w:type="dxa"/>
            <w:tcBorders>
              <w:right w:val="single" w:sz="12" w:space="0" w:color="auto"/>
            </w:tcBorders>
            <w:shd w:val="clear" w:color="auto" w:fill="auto"/>
          </w:tcPr>
          <w:p w14:paraId="6BAFF028" w14:textId="6D89B1F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769,473</w:t>
            </w:r>
          </w:p>
        </w:tc>
        <w:tc>
          <w:tcPr>
            <w:tcW w:w="1404" w:type="dxa"/>
            <w:tcBorders>
              <w:left w:val="single" w:sz="12" w:space="0" w:color="auto"/>
            </w:tcBorders>
            <w:shd w:val="clear" w:color="auto" w:fill="auto"/>
            <w:noWrap/>
            <w:hideMark/>
          </w:tcPr>
          <w:p w14:paraId="579D1DCC"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29</w:t>
            </w:r>
          </w:p>
        </w:tc>
        <w:tc>
          <w:tcPr>
            <w:tcW w:w="1406" w:type="dxa"/>
            <w:tcBorders>
              <w:right w:val="single" w:sz="12" w:space="0" w:color="auto"/>
            </w:tcBorders>
            <w:shd w:val="clear" w:color="auto" w:fill="auto"/>
            <w:noWrap/>
            <w:hideMark/>
          </w:tcPr>
          <w:p w14:paraId="418D1146" w14:textId="567D3296"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129,339</w:t>
            </w:r>
          </w:p>
        </w:tc>
        <w:tc>
          <w:tcPr>
            <w:tcW w:w="1403" w:type="dxa"/>
            <w:tcBorders>
              <w:left w:val="single" w:sz="12" w:space="0" w:color="auto"/>
            </w:tcBorders>
            <w:shd w:val="clear" w:color="auto" w:fill="auto"/>
          </w:tcPr>
          <w:p w14:paraId="5BDC6F10"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63</w:t>
            </w:r>
          </w:p>
        </w:tc>
        <w:tc>
          <w:tcPr>
            <w:tcW w:w="1405" w:type="dxa"/>
            <w:shd w:val="clear" w:color="auto" w:fill="auto"/>
          </w:tcPr>
          <w:p w14:paraId="329DA157" w14:textId="5AEAC58C"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268,533</w:t>
            </w:r>
          </w:p>
        </w:tc>
      </w:tr>
      <w:tr w:rsidR="00636AA3" w:rsidRPr="00252A12" w14:paraId="501E0F4A" w14:textId="77777777" w:rsidTr="00636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04540F92"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QLD</w:t>
            </w:r>
          </w:p>
        </w:tc>
        <w:tc>
          <w:tcPr>
            <w:tcW w:w="1559" w:type="dxa"/>
            <w:shd w:val="clear" w:color="auto" w:fill="auto"/>
          </w:tcPr>
          <w:p w14:paraId="27E5F89B"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17,500</w:t>
            </w:r>
          </w:p>
        </w:tc>
        <w:tc>
          <w:tcPr>
            <w:tcW w:w="1418" w:type="dxa"/>
            <w:tcBorders>
              <w:right w:val="single" w:sz="12" w:space="0" w:color="auto"/>
            </w:tcBorders>
            <w:shd w:val="clear" w:color="auto" w:fill="auto"/>
          </w:tcPr>
          <w:p w14:paraId="3C7F1E5D" w14:textId="2FB772C8"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30,521,480</w:t>
            </w:r>
          </w:p>
        </w:tc>
        <w:tc>
          <w:tcPr>
            <w:tcW w:w="1404" w:type="dxa"/>
            <w:tcBorders>
              <w:left w:val="single" w:sz="12" w:space="0" w:color="auto"/>
            </w:tcBorders>
            <w:shd w:val="clear" w:color="auto" w:fill="auto"/>
            <w:noWrap/>
            <w:hideMark/>
          </w:tcPr>
          <w:p w14:paraId="73BC9745"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525</w:t>
            </w:r>
          </w:p>
        </w:tc>
        <w:tc>
          <w:tcPr>
            <w:tcW w:w="1406" w:type="dxa"/>
            <w:tcBorders>
              <w:right w:val="single" w:sz="12" w:space="0" w:color="auto"/>
            </w:tcBorders>
            <w:shd w:val="clear" w:color="auto" w:fill="auto"/>
            <w:noWrap/>
            <w:hideMark/>
          </w:tcPr>
          <w:p w14:paraId="250428D4" w14:textId="2BBB3BE6"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3,747,664</w:t>
            </w:r>
          </w:p>
        </w:tc>
        <w:tc>
          <w:tcPr>
            <w:tcW w:w="1403" w:type="dxa"/>
            <w:tcBorders>
              <w:left w:val="single" w:sz="12" w:space="0" w:color="auto"/>
            </w:tcBorders>
            <w:shd w:val="clear" w:color="auto" w:fill="auto"/>
          </w:tcPr>
          <w:p w14:paraId="2B9F231C"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681</w:t>
            </w:r>
          </w:p>
        </w:tc>
        <w:tc>
          <w:tcPr>
            <w:tcW w:w="1405" w:type="dxa"/>
            <w:shd w:val="clear" w:color="auto" w:fill="auto"/>
          </w:tcPr>
          <w:p w14:paraId="1312B7B3" w14:textId="130E80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4,528,179</w:t>
            </w:r>
          </w:p>
        </w:tc>
      </w:tr>
      <w:tr w:rsidR="00636AA3" w:rsidRPr="00252A12" w14:paraId="7E9C245C" w14:textId="77777777" w:rsidTr="00636AA3">
        <w:trPr>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2C3D6BBE"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SA</w:t>
            </w:r>
          </w:p>
        </w:tc>
        <w:tc>
          <w:tcPr>
            <w:tcW w:w="1559" w:type="dxa"/>
            <w:shd w:val="clear" w:color="auto" w:fill="auto"/>
          </w:tcPr>
          <w:p w14:paraId="4B5B140A"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8,687</w:t>
            </w:r>
          </w:p>
        </w:tc>
        <w:tc>
          <w:tcPr>
            <w:tcW w:w="1418" w:type="dxa"/>
            <w:tcBorders>
              <w:right w:val="single" w:sz="12" w:space="0" w:color="auto"/>
            </w:tcBorders>
            <w:shd w:val="clear" w:color="auto" w:fill="auto"/>
          </w:tcPr>
          <w:p w14:paraId="001CB06F" w14:textId="2BE1106E"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12,426,275</w:t>
            </w:r>
          </w:p>
        </w:tc>
        <w:tc>
          <w:tcPr>
            <w:tcW w:w="1404" w:type="dxa"/>
            <w:tcBorders>
              <w:left w:val="single" w:sz="12" w:space="0" w:color="auto"/>
            </w:tcBorders>
            <w:shd w:val="clear" w:color="auto" w:fill="auto"/>
            <w:noWrap/>
            <w:hideMark/>
          </w:tcPr>
          <w:p w14:paraId="67A93BE8"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181</w:t>
            </w:r>
          </w:p>
        </w:tc>
        <w:tc>
          <w:tcPr>
            <w:tcW w:w="1406" w:type="dxa"/>
            <w:tcBorders>
              <w:right w:val="single" w:sz="12" w:space="0" w:color="auto"/>
            </w:tcBorders>
            <w:shd w:val="clear" w:color="auto" w:fill="auto"/>
            <w:noWrap/>
            <w:hideMark/>
          </w:tcPr>
          <w:p w14:paraId="626C2C37" w14:textId="74402353"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1,253,421</w:t>
            </w:r>
          </w:p>
        </w:tc>
        <w:tc>
          <w:tcPr>
            <w:tcW w:w="1403" w:type="dxa"/>
            <w:tcBorders>
              <w:left w:val="single" w:sz="12" w:space="0" w:color="auto"/>
            </w:tcBorders>
            <w:shd w:val="clear" w:color="auto" w:fill="auto"/>
          </w:tcPr>
          <w:p w14:paraId="6AE928A6"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237</w:t>
            </w:r>
          </w:p>
        </w:tc>
        <w:tc>
          <w:tcPr>
            <w:tcW w:w="1405" w:type="dxa"/>
            <w:shd w:val="clear" w:color="auto" w:fill="auto"/>
          </w:tcPr>
          <w:p w14:paraId="0DC94D03" w14:textId="75F9ED83"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1,575,556</w:t>
            </w:r>
          </w:p>
        </w:tc>
      </w:tr>
      <w:tr w:rsidR="00636AA3" w:rsidRPr="00252A12" w14:paraId="6F36E8ED" w14:textId="77777777" w:rsidTr="00636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472BC712"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TAS</w:t>
            </w:r>
          </w:p>
        </w:tc>
        <w:tc>
          <w:tcPr>
            <w:tcW w:w="1559" w:type="dxa"/>
            <w:shd w:val="clear" w:color="auto" w:fill="auto"/>
          </w:tcPr>
          <w:p w14:paraId="7580DBDF"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1,452</w:t>
            </w:r>
          </w:p>
        </w:tc>
        <w:tc>
          <w:tcPr>
            <w:tcW w:w="1418" w:type="dxa"/>
            <w:tcBorders>
              <w:right w:val="single" w:sz="12" w:space="0" w:color="auto"/>
            </w:tcBorders>
            <w:shd w:val="clear" w:color="auto" w:fill="auto"/>
          </w:tcPr>
          <w:p w14:paraId="6B7FEE26" w14:textId="43934CC6"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1,949,292</w:t>
            </w:r>
          </w:p>
        </w:tc>
        <w:tc>
          <w:tcPr>
            <w:tcW w:w="1404" w:type="dxa"/>
            <w:tcBorders>
              <w:left w:val="single" w:sz="12" w:space="0" w:color="auto"/>
            </w:tcBorders>
            <w:shd w:val="clear" w:color="auto" w:fill="auto"/>
            <w:noWrap/>
            <w:hideMark/>
          </w:tcPr>
          <w:p w14:paraId="25E016A0"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51</w:t>
            </w:r>
          </w:p>
        </w:tc>
        <w:tc>
          <w:tcPr>
            <w:tcW w:w="1406" w:type="dxa"/>
            <w:tcBorders>
              <w:right w:val="single" w:sz="12" w:space="0" w:color="auto"/>
            </w:tcBorders>
            <w:shd w:val="clear" w:color="auto" w:fill="auto"/>
            <w:noWrap/>
            <w:hideMark/>
          </w:tcPr>
          <w:p w14:paraId="20D0C47B" w14:textId="04F53015"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267,552</w:t>
            </w:r>
          </w:p>
        </w:tc>
        <w:tc>
          <w:tcPr>
            <w:tcW w:w="1403" w:type="dxa"/>
            <w:tcBorders>
              <w:left w:val="single" w:sz="12" w:space="0" w:color="auto"/>
            </w:tcBorders>
            <w:shd w:val="clear" w:color="auto" w:fill="auto"/>
          </w:tcPr>
          <w:p w14:paraId="040E59AF"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70</w:t>
            </w:r>
          </w:p>
        </w:tc>
        <w:tc>
          <w:tcPr>
            <w:tcW w:w="1405" w:type="dxa"/>
            <w:shd w:val="clear" w:color="auto" w:fill="auto"/>
          </w:tcPr>
          <w:p w14:paraId="35934E7D" w14:textId="05BE82AC"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314,557</w:t>
            </w:r>
          </w:p>
        </w:tc>
      </w:tr>
      <w:tr w:rsidR="00636AA3" w:rsidRPr="00252A12" w14:paraId="4727A43F" w14:textId="77777777" w:rsidTr="00636AA3">
        <w:trPr>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2892ABEF"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VIC</w:t>
            </w:r>
          </w:p>
        </w:tc>
        <w:tc>
          <w:tcPr>
            <w:tcW w:w="1559" w:type="dxa"/>
            <w:shd w:val="clear" w:color="auto" w:fill="auto"/>
          </w:tcPr>
          <w:p w14:paraId="1DDAAF97"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23,721</w:t>
            </w:r>
          </w:p>
        </w:tc>
        <w:tc>
          <w:tcPr>
            <w:tcW w:w="1418" w:type="dxa"/>
            <w:tcBorders>
              <w:right w:val="single" w:sz="12" w:space="0" w:color="auto"/>
            </w:tcBorders>
            <w:shd w:val="clear" w:color="auto" w:fill="auto"/>
          </w:tcPr>
          <w:p w14:paraId="698EFD6F" w14:textId="522BD302"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38,035,322</w:t>
            </w:r>
          </w:p>
        </w:tc>
        <w:tc>
          <w:tcPr>
            <w:tcW w:w="1404" w:type="dxa"/>
            <w:tcBorders>
              <w:left w:val="single" w:sz="12" w:space="0" w:color="auto"/>
            </w:tcBorders>
            <w:shd w:val="clear" w:color="auto" w:fill="auto"/>
            <w:noWrap/>
            <w:hideMark/>
          </w:tcPr>
          <w:p w14:paraId="2D9D7367"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693</w:t>
            </w:r>
          </w:p>
        </w:tc>
        <w:tc>
          <w:tcPr>
            <w:tcW w:w="1406" w:type="dxa"/>
            <w:tcBorders>
              <w:right w:val="single" w:sz="12" w:space="0" w:color="auto"/>
            </w:tcBorders>
            <w:shd w:val="clear" w:color="auto" w:fill="auto"/>
            <w:noWrap/>
            <w:hideMark/>
          </w:tcPr>
          <w:p w14:paraId="0C60F55C" w14:textId="764ACFA9"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6,478,623</w:t>
            </w:r>
          </w:p>
        </w:tc>
        <w:tc>
          <w:tcPr>
            <w:tcW w:w="1403" w:type="dxa"/>
            <w:tcBorders>
              <w:left w:val="single" w:sz="12" w:space="0" w:color="auto"/>
            </w:tcBorders>
            <w:shd w:val="clear" w:color="auto" w:fill="auto"/>
          </w:tcPr>
          <w:p w14:paraId="7EB19413"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876</w:t>
            </w:r>
          </w:p>
        </w:tc>
        <w:tc>
          <w:tcPr>
            <w:tcW w:w="1405" w:type="dxa"/>
            <w:shd w:val="clear" w:color="auto" w:fill="auto"/>
          </w:tcPr>
          <w:p w14:paraId="7D8A8BF1" w14:textId="343695D0"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8,088,036</w:t>
            </w:r>
          </w:p>
        </w:tc>
      </w:tr>
      <w:tr w:rsidR="00636AA3" w:rsidRPr="00252A12" w14:paraId="47A9A282" w14:textId="77777777" w:rsidTr="00636A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hideMark/>
          </w:tcPr>
          <w:p w14:paraId="56D4DCED" w14:textId="77777777" w:rsidR="00636AA3" w:rsidRPr="007E2E18" w:rsidRDefault="00636AA3" w:rsidP="00636AA3">
            <w:pPr>
              <w:spacing w:before="0" w:after="0"/>
              <w:rPr>
                <w:rFonts w:asciiTheme="minorHAnsi" w:hAnsiTheme="minorHAnsi" w:cstheme="minorHAnsi"/>
                <w:color w:val="000000"/>
                <w:sz w:val="18"/>
                <w:szCs w:val="18"/>
              </w:rPr>
            </w:pPr>
            <w:r w:rsidRPr="007E2E18">
              <w:rPr>
                <w:rFonts w:asciiTheme="minorHAnsi" w:hAnsiTheme="minorHAnsi" w:cstheme="minorHAnsi"/>
                <w:color w:val="000000"/>
                <w:sz w:val="18"/>
                <w:szCs w:val="18"/>
              </w:rPr>
              <w:t xml:space="preserve"> WA</w:t>
            </w:r>
          </w:p>
        </w:tc>
        <w:tc>
          <w:tcPr>
            <w:tcW w:w="1559" w:type="dxa"/>
            <w:shd w:val="clear" w:color="auto" w:fill="auto"/>
          </w:tcPr>
          <w:p w14:paraId="3F2C5A59"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11,180</w:t>
            </w:r>
          </w:p>
        </w:tc>
        <w:tc>
          <w:tcPr>
            <w:tcW w:w="1418" w:type="dxa"/>
            <w:tcBorders>
              <w:right w:val="single" w:sz="12" w:space="0" w:color="auto"/>
            </w:tcBorders>
            <w:shd w:val="clear" w:color="auto" w:fill="auto"/>
          </w:tcPr>
          <w:p w14:paraId="2392D18A" w14:textId="74DFDB30"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13,535,430</w:t>
            </w:r>
          </w:p>
        </w:tc>
        <w:tc>
          <w:tcPr>
            <w:tcW w:w="1404" w:type="dxa"/>
            <w:tcBorders>
              <w:left w:val="single" w:sz="12" w:space="0" w:color="auto"/>
            </w:tcBorders>
            <w:shd w:val="clear" w:color="auto" w:fill="auto"/>
            <w:noWrap/>
            <w:hideMark/>
          </w:tcPr>
          <w:p w14:paraId="527D605E"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316</w:t>
            </w:r>
          </w:p>
        </w:tc>
        <w:tc>
          <w:tcPr>
            <w:tcW w:w="1406" w:type="dxa"/>
            <w:tcBorders>
              <w:right w:val="single" w:sz="12" w:space="0" w:color="auto"/>
            </w:tcBorders>
            <w:shd w:val="clear" w:color="auto" w:fill="auto"/>
            <w:noWrap/>
            <w:hideMark/>
          </w:tcPr>
          <w:p w14:paraId="2EE6C9B2" w14:textId="4AE8B20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2,203,244</w:t>
            </w:r>
          </w:p>
        </w:tc>
        <w:tc>
          <w:tcPr>
            <w:tcW w:w="1403" w:type="dxa"/>
            <w:tcBorders>
              <w:left w:val="single" w:sz="12" w:space="0" w:color="auto"/>
            </w:tcBorders>
            <w:shd w:val="clear" w:color="auto" w:fill="auto"/>
          </w:tcPr>
          <w:p w14:paraId="66D47971" w14:textId="77777777"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406</w:t>
            </w:r>
          </w:p>
        </w:tc>
        <w:tc>
          <w:tcPr>
            <w:tcW w:w="1405" w:type="dxa"/>
            <w:shd w:val="clear" w:color="auto" w:fill="auto"/>
          </w:tcPr>
          <w:p w14:paraId="0043E4B5" w14:textId="6B8638F5" w:rsidR="00636AA3" w:rsidRPr="007E2E18" w:rsidRDefault="00636AA3" w:rsidP="00636AA3">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7E2E18">
              <w:rPr>
                <w:rFonts w:asciiTheme="minorHAnsi" w:hAnsiTheme="minorHAnsi" w:cstheme="minorHAnsi"/>
                <w:color w:val="000000"/>
                <w:sz w:val="18"/>
                <w:szCs w:val="18"/>
              </w:rPr>
              <w:t>2,913,223</w:t>
            </w:r>
          </w:p>
        </w:tc>
      </w:tr>
      <w:tr w:rsidR="00636AA3" w:rsidRPr="00252A12" w14:paraId="3E0D48EC" w14:textId="77777777" w:rsidTr="00636AA3">
        <w:trPr>
          <w:trHeight w:val="30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noWrap/>
          </w:tcPr>
          <w:p w14:paraId="51CC3C41" w14:textId="77777777" w:rsidR="00636AA3" w:rsidRPr="007E2E18" w:rsidRDefault="00636AA3" w:rsidP="00636AA3">
            <w:pPr>
              <w:spacing w:before="0" w:after="0"/>
              <w:rPr>
                <w:rFonts w:asciiTheme="minorHAnsi" w:hAnsiTheme="minorHAnsi" w:cstheme="minorHAnsi"/>
                <w:b w:val="0"/>
                <w:color w:val="000000"/>
                <w:sz w:val="18"/>
                <w:szCs w:val="18"/>
              </w:rPr>
            </w:pPr>
            <w:r w:rsidRPr="007E2E18">
              <w:rPr>
                <w:rFonts w:asciiTheme="minorHAnsi" w:hAnsiTheme="minorHAnsi" w:cstheme="minorHAnsi"/>
                <w:color w:val="000000"/>
                <w:sz w:val="18"/>
                <w:szCs w:val="18"/>
              </w:rPr>
              <w:t>Australia</w:t>
            </w:r>
          </w:p>
        </w:tc>
        <w:tc>
          <w:tcPr>
            <w:tcW w:w="1559" w:type="dxa"/>
            <w:shd w:val="clear" w:color="auto" w:fill="auto"/>
          </w:tcPr>
          <w:p w14:paraId="23306879" w14:textId="27D783B6"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87,905</w:t>
            </w:r>
          </w:p>
        </w:tc>
        <w:tc>
          <w:tcPr>
            <w:tcW w:w="1418" w:type="dxa"/>
            <w:tcBorders>
              <w:right w:val="single" w:sz="12" w:space="0" w:color="auto"/>
            </w:tcBorders>
            <w:shd w:val="clear" w:color="auto" w:fill="auto"/>
          </w:tcPr>
          <w:p w14:paraId="1324C227" w14:textId="0BBF2409"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146,157,516</w:t>
            </w:r>
          </w:p>
        </w:tc>
        <w:tc>
          <w:tcPr>
            <w:tcW w:w="1404" w:type="dxa"/>
            <w:tcBorders>
              <w:left w:val="single" w:sz="12" w:space="0" w:color="auto"/>
            </w:tcBorders>
            <w:shd w:val="clear" w:color="auto" w:fill="auto"/>
            <w:noWrap/>
          </w:tcPr>
          <w:p w14:paraId="0438FDA1"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2958</w:t>
            </w:r>
          </w:p>
        </w:tc>
        <w:tc>
          <w:tcPr>
            <w:tcW w:w="1406" w:type="dxa"/>
            <w:tcBorders>
              <w:right w:val="single" w:sz="12" w:space="0" w:color="auto"/>
            </w:tcBorders>
            <w:shd w:val="clear" w:color="auto" w:fill="auto"/>
            <w:noWrap/>
          </w:tcPr>
          <w:p w14:paraId="1966CA74" w14:textId="39D8185C"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25,097,566</w:t>
            </w:r>
          </w:p>
        </w:tc>
        <w:tc>
          <w:tcPr>
            <w:tcW w:w="1403" w:type="dxa"/>
            <w:tcBorders>
              <w:left w:val="single" w:sz="12" w:space="0" w:color="auto"/>
            </w:tcBorders>
            <w:shd w:val="clear" w:color="auto" w:fill="auto"/>
          </w:tcPr>
          <w:p w14:paraId="17718A20" w14:textId="77777777"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3907</w:t>
            </w:r>
          </w:p>
        </w:tc>
        <w:tc>
          <w:tcPr>
            <w:tcW w:w="1405" w:type="dxa"/>
            <w:shd w:val="clear" w:color="auto" w:fill="auto"/>
          </w:tcPr>
          <w:p w14:paraId="79CCBA20" w14:textId="414DEE0F" w:rsidR="00636AA3" w:rsidRPr="007E2E18" w:rsidRDefault="00636AA3" w:rsidP="00636AA3">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18"/>
                <w:szCs w:val="18"/>
              </w:rPr>
            </w:pPr>
            <w:r w:rsidRPr="007E2E18">
              <w:rPr>
                <w:rFonts w:asciiTheme="minorHAnsi" w:hAnsiTheme="minorHAnsi" w:cstheme="minorHAnsi"/>
                <w:b/>
                <w:color w:val="000000"/>
                <w:sz w:val="18"/>
                <w:szCs w:val="18"/>
              </w:rPr>
              <w:t>31,567,687</w:t>
            </w:r>
          </w:p>
        </w:tc>
      </w:tr>
    </w:tbl>
    <w:p w14:paraId="1EB363C6" w14:textId="77777777" w:rsidR="005D2BAF" w:rsidRPr="00E63900" w:rsidRDefault="005D2BAF" w:rsidP="005D2BAF">
      <w:pPr>
        <w:pStyle w:val="BodyText"/>
        <w:rPr>
          <w:rFonts w:asciiTheme="minorHAnsi" w:hAnsiTheme="minorHAnsi" w:cstheme="minorHAnsi"/>
        </w:rPr>
      </w:pPr>
    </w:p>
    <w:p w14:paraId="630754D5" w14:textId="77777777" w:rsidR="005D2BAF" w:rsidRPr="00E63900" w:rsidRDefault="005D2BAF" w:rsidP="005D2BAF">
      <w:pPr>
        <w:pStyle w:val="BodyText"/>
        <w:rPr>
          <w:rFonts w:asciiTheme="minorHAnsi" w:hAnsiTheme="minorHAnsi" w:cstheme="minorHAnsi"/>
        </w:rPr>
      </w:pPr>
    </w:p>
    <w:p w14:paraId="2B4E482C" w14:textId="77777777" w:rsidR="005D2BAF" w:rsidRPr="00E63900" w:rsidRDefault="005D2BAF" w:rsidP="005D2BAF">
      <w:pPr>
        <w:pStyle w:val="Heading4"/>
        <w:rPr>
          <w:rFonts w:asciiTheme="minorHAnsi" w:hAnsiTheme="minorHAnsi" w:cstheme="minorHAnsi"/>
        </w:rPr>
      </w:pP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Buildings/CSIRO</w:t>
      </w:r>
    </w:p>
    <w:p w14:paraId="75337CD3" w14:textId="56DD6095" w:rsidR="005D2BAF" w:rsidRPr="00E63900" w:rsidRDefault="005D2BAF" w:rsidP="005D2BAF">
      <w:pPr>
        <w:pStyle w:val="BodyText"/>
        <w:rPr>
          <w:rFonts w:asciiTheme="minorHAnsi" w:hAnsiTheme="minorHAnsi" w:cstheme="minorHAnsi"/>
        </w:rPr>
      </w:pPr>
      <w:proofErr w:type="spellStart"/>
      <w:r w:rsidRPr="00E63900">
        <w:rPr>
          <w:rFonts w:asciiTheme="minorHAnsi" w:hAnsiTheme="minorHAnsi" w:cstheme="minorHAnsi"/>
        </w:rPr>
        <w:t>Geoscape</w:t>
      </w:r>
      <w:proofErr w:type="spellEnd"/>
      <w:r w:rsidRPr="00E63900">
        <w:rPr>
          <w:rFonts w:asciiTheme="minorHAnsi" w:hAnsiTheme="minorHAnsi" w:cstheme="minorHAnsi"/>
          <w:i/>
        </w:rPr>
        <w:t xml:space="preserve"> </w:t>
      </w:r>
      <w:r w:rsidRPr="00E63900">
        <w:rPr>
          <w:rFonts w:asciiTheme="minorHAnsi" w:hAnsiTheme="minorHAnsi" w:cstheme="minorHAnsi"/>
        </w:rPr>
        <w:t>Buildings data is based on satellite and aerial imagery and analysed by CSIRO for accuracy. The data determines different building types greater than 50m</w:t>
      </w:r>
      <w:r w:rsidRPr="00E63900">
        <w:rPr>
          <w:rFonts w:asciiTheme="minorHAnsi" w:hAnsiTheme="minorHAnsi" w:cstheme="minorHAnsi"/>
          <w:vertAlign w:val="superscript"/>
        </w:rPr>
        <w:t>2</w:t>
      </w:r>
      <w:r w:rsidRPr="00E63900">
        <w:rPr>
          <w:rFonts w:asciiTheme="minorHAnsi" w:hAnsiTheme="minorHAnsi" w:cstheme="minorHAnsi"/>
        </w:rPr>
        <w:t xml:space="preserve"> and is available for download from the DCCEEW branded website (</w:t>
      </w:r>
      <w:hyperlink r:id="rId70" w:history="1">
        <w:r w:rsidRPr="00E63900">
          <w:rPr>
            <w:rStyle w:val="Hyperlink"/>
            <w:rFonts w:asciiTheme="minorHAnsi" w:hAnsiTheme="minorHAnsi" w:cstheme="minorHAnsi"/>
          </w:rPr>
          <w:t>energy.gov.au</w:t>
        </w:r>
      </w:hyperlink>
      <w:r w:rsidRPr="00E63900">
        <w:rPr>
          <w:rFonts w:asciiTheme="minorHAnsi" w:hAnsiTheme="minorHAnsi" w:cstheme="minorHAnsi"/>
        </w:rPr>
        <w:t xml:space="preserve">). The data is recognised as ‘extremely valuable for its comprehensive coverage’ in the </w:t>
      </w:r>
      <w:r w:rsidRPr="00E63900">
        <w:rPr>
          <w:rFonts w:asciiTheme="minorHAnsi" w:hAnsiTheme="minorHAnsi" w:cstheme="minorHAnsi"/>
          <w:i/>
        </w:rPr>
        <w:t>Commercial Building Baseline Study 2022</w:t>
      </w:r>
      <w:r w:rsidRPr="00E63900">
        <w:rPr>
          <w:rFonts w:asciiTheme="minorHAnsi" w:hAnsiTheme="minorHAnsi" w:cstheme="minorHAnsi"/>
        </w:rPr>
        <w:t xml:space="preserve"> (</w:t>
      </w:r>
      <w:proofErr w:type="spellStart"/>
      <w:r w:rsidRPr="00E63900">
        <w:rPr>
          <w:rFonts w:asciiTheme="minorHAnsi" w:hAnsiTheme="minorHAnsi" w:cstheme="minorHAnsi"/>
          <w:b/>
        </w:rPr>
        <w:t>CBBS</w:t>
      </w:r>
      <w:proofErr w:type="spellEnd"/>
      <w:r w:rsidRPr="00E63900">
        <w:rPr>
          <w:rFonts w:asciiTheme="minorHAnsi" w:hAnsiTheme="minorHAnsi" w:cstheme="minorHAnsi"/>
          <w:b/>
        </w:rPr>
        <w:t xml:space="preserve"> 2022</w:t>
      </w:r>
      <w:r w:rsidRPr="00E63900">
        <w:rPr>
          <w:rFonts w:asciiTheme="minorHAnsi" w:hAnsiTheme="minorHAnsi" w:cstheme="minorHAnsi"/>
        </w:rPr>
        <w:t>) and provides a range of different building types that are covered in this report as well as building stock counts, gross floor areas (</w:t>
      </w:r>
      <w:proofErr w:type="spellStart"/>
      <w:r w:rsidRPr="00E63900">
        <w:rPr>
          <w:rFonts w:asciiTheme="minorHAnsi" w:hAnsiTheme="minorHAnsi" w:cstheme="minorHAnsi"/>
        </w:rPr>
        <w:t>GFA</w:t>
      </w:r>
      <w:proofErr w:type="spellEnd"/>
      <w:r w:rsidRPr="00E63900">
        <w:rPr>
          <w:rFonts w:asciiTheme="minorHAnsi" w:hAnsiTheme="minorHAnsi" w:cstheme="minorHAnsi"/>
        </w:rPr>
        <w:t xml:space="preserve">) and energy consumption of electricity and gas. Details of the total building stock count with breakdown of building category is provided in </w:t>
      </w:r>
      <w:r w:rsidRPr="00E63900">
        <w:rPr>
          <w:rFonts w:asciiTheme="minorHAnsi" w:hAnsiTheme="minorHAnsi" w:cstheme="minorHAnsi"/>
        </w:rPr>
        <w:fldChar w:fldCharType="begin" w:fldLock="1"/>
      </w:r>
      <w:r w:rsidRPr="00E63900">
        <w:rPr>
          <w:rFonts w:asciiTheme="minorHAnsi" w:hAnsiTheme="minorHAnsi" w:cstheme="minorHAnsi"/>
        </w:rPr>
        <w:instrText xml:space="preserve"> REF _Ref145498916 \h </w:instrText>
      </w:r>
      <w:r w:rsidR="000C274B">
        <w:rPr>
          <w:rFonts w:asciiTheme="minorHAnsi" w:hAnsiTheme="minorHAnsi" w:cstheme="minorHAnsi"/>
        </w:rPr>
        <w:instrText xml:space="preserve"> \* MERGEFORMAT </w:instrText>
      </w:r>
      <w:r w:rsidRPr="00E63900">
        <w:rPr>
          <w:rFonts w:asciiTheme="minorHAnsi" w:hAnsiTheme="minorHAnsi" w:cstheme="minorHAnsi"/>
        </w:rPr>
      </w:r>
      <w:r w:rsidRPr="00E63900">
        <w:rPr>
          <w:rFonts w:asciiTheme="minorHAnsi" w:hAnsiTheme="minorHAnsi" w:cstheme="minorHAnsi"/>
        </w:rPr>
        <w:fldChar w:fldCharType="separate"/>
      </w:r>
      <w:r w:rsidR="00D213AD" w:rsidRPr="00E63900">
        <w:rPr>
          <w:rFonts w:asciiTheme="minorHAnsi" w:hAnsiTheme="minorHAnsi" w:cstheme="minorHAnsi"/>
          <w:lang w:val="en-GB"/>
        </w:rPr>
        <w:t xml:space="preserve">Appendix 4: Australian building stock breakdown including data centres, </w:t>
      </w:r>
      <w:proofErr w:type="gramStart"/>
      <w:r w:rsidR="00D213AD" w:rsidRPr="00E63900">
        <w:rPr>
          <w:rFonts w:asciiTheme="minorHAnsi" w:hAnsiTheme="minorHAnsi" w:cstheme="minorHAnsi"/>
          <w:lang w:val="en-GB"/>
        </w:rPr>
        <w:t>hotels</w:t>
      </w:r>
      <w:proofErr w:type="gramEnd"/>
      <w:r w:rsidR="00D213AD" w:rsidRPr="00E63900">
        <w:rPr>
          <w:rFonts w:asciiTheme="minorHAnsi" w:hAnsiTheme="minorHAnsi" w:cstheme="minorHAnsi"/>
          <w:lang w:val="en-GB"/>
        </w:rPr>
        <w:t xml:space="preserve"> and shopping centres</w:t>
      </w:r>
      <w:r w:rsidRPr="00E63900">
        <w:rPr>
          <w:rFonts w:asciiTheme="minorHAnsi" w:hAnsiTheme="minorHAnsi" w:cstheme="minorHAnsi"/>
        </w:rPr>
        <w:fldChar w:fldCharType="end"/>
      </w:r>
      <w:r w:rsidRPr="00E63900">
        <w:rPr>
          <w:rFonts w:asciiTheme="minorHAnsi" w:hAnsiTheme="minorHAnsi" w:cstheme="minorHAnsi"/>
        </w:rPr>
        <w:t>.</w:t>
      </w:r>
    </w:p>
    <w:p w14:paraId="5348975F" w14:textId="1BA98753"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 xml:space="preserve">Our analysis of the data indicates building counts are overstated and while the </w:t>
      </w:r>
      <w:proofErr w:type="spellStart"/>
      <w:r w:rsidRPr="00E63900">
        <w:rPr>
          <w:rFonts w:asciiTheme="minorHAnsi" w:hAnsiTheme="minorHAnsi" w:cstheme="minorHAnsi"/>
        </w:rPr>
        <w:t>CBBS</w:t>
      </w:r>
      <w:proofErr w:type="spellEnd"/>
      <w:r w:rsidRPr="00E63900">
        <w:rPr>
          <w:rFonts w:asciiTheme="minorHAnsi" w:hAnsiTheme="minorHAnsi" w:cstheme="minorHAnsi"/>
        </w:rPr>
        <w:t xml:space="preserve"> 2022 reports a level of uncertainty in the total building counts estimated to +/- 30%, we believe this figure to be greater. Additionally</w:t>
      </w:r>
      <w:r w:rsidR="00D54793" w:rsidRPr="00E63900">
        <w:rPr>
          <w:rFonts w:asciiTheme="minorHAnsi" w:hAnsiTheme="minorHAnsi" w:cstheme="minorHAnsi"/>
        </w:rPr>
        <w:t>,</w:t>
      </w:r>
      <w:r w:rsidRPr="00E63900">
        <w:rPr>
          <w:rFonts w:asciiTheme="minorHAnsi" w:hAnsiTheme="minorHAnsi" w:cstheme="minorHAnsi"/>
        </w:rPr>
        <w:t xml:space="preserve"> the </w:t>
      </w: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floor area estimates were revised downward 55% (</w:t>
      </w:r>
      <w:proofErr w:type="spellStart"/>
      <w:r w:rsidRPr="00E63900">
        <w:rPr>
          <w:rFonts w:asciiTheme="minorHAnsi" w:hAnsiTheme="minorHAnsi" w:cstheme="minorHAnsi"/>
        </w:rPr>
        <w:t>CBBS</w:t>
      </w:r>
      <w:proofErr w:type="spellEnd"/>
      <w:r w:rsidRPr="00E63900">
        <w:rPr>
          <w:rFonts w:asciiTheme="minorHAnsi" w:hAnsiTheme="minorHAnsi" w:cstheme="minorHAnsi"/>
        </w:rPr>
        <w:t xml:space="preserve"> 2022) and a corresponding </w:t>
      </w: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dataset - Table 47 (published by CSIRO, 2020) was removed from the </w:t>
      </w:r>
      <w:proofErr w:type="spellStart"/>
      <w:r w:rsidRPr="00E63900">
        <w:rPr>
          <w:rFonts w:asciiTheme="minorHAnsi" w:hAnsiTheme="minorHAnsi" w:cstheme="minorHAnsi"/>
        </w:rPr>
        <w:t>CBBS</w:t>
      </w:r>
      <w:proofErr w:type="spellEnd"/>
      <w:r w:rsidRPr="00E63900">
        <w:rPr>
          <w:rFonts w:asciiTheme="minorHAnsi" w:hAnsiTheme="minorHAnsi" w:cstheme="minorHAnsi"/>
        </w:rPr>
        <w:t xml:space="preserve"> 2022 report citing an over estimation of total floor area.</w:t>
      </w:r>
    </w:p>
    <w:p w14:paraId="22E406EF" w14:textId="77777777" w:rsidR="005D2BAF" w:rsidRPr="00E63900" w:rsidRDefault="005D2BAF" w:rsidP="005D2BAF">
      <w:pPr>
        <w:pStyle w:val="BodyText"/>
        <w:rPr>
          <w:rFonts w:asciiTheme="minorHAnsi" w:hAnsiTheme="minorHAnsi" w:cstheme="minorHAnsi"/>
        </w:rPr>
      </w:pP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records </w:t>
      </w:r>
      <w:proofErr w:type="spellStart"/>
      <w:r w:rsidRPr="00E63900">
        <w:rPr>
          <w:rFonts w:asciiTheme="minorHAnsi" w:hAnsiTheme="minorHAnsi" w:cstheme="minorHAnsi"/>
        </w:rPr>
        <w:t>22.5x</w:t>
      </w:r>
      <w:proofErr w:type="spellEnd"/>
      <w:r w:rsidRPr="00E63900">
        <w:rPr>
          <w:rFonts w:asciiTheme="minorHAnsi" w:hAnsiTheme="minorHAnsi" w:cstheme="minorHAnsi"/>
        </w:rPr>
        <w:t xml:space="preserve"> more buildings and 4.6x more floor area than NABERS.</w:t>
      </w:r>
    </w:p>
    <w:p w14:paraId="20EAB620" w14:textId="4A819A83" w:rsidR="005D2BAF" w:rsidRPr="00E63900" w:rsidRDefault="005D2BAF" w:rsidP="005D2BAF">
      <w:pPr>
        <w:pStyle w:val="BodyText"/>
        <w:rPr>
          <w:rFonts w:asciiTheme="minorHAnsi" w:hAnsiTheme="minorHAnsi" w:cstheme="minorHAnsi"/>
        </w:rPr>
      </w:pP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data </w:t>
      </w:r>
      <w:r w:rsidRPr="00E63900">
        <w:rPr>
          <w:rFonts w:asciiTheme="minorHAnsi" w:hAnsiTheme="minorHAnsi" w:cstheme="minorHAnsi"/>
          <w:i/>
        </w:rPr>
        <w:t xml:space="preserve">Table 46: </w:t>
      </w:r>
      <w:r w:rsidRPr="00E63900">
        <w:rPr>
          <w:rFonts w:asciiTheme="minorHAnsi" w:hAnsiTheme="minorHAnsi" w:cstheme="minorHAnsi"/>
        </w:rPr>
        <w:t xml:space="preserve">was removed from the </w:t>
      </w:r>
      <w:proofErr w:type="spellStart"/>
      <w:r w:rsidRPr="00E63900">
        <w:rPr>
          <w:rFonts w:asciiTheme="minorHAnsi" w:hAnsiTheme="minorHAnsi" w:cstheme="minorHAnsi"/>
        </w:rPr>
        <w:t>CBBS</w:t>
      </w:r>
      <w:proofErr w:type="spellEnd"/>
      <w:r w:rsidRPr="00E63900">
        <w:rPr>
          <w:rFonts w:asciiTheme="minorHAnsi" w:hAnsiTheme="minorHAnsi" w:cstheme="minorHAnsi"/>
        </w:rPr>
        <w:t xml:space="preserve"> report, however percentages of building size distribution were calculated (e.g. 69% of commercial office buildings are greater than 1000m</w:t>
      </w:r>
      <w:r w:rsidRPr="00E63900">
        <w:rPr>
          <w:rFonts w:asciiTheme="minorHAnsi" w:hAnsiTheme="minorHAnsi" w:cstheme="minorHAnsi"/>
          <w:vertAlign w:val="superscript"/>
        </w:rPr>
        <w:t>2</w:t>
      </w:r>
      <w:r w:rsidRPr="00E63900">
        <w:rPr>
          <w:rFonts w:asciiTheme="minorHAnsi" w:hAnsiTheme="minorHAnsi" w:cstheme="minorHAnsi"/>
        </w:rPr>
        <w:t>) and applied for the extrapolation of findings for offices and other building types (</w:t>
      </w:r>
      <w:r w:rsidR="0072225F">
        <w:rPr>
          <w:rFonts w:asciiTheme="minorHAnsi" w:hAnsiTheme="minorHAnsi" w:cstheme="minorHAnsi"/>
        </w:rPr>
        <w:t xml:space="preserve">see appendix </w:t>
      </w:r>
      <w:r w:rsidR="0015541E">
        <w:rPr>
          <w:rFonts w:asciiTheme="minorHAnsi" w:hAnsiTheme="minorHAnsi" w:cstheme="minorHAnsi"/>
        </w:rPr>
        <w:t>7</w:t>
      </w:r>
      <w:r w:rsidRPr="00E63900">
        <w:rPr>
          <w:rFonts w:asciiTheme="minorHAnsi" w:hAnsiTheme="minorHAnsi" w:cstheme="minorHAnsi"/>
        </w:rPr>
        <w:t>).</w:t>
      </w:r>
    </w:p>
    <w:p w14:paraId="67599F0C" w14:textId="77777777" w:rsidR="005D2BAF" w:rsidRPr="00E63900" w:rsidRDefault="005D2BAF" w:rsidP="005D2BAF">
      <w:pPr>
        <w:pStyle w:val="Heading4"/>
        <w:rPr>
          <w:rFonts w:asciiTheme="minorHAnsi" w:hAnsiTheme="minorHAnsi" w:cstheme="minorHAnsi"/>
        </w:rPr>
      </w:pPr>
      <w:r w:rsidRPr="00E63900">
        <w:rPr>
          <w:rFonts w:asciiTheme="minorHAnsi" w:hAnsiTheme="minorHAnsi" w:cstheme="minorHAnsi"/>
        </w:rPr>
        <w:t>CBD Historical ratings data (2011 – 2023)</w:t>
      </w:r>
    </w:p>
    <w:p w14:paraId="74377CC0" w14:textId="77777777"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 xml:space="preserve">Historical </w:t>
      </w:r>
      <w:proofErr w:type="spellStart"/>
      <w:r w:rsidRPr="00E63900">
        <w:rPr>
          <w:rFonts w:asciiTheme="minorHAnsi" w:hAnsiTheme="minorHAnsi" w:cstheme="minorHAnsi"/>
        </w:rPr>
        <w:t>BEEC</w:t>
      </w:r>
      <w:proofErr w:type="spellEnd"/>
      <w:r w:rsidRPr="00E63900">
        <w:rPr>
          <w:rFonts w:asciiTheme="minorHAnsi" w:hAnsiTheme="minorHAnsi" w:cstheme="minorHAnsi"/>
        </w:rPr>
        <w:t xml:space="preserve"> ratings, including </w:t>
      </w:r>
      <w:proofErr w:type="spellStart"/>
      <w:r w:rsidRPr="00E63900">
        <w:rPr>
          <w:rFonts w:asciiTheme="minorHAnsi" w:hAnsiTheme="minorHAnsi" w:cstheme="minorHAnsi"/>
        </w:rPr>
        <w:t>TLAs</w:t>
      </w:r>
      <w:proofErr w:type="spellEnd"/>
      <w:r w:rsidRPr="00E63900">
        <w:rPr>
          <w:rFonts w:asciiTheme="minorHAnsi" w:hAnsiTheme="minorHAnsi" w:cstheme="minorHAnsi"/>
        </w:rPr>
        <w:t xml:space="preserve"> were provided by DCCEEW for all office buildings that have undergone a </w:t>
      </w:r>
      <w:proofErr w:type="spellStart"/>
      <w:r w:rsidRPr="00E63900">
        <w:rPr>
          <w:rFonts w:asciiTheme="minorHAnsi" w:hAnsiTheme="minorHAnsi" w:cstheme="minorHAnsi"/>
        </w:rPr>
        <w:t>BEEC</w:t>
      </w:r>
      <w:proofErr w:type="spellEnd"/>
      <w:r w:rsidRPr="00E63900">
        <w:rPr>
          <w:rFonts w:asciiTheme="minorHAnsi" w:hAnsiTheme="minorHAnsi" w:cstheme="minorHAnsi"/>
        </w:rPr>
        <w:t xml:space="preserve"> from 2011 to 2023. The total number of unique buildings that have received a </w:t>
      </w:r>
      <w:proofErr w:type="spellStart"/>
      <w:r w:rsidRPr="00E63900">
        <w:rPr>
          <w:rFonts w:asciiTheme="minorHAnsi" w:hAnsiTheme="minorHAnsi" w:cstheme="minorHAnsi"/>
        </w:rPr>
        <w:t>BEEC</w:t>
      </w:r>
      <w:proofErr w:type="spellEnd"/>
      <w:r w:rsidRPr="00E63900">
        <w:rPr>
          <w:rFonts w:asciiTheme="minorHAnsi" w:hAnsiTheme="minorHAnsi" w:cstheme="minorHAnsi"/>
        </w:rPr>
        <w:t xml:space="preserve"> rating is 2958 with 857 unique buildings being rated in the calendar year 2022.</w:t>
      </w:r>
    </w:p>
    <w:p w14:paraId="0FB9D973" w14:textId="77777777" w:rsidR="005D2BAF" w:rsidRPr="00E63900" w:rsidRDefault="005D2BAF" w:rsidP="005D2BAF">
      <w:pPr>
        <w:pStyle w:val="BodyText"/>
        <w:rPr>
          <w:rFonts w:asciiTheme="minorHAnsi" w:hAnsiTheme="minorHAnsi" w:cstheme="minorHAnsi"/>
        </w:rPr>
      </w:pPr>
    </w:p>
    <w:p w14:paraId="67D7C274" w14:textId="77777777" w:rsidR="005D2BAF" w:rsidRPr="00E63900" w:rsidRDefault="005D2BAF" w:rsidP="005D2BAF">
      <w:pPr>
        <w:pStyle w:val="Heading4"/>
        <w:rPr>
          <w:rFonts w:asciiTheme="minorHAnsi" w:hAnsiTheme="minorHAnsi" w:cstheme="minorHAnsi"/>
        </w:rPr>
      </w:pPr>
      <w:r w:rsidRPr="00E63900">
        <w:rPr>
          <w:rFonts w:asciiTheme="minorHAnsi" w:hAnsiTheme="minorHAnsi" w:cstheme="minorHAnsi"/>
        </w:rPr>
        <w:lastRenderedPageBreak/>
        <w:t>NABERS historical ratings (2010 – 2023)</w:t>
      </w:r>
    </w:p>
    <w:p w14:paraId="5B4BC663" w14:textId="51B92FC0"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Historical NABERS data shows a total of 3</w:t>
      </w:r>
      <w:r w:rsidR="00D54793" w:rsidRPr="00E63900">
        <w:rPr>
          <w:rFonts w:asciiTheme="minorHAnsi" w:hAnsiTheme="minorHAnsi" w:cstheme="minorHAnsi"/>
        </w:rPr>
        <w:t>,</w:t>
      </w:r>
      <w:r w:rsidRPr="00E63900">
        <w:rPr>
          <w:rFonts w:asciiTheme="minorHAnsi" w:hAnsiTheme="minorHAnsi" w:cstheme="minorHAnsi"/>
        </w:rPr>
        <w:t xml:space="preserve">907 unique office buildings have been rated as either </w:t>
      </w:r>
      <w:r w:rsidRPr="00E63900">
        <w:rPr>
          <w:rFonts w:asciiTheme="minorHAnsi" w:hAnsiTheme="minorHAnsi" w:cstheme="minorHAnsi"/>
          <w:i/>
        </w:rPr>
        <w:t>whole building</w:t>
      </w:r>
      <w:r w:rsidRPr="00E63900">
        <w:rPr>
          <w:rFonts w:asciiTheme="minorHAnsi" w:hAnsiTheme="minorHAnsi" w:cstheme="minorHAnsi"/>
        </w:rPr>
        <w:t xml:space="preserve"> (1</w:t>
      </w:r>
      <w:r w:rsidR="00D54793" w:rsidRPr="00E63900">
        <w:rPr>
          <w:rFonts w:asciiTheme="minorHAnsi" w:hAnsiTheme="minorHAnsi" w:cstheme="minorHAnsi"/>
        </w:rPr>
        <w:t>,</w:t>
      </w:r>
      <w:r w:rsidRPr="00E63900">
        <w:rPr>
          <w:rFonts w:asciiTheme="minorHAnsi" w:hAnsiTheme="minorHAnsi" w:cstheme="minorHAnsi"/>
        </w:rPr>
        <w:t xml:space="preserve">896) or </w:t>
      </w:r>
      <w:r w:rsidRPr="00E63900">
        <w:rPr>
          <w:rFonts w:asciiTheme="minorHAnsi" w:hAnsiTheme="minorHAnsi" w:cstheme="minorHAnsi"/>
          <w:i/>
        </w:rPr>
        <w:t>base building</w:t>
      </w:r>
      <w:r w:rsidRPr="00E63900">
        <w:rPr>
          <w:rFonts w:asciiTheme="minorHAnsi" w:hAnsiTheme="minorHAnsi" w:cstheme="minorHAnsi"/>
        </w:rPr>
        <w:t xml:space="preserve"> (2</w:t>
      </w:r>
      <w:r w:rsidR="00D54793" w:rsidRPr="00E63900">
        <w:rPr>
          <w:rFonts w:asciiTheme="minorHAnsi" w:hAnsiTheme="minorHAnsi" w:cstheme="minorHAnsi"/>
        </w:rPr>
        <w:t>,</w:t>
      </w:r>
      <w:r w:rsidRPr="00E63900">
        <w:rPr>
          <w:rFonts w:asciiTheme="minorHAnsi" w:hAnsiTheme="minorHAnsi" w:cstheme="minorHAnsi"/>
        </w:rPr>
        <w:t xml:space="preserve">376) NABERS energy ratings. The cumulation of base building and whole buildings has an overlap of 365, which could be due </w:t>
      </w:r>
      <w:r w:rsidR="00D54793" w:rsidRPr="00E63900">
        <w:rPr>
          <w:rFonts w:asciiTheme="minorHAnsi" w:hAnsiTheme="minorHAnsi" w:cstheme="minorHAnsi"/>
        </w:rPr>
        <w:t>several</w:t>
      </w:r>
      <w:r w:rsidRPr="00E63900">
        <w:rPr>
          <w:rFonts w:asciiTheme="minorHAnsi" w:hAnsiTheme="minorHAnsi" w:cstheme="minorHAnsi"/>
        </w:rPr>
        <w:t xml:space="preserve"> reasons including the building being demolished and rebuilt or switching rating types due to a metering upgrade.</w:t>
      </w:r>
    </w:p>
    <w:p w14:paraId="0506B389" w14:textId="77777777" w:rsidR="005D2BAF" w:rsidRPr="00E63900" w:rsidRDefault="005D2BAF" w:rsidP="005D2BAF">
      <w:pPr>
        <w:rPr>
          <w:rFonts w:asciiTheme="minorHAnsi" w:hAnsiTheme="minorHAnsi" w:cstheme="minorHAnsi"/>
        </w:rPr>
      </w:pPr>
      <w:r w:rsidRPr="00E63900">
        <w:rPr>
          <w:rFonts w:asciiTheme="minorHAnsi" w:hAnsiTheme="minorHAnsi" w:cstheme="minorHAnsi"/>
        </w:rPr>
        <w:t xml:space="preserve">It is estimated NABERS rates approximately 50% of commercial office buildings however a publication released by NABERS (May 2022) suggests 74% of Australia’s commercial offices currently obtain NABERS Energy ratings on an annual basis. </w:t>
      </w:r>
    </w:p>
    <w:p w14:paraId="6D225400" w14:textId="77777777"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 xml:space="preserve">When comparing NABERS and CBD datasets we can determine that 76% of all buildings rated by NABERS have, at any stage, obtained a </w:t>
      </w:r>
      <w:proofErr w:type="spellStart"/>
      <w:r w:rsidRPr="00E63900">
        <w:rPr>
          <w:rFonts w:asciiTheme="minorHAnsi" w:hAnsiTheme="minorHAnsi" w:cstheme="minorHAnsi"/>
        </w:rPr>
        <w:t>BEEC</w:t>
      </w:r>
      <w:proofErr w:type="spellEnd"/>
      <w:r w:rsidRPr="00E63900">
        <w:rPr>
          <w:rFonts w:asciiTheme="minorHAnsi" w:hAnsiTheme="minorHAnsi" w:cstheme="minorHAnsi"/>
        </w:rPr>
        <w:t xml:space="preserve">, which suggests 24% of NABERS ratings for whole buildings and base buildings are voluntarily rated. </w:t>
      </w:r>
    </w:p>
    <w:p w14:paraId="58FD7DE8" w14:textId="77777777"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 xml:space="preserve">In 2022-2023, only 48% of NABERS rated commercial office buildings obtained a </w:t>
      </w:r>
      <w:proofErr w:type="spellStart"/>
      <w:r w:rsidRPr="00E63900">
        <w:rPr>
          <w:rFonts w:asciiTheme="minorHAnsi" w:hAnsiTheme="minorHAnsi" w:cstheme="minorHAnsi"/>
        </w:rPr>
        <w:t>BEEC</w:t>
      </w:r>
      <w:proofErr w:type="spellEnd"/>
      <w:r w:rsidRPr="00E63900">
        <w:rPr>
          <w:rFonts w:asciiTheme="minorHAnsi" w:hAnsiTheme="minorHAnsi" w:cstheme="minorHAnsi"/>
        </w:rPr>
        <w:t xml:space="preserve">, indicating that many building owners are opting to maintain their annual NABERS rating irrespective of the requirement for a </w:t>
      </w:r>
      <w:proofErr w:type="spellStart"/>
      <w:r w:rsidRPr="00E63900">
        <w:rPr>
          <w:rFonts w:asciiTheme="minorHAnsi" w:hAnsiTheme="minorHAnsi" w:cstheme="minorHAnsi"/>
        </w:rPr>
        <w:t>BEEC</w:t>
      </w:r>
      <w:proofErr w:type="spellEnd"/>
      <w:r w:rsidRPr="00E63900">
        <w:rPr>
          <w:rFonts w:asciiTheme="minorHAnsi" w:hAnsiTheme="minorHAnsi" w:cstheme="minorHAnsi"/>
        </w:rPr>
        <w:t>. Reasons for this could include market readiness and the ability to advertise office space at short notice as well as an energy performance indicator and benchmark tool to compare other buildings.</w:t>
      </w:r>
    </w:p>
    <w:p w14:paraId="0FD41B81" w14:textId="77777777" w:rsidR="005D2BAF" w:rsidRPr="00E63900" w:rsidRDefault="005D2BAF" w:rsidP="005D2BAF">
      <w:pPr>
        <w:pStyle w:val="BodyText"/>
        <w:rPr>
          <w:rFonts w:asciiTheme="minorHAnsi" w:hAnsiTheme="minorHAnsi" w:cstheme="minorHAnsi"/>
        </w:rPr>
      </w:pPr>
    </w:p>
    <w:p w14:paraId="572FDEC1" w14:textId="77777777" w:rsidR="005D2BAF" w:rsidRPr="00E63900" w:rsidRDefault="005D2BAF" w:rsidP="005D2BAF">
      <w:pPr>
        <w:pStyle w:val="Heading4"/>
        <w:rPr>
          <w:rFonts w:asciiTheme="minorHAnsi" w:hAnsiTheme="minorHAnsi" w:cstheme="minorHAnsi"/>
        </w:rPr>
      </w:pPr>
      <w:r w:rsidRPr="00E63900">
        <w:rPr>
          <w:rFonts w:asciiTheme="minorHAnsi" w:hAnsiTheme="minorHAnsi" w:cstheme="minorHAnsi"/>
        </w:rPr>
        <w:t>Summary of datasets for commercial office buildings</w:t>
      </w:r>
    </w:p>
    <w:p w14:paraId="62818979" w14:textId="05CF0E6C"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Comparing datasets alongside one-another shows a discrepancy between the total building count and floor area (</w:t>
      </w:r>
      <w:proofErr w:type="spellStart"/>
      <w:r w:rsidRPr="00E63900">
        <w:rPr>
          <w:rFonts w:asciiTheme="minorHAnsi" w:hAnsiTheme="minorHAnsi" w:cstheme="minorHAnsi"/>
        </w:rPr>
        <w:t>GFA</w:t>
      </w:r>
      <w:proofErr w:type="spellEnd"/>
      <w:r w:rsidRPr="00E63900">
        <w:rPr>
          <w:rFonts w:asciiTheme="minorHAnsi" w:hAnsiTheme="minorHAnsi" w:cstheme="minorHAnsi"/>
        </w:rPr>
        <w:t xml:space="preserve"> or NLA) of </w:t>
      </w: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against both the CBD and NABERS datasets (</w:t>
      </w:r>
      <w:r w:rsidR="009922BF" w:rsidRPr="00E63900">
        <w:rPr>
          <w:rFonts w:asciiTheme="minorHAnsi" w:hAnsiTheme="minorHAnsi" w:cstheme="minorHAnsi"/>
        </w:rPr>
        <w:fldChar w:fldCharType="begin" w:fldLock="1"/>
      </w:r>
      <w:r w:rsidR="009922BF" w:rsidRPr="00E63900">
        <w:rPr>
          <w:rFonts w:asciiTheme="minorHAnsi" w:hAnsiTheme="minorHAnsi" w:cstheme="minorHAnsi"/>
        </w:rPr>
        <w:instrText xml:space="preserve"> REF _Ref146296674 \h </w:instrText>
      </w:r>
      <w:r w:rsidR="000C274B">
        <w:rPr>
          <w:rFonts w:asciiTheme="minorHAnsi" w:hAnsiTheme="minorHAnsi" w:cstheme="minorHAnsi"/>
        </w:rPr>
        <w:instrText xml:space="preserve"> \* MERGEFORMAT </w:instrText>
      </w:r>
      <w:r w:rsidR="009922BF" w:rsidRPr="00E63900">
        <w:rPr>
          <w:rFonts w:asciiTheme="minorHAnsi" w:hAnsiTheme="minorHAnsi" w:cstheme="minorHAnsi"/>
        </w:rPr>
      </w:r>
      <w:r w:rsidR="009922BF" w:rsidRPr="00E63900">
        <w:rPr>
          <w:rFonts w:asciiTheme="minorHAnsi" w:hAnsiTheme="minorHAnsi" w:cstheme="minorHAnsi"/>
        </w:rPr>
        <w:fldChar w:fldCharType="separate"/>
      </w:r>
      <w:r w:rsidR="00D213AD" w:rsidRPr="00E63900">
        <w:rPr>
          <w:rFonts w:asciiTheme="minorHAnsi" w:hAnsiTheme="minorHAnsi" w:cstheme="minorHAnsi"/>
        </w:rPr>
        <w:t>Table 23</w:t>
      </w:r>
      <w:r w:rsidR="009922BF" w:rsidRPr="00E63900">
        <w:rPr>
          <w:rFonts w:asciiTheme="minorHAnsi" w:hAnsiTheme="minorHAnsi" w:cstheme="minorHAnsi"/>
        </w:rPr>
        <w:fldChar w:fldCharType="end"/>
      </w:r>
      <w:r w:rsidRPr="00E63900">
        <w:rPr>
          <w:rFonts w:asciiTheme="minorHAnsi" w:hAnsiTheme="minorHAnsi" w:cstheme="minorHAnsi"/>
        </w:rPr>
        <w:t xml:space="preserve">). The CBD and NABERS datasets are relatively similar, which is expected given NABERS is required to obtain a </w:t>
      </w:r>
      <w:proofErr w:type="spellStart"/>
      <w:r w:rsidRPr="00E63900">
        <w:rPr>
          <w:rFonts w:asciiTheme="minorHAnsi" w:hAnsiTheme="minorHAnsi" w:cstheme="minorHAnsi"/>
        </w:rPr>
        <w:t>BEEC</w:t>
      </w:r>
      <w:proofErr w:type="spellEnd"/>
      <w:r w:rsidRPr="00E63900">
        <w:rPr>
          <w:rFonts w:asciiTheme="minorHAnsi" w:hAnsiTheme="minorHAnsi" w:cstheme="minorHAnsi"/>
        </w:rPr>
        <w:t xml:space="preserve">. </w:t>
      </w:r>
    </w:p>
    <w:p w14:paraId="1E83CE5C" w14:textId="77777777" w:rsidR="005D2BAF" w:rsidRPr="00E63900" w:rsidRDefault="005D2BAF" w:rsidP="005D2BAF">
      <w:pPr>
        <w:pStyle w:val="BodyText"/>
        <w:rPr>
          <w:rFonts w:asciiTheme="minorHAnsi" w:hAnsiTheme="minorHAnsi" w:cstheme="minorHAnsi"/>
        </w:rPr>
      </w:pPr>
      <w:r w:rsidRPr="00E63900">
        <w:rPr>
          <w:rFonts w:asciiTheme="minorHAnsi" w:hAnsiTheme="minorHAnsi" w:cstheme="minorHAnsi"/>
        </w:rPr>
        <w:t xml:space="preserve">Along with office buildings other building types covered in the data display an unusually large building count and due to these findings the </w:t>
      </w:r>
      <w:proofErr w:type="spellStart"/>
      <w:r w:rsidRPr="00E63900">
        <w:rPr>
          <w:rFonts w:asciiTheme="minorHAnsi" w:hAnsiTheme="minorHAnsi" w:cstheme="minorHAnsi"/>
        </w:rPr>
        <w:t>Geoscape</w:t>
      </w:r>
      <w:proofErr w:type="spellEnd"/>
      <w:r w:rsidRPr="00E63900">
        <w:rPr>
          <w:rFonts w:asciiTheme="minorHAnsi" w:hAnsiTheme="minorHAnsi" w:cstheme="minorHAnsi"/>
        </w:rPr>
        <w:t xml:space="preserve"> data for building counts and </w:t>
      </w:r>
      <w:proofErr w:type="spellStart"/>
      <w:r w:rsidRPr="00E63900">
        <w:rPr>
          <w:rFonts w:asciiTheme="minorHAnsi" w:hAnsiTheme="minorHAnsi" w:cstheme="minorHAnsi"/>
        </w:rPr>
        <w:t>GFA</w:t>
      </w:r>
      <w:proofErr w:type="spellEnd"/>
      <w:r w:rsidRPr="00E63900">
        <w:rPr>
          <w:rFonts w:asciiTheme="minorHAnsi" w:hAnsiTheme="minorHAnsi" w:cstheme="minorHAnsi"/>
        </w:rPr>
        <w:t xml:space="preserve"> is deemed unreliable for the application of calculating a mandatory CBD program expansion rollout and has been removed from further analysis. </w:t>
      </w:r>
    </w:p>
    <w:p w14:paraId="44C2B8CF" w14:textId="4869C638" w:rsidR="00D6060A" w:rsidRPr="00E63900" w:rsidRDefault="005D2BAF" w:rsidP="005D2BAF">
      <w:pPr>
        <w:pStyle w:val="BodyText"/>
        <w:rPr>
          <w:rFonts w:asciiTheme="minorHAnsi" w:hAnsiTheme="minorHAnsi" w:cstheme="minorHAnsi"/>
        </w:rPr>
        <w:sectPr w:rsidR="00D6060A" w:rsidRPr="00E63900" w:rsidSect="00A77C53">
          <w:pgSz w:w="11906" w:h="16838"/>
          <w:pgMar w:top="851" w:right="851" w:bottom="1418" w:left="851" w:header="567" w:footer="283" w:gutter="0"/>
          <w:cols w:space="708"/>
          <w:docGrid w:linePitch="360"/>
        </w:sectPr>
      </w:pPr>
      <w:r w:rsidRPr="00E63900">
        <w:rPr>
          <w:rFonts w:asciiTheme="minorHAnsi" w:hAnsiTheme="minorHAnsi" w:cstheme="minorHAnsi"/>
        </w:rPr>
        <w:t>As a result</w:t>
      </w:r>
      <w:r w:rsidR="00D54793" w:rsidRPr="00E63900">
        <w:rPr>
          <w:rFonts w:asciiTheme="minorHAnsi" w:hAnsiTheme="minorHAnsi" w:cstheme="minorHAnsi"/>
        </w:rPr>
        <w:t>,</w:t>
      </w:r>
      <w:r w:rsidRPr="00E63900">
        <w:rPr>
          <w:rFonts w:asciiTheme="minorHAnsi" w:hAnsiTheme="minorHAnsi" w:cstheme="minorHAnsi"/>
        </w:rPr>
        <w:t xml:space="preserve"> building improvements have been calculated at a building level and applied to varying sizes.</w:t>
      </w:r>
    </w:p>
    <w:p w14:paraId="582F04D1" w14:textId="1B50C755" w:rsidR="00913487" w:rsidRPr="00F81ADB" w:rsidRDefault="00AC1DC4" w:rsidP="00913487">
      <w:pPr>
        <w:pStyle w:val="Heading2"/>
        <w:rPr>
          <w:rFonts w:cstheme="minorHAnsi"/>
          <w:lang w:val="en-GB"/>
        </w:rPr>
      </w:pPr>
      <w:bookmarkStart w:id="289" w:name="_Ref147479727"/>
      <w:bookmarkStart w:id="290" w:name="_Toc154059394"/>
      <w:r w:rsidRPr="00F81ADB">
        <w:rPr>
          <w:rFonts w:cstheme="minorHAnsi"/>
          <w:lang w:val="en-GB"/>
        </w:rPr>
        <w:lastRenderedPageBreak/>
        <w:t xml:space="preserve">Appendix </w:t>
      </w:r>
      <w:r w:rsidR="006A6F8E">
        <w:rPr>
          <w:rFonts w:cstheme="minorHAnsi"/>
          <w:lang w:val="en-GB"/>
        </w:rPr>
        <w:t>6</w:t>
      </w:r>
      <w:r w:rsidR="00913487" w:rsidRPr="00F81ADB">
        <w:rPr>
          <w:rFonts w:cstheme="minorHAnsi"/>
          <w:lang w:val="en-GB"/>
        </w:rPr>
        <w:t xml:space="preserve">: Option </w:t>
      </w:r>
      <w:r w:rsidR="00913487">
        <w:rPr>
          <w:rFonts w:cstheme="minorHAnsi"/>
          <w:lang w:val="en-GB"/>
        </w:rPr>
        <w:t>2</w:t>
      </w:r>
      <w:r w:rsidR="00913487" w:rsidRPr="00F81ADB">
        <w:rPr>
          <w:rFonts w:cstheme="minorHAnsi"/>
          <w:lang w:val="en-GB"/>
        </w:rPr>
        <w:t xml:space="preserve"> </w:t>
      </w:r>
      <w:r w:rsidR="00ED2D05" w:rsidRPr="00F81ADB">
        <w:rPr>
          <w:rFonts w:cstheme="minorHAnsi"/>
          <w:lang w:val="en-GB"/>
        </w:rPr>
        <w:t xml:space="preserve">– Tailored sectoral disclosure - </w:t>
      </w:r>
      <w:r w:rsidR="00913487" w:rsidRPr="00F81ADB">
        <w:rPr>
          <w:rFonts w:cstheme="minorHAnsi"/>
          <w:lang w:val="en-GB"/>
        </w:rPr>
        <w:t>coverage methodology</w:t>
      </w:r>
      <w:bookmarkEnd w:id="289"/>
      <w:bookmarkEnd w:id="290"/>
    </w:p>
    <w:p w14:paraId="2C2A505E" w14:textId="50784BD6" w:rsidR="00006F0E" w:rsidRPr="00E63900" w:rsidRDefault="00913487" w:rsidP="00913487">
      <w:pPr>
        <w:pStyle w:val="BodyText"/>
        <w:rPr>
          <w:rFonts w:asciiTheme="minorHAnsi" w:hAnsiTheme="minorHAnsi" w:cstheme="minorHAnsi"/>
          <w:lang w:val="en-GB"/>
        </w:rPr>
      </w:pPr>
      <w:r w:rsidRPr="00E63900">
        <w:rPr>
          <w:rFonts w:asciiTheme="minorHAnsi" w:hAnsiTheme="minorHAnsi" w:cstheme="minorHAnsi"/>
          <w:lang w:val="en-GB"/>
        </w:rPr>
        <w:t xml:space="preserve">The following appendix explores </w:t>
      </w:r>
      <w:r w:rsidR="006865AB" w:rsidRPr="00E63900">
        <w:rPr>
          <w:rFonts w:asciiTheme="minorHAnsi" w:hAnsiTheme="minorHAnsi" w:cstheme="minorHAnsi"/>
          <w:lang w:val="en-GB"/>
        </w:rPr>
        <w:t>a</w:t>
      </w:r>
      <w:r w:rsidRPr="00E63900">
        <w:rPr>
          <w:rFonts w:asciiTheme="minorHAnsi" w:hAnsiTheme="minorHAnsi" w:cstheme="minorHAnsi"/>
          <w:lang w:val="en-GB"/>
        </w:rPr>
        <w:t xml:space="preserve"> sectoral assessment </w:t>
      </w:r>
      <w:r w:rsidR="007B0343" w:rsidRPr="00E63900">
        <w:rPr>
          <w:rFonts w:asciiTheme="minorHAnsi" w:hAnsiTheme="minorHAnsi" w:cstheme="minorHAnsi"/>
          <w:lang w:val="en-GB"/>
        </w:rPr>
        <w:t xml:space="preserve">conducted for option 2 to determine the relative priority sectors to be included in the policy in the first instance, and the subsequent second and third tranches of inclusion under the policy. </w:t>
      </w:r>
      <w:r w:rsidRPr="00E63900">
        <w:rPr>
          <w:rFonts w:asciiTheme="minorHAnsi" w:hAnsiTheme="minorHAnsi" w:cstheme="minorHAnsi"/>
          <w:lang w:val="en-GB"/>
        </w:rPr>
        <w:t xml:space="preserve"> </w:t>
      </w:r>
      <w:r w:rsidR="003C30FC" w:rsidRPr="00E63900">
        <w:rPr>
          <w:rFonts w:asciiTheme="minorHAnsi" w:hAnsiTheme="minorHAnsi" w:cstheme="minorHAnsi"/>
          <w:lang w:val="en-GB"/>
        </w:rPr>
        <w:t xml:space="preserve">The table below explores a set of criteria used to prioritise </w:t>
      </w:r>
      <w:r w:rsidR="00BC447D" w:rsidRPr="00E63900">
        <w:rPr>
          <w:rFonts w:asciiTheme="minorHAnsi" w:hAnsiTheme="minorHAnsi" w:cstheme="minorHAnsi"/>
          <w:lang w:val="en-GB"/>
        </w:rPr>
        <w:t>sectors</w:t>
      </w:r>
      <w:r w:rsidR="003C30FC" w:rsidRPr="00E63900">
        <w:rPr>
          <w:rFonts w:asciiTheme="minorHAnsi" w:hAnsiTheme="minorHAnsi" w:cstheme="minorHAnsi"/>
          <w:lang w:val="en-GB"/>
        </w:rPr>
        <w:t xml:space="preserve"> including the number of buildings, the average emissions intensity, the impact of disclosure, </w:t>
      </w:r>
      <w:r w:rsidR="00BC447D" w:rsidRPr="00E63900">
        <w:rPr>
          <w:rFonts w:asciiTheme="minorHAnsi" w:hAnsiTheme="minorHAnsi" w:cstheme="minorHAnsi"/>
          <w:lang w:val="en-GB"/>
        </w:rPr>
        <w:t>the sector maturity in considering energy efficiency and the ease of implementation.</w:t>
      </w:r>
      <w:r w:rsidRPr="00E63900">
        <w:rPr>
          <w:rFonts w:asciiTheme="minorHAnsi" w:hAnsiTheme="minorHAnsi" w:cstheme="minorHAnsi"/>
          <w:lang w:val="en-GB"/>
        </w:rPr>
        <w:t xml:space="preserve">  </w:t>
      </w:r>
    </w:p>
    <w:p w14:paraId="2DE566D0" w14:textId="43334EF6" w:rsidR="00A84114" w:rsidRPr="00732C3A" w:rsidRDefault="00A84114" w:rsidP="00732C3A">
      <w:pPr>
        <w:pStyle w:val="Caption"/>
        <w:keepNext/>
        <w:spacing w:after="120"/>
        <w:rPr>
          <w:rFonts w:ascii="Calibri" w:eastAsia="Times New Roman" w:hAnsi="Calibri" w:cs="Times New Roman"/>
          <w:b/>
          <w:bCs/>
          <w:i w:val="0"/>
          <w:iCs w:val="0"/>
          <w:color w:val="auto"/>
          <w:sz w:val="24"/>
        </w:rPr>
      </w:pPr>
      <w:bookmarkStart w:id="291" w:name="_Toc162535463"/>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 xml:space="preserve"> SEQ Table \* ARABIC </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27</w:t>
      </w:r>
      <w:r w:rsidRPr="00732C3A">
        <w:rPr>
          <w:rFonts w:ascii="Calibri" w:eastAsia="Times New Roman" w:hAnsi="Calibri" w:cs="Times New Roman"/>
          <w:b/>
          <w:bCs/>
          <w:i w:val="0"/>
          <w:iCs w:val="0"/>
          <w:color w:val="auto"/>
          <w:sz w:val="24"/>
        </w:rPr>
        <w:fldChar w:fldCharType="end"/>
      </w:r>
      <w:r w:rsidR="009374AC" w:rsidRPr="00732C3A">
        <w:rPr>
          <w:rFonts w:ascii="Calibri" w:eastAsia="Times New Roman" w:hAnsi="Calibri" w:cs="Times New Roman"/>
          <w:b/>
          <w:bCs/>
          <w:i w:val="0"/>
          <w:iCs w:val="0"/>
          <w:color w:val="auto"/>
          <w:sz w:val="24"/>
        </w:rPr>
        <w:t>:</w:t>
      </w:r>
      <w:r w:rsidRPr="00732C3A">
        <w:rPr>
          <w:rFonts w:ascii="Calibri" w:eastAsia="Times New Roman" w:hAnsi="Calibri" w:cs="Times New Roman"/>
          <w:b/>
          <w:bCs/>
          <w:i w:val="0"/>
          <w:iCs w:val="0"/>
          <w:color w:val="auto"/>
          <w:sz w:val="24"/>
        </w:rPr>
        <w:t xml:space="preserve"> Sectoral heatmap assessment</w:t>
      </w:r>
      <w:bookmarkEnd w:id="291"/>
    </w:p>
    <w:tbl>
      <w:tblPr>
        <w:tblW w:w="13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7"/>
        <w:gridCol w:w="1217"/>
        <w:gridCol w:w="1282"/>
        <w:gridCol w:w="1195"/>
        <w:gridCol w:w="1398"/>
        <w:gridCol w:w="1816"/>
        <w:gridCol w:w="983"/>
        <w:gridCol w:w="2783"/>
        <w:gridCol w:w="1116"/>
      </w:tblGrid>
      <w:tr w:rsidR="003D2941" w:rsidRPr="00006F0E" w14:paraId="59FAC172" w14:textId="77777777" w:rsidTr="00424474">
        <w:trPr>
          <w:trHeight w:val="535"/>
          <w:tblHeader/>
        </w:trPr>
        <w:tc>
          <w:tcPr>
            <w:tcW w:w="1679" w:type="dxa"/>
            <w:shd w:val="clear" w:color="auto" w:fill="D9D9D9" w:themeFill="background1" w:themeFillShade="D9"/>
            <w:tcMar>
              <w:top w:w="15" w:type="dxa"/>
              <w:left w:w="38" w:type="dxa"/>
              <w:bottom w:w="0" w:type="dxa"/>
              <w:right w:w="38" w:type="dxa"/>
            </w:tcMar>
            <w:vAlign w:val="center"/>
            <w:hideMark/>
          </w:tcPr>
          <w:p w14:paraId="26F1631A" w14:textId="1D8C20AE"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Category</w:t>
            </w:r>
          </w:p>
        </w:tc>
        <w:tc>
          <w:tcPr>
            <w:tcW w:w="1221" w:type="dxa"/>
            <w:shd w:val="clear" w:color="auto" w:fill="D9D9D9" w:themeFill="background1" w:themeFillShade="D9"/>
            <w:tcMar>
              <w:top w:w="15" w:type="dxa"/>
              <w:left w:w="38" w:type="dxa"/>
              <w:bottom w:w="0" w:type="dxa"/>
              <w:right w:w="38" w:type="dxa"/>
            </w:tcMar>
            <w:vAlign w:val="center"/>
            <w:hideMark/>
          </w:tcPr>
          <w:p w14:paraId="1573A700"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Sub-category</w:t>
            </w:r>
          </w:p>
        </w:tc>
        <w:tc>
          <w:tcPr>
            <w:tcW w:w="1195" w:type="dxa"/>
            <w:shd w:val="clear" w:color="auto" w:fill="D9D9D9" w:themeFill="background1" w:themeFillShade="D9"/>
            <w:tcMar>
              <w:top w:w="15" w:type="dxa"/>
              <w:left w:w="38" w:type="dxa"/>
              <w:bottom w:w="0" w:type="dxa"/>
              <w:right w:w="38" w:type="dxa"/>
            </w:tcMar>
            <w:vAlign w:val="center"/>
            <w:hideMark/>
          </w:tcPr>
          <w:p w14:paraId="10DA7A94"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Examples</w:t>
            </w:r>
          </w:p>
        </w:tc>
        <w:tc>
          <w:tcPr>
            <w:tcW w:w="1140" w:type="dxa"/>
            <w:shd w:val="clear" w:color="auto" w:fill="D9D9D9" w:themeFill="background1" w:themeFillShade="D9"/>
            <w:tcMar>
              <w:top w:w="15" w:type="dxa"/>
              <w:left w:w="38" w:type="dxa"/>
              <w:bottom w:w="0" w:type="dxa"/>
              <w:right w:w="38" w:type="dxa"/>
            </w:tcMar>
            <w:vAlign w:val="center"/>
            <w:hideMark/>
          </w:tcPr>
          <w:p w14:paraId="289D2F7F"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No. of buildings</w:t>
            </w:r>
          </w:p>
        </w:tc>
        <w:tc>
          <w:tcPr>
            <w:tcW w:w="1418" w:type="dxa"/>
            <w:shd w:val="clear" w:color="auto" w:fill="D9D9D9" w:themeFill="background1" w:themeFillShade="D9"/>
            <w:tcMar>
              <w:top w:w="15" w:type="dxa"/>
              <w:left w:w="38" w:type="dxa"/>
              <w:bottom w:w="0" w:type="dxa"/>
              <w:right w:w="38" w:type="dxa"/>
            </w:tcMar>
            <w:vAlign w:val="center"/>
            <w:hideMark/>
          </w:tcPr>
          <w:p w14:paraId="3133E9AA" w14:textId="0305D4CD"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Ave.</w:t>
            </w:r>
            <w:r w:rsidR="00432B9A" w:rsidRPr="003A1030">
              <w:rPr>
                <w:rFonts w:asciiTheme="minorHAnsi" w:hAnsiTheme="minorHAnsi" w:cstheme="minorHAnsi"/>
                <w:b/>
              </w:rPr>
              <w:t xml:space="preserve"> </w:t>
            </w:r>
            <w:r w:rsidRPr="003A1030">
              <w:rPr>
                <w:rFonts w:asciiTheme="minorHAnsi" w:hAnsiTheme="minorHAnsi" w:cstheme="minorHAnsi"/>
                <w:b/>
              </w:rPr>
              <w:t>Energy intensity (MJ/</w:t>
            </w:r>
            <w:proofErr w:type="spellStart"/>
            <w:proofErr w:type="gramStart"/>
            <w:r w:rsidRPr="003A1030">
              <w:rPr>
                <w:rFonts w:asciiTheme="minorHAnsi" w:hAnsiTheme="minorHAnsi" w:cstheme="minorHAnsi"/>
                <w:b/>
              </w:rPr>
              <w:t>sqm.a</w:t>
            </w:r>
            <w:proofErr w:type="spellEnd"/>
            <w:proofErr w:type="gramEnd"/>
            <w:r w:rsidRPr="003A1030">
              <w:rPr>
                <w:rFonts w:asciiTheme="minorHAnsi" w:hAnsiTheme="minorHAnsi" w:cstheme="minorHAnsi"/>
                <w:b/>
              </w:rPr>
              <w:t>)</w:t>
            </w:r>
          </w:p>
        </w:tc>
        <w:tc>
          <w:tcPr>
            <w:tcW w:w="1842" w:type="dxa"/>
            <w:shd w:val="clear" w:color="auto" w:fill="D9D9D9" w:themeFill="background1" w:themeFillShade="D9"/>
            <w:tcMar>
              <w:top w:w="15" w:type="dxa"/>
              <w:left w:w="38" w:type="dxa"/>
              <w:bottom w:w="0" w:type="dxa"/>
              <w:right w:w="38" w:type="dxa"/>
            </w:tcMar>
            <w:vAlign w:val="center"/>
            <w:hideMark/>
          </w:tcPr>
          <w:p w14:paraId="2F97E006"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Impact on behaviour</w:t>
            </w:r>
          </w:p>
        </w:tc>
        <w:tc>
          <w:tcPr>
            <w:tcW w:w="993" w:type="dxa"/>
            <w:shd w:val="clear" w:color="auto" w:fill="D9D9D9" w:themeFill="background1" w:themeFillShade="D9"/>
            <w:tcMar>
              <w:top w:w="15" w:type="dxa"/>
              <w:left w:w="38" w:type="dxa"/>
              <w:bottom w:w="0" w:type="dxa"/>
              <w:right w:w="38" w:type="dxa"/>
            </w:tcMar>
            <w:vAlign w:val="center"/>
            <w:hideMark/>
          </w:tcPr>
          <w:p w14:paraId="707A01AC" w14:textId="77777777" w:rsidR="00006F0E" w:rsidRPr="003A1030" w:rsidRDefault="00006F0E" w:rsidP="002C2BE9">
            <w:pPr>
              <w:pStyle w:val="BodyText"/>
              <w:jc w:val="center"/>
              <w:rPr>
                <w:rFonts w:asciiTheme="minorHAnsi" w:hAnsiTheme="minorHAnsi" w:cstheme="minorHAnsi"/>
              </w:rPr>
            </w:pPr>
            <w:r w:rsidRPr="003A1030">
              <w:rPr>
                <w:rFonts w:asciiTheme="minorHAnsi" w:hAnsiTheme="minorHAnsi" w:cstheme="minorHAnsi"/>
                <w:b/>
              </w:rPr>
              <w:t>Sector maturity</w:t>
            </w:r>
          </w:p>
        </w:tc>
        <w:tc>
          <w:tcPr>
            <w:tcW w:w="2847" w:type="dxa"/>
            <w:shd w:val="clear" w:color="auto" w:fill="D9D9D9" w:themeFill="background1" w:themeFillShade="D9"/>
            <w:tcMar>
              <w:top w:w="15" w:type="dxa"/>
              <w:left w:w="38" w:type="dxa"/>
              <w:bottom w:w="0" w:type="dxa"/>
              <w:right w:w="38" w:type="dxa"/>
            </w:tcMar>
            <w:vAlign w:val="center"/>
            <w:hideMark/>
          </w:tcPr>
          <w:p w14:paraId="139F05DE"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Ease of implementation</w:t>
            </w:r>
          </w:p>
        </w:tc>
        <w:tc>
          <w:tcPr>
            <w:tcW w:w="1122" w:type="dxa"/>
            <w:shd w:val="clear" w:color="auto" w:fill="D9D9D9" w:themeFill="background1" w:themeFillShade="D9"/>
            <w:tcMar>
              <w:top w:w="15" w:type="dxa"/>
              <w:left w:w="38" w:type="dxa"/>
              <w:bottom w:w="0" w:type="dxa"/>
              <w:right w:w="38" w:type="dxa"/>
            </w:tcMar>
            <w:vAlign w:val="center"/>
            <w:hideMark/>
          </w:tcPr>
          <w:p w14:paraId="56B0DC28" w14:textId="47756D75" w:rsidR="00006F0E" w:rsidRPr="003A1030" w:rsidRDefault="00272601" w:rsidP="00006F0E">
            <w:pPr>
              <w:pStyle w:val="BodyText"/>
              <w:rPr>
                <w:rFonts w:asciiTheme="minorHAnsi" w:hAnsiTheme="minorHAnsi" w:cstheme="minorHAnsi"/>
              </w:rPr>
            </w:pPr>
            <w:r w:rsidRPr="003A1030">
              <w:rPr>
                <w:rFonts w:asciiTheme="minorHAnsi" w:hAnsiTheme="minorHAnsi" w:cstheme="minorHAnsi"/>
                <w:b/>
              </w:rPr>
              <w:t>T</w:t>
            </w:r>
            <w:r w:rsidR="009A38D3" w:rsidRPr="003A1030">
              <w:rPr>
                <w:rFonts w:asciiTheme="minorHAnsi" w:hAnsiTheme="minorHAnsi" w:cstheme="minorHAnsi"/>
                <w:b/>
              </w:rPr>
              <w:t xml:space="preserve">ranche </w:t>
            </w:r>
            <w:r w:rsidR="00006F0E" w:rsidRPr="003A1030">
              <w:rPr>
                <w:rFonts w:asciiTheme="minorHAnsi" w:hAnsiTheme="minorHAnsi" w:cstheme="minorHAnsi"/>
                <w:b/>
              </w:rPr>
              <w:t>/ Timing</w:t>
            </w:r>
          </w:p>
        </w:tc>
      </w:tr>
      <w:tr w:rsidR="003D2941" w:rsidRPr="00006F0E" w14:paraId="2533B5F7" w14:textId="77777777" w:rsidTr="00424474">
        <w:trPr>
          <w:trHeight w:val="535"/>
        </w:trPr>
        <w:tc>
          <w:tcPr>
            <w:tcW w:w="1679" w:type="dxa"/>
            <w:shd w:val="clear" w:color="auto" w:fill="D9D9D9" w:themeFill="background1" w:themeFillShade="D9"/>
            <w:tcMar>
              <w:top w:w="15" w:type="dxa"/>
              <w:left w:w="38" w:type="dxa"/>
              <w:bottom w:w="0" w:type="dxa"/>
              <w:right w:w="38" w:type="dxa"/>
            </w:tcMar>
            <w:vAlign w:val="center"/>
            <w:hideMark/>
          </w:tcPr>
          <w:p w14:paraId="03DC273B"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Retail and wholesale trade buildings</w:t>
            </w:r>
          </w:p>
        </w:tc>
        <w:tc>
          <w:tcPr>
            <w:tcW w:w="1221" w:type="dxa"/>
            <w:shd w:val="clear" w:color="auto" w:fill="auto"/>
            <w:tcMar>
              <w:top w:w="15" w:type="dxa"/>
              <w:left w:w="38" w:type="dxa"/>
              <w:bottom w:w="0" w:type="dxa"/>
              <w:right w:w="38" w:type="dxa"/>
            </w:tcMar>
            <w:vAlign w:val="center"/>
            <w:hideMark/>
          </w:tcPr>
          <w:p w14:paraId="2FD9BCBB"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Shopping Centre</w:t>
            </w:r>
          </w:p>
        </w:tc>
        <w:tc>
          <w:tcPr>
            <w:tcW w:w="1195" w:type="dxa"/>
            <w:shd w:val="clear" w:color="auto" w:fill="auto"/>
            <w:tcMar>
              <w:top w:w="15" w:type="dxa"/>
              <w:left w:w="38" w:type="dxa"/>
              <w:bottom w:w="0" w:type="dxa"/>
              <w:right w:w="38" w:type="dxa"/>
            </w:tcMar>
            <w:vAlign w:val="center"/>
            <w:hideMark/>
          </w:tcPr>
          <w:p w14:paraId="4F2A118C"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Westfields, Stockland</w:t>
            </w:r>
          </w:p>
        </w:tc>
        <w:tc>
          <w:tcPr>
            <w:tcW w:w="1140" w:type="dxa"/>
            <w:shd w:val="clear" w:color="auto" w:fill="auto"/>
            <w:tcMar>
              <w:top w:w="15" w:type="dxa"/>
              <w:left w:w="38" w:type="dxa"/>
              <w:bottom w:w="0" w:type="dxa"/>
              <w:right w:w="38" w:type="dxa"/>
            </w:tcMar>
            <w:vAlign w:val="center"/>
            <w:hideMark/>
          </w:tcPr>
          <w:p w14:paraId="1BF009DE" w14:textId="64DE29CB"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175,504</w:t>
            </w:r>
            <w:r w:rsidR="00DB651A">
              <w:rPr>
                <w:rFonts w:asciiTheme="minorHAnsi" w:hAnsiTheme="minorHAnsi" w:cstheme="minorHAnsi"/>
              </w:rPr>
              <w:t xml:space="preserve"> across shopping centres, supermarkets and other </w:t>
            </w:r>
          </w:p>
        </w:tc>
        <w:tc>
          <w:tcPr>
            <w:tcW w:w="1418" w:type="dxa"/>
            <w:shd w:val="clear" w:color="auto" w:fill="auto"/>
            <w:tcMar>
              <w:top w:w="15" w:type="dxa"/>
              <w:left w:w="38" w:type="dxa"/>
              <w:bottom w:w="0" w:type="dxa"/>
              <w:right w:w="38" w:type="dxa"/>
            </w:tcMar>
            <w:vAlign w:val="center"/>
            <w:hideMark/>
          </w:tcPr>
          <w:p w14:paraId="62B7539A"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High</w:t>
            </w:r>
          </w:p>
          <w:p w14:paraId="2E0F1F80"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Elec – 310</w:t>
            </w:r>
          </w:p>
          <w:p w14:paraId="15384233"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Gas – 10</w:t>
            </w:r>
          </w:p>
        </w:tc>
        <w:tc>
          <w:tcPr>
            <w:tcW w:w="1842" w:type="dxa"/>
            <w:shd w:val="clear" w:color="auto" w:fill="auto"/>
            <w:tcMar>
              <w:top w:w="15" w:type="dxa"/>
              <w:left w:w="38" w:type="dxa"/>
              <w:bottom w:w="0" w:type="dxa"/>
              <w:right w:w="38" w:type="dxa"/>
            </w:tcMar>
            <w:vAlign w:val="center"/>
            <w:hideMark/>
          </w:tcPr>
          <w:p w14:paraId="2A506A0F"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Disclosure</w:t>
            </w:r>
            <w:r w:rsidRPr="00E63900">
              <w:rPr>
                <w:rFonts w:asciiTheme="minorHAnsi" w:hAnsiTheme="minorHAnsi" w:cstheme="minorHAnsi"/>
              </w:rPr>
              <w:t xml:space="preserve"> - Impact attractiveness of leases for tenants</w:t>
            </w:r>
          </w:p>
        </w:tc>
        <w:tc>
          <w:tcPr>
            <w:tcW w:w="993" w:type="dxa"/>
            <w:shd w:val="clear" w:color="auto" w:fill="auto"/>
            <w:tcMar>
              <w:top w:w="15" w:type="dxa"/>
              <w:left w:w="38" w:type="dxa"/>
              <w:bottom w:w="0" w:type="dxa"/>
              <w:right w:w="38" w:type="dxa"/>
            </w:tcMar>
            <w:vAlign w:val="center"/>
            <w:hideMark/>
          </w:tcPr>
          <w:p w14:paraId="6A017885"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High</w:t>
            </w:r>
          </w:p>
        </w:tc>
        <w:tc>
          <w:tcPr>
            <w:tcW w:w="2847" w:type="dxa"/>
            <w:shd w:val="clear" w:color="auto" w:fill="auto"/>
            <w:tcMar>
              <w:top w:w="15" w:type="dxa"/>
              <w:left w:w="38" w:type="dxa"/>
              <w:bottom w:w="0" w:type="dxa"/>
              <w:right w:w="38" w:type="dxa"/>
            </w:tcMar>
            <w:vAlign w:val="center"/>
            <w:hideMark/>
          </w:tcPr>
          <w:p w14:paraId="55797390"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Large energy consumer, with fewer participants. Ability to influence attractiveness to tenants, existing NABERS tool and distinct boundary.</w:t>
            </w:r>
          </w:p>
        </w:tc>
        <w:tc>
          <w:tcPr>
            <w:tcW w:w="1122" w:type="dxa"/>
            <w:shd w:val="clear" w:color="auto" w:fill="B5CFFF" w:themeFill="text2" w:themeFillTint="33"/>
            <w:tcMar>
              <w:top w:w="15" w:type="dxa"/>
              <w:left w:w="38" w:type="dxa"/>
              <w:bottom w:w="0" w:type="dxa"/>
              <w:right w:w="38" w:type="dxa"/>
            </w:tcMar>
            <w:vAlign w:val="center"/>
            <w:hideMark/>
          </w:tcPr>
          <w:p w14:paraId="2F532EB6" w14:textId="6AC48E91" w:rsidR="00006F0E" w:rsidRPr="00786E57" w:rsidRDefault="00272601" w:rsidP="002C2BE9">
            <w:pPr>
              <w:pStyle w:val="BodyText"/>
              <w:jc w:val="center"/>
              <w:rPr>
                <w:rFonts w:asciiTheme="minorHAnsi" w:hAnsiTheme="minorHAnsi" w:cstheme="minorHAnsi"/>
              </w:rPr>
            </w:pPr>
            <w:r w:rsidRPr="00786E57">
              <w:rPr>
                <w:rFonts w:asciiTheme="minorHAnsi" w:hAnsiTheme="minorHAnsi" w:cstheme="minorHAnsi"/>
                <w:b/>
              </w:rPr>
              <w:t xml:space="preserve">First </w:t>
            </w:r>
            <w:r w:rsidR="00006F0E" w:rsidRPr="00786E57">
              <w:rPr>
                <w:rFonts w:asciiTheme="minorHAnsi" w:hAnsiTheme="minorHAnsi" w:cstheme="minorHAnsi"/>
                <w:b/>
              </w:rPr>
              <w:t>/ scaled approach</w:t>
            </w:r>
          </w:p>
        </w:tc>
      </w:tr>
      <w:tr w:rsidR="003D2941" w:rsidRPr="00006F0E" w14:paraId="2370FD13" w14:textId="77777777" w:rsidTr="00424474">
        <w:trPr>
          <w:trHeight w:val="648"/>
        </w:trPr>
        <w:tc>
          <w:tcPr>
            <w:tcW w:w="1679" w:type="dxa"/>
            <w:shd w:val="clear" w:color="auto" w:fill="D9D9D9" w:themeFill="background1" w:themeFillShade="D9"/>
            <w:vAlign w:val="center"/>
            <w:hideMark/>
          </w:tcPr>
          <w:p w14:paraId="4BD880E6" w14:textId="632687B4" w:rsidR="00006F0E" w:rsidRPr="003A1030" w:rsidRDefault="00824BBF" w:rsidP="00006F0E">
            <w:pPr>
              <w:pStyle w:val="BodyText"/>
              <w:rPr>
                <w:rFonts w:asciiTheme="minorHAnsi" w:hAnsiTheme="minorHAnsi" w:cstheme="minorHAnsi"/>
              </w:rPr>
            </w:pPr>
            <w:r w:rsidRPr="003A1030">
              <w:rPr>
                <w:rFonts w:asciiTheme="minorHAnsi" w:hAnsiTheme="minorHAnsi" w:cstheme="minorHAnsi"/>
                <w:b/>
              </w:rPr>
              <w:t>Retail and wholesale trade buildings</w:t>
            </w:r>
          </w:p>
        </w:tc>
        <w:tc>
          <w:tcPr>
            <w:tcW w:w="1221" w:type="dxa"/>
            <w:shd w:val="clear" w:color="auto" w:fill="auto"/>
            <w:tcMar>
              <w:top w:w="15" w:type="dxa"/>
              <w:left w:w="38" w:type="dxa"/>
              <w:bottom w:w="0" w:type="dxa"/>
              <w:right w:w="38" w:type="dxa"/>
            </w:tcMar>
            <w:vAlign w:val="center"/>
            <w:hideMark/>
          </w:tcPr>
          <w:p w14:paraId="4BD5CBEC"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Supermarket</w:t>
            </w:r>
          </w:p>
        </w:tc>
        <w:tc>
          <w:tcPr>
            <w:tcW w:w="1195" w:type="dxa"/>
            <w:shd w:val="clear" w:color="auto" w:fill="auto"/>
            <w:tcMar>
              <w:top w:w="15" w:type="dxa"/>
              <w:left w:w="38" w:type="dxa"/>
              <w:bottom w:w="0" w:type="dxa"/>
              <w:right w:w="38" w:type="dxa"/>
            </w:tcMar>
            <w:vAlign w:val="center"/>
            <w:hideMark/>
          </w:tcPr>
          <w:p w14:paraId="63FD0ACD"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Stand-alone Coles, Woolworths, Aldi supermarket</w:t>
            </w:r>
          </w:p>
        </w:tc>
        <w:tc>
          <w:tcPr>
            <w:tcW w:w="1140" w:type="dxa"/>
            <w:shd w:val="clear" w:color="auto" w:fill="auto"/>
            <w:vAlign w:val="center"/>
            <w:hideMark/>
          </w:tcPr>
          <w:p w14:paraId="7D945427" w14:textId="0C60E4D5" w:rsidR="00006F0E" w:rsidRPr="00E63900" w:rsidRDefault="00824BBF" w:rsidP="002C2BE9">
            <w:pPr>
              <w:pStyle w:val="BodyText"/>
              <w:jc w:val="center"/>
              <w:rPr>
                <w:rFonts w:asciiTheme="minorHAnsi" w:hAnsiTheme="minorHAnsi" w:cstheme="minorHAnsi"/>
              </w:rPr>
            </w:pPr>
            <w:r w:rsidRPr="00E63900">
              <w:rPr>
                <w:rFonts w:asciiTheme="minorHAnsi" w:hAnsiTheme="minorHAnsi" w:cstheme="minorHAnsi"/>
              </w:rPr>
              <w:t>175,504</w:t>
            </w:r>
            <w:r>
              <w:rPr>
                <w:rFonts w:asciiTheme="minorHAnsi" w:hAnsiTheme="minorHAnsi" w:cstheme="minorHAnsi"/>
              </w:rPr>
              <w:t xml:space="preserve"> across shopping centres, supermarkets and other</w:t>
            </w:r>
          </w:p>
        </w:tc>
        <w:tc>
          <w:tcPr>
            <w:tcW w:w="1418" w:type="dxa"/>
            <w:shd w:val="clear" w:color="auto" w:fill="auto"/>
            <w:vAlign w:val="center"/>
            <w:hideMark/>
          </w:tcPr>
          <w:p w14:paraId="6E17089F" w14:textId="77777777" w:rsidR="00824BBF" w:rsidRPr="00E63900" w:rsidRDefault="00824BBF" w:rsidP="00824BBF">
            <w:pPr>
              <w:pStyle w:val="BodyText"/>
              <w:jc w:val="center"/>
              <w:rPr>
                <w:rFonts w:asciiTheme="minorHAnsi" w:hAnsiTheme="minorHAnsi" w:cstheme="minorHAnsi"/>
              </w:rPr>
            </w:pPr>
            <w:r w:rsidRPr="00E63900">
              <w:rPr>
                <w:rFonts w:asciiTheme="minorHAnsi" w:hAnsiTheme="minorHAnsi" w:cstheme="minorHAnsi"/>
                <w:b/>
              </w:rPr>
              <w:t>High</w:t>
            </w:r>
          </w:p>
          <w:p w14:paraId="04B2AF4E" w14:textId="77777777" w:rsidR="00824BBF" w:rsidRPr="00E63900" w:rsidRDefault="00824BBF" w:rsidP="00824BBF">
            <w:pPr>
              <w:pStyle w:val="BodyText"/>
              <w:jc w:val="center"/>
              <w:rPr>
                <w:rFonts w:asciiTheme="minorHAnsi" w:hAnsiTheme="minorHAnsi" w:cstheme="minorHAnsi"/>
              </w:rPr>
            </w:pPr>
            <w:r w:rsidRPr="00E63900">
              <w:rPr>
                <w:rFonts w:asciiTheme="minorHAnsi" w:hAnsiTheme="minorHAnsi" w:cstheme="minorHAnsi"/>
              </w:rPr>
              <w:t>Elec – 310</w:t>
            </w:r>
          </w:p>
          <w:p w14:paraId="3E6D5BC5" w14:textId="55FBFA68" w:rsidR="00006F0E" w:rsidRPr="00E63900" w:rsidRDefault="00824BBF" w:rsidP="002C2BE9">
            <w:pPr>
              <w:pStyle w:val="BodyText"/>
              <w:jc w:val="center"/>
              <w:rPr>
                <w:rFonts w:asciiTheme="minorHAnsi" w:hAnsiTheme="minorHAnsi" w:cstheme="minorHAnsi"/>
              </w:rPr>
            </w:pPr>
            <w:r w:rsidRPr="00E63900">
              <w:rPr>
                <w:rFonts w:asciiTheme="minorHAnsi" w:hAnsiTheme="minorHAnsi" w:cstheme="minorHAnsi"/>
              </w:rPr>
              <w:t>Gas – 10</w:t>
            </w:r>
          </w:p>
        </w:tc>
        <w:tc>
          <w:tcPr>
            <w:tcW w:w="1842" w:type="dxa"/>
            <w:shd w:val="clear" w:color="auto" w:fill="auto"/>
            <w:tcMar>
              <w:top w:w="15" w:type="dxa"/>
              <w:left w:w="38" w:type="dxa"/>
              <w:bottom w:w="0" w:type="dxa"/>
              <w:right w:w="38" w:type="dxa"/>
            </w:tcMar>
            <w:vAlign w:val="center"/>
            <w:hideMark/>
          </w:tcPr>
          <w:p w14:paraId="04667B4C"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 xml:space="preserve">Assessment – </w:t>
            </w:r>
            <w:r w:rsidRPr="00E63900">
              <w:rPr>
                <w:rFonts w:asciiTheme="minorHAnsi" w:hAnsiTheme="minorHAnsi" w:cstheme="minorHAnsi"/>
              </w:rPr>
              <w:t xml:space="preserve">creates opportunities to identify internal cost reductions </w:t>
            </w:r>
          </w:p>
        </w:tc>
        <w:tc>
          <w:tcPr>
            <w:tcW w:w="993" w:type="dxa"/>
            <w:shd w:val="clear" w:color="auto" w:fill="auto"/>
            <w:tcMar>
              <w:top w:w="15" w:type="dxa"/>
              <w:left w:w="38" w:type="dxa"/>
              <w:bottom w:w="0" w:type="dxa"/>
              <w:right w:w="38" w:type="dxa"/>
            </w:tcMar>
            <w:vAlign w:val="center"/>
            <w:hideMark/>
          </w:tcPr>
          <w:p w14:paraId="6A94C735"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High</w:t>
            </w:r>
          </w:p>
        </w:tc>
        <w:tc>
          <w:tcPr>
            <w:tcW w:w="2847" w:type="dxa"/>
            <w:shd w:val="clear" w:color="auto" w:fill="auto"/>
            <w:tcMar>
              <w:top w:w="15" w:type="dxa"/>
              <w:left w:w="38" w:type="dxa"/>
              <w:bottom w:w="0" w:type="dxa"/>
              <w:right w:w="38" w:type="dxa"/>
            </w:tcMar>
            <w:vAlign w:val="center"/>
            <w:hideMark/>
          </w:tcPr>
          <w:p w14:paraId="68AB29B9"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Large energy user, many supermarkets would be covered under shopping centre coverage, most major supermarket chains already have decarb targets.</w:t>
            </w:r>
          </w:p>
        </w:tc>
        <w:tc>
          <w:tcPr>
            <w:tcW w:w="1122" w:type="dxa"/>
            <w:shd w:val="clear" w:color="auto" w:fill="B5CFFF" w:themeFill="text2" w:themeFillTint="33"/>
            <w:tcMar>
              <w:top w:w="15" w:type="dxa"/>
              <w:left w:w="38" w:type="dxa"/>
              <w:bottom w:w="0" w:type="dxa"/>
              <w:right w:w="38" w:type="dxa"/>
            </w:tcMar>
            <w:vAlign w:val="center"/>
            <w:hideMark/>
          </w:tcPr>
          <w:p w14:paraId="096C8683" w14:textId="4926FE7A" w:rsidR="00006F0E" w:rsidRPr="00786E57" w:rsidRDefault="00272601" w:rsidP="002C2BE9">
            <w:pPr>
              <w:pStyle w:val="BodyText"/>
              <w:jc w:val="center"/>
              <w:rPr>
                <w:rFonts w:asciiTheme="minorHAnsi" w:hAnsiTheme="minorHAnsi" w:cstheme="minorHAnsi"/>
              </w:rPr>
            </w:pPr>
            <w:r w:rsidRPr="00786E57">
              <w:rPr>
                <w:rFonts w:asciiTheme="minorHAnsi" w:hAnsiTheme="minorHAnsi" w:cstheme="minorHAnsi"/>
                <w:b/>
              </w:rPr>
              <w:t>First</w:t>
            </w:r>
            <w:r w:rsidR="00006F0E" w:rsidRPr="00786E57">
              <w:rPr>
                <w:rFonts w:asciiTheme="minorHAnsi" w:hAnsiTheme="minorHAnsi" w:cstheme="minorHAnsi"/>
                <w:b/>
              </w:rPr>
              <w:t xml:space="preserve"> / pending release of NABERS tool</w:t>
            </w:r>
          </w:p>
        </w:tc>
      </w:tr>
      <w:tr w:rsidR="003D2941" w:rsidRPr="00006F0E" w14:paraId="75869E12" w14:textId="77777777" w:rsidTr="00424474">
        <w:trPr>
          <w:trHeight w:val="357"/>
        </w:trPr>
        <w:tc>
          <w:tcPr>
            <w:tcW w:w="1679" w:type="dxa"/>
            <w:shd w:val="clear" w:color="auto" w:fill="D9D9D9" w:themeFill="background1" w:themeFillShade="D9"/>
            <w:vAlign w:val="center"/>
            <w:hideMark/>
          </w:tcPr>
          <w:p w14:paraId="40A97F32" w14:textId="5830DFF4" w:rsidR="00006F0E" w:rsidRPr="003A1030" w:rsidRDefault="00824BBF" w:rsidP="00006F0E">
            <w:pPr>
              <w:pStyle w:val="BodyText"/>
              <w:rPr>
                <w:rFonts w:asciiTheme="minorHAnsi" w:hAnsiTheme="minorHAnsi" w:cstheme="minorHAnsi"/>
              </w:rPr>
            </w:pPr>
            <w:r w:rsidRPr="003A1030">
              <w:rPr>
                <w:rFonts w:asciiTheme="minorHAnsi" w:hAnsiTheme="minorHAnsi" w:cstheme="minorHAnsi"/>
                <w:b/>
              </w:rPr>
              <w:t>Retail and wholesale trade buildings</w:t>
            </w:r>
          </w:p>
        </w:tc>
        <w:tc>
          <w:tcPr>
            <w:tcW w:w="1221" w:type="dxa"/>
            <w:shd w:val="clear" w:color="auto" w:fill="auto"/>
            <w:tcMar>
              <w:top w:w="15" w:type="dxa"/>
              <w:left w:w="38" w:type="dxa"/>
              <w:bottom w:w="0" w:type="dxa"/>
              <w:right w:w="38" w:type="dxa"/>
            </w:tcMar>
            <w:vAlign w:val="center"/>
            <w:hideMark/>
          </w:tcPr>
          <w:p w14:paraId="41816AF8"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Other</w:t>
            </w:r>
          </w:p>
        </w:tc>
        <w:tc>
          <w:tcPr>
            <w:tcW w:w="1195" w:type="dxa"/>
            <w:shd w:val="clear" w:color="auto" w:fill="auto"/>
            <w:tcMar>
              <w:top w:w="15" w:type="dxa"/>
              <w:left w:w="38" w:type="dxa"/>
              <w:bottom w:w="0" w:type="dxa"/>
              <w:right w:w="38" w:type="dxa"/>
            </w:tcMar>
            <w:vAlign w:val="center"/>
            <w:hideMark/>
          </w:tcPr>
          <w:p w14:paraId="1CF182B7"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Bunnings, A-mart</w:t>
            </w:r>
          </w:p>
        </w:tc>
        <w:tc>
          <w:tcPr>
            <w:tcW w:w="1140" w:type="dxa"/>
            <w:shd w:val="clear" w:color="auto" w:fill="auto"/>
            <w:vAlign w:val="center"/>
            <w:hideMark/>
          </w:tcPr>
          <w:p w14:paraId="7830590E" w14:textId="7C377506" w:rsidR="00006F0E" w:rsidRPr="00E63900" w:rsidRDefault="00824BBF" w:rsidP="002C2BE9">
            <w:pPr>
              <w:pStyle w:val="BodyText"/>
              <w:jc w:val="center"/>
              <w:rPr>
                <w:rFonts w:asciiTheme="minorHAnsi" w:hAnsiTheme="minorHAnsi" w:cstheme="minorHAnsi"/>
              </w:rPr>
            </w:pPr>
            <w:r w:rsidRPr="00E63900">
              <w:rPr>
                <w:rFonts w:asciiTheme="minorHAnsi" w:hAnsiTheme="minorHAnsi" w:cstheme="minorHAnsi"/>
              </w:rPr>
              <w:t>175,504</w:t>
            </w:r>
            <w:r>
              <w:rPr>
                <w:rFonts w:asciiTheme="minorHAnsi" w:hAnsiTheme="minorHAnsi" w:cstheme="minorHAnsi"/>
              </w:rPr>
              <w:t xml:space="preserve"> across shopping centres, supermarkets and other</w:t>
            </w:r>
          </w:p>
        </w:tc>
        <w:tc>
          <w:tcPr>
            <w:tcW w:w="1418" w:type="dxa"/>
            <w:shd w:val="clear" w:color="auto" w:fill="auto"/>
            <w:vAlign w:val="center"/>
            <w:hideMark/>
          </w:tcPr>
          <w:p w14:paraId="256CBF14" w14:textId="77777777" w:rsidR="00824BBF" w:rsidRPr="00E63900" w:rsidRDefault="00824BBF" w:rsidP="00824BBF">
            <w:pPr>
              <w:pStyle w:val="BodyText"/>
              <w:jc w:val="center"/>
              <w:rPr>
                <w:rFonts w:asciiTheme="minorHAnsi" w:hAnsiTheme="minorHAnsi" w:cstheme="minorHAnsi"/>
              </w:rPr>
            </w:pPr>
            <w:r w:rsidRPr="00E63900">
              <w:rPr>
                <w:rFonts w:asciiTheme="minorHAnsi" w:hAnsiTheme="minorHAnsi" w:cstheme="minorHAnsi"/>
                <w:b/>
              </w:rPr>
              <w:t>High</w:t>
            </w:r>
          </w:p>
          <w:p w14:paraId="57EB29F9" w14:textId="77777777" w:rsidR="00824BBF" w:rsidRPr="00E63900" w:rsidRDefault="00824BBF" w:rsidP="00824BBF">
            <w:pPr>
              <w:pStyle w:val="BodyText"/>
              <w:jc w:val="center"/>
              <w:rPr>
                <w:rFonts w:asciiTheme="minorHAnsi" w:hAnsiTheme="minorHAnsi" w:cstheme="minorHAnsi"/>
              </w:rPr>
            </w:pPr>
            <w:r w:rsidRPr="00E63900">
              <w:rPr>
                <w:rFonts w:asciiTheme="minorHAnsi" w:hAnsiTheme="minorHAnsi" w:cstheme="minorHAnsi"/>
              </w:rPr>
              <w:t>Elec – 310</w:t>
            </w:r>
          </w:p>
          <w:p w14:paraId="71D55F3A" w14:textId="73B608C6" w:rsidR="00006F0E" w:rsidRPr="00E63900" w:rsidRDefault="00824BBF" w:rsidP="002C2BE9">
            <w:pPr>
              <w:pStyle w:val="BodyText"/>
              <w:jc w:val="center"/>
              <w:rPr>
                <w:rFonts w:asciiTheme="minorHAnsi" w:hAnsiTheme="minorHAnsi" w:cstheme="minorHAnsi"/>
              </w:rPr>
            </w:pPr>
            <w:r w:rsidRPr="00E63900">
              <w:rPr>
                <w:rFonts w:asciiTheme="minorHAnsi" w:hAnsiTheme="minorHAnsi" w:cstheme="minorHAnsi"/>
              </w:rPr>
              <w:t>Gas – 10</w:t>
            </w:r>
          </w:p>
        </w:tc>
        <w:tc>
          <w:tcPr>
            <w:tcW w:w="1842" w:type="dxa"/>
            <w:shd w:val="clear" w:color="auto" w:fill="auto"/>
            <w:tcMar>
              <w:top w:w="15" w:type="dxa"/>
              <w:left w:w="38" w:type="dxa"/>
              <w:bottom w:w="0" w:type="dxa"/>
              <w:right w:w="38" w:type="dxa"/>
            </w:tcMar>
            <w:vAlign w:val="center"/>
            <w:hideMark/>
          </w:tcPr>
          <w:p w14:paraId="21B318B4"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hideMark/>
          </w:tcPr>
          <w:p w14:paraId="6EC762C4"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hideMark/>
          </w:tcPr>
          <w:p w14:paraId="7224EDF0"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 xml:space="preserve">Simple nature could result in </w:t>
            </w:r>
            <w:proofErr w:type="gramStart"/>
            <w:r w:rsidRPr="00E63900">
              <w:rPr>
                <w:rFonts w:asciiTheme="minorHAnsi" w:hAnsiTheme="minorHAnsi" w:cstheme="minorHAnsi"/>
              </w:rPr>
              <w:t>low cost</w:t>
            </w:r>
            <w:proofErr w:type="gramEnd"/>
            <w:r w:rsidRPr="00E63900">
              <w:rPr>
                <w:rFonts w:asciiTheme="minorHAnsi" w:hAnsiTheme="minorHAnsi" w:cstheme="minorHAnsi"/>
              </w:rPr>
              <w:t xml:space="preserve"> improvements, many covered by supermarkets.</w:t>
            </w:r>
          </w:p>
        </w:tc>
        <w:tc>
          <w:tcPr>
            <w:tcW w:w="1122" w:type="dxa"/>
            <w:shd w:val="clear" w:color="auto" w:fill="B5CFFF" w:themeFill="text2" w:themeFillTint="33"/>
            <w:tcMar>
              <w:top w:w="15" w:type="dxa"/>
              <w:left w:w="38" w:type="dxa"/>
              <w:bottom w:w="0" w:type="dxa"/>
              <w:right w:w="38" w:type="dxa"/>
            </w:tcMar>
            <w:vAlign w:val="center"/>
            <w:hideMark/>
          </w:tcPr>
          <w:p w14:paraId="0DC91065" w14:textId="33054B61" w:rsidR="00006F0E" w:rsidRPr="00786E57" w:rsidRDefault="00272601" w:rsidP="002C2BE9">
            <w:pPr>
              <w:pStyle w:val="BodyText"/>
              <w:jc w:val="center"/>
              <w:rPr>
                <w:rFonts w:asciiTheme="minorHAnsi" w:hAnsiTheme="minorHAnsi" w:cstheme="minorHAnsi"/>
              </w:rPr>
            </w:pPr>
            <w:r w:rsidRPr="00786E57">
              <w:rPr>
                <w:rFonts w:asciiTheme="minorHAnsi" w:hAnsiTheme="minorHAnsi" w:cstheme="minorHAnsi"/>
                <w:b/>
              </w:rPr>
              <w:t xml:space="preserve">First </w:t>
            </w:r>
            <w:r w:rsidR="00006F0E" w:rsidRPr="00786E57">
              <w:rPr>
                <w:rFonts w:asciiTheme="minorHAnsi" w:hAnsiTheme="minorHAnsi" w:cstheme="minorHAnsi"/>
                <w:b/>
              </w:rPr>
              <w:t>/ pending release of NABERS tool</w:t>
            </w:r>
          </w:p>
        </w:tc>
      </w:tr>
      <w:tr w:rsidR="003D2941" w:rsidRPr="00006F0E" w14:paraId="7E0EB593" w14:textId="77777777" w:rsidTr="00424474">
        <w:trPr>
          <w:trHeight w:val="490"/>
        </w:trPr>
        <w:tc>
          <w:tcPr>
            <w:tcW w:w="1679" w:type="dxa"/>
            <w:shd w:val="clear" w:color="auto" w:fill="D9D9D9" w:themeFill="background1" w:themeFillShade="D9"/>
            <w:tcMar>
              <w:top w:w="15" w:type="dxa"/>
              <w:left w:w="38" w:type="dxa"/>
              <w:bottom w:w="0" w:type="dxa"/>
              <w:right w:w="38" w:type="dxa"/>
            </w:tcMar>
            <w:vAlign w:val="center"/>
            <w:hideMark/>
          </w:tcPr>
          <w:p w14:paraId="486B1F43"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Offices</w:t>
            </w:r>
          </w:p>
        </w:tc>
        <w:tc>
          <w:tcPr>
            <w:tcW w:w="1221" w:type="dxa"/>
            <w:shd w:val="clear" w:color="auto" w:fill="auto"/>
            <w:tcMar>
              <w:top w:w="15" w:type="dxa"/>
              <w:left w:w="38" w:type="dxa"/>
              <w:bottom w:w="0" w:type="dxa"/>
              <w:right w:w="38" w:type="dxa"/>
            </w:tcMar>
            <w:vAlign w:val="center"/>
            <w:hideMark/>
          </w:tcPr>
          <w:p w14:paraId="509B1798"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Office</w:t>
            </w:r>
          </w:p>
        </w:tc>
        <w:tc>
          <w:tcPr>
            <w:tcW w:w="1195" w:type="dxa"/>
            <w:shd w:val="clear" w:color="auto" w:fill="auto"/>
            <w:tcMar>
              <w:top w:w="15" w:type="dxa"/>
              <w:left w:w="38" w:type="dxa"/>
              <w:bottom w:w="0" w:type="dxa"/>
              <w:right w:w="38" w:type="dxa"/>
            </w:tcMar>
            <w:vAlign w:val="center"/>
            <w:hideMark/>
          </w:tcPr>
          <w:p w14:paraId="68E4FC48"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Office block</w:t>
            </w:r>
          </w:p>
        </w:tc>
        <w:tc>
          <w:tcPr>
            <w:tcW w:w="1140" w:type="dxa"/>
            <w:shd w:val="clear" w:color="auto" w:fill="auto"/>
            <w:tcMar>
              <w:top w:w="15" w:type="dxa"/>
              <w:left w:w="38" w:type="dxa"/>
              <w:bottom w:w="0" w:type="dxa"/>
              <w:right w:w="38" w:type="dxa"/>
            </w:tcMar>
            <w:vAlign w:val="center"/>
            <w:hideMark/>
          </w:tcPr>
          <w:p w14:paraId="33AF3CBC"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127,297</w:t>
            </w:r>
          </w:p>
        </w:tc>
        <w:tc>
          <w:tcPr>
            <w:tcW w:w="1418" w:type="dxa"/>
            <w:shd w:val="clear" w:color="auto" w:fill="auto"/>
            <w:tcMar>
              <w:top w:w="15" w:type="dxa"/>
              <w:left w:w="38" w:type="dxa"/>
              <w:bottom w:w="0" w:type="dxa"/>
              <w:right w:w="38" w:type="dxa"/>
            </w:tcMar>
            <w:vAlign w:val="center"/>
            <w:hideMark/>
          </w:tcPr>
          <w:p w14:paraId="64B9C552"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High</w:t>
            </w:r>
          </w:p>
          <w:p w14:paraId="45D3D080"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Elec – 314</w:t>
            </w:r>
          </w:p>
          <w:p w14:paraId="69F2A60C"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Gas – 11</w:t>
            </w:r>
          </w:p>
        </w:tc>
        <w:tc>
          <w:tcPr>
            <w:tcW w:w="1842" w:type="dxa"/>
            <w:shd w:val="clear" w:color="auto" w:fill="auto"/>
            <w:tcMar>
              <w:top w:w="15" w:type="dxa"/>
              <w:left w:w="38" w:type="dxa"/>
              <w:bottom w:w="0" w:type="dxa"/>
              <w:right w:w="38" w:type="dxa"/>
            </w:tcMar>
            <w:vAlign w:val="center"/>
            <w:hideMark/>
          </w:tcPr>
          <w:p w14:paraId="1CD91B9D"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Disclosure</w:t>
            </w:r>
            <w:r w:rsidRPr="00E63900">
              <w:rPr>
                <w:rFonts w:asciiTheme="minorHAnsi" w:hAnsiTheme="minorHAnsi" w:cstheme="minorHAnsi"/>
              </w:rPr>
              <w:t xml:space="preserve"> - Impact attractiveness of leases for tenant                    </w:t>
            </w:r>
            <w:r w:rsidRPr="00E63900">
              <w:rPr>
                <w:rFonts w:asciiTheme="minorHAnsi" w:hAnsiTheme="minorHAnsi" w:cstheme="minorHAnsi"/>
                <w:b/>
              </w:rPr>
              <w:t>Assessment</w:t>
            </w:r>
            <w:r w:rsidRPr="00E63900">
              <w:rPr>
                <w:rFonts w:asciiTheme="minorHAnsi" w:hAnsiTheme="minorHAnsi" w:cstheme="minorHAnsi"/>
              </w:rPr>
              <w:t xml:space="preserve"> – creates opportunities to </w:t>
            </w:r>
            <w:r w:rsidRPr="00E63900">
              <w:rPr>
                <w:rFonts w:asciiTheme="minorHAnsi" w:hAnsiTheme="minorHAnsi" w:cstheme="minorHAnsi"/>
              </w:rPr>
              <w:lastRenderedPageBreak/>
              <w:t xml:space="preserve">identify internal cost reductions </w:t>
            </w:r>
          </w:p>
        </w:tc>
        <w:tc>
          <w:tcPr>
            <w:tcW w:w="993" w:type="dxa"/>
            <w:shd w:val="clear" w:color="auto" w:fill="auto"/>
            <w:tcMar>
              <w:top w:w="15" w:type="dxa"/>
              <w:left w:w="38" w:type="dxa"/>
              <w:bottom w:w="0" w:type="dxa"/>
              <w:right w:w="38" w:type="dxa"/>
            </w:tcMar>
            <w:vAlign w:val="center"/>
            <w:hideMark/>
          </w:tcPr>
          <w:p w14:paraId="5005162C"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lastRenderedPageBreak/>
              <w:t>High</w:t>
            </w:r>
          </w:p>
        </w:tc>
        <w:tc>
          <w:tcPr>
            <w:tcW w:w="2847" w:type="dxa"/>
            <w:shd w:val="clear" w:color="auto" w:fill="auto"/>
            <w:tcMar>
              <w:top w:w="15" w:type="dxa"/>
              <w:left w:w="38" w:type="dxa"/>
              <w:bottom w:w="0" w:type="dxa"/>
              <w:right w:w="38" w:type="dxa"/>
            </w:tcMar>
            <w:vAlign w:val="center"/>
            <w:hideMark/>
          </w:tcPr>
          <w:p w14:paraId="6E308267"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Offices currently covered under the CBD program</w:t>
            </w:r>
          </w:p>
        </w:tc>
        <w:tc>
          <w:tcPr>
            <w:tcW w:w="1122" w:type="dxa"/>
            <w:shd w:val="clear" w:color="auto" w:fill="B5CFFF" w:themeFill="text2" w:themeFillTint="33"/>
            <w:tcMar>
              <w:top w:w="15" w:type="dxa"/>
              <w:left w:w="38" w:type="dxa"/>
              <w:bottom w:w="0" w:type="dxa"/>
              <w:right w:w="38" w:type="dxa"/>
            </w:tcMar>
            <w:vAlign w:val="center"/>
            <w:hideMark/>
          </w:tcPr>
          <w:p w14:paraId="5607A340" w14:textId="51FAEF56" w:rsidR="00006F0E" w:rsidRPr="00786E57" w:rsidRDefault="00272601" w:rsidP="002C2BE9">
            <w:pPr>
              <w:pStyle w:val="BodyText"/>
              <w:jc w:val="center"/>
              <w:rPr>
                <w:rFonts w:asciiTheme="minorHAnsi" w:hAnsiTheme="minorHAnsi" w:cstheme="minorHAnsi"/>
              </w:rPr>
            </w:pPr>
            <w:r w:rsidRPr="00786E57">
              <w:rPr>
                <w:rFonts w:asciiTheme="minorHAnsi" w:hAnsiTheme="minorHAnsi" w:cstheme="minorHAnsi"/>
                <w:b/>
              </w:rPr>
              <w:t>First</w:t>
            </w:r>
            <w:r w:rsidR="00006F0E" w:rsidRPr="00786E57">
              <w:rPr>
                <w:rFonts w:asciiTheme="minorHAnsi" w:hAnsiTheme="minorHAnsi" w:cstheme="minorHAnsi"/>
                <w:b/>
              </w:rPr>
              <w:t xml:space="preserve"> / priority</w:t>
            </w:r>
          </w:p>
        </w:tc>
      </w:tr>
      <w:tr w:rsidR="003D2941" w:rsidRPr="00006F0E" w14:paraId="0A7AE7D8" w14:textId="77777777" w:rsidTr="00424474">
        <w:trPr>
          <w:trHeight w:val="758"/>
        </w:trPr>
        <w:tc>
          <w:tcPr>
            <w:tcW w:w="1679" w:type="dxa"/>
            <w:shd w:val="clear" w:color="auto" w:fill="D9D9D9" w:themeFill="background1" w:themeFillShade="D9"/>
            <w:tcMar>
              <w:top w:w="15" w:type="dxa"/>
              <w:left w:w="38" w:type="dxa"/>
              <w:bottom w:w="0" w:type="dxa"/>
              <w:right w:w="38" w:type="dxa"/>
            </w:tcMar>
            <w:vAlign w:val="center"/>
            <w:hideMark/>
          </w:tcPr>
          <w:p w14:paraId="1558B4C0"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Warehouses</w:t>
            </w:r>
          </w:p>
        </w:tc>
        <w:tc>
          <w:tcPr>
            <w:tcW w:w="1221" w:type="dxa"/>
            <w:shd w:val="clear" w:color="auto" w:fill="auto"/>
            <w:tcMar>
              <w:top w:w="15" w:type="dxa"/>
              <w:left w:w="38" w:type="dxa"/>
              <w:bottom w:w="0" w:type="dxa"/>
              <w:right w:w="38" w:type="dxa"/>
            </w:tcMar>
            <w:vAlign w:val="center"/>
            <w:hideMark/>
          </w:tcPr>
          <w:p w14:paraId="071AF668"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Warehouse</w:t>
            </w:r>
          </w:p>
        </w:tc>
        <w:tc>
          <w:tcPr>
            <w:tcW w:w="1195" w:type="dxa"/>
            <w:shd w:val="clear" w:color="auto" w:fill="auto"/>
            <w:tcMar>
              <w:top w:w="15" w:type="dxa"/>
              <w:left w:w="38" w:type="dxa"/>
              <w:bottom w:w="0" w:type="dxa"/>
              <w:right w:w="38" w:type="dxa"/>
            </w:tcMar>
            <w:vAlign w:val="center"/>
            <w:hideMark/>
          </w:tcPr>
          <w:p w14:paraId="306BA04A"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Bulk storage depots</w:t>
            </w:r>
          </w:p>
        </w:tc>
        <w:tc>
          <w:tcPr>
            <w:tcW w:w="1140" w:type="dxa"/>
            <w:shd w:val="clear" w:color="auto" w:fill="auto"/>
            <w:tcMar>
              <w:top w:w="15" w:type="dxa"/>
              <w:left w:w="38" w:type="dxa"/>
              <w:bottom w:w="0" w:type="dxa"/>
              <w:right w:w="38" w:type="dxa"/>
            </w:tcMar>
            <w:vAlign w:val="center"/>
            <w:hideMark/>
          </w:tcPr>
          <w:p w14:paraId="2BF10CAD"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103,665</w:t>
            </w:r>
          </w:p>
        </w:tc>
        <w:tc>
          <w:tcPr>
            <w:tcW w:w="1418" w:type="dxa"/>
            <w:shd w:val="clear" w:color="auto" w:fill="auto"/>
            <w:tcMar>
              <w:top w:w="15" w:type="dxa"/>
              <w:left w:w="38" w:type="dxa"/>
              <w:bottom w:w="0" w:type="dxa"/>
              <w:right w:w="38" w:type="dxa"/>
            </w:tcMar>
            <w:vAlign w:val="center"/>
            <w:hideMark/>
          </w:tcPr>
          <w:p w14:paraId="598021DC"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Low</w:t>
            </w:r>
          </w:p>
          <w:p w14:paraId="239FED09"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Elec – 63</w:t>
            </w:r>
          </w:p>
          <w:p w14:paraId="49552C44"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Gas – 2</w:t>
            </w:r>
          </w:p>
        </w:tc>
        <w:tc>
          <w:tcPr>
            <w:tcW w:w="1842" w:type="dxa"/>
            <w:shd w:val="clear" w:color="auto" w:fill="auto"/>
            <w:tcMar>
              <w:top w:w="15" w:type="dxa"/>
              <w:left w:w="38" w:type="dxa"/>
              <w:bottom w:w="0" w:type="dxa"/>
              <w:right w:w="38" w:type="dxa"/>
            </w:tcMar>
            <w:vAlign w:val="center"/>
            <w:hideMark/>
          </w:tcPr>
          <w:p w14:paraId="638FF6CE"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hideMark/>
          </w:tcPr>
          <w:p w14:paraId="24FC2F54"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hideMark/>
          </w:tcPr>
          <w:p w14:paraId="79B071F8"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Relatively simple nature of warehouses means energy efficiency improvements could result in low-cost opportunities. Tool for deliver warehouse NABERS developed.</w:t>
            </w:r>
          </w:p>
        </w:tc>
        <w:tc>
          <w:tcPr>
            <w:tcW w:w="1122" w:type="dxa"/>
            <w:shd w:val="clear" w:color="auto" w:fill="B5CFFF" w:themeFill="text2" w:themeFillTint="33"/>
            <w:tcMar>
              <w:top w:w="15" w:type="dxa"/>
              <w:left w:w="38" w:type="dxa"/>
              <w:bottom w:w="0" w:type="dxa"/>
              <w:right w:w="38" w:type="dxa"/>
            </w:tcMar>
            <w:vAlign w:val="center"/>
            <w:hideMark/>
          </w:tcPr>
          <w:p w14:paraId="011129BD" w14:textId="29D66AB5" w:rsidR="00006F0E" w:rsidRPr="00786E57" w:rsidRDefault="00272601" w:rsidP="002C2BE9">
            <w:pPr>
              <w:pStyle w:val="BodyText"/>
              <w:jc w:val="center"/>
              <w:rPr>
                <w:rFonts w:asciiTheme="minorHAnsi" w:hAnsiTheme="minorHAnsi" w:cstheme="minorHAnsi"/>
              </w:rPr>
            </w:pPr>
            <w:r w:rsidRPr="00786E57">
              <w:rPr>
                <w:rFonts w:asciiTheme="minorHAnsi" w:hAnsiTheme="minorHAnsi" w:cstheme="minorHAnsi"/>
                <w:b/>
              </w:rPr>
              <w:t>First</w:t>
            </w:r>
            <w:r w:rsidR="00006F0E" w:rsidRPr="00786E57">
              <w:rPr>
                <w:rFonts w:asciiTheme="minorHAnsi" w:hAnsiTheme="minorHAnsi" w:cstheme="minorHAnsi"/>
                <w:b/>
              </w:rPr>
              <w:t xml:space="preserve"> / priority</w:t>
            </w:r>
          </w:p>
        </w:tc>
      </w:tr>
      <w:tr w:rsidR="003D2941" w:rsidRPr="00006F0E" w14:paraId="0F28F00B" w14:textId="77777777" w:rsidTr="00424474">
        <w:trPr>
          <w:trHeight w:val="646"/>
        </w:trPr>
        <w:tc>
          <w:tcPr>
            <w:tcW w:w="1679" w:type="dxa"/>
            <w:shd w:val="clear" w:color="auto" w:fill="D9D9D9" w:themeFill="background1" w:themeFillShade="D9"/>
            <w:tcMar>
              <w:top w:w="15" w:type="dxa"/>
              <w:left w:w="108" w:type="dxa"/>
              <w:bottom w:w="0" w:type="dxa"/>
              <w:right w:w="108" w:type="dxa"/>
            </w:tcMar>
            <w:vAlign w:val="center"/>
            <w:hideMark/>
          </w:tcPr>
          <w:p w14:paraId="281CF514"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 xml:space="preserve">Aged care facilities </w:t>
            </w:r>
          </w:p>
        </w:tc>
        <w:tc>
          <w:tcPr>
            <w:tcW w:w="1221" w:type="dxa"/>
            <w:shd w:val="clear" w:color="auto" w:fill="auto"/>
            <w:tcMar>
              <w:top w:w="15" w:type="dxa"/>
              <w:left w:w="108" w:type="dxa"/>
              <w:bottom w:w="0" w:type="dxa"/>
              <w:right w:w="108" w:type="dxa"/>
            </w:tcMar>
            <w:vAlign w:val="center"/>
            <w:hideMark/>
          </w:tcPr>
          <w:p w14:paraId="79F2DAAA"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Aged care facilities</w:t>
            </w:r>
          </w:p>
        </w:tc>
        <w:tc>
          <w:tcPr>
            <w:tcW w:w="1195" w:type="dxa"/>
            <w:shd w:val="clear" w:color="auto" w:fill="auto"/>
            <w:tcMar>
              <w:top w:w="15" w:type="dxa"/>
              <w:left w:w="108" w:type="dxa"/>
              <w:bottom w:w="0" w:type="dxa"/>
              <w:right w:w="108" w:type="dxa"/>
            </w:tcMar>
            <w:vAlign w:val="center"/>
            <w:hideMark/>
          </w:tcPr>
          <w:p w14:paraId="74BB9E82"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Retirement village, nursing home</w:t>
            </w:r>
          </w:p>
        </w:tc>
        <w:tc>
          <w:tcPr>
            <w:tcW w:w="1140" w:type="dxa"/>
            <w:shd w:val="clear" w:color="auto" w:fill="auto"/>
            <w:tcMar>
              <w:top w:w="15" w:type="dxa"/>
              <w:left w:w="108" w:type="dxa"/>
              <w:bottom w:w="0" w:type="dxa"/>
              <w:right w:w="108" w:type="dxa"/>
            </w:tcMar>
            <w:vAlign w:val="center"/>
            <w:hideMark/>
          </w:tcPr>
          <w:p w14:paraId="5CBCD54A"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30,671</w:t>
            </w:r>
          </w:p>
        </w:tc>
        <w:tc>
          <w:tcPr>
            <w:tcW w:w="1418" w:type="dxa"/>
            <w:shd w:val="clear" w:color="auto" w:fill="auto"/>
            <w:tcMar>
              <w:top w:w="15" w:type="dxa"/>
              <w:left w:w="108" w:type="dxa"/>
              <w:bottom w:w="0" w:type="dxa"/>
              <w:right w:w="108" w:type="dxa"/>
            </w:tcMar>
            <w:vAlign w:val="center"/>
            <w:hideMark/>
          </w:tcPr>
          <w:p w14:paraId="534F5FA8"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Very High</w:t>
            </w:r>
          </w:p>
          <w:p w14:paraId="27159FD3"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Elec – 537</w:t>
            </w:r>
            <w:r w:rsidRPr="00E63900">
              <w:rPr>
                <w:rFonts w:asciiTheme="minorHAnsi" w:hAnsiTheme="minorHAnsi" w:cstheme="minorHAnsi"/>
              </w:rPr>
              <w:br/>
              <w:t>Gas – 19</w:t>
            </w:r>
          </w:p>
        </w:tc>
        <w:tc>
          <w:tcPr>
            <w:tcW w:w="1842" w:type="dxa"/>
            <w:shd w:val="clear" w:color="auto" w:fill="auto"/>
            <w:tcMar>
              <w:top w:w="15" w:type="dxa"/>
              <w:left w:w="108" w:type="dxa"/>
              <w:bottom w:w="0" w:type="dxa"/>
              <w:right w:w="108" w:type="dxa"/>
            </w:tcMar>
            <w:vAlign w:val="center"/>
            <w:hideMark/>
          </w:tcPr>
          <w:p w14:paraId="03A13BCC"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108" w:type="dxa"/>
              <w:bottom w:w="0" w:type="dxa"/>
              <w:right w:w="108" w:type="dxa"/>
            </w:tcMar>
            <w:vAlign w:val="center"/>
            <w:hideMark/>
          </w:tcPr>
          <w:p w14:paraId="5B7FA1ED"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Low</w:t>
            </w:r>
          </w:p>
        </w:tc>
        <w:tc>
          <w:tcPr>
            <w:tcW w:w="2847" w:type="dxa"/>
            <w:shd w:val="clear" w:color="auto" w:fill="auto"/>
            <w:tcMar>
              <w:top w:w="15" w:type="dxa"/>
              <w:left w:w="108" w:type="dxa"/>
              <w:bottom w:w="0" w:type="dxa"/>
              <w:right w:w="108" w:type="dxa"/>
            </w:tcMar>
            <w:vAlign w:val="center"/>
            <w:hideMark/>
          </w:tcPr>
          <w:p w14:paraId="4A73F05E"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High energy intensity of buildings suggests the greater scale of opportunities if included.</w:t>
            </w:r>
          </w:p>
        </w:tc>
        <w:tc>
          <w:tcPr>
            <w:tcW w:w="1122" w:type="dxa"/>
            <w:shd w:val="clear" w:color="auto" w:fill="B5CFFF" w:themeFill="text2" w:themeFillTint="33"/>
            <w:tcMar>
              <w:top w:w="15" w:type="dxa"/>
              <w:left w:w="108" w:type="dxa"/>
              <w:bottom w:w="0" w:type="dxa"/>
              <w:right w:w="108" w:type="dxa"/>
            </w:tcMar>
            <w:vAlign w:val="center"/>
            <w:hideMark/>
          </w:tcPr>
          <w:p w14:paraId="5CD915DF" w14:textId="1B48B0D2" w:rsidR="00006F0E" w:rsidRPr="00786E57" w:rsidRDefault="00272601" w:rsidP="002C2BE9">
            <w:pPr>
              <w:pStyle w:val="BodyText"/>
              <w:jc w:val="center"/>
              <w:rPr>
                <w:rFonts w:asciiTheme="minorHAnsi" w:hAnsiTheme="minorHAnsi" w:cstheme="minorHAnsi"/>
              </w:rPr>
            </w:pPr>
            <w:r w:rsidRPr="00786E57">
              <w:rPr>
                <w:rFonts w:asciiTheme="minorHAnsi" w:hAnsiTheme="minorHAnsi" w:cstheme="minorHAnsi"/>
                <w:b/>
              </w:rPr>
              <w:t>First</w:t>
            </w:r>
            <w:r w:rsidR="00006F0E" w:rsidRPr="00786E57">
              <w:rPr>
                <w:rFonts w:asciiTheme="minorHAnsi" w:hAnsiTheme="minorHAnsi" w:cstheme="minorHAnsi"/>
                <w:b/>
              </w:rPr>
              <w:t xml:space="preserve"> </w:t>
            </w:r>
            <w:r w:rsidR="006865AB" w:rsidRPr="00786E57">
              <w:rPr>
                <w:rFonts w:asciiTheme="minorHAnsi" w:hAnsiTheme="minorHAnsi" w:cstheme="minorHAnsi"/>
                <w:b/>
              </w:rPr>
              <w:t>/ scaled</w:t>
            </w:r>
            <w:r w:rsidR="00006F0E" w:rsidRPr="00786E57">
              <w:rPr>
                <w:rFonts w:asciiTheme="minorHAnsi" w:hAnsiTheme="minorHAnsi" w:cstheme="minorHAnsi"/>
                <w:b/>
              </w:rPr>
              <w:t xml:space="preserve"> approach</w:t>
            </w:r>
          </w:p>
        </w:tc>
      </w:tr>
      <w:tr w:rsidR="004C6BC7" w:rsidRPr="00006F0E" w14:paraId="1597A7DB" w14:textId="77777777" w:rsidTr="00424474">
        <w:trPr>
          <w:trHeight w:val="535"/>
        </w:trPr>
        <w:tc>
          <w:tcPr>
            <w:tcW w:w="1679" w:type="dxa"/>
            <w:shd w:val="clear" w:color="auto" w:fill="D9D9D9" w:themeFill="background1" w:themeFillShade="D9"/>
            <w:tcMar>
              <w:top w:w="15" w:type="dxa"/>
              <w:left w:w="38" w:type="dxa"/>
              <w:bottom w:w="0" w:type="dxa"/>
              <w:right w:w="38" w:type="dxa"/>
            </w:tcMar>
            <w:vAlign w:val="center"/>
          </w:tcPr>
          <w:p w14:paraId="69F994D9" w14:textId="4F7169A2" w:rsidR="004C6BC7" w:rsidRPr="003A1030" w:rsidRDefault="004C6BC7" w:rsidP="004C6BC7">
            <w:pPr>
              <w:pStyle w:val="BodyText"/>
              <w:rPr>
                <w:rFonts w:asciiTheme="minorHAnsi" w:hAnsiTheme="minorHAnsi" w:cstheme="minorHAnsi"/>
                <w:b/>
              </w:rPr>
            </w:pPr>
            <w:r w:rsidRPr="003A1030">
              <w:rPr>
                <w:rFonts w:asciiTheme="minorHAnsi" w:hAnsiTheme="minorHAnsi" w:cstheme="minorHAnsi"/>
                <w:b/>
              </w:rPr>
              <w:t>Education buildings</w:t>
            </w:r>
          </w:p>
        </w:tc>
        <w:tc>
          <w:tcPr>
            <w:tcW w:w="1221" w:type="dxa"/>
            <w:shd w:val="clear" w:color="auto" w:fill="auto"/>
            <w:tcMar>
              <w:top w:w="15" w:type="dxa"/>
              <w:left w:w="38" w:type="dxa"/>
              <w:bottom w:w="0" w:type="dxa"/>
              <w:right w:w="38" w:type="dxa"/>
            </w:tcMar>
            <w:vAlign w:val="center"/>
          </w:tcPr>
          <w:p w14:paraId="26D04A3C" w14:textId="4CEE5E91" w:rsidR="004C6BC7" w:rsidRPr="00E63900" w:rsidRDefault="004C6BC7" w:rsidP="004C6BC7">
            <w:pPr>
              <w:pStyle w:val="BodyText"/>
              <w:rPr>
                <w:rFonts w:asciiTheme="minorHAnsi" w:hAnsiTheme="minorHAnsi" w:cstheme="minorHAnsi"/>
              </w:rPr>
            </w:pPr>
            <w:r w:rsidRPr="00E63900">
              <w:rPr>
                <w:rFonts w:asciiTheme="minorHAnsi" w:hAnsiTheme="minorHAnsi" w:cstheme="minorHAnsi"/>
              </w:rPr>
              <w:t>Education buildings</w:t>
            </w:r>
          </w:p>
        </w:tc>
        <w:tc>
          <w:tcPr>
            <w:tcW w:w="1195" w:type="dxa"/>
            <w:shd w:val="clear" w:color="auto" w:fill="auto"/>
            <w:tcMar>
              <w:top w:w="15" w:type="dxa"/>
              <w:left w:w="38" w:type="dxa"/>
              <w:bottom w:w="0" w:type="dxa"/>
              <w:right w:w="38" w:type="dxa"/>
            </w:tcMar>
            <w:vAlign w:val="center"/>
          </w:tcPr>
          <w:p w14:paraId="1FBCADE0" w14:textId="6FAEBE09" w:rsidR="004C6BC7" w:rsidRPr="00E63900" w:rsidRDefault="004C6BC7" w:rsidP="004C6BC7">
            <w:pPr>
              <w:pStyle w:val="BodyText"/>
              <w:rPr>
                <w:rFonts w:asciiTheme="minorHAnsi" w:hAnsiTheme="minorHAnsi" w:cstheme="minorHAnsi"/>
              </w:rPr>
            </w:pPr>
            <w:r w:rsidRPr="00E63900">
              <w:rPr>
                <w:rFonts w:asciiTheme="minorHAnsi" w:hAnsiTheme="minorHAnsi" w:cstheme="minorHAnsi"/>
              </w:rPr>
              <w:t>Schools, TAFEs, University campus</w:t>
            </w:r>
          </w:p>
        </w:tc>
        <w:tc>
          <w:tcPr>
            <w:tcW w:w="1140" w:type="dxa"/>
            <w:shd w:val="clear" w:color="auto" w:fill="auto"/>
            <w:tcMar>
              <w:top w:w="15" w:type="dxa"/>
              <w:left w:w="38" w:type="dxa"/>
              <w:bottom w:w="0" w:type="dxa"/>
              <w:right w:w="38" w:type="dxa"/>
            </w:tcMar>
            <w:vAlign w:val="center"/>
          </w:tcPr>
          <w:p w14:paraId="24672831" w14:textId="1DBD458D" w:rsidR="004C6BC7" w:rsidRPr="00E63900" w:rsidRDefault="004C6BC7" w:rsidP="002C2BE9">
            <w:pPr>
              <w:pStyle w:val="BodyText"/>
              <w:jc w:val="center"/>
              <w:rPr>
                <w:rFonts w:asciiTheme="minorHAnsi" w:hAnsiTheme="minorHAnsi" w:cstheme="minorHAnsi"/>
              </w:rPr>
            </w:pPr>
            <w:r w:rsidRPr="00E63900">
              <w:rPr>
                <w:rFonts w:asciiTheme="minorHAnsi" w:hAnsiTheme="minorHAnsi" w:cstheme="minorHAnsi"/>
              </w:rPr>
              <w:t>50,252</w:t>
            </w:r>
          </w:p>
        </w:tc>
        <w:tc>
          <w:tcPr>
            <w:tcW w:w="1418" w:type="dxa"/>
            <w:shd w:val="clear" w:color="auto" w:fill="auto"/>
            <w:tcMar>
              <w:top w:w="15" w:type="dxa"/>
              <w:left w:w="38" w:type="dxa"/>
              <w:bottom w:w="0" w:type="dxa"/>
              <w:right w:w="38" w:type="dxa"/>
            </w:tcMar>
            <w:vAlign w:val="center"/>
          </w:tcPr>
          <w:p w14:paraId="0121E374" w14:textId="77777777" w:rsidR="004C6BC7" w:rsidRPr="00E63900" w:rsidRDefault="004C6BC7" w:rsidP="002C2BE9">
            <w:pPr>
              <w:pStyle w:val="BodyText"/>
              <w:jc w:val="center"/>
              <w:rPr>
                <w:rFonts w:asciiTheme="minorHAnsi" w:hAnsiTheme="minorHAnsi" w:cstheme="minorHAnsi"/>
              </w:rPr>
            </w:pPr>
            <w:r w:rsidRPr="00E63900">
              <w:rPr>
                <w:rFonts w:asciiTheme="minorHAnsi" w:hAnsiTheme="minorHAnsi" w:cstheme="minorHAnsi"/>
                <w:b/>
              </w:rPr>
              <w:t>Low</w:t>
            </w:r>
          </w:p>
          <w:p w14:paraId="0C1F9995" w14:textId="77777777" w:rsidR="004C6BC7" w:rsidRPr="00E63900" w:rsidRDefault="004C6BC7" w:rsidP="002C2BE9">
            <w:pPr>
              <w:pStyle w:val="BodyText"/>
              <w:jc w:val="center"/>
              <w:rPr>
                <w:rFonts w:asciiTheme="minorHAnsi" w:hAnsiTheme="minorHAnsi" w:cstheme="minorHAnsi"/>
              </w:rPr>
            </w:pPr>
            <w:r w:rsidRPr="00E63900">
              <w:rPr>
                <w:rFonts w:asciiTheme="minorHAnsi" w:hAnsiTheme="minorHAnsi" w:cstheme="minorHAnsi"/>
              </w:rPr>
              <w:t>Elec – 75</w:t>
            </w:r>
          </w:p>
          <w:p w14:paraId="247DB406" w14:textId="3353A4B3" w:rsidR="004C6BC7" w:rsidRPr="00E63900" w:rsidRDefault="004C6BC7" w:rsidP="002C2BE9">
            <w:pPr>
              <w:pStyle w:val="BodyText"/>
              <w:jc w:val="center"/>
              <w:rPr>
                <w:rFonts w:asciiTheme="minorHAnsi" w:hAnsiTheme="minorHAnsi" w:cstheme="minorHAnsi"/>
                <w:b/>
              </w:rPr>
            </w:pPr>
            <w:r w:rsidRPr="00E63900">
              <w:rPr>
                <w:rFonts w:asciiTheme="minorHAnsi" w:hAnsiTheme="minorHAnsi" w:cstheme="minorHAnsi"/>
              </w:rPr>
              <w:t>Gas – 3</w:t>
            </w:r>
          </w:p>
        </w:tc>
        <w:tc>
          <w:tcPr>
            <w:tcW w:w="1842" w:type="dxa"/>
            <w:shd w:val="clear" w:color="auto" w:fill="auto"/>
            <w:tcMar>
              <w:top w:w="15" w:type="dxa"/>
              <w:left w:w="38" w:type="dxa"/>
              <w:bottom w:w="0" w:type="dxa"/>
              <w:right w:w="38" w:type="dxa"/>
            </w:tcMar>
            <w:vAlign w:val="center"/>
          </w:tcPr>
          <w:p w14:paraId="057003F4" w14:textId="2AE23584" w:rsidR="004C6BC7" w:rsidRPr="00E63900" w:rsidRDefault="004C6BC7" w:rsidP="004C6BC7">
            <w:pPr>
              <w:pStyle w:val="BodyText"/>
              <w:rPr>
                <w:rFonts w:asciiTheme="minorHAnsi" w:hAnsiTheme="minorHAnsi" w:cstheme="minorHAnsi"/>
                <w:b/>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tcPr>
          <w:p w14:paraId="35545CD7" w14:textId="432BD9EA" w:rsidR="004C6BC7" w:rsidRPr="00E63900" w:rsidRDefault="004C6BC7" w:rsidP="002C2BE9">
            <w:pPr>
              <w:pStyle w:val="BodyText"/>
              <w:jc w:val="center"/>
              <w:rPr>
                <w:rFonts w:asciiTheme="minorHAnsi" w:hAnsiTheme="minorHAnsi" w:cstheme="minorHAnsi"/>
                <w:b/>
              </w:rPr>
            </w:pPr>
            <w:r w:rsidRPr="00E63900">
              <w:rPr>
                <w:rFonts w:asciiTheme="minorHAnsi" w:hAnsiTheme="minorHAnsi" w:cstheme="minorHAnsi"/>
                <w:b/>
              </w:rPr>
              <w:t>Medium</w:t>
            </w:r>
          </w:p>
        </w:tc>
        <w:tc>
          <w:tcPr>
            <w:tcW w:w="2847" w:type="dxa"/>
            <w:shd w:val="clear" w:color="auto" w:fill="auto"/>
            <w:tcMar>
              <w:top w:w="15" w:type="dxa"/>
              <w:left w:w="38" w:type="dxa"/>
              <w:bottom w:w="0" w:type="dxa"/>
              <w:right w:w="38" w:type="dxa"/>
            </w:tcMar>
            <w:vAlign w:val="center"/>
          </w:tcPr>
          <w:p w14:paraId="007A7C9A" w14:textId="0453B6BF" w:rsidR="004C6BC7" w:rsidRPr="00E63900" w:rsidRDefault="004C6BC7" w:rsidP="004C6BC7">
            <w:pPr>
              <w:pStyle w:val="BodyText"/>
              <w:rPr>
                <w:rFonts w:asciiTheme="minorHAnsi" w:hAnsiTheme="minorHAnsi" w:cstheme="minorHAnsi"/>
              </w:rPr>
            </w:pPr>
            <w:r w:rsidRPr="00E63900">
              <w:rPr>
                <w:rFonts w:asciiTheme="minorHAnsi" w:hAnsiTheme="minorHAnsi" w:cstheme="minorHAnsi"/>
              </w:rPr>
              <w:t xml:space="preserve">Relatively simple nature of schools means replicable energy efficiency improvements could result in low-cost opportunities. </w:t>
            </w:r>
          </w:p>
        </w:tc>
        <w:tc>
          <w:tcPr>
            <w:tcW w:w="1122" w:type="dxa"/>
            <w:shd w:val="clear" w:color="auto" w:fill="B5CFFF" w:themeFill="text2" w:themeFillTint="33"/>
            <w:tcMar>
              <w:top w:w="15" w:type="dxa"/>
              <w:left w:w="38" w:type="dxa"/>
              <w:bottom w:w="0" w:type="dxa"/>
              <w:right w:w="38" w:type="dxa"/>
            </w:tcMar>
            <w:vAlign w:val="center"/>
          </w:tcPr>
          <w:p w14:paraId="760AC0E9" w14:textId="1A96792F" w:rsidR="004C6BC7" w:rsidRPr="00786E57" w:rsidRDefault="004C6BC7" w:rsidP="002C2BE9">
            <w:pPr>
              <w:pStyle w:val="BodyText"/>
              <w:jc w:val="center"/>
              <w:rPr>
                <w:rFonts w:asciiTheme="minorHAnsi" w:hAnsiTheme="minorHAnsi" w:cstheme="minorHAnsi"/>
                <w:b/>
              </w:rPr>
            </w:pPr>
            <w:r w:rsidRPr="00786E57">
              <w:rPr>
                <w:rFonts w:asciiTheme="minorHAnsi" w:hAnsiTheme="minorHAnsi" w:cstheme="minorHAnsi"/>
                <w:b/>
              </w:rPr>
              <w:t>First / await release of NABERS tool</w:t>
            </w:r>
          </w:p>
        </w:tc>
      </w:tr>
      <w:tr w:rsidR="003D2941" w:rsidRPr="00006F0E" w14:paraId="21A12E34" w14:textId="77777777" w:rsidTr="00424474">
        <w:trPr>
          <w:trHeight w:val="535"/>
        </w:trPr>
        <w:tc>
          <w:tcPr>
            <w:tcW w:w="1679" w:type="dxa"/>
            <w:vMerge w:val="restart"/>
            <w:shd w:val="clear" w:color="auto" w:fill="D9D9D9" w:themeFill="background1" w:themeFillShade="D9"/>
            <w:tcMar>
              <w:top w:w="15" w:type="dxa"/>
              <w:left w:w="38" w:type="dxa"/>
              <w:bottom w:w="0" w:type="dxa"/>
              <w:right w:w="38" w:type="dxa"/>
            </w:tcMar>
            <w:vAlign w:val="center"/>
            <w:hideMark/>
          </w:tcPr>
          <w:p w14:paraId="308D9C48"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t>Short term accommodation buildings</w:t>
            </w:r>
          </w:p>
        </w:tc>
        <w:tc>
          <w:tcPr>
            <w:tcW w:w="1221" w:type="dxa"/>
            <w:shd w:val="clear" w:color="auto" w:fill="auto"/>
            <w:tcMar>
              <w:top w:w="15" w:type="dxa"/>
              <w:left w:w="38" w:type="dxa"/>
              <w:bottom w:w="0" w:type="dxa"/>
              <w:right w:w="38" w:type="dxa"/>
            </w:tcMar>
            <w:vAlign w:val="center"/>
            <w:hideMark/>
          </w:tcPr>
          <w:p w14:paraId="43B1382B"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Hotels</w:t>
            </w:r>
          </w:p>
        </w:tc>
        <w:tc>
          <w:tcPr>
            <w:tcW w:w="1195" w:type="dxa"/>
            <w:shd w:val="clear" w:color="auto" w:fill="auto"/>
            <w:tcMar>
              <w:top w:w="15" w:type="dxa"/>
              <w:left w:w="38" w:type="dxa"/>
              <w:bottom w:w="0" w:type="dxa"/>
              <w:right w:w="38" w:type="dxa"/>
            </w:tcMar>
            <w:vAlign w:val="center"/>
            <w:hideMark/>
          </w:tcPr>
          <w:p w14:paraId="00C4A470"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Hotel, motel, serviced apartment</w:t>
            </w:r>
          </w:p>
        </w:tc>
        <w:tc>
          <w:tcPr>
            <w:tcW w:w="1140" w:type="dxa"/>
            <w:shd w:val="clear" w:color="auto" w:fill="auto"/>
            <w:tcMar>
              <w:top w:w="15" w:type="dxa"/>
              <w:left w:w="38" w:type="dxa"/>
              <w:bottom w:w="0" w:type="dxa"/>
              <w:right w:w="38" w:type="dxa"/>
            </w:tcMar>
            <w:vAlign w:val="center"/>
            <w:hideMark/>
          </w:tcPr>
          <w:p w14:paraId="12E515DC" w14:textId="512BC793"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88,530</w:t>
            </w:r>
            <w:r w:rsidR="00824BBF">
              <w:rPr>
                <w:rFonts w:asciiTheme="minorHAnsi" w:hAnsiTheme="minorHAnsi" w:cstheme="minorHAnsi"/>
              </w:rPr>
              <w:t xml:space="preserve"> (Hotels and other)</w:t>
            </w:r>
          </w:p>
        </w:tc>
        <w:tc>
          <w:tcPr>
            <w:tcW w:w="1418" w:type="dxa"/>
            <w:shd w:val="clear" w:color="auto" w:fill="auto"/>
            <w:tcMar>
              <w:top w:w="15" w:type="dxa"/>
              <w:left w:w="38" w:type="dxa"/>
              <w:bottom w:w="0" w:type="dxa"/>
              <w:right w:w="38" w:type="dxa"/>
            </w:tcMar>
            <w:vAlign w:val="center"/>
            <w:hideMark/>
          </w:tcPr>
          <w:p w14:paraId="79846319"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High</w:t>
            </w:r>
          </w:p>
          <w:p w14:paraId="66DABB0A" w14:textId="767E0FEA"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 xml:space="preserve">Elec – 309 </w:t>
            </w:r>
            <w:r w:rsidRPr="00E63900">
              <w:rPr>
                <w:rFonts w:asciiTheme="minorHAnsi" w:hAnsiTheme="minorHAnsi" w:cstheme="minorHAnsi"/>
              </w:rPr>
              <w:br/>
              <w:t>Gas – 11</w:t>
            </w:r>
          </w:p>
        </w:tc>
        <w:tc>
          <w:tcPr>
            <w:tcW w:w="1842" w:type="dxa"/>
            <w:shd w:val="clear" w:color="auto" w:fill="auto"/>
            <w:tcMar>
              <w:top w:w="15" w:type="dxa"/>
              <w:left w:w="38" w:type="dxa"/>
              <w:bottom w:w="0" w:type="dxa"/>
              <w:right w:w="38" w:type="dxa"/>
            </w:tcMar>
            <w:vAlign w:val="center"/>
            <w:hideMark/>
          </w:tcPr>
          <w:p w14:paraId="70466817"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Disclosure</w:t>
            </w:r>
            <w:r w:rsidRPr="00E63900">
              <w:rPr>
                <w:rFonts w:asciiTheme="minorHAnsi" w:hAnsiTheme="minorHAnsi" w:cstheme="minorHAnsi"/>
              </w:rPr>
              <w:t xml:space="preserve"> - Impacts the attractiveness for guests, thereby incentivising investments in improvements</w:t>
            </w:r>
          </w:p>
        </w:tc>
        <w:tc>
          <w:tcPr>
            <w:tcW w:w="993" w:type="dxa"/>
            <w:shd w:val="clear" w:color="auto" w:fill="auto"/>
            <w:tcMar>
              <w:top w:w="15" w:type="dxa"/>
              <w:left w:w="38" w:type="dxa"/>
              <w:bottom w:w="0" w:type="dxa"/>
              <w:right w:w="38" w:type="dxa"/>
            </w:tcMar>
            <w:vAlign w:val="center"/>
            <w:hideMark/>
          </w:tcPr>
          <w:p w14:paraId="5814250D"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High</w:t>
            </w:r>
          </w:p>
        </w:tc>
        <w:tc>
          <w:tcPr>
            <w:tcW w:w="2847" w:type="dxa"/>
            <w:shd w:val="clear" w:color="auto" w:fill="auto"/>
            <w:tcMar>
              <w:top w:w="15" w:type="dxa"/>
              <w:left w:w="38" w:type="dxa"/>
              <w:bottom w:w="0" w:type="dxa"/>
              <w:right w:w="38" w:type="dxa"/>
            </w:tcMar>
            <w:vAlign w:val="center"/>
            <w:hideMark/>
          </w:tcPr>
          <w:p w14:paraId="17DE56BE"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Reasonably high energy usage, with opportunities significant opportunities for reductions and a motivated customer base</w:t>
            </w:r>
          </w:p>
        </w:tc>
        <w:tc>
          <w:tcPr>
            <w:tcW w:w="1122" w:type="dxa"/>
            <w:shd w:val="clear" w:color="auto" w:fill="B5CFFF" w:themeFill="text2" w:themeFillTint="33"/>
            <w:tcMar>
              <w:top w:w="15" w:type="dxa"/>
              <w:left w:w="38" w:type="dxa"/>
              <w:bottom w:w="0" w:type="dxa"/>
              <w:right w:w="38" w:type="dxa"/>
            </w:tcMar>
            <w:vAlign w:val="center"/>
            <w:hideMark/>
          </w:tcPr>
          <w:p w14:paraId="47B26388" w14:textId="22CA65F1" w:rsidR="00006F0E" w:rsidRPr="00786E57" w:rsidRDefault="00272601" w:rsidP="002C2BE9">
            <w:pPr>
              <w:pStyle w:val="BodyText"/>
              <w:jc w:val="center"/>
              <w:rPr>
                <w:rFonts w:asciiTheme="minorHAnsi" w:hAnsiTheme="minorHAnsi" w:cstheme="minorHAnsi"/>
              </w:rPr>
            </w:pPr>
            <w:r w:rsidRPr="00786E57">
              <w:rPr>
                <w:rFonts w:asciiTheme="minorHAnsi" w:hAnsiTheme="minorHAnsi" w:cstheme="minorHAnsi"/>
                <w:b/>
              </w:rPr>
              <w:t>First</w:t>
            </w:r>
            <w:r w:rsidR="00006F0E" w:rsidRPr="00786E57">
              <w:rPr>
                <w:rFonts w:asciiTheme="minorHAnsi" w:hAnsiTheme="minorHAnsi" w:cstheme="minorHAnsi"/>
                <w:b/>
              </w:rPr>
              <w:t xml:space="preserve"> / priority / scaled approach</w:t>
            </w:r>
          </w:p>
        </w:tc>
      </w:tr>
      <w:tr w:rsidR="003D2941" w:rsidRPr="00006F0E" w14:paraId="4405ED58" w14:textId="77777777" w:rsidTr="00773387">
        <w:trPr>
          <w:trHeight w:val="503"/>
        </w:trPr>
        <w:tc>
          <w:tcPr>
            <w:tcW w:w="1679" w:type="dxa"/>
            <w:vMerge/>
            <w:shd w:val="clear" w:color="auto" w:fill="D9D9D9" w:themeFill="background1" w:themeFillShade="D9"/>
            <w:vAlign w:val="center"/>
            <w:hideMark/>
          </w:tcPr>
          <w:p w14:paraId="3F76338B" w14:textId="77777777" w:rsidR="00006F0E" w:rsidRPr="003A1030" w:rsidRDefault="00006F0E" w:rsidP="00006F0E">
            <w:pPr>
              <w:pStyle w:val="BodyText"/>
              <w:rPr>
                <w:rFonts w:asciiTheme="minorHAnsi" w:hAnsiTheme="minorHAnsi" w:cstheme="minorHAnsi"/>
              </w:rPr>
            </w:pPr>
          </w:p>
        </w:tc>
        <w:tc>
          <w:tcPr>
            <w:tcW w:w="1221" w:type="dxa"/>
            <w:shd w:val="clear" w:color="auto" w:fill="auto"/>
            <w:tcMar>
              <w:top w:w="15" w:type="dxa"/>
              <w:left w:w="38" w:type="dxa"/>
              <w:bottom w:w="0" w:type="dxa"/>
              <w:right w:w="38" w:type="dxa"/>
            </w:tcMar>
            <w:vAlign w:val="center"/>
            <w:hideMark/>
          </w:tcPr>
          <w:p w14:paraId="34A42D3E"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Other</w:t>
            </w:r>
          </w:p>
        </w:tc>
        <w:tc>
          <w:tcPr>
            <w:tcW w:w="1195" w:type="dxa"/>
            <w:shd w:val="clear" w:color="auto" w:fill="auto"/>
            <w:tcMar>
              <w:top w:w="15" w:type="dxa"/>
              <w:left w:w="38" w:type="dxa"/>
              <w:bottom w:w="0" w:type="dxa"/>
              <w:right w:w="38" w:type="dxa"/>
            </w:tcMar>
            <w:vAlign w:val="center"/>
            <w:hideMark/>
          </w:tcPr>
          <w:p w14:paraId="196883E2"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Campsites</w:t>
            </w:r>
          </w:p>
        </w:tc>
        <w:tc>
          <w:tcPr>
            <w:tcW w:w="1140" w:type="dxa"/>
            <w:shd w:val="clear" w:color="auto" w:fill="auto"/>
            <w:vAlign w:val="center"/>
            <w:hideMark/>
          </w:tcPr>
          <w:p w14:paraId="59983F34" w14:textId="01FCDC5E" w:rsidR="00006F0E" w:rsidRPr="00E63900" w:rsidRDefault="00824BBF" w:rsidP="002C2BE9">
            <w:pPr>
              <w:pStyle w:val="BodyText"/>
              <w:jc w:val="center"/>
              <w:rPr>
                <w:rFonts w:asciiTheme="minorHAnsi" w:hAnsiTheme="minorHAnsi" w:cstheme="minorHAnsi"/>
              </w:rPr>
            </w:pPr>
            <w:r w:rsidRPr="00E63900">
              <w:rPr>
                <w:rFonts w:asciiTheme="minorHAnsi" w:hAnsiTheme="minorHAnsi" w:cstheme="minorHAnsi"/>
              </w:rPr>
              <w:t>88,530</w:t>
            </w:r>
            <w:r>
              <w:rPr>
                <w:rFonts w:asciiTheme="minorHAnsi" w:hAnsiTheme="minorHAnsi" w:cstheme="minorHAnsi"/>
              </w:rPr>
              <w:t xml:space="preserve"> (Hotels and other)</w:t>
            </w:r>
          </w:p>
        </w:tc>
        <w:tc>
          <w:tcPr>
            <w:tcW w:w="1418" w:type="dxa"/>
            <w:shd w:val="clear" w:color="auto" w:fill="auto"/>
            <w:vAlign w:val="center"/>
            <w:hideMark/>
          </w:tcPr>
          <w:p w14:paraId="47F7F618" w14:textId="77777777" w:rsidR="00824BBF" w:rsidRPr="00E63900" w:rsidRDefault="00824BBF" w:rsidP="00824BBF">
            <w:pPr>
              <w:pStyle w:val="BodyText"/>
              <w:jc w:val="center"/>
              <w:rPr>
                <w:rFonts w:asciiTheme="minorHAnsi" w:hAnsiTheme="minorHAnsi" w:cstheme="minorHAnsi"/>
              </w:rPr>
            </w:pPr>
            <w:r w:rsidRPr="00E63900">
              <w:rPr>
                <w:rFonts w:asciiTheme="minorHAnsi" w:hAnsiTheme="minorHAnsi" w:cstheme="minorHAnsi"/>
                <w:b/>
              </w:rPr>
              <w:t>High</w:t>
            </w:r>
          </w:p>
          <w:p w14:paraId="40BDA062" w14:textId="0EA8C373" w:rsidR="00006F0E" w:rsidRPr="00E63900" w:rsidRDefault="00824BBF" w:rsidP="002C2BE9">
            <w:pPr>
              <w:pStyle w:val="BodyText"/>
              <w:jc w:val="center"/>
              <w:rPr>
                <w:rFonts w:asciiTheme="minorHAnsi" w:hAnsiTheme="minorHAnsi" w:cstheme="minorHAnsi"/>
              </w:rPr>
            </w:pPr>
            <w:r w:rsidRPr="00E63900">
              <w:rPr>
                <w:rFonts w:asciiTheme="minorHAnsi" w:hAnsiTheme="minorHAnsi" w:cstheme="minorHAnsi"/>
              </w:rPr>
              <w:t xml:space="preserve">Elec – 309 </w:t>
            </w:r>
            <w:r w:rsidRPr="00E63900">
              <w:rPr>
                <w:rFonts w:asciiTheme="minorHAnsi" w:hAnsiTheme="minorHAnsi" w:cstheme="minorHAnsi"/>
              </w:rPr>
              <w:br/>
              <w:t>Gas – 11</w:t>
            </w:r>
          </w:p>
        </w:tc>
        <w:tc>
          <w:tcPr>
            <w:tcW w:w="1842" w:type="dxa"/>
            <w:shd w:val="clear" w:color="auto" w:fill="auto"/>
            <w:vAlign w:val="center"/>
            <w:hideMark/>
          </w:tcPr>
          <w:p w14:paraId="45BE980F" w14:textId="5B073A59" w:rsidR="00006F0E" w:rsidRPr="00E63900" w:rsidRDefault="00824BBF" w:rsidP="00824BBF">
            <w:pPr>
              <w:pStyle w:val="BodyText"/>
              <w:ind w:left="39"/>
              <w:rPr>
                <w:rFonts w:asciiTheme="minorHAnsi" w:hAnsiTheme="minorHAnsi" w:cstheme="minorHAnsi"/>
              </w:rPr>
            </w:pPr>
            <w:r>
              <w:rPr>
                <w:rFonts w:asciiTheme="minorHAnsi" w:hAnsiTheme="minorHAnsi" w:cstheme="minorHAnsi"/>
              </w:rPr>
              <w:t>As above</w:t>
            </w:r>
          </w:p>
        </w:tc>
        <w:tc>
          <w:tcPr>
            <w:tcW w:w="993" w:type="dxa"/>
            <w:shd w:val="clear" w:color="auto" w:fill="auto"/>
            <w:tcMar>
              <w:top w:w="15" w:type="dxa"/>
              <w:left w:w="38" w:type="dxa"/>
              <w:bottom w:w="0" w:type="dxa"/>
              <w:right w:w="38" w:type="dxa"/>
            </w:tcMar>
            <w:vAlign w:val="center"/>
            <w:hideMark/>
          </w:tcPr>
          <w:p w14:paraId="3BDC43BA"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Low</w:t>
            </w:r>
          </w:p>
        </w:tc>
        <w:tc>
          <w:tcPr>
            <w:tcW w:w="2847" w:type="dxa"/>
            <w:shd w:val="clear" w:color="auto" w:fill="auto"/>
            <w:tcMar>
              <w:top w:w="72" w:type="dxa"/>
              <w:left w:w="144" w:type="dxa"/>
              <w:bottom w:w="72" w:type="dxa"/>
              <w:right w:w="144" w:type="dxa"/>
            </w:tcMar>
            <w:hideMark/>
          </w:tcPr>
          <w:p w14:paraId="0C1F0CF7"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Immature and unsophisticated market with significant variation amongst sites may limit the effectiveness</w:t>
            </w:r>
          </w:p>
        </w:tc>
        <w:tc>
          <w:tcPr>
            <w:tcW w:w="1122" w:type="dxa"/>
            <w:shd w:val="clear" w:color="auto" w:fill="FD349C" w:themeFill="accent5"/>
            <w:tcMar>
              <w:top w:w="15" w:type="dxa"/>
              <w:left w:w="38" w:type="dxa"/>
              <w:bottom w:w="0" w:type="dxa"/>
              <w:right w:w="38" w:type="dxa"/>
            </w:tcMar>
            <w:vAlign w:val="center"/>
            <w:hideMark/>
          </w:tcPr>
          <w:p w14:paraId="1E4123C5" w14:textId="27A0ACDC" w:rsidR="00006F0E" w:rsidRPr="00442543" w:rsidRDefault="00272601" w:rsidP="002C2BE9">
            <w:pPr>
              <w:pStyle w:val="BodyText"/>
              <w:jc w:val="center"/>
              <w:rPr>
                <w:rFonts w:asciiTheme="minorHAnsi" w:hAnsiTheme="minorHAnsi" w:cstheme="minorHAnsi"/>
                <w:color w:val="auto"/>
              </w:rPr>
            </w:pPr>
            <w:r w:rsidRPr="00442543">
              <w:rPr>
                <w:rFonts w:asciiTheme="minorHAnsi" w:hAnsiTheme="minorHAnsi" w:cstheme="minorHAnsi"/>
                <w:b/>
                <w:color w:val="auto"/>
              </w:rPr>
              <w:t>Third</w:t>
            </w:r>
          </w:p>
        </w:tc>
      </w:tr>
      <w:tr w:rsidR="001626A3" w:rsidRPr="00006F0E" w14:paraId="5739857D" w14:textId="77777777" w:rsidTr="00424474">
        <w:trPr>
          <w:trHeight w:val="439"/>
        </w:trPr>
        <w:tc>
          <w:tcPr>
            <w:tcW w:w="1679" w:type="dxa"/>
            <w:vMerge w:val="restart"/>
            <w:shd w:val="clear" w:color="auto" w:fill="D9D9D9" w:themeFill="background1" w:themeFillShade="D9"/>
            <w:tcMar>
              <w:top w:w="15" w:type="dxa"/>
              <w:left w:w="38" w:type="dxa"/>
              <w:bottom w:w="0" w:type="dxa"/>
              <w:right w:w="38" w:type="dxa"/>
            </w:tcMar>
            <w:vAlign w:val="center"/>
            <w:hideMark/>
          </w:tcPr>
          <w:p w14:paraId="1F7BFB7F" w14:textId="77777777" w:rsidR="00006F0E" w:rsidRPr="003A1030" w:rsidRDefault="00006F0E" w:rsidP="00006F0E">
            <w:pPr>
              <w:pStyle w:val="BodyText"/>
              <w:rPr>
                <w:rFonts w:asciiTheme="minorHAnsi" w:hAnsiTheme="minorHAnsi" w:cstheme="minorHAnsi"/>
              </w:rPr>
            </w:pPr>
            <w:r w:rsidRPr="003A1030">
              <w:rPr>
                <w:rFonts w:asciiTheme="minorHAnsi" w:hAnsiTheme="minorHAnsi" w:cstheme="minorHAnsi"/>
                <w:b/>
              </w:rPr>
              <w:lastRenderedPageBreak/>
              <w:t>Health facilities</w:t>
            </w:r>
          </w:p>
        </w:tc>
        <w:tc>
          <w:tcPr>
            <w:tcW w:w="1221" w:type="dxa"/>
            <w:shd w:val="clear" w:color="auto" w:fill="auto"/>
            <w:tcMar>
              <w:top w:w="15" w:type="dxa"/>
              <w:left w:w="38" w:type="dxa"/>
              <w:bottom w:w="0" w:type="dxa"/>
              <w:right w:w="38" w:type="dxa"/>
            </w:tcMar>
            <w:vAlign w:val="center"/>
            <w:hideMark/>
          </w:tcPr>
          <w:p w14:paraId="726BF03B"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Hospitals</w:t>
            </w:r>
          </w:p>
        </w:tc>
        <w:tc>
          <w:tcPr>
            <w:tcW w:w="1195" w:type="dxa"/>
            <w:shd w:val="clear" w:color="auto" w:fill="auto"/>
            <w:tcMar>
              <w:top w:w="15" w:type="dxa"/>
              <w:left w:w="38" w:type="dxa"/>
              <w:bottom w:w="0" w:type="dxa"/>
              <w:right w:w="38" w:type="dxa"/>
            </w:tcMar>
            <w:vAlign w:val="center"/>
            <w:hideMark/>
          </w:tcPr>
          <w:p w14:paraId="31EBF102"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Public and private hospitals</w:t>
            </w:r>
          </w:p>
        </w:tc>
        <w:tc>
          <w:tcPr>
            <w:tcW w:w="1140" w:type="dxa"/>
            <w:shd w:val="clear" w:color="auto" w:fill="auto"/>
            <w:tcMar>
              <w:top w:w="15" w:type="dxa"/>
              <w:left w:w="38" w:type="dxa"/>
              <w:bottom w:w="0" w:type="dxa"/>
              <w:right w:w="38" w:type="dxa"/>
            </w:tcMar>
            <w:vAlign w:val="center"/>
            <w:hideMark/>
          </w:tcPr>
          <w:p w14:paraId="4389B105" w14:textId="294280CB"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22,753</w:t>
            </w:r>
            <w:r w:rsidR="00424474">
              <w:rPr>
                <w:rFonts w:asciiTheme="minorHAnsi" w:hAnsiTheme="minorHAnsi" w:cstheme="minorHAnsi"/>
              </w:rPr>
              <w:t xml:space="preserve"> (Hospitals and Healthcare)</w:t>
            </w:r>
          </w:p>
        </w:tc>
        <w:tc>
          <w:tcPr>
            <w:tcW w:w="1418" w:type="dxa"/>
            <w:shd w:val="clear" w:color="auto" w:fill="auto"/>
            <w:tcMar>
              <w:top w:w="15" w:type="dxa"/>
              <w:left w:w="38" w:type="dxa"/>
              <w:bottom w:w="0" w:type="dxa"/>
              <w:right w:w="38" w:type="dxa"/>
            </w:tcMar>
            <w:vAlign w:val="center"/>
            <w:hideMark/>
          </w:tcPr>
          <w:p w14:paraId="1458D7BF"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Very High</w:t>
            </w:r>
          </w:p>
          <w:p w14:paraId="2F598671"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Elec – 427</w:t>
            </w:r>
          </w:p>
          <w:p w14:paraId="18875E8A"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rPr>
              <w:t>Gas – 15</w:t>
            </w:r>
          </w:p>
        </w:tc>
        <w:tc>
          <w:tcPr>
            <w:tcW w:w="1842" w:type="dxa"/>
            <w:shd w:val="clear" w:color="auto" w:fill="auto"/>
            <w:tcMar>
              <w:top w:w="15" w:type="dxa"/>
              <w:left w:w="38" w:type="dxa"/>
              <w:bottom w:w="0" w:type="dxa"/>
              <w:right w:w="38" w:type="dxa"/>
            </w:tcMar>
            <w:vAlign w:val="center"/>
            <w:hideMark/>
          </w:tcPr>
          <w:p w14:paraId="1C42A489"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hideMark/>
          </w:tcPr>
          <w:p w14:paraId="43AECB6D"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High</w:t>
            </w:r>
          </w:p>
        </w:tc>
        <w:tc>
          <w:tcPr>
            <w:tcW w:w="2847" w:type="dxa"/>
            <w:shd w:val="clear" w:color="auto" w:fill="auto"/>
            <w:tcMar>
              <w:top w:w="15" w:type="dxa"/>
              <w:left w:w="38" w:type="dxa"/>
              <w:bottom w:w="0" w:type="dxa"/>
              <w:right w:w="38" w:type="dxa"/>
            </w:tcMar>
            <w:vAlign w:val="center"/>
            <w:hideMark/>
          </w:tcPr>
          <w:p w14:paraId="23BEDC28"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High energy uses, NABERs tool under development, significant scope for operational improvements</w:t>
            </w:r>
          </w:p>
        </w:tc>
        <w:tc>
          <w:tcPr>
            <w:tcW w:w="1122" w:type="dxa"/>
            <w:shd w:val="clear" w:color="auto" w:fill="B5CFFF" w:themeFill="text2" w:themeFillTint="33"/>
            <w:tcMar>
              <w:top w:w="15" w:type="dxa"/>
              <w:left w:w="38" w:type="dxa"/>
              <w:bottom w:w="0" w:type="dxa"/>
              <w:right w:w="38" w:type="dxa"/>
            </w:tcMar>
            <w:vAlign w:val="center"/>
            <w:hideMark/>
          </w:tcPr>
          <w:p w14:paraId="6C10AFEA" w14:textId="5A128DCD" w:rsidR="00006F0E" w:rsidRPr="00786E57" w:rsidRDefault="00441F46" w:rsidP="002C2BE9">
            <w:pPr>
              <w:pStyle w:val="BodyText"/>
              <w:jc w:val="center"/>
              <w:rPr>
                <w:rFonts w:asciiTheme="minorHAnsi" w:hAnsiTheme="minorHAnsi" w:cstheme="minorHAnsi"/>
              </w:rPr>
            </w:pPr>
            <w:r w:rsidRPr="00786E57">
              <w:rPr>
                <w:rFonts w:asciiTheme="minorHAnsi" w:hAnsiTheme="minorHAnsi" w:cstheme="minorHAnsi"/>
                <w:b/>
              </w:rPr>
              <w:t xml:space="preserve">First </w:t>
            </w:r>
            <w:r w:rsidR="00006F0E" w:rsidRPr="00786E57">
              <w:rPr>
                <w:rFonts w:asciiTheme="minorHAnsi" w:hAnsiTheme="minorHAnsi" w:cstheme="minorHAnsi"/>
                <w:b/>
              </w:rPr>
              <w:t>/ scaled approach as maturity deepens</w:t>
            </w:r>
          </w:p>
        </w:tc>
      </w:tr>
      <w:tr w:rsidR="0038202A" w:rsidRPr="00006F0E" w14:paraId="4FD626F1" w14:textId="77777777" w:rsidTr="00424474">
        <w:trPr>
          <w:trHeight w:val="277"/>
        </w:trPr>
        <w:tc>
          <w:tcPr>
            <w:tcW w:w="1679" w:type="dxa"/>
            <w:vMerge/>
            <w:shd w:val="clear" w:color="auto" w:fill="D9D9D9" w:themeFill="background1" w:themeFillShade="D9"/>
            <w:vAlign w:val="center"/>
            <w:hideMark/>
          </w:tcPr>
          <w:p w14:paraId="54C2F263" w14:textId="77777777" w:rsidR="00006F0E" w:rsidRPr="00E63900" w:rsidRDefault="00006F0E" w:rsidP="00006F0E">
            <w:pPr>
              <w:pStyle w:val="BodyText"/>
              <w:rPr>
                <w:rFonts w:asciiTheme="minorHAnsi" w:hAnsiTheme="minorHAnsi" w:cstheme="minorHAnsi"/>
              </w:rPr>
            </w:pPr>
          </w:p>
        </w:tc>
        <w:tc>
          <w:tcPr>
            <w:tcW w:w="1221" w:type="dxa"/>
            <w:shd w:val="clear" w:color="auto" w:fill="auto"/>
            <w:tcMar>
              <w:top w:w="15" w:type="dxa"/>
              <w:left w:w="38" w:type="dxa"/>
              <w:bottom w:w="0" w:type="dxa"/>
              <w:right w:w="38" w:type="dxa"/>
            </w:tcMar>
            <w:vAlign w:val="center"/>
            <w:hideMark/>
          </w:tcPr>
          <w:p w14:paraId="55D9A1F8"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Healthcare</w:t>
            </w:r>
          </w:p>
        </w:tc>
        <w:tc>
          <w:tcPr>
            <w:tcW w:w="1195" w:type="dxa"/>
            <w:shd w:val="clear" w:color="auto" w:fill="auto"/>
            <w:tcMar>
              <w:top w:w="15" w:type="dxa"/>
              <w:left w:w="38" w:type="dxa"/>
              <w:bottom w:w="0" w:type="dxa"/>
              <w:right w:w="38" w:type="dxa"/>
            </w:tcMar>
            <w:vAlign w:val="center"/>
            <w:hideMark/>
          </w:tcPr>
          <w:p w14:paraId="1927976A"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 xml:space="preserve">Medical centres, x-ray, </w:t>
            </w:r>
          </w:p>
        </w:tc>
        <w:tc>
          <w:tcPr>
            <w:tcW w:w="1140" w:type="dxa"/>
            <w:shd w:val="clear" w:color="auto" w:fill="auto"/>
            <w:vAlign w:val="center"/>
            <w:hideMark/>
          </w:tcPr>
          <w:p w14:paraId="1EE87BB3" w14:textId="1B22620D" w:rsidR="00006F0E" w:rsidRPr="00E63900" w:rsidRDefault="00424474" w:rsidP="002C2BE9">
            <w:pPr>
              <w:pStyle w:val="BodyText"/>
              <w:jc w:val="center"/>
              <w:rPr>
                <w:rFonts w:asciiTheme="minorHAnsi" w:hAnsiTheme="minorHAnsi" w:cstheme="minorHAnsi"/>
              </w:rPr>
            </w:pPr>
            <w:r w:rsidRPr="00E63900">
              <w:rPr>
                <w:rFonts w:asciiTheme="minorHAnsi" w:hAnsiTheme="minorHAnsi" w:cstheme="minorHAnsi"/>
              </w:rPr>
              <w:t>22,753</w:t>
            </w:r>
            <w:r>
              <w:rPr>
                <w:rFonts w:asciiTheme="minorHAnsi" w:hAnsiTheme="minorHAnsi" w:cstheme="minorHAnsi"/>
              </w:rPr>
              <w:t xml:space="preserve"> (Hospitals and Healthcare)</w:t>
            </w:r>
          </w:p>
        </w:tc>
        <w:tc>
          <w:tcPr>
            <w:tcW w:w="1418" w:type="dxa"/>
            <w:shd w:val="clear" w:color="auto" w:fill="auto"/>
            <w:vAlign w:val="center"/>
            <w:hideMark/>
          </w:tcPr>
          <w:p w14:paraId="53995A3F" w14:textId="77777777" w:rsidR="00424474" w:rsidRPr="00E63900" w:rsidRDefault="00424474" w:rsidP="00424474">
            <w:pPr>
              <w:pStyle w:val="BodyText"/>
              <w:jc w:val="center"/>
              <w:rPr>
                <w:rFonts w:asciiTheme="minorHAnsi" w:hAnsiTheme="minorHAnsi" w:cstheme="minorHAnsi"/>
              </w:rPr>
            </w:pPr>
            <w:r w:rsidRPr="00E63900">
              <w:rPr>
                <w:rFonts w:asciiTheme="minorHAnsi" w:hAnsiTheme="minorHAnsi" w:cstheme="minorHAnsi"/>
                <w:b/>
              </w:rPr>
              <w:t>Very High</w:t>
            </w:r>
          </w:p>
          <w:p w14:paraId="3D27F23C" w14:textId="77777777" w:rsidR="00424474" w:rsidRPr="00E63900" w:rsidRDefault="00424474" w:rsidP="00424474">
            <w:pPr>
              <w:pStyle w:val="BodyText"/>
              <w:jc w:val="center"/>
              <w:rPr>
                <w:rFonts w:asciiTheme="minorHAnsi" w:hAnsiTheme="minorHAnsi" w:cstheme="minorHAnsi"/>
              </w:rPr>
            </w:pPr>
            <w:r w:rsidRPr="00E63900">
              <w:rPr>
                <w:rFonts w:asciiTheme="minorHAnsi" w:hAnsiTheme="minorHAnsi" w:cstheme="minorHAnsi"/>
              </w:rPr>
              <w:t>Elec – 427</w:t>
            </w:r>
          </w:p>
          <w:p w14:paraId="57DE52B9" w14:textId="4084CF59" w:rsidR="00006F0E" w:rsidRPr="00E63900" w:rsidRDefault="00424474" w:rsidP="002C2BE9">
            <w:pPr>
              <w:pStyle w:val="BodyText"/>
              <w:jc w:val="center"/>
              <w:rPr>
                <w:rFonts w:asciiTheme="minorHAnsi" w:hAnsiTheme="minorHAnsi" w:cstheme="minorHAnsi"/>
              </w:rPr>
            </w:pPr>
            <w:r w:rsidRPr="00E63900">
              <w:rPr>
                <w:rFonts w:asciiTheme="minorHAnsi" w:hAnsiTheme="minorHAnsi" w:cstheme="minorHAnsi"/>
              </w:rPr>
              <w:t>Gas – 15</w:t>
            </w:r>
          </w:p>
        </w:tc>
        <w:tc>
          <w:tcPr>
            <w:tcW w:w="1842" w:type="dxa"/>
            <w:shd w:val="clear" w:color="auto" w:fill="auto"/>
            <w:vAlign w:val="center"/>
            <w:hideMark/>
          </w:tcPr>
          <w:p w14:paraId="0718751A" w14:textId="6F8484F2" w:rsidR="00006F0E" w:rsidRPr="00E63900" w:rsidRDefault="00424474" w:rsidP="00424474">
            <w:pPr>
              <w:pStyle w:val="BodyText"/>
              <w:ind w:left="39"/>
              <w:rPr>
                <w:rFonts w:asciiTheme="minorHAnsi" w:hAnsiTheme="minorHAnsi" w:cstheme="minorHAnsi"/>
              </w:rPr>
            </w:pPr>
            <w:r>
              <w:rPr>
                <w:rFonts w:asciiTheme="minorHAnsi" w:hAnsiTheme="minorHAnsi" w:cstheme="minorHAnsi"/>
              </w:rPr>
              <w:t>As above</w:t>
            </w:r>
          </w:p>
        </w:tc>
        <w:tc>
          <w:tcPr>
            <w:tcW w:w="993" w:type="dxa"/>
            <w:shd w:val="clear" w:color="auto" w:fill="auto"/>
            <w:tcMar>
              <w:top w:w="15" w:type="dxa"/>
              <w:left w:w="38" w:type="dxa"/>
              <w:bottom w:w="0" w:type="dxa"/>
              <w:right w:w="38" w:type="dxa"/>
            </w:tcMar>
            <w:vAlign w:val="center"/>
            <w:hideMark/>
          </w:tcPr>
          <w:p w14:paraId="50511D84" w14:textId="77777777" w:rsidR="00006F0E" w:rsidRPr="00E63900" w:rsidRDefault="00006F0E" w:rsidP="002C2BE9">
            <w:pPr>
              <w:pStyle w:val="BodyText"/>
              <w:jc w:val="center"/>
              <w:rPr>
                <w:rFonts w:asciiTheme="minorHAnsi" w:hAnsiTheme="minorHAnsi" w:cstheme="minorHAnsi"/>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hideMark/>
          </w:tcPr>
          <w:p w14:paraId="52E63E33" w14:textId="77777777" w:rsidR="00006F0E" w:rsidRPr="00E63900" w:rsidRDefault="00006F0E" w:rsidP="00006F0E">
            <w:pPr>
              <w:pStyle w:val="BodyText"/>
              <w:rPr>
                <w:rFonts w:asciiTheme="minorHAnsi" w:hAnsiTheme="minorHAnsi" w:cstheme="minorHAnsi"/>
              </w:rPr>
            </w:pPr>
            <w:r w:rsidRPr="00E63900">
              <w:rPr>
                <w:rFonts w:asciiTheme="minorHAnsi" w:hAnsiTheme="minorHAnsi" w:cstheme="minorHAnsi"/>
              </w:rPr>
              <w:t>Greater variation across other healthcare types, and more independent operators (e.g. medical centres) may limit capacity to support disclosures</w:t>
            </w:r>
          </w:p>
        </w:tc>
        <w:tc>
          <w:tcPr>
            <w:tcW w:w="1122" w:type="dxa"/>
            <w:shd w:val="clear" w:color="auto" w:fill="7213EA" w:themeFill="accent3"/>
            <w:tcMar>
              <w:top w:w="15" w:type="dxa"/>
              <w:left w:w="38" w:type="dxa"/>
              <w:bottom w:w="0" w:type="dxa"/>
              <w:right w:w="38" w:type="dxa"/>
            </w:tcMar>
            <w:vAlign w:val="center"/>
            <w:hideMark/>
          </w:tcPr>
          <w:p w14:paraId="65ECFDEC" w14:textId="5E51F1DA" w:rsidR="00006F0E" w:rsidRPr="00E63900" w:rsidRDefault="00441F46" w:rsidP="002C2BE9">
            <w:pPr>
              <w:pStyle w:val="BodyText"/>
              <w:jc w:val="center"/>
              <w:rPr>
                <w:rFonts w:asciiTheme="minorHAnsi" w:hAnsiTheme="minorHAnsi" w:cstheme="minorHAnsi"/>
                <w:color w:val="FFFFFF" w:themeColor="background1"/>
              </w:rPr>
            </w:pPr>
            <w:r w:rsidRPr="00E63900">
              <w:rPr>
                <w:rFonts w:asciiTheme="minorHAnsi" w:hAnsiTheme="minorHAnsi" w:cstheme="minorHAnsi"/>
                <w:b/>
                <w:color w:val="FFFFFF" w:themeColor="background1"/>
              </w:rPr>
              <w:t>Second</w:t>
            </w:r>
          </w:p>
        </w:tc>
      </w:tr>
      <w:tr w:rsidR="0038202A" w:rsidRPr="00006F0E" w14:paraId="3CAD9E4E" w14:textId="77777777" w:rsidTr="00424474">
        <w:trPr>
          <w:trHeight w:val="277"/>
        </w:trPr>
        <w:tc>
          <w:tcPr>
            <w:tcW w:w="1679" w:type="dxa"/>
            <w:vMerge w:val="restart"/>
            <w:shd w:val="clear" w:color="auto" w:fill="D9D9D9" w:themeFill="background1" w:themeFillShade="D9"/>
            <w:vAlign w:val="center"/>
          </w:tcPr>
          <w:p w14:paraId="5C9669B3" w14:textId="1E2E5DEF" w:rsidR="00CA02B4" w:rsidRPr="003A1030" w:rsidRDefault="00CA02B4" w:rsidP="00CA02B4">
            <w:pPr>
              <w:pStyle w:val="BodyText"/>
              <w:rPr>
                <w:rFonts w:asciiTheme="minorHAnsi" w:hAnsiTheme="minorHAnsi" w:cstheme="minorHAnsi"/>
                <w:b/>
              </w:rPr>
            </w:pPr>
            <w:r w:rsidRPr="003A1030">
              <w:rPr>
                <w:rFonts w:asciiTheme="minorHAnsi" w:hAnsiTheme="minorHAnsi" w:cstheme="minorHAnsi"/>
                <w:b/>
              </w:rPr>
              <w:t xml:space="preserve">Commercial buildings </w:t>
            </w:r>
            <w:proofErr w:type="spellStart"/>
            <w:r w:rsidRPr="003A1030">
              <w:rPr>
                <w:rFonts w:asciiTheme="minorHAnsi" w:hAnsiTheme="minorHAnsi" w:cstheme="minorHAnsi"/>
                <w:b/>
              </w:rPr>
              <w:t>nec</w:t>
            </w:r>
            <w:proofErr w:type="spellEnd"/>
          </w:p>
        </w:tc>
        <w:tc>
          <w:tcPr>
            <w:tcW w:w="1221" w:type="dxa"/>
            <w:shd w:val="clear" w:color="auto" w:fill="auto"/>
            <w:tcMar>
              <w:top w:w="15" w:type="dxa"/>
              <w:left w:w="38" w:type="dxa"/>
              <w:bottom w:w="0" w:type="dxa"/>
              <w:right w:w="38" w:type="dxa"/>
            </w:tcMar>
            <w:vAlign w:val="center"/>
          </w:tcPr>
          <w:p w14:paraId="1161D697" w14:textId="3DCA8938"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Data Centres</w:t>
            </w:r>
          </w:p>
        </w:tc>
        <w:tc>
          <w:tcPr>
            <w:tcW w:w="1195" w:type="dxa"/>
            <w:shd w:val="clear" w:color="auto" w:fill="auto"/>
            <w:tcMar>
              <w:top w:w="15" w:type="dxa"/>
              <w:left w:w="38" w:type="dxa"/>
              <w:bottom w:w="0" w:type="dxa"/>
              <w:right w:w="38" w:type="dxa"/>
            </w:tcMar>
            <w:vAlign w:val="center"/>
          </w:tcPr>
          <w:p w14:paraId="71721B2C" w14:textId="1DFEFB51"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Data centres</w:t>
            </w:r>
          </w:p>
        </w:tc>
        <w:tc>
          <w:tcPr>
            <w:tcW w:w="1140" w:type="dxa"/>
            <w:shd w:val="clear" w:color="auto" w:fill="auto"/>
            <w:vAlign w:val="center"/>
          </w:tcPr>
          <w:p w14:paraId="4189494A" w14:textId="17EFB13C"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23,478</w:t>
            </w:r>
            <w:r w:rsidR="00424474">
              <w:rPr>
                <w:rFonts w:asciiTheme="minorHAnsi" w:hAnsiTheme="minorHAnsi" w:cstheme="minorHAnsi"/>
              </w:rPr>
              <w:t xml:space="preserve"> (Data Centres and Commercial buildings </w:t>
            </w:r>
            <w:proofErr w:type="spellStart"/>
            <w:r w:rsidR="00424474">
              <w:rPr>
                <w:rFonts w:asciiTheme="minorHAnsi" w:hAnsiTheme="minorHAnsi" w:cstheme="minorHAnsi"/>
              </w:rPr>
              <w:t>nec</w:t>
            </w:r>
            <w:proofErr w:type="spellEnd"/>
            <w:r w:rsidR="00424474">
              <w:rPr>
                <w:rFonts w:asciiTheme="minorHAnsi" w:hAnsiTheme="minorHAnsi" w:cstheme="minorHAnsi"/>
              </w:rPr>
              <w:t>)</w:t>
            </w:r>
          </w:p>
        </w:tc>
        <w:tc>
          <w:tcPr>
            <w:tcW w:w="1418" w:type="dxa"/>
            <w:shd w:val="clear" w:color="auto" w:fill="auto"/>
            <w:vAlign w:val="center"/>
          </w:tcPr>
          <w:p w14:paraId="78D05968"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b/>
              </w:rPr>
              <w:t>Medium</w:t>
            </w:r>
          </w:p>
          <w:p w14:paraId="4ACD81B6" w14:textId="6C02EE0E"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 xml:space="preserve">Elec – 139 </w:t>
            </w:r>
            <w:r w:rsidRPr="00E63900">
              <w:rPr>
                <w:rFonts w:asciiTheme="minorHAnsi" w:hAnsiTheme="minorHAnsi" w:cstheme="minorHAnsi"/>
              </w:rPr>
              <w:br/>
              <w:t>Gas – 4</w:t>
            </w:r>
          </w:p>
        </w:tc>
        <w:tc>
          <w:tcPr>
            <w:tcW w:w="1842" w:type="dxa"/>
            <w:shd w:val="clear" w:color="auto" w:fill="auto"/>
            <w:vAlign w:val="center"/>
          </w:tcPr>
          <w:p w14:paraId="48F5F730" w14:textId="477371EB" w:rsidR="00CA02B4" w:rsidRPr="00E63900" w:rsidRDefault="00CA02B4" w:rsidP="00CA02B4">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tcPr>
          <w:p w14:paraId="1F18BEA3" w14:textId="360936D8" w:rsidR="00CA02B4" w:rsidRPr="00E63900" w:rsidRDefault="00CA02B4" w:rsidP="002C2BE9">
            <w:pPr>
              <w:pStyle w:val="BodyText"/>
              <w:jc w:val="center"/>
              <w:rPr>
                <w:rFonts w:asciiTheme="minorHAnsi" w:hAnsiTheme="minorHAnsi" w:cstheme="minorHAnsi"/>
                <w:b/>
              </w:rPr>
            </w:pPr>
            <w:r w:rsidRPr="00E63900">
              <w:rPr>
                <w:rFonts w:asciiTheme="minorHAnsi" w:hAnsiTheme="minorHAnsi" w:cstheme="minorHAnsi"/>
                <w:b/>
              </w:rPr>
              <w:t>High</w:t>
            </w:r>
          </w:p>
        </w:tc>
        <w:tc>
          <w:tcPr>
            <w:tcW w:w="2847" w:type="dxa"/>
            <w:shd w:val="clear" w:color="auto" w:fill="auto"/>
            <w:tcMar>
              <w:top w:w="15" w:type="dxa"/>
              <w:left w:w="38" w:type="dxa"/>
              <w:bottom w:w="0" w:type="dxa"/>
              <w:right w:w="38" w:type="dxa"/>
            </w:tcMar>
            <w:vAlign w:val="center"/>
          </w:tcPr>
          <w:p w14:paraId="135630A9" w14:textId="1A89CD3E"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Data centres already focused on operational energy efficiency as it’s the biggest input cost.</w:t>
            </w:r>
          </w:p>
        </w:tc>
        <w:tc>
          <w:tcPr>
            <w:tcW w:w="1122" w:type="dxa"/>
            <w:shd w:val="clear" w:color="auto" w:fill="B5CFFF" w:themeFill="text2" w:themeFillTint="33"/>
            <w:tcMar>
              <w:top w:w="15" w:type="dxa"/>
              <w:left w:w="38" w:type="dxa"/>
              <w:bottom w:w="0" w:type="dxa"/>
              <w:right w:w="38" w:type="dxa"/>
            </w:tcMar>
            <w:vAlign w:val="center"/>
          </w:tcPr>
          <w:p w14:paraId="6C9574C5" w14:textId="33939605" w:rsidR="00CA02B4" w:rsidRPr="00424474" w:rsidRDefault="00CA02B4" w:rsidP="002C2BE9">
            <w:pPr>
              <w:pStyle w:val="BodyText"/>
              <w:jc w:val="center"/>
              <w:rPr>
                <w:rFonts w:asciiTheme="minorHAnsi" w:hAnsiTheme="minorHAnsi" w:cstheme="minorHAnsi"/>
                <w:b/>
              </w:rPr>
            </w:pPr>
            <w:r w:rsidRPr="00424474">
              <w:rPr>
                <w:rFonts w:asciiTheme="minorHAnsi" w:hAnsiTheme="minorHAnsi" w:cstheme="minorHAnsi"/>
                <w:b/>
              </w:rPr>
              <w:t>First / pending release of NABERS tool</w:t>
            </w:r>
          </w:p>
        </w:tc>
      </w:tr>
      <w:tr w:rsidR="00873818" w:rsidRPr="00006F0E" w14:paraId="57A061D0" w14:textId="77777777" w:rsidTr="00424474">
        <w:trPr>
          <w:trHeight w:val="277"/>
        </w:trPr>
        <w:tc>
          <w:tcPr>
            <w:tcW w:w="1679" w:type="dxa"/>
            <w:vMerge/>
            <w:shd w:val="clear" w:color="auto" w:fill="D9D9D9" w:themeFill="background1" w:themeFillShade="D9"/>
            <w:vAlign w:val="center"/>
          </w:tcPr>
          <w:p w14:paraId="6A322940" w14:textId="77777777" w:rsidR="00CA02B4" w:rsidRPr="003A1030" w:rsidRDefault="00CA02B4" w:rsidP="00CA02B4">
            <w:pPr>
              <w:pStyle w:val="BodyText"/>
              <w:rPr>
                <w:rFonts w:asciiTheme="minorHAnsi" w:hAnsiTheme="minorHAnsi" w:cstheme="minorHAnsi"/>
                <w:b/>
              </w:rPr>
            </w:pPr>
          </w:p>
        </w:tc>
        <w:tc>
          <w:tcPr>
            <w:tcW w:w="1221" w:type="dxa"/>
            <w:shd w:val="clear" w:color="auto" w:fill="auto"/>
            <w:tcMar>
              <w:top w:w="15" w:type="dxa"/>
              <w:left w:w="38" w:type="dxa"/>
              <w:bottom w:w="0" w:type="dxa"/>
              <w:right w:w="38" w:type="dxa"/>
            </w:tcMar>
            <w:vAlign w:val="center"/>
          </w:tcPr>
          <w:p w14:paraId="21656D78" w14:textId="59FC2153"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Commercial buildings</w:t>
            </w:r>
          </w:p>
        </w:tc>
        <w:tc>
          <w:tcPr>
            <w:tcW w:w="1195" w:type="dxa"/>
            <w:shd w:val="clear" w:color="auto" w:fill="auto"/>
            <w:tcMar>
              <w:top w:w="15" w:type="dxa"/>
              <w:left w:w="38" w:type="dxa"/>
              <w:bottom w:w="0" w:type="dxa"/>
              <w:right w:w="38" w:type="dxa"/>
            </w:tcMar>
            <w:vAlign w:val="center"/>
          </w:tcPr>
          <w:p w14:paraId="4B2559AD" w14:textId="38975142"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Petrol station, car wash, mail sorting centre</w:t>
            </w:r>
          </w:p>
        </w:tc>
        <w:tc>
          <w:tcPr>
            <w:tcW w:w="1140" w:type="dxa"/>
            <w:shd w:val="clear" w:color="auto" w:fill="auto"/>
            <w:vAlign w:val="center"/>
          </w:tcPr>
          <w:p w14:paraId="72EE2DD1" w14:textId="247A5F02" w:rsidR="00CA02B4" w:rsidRPr="00E63900" w:rsidRDefault="00424474" w:rsidP="002C2BE9">
            <w:pPr>
              <w:pStyle w:val="BodyText"/>
              <w:jc w:val="center"/>
              <w:rPr>
                <w:rFonts w:asciiTheme="minorHAnsi" w:hAnsiTheme="minorHAnsi" w:cstheme="minorHAnsi"/>
              </w:rPr>
            </w:pPr>
            <w:r w:rsidRPr="00E63900">
              <w:rPr>
                <w:rFonts w:asciiTheme="minorHAnsi" w:hAnsiTheme="minorHAnsi" w:cstheme="minorHAnsi"/>
              </w:rPr>
              <w:t>23,478</w:t>
            </w:r>
            <w:r>
              <w:rPr>
                <w:rFonts w:asciiTheme="minorHAnsi" w:hAnsiTheme="minorHAnsi" w:cstheme="minorHAnsi"/>
              </w:rPr>
              <w:t xml:space="preserve"> (Data Centres and Commercial buildings </w:t>
            </w:r>
            <w:proofErr w:type="spellStart"/>
            <w:r>
              <w:rPr>
                <w:rFonts w:asciiTheme="minorHAnsi" w:hAnsiTheme="minorHAnsi" w:cstheme="minorHAnsi"/>
              </w:rPr>
              <w:t>nec</w:t>
            </w:r>
            <w:proofErr w:type="spellEnd"/>
            <w:r>
              <w:rPr>
                <w:rFonts w:asciiTheme="minorHAnsi" w:hAnsiTheme="minorHAnsi" w:cstheme="minorHAnsi"/>
              </w:rPr>
              <w:t>)</w:t>
            </w:r>
          </w:p>
        </w:tc>
        <w:tc>
          <w:tcPr>
            <w:tcW w:w="1418" w:type="dxa"/>
            <w:shd w:val="clear" w:color="auto" w:fill="auto"/>
            <w:vAlign w:val="center"/>
          </w:tcPr>
          <w:p w14:paraId="6578F14F" w14:textId="77777777" w:rsidR="00424474" w:rsidRPr="00E63900" w:rsidRDefault="00424474" w:rsidP="00424474">
            <w:pPr>
              <w:pStyle w:val="BodyText"/>
              <w:jc w:val="center"/>
              <w:rPr>
                <w:rFonts w:asciiTheme="minorHAnsi" w:hAnsiTheme="minorHAnsi" w:cstheme="minorHAnsi"/>
              </w:rPr>
            </w:pPr>
            <w:r w:rsidRPr="00E63900">
              <w:rPr>
                <w:rFonts w:asciiTheme="minorHAnsi" w:hAnsiTheme="minorHAnsi" w:cstheme="minorHAnsi"/>
                <w:b/>
              </w:rPr>
              <w:t>Medium</w:t>
            </w:r>
          </w:p>
          <w:p w14:paraId="3660A150" w14:textId="6BCE5CA2" w:rsidR="00CA02B4" w:rsidRPr="00E63900" w:rsidRDefault="00424474" w:rsidP="002C2BE9">
            <w:pPr>
              <w:pStyle w:val="BodyText"/>
              <w:jc w:val="center"/>
              <w:rPr>
                <w:rFonts w:asciiTheme="minorHAnsi" w:hAnsiTheme="minorHAnsi" w:cstheme="minorHAnsi"/>
              </w:rPr>
            </w:pPr>
            <w:r w:rsidRPr="00E63900">
              <w:rPr>
                <w:rFonts w:asciiTheme="minorHAnsi" w:hAnsiTheme="minorHAnsi" w:cstheme="minorHAnsi"/>
              </w:rPr>
              <w:t xml:space="preserve">Elec – 139 </w:t>
            </w:r>
            <w:r w:rsidRPr="00E63900">
              <w:rPr>
                <w:rFonts w:asciiTheme="minorHAnsi" w:hAnsiTheme="minorHAnsi" w:cstheme="minorHAnsi"/>
              </w:rPr>
              <w:br/>
              <w:t>Gas – 4</w:t>
            </w:r>
          </w:p>
        </w:tc>
        <w:tc>
          <w:tcPr>
            <w:tcW w:w="1842" w:type="dxa"/>
            <w:shd w:val="clear" w:color="auto" w:fill="auto"/>
            <w:vAlign w:val="center"/>
          </w:tcPr>
          <w:p w14:paraId="3419539A" w14:textId="5A3D6639" w:rsidR="00CA02B4" w:rsidRPr="00E63900" w:rsidRDefault="00424474" w:rsidP="00424474">
            <w:pPr>
              <w:pStyle w:val="BodyText"/>
              <w:ind w:left="39"/>
              <w:rPr>
                <w:rFonts w:asciiTheme="minorHAnsi" w:hAnsiTheme="minorHAnsi" w:cstheme="minorHAnsi"/>
              </w:rPr>
            </w:pPr>
            <w:r>
              <w:rPr>
                <w:rFonts w:asciiTheme="minorHAnsi" w:hAnsiTheme="minorHAnsi" w:cstheme="minorHAnsi"/>
              </w:rPr>
              <w:t>As above</w:t>
            </w:r>
          </w:p>
        </w:tc>
        <w:tc>
          <w:tcPr>
            <w:tcW w:w="993" w:type="dxa"/>
            <w:shd w:val="clear" w:color="auto" w:fill="auto"/>
            <w:tcMar>
              <w:top w:w="15" w:type="dxa"/>
              <w:left w:w="38" w:type="dxa"/>
              <w:bottom w:w="0" w:type="dxa"/>
              <w:right w:w="38" w:type="dxa"/>
            </w:tcMar>
            <w:vAlign w:val="center"/>
          </w:tcPr>
          <w:p w14:paraId="4AA9171B" w14:textId="1CDBCA61" w:rsidR="00CA02B4" w:rsidRPr="00E63900" w:rsidRDefault="00CA02B4" w:rsidP="002C2BE9">
            <w:pPr>
              <w:pStyle w:val="BodyText"/>
              <w:jc w:val="center"/>
              <w:rPr>
                <w:rFonts w:asciiTheme="minorHAnsi" w:hAnsiTheme="minorHAnsi" w:cstheme="minorHAnsi"/>
                <w:b/>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tcPr>
          <w:p w14:paraId="53E850AE" w14:textId="36EFB113"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High variation across ‘other’ commercial buildings.</w:t>
            </w:r>
          </w:p>
        </w:tc>
        <w:tc>
          <w:tcPr>
            <w:tcW w:w="1122" w:type="dxa"/>
            <w:shd w:val="clear" w:color="auto" w:fill="7213EA" w:themeFill="accent3"/>
            <w:tcMar>
              <w:top w:w="15" w:type="dxa"/>
              <w:left w:w="38" w:type="dxa"/>
              <w:bottom w:w="0" w:type="dxa"/>
              <w:right w:w="38" w:type="dxa"/>
            </w:tcMar>
            <w:vAlign w:val="center"/>
          </w:tcPr>
          <w:p w14:paraId="126C164E" w14:textId="2468E478" w:rsidR="00CA02B4" w:rsidRPr="00E63900" w:rsidRDefault="00CA02B4" w:rsidP="002C2BE9">
            <w:pPr>
              <w:pStyle w:val="BodyText"/>
              <w:jc w:val="center"/>
              <w:rPr>
                <w:rFonts w:asciiTheme="minorHAnsi" w:hAnsiTheme="minorHAnsi" w:cstheme="minorHAnsi"/>
                <w:b/>
                <w:color w:val="FFFFFF" w:themeColor="background1"/>
              </w:rPr>
            </w:pPr>
            <w:r w:rsidRPr="00E63900">
              <w:rPr>
                <w:rFonts w:asciiTheme="minorHAnsi" w:hAnsiTheme="minorHAnsi" w:cstheme="minorHAnsi"/>
                <w:b/>
                <w:color w:val="FFFFFF" w:themeColor="background1"/>
              </w:rPr>
              <w:t>Second</w:t>
            </w:r>
          </w:p>
        </w:tc>
      </w:tr>
      <w:tr w:rsidR="0038202A" w:rsidRPr="00006F0E" w14:paraId="4563A2C8" w14:textId="77777777" w:rsidTr="00424474">
        <w:trPr>
          <w:trHeight w:val="277"/>
        </w:trPr>
        <w:tc>
          <w:tcPr>
            <w:tcW w:w="1679" w:type="dxa"/>
            <w:shd w:val="clear" w:color="auto" w:fill="D9D9D9" w:themeFill="background1" w:themeFillShade="D9"/>
            <w:vAlign w:val="center"/>
          </w:tcPr>
          <w:p w14:paraId="4DC3D926" w14:textId="73D66A98" w:rsidR="00CA02B4" w:rsidRPr="003A1030" w:rsidRDefault="00CA02B4" w:rsidP="00CA02B4">
            <w:pPr>
              <w:pStyle w:val="BodyText"/>
              <w:rPr>
                <w:rFonts w:asciiTheme="minorHAnsi" w:hAnsiTheme="minorHAnsi" w:cstheme="minorHAnsi"/>
                <w:b/>
              </w:rPr>
            </w:pPr>
            <w:r w:rsidRPr="003A1030">
              <w:rPr>
                <w:rFonts w:asciiTheme="minorHAnsi" w:hAnsiTheme="minorHAnsi" w:cstheme="minorHAnsi"/>
                <w:b/>
              </w:rPr>
              <w:t>Transport buildings</w:t>
            </w:r>
          </w:p>
        </w:tc>
        <w:tc>
          <w:tcPr>
            <w:tcW w:w="1221" w:type="dxa"/>
            <w:shd w:val="clear" w:color="auto" w:fill="auto"/>
            <w:tcMar>
              <w:top w:w="15" w:type="dxa"/>
              <w:left w:w="38" w:type="dxa"/>
              <w:bottom w:w="0" w:type="dxa"/>
              <w:right w:w="38" w:type="dxa"/>
            </w:tcMar>
            <w:vAlign w:val="center"/>
          </w:tcPr>
          <w:p w14:paraId="6D6E6669" w14:textId="26A694C5"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Transport buildings</w:t>
            </w:r>
          </w:p>
        </w:tc>
        <w:tc>
          <w:tcPr>
            <w:tcW w:w="1195" w:type="dxa"/>
            <w:shd w:val="clear" w:color="auto" w:fill="auto"/>
            <w:tcMar>
              <w:top w:w="15" w:type="dxa"/>
              <w:left w:w="38" w:type="dxa"/>
              <w:bottom w:w="0" w:type="dxa"/>
              <w:right w:w="38" w:type="dxa"/>
            </w:tcMar>
            <w:vAlign w:val="center"/>
          </w:tcPr>
          <w:p w14:paraId="3F5BC1A8" w14:textId="5FA6238E"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Train stations, airports, port terminals, weighbridge stations, commercial carparks</w:t>
            </w:r>
          </w:p>
        </w:tc>
        <w:tc>
          <w:tcPr>
            <w:tcW w:w="1140" w:type="dxa"/>
            <w:shd w:val="clear" w:color="auto" w:fill="auto"/>
            <w:vAlign w:val="center"/>
          </w:tcPr>
          <w:p w14:paraId="3E211915" w14:textId="03AEDE33"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34,156</w:t>
            </w:r>
          </w:p>
        </w:tc>
        <w:tc>
          <w:tcPr>
            <w:tcW w:w="1418" w:type="dxa"/>
            <w:shd w:val="clear" w:color="auto" w:fill="auto"/>
            <w:vAlign w:val="center"/>
          </w:tcPr>
          <w:p w14:paraId="668EF54F"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b/>
              </w:rPr>
              <w:t>Low</w:t>
            </w:r>
          </w:p>
          <w:p w14:paraId="1565CD0A"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Elec – 65</w:t>
            </w:r>
          </w:p>
          <w:p w14:paraId="16CC064F" w14:textId="7D77BD5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Gas – 2</w:t>
            </w:r>
          </w:p>
        </w:tc>
        <w:tc>
          <w:tcPr>
            <w:tcW w:w="1842" w:type="dxa"/>
            <w:shd w:val="clear" w:color="auto" w:fill="auto"/>
            <w:vAlign w:val="center"/>
          </w:tcPr>
          <w:p w14:paraId="2C1AC9B6" w14:textId="75A7A219" w:rsidR="00CA02B4" w:rsidRPr="00E63900" w:rsidRDefault="00CA02B4" w:rsidP="00CA02B4">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tcPr>
          <w:p w14:paraId="1AB909C3" w14:textId="3B027DB6" w:rsidR="00CA02B4" w:rsidRPr="00E63900" w:rsidRDefault="00CA02B4" w:rsidP="002C2BE9">
            <w:pPr>
              <w:pStyle w:val="BodyText"/>
              <w:jc w:val="center"/>
              <w:rPr>
                <w:rFonts w:asciiTheme="minorHAnsi" w:hAnsiTheme="minorHAnsi" w:cstheme="minorHAnsi"/>
                <w:b/>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tcPr>
          <w:p w14:paraId="47B82B9F" w14:textId="699D86DB"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Greater variation between building types and relatively small energy consumption could limit the effectiveness of disclosure</w:t>
            </w:r>
          </w:p>
        </w:tc>
        <w:tc>
          <w:tcPr>
            <w:tcW w:w="1122" w:type="dxa"/>
            <w:shd w:val="clear" w:color="auto" w:fill="7213EA" w:themeFill="accent3"/>
            <w:tcMar>
              <w:top w:w="15" w:type="dxa"/>
              <w:left w:w="38" w:type="dxa"/>
              <w:bottom w:w="0" w:type="dxa"/>
              <w:right w:w="38" w:type="dxa"/>
            </w:tcMar>
            <w:vAlign w:val="center"/>
          </w:tcPr>
          <w:p w14:paraId="7F6E4BEC" w14:textId="5B4B744C" w:rsidR="00CA02B4" w:rsidRPr="00E63900" w:rsidRDefault="00CA02B4" w:rsidP="002C2BE9">
            <w:pPr>
              <w:pStyle w:val="BodyText"/>
              <w:jc w:val="center"/>
              <w:rPr>
                <w:rFonts w:asciiTheme="minorHAnsi" w:hAnsiTheme="minorHAnsi" w:cstheme="minorHAnsi"/>
                <w:b/>
                <w:color w:val="FFFFFF" w:themeColor="background1"/>
              </w:rPr>
            </w:pPr>
            <w:r w:rsidRPr="00E63900">
              <w:rPr>
                <w:rFonts w:asciiTheme="minorHAnsi" w:hAnsiTheme="minorHAnsi" w:cstheme="minorHAnsi"/>
                <w:b/>
                <w:color w:val="FFFFFF" w:themeColor="background1"/>
              </w:rPr>
              <w:t>Second</w:t>
            </w:r>
          </w:p>
        </w:tc>
      </w:tr>
      <w:tr w:rsidR="0038202A" w:rsidRPr="00006F0E" w14:paraId="6BCBE334" w14:textId="77777777" w:rsidTr="00424474">
        <w:trPr>
          <w:trHeight w:val="277"/>
        </w:trPr>
        <w:tc>
          <w:tcPr>
            <w:tcW w:w="1679" w:type="dxa"/>
            <w:shd w:val="clear" w:color="auto" w:fill="D9D9D9" w:themeFill="background1" w:themeFillShade="D9"/>
            <w:vAlign w:val="center"/>
          </w:tcPr>
          <w:p w14:paraId="2CAAF5B1" w14:textId="03C44215" w:rsidR="00CA02B4" w:rsidRPr="003A1030" w:rsidRDefault="00CA02B4" w:rsidP="00CA02B4">
            <w:pPr>
              <w:pStyle w:val="BodyText"/>
              <w:rPr>
                <w:rFonts w:asciiTheme="minorHAnsi" w:hAnsiTheme="minorHAnsi" w:cstheme="minorHAnsi"/>
                <w:b/>
              </w:rPr>
            </w:pPr>
            <w:r w:rsidRPr="003A1030">
              <w:rPr>
                <w:rFonts w:asciiTheme="minorHAnsi" w:hAnsiTheme="minorHAnsi" w:cstheme="minorHAnsi"/>
                <w:b/>
              </w:rPr>
              <w:t>Factories and other secondary production buildings</w:t>
            </w:r>
          </w:p>
        </w:tc>
        <w:tc>
          <w:tcPr>
            <w:tcW w:w="1221" w:type="dxa"/>
            <w:shd w:val="clear" w:color="auto" w:fill="auto"/>
            <w:tcMar>
              <w:top w:w="15" w:type="dxa"/>
              <w:left w:w="38" w:type="dxa"/>
              <w:bottom w:w="0" w:type="dxa"/>
              <w:right w:w="38" w:type="dxa"/>
            </w:tcMar>
            <w:vAlign w:val="center"/>
          </w:tcPr>
          <w:p w14:paraId="35A05C45" w14:textId="78B9614C"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Factories, Laboratories, other</w:t>
            </w:r>
          </w:p>
        </w:tc>
        <w:tc>
          <w:tcPr>
            <w:tcW w:w="1195" w:type="dxa"/>
            <w:shd w:val="clear" w:color="auto" w:fill="auto"/>
            <w:tcMar>
              <w:top w:w="15" w:type="dxa"/>
              <w:left w:w="38" w:type="dxa"/>
              <w:bottom w:w="0" w:type="dxa"/>
              <w:right w:w="38" w:type="dxa"/>
            </w:tcMar>
            <w:vAlign w:val="center"/>
          </w:tcPr>
          <w:p w14:paraId="64009C27" w14:textId="7AD68AB4"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Manufacturing factory</w:t>
            </w:r>
          </w:p>
        </w:tc>
        <w:tc>
          <w:tcPr>
            <w:tcW w:w="1140" w:type="dxa"/>
            <w:shd w:val="clear" w:color="auto" w:fill="auto"/>
            <w:vAlign w:val="center"/>
          </w:tcPr>
          <w:p w14:paraId="06738340" w14:textId="13942363"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146,729</w:t>
            </w:r>
          </w:p>
        </w:tc>
        <w:tc>
          <w:tcPr>
            <w:tcW w:w="1418" w:type="dxa"/>
            <w:shd w:val="clear" w:color="auto" w:fill="auto"/>
            <w:vAlign w:val="center"/>
          </w:tcPr>
          <w:p w14:paraId="351E5A84"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b/>
              </w:rPr>
              <w:t>Low</w:t>
            </w:r>
          </w:p>
          <w:p w14:paraId="187EE420" w14:textId="688353B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Elec – 87</w:t>
            </w:r>
            <w:r w:rsidRPr="00E63900">
              <w:rPr>
                <w:rFonts w:asciiTheme="minorHAnsi" w:hAnsiTheme="minorHAnsi" w:cstheme="minorHAnsi"/>
              </w:rPr>
              <w:br/>
              <w:t>Gas – 3</w:t>
            </w:r>
          </w:p>
        </w:tc>
        <w:tc>
          <w:tcPr>
            <w:tcW w:w="1842" w:type="dxa"/>
            <w:shd w:val="clear" w:color="auto" w:fill="auto"/>
            <w:vAlign w:val="center"/>
          </w:tcPr>
          <w:p w14:paraId="57026A1A" w14:textId="112F848D" w:rsidR="00CA02B4" w:rsidRPr="00E63900" w:rsidRDefault="00CA02B4" w:rsidP="00CA02B4">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tcPr>
          <w:p w14:paraId="12AD566B" w14:textId="66FCCC5E" w:rsidR="00CA02B4" w:rsidRPr="00E63900" w:rsidRDefault="00CA02B4" w:rsidP="002C2BE9">
            <w:pPr>
              <w:pStyle w:val="BodyText"/>
              <w:jc w:val="center"/>
              <w:rPr>
                <w:rFonts w:asciiTheme="minorHAnsi" w:hAnsiTheme="minorHAnsi" w:cstheme="minorHAnsi"/>
                <w:b/>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tcPr>
          <w:p w14:paraId="1ED8FAB9" w14:textId="0B39265E"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Significant variation between operations in this category limit the effectiveness of benchmarking (NABERS)</w:t>
            </w:r>
          </w:p>
        </w:tc>
        <w:tc>
          <w:tcPr>
            <w:tcW w:w="1122" w:type="dxa"/>
            <w:shd w:val="clear" w:color="auto" w:fill="7213EA" w:themeFill="accent3"/>
            <w:tcMar>
              <w:top w:w="15" w:type="dxa"/>
              <w:left w:w="38" w:type="dxa"/>
              <w:bottom w:w="0" w:type="dxa"/>
              <w:right w:w="38" w:type="dxa"/>
            </w:tcMar>
            <w:vAlign w:val="center"/>
          </w:tcPr>
          <w:p w14:paraId="0517595C" w14:textId="2A818D10" w:rsidR="00CA02B4" w:rsidRPr="00E63900" w:rsidRDefault="00CA02B4" w:rsidP="002C2BE9">
            <w:pPr>
              <w:pStyle w:val="BodyText"/>
              <w:jc w:val="center"/>
              <w:rPr>
                <w:rFonts w:asciiTheme="minorHAnsi" w:hAnsiTheme="minorHAnsi" w:cstheme="minorHAnsi"/>
                <w:b/>
                <w:color w:val="FFFFFF" w:themeColor="background1"/>
              </w:rPr>
            </w:pPr>
            <w:r w:rsidRPr="00E63900">
              <w:rPr>
                <w:rFonts w:asciiTheme="minorHAnsi" w:hAnsiTheme="minorHAnsi" w:cstheme="minorHAnsi"/>
                <w:b/>
                <w:color w:val="FFFFFF" w:themeColor="background1"/>
              </w:rPr>
              <w:t>Second</w:t>
            </w:r>
          </w:p>
        </w:tc>
      </w:tr>
      <w:tr w:rsidR="0038202A" w:rsidRPr="00006F0E" w14:paraId="2D697948" w14:textId="77777777" w:rsidTr="00424474">
        <w:trPr>
          <w:trHeight w:val="277"/>
        </w:trPr>
        <w:tc>
          <w:tcPr>
            <w:tcW w:w="1679" w:type="dxa"/>
            <w:shd w:val="clear" w:color="auto" w:fill="D9D9D9" w:themeFill="background1" w:themeFillShade="D9"/>
            <w:vAlign w:val="center"/>
          </w:tcPr>
          <w:p w14:paraId="56222D5F" w14:textId="1B27D2A8" w:rsidR="00CA02B4" w:rsidRPr="003A1030" w:rsidRDefault="00CA02B4" w:rsidP="00CA02B4">
            <w:pPr>
              <w:pStyle w:val="BodyText"/>
              <w:rPr>
                <w:rFonts w:asciiTheme="minorHAnsi" w:hAnsiTheme="minorHAnsi" w:cstheme="minorHAnsi"/>
                <w:b/>
              </w:rPr>
            </w:pPr>
            <w:r w:rsidRPr="003A1030">
              <w:rPr>
                <w:rFonts w:asciiTheme="minorHAnsi" w:hAnsiTheme="minorHAnsi" w:cstheme="minorHAnsi"/>
                <w:b/>
              </w:rPr>
              <w:lastRenderedPageBreak/>
              <w:t>Entertainment and recreation buildings</w:t>
            </w:r>
          </w:p>
        </w:tc>
        <w:tc>
          <w:tcPr>
            <w:tcW w:w="1221" w:type="dxa"/>
            <w:shd w:val="clear" w:color="auto" w:fill="auto"/>
            <w:tcMar>
              <w:top w:w="15" w:type="dxa"/>
              <w:left w:w="38" w:type="dxa"/>
              <w:bottom w:w="0" w:type="dxa"/>
              <w:right w:w="38" w:type="dxa"/>
            </w:tcMar>
            <w:vAlign w:val="center"/>
          </w:tcPr>
          <w:p w14:paraId="78336861" w14:textId="470D5908"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Cultural, sports, aquatic and other</w:t>
            </w:r>
          </w:p>
        </w:tc>
        <w:tc>
          <w:tcPr>
            <w:tcW w:w="1195" w:type="dxa"/>
            <w:shd w:val="clear" w:color="auto" w:fill="auto"/>
            <w:tcMar>
              <w:top w:w="15" w:type="dxa"/>
              <w:left w:w="38" w:type="dxa"/>
              <w:bottom w:w="0" w:type="dxa"/>
              <w:right w:w="38" w:type="dxa"/>
            </w:tcMar>
            <w:vAlign w:val="center"/>
          </w:tcPr>
          <w:p w14:paraId="67384D64" w14:textId="661D66EA"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Cinema, swimming centre, theatre</w:t>
            </w:r>
          </w:p>
        </w:tc>
        <w:tc>
          <w:tcPr>
            <w:tcW w:w="1140" w:type="dxa"/>
            <w:shd w:val="clear" w:color="auto" w:fill="auto"/>
            <w:vAlign w:val="center"/>
          </w:tcPr>
          <w:p w14:paraId="75FDF4C7" w14:textId="11020523"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80,735</w:t>
            </w:r>
          </w:p>
        </w:tc>
        <w:tc>
          <w:tcPr>
            <w:tcW w:w="1418" w:type="dxa"/>
            <w:shd w:val="clear" w:color="auto" w:fill="auto"/>
            <w:vAlign w:val="center"/>
          </w:tcPr>
          <w:p w14:paraId="158BD94C"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b/>
              </w:rPr>
              <w:t>Medium</w:t>
            </w:r>
          </w:p>
          <w:p w14:paraId="2AA4755F" w14:textId="311BFA53"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Elec – 180</w:t>
            </w:r>
            <w:r w:rsidRPr="00E63900">
              <w:rPr>
                <w:rFonts w:asciiTheme="minorHAnsi" w:hAnsiTheme="minorHAnsi" w:cstheme="minorHAnsi"/>
              </w:rPr>
              <w:br/>
              <w:t>Gas – 7</w:t>
            </w:r>
          </w:p>
        </w:tc>
        <w:tc>
          <w:tcPr>
            <w:tcW w:w="1842" w:type="dxa"/>
            <w:shd w:val="clear" w:color="auto" w:fill="auto"/>
            <w:vAlign w:val="center"/>
          </w:tcPr>
          <w:p w14:paraId="195F0118" w14:textId="77777777" w:rsidR="00CA02B4" w:rsidRPr="00E63900" w:rsidRDefault="00CA02B4" w:rsidP="00CA02B4">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w:t>
            </w:r>
            <w:proofErr w:type="gramStart"/>
            <w:r w:rsidRPr="00E63900">
              <w:rPr>
                <w:rFonts w:asciiTheme="minorHAnsi" w:hAnsiTheme="minorHAnsi" w:cstheme="minorHAnsi"/>
              </w:rPr>
              <w:t>reductions</w:t>
            </w:r>
            <w:proofErr w:type="gramEnd"/>
            <w:r w:rsidRPr="00E63900">
              <w:rPr>
                <w:rFonts w:asciiTheme="minorHAnsi" w:hAnsiTheme="minorHAnsi" w:cstheme="minorHAnsi"/>
              </w:rPr>
              <w:t xml:space="preserve"> </w:t>
            </w:r>
          </w:p>
          <w:p w14:paraId="023799C1" w14:textId="6CB9BF5F"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Disclosure - Impact attractiveness for users</w:t>
            </w:r>
          </w:p>
        </w:tc>
        <w:tc>
          <w:tcPr>
            <w:tcW w:w="993" w:type="dxa"/>
            <w:shd w:val="clear" w:color="auto" w:fill="auto"/>
            <w:tcMar>
              <w:top w:w="15" w:type="dxa"/>
              <w:left w:w="38" w:type="dxa"/>
              <w:bottom w:w="0" w:type="dxa"/>
              <w:right w:w="38" w:type="dxa"/>
            </w:tcMar>
            <w:vAlign w:val="center"/>
          </w:tcPr>
          <w:p w14:paraId="2A12253B" w14:textId="2CEF8E8F" w:rsidR="00CA02B4" w:rsidRPr="00E63900" w:rsidRDefault="00CA02B4" w:rsidP="002C2BE9">
            <w:pPr>
              <w:pStyle w:val="BodyText"/>
              <w:jc w:val="center"/>
              <w:rPr>
                <w:rFonts w:asciiTheme="minorHAnsi" w:hAnsiTheme="minorHAnsi" w:cstheme="minorHAnsi"/>
                <w:b/>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tcPr>
          <w:p w14:paraId="152B110B" w14:textId="7D3CBEEA"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Reasonable variation between building types across category. Many independent and council owned facilities may lack the sophistication to optimise.</w:t>
            </w:r>
          </w:p>
        </w:tc>
        <w:tc>
          <w:tcPr>
            <w:tcW w:w="1122" w:type="dxa"/>
            <w:shd w:val="clear" w:color="auto" w:fill="7213EA" w:themeFill="accent3"/>
            <w:tcMar>
              <w:top w:w="15" w:type="dxa"/>
              <w:left w:w="38" w:type="dxa"/>
              <w:bottom w:w="0" w:type="dxa"/>
              <w:right w:w="38" w:type="dxa"/>
            </w:tcMar>
            <w:vAlign w:val="center"/>
          </w:tcPr>
          <w:p w14:paraId="30399DDA" w14:textId="1E751557" w:rsidR="00CA02B4" w:rsidRPr="00E63900" w:rsidRDefault="00CA02B4" w:rsidP="002C2BE9">
            <w:pPr>
              <w:pStyle w:val="BodyText"/>
              <w:jc w:val="center"/>
              <w:rPr>
                <w:rFonts w:asciiTheme="minorHAnsi" w:hAnsiTheme="minorHAnsi" w:cstheme="minorHAnsi"/>
                <w:b/>
                <w:color w:val="FFFFFF" w:themeColor="background1"/>
              </w:rPr>
            </w:pPr>
            <w:r w:rsidRPr="00E63900">
              <w:rPr>
                <w:rFonts w:asciiTheme="minorHAnsi" w:hAnsiTheme="minorHAnsi" w:cstheme="minorHAnsi"/>
                <w:b/>
                <w:color w:val="FFFFFF" w:themeColor="background1"/>
              </w:rPr>
              <w:t>Second</w:t>
            </w:r>
          </w:p>
        </w:tc>
      </w:tr>
      <w:tr w:rsidR="0038202A" w:rsidRPr="00006F0E" w14:paraId="18145A2A" w14:textId="77777777" w:rsidTr="00424474">
        <w:trPr>
          <w:trHeight w:val="277"/>
        </w:trPr>
        <w:tc>
          <w:tcPr>
            <w:tcW w:w="1679" w:type="dxa"/>
            <w:shd w:val="clear" w:color="auto" w:fill="D9D9D9" w:themeFill="background1" w:themeFillShade="D9"/>
            <w:vAlign w:val="center"/>
          </w:tcPr>
          <w:p w14:paraId="0889C8D5" w14:textId="61C94541" w:rsidR="00CA02B4" w:rsidRPr="003A1030" w:rsidRDefault="00CA02B4" w:rsidP="00CA02B4">
            <w:pPr>
              <w:pStyle w:val="BodyText"/>
              <w:rPr>
                <w:rFonts w:asciiTheme="minorHAnsi" w:hAnsiTheme="minorHAnsi" w:cstheme="minorHAnsi"/>
                <w:b/>
              </w:rPr>
            </w:pPr>
            <w:r w:rsidRPr="003A1030">
              <w:rPr>
                <w:rFonts w:asciiTheme="minorHAnsi" w:hAnsiTheme="minorHAnsi" w:cstheme="minorHAnsi"/>
                <w:b/>
              </w:rPr>
              <w:t>Agricultural and aquacultural buildings</w:t>
            </w:r>
          </w:p>
        </w:tc>
        <w:tc>
          <w:tcPr>
            <w:tcW w:w="1221" w:type="dxa"/>
            <w:shd w:val="clear" w:color="auto" w:fill="auto"/>
            <w:tcMar>
              <w:top w:w="15" w:type="dxa"/>
              <w:left w:w="38" w:type="dxa"/>
              <w:bottom w:w="0" w:type="dxa"/>
              <w:right w:w="38" w:type="dxa"/>
            </w:tcMar>
            <w:vAlign w:val="center"/>
          </w:tcPr>
          <w:p w14:paraId="28EA38C5" w14:textId="0CC067AD"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Industrial agriculture</w:t>
            </w:r>
          </w:p>
        </w:tc>
        <w:tc>
          <w:tcPr>
            <w:tcW w:w="1195" w:type="dxa"/>
            <w:shd w:val="clear" w:color="auto" w:fill="auto"/>
            <w:tcMar>
              <w:top w:w="15" w:type="dxa"/>
              <w:left w:w="38" w:type="dxa"/>
              <w:bottom w:w="0" w:type="dxa"/>
              <w:right w:w="38" w:type="dxa"/>
            </w:tcMar>
            <w:vAlign w:val="center"/>
          </w:tcPr>
          <w:p w14:paraId="3C90A98B" w14:textId="4C560CBF"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Abattoir, Dairy processor</w:t>
            </w:r>
          </w:p>
        </w:tc>
        <w:tc>
          <w:tcPr>
            <w:tcW w:w="1140" w:type="dxa"/>
            <w:shd w:val="clear" w:color="auto" w:fill="auto"/>
            <w:vAlign w:val="center"/>
          </w:tcPr>
          <w:p w14:paraId="14C51A62" w14:textId="1C33DE5F"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72,647</w:t>
            </w:r>
          </w:p>
        </w:tc>
        <w:tc>
          <w:tcPr>
            <w:tcW w:w="1418" w:type="dxa"/>
            <w:shd w:val="clear" w:color="auto" w:fill="auto"/>
            <w:vAlign w:val="center"/>
          </w:tcPr>
          <w:p w14:paraId="0CE693F8"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b/>
              </w:rPr>
              <w:t>Low</w:t>
            </w:r>
          </w:p>
          <w:p w14:paraId="6891CFC1" w14:textId="04C74014"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Elec – 77</w:t>
            </w:r>
            <w:r w:rsidRPr="00E63900">
              <w:rPr>
                <w:rFonts w:asciiTheme="minorHAnsi" w:hAnsiTheme="minorHAnsi" w:cstheme="minorHAnsi"/>
              </w:rPr>
              <w:br/>
              <w:t>Gas – 3</w:t>
            </w:r>
          </w:p>
        </w:tc>
        <w:tc>
          <w:tcPr>
            <w:tcW w:w="1842" w:type="dxa"/>
            <w:shd w:val="clear" w:color="auto" w:fill="auto"/>
            <w:vAlign w:val="center"/>
          </w:tcPr>
          <w:p w14:paraId="3CDC1B1F" w14:textId="6AF1EE78" w:rsidR="00CA02B4" w:rsidRPr="00E63900" w:rsidRDefault="00CA02B4" w:rsidP="00CA02B4">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tcPr>
          <w:p w14:paraId="63093F57" w14:textId="5E565C11" w:rsidR="00CA02B4" w:rsidRPr="00E63900" w:rsidRDefault="00CA02B4" w:rsidP="002C2BE9">
            <w:pPr>
              <w:pStyle w:val="BodyText"/>
              <w:jc w:val="center"/>
              <w:rPr>
                <w:rFonts w:asciiTheme="minorHAnsi" w:hAnsiTheme="minorHAnsi" w:cstheme="minorHAnsi"/>
                <w:b/>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tcPr>
          <w:p w14:paraId="74CFC697" w14:textId="3216D65D"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Significant variation between building types, numerous small independent operators, and distributed base for enforcement may limit the impact of the policy.</w:t>
            </w:r>
          </w:p>
        </w:tc>
        <w:tc>
          <w:tcPr>
            <w:tcW w:w="1122" w:type="dxa"/>
            <w:shd w:val="clear" w:color="auto" w:fill="7213EA" w:themeFill="accent3"/>
            <w:tcMar>
              <w:top w:w="15" w:type="dxa"/>
              <w:left w:w="38" w:type="dxa"/>
              <w:bottom w:w="0" w:type="dxa"/>
              <w:right w:w="38" w:type="dxa"/>
            </w:tcMar>
            <w:vAlign w:val="center"/>
          </w:tcPr>
          <w:p w14:paraId="620294D3" w14:textId="312A6DA0" w:rsidR="00CA02B4" w:rsidRPr="00E63900" w:rsidRDefault="00CA02B4" w:rsidP="002C2BE9">
            <w:pPr>
              <w:pStyle w:val="BodyText"/>
              <w:jc w:val="center"/>
              <w:rPr>
                <w:rFonts w:asciiTheme="minorHAnsi" w:hAnsiTheme="minorHAnsi" w:cstheme="minorHAnsi"/>
                <w:b/>
                <w:color w:val="FFFFFF" w:themeColor="background1"/>
              </w:rPr>
            </w:pPr>
            <w:r w:rsidRPr="00E63900">
              <w:rPr>
                <w:rFonts w:asciiTheme="minorHAnsi" w:hAnsiTheme="minorHAnsi" w:cstheme="minorHAnsi"/>
                <w:b/>
                <w:color w:val="FFFFFF" w:themeColor="background1"/>
              </w:rPr>
              <w:t>Third</w:t>
            </w:r>
          </w:p>
        </w:tc>
      </w:tr>
      <w:tr w:rsidR="0038202A" w:rsidRPr="00006F0E" w14:paraId="20C665D9" w14:textId="77777777" w:rsidTr="00424474">
        <w:trPr>
          <w:trHeight w:val="277"/>
        </w:trPr>
        <w:tc>
          <w:tcPr>
            <w:tcW w:w="1679" w:type="dxa"/>
            <w:shd w:val="clear" w:color="auto" w:fill="D9D9D9" w:themeFill="background1" w:themeFillShade="D9"/>
            <w:vAlign w:val="center"/>
          </w:tcPr>
          <w:p w14:paraId="1191A27D" w14:textId="763DE841" w:rsidR="00CA02B4" w:rsidRPr="003A1030" w:rsidRDefault="00CA02B4" w:rsidP="00CA02B4">
            <w:pPr>
              <w:pStyle w:val="BodyText"/>
              <w:rPr>
                <w:rFonts w:asciiTheme="minorHAnsi" w:hAnsiTheme="minorHAnsi" w:cstheme="minorHAnsi"/>
                <w:b/>
              </w:rPr>
            </w:pPr>
            <w:r w:rsidRPr="003A1030">
              <w:rPr>
                <w:rFonts w:asciiTheme="minorHAnsi" w:hAnsiTheme="minorHAnsi" w:cstheme="minorHAnsi"/>
                <w:b/>
              </w:rPr>
              <w:t>Religion buildings</w:t>
            </w:r>
          </w:p>
        </w:tc>
        <w:tc>
          <w:tcPr>
            <w:tcW w:w="1221" w:type="dxa"/>
            <w:shd w:val="clear" w:color="auto" w:fill="auto"/>
            <w:tcMar>
              <w:top w:w="15" w:type="dxa"/>
              <w:left w:w="38" w:type="dxa"/>
              <w:bottom w:w="0" w:type="dxa"/>
              <w:right w:w="38" w:type="dxa"/>
            </w:tcMar>
            <w:vAlign w:val="center"/>
          </w:tcPr>
          <w:p w14:paraId="1B134957" w14:textId="43BC63AC"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Religious buildings</w:t>
            </w:r>
          </w:p>
        </w:tc>
        <w:tc>
          <w:tcPr>
            <w:tcW w:w="1195" w:type="dxa"/>
            <w:shd w:val="clear" w:color="auto" w:fill="auto"/>
            <w:tcMar>
              <w:top w:w="15" w:type="dxa"/>
              <w:left w:w="38" w:type="dxa"/>
              <w:bottom w:w="0" w:type="dxa"/>
              <w:right w:w="38" w:type="dxa"/>
            </w:tcMar>
            <w:vAlign w:val="center"/>
          </w:tcPr>
          <w:p w14:paraId="4DF13D5C" w14:textId="2D48A171"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Church, temples</w:t>
            </w:r>
          </w:p>
        </w:tc>
        <w:tc>
          <w:tcPr>
            <w:tcW w:w="1140" w:type="dxa"/>
            <w:shd w:val="clear" w:color="auto" w:fill="auto"/>
            <w:vAlign w:val="center"/>
          </w:tcPr>
          <w:p w14:paraId="3ACBD973" w14:textId="56662B5D"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19,261</w:t>
            </w:r>
          </w:p>
        </w:tc>
        <w:tc>
          <w:tcPr>
            <w:tcW w:w="1418" w:type="dxa"/>
            <w:shd w:val="clear" w:color="auto" w:fill="auto"/>
            <w:vAlign w:val="center"/>
          </w:tcPr>
          <w:p w14:paraId="289A7B48"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b/>
              </w:rPr>
              <w:t>Low</w:t>
            </w:r>
          </w:p>
          <w:p w14:paraId="49785398" w14:textId="7777777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Elec – 109</w:t>
            </w:r>
          </w:p>
          <w:p w14:paraId="3961E140" w14:textId="282BD147" w:rsidR="00CA02B4" w:rsidRPr="00E63900" w:rsidRDefault="00CA02B4" w:rsidP="002C2BE9">
            <w:pPr>
              <w:pStyle w:val="BodyText"/>
              <w:jc w:val="center"/>
              <w:rPr>
                <w:rFonts w:asciiTheme="minorHAnsi" w:hAnsiTheme="minorHAnsi" w:cstheme="minorHAnsi"/>
              </w:rPr>
            </w:pPr>
            <w:r w:rsidRPr="00E63900">
              <w:rPr>
                <w:rFonts w:asciiTheme="minorHAnsi" w:hAnsiTheme="minorHAnsi" w:cstheme="minorHAnsi"/>
              </w:rPr>
              <w:t>Gas – 4</w:t>
            </w:r>
          </w:p>
        </w:tc>
        <w:tc>
          <w:tcPr>
            <w:tcW w:w="1842" w:type="dxa"/>
            <w:shd w:val="clear" w:color="auto" w:fill="auto"/>
            <w:vAlign w:val="center"/>
          </w:tcPr>
          <w:p w14:paraId="7B0B313C" w14:textId="34084937" w:rsidR="00CA02B4" w:rsidRPr="00E63900" w:rsidRDefault="00CA02B4" w:rsidP="00CA02B4">
            <w:pPr>
              <w:pStyle w:val="BodyText"/>
              <w:rPr>
                <w:rFonts w:asciiTheme="minorHAnsi" w:hAnsiTheme="minorHAnsi" w:cstheme="minorHAnsi"/>
              </w:rPr>
            </w:pPr>
            <w:r w:rsidRPr="00E63900">
              <w:rPr>
                <w:rFonts w:asciiTheme="minorHAnsi" w:hAnsiTheme="minorHAnsi" w:cstheme="minorHAnsi"/>
                <w:b/>
              </w:rPr>
              <w:t>Assessment</w:t>
            </w:r>
            <w:r w:rsidRPr="00E63900">
              <w:rPr>
                <w:rFonts w:asciiTheme="minorHAnsi" w:hAnsiTheme="minorHAnsi" w:cstheme="minorHAnsi"/>
              </w:rPr>
              <w:t xml:space="preserve"> – creates opportunities to identify internal cost reductions </w:t>
            </w:r>
          </w:p>
        </w:tc>
        <w:tc>
          <w:tcPr>
            <w:tcW w:w="993" w:type="dxa"/>
            <w:shd w:val="clear" w:color="auto" w:fill="auto"/>
            <w:tcMar>
              <w:top w:w="15" w:type="dxa"/>
              <w:left w:w="38" w:type="dxa"/>
              <w:bottom w:w="0" w:type="dxa"/>
              <w:right w:w="38" w:type="dxa"/>
            </w:tcMar>
            <w:vAlign w:val="center"/>
          </w:tcPr>
          <w:p w14:paraId="776CB498" w14:textId="3CED9434" w:rsidR="00CA02B4" w:rsidRPr="00E63900" w:rsidRDefault="00CA02B4" w:rsidP="002C2BE9">
            <w:pPr>
              <w:pStyle w:val="BodyText"/>
              <w:jc w:val="center"/>
              <w:rPr>
                <w:rFonts w:asciiTheme="minorHAnsi" w:hAnsiTheme="minorHAnsi" w:cstheme="minorHAnsi"/>
                <w:b/>
              </w:rPr>
            </w:pPr>
            <w:r w:rsidRPr="00E63900">
              <w:rPr>
                <w:rFonts w:asciiTheme="minorHAnsi" w:hAnsiTheme="minorHAnsi" w:cstheme="minorHAnsi"/>
                <w:b/>
              </w:rPr>
              <w:t>Low</w:t>
            </w:r>
          </w:p>
        </w:tc>
        <w:tc>
          <w:tcPr>
            <w:tcW w:w="2847" w:type="dxa"/>
            <w:shd w:val="clear" w:color="auto" w:fill="auto"/>
            <w:tcMar>
              <w:top w:w="15" w:type="dxa"/>
              <w:left w:w="38" w:type="dxa"/>
              <w:bottom w:w="0" w:type="dxa"/>
              <w:right w:w="38" w:type="dxa"/>
            </w:tcMar>
            <w:vAlign w:val="center"/>
          </w:tcPr>
          <w:p w14:paraId="20591758" w14:textId="015B64D6" w:rsidR="00CA02B4" w:rsidRPr="00E63900" w:rsidRDefault="00CA02B4" w:rsidP="00CA02B4">
            <w:pPr>
              <w:pStyle w:val="BodyText"/>
              <w:rPr>
                <w:rFonts w:asciiTheme="minorHAnsi" w:hAnsiTheme="minorHAnsi" w:cstheme="minorHAnsi"/>
              </w:rPr>
            </w:pPr>
            <w:r w:rsidRPr="00E63900">
              <w:rPr>
                <w:rFonts w:asciiTheme="minorHAnsi" w:hAnsiTheme="minorHAnsi" w:cstheme="minorHAnsi"/>
              </w:rPr>
              <w:t>Greater proportion of heritage properties and limited sophistication to deal with policy may limit the capacity to support disclosures</w:t>
            </w:r>
          </w:p>
        </w:tc>
        <w:tc>
          <w:tcPr>
            <w:tcW w:w="1122" w:type="dxa"/>
            <w:shd w:val="clear" w:color="auto" w:fill="7213EA" w:themeFill="accent3"/>
            <w:tcMar>
              <w:top w:w="15" w:type="dxa"/>
              <w:left w:w="38" w:type="dxa"/>
              <w:bottom w:w="0" w:type="dxa"/>
              <w:right w:w="38" w:type="dxa"/>
            </w:tcMar>
            <w:vAlign w:val="center"/>
          </w:tcPr>
          <w:p w14:paraId="14E142A5" w14:textId="2A382655" w:rsidR="00CA02B4" w:rsidRPr="00E63900" w:rsidRDefault="00CA02B4" w:rsidP="002C2BE9">
            <w:pPr>
              <w:pStyle w:val="BodyText"/>
              <w:jc w:val="center"/>
              <w:rPr>
                <w:rFonts w:asciiTheme="minorHAnsi" w:hAnsiTheme="minorHAnsi" w:cstheme="minorHAnsi"/>
                <w:b/>
                <w:color w:val="FFFFFF" w:themeColor="background1"/>
              </w:rPr>
            </w:pPr>
            <w:r w:rsidRPr="00E63900">
              <w:rPr>
                <w:rFonts w:asciiTheme="minorHAnsi" w:hAnsiTheme="minorHAnsi" w:cstheme="minorHAnsi"/>
                <w:b/>
                <w:color w:val="FFFFFF" w:themeColor="background1"/>
              </w:rPr>
              <w:t>Third</w:t>
            </w:r>
          </w:p>
        </w:tc>
      </w:tr>
    </w:tbl>
    <w:p w14:paraId="33623B4C" w14:textId="39F9C7F1" w:rsidR="00006F0E" w:rsidRPr="00E63900" w:rsidRDefault="00006F0E" w:rsidP="00913487">
      <w:pPr>
        <w:pStyle w:val="BodyText"/>
        <w:rPr>
          <w:rFonts w:asciiTheme="minorHAnsi" w:hAnsiTheme="minorHAnsi" w:cstheme="minorHAnsi"/>
          <w:lang w:val="en-GB"/>
        </w:rPr>
      </w:pPr>
    </w:p>
    <w:p w14:paraId="35651D40" w14:textId="1CE63AA5" w:rsidR="00913487" w:rsidRPr="00E63900" w:rsidRDefault="00BC447D" w:rsidP="00913487">
      <w:pPr>
        <w:pStyle w:val="BodyText"/>
        <w:rPr>
          <w:rFonts w:asciiTheme="minorHAnsi" w:hAnsiTheme="minorHAnsi" w:cstheme="minorHAnsi"/>
          <w:lang w:val="en-GB"/>
        </w:rPr>
      </w:pPr>
      <w:r w:rsidRPr="00E63900">
        <w:rPr>
          <w:rFonts w:asciiTheme="minorHAnsi" w:hAnsiTheme="minorHAnsi" w:cstheme="minorHAnsi"/>
          <w:lang w:val="en-GB"/>
        </w:rPr>
        <w:t>Addi</w:t>
      </w:r>
      <w:r w:rsidR="00CC73D5" w:rsidRPr="00E63900">
        <w:rPr>
          <w:rFonts w:asciiTheme="minorHAnsi" w:hAnsiTheme="minorHAnsi" w:cstheme="minorHAnsi"/>
          <w:lang w:val="en-GB"/>
        </w:rPr>
        <w:t xml:space="preserve">tionally, </w:t>
      </w:r>
      <w:r w:rsidR="001B5219" w:rsidRPr="00E63900">
        <w:rPr>
          <w:rFonts w:asciiTheme="minorHAnsi" w:hAnsiTheme="minorHAnsi" w:cstheme="minorHAnsi"/>
          <w:lang w:val="en-GB"/>
        </w:rPr>
        <w:t xml:space="preserve">for those sectors covered in the first </w:t>
      </w:r>
      <w:r w:rsidR="00416379" w:rsidRPr="00E63900">
        <w:rPr>
          <w:rFonts w:asciiTheme="minorHAnsi" w:hAnsiTheme="minorHAnsi" w:cstheme="minorHAnsi"/>
          <w:lang w:val="en-GB"/>
        </w:rPr>
        <w:t xml:space="preserve">tranche of inclusions, consideration was given to the coverage point for the policy, </w:t>
      </w:r>
      <w:r w:rsidR="00416379" w:rsidRPr="008B045F">
        <w:rPr>
          <w:rFonts w:asciiTheme="minorHAnsi" w:hAnsiTheme="minorHAnsi" w:cstheme="minorHAnsi"/>
          <w:lang w:val="en-GB"/>
        </w:rPr>
        <w:t>i.e</w:t>
      </w:r>
      <w:r w:rsidR="008B045F" w:rsidRPr="008B045F">
        <w:rPr>
          <w:rFonts w:asciiTheme="minorHAnsi" w:hAnsiTheme="minorHAnsi" w:cstheme="minorHAnsi"/>
          <w:lang w:val="en-GB"/>
        </w:rPr>
        <w:t>.,</w:t>
      </w:r>
      <w:r w:rsidR="00416379" w:rsidRPr="00E63900">
        <w:rPr>
          <w:rFonts w:asciiTheme="minorHAnsi" w:hAnsiTheme="minorHAnsi" w:cstheme="minorHAnsi"/>
          <w:lang w:val="en-GB"/>
        </w:rPr>
        <w:t xml:space="preserve"> what size of buildings </w:t>
      </w:r>
      <w:r w:rsidR="00822C7B" w:rsidRPr="00E63900">
        <w:rPr>
          <w:rFonts w:asciiTheme="minorHAnsi" w:hAnsiTheme="minorHAnsi" w:cstheme="minorHAnsi"/>
          <w:lang w:val="en-GB"/>
        </w:rPr>
        <w:t xml:space="preserve">would be included in the policy. After assessing the distribution of buildings as per the table below, it was decided that </w:t>
      </w:r>
      <w:r w:rsidR="005367F5" w:rsidRPr="00E63900">
        <w:rPr>
          <w:rFonts w:asciiTheme="minorHAnsi" w:hAnsiTheme="minorHAnsi" w:cstheme="minorHAnsi"/>
          <w:lang w:val="en-GB"/>
        </w:rPr>
        <w:t>for all sectors aside from offices, buildings over 5,000m</w:t>
      </w:r>
      <w:r w:rsidR="005367F5" w:rsidRPr="00E63900">
        <w:rPr>
          <w:rFonts w:asciiTheme="minorHAnsi" w:hAnsiTheme="minorHAnsi" w:cstheme="minorHAnsi"/>
          <w:vertAlign w:val="superscript"/>
          <w:lang w:val="en-GB"/>
        </w:rPr>
        <w:t>2</w:t>
      </w:r>
      <w:r w:rsidR="005367F5" w:rsidRPr="00E63900">
        <w:rPr>
          <w:rFonts w:asciiTheme="minorHAnsi" w:hAnsiTheme="minorHAnsi" w:cstheme="minorHAnsi"/>
          <w:lang w:val="en-GB"/>
        </w:rPr>
        <w:t xml:space="preserve"> would be included. For offices, buildings over 500m</w:t>
      </w:r>
      <w:r w:rsidR="005367F5" w:rsidRPr="00E63900">
        <w:rPr>
          <w:rFonts w:asciiTheme="minorHAnsi" w:hAnsiTheme="minorHAnsi" w:cstheme="minorHAnsi"/>
          <w:vertAlign w:val="superscript"/>
          <w:lang w:val="en-GB"/>
        </w:rPr>
        <w:t>2</w:t>
      </w:r>
      <w:r w:rsidR="005367F5" w:rsidRPr="00E63900">
        <w:rPr>
          <w:rFonts w:asciiTheme="minorHAnsi" w:hAnsiTheme="minorHAnsi" w:cstheme="minorHAnsi"/>
          <w:lang w:val="en-GB"/>
        </w:rPr>
        <w:t xml:space="preserve"> would be included.</w:t>
      </w:r>
    </w:p>
    <w:p w14:paraId="403A7730" w14:textId="77777777" w:rsidR="00911EEF" w:rsidRPr="00E63900" w:rsidRDefault="00911EEF">
      <w:pPr>
        <w:spacing w:before="0" w:after="160" w:line="259" w:lineRule="auto"/>
        <w:rPr>
          <w:rFonts w:asciiTheme="minorHAnsi" w:hAnsiTheme="minorHAnsi" w:cstheme="minorHAnsi"/>
          <w:i/>
          <w:color w:val="00338D" w:themeColor="text2"/>
          <w:sz w:val="18"/>
          <w:szCs w:val="18"/>
        </w:rPr>
      </w:pPr>
      <w:r w:rsidRPr="00E63900">
        <w:rPr>
          <w:rFonts w:asciiTheme="minorHAnsi" w:hAnsiTheme="minorHAnsi" w:cstheme="minorHAnsi"/>
        </w:rPr>
        <w:br w:type="page"/>
      </w:r>
    </w:p>
    <w:p w14:paraId="43B3F287" w14:textId="184DC871" w:rsidR="00407B91" w:rsidRPr="00732C3A" w:rsidRDefault="00407B91" w:rsidP="00732C3A">
      <w:pPr>
        <w:pStyle w:val="Caption"/>
        <w:keepNext/>
        <w:spacing w:after="120"/>
        <w:rPr>
          <w:rFonts w:ascii="Calibri" w:eastAsia="Times New Roman" w:hAnsi="Calibri" w:cs="Times New Roman"/>
          <w:b/>
          <w:bCs/>
          <w:i w:val="0"/>
          <w:iCs w:val="0"/>
          <w:color w:val="auto"/>
          <w:sz w:val="24"/>
        </w:rPr>
      </w:pPr>
      <w:bookmarkStart w:id="292" w:name="_Toc162535464"/>
      <w:r w:rsidRPr="00732C3A">
        <w:rPr>
          <w:rFonts w:ascii="Calibri" w:eastAsia="Times New Roman" w:hAnsi="Calibri" w:cs="Times New Roman"/>
          <w:b/>
          <w:bCs/>
          <w:i w:val="0"/>
          <w:iCs w:val="0"/>
          <w:color w:val="auto"/>
          <w:sz w:val="24"/>
        </w:rPr>
        <w:lastRenderedPageBreak/>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 xml:space="preserve"> SEQ Table \* ARABIC </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28</w:t>
      </w:r>
      <w:r w:rsidRPr="00732C3A">
        <w:rPr>
          <w:rFonts w:ascii="Calibri" w:eastAsia="Times New Roman" w:hAnsi="Calibri" w:cs="Times New Roman"/>
          <w:b/>
          <w:bCs/>
          <w:i w:val="0"/>
          <w:iCs w:val="0"/>
          <w:color w:val="auto"/>
          <w:sz w:val="24"/>
        </w:rPr>
        <w:fldChar w:fldCharType="end"/>
      </w:r>
      <w:r w:rsidR="009374AC" w:rsidRPr="00732C3A">
        <w:rPr>
          <w:rFonts w:ascii="Calibri" w:eastAsia="Times New Roman" w:hAnsi="Calibri" w:cs="Times New Roman"/>
          <w:b/>
          <w:bCs/>
          <w:i w:val="0"/>
          <w:iCs w:val="0"/>
          <w:color w:val="auto"/>
          <w:sz w:val="24"/>
        </w:rPr>
        <w:t>:</w:t>
      </w:r>
      <w:r w:rsidRPr="00732C3A">
        <w:rPr>
          <w:rFonts w:ascii="Calibri" w:eastAsia="Times New Roman" w:hAnsi="Calibri" w:cs="Times New Roman"/>
          <w:b/>
          <w:bCs/>
          <w:i w:val="0"/>
          <w:iCs w:val="0"/>
          <w:color w:val="auto"/>
          <w:sz w:val="24"/>
        </w:rPr>
        <w:t xml:space="preserve"> Distribution of buildings in each sector</w:t>
      </w:r>
      <w:bookmarkEnd w:id="292"/>
    </w:p>
    <w:tbl>
      <w:tblPr>
        <w:tblW w:w="14380" w:type="dxa"/>
        <w:tblCellMar>
          <w:left w:w="0" w:type="dxa"/>
          <w:right w:w="0" w:type="dxa"/>
        </w:tblCellMar>
        <w:tblLook w:val="04A0" w:firstRow="1" w:lastRow="0" w:firstColumn="1" w:lastColumn="0" w:noHBand="0" w:noVBand="1"/>
      </w:tblPr>
      <w:tblGrid>
        <w:gridCol w:w="3797"/>
        <w:gridCol w:w="837"/>
        <w:gridCol w:w="758"/>
        <w:gridCol w:w="739"/>
        <w:gridCol w:w="639"/>
        <w:gridCol w:w="639"/>
        <w:gridCol w:w="640"/>
        <w:gridCol w:w="719"/>
        <w:gridCol w:w="739"/>
        <w:gridCol w:w="778"/>
        <w:gridCol w:w="760"/>
        <w:gridCol w:w="879"/>
        <w:gridCol w:w="1139"/>
        <w:gridCol w:w="1317"/>
      </w:tblGrid>
      <w:tr w:rsidR="00204A53" w:rsidRPr="00204A53" w14:paraId="134F458D" w14:textId="77777777" w:rsidTr="00BF0717">
        <w:trPr>
          <w:trHeight w:val="826"/>
        </w:trPr>
        <w:tc>
          <w:tcPr>
            <w:tcW w:w="3797"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58BD652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2-digit Primary Purpose Type</w:t>
            </w:r>
          </w:p>
        </w:tc>
        <w:tc>
          <w:tcPr>
            <w:tcW w:w="837"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74DD89C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50 -        99 m</w:t>
            </w:r>
            <w:r w:rsidRPr="00E63900">
              <w:rPr>
                <w:rFonts w:asciiTheme="minorHAnsi" w:hAnsiTheme="minorHAnsi" w:cstheme="minorHAnsi"/>
                <w:b/>
                <w:vertAlign w:val="superscript"/>
              </w:rPr>
              <w:t>2</w:t>
            </w:r>
          </w:p>
        </w:tc>
        <w:tc>
          <w:tcPr>
            <w:tcW w:w="758"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71FBEC5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100 -        199 m</w:t>
            </w:r>
            <w:r w:rsidRPr="00E63900">
              <w:rPr>
                <w:rFonts w:asciiTheme="minorHAnsi" w:hAnsiTheme="minorHAnsi" w:cstheme="minorHAnsi"/>
                <w:b/>
                <w:vertAlign w:val="superscript"/>
              </w:rPr>
              <w:t>2</w:t>
            </w:r>
          </w:p>
        </w:tc>
        <w:tc>
          <w:tcPr>
            <w:tcW w:w="739"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68A5A27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200 -     299 m</w:t>
            </w:r>
            <w:r w:rsidRPr="00E63900">
              <w:rPr>
                <w:rFonts w:asciiTheme="minorHAnsi" w:hAnsiTheme="minorHAnsi" w:cstheme="minorHAnsi"/>
                <w:b/>
                <w:vertAlign w:val="superscript"/>
              </w:rPr>
              <w:t>2</w:t>
            </w:r>
          </w:p>
        </w:tc>
        <w:tc>
          <w:tcPr>
            <w:tcW w:w="639"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35575EC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300-       399 m</w:t>
            </w:r>
            <w:r w:rsidRPr="00E63900">
              <w:rPr>
                <w:rFonts w:asciiTheme="minorHAnsi" w:hAnsiTheme="minorHAnsi" w:cstheme="minorHAnsi"/>
                <w:b/>
                <w:vertAlign w:val="superscript"/>
              </w:rPr>
              <w:t>2</w:t>
            </w:r>
          </w:p>
        </w:tc>
        <w:tc>
          <w:tcPr>
            <w:tcW w:w="639"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73DB585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400 -      499 m</w:t>
            </w:r>
            <w:r w:rsidRPr="00E63900">
              <w:rPr>
                <w:rFonts w:asciiTheme="minorHAnsi" w:hAnsiTheme="minorHAnsi" w:cstheme="minorHAnsi"/>
                <w:b/>
                <w:vertAlign w:val="superscript"/>
              </w:rPr>
              <w:t>2</w:t>
            </w:r>
          </w:p>
        </w:tc>
        <w:tc>
          <w:tcPr>
            <w:tcW w:w="640"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40DA262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500 -   999 m</w:t>
            </w:r>
            <w:r w:rsidRPr="00E63900">
              <w:rPr>
                <w:rFonts w:asciiTheme="minorHAnsi" w:hAnsiTheme="minorHAnsi" w:cstheme="minorHAnsi"/>
                <w:b/>
                <w:vertAlign w:val="superscript"/>
              </w:rPr>
              <w:t>2</w:t>
            </w:r>
          </w:p>
        </w:tc>
        <w:tc>
          <w:tcPr>
            <w:tcW w:w="719"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0BF77B5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1,000-1,999 m</w:t>
            </w:r>
            <w:r w:rsidRPr="00E63900">
              <w:rPr>
                <w:rFonts w:asciiTheme="minorHAnsi" w:hAnsiTheme="minorHAnsi" w:cstheme="minorHAnsi"/>
                <w:b/>
                <w:vertAlign w:val="superscript"/>
              </w:rPr>
              <w:t>2</w:t>
            </w:r>
          </w:p>
        </w:tc>
        <w:tc>
          <w:tcPr>
            <w:tcW w:w="739"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3042ACA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2,000-4,999 m</w:t>
            </w:r>
            <w:r w:rsidRPr="00E63900">
              <w:rPr>
                <w:rFonts w:asciiTheme="minorHAnsi" w:hAnsiTheme="minorHAnsi" w:cstheme="minorHAnsi"/>
                <w:b/>
                <w:vertAlign w:val="superscript"/>
              </w:rPr>
              <w:t>2</w:t>
            </w:r>
          </w:p>
        </w:tc>
        <w:tc>
          <w:tcPr>
            <w:tcW w:w="778" w:type="dxa"/>
            <w:tcBorders>
              <w:top w:val="single" w:sz="8" w:space="0" w:color="1E49E2"/>
              <w:left w:val="nil"/>
              <w:bottom w:val="single" w:sz="18" w:space="0" w:color="FF0000"/>
              <w:right w:val="nil"/>
            </w:tcBorders>
            <w:shd w:val="clear" w:color="auto" w:fill="auto"/>
            <w:tcMar>
              <w:top w:w="15" w:type="dxa"/>
              <w:left w:w="15" w:type="dxa"/>
              <w:bottom w:w="0" w:type="dxa"/>
              <w:right w:w="15" w:type="dxa"/>
            </w:tcMar>
            <w:vAlign w:val="center"/>
            <w:hideMark/>
          </w:tcPr>
          <w:p w14:paraId="08E5DDB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5,000-9,999 m</w:t>
            </w:r>
            <w:r w:rsidRPr="00E63900">
              <w:rPr>
                <w:rFonts w:asciiTheme="minorHAnsi" w:hAnsiTheme="minorHAnsi" w:cstheme="minorHAnsi"/>
                <w:b/>
                <w:vertAlign w:val="superscript"/>
              </w:rPr>
              <w:t>2</w:t>
            </w:r>
          </w:p>
        </w:tc>
        <w:tc>
          <w:tcPr>
            <w:tcW w:w="760" w:type="dxa"/>
            <w:tcBorders>
              <w:top w:val="single" w:sz="8" w:space="0" w:color="1E49E2"/>
              <w:left w:val="nil"/>
              <w:bottom w:val="single" w:sz="18" w:space="0" w:color="FF0000"/>
              <w:right w:val="nil"/>
            </w:tcBorders>
            <w:shd w:val="clear" w:color="auto" w:fill="auto"/>
            <w:tcMar>
              <w:top w:w="15" w:type="dxa"/>
              <w:left w:w="15" w:type="dxa"/>
              <w:bottom w:w="0" w:type="dxa"/>
              <w:right w:w="15" w:type="dxa"/>
            </w:tcMar>
            <w:vAlign w:val="center"/>
            <w:hideMark/>
          </w:tcPr>
          <w:p w14:paraId="757813B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10,000-19,999 m</w:t>
            </w:r>
            <w:r w:rsidRPr="00E63900">
              <w:rPr>
                <w:rFonts w:asciiTheme="minorHAnsi" w:hAnsiTheme="minorHAnsi" w:cstheme="minorHAnsi"/>
                <w:b/>
                <w:vertAlign w:val="superscript"/>
              </w:rPr>
              <w:t>2</w:t>
            </w:r>
          </w:p>
        </w:tc>
        <w:tc>
          <w:tcPr>
            <w:tcW w:w="879" w:type="dxa"/>
            <w:tcBorders>
              <w:top w:val="single" w:sz="8" w:space="0" w:color="1E49E2"/>
              <w:left w:val="nil"/>
              <w:bottom w:val="single" w:sz="18" w:space="0" w:color="FF0000"/>
              <w:right w:val="nil"/>
            </w:tcBorders>
            <w:shd w:val="clear" w:color="auto" w:fill="auto"/>
            <w:tcMar>
              <w:top w:w="15" w:type="dxa"/>
              <w:left w:w="15" w:type="dxa"/>
              <w:bottom w:w="0" w:type="dxa"/>
              <w:right w:w="15" w:type="dxa"/>
            </w:tcMar>
            <w:vAlign w:val="center"/>
            <w:hideMark/>
          </w:tcPr>
          <w:p w14:paraId="1A9949F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20,000+ m</w:t>
            </w:r>
            <w:r w:rsidRPr="00E63900">
              <w:rPr>
                <w:rFonts w:asciiTheme="minorHAnsi" w:hAnsiTheme="minorHAnsi" w:cstheme="minorHAnsi"/>
                <w:b/>
                <w:vertAlign w:val="superscript"/>
              </w:rPr>
              <w:t>2</w:t>
            </w:r>
          </w:p>
        </w:tc>
        <w:tc>
          <w:tcPr>
            <w:tcW w:w="1139"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05B6832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Proportion of buildings covered</w:t>
            </w:r>
          </w:p>
        </w:tc>
        <w:tc>
          <w:tcPr>
            <w:tcW w:w="1317" w:type="dxa"/>
            <w:tcBorders>
              <w:top w:val="single" w:sz="8" w:space="0" w:color="1E49E2"/>
              <w:left w:val="nil"/>
              <w:bottom w:val="single" w:sz="8" w:space="0" w:color="1E49E2"/>
              <w:right w:val="nil"/>
            </w:tcBorders>
            <w:shd w:val="clear" w:color="auto" w:fill="auto"/>
            <w:tcMar>
              <w:top w:w="15" w:type="dxa"/>
              <w:left w:w="15" w:type="dxa"/>
              <w:bottom w:w="0" w:type="dxa"/>
              <w:right w:w="15" w:type="dxa"/>
            </w:tcMar>
            <w:vAlign w:val="center"/>
            <w:hideMark/>
          </w:tcPr>
          <w:p w14:paraId="45D18E5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Proportion of floorspace covered</w:t>
            </w:r>
          </w:p>
        </w:tc>
      </w:tr>
      <w:tr w:rsidR="00797133" w:rsidRPr="00204A53" w14:paraId="778B6901" w14:textId="77777777" w:rsidTr="00603FD4">
        <w:trPr>
          <w:trHeight w:val="371"/>
        </w:trPr>
        <w:tc>
          <w:tcPr>
            <w:tcW w:w="3797"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632BFBC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Retail and wholesale trade buildings</w:t>
            </w:r>
          </w:p>
        </w:tc>
        <w:tc>
          <w:tcPr>
            <w:tcW w:w="837"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2967CF8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5.6%</w:t>
            </w:r>
          </w:p>
        </w:tc>
        <w:tc>
          <w:tcPr>
            <w:tcW w:w="758"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0E92132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8.2%</w:t>
            </w:r>
          </w:p>
        </w:tc>
        <w:tc>
          <w:tcPr>
            <w:tcW w:w="739"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14F5FBE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6.5%</w:t>
            </w:r>
          </w:p>
        </w:tc>
        <w:tc>
          <w:tcPr>
            <w:tcW w:w="639"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3BCE08B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6.1%</w:t>
            </w:r>
          </w:p>
        </w:tc>
        <w:tc>
          <w:tcPr>
            <w:tcW w:w="639"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6A30291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5.3%</w:t>
            </w:r>
          </w:p>
        </w:tc>
        <w:tc>
          <w:tcPr>
            <w:tcW w:w="640"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54A6544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14.2%</w:t>
            </w:r>
          </w:p>
        </w:tc>
        <w:tc>
          <w:tcPr>
            <w:tcW w:w="719"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0BFC866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11.7%</w:t>
            </w:r>
          </w:p>
        </w:tc>
        <w:tc>
          <w:tcPr>
            <w:tcW w:w="739" w:type="dxa"/>
            <w:tcBorders>
              <w:top w:val="single" w:sz="8" w:space="0" w:color="1E49E2"/>
              <w:left w:val="nil"/>
              <w:bottom w:val="nil"/>
              <w:right w:val="single" w:sz="18" w:space="0" w:color="FF0000"/>
            </w:tcBorders>
            <w:shd w:val="clear" w:color="auto" w:fill="auto"/>
            <w:tcMar>
              <w:top w:w="15" w:type="dxa"/>
              <w:left w:w="15" w:type="dxa"/>
              <w:bottom w:w="0" w:type="dxa"/>
              <w:right w:w="15" w:type="dxa"/>
            </w:tcMar>
            <w:vAlign w:val="center"/>
            <w:hideMark/>
          </w:tcPr>
          <w:p w14:paraId="71BD105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14.7%</w:t>
            </w:r>
          </w:p>
        </w:tc>
        <w:tc>
          <w:tcPr>
            <w:tcW w:w="778"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7D29655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7.8%</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3820FB2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10.1%</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644F73C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9.7%</w:t>
            </w:r>
          </w:p>
        </w:tc>
        <w:tc>
          <w:tcPr>
            <w:tcW w:w="1139" w:type="dxa"/>
            <w:tcBorders>
              <w:top w:val="single" w:sz="8" w:space="0" w:color="1E49E2"/>
              <w:left w:val="single" w:sz="18" w:space="0" w:color="FF0000"/>
              <w:bottom w:val="nil"/>
              <w:right w:val="nil"/>
            </w:tcBorders>
            <w:shd w:val="clear" w:color="auto" w:fill="auto"/>
            <w:tcMar>
              <w:top w:w="15" w:type="dxa"/>
              <w:left w:w="15" w:type="dxa"/>
              <w:bottom w:w="0" w:type="dxa"/>
              <w:right w:w="15" w:type="dxa"/>
            </w:tcMar>
            <w:vAlign w:val="center"/>
            <w:hideMark/>
          </w:tcPr>
          <w:p w14:paraId="5718D7F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27.63%</w:t>
            </w:r>
          </w:p>
        </w:tc>
        <w:tc>
          <w:tcPr>
            <w:tcW w:w="1317" w:type="dxa"/>
            <w:tcBorders>
              <w:top w:val="single" w:sz="8" w:space="0" w:color="1E49E2"/>
              <w:left w:val="nil"/>
              <w:bottom w:val="nil"/>
              <w:right w:val="nil"/>
            </w:tcBorders>
            <w:shd w:val="clear" w:color="auto" w:fill="auto"/>
            <w:tcMar>
              <w:top w:w="15" w:type="dxa"/>
              <w:left w:w="15" w:type="dxa"/>
              <w:bottom w:w="0" w:type="dxa"/>
              <w:right w:w="15" w:type="dxa"/>
            </w:tcMar>
            <w:vAlign w:val="center"/>
            <w:hideMark/>
          </w:tcPr>
          <w:p w14:paraId="6F219CD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46-87%</w:t>
            </w:r>
          </w:p>
        </w:tc>
      </w:tr>
      <w:tr w:rsidR="00204A53" w:rsidRPr="00204A53" w14:paraId="314796B3" w14:textId="77777777" w:rsidTr="00BF0717">
        <w:trPr>
          <w:trHeight w:val="474"/>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3A48377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Factories and other secondary production buildings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7F856E1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27.8%</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3CDCF3E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8.9%</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0385712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1.9%</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3151F02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7.8%</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2F76067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1.6%</w:t>
            </w:r>
          </w:p>
        </w:tc>
        <w:tc>
          <w:tcPr>
            <w:tcW w:w="640"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5DE2F35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7.3%</w:t>
            </w:r>
          </w:p>
        </w:tc>
        <w:tc>
          <w:tcPr>
            <w:tcW w:w="719"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669D86C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9.1%</w:t>
            </w:r>
          </w:p>
        </w:tc>
        <w:tc>
          <w:tcPr>
            <w:tcW w:w="739"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4449438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17.8%</w:t>
            </w:r>
          </w:p>
        </w:tc>
        <w:tc>
          <w:tcPr>
            <w:tcW w:w="778"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49B0A92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6.2%</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1956E4F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2.0%</w:t>
            </w:r>
          </w:p>
        </w:tc>
        <w:tc>
          <w:tcPr>
            <w:tcW w:w="879"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359B75E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9.6%</w:t>
            </w:r>
          </w:p>
        </w:tc>
        <w:tc>
          <w:tcPr>
            <w:tcW w:w="1139" w:type="dxa"/>
            <w:tcBorders>
              <w:top w:val="nil"/>
              <w:left w:val="nil"/>
              <w:bottom w:val="nil"/>
              <w:right w:val="nil"/>
            </w:tcBorders>
            <w:shd w:val="clear" w:color="auto" w:fill="auto"/>
            <w:tcMar>
              <w:top w:w="15" w:type="dxa"/>
              <w:left w:w="15" w:type="dxa"/>
              <w:bottom w:w="0" w:type="dxa"/>
              <w:right w:w="15" w:type="dxa"/>
            </w:tcMar>
            <w:vAlign w:val="center"/>
            <w:hideMark/>
          </w:tcPr>
          <w:p w14:paraId="28062CE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17.80%</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0FF47C0C" w14:textId="77777777" w:rsidR="00204A53" w:rsidRPr="00E63900" w:rsidRDefault="00204A53" w:rsidP="00204A53">
            <w:pPr>
              <w:pStyle w:val="BodyText"/>
              <w:rPr>
                <w:rFonts w:asciiTheme="minorHAnsi" w:hAnsiTheme="minorHAnsi" w:cstheme="minorHAnsi"/>
              </w:rPr>
            </w:pPr>
          </w:p>
        </w:tc>
      </w:tr>
      <w:tr w:rsidR="00797133" w:rsidRPr="00204A53" w14:paraId="3E52717F" w14:textId="77777777" w:rsidTr="00603FD4">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226D2FA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Offices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51CA500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4.1%</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596D942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5.4%</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5BDA8EE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3.6%</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6AA9778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2.7%</w:t>
            </w:r>
          </w:p>
        </w:tc>
        <w:tc>
          <w:tcPr>
            <w:tcW w:w="639" w:type="dxa"/>
            <w:tcBorders>
              <w:top w:val="nil"/>
              <w:left w:val="nil"/>
              <w:bottom w:val="nil"/>
              <w:right w:val="single" w:sz="18" w:space="0" w:color="FF0000"/>
            </w:tcBorders>
            <w:shd w:val="clear" w:color="auto" w:fill="auto"/>
            <w:tcMar>
              <w:top w:w="15" w:type="dxa"/>
              <w:left w:w="15" w:type="dxa"/>
              <w:bottom w:w="0" w:type="dxa"/>
              <w:right w:w="15" w:type="dxa"/>
            </w:tcMar>
            <w:vAlign w:val="center"/>
            <w:hideMark/>
          </w:tcPr>
          <w:p w14:paraId="025C668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3.4%</w:t>
            </w:r>
          </w:p>
        </w:tc>
        <w:tc>
          <w:tcPr>
            <w:tcW w:w="640"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2DD6A1D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11.7%</w:t>
            </w:r>
          </w:p>
        </w:tc>
        <w:tc>
          <w:tcPr>
            <w:tcW w:w="719"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1E0A6EB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14.6%</w:t>
            </w:r>
          </w:p>
        </w:tc>
        <w:tc>
          <w:tcPr>
            <w:tcW w:w="739"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1145941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22.8%</w:t>
            </w:r>
          </w:p>
        </w:tc>
        <w:tc>
          <w:tcPr>
            <w:tcW w:w="778"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354FA9C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15.9%</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4C31D6B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7.7%</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2F0721F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8.2%</w:t>
            </w:r>
          </w:p>
        </w:tc>
        <w:tc>
          <w:tcPr>
            <w:tcW w:w="1139" w:type="dxa"/>
            <w:tcBorders>
              <w:top w:val="nil"/>
              <w:left w:val="single" w:sz="18" w:space="0" w:color="FF0000"/>
              <w:bottom w:val="nil"/>
              <w:right w:val="nil"/>
            </w:tcBorders>
            <w:shd w:val="clear" w:color="auto" w:fill="auto"/>
            <w:tcMar>
              <w:top w:w="15" w:type="dxa"/>
              <w:left w:w="15" w:type="dxa"/>
              <w:bottom w:w="0" w:type="dxa"/>
              <w:right w:w="15" w:type="dxa"/>
            </w:tcMar>
            <w:vAlign w:val="center"/>
            <w:hideMark/>
          </w:tcPr>
          <w:p w14:paraId="3FAFDC4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80.76%</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58A147F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96%</w:t>
            </w:r>
          </w:p>
        </w:tc>
      </w:tr>
      <w:tr w:rsidR="00204A53" w:rsidRPr="00204A53" w14:paraId="198F7890" w14:textId="77777777" w:rsidTr="00BF0717">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7BD8F9C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Warehouses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4DF2ABD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7.1%</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71B8519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12.7%</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471E136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14.3%</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67DBF7D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5.4%</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7CC0CD1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3.2%</w:t>
            </w:r>
          </w:p>
        </w:tc>
        <w:tc>
          <w:tcPr>
            <w:tcW w:w="640"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0B8A176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12.7%</w:t>
            </w:r>
          </w:p>
        </w:tc>
        <w:tc>
          <w:tcPr>
            <w:tcW w:w="719"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4BB1592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14.8%</w:t>
            </w:r>
          </w:p>
        </w:tc>
        <w:tc>
          <w:tcPr>
            <w:tcW w:w="739" w:type="dxa"/>
            <w:tcBorders>
              <w:top w:val="single" w:sz="18" w:space="0" w:color="FF0000"/>
              <w:left w:val="nil"/>
              <w:bottom w:val="nil"/>
              <w:right w:val="single" w:sz="18" w:space="0" w:color="FF0000"/>
            </w:tcBorders>
            <w:shd w:val="clear" w:color="auto" w:fill="auto"/>
            <w:tcMar>
              <w:top w:w="15" w:type="dxa"/>
              <w:left w:w="15" w:type="dxa"/>
              <w:bottom w:w="0" w:type="dxa"/>
              <w:right w:w="15" w:type="dxa"/>
            </w:tcMar>
            <w:vAlign w:val="center"/>
            <w:hideMark/>
          </w:tcPr>
          <w:p w14:paraId="6DB5517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15.2%</w:t>
            </w:r>
          </w:p>
        </w:tc>
        <w:tc>
          <w:tcPr>
            <w:tcW w:w="778"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6002C2C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7.0%</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64F64A7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5792B33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6.1%</w:t>
            </w:r>
          </w:p>
        </w:tc>
        <w:tc>
          <w:tcPr>
            <w:tcW w:w="1139" w:type="dxa"/>
            <w:tcBorders>
              <w:top w:val="nil"/>
              <w:left w:val="single" w:sz="18" w:space="0" w:color="FF0000"/>
              <w:bottom w:val="nil"/>
              <w:right w:val="nil"/>
            </w:tcBorders>
            <w:shd w:val="clear" w:color="auto" w:fill="auto"/>
            <w:tcMar>
              <w:top w:w="15" w:type="dxa"/>
              <w:left w:w="15" w:type="dxa"/>
              <w:bottom w:w="0" w:type="dxa"/>
              <w:right w:w="15" w:type="dxa"/>
            </w:tcMar>
            <w:vAlign w:val="center"/>
            <w:hideMark/>
          </w:tcPr>
          <w:p w14:paraId="31F1D02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14.51%</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24CAF7C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34%</w:t>
            </w:r>
          </w:p>
        </w:tc>
      </w:tr>
      <w:tr w:rsidR="00797133" w:rsidRPr="00204A53" w14:paraId="54C06DC6" w14:textId="77777777" w:rsidTr="00603FD4">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3010F0C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Short term accommodation buildings*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14F29CB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25.7%</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3A7249A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15.2%</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4D80889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7.8%</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5704415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6.6%</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594CCEC6"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3.4%</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72A5660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10.1%</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4E48348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11.1%</w:t>
            </w:r>
          </w:p>
        </w:tc>
        <w:tc>
          <w:tcPr>
            <w:tcW w:w="739" w:type="dxa"/>
            <w:tcBorders>
              <w:top w:val="nil"/>
              <w:left w:val="nil"/>
              <w:bottom w:val="nil"/>
              <w:right w:val="single" w:sz="18" w:space="0" w:color="FF0000"/>
            </w:tcBorders>
            <w:shd w:val="clear" w:color="auto" w:fill="auto"/>
            <w:tcMar>
              <w:top w:w="15" w:type="dxa"/>
              <w:left w:w="15" w:type="dxa"/>
              <w:bottom w:w="0" w:type="dxa"/>
              <w:right w:w="15" w:type="dxa"/>
            </w:tcMar>
            <w:vAlign w:val="center"/>
            <w:hideMark/>
          </w:tcPr>
          <w:p w14:paraId="4313B6A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9.3%</w:t>
            </w:r>
          </w:p>
        </w:tc>
        <w:tc>
          <w:tcPr>
            <w:tcW w:w="778"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6652BA1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4.4%</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0EBA28F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4.0%</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16C2B4C6"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2.4%</w:t>
            </w:r>
          </w:p>
        </w:tc>
        <w:tc>
          <w:tcPr>
            <w:tcW w:w="1139" w:type="dxa"/>
            <w:tcBorders>
              <w:top w:val="nil"/>
              <w:left w:val="single" w:sz="18" w:space="0" w:color="FF0000"/>
              <w:bottom w:val="nil"/>
              <w:right w:val="nil"/>
            </w:tcBorders>
            <w:shd w:val="clear" w:color="auto" w:fill="auto"/>
            <w:tcMar>
              <w:top w:w="15" w:type="dxa"/>
              <w:left w:w="15" w:type="dxa"/>
              <w:bottom w:w="0" w:type="dxa"/>
              <w:right w:w="15" w:type="dxa"/>
            </w:tcMar>
            <w:vAlign w:val="center"/>
            <w:hideMark/>
          </w:tcPr>
          <w:p w14:paraId="469DBB0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10.83%</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2C1C4CF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46%</w:t>
            </w:r>
          </w:p>
        </w:tc>
      </w:tr>
      <w:tr w:rsidR="00204A53" w:rsidRPr="00204A53" w14:paraId="65CDC183" w14:textId="77777777" w:rsidTr="00BF0717">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754035E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Entertainment and recreation buildings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3B61754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8.1%</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24DCF6D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11.7%</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4BF66BF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9.1%</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47990F7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7.6%</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55F22FA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4.8%</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471BE09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14.2%</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13837AB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12.1%</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3607760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13.3%</w:t>
            </w:r>
          </w:p>
        </w:tc>
        <w:tc>
          <w:tcPr>
            <w:tcW w:w="778"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5746CEB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8.3%</w:t>
            </w:r>
          </w:p>
        </w:tc>
        <w:tc>
          <w:tcPr>
            <w:tcW w:w="760"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52743D5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6.5%</w:t>
            </w:r>
          </w:p>
        </w:tc>
        <w:tc>
          <w:tcPr>
            <w:tcW w:w="879"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5061C856"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4.3%</w:t>
            </w:r>
          </w:p>
        </w:tc>
        <w:tc>
          <w:tcPr>
            <w:tcW w:w="1139" w:type="dxa"/>
            <w:tcBorders>
              <w:top w:val="nil"/>
              <w:left w:val="nil"/>
              <w:bottom w:val="nil"/>
              <w:right w:val="nil"/>
            </w:tcBorders>
            <w:shd w:val="clear" w:color="auto" w:fill="auto"/>
            <w:tcMar>
              <w:top w:w="15" w:type="dxa"/>
              <w:left w:w="15" w:type="dxa"/>
              <w:bottom w:w="0" w:type="dxa"/>
              <w:right w:w="15" w:type="dxa"/>
            </w:tcMar>
            <w:vAlign w:val="center"/>
            <w:hideMark/>
          </w:tcPr>
          <w:p w14:paraId="524F58A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19.09%</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49087DC5" w14:textId="77777777" w:rsidR="00204A53" w:rsidRPr="00E63900" w:rsidRDefault="00204A53" w:rsidP="00204A53">
            <w:pPr>
              <w:pStyle w:val="BodyText"/>
              <w:rPr>
                <w:rFonts w:asciiTheme="minorHAnsi" w:hAnsiTheme="minorHAnsi" w:cstheme="minorHAnsi"/>
              </w:rPr>
            </w:pPr>
          </w:p>
        </w:tc>
      </w:tr>
      <w:tr w:rsidR="00797133" w:rsidRPr="00204A53" w14:paraId="562546AD" w14:textId="77777777" w:rsidTr="00603FD4">
        <w:trPr>
          <w:trHeight w:val="480"/>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21859B5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Agricultural and aquacultural buildings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1DA5A09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18.2%</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760E92F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19.1%</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28295DA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8.5%</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55FAD1F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3.7%</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1255EC1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3.2%</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054DFAE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10.7%</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1B9F48A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9.7%</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48B24B1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8.3%</w:t>
            </w:r>
          </w:p>
        </w:tc>
        <w:tc>
          <w:tcPr>
            <w:tcW w:w="778"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7AF77BD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5.2%</w:t>
            </w:r>
          </w:p>
        </w:tc>
        <w:tc>
          <w:tcPr>
            <w:tcW w:w="760"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0356895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8.1%</w:t>
            </w:r>
          </w:p>
        </w:tc>
        <w:tc>
          <w:tcPr>
            <w:tcW w:w="879"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29DFF59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5.3%</w:t>
            </w:r>
          </w:p>
        </w:tc>
        <w:tc>
          <w:tcPr>
            <w:tcW w:w="1139" w:type="dxa"/>
            <w:tcBorders>
              <w:top w:val="nil"/>
              <w:left w:val="nil"/>
              <w:bottom w:val="nil"/>
              <w:right w:val="nil"/>
            </w:tcBorders>
            <w:shd w:val="clear" w:color="auto" w:fill="auto"/>
            <w:tcMar>
              <w:top w:w="15" w:type="dxa"/>
              <w:left w:w="15" w:type="dxa"/>
              <w:bottom w:w="0" w:type="dxa"/>
              <w:right w:w="15" w:type="dxa"/>
            </w:tcMar>
            <w:vAlign w:val="center"/>
            <w:hideMark/>
          </w:tcPr>
          <w:p w14:paraId="0FDEA9E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18.65%</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6C2803C3" w14:textId="77777777" w:rsidR="00204A53" w:rsidRPr="00E63900" w:rsidRDefault="00204A53" w:rsidP="00204A53">
            <w:pPr>
              <w:pStyle w:val="BodyText"/>
              <w:rPr>
                <w:rFonts w:asciiTheme="minorHAnsi" w:hAnsiTheme="minorHAnsi" w:cstheme="minorHAnsi"/>
              </w:rPr>
            </w:pPr>
          </w:p>
        </w:tc>
      </w:tr>
      <w:tr w:rsidR="00204A53" w:rsidRPr="00204A53" w14:paraId="66AAC4E8" w14:textId="77777777" w:rsidTr="00BF0717">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6F1537F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Education buildings*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1C118FE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13.5%</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68CB0E66"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13.9%</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50F44BB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7.5%</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4708FA6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4.7%</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3E7B1C3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3.8%</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13F6E2F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12.5%</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016E0E4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11.7%</w:t>
            </w:r>
          </w:p>
        </w:tc>
        <w:tc>
          <w:tcPr>
            <w:tcW w:w="739" w:type="dxa"/>
            <w:tcBorders>
              <w:top w:val="nil"/>
              <w:left w:val="nil"/>
              <w:bottom w:val="nil"/>
              <w:right w:val="single" w:sz="18" w:space="0" w:color="FF0000"/>
            </w:tcBorders>
            <w:shd w:val="clear" w:color="auto" w:fill="auto"/>
            <w:tcMar>
              <w:top w:w="15" w:type="dxa"/>
              <w:left w:w="15" w:type="dxa"/>
              <w:bottom w:w="0" w:type="dxa"/>
              <w:right w:w="15" w:type="dxa"/>
            </w:tcMar>
            <w:vAlign w:val="center"/>
            <w:hideMark/>
          </w:tcPr>
          <w:p w14:paraId="76266686"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12.3%</w:t>
            </w:r>
          </w:p>
        </w:tc>
        <w:tc>
          <w:tcPr>
            <w:tcW w:w="778"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3A380D6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7.1%</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13661A6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6.6%</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4F10BFC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6.4%</w:t>
            </w:r>
          </w:p>
        </w:tc>
        <w:tc>
          <w:tcPr>
            <w:tcW w:w="1139" w:type="dxa"/>
            <w:tcBorders>
              <w:top w:val="nil"/>
              <w:left w:val="single" w:sz="18" w:space="0" w:color="FF0000"/>
              <w:bottom w:val="nil"/>
              <w:right w:val="nil"/>
            </w:tcBorders>
            <w:shd w:val="clear" w:color="auto" w:fill="auto"/>
            <w:tcMar>
              <w:top w:w="15" w:type="dxa"/>
              <w:left w:w="15" w:type="dxa"/>
              <w:bottom w:w="0" w:type="dxa"/>
              <w:right w:w="15" w:type="dxa"/>
            </w:tcMar>
            <w:vAlign w:val="center"/>
            <w:hideMark/>
          </w:tcPr>
          <w:p w14:paraId="509A42F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20.13%</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4908838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60%</w:t>
            </w:r>
          </w:p>
        </w:tc>
      </w:tr>
      <w:tr w:rsidR="00797133" w:rsidRPr="00204A53" w14:paraId="6A9BA1DB" w14:textId="77777777" w:rsidTr="00603FD4">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4050E39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 xml:space="preserve">Non-residential buildings </w:t>
            </w:r>
            <w:proofErr w:type="spellStart"/>
            <w:r w:rsidRPr="00E63900">
              <w:rPr>
                <w:rFonts w:asciiTheme="minorHAnsi" w:hAnsiTheme="minorHAnsi" w:cstheme="minorHAnsi"/>
                <w:b/>
              </w:rPr>
              <w:t>nec</w:t>
            </w:r>
            <w:proofErr w:type="spellEnd"/>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7A3782C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35.0%</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3EA1CAB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27.4%</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5FEB8D9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12.0%</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6AA417B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6.1%</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342EF8B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3.6%</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090741A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7.9%</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766F0CC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4.5%</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1D49BEA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2.3%</w:t>
            </w:r>
          </w:p>
        </w:tc>
        <w:tc>
          <w:tcPr>
            <w:tcW w:w="778"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3122F10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0.7%</w:t>
            </w:r>
          </w:p>
        </w:tc>
        <w:tc>
          <w:tcPr>
            <w:tcW w:w="760"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2486029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0.4%</w:t>
            </w:r>
          </w:p>
        </w:tc>
        <w:tc>
          <w:tcPr>
            <w:tcW w:w="879" w:type="dxa"/>
            <w:tcBorders>
              <w:top w:val="single" w:sz="18" w:space="0" w:color="FF0000"/>
              <w:left w:val="nil"/>
              <w:bottom w:val="nil"/>
              <w:right w:val="nil"/>
            </w:tcBorders>
            <w:shd w:val="clear" w:color="auto" w:fill="auto"/>
            <w:tcMar>
              <w:top w:w="15" w:type="dxa"/>
              <w:left w:w="15" w:type="dxa"/>
              <w:bottom w:w="0" w:type="dxa"/>
              <w:right w:w="15" w:type="dxa"/>
            </w:tcMar>
            <w:vAlign w:val="center"/>
            <w:hideMark/>
          </w:tcPr>
          <w:p w14:paraId="441D712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0.2%</w:t>
            </w:r>
          </w:p>
        </w:tc>
        <w:tc>
          <w:tcPr>
            <w:tcW w:w="1139" w:type="dxa"/>
            <w:tcBorders>
              <w:top w:val="nil"/>
              <w:left w:val="nil"/>
              <w:bottom w:val="nil"/>
              <w:right w:val="nil"/>
            </w:tcBorders>
            <w:shd w:val="clear" w:color="auto" w:fill="auto"/>
            <w:tcMar>
              <w:top w:w="15" w:type="dxa"/>
              <w:left w:w="15" w:type="dxa"/>
              <w:bottom w:w="0" w:type="dxa"/>
              <w:right w:w="15" w:type="dxa"/>
            </w:tcMar>
            <w:vAlign w:val="center"/>
            <w:hideMark/>
          </w:tcPr>
          <w:p w14:paraId="3889F3E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1.28%</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1F5DC001" w14:textId="77777777" w:rsidR="00204A53" w:rsidRPr="00E63900" w:rsidRDefault="00204A53" w:rsidP="00204A53">
            <w:pPr>
              <w:pStyle w:val="BodyText"/>
              <w:rPr>
                <w:rFonts w:asciiTheme="minorHAnsi" w:hAnsiTheme="minorHAnsi" w:cstheme="minorHAnsi"/>
              </w:rPr>
            </w:pPr>
          </w:p>
        </w:tc>
      </w:tr>
      <w:tr w:rsidR="00204A53" w:rsidRPr="00204A53" w14:paraId="33840CBC" w14:textId="77777777" w:rsidTr="00BF0717">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6F9D30F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 xml:space="preserve">Other industrial buildings </w:t>
            </w:r>
            <w:proofErr w:type="spellStart"/>
            <w:r w:rsidRPr="00E63900">
              <w:rPr>
                <w:rFonts w:asciiTheme="minorHAnsi" w:hAnsiTheme="minorHAnsi" w:cstheme="minorHAnsi"/>
                <w:b/>
              </w:rPr>
              <w:t>nec</w:t>
            </w:r>
            <w:proofErr w:type="spellEnd"/>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7C6B53F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19.4%</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3C81BA7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17.6%</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57DC6CC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8.8%</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3E461BE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6.1%</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22A978A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4.9%</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5A86BC0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12.7%</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7DE7D05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12.0%</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4131D46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10.3%</w:t>
            </w:r>
          </w:p>
        </w:tc>
        <w:tc>
          <w:tcPr>
            <w:tcW w:w="778" w:type="dxa"/>
            <w:tcBorders>
              <w:top w:val="nil"/>
              <w:left w:val="nil"/>
              <w:bottom w:val="nil"/>
              <w:right w:val="nil"/>
            </w:tcBorders>
            <w:shd w:val="clear" w:color="auto" w:fill="auto"/>
            <w:tcMar>
              <w:top w:w="15" w:type="dxa"/>
              <w:left w:w="15" w:type="dxa"/>
              <w:bottom w:w="0" w:type="dxa"/>
              <w:right w:w="15" w:type="dxa"/>
            </w:tcMar>
            <w:vAlign w:val="center"/>
            <w:hideMark/>
          </w:tcPr>
          <w:p w14:paraId="2FAF6CF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4.5%</w:t>
            </w:r>
          </w:p>
        </w:tc>
        <w:tc>
          <w:tcPr>
            <w:tcW w:w="760" w:type="dxa"/>
            <w:tcBorders>
              <w:top w:val="nil"/>
              <w:left w:val="nil"/>
              <w:bottom w:val="nil"/>
              <w:right w:val="nil"/>
            </w:tcBorders>
            <w:shd w:val="clear" w:color="auto" w:fill="auto"/>
            <w:tcMar>
              <w:top w:w="15" w:type="dxa"/>
              <w:left w:w="15" w:type="dxa"/>
              <w:bottom w:w="0" w:type="dxa"/>
              <w:right w:w="15" w:type="dxa"/>
            </w:tcMar>
            <w:vAlign w:val="center"/>
            <w:hideMark/>
          </w:tcPr>
          <w:p w14:paraId="77F4BE0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1.9%</w:t>
            </w:r>
          </w:p>
        </w:tc>
        <w:tc>
          <w:tcPr>
            <w:tcW w:w="879" w:type="dxa"/>
            <w:tcBorders>
              <w:top w:val="nil"/>
              <w:left w:val="nil"/>
              <w:bottom w:val="nil"/>
              <w:right w:val="nil"/>
            </w:tcBorders>
            <w:shd w:val="clear" w:color="auto" w:fill="auto"/>
            <w:tcMar>
              <w:top w:w="15" w:type="dxa"/>
              <w:left w:w="15" w:type="dxa"/>
              <w:bottom w:w="0" w:type="dxa"/>
              <w:right w:w="15" w:type="dxa"/>
            </w:tcMar>
            <w:vAlign w:val="center"/>
            <w:hideMark/>
          </w:tcPr>
          <w:p w14:paraId="032B4BD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1.6%</w:t>
            </w:r>
          </w:p>
        </w:tc>
        <w:tc>
          <w:tcPr>
            <w:tcW w:w="1139" w:type="dxa"/>
            <w:tcBorders>
              <w:top w:val="nil"/>
              <w:left w:val="nil"/>
              <w:bottom w:val="nil"/>
              <w:right w:val="nil"/>
            </w:tcBorders>
            <w:shd w:val="clear" w:color="auto" w:fill="auto"/>
            <w:tcMar>
              <w:top w:w="15" w:type="dxa"/>
              <w:left w:w="15" w:type="dxa"/>
              <w:bottom w:w="0" w:type="dxa"/>
              <w:right w:w="15" w:type="dxa"/>
            </w:tcMar>
            <w:vAlign w:val="center"/>
            <w:hideMark/>
          </w:tcPr>
          <w:p w14:paraId="2F09589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8.09%</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14985866" w14:textId="77777777" w:rsidR="00204A53" w:rsidRPr="00E63900" w:rsidRDefault="00204A53" w:rsidP="00204A53">
            <w:pPr>
              <w:pStyle w:val="BodyText"/>
              <w:rPr>
                <w:rFonts w:asciiTheme="minorHAnsi" w:hAnsiTheme="minorHAnsi" w:cstheme="minorHAnsi"/>
              </w:rPr>
            </w:pPr>
          </w:p>
        </w:tc>
      </w:tr>
      <w:tr w:rsidR="00797133" w:rsidRPr="00204A53" w14:paraId="61D3E1A3" w14:textId="77777777" w:rsidTr="00603FD4">
        <w:trPr>
          <w:trHeight w:val="358"/>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6BE94D4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Transport buildings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70478E56"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19.2%</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042C73C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17.2%</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386165F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8.4%</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0B92819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6.0%</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0E81454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4.2%</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104CB2E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11.2%</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6979160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8.4%</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654EBB8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11.3%</w:t>
            </w:r>
          </w:p>
        </w:tc>
        <w:tc>
          <w:tcPr>
            <w:tcW w:w="778"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187DBBC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5.9%</w:t>
            </w:r>
          </w:p>
        </w:tc>
        <w:tc>
          <w:tcPr>
            <w:tcW w:w="760"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2A98C96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4.6%</w:t>
            </w:r>
          </w:p>
        </w:tc>
        <w:tc>
          <w:tcPr>
            <w:tcW w:w="879" w:type="dxa"/>
            <w:tcBorders>
              <w:top w:val="nil"/>
              <w:left w:val="nil"/>
              <w:bottom w:val="single" w:sz="18" w:space="0" w:color="FF0000"/>
              <w:right w:val="nil"/>
            </w:tcBorders>
            <w:shd w:val="clear" w:color="auto" w:fill="auto"/>
            <w:tcMar>
              <w:top w:w="15" w:type="dxa"/>
              <w:left w:w="15" w:type="dxa"/>
              <w:bottom w:w="0" w:type="dxa"/>
              <w:right w:w="15" w:type="dxa"/>
            </w:tcMar>
            <w:vAlign w:val="center"/>
            <w:hideMark/>
          </w:tcPr>
          <w:p w14:paraId="4273830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3.5%</w:t>
            </w:r>
          </w:p>
        </w:tc>
        <w:tc>
          <w:tcPr>
            <w:tcW w:w="1139" w:type="dxa"/>
            <w:tcBorders>
              <w:top w:val="nil"/>
              <w:left w:val="nil"/>
              <w:bottom w:val="nil"/>
              <w:right w:val="nil"/>
            </w:tcBorders>
            <w:shd w:val="clear" w:color="auto" w:fill="auto"/>
            <w:tcMar>
              <w:top w:w="15" w:type="dxa"/>
              <w:left w:w="15" w:type="dxa"/>
              <w:bottom w:w="0" w:type="dxa"/>
              <w:right w:w="15" w:type="dxa"/>
            </w:tcMar>
            <w:vAlign w:val="center"/>
            <w:hideMark/>
          </w:tcPr>
          <w:p w14:paraId="6475B09A"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14.02%</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1204EBB9" w14:textId="77777777" w:rsidR="00204A53" w:rsidRPr="00E63900" w:rsidRDefault="00204A53" w:rsidP="00204A53">
            <w:pPr>
              <w:pStyle w:val="BodyText"/>
              <w:rPr>
                <w:rFonts w:asciiTheme="minorHAnsi" w:hAnsiTheme="minorHAnsi" w:cstheme="minorHAnsi"/>
              </w:rPr>
            </w:pPr>
          </w:p>
        </w:tc>
      </w:tr>
      <w:tr w:rsidR="00204A53" w:rsidRPr="00204A53" w14:paraId="1477DCAC" w14:textId="77777777" w:rsidTr="00BF0717">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1884045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Aged care facilities (including nursing homes)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1BA7DE3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6.7%</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1205B96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15.7%</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00A780B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11.2%</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35009D9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7.0%</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73AB099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4.1%</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039BD9B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14.3%</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0CFCC48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5.8%</w:t>
            </w:r>
          </w:p>
        </w:tc>
        <w:tc>
          <w:tcPr>
            <w:tcW w:w="739" w:type="dxa"/>
            <w:tcBorders>
              <w:top w:val="nil"/>
              <w:left w:val="nil"/>
              <w:bottom w:val="nil"/>
              <w:right w:val="single" w:sz="18" w:space="0" w:color="FF0000"/>
            </w:tcBorders>
            <w:shd w:val="clear" w:color="auto" w:fill="auto"/>
            <w:tcMar>
              <w:top w:w="15" w:type="dxa"/>
              <w:left w:w="15" w:type="dxa"/>
              <w:bottom w:w="0" w:type="dxa"/>
              <w:right w:w="15" w:type="dxa"/>
            </w:tcMar>
            <w:vAlign w:val="center"/>
            <w:hideMark/>
          </w:tcPr>
          <w:p w14:paraId="580B867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13.3%</w:t>
            </w:r>
          </w:p>
        </w:tc>
        <w:tc>
          <w:tcPr>
            <w:tcW w:w="778"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4D31876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10.1%</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00233E0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7.3%</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631039D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4.4%</w:t>
            </w:r>
          </w:p>
        </w:tc>
        <w:tc>
          <w:tcPr>
            <w:tcW w:w="1139" w:type="dxa"/>
            <w:tcBorders>
              <w:top w:val="nil"/>
              <w:left w:val="single" w:sz="18" w:space="0" w:color="FF0000"/>
              <w:bottom w:val="nil"/>
              <w:right w:val="nil"/>
            </w:tcBorders>
            <w:shd w:val="clear" w:color="auto" w:fill="auto"/>
            <w:tcMar>
              <w:top w:w="15" w:type="dxa"/>
              <w:left w:w="15" w:type="dxa"/>
              <w:bottom w:w="0" w:type="dxa"/>
              <w:right w:w="15" w:type="dxa"/>
            </w:tcMar>
            <w:vAlign w:val="center"/>
            <w:hideMark/>
          </w:tcPr>
          <w:p w14:paraId="00879AA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21.78%</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6D453E6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54%</w:t>
            </w:r>
          </w:p>
        </w:tc>
      </w:tr>
      <w:tr w:rsidR="00797133" w:rsidRPr="00204A53" w14:paraId="79DCC5CD" w14:textId="77777777" w:rsidTr="00603FD4">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55597D0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Health facilities*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651EB83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11.8%</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668D9F5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11.1%</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6226E7D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8.2%</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0999A43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4.9%</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663C80E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4.7%</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3A2B0CD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12.1%</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209880E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11.8%</w:t>
            </w:r>
          </w:p>
        </w:tc>
        <w:tc>
          <w:tcPr>
            <w:tcW w:w="739" w:type="dxa"/>
            <w:tcBorders>
              <w:top w:val="nil"/>
              <w:left w:val="nil"/>
              <w:bottom w:val="nil"/>
              <w:right w:val="single" w:sz="18" w:space="0" w:color="FF0000"/>
            </w:tcBorders>
            <w:shd w:val="clear" w:color="auto" w:fill="auto"/>
            <w:tcMar>
              <w:top w:w="15" w:type="dxa"/>
              <w:left w:w="15" w:type="dxa"/>
              <w:bottom w:w="0" w:type="dxa"/>
              <w:right w:w="15" w:type="dxa"/>
            </w:tcMar>
            <w:vAlign w:val="center"/>
            <w:hideMark/>
          </w:tcPr>
          <w:p w14:paraId="1595EDD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13.4%</w:t>
            </w:r>
          </w:p>
        </w:tc>
        <w:tc>
          <w:tcPr>
            <w:tcW w:w="778"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33D33038"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9.5%</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47EDB4A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5.2%</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053747A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7.3%</w:t>
            </w:r>
          </w:p>
        </w:tc>
        <w:tc>
          <w:tcPr>
            <w:tcW w:w="1139" w:type="dxa"/>
            <w:tcBorders>
              <w:top w:val="nil"/>
              <w:left w:val="single" w:sz="18" w:space="0" w:color="FF0000"/>
              <w:bottom w:val="nil"/>
              <w:right w:val="nil"/>
            </w:tcBorders>
            <w:shd w:val="clear" w:color="auto" w:fill="auto"/>
            <w:tcMar>
              <w:top w:w="15" w:type="dxa"/>
              <w:left w:w="15" w:type="dxa"/>
              <w:bottom w:w="0" w:type="dxa"/>
              <w:right w:w="15" w:type="dxa"/>
            </w:tcMar>
            <w:vAlign w:val="center"/>
            <w:hideMark/>
          </w:tcPr>
          <w:p w14:paraId="34C3956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22.04%</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4E464BF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66%</w:t>
            </w:r>
          </w:p>
        </w:tc>
      </w:tr>
      <w:tr w:rsidR="00204A53" w:rsidRPr="00204A53" w14:paraId="43D5D4EB" w14:textId="77777777" w:rsidTr="00BF0717">
        <w:trPr>
          <w:trHeight w:val="357"/>
        </w:trPr>
        <w:tc>
          <w:tcPr>
            <w:tcW w:w="3797" w:type="dxa"/>
            <w:tcBorders>
              <w:top w:val="nil"/>
              <w:left w:val="nil"/>
              <w:bottom w:val="nil"/>
              <w:right w:val="nil"/>
            </w:tcBorders>
            <w:shd w:val="clear" w:color="auto" w:fill="auto"/>
            <w:tcMar>
              <w:top w:w="15" w:type="dxa"/>
              <w:left w:w="15" w:type="dxa"/>
              <w:bottom w:w="0" w:type="dxa"/>
              <w:right w:w="15" w:type="dxa"/>
            </w:tcMar>
            <w:vAlign w:val="center"/>
            <w:hideMark/>
          </w:tcPr>
          <w:p w14:paraId="259D347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Religion buildings</w:t>
            </w:r>
          </w:p>
        </w:tc>
        <w:tc>
          <w:tcPr>
            <w:tcW w:w="837" w:type="dxa"/>
            <w:tcBorders>
              <w:top w:val="nil"/>
              <w:left w:val="nil"/>
              <w:bottom w:val="nil"/>
              <w:right w:val="nil"/>
            </w:tcBorders>
            <w:shd w:val="clear" w:color="auto" w:fill="auto"/>
            <w:tcMar>
              <w:top w:w="15" w:type="dxa"/>
              <w:left w:w="15" w:type="dxa"/>
              <w:bottom w:w="0" w:type="dxa"/>
              <w:right w:w="15" w:type="dxa"/>
            </w:tcMar>
            <w:vAlign w:val="center"/>
            <w:hideMark/>
          </w:tcPr>
          <w:p w14:paraId="1AF2C81F"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2.9%</w:t>
            </w:r>
          </w:p>
        </w:tc>
        <w:tc>
          <w:tcPr>
            <w:tcW w:w="758" w:type="dxa"/>
            <w:tcBorders>
              <w:top w:val="nil"/>
              <w:left w:val="nil"/>
              <w:bottom w:val="nil"/>
              <w:right w:val="nil"/>
            </w:tcBorders>
            <w:shd w:val="clear" w:color="auto" w:fill="auto"/>
            <w:tcMar>
              <w:top w:w="15" w:type="dxa"/>
              <w:left w:w="15" w:type="dxa"/>
              <w:bottom w:w="0" w:type="dxa"/>
              <w:right w:w="15" w:type="dxa"/>
            </w:tcMar>
            <w:vAlign w:val="center"/>
            <w:hideMark/>
          </w:tcPr>
          <w:p w14:paraId="6EF40FA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8.9%</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24092A9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10.6%</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0EB3FA9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9.3%</w:t>
            </w:r>
          </w:p>
        </w:tc>
        <w:tc>
          <w:tcPr>
            <w:tcW w:w="639" w:type="dxa"/>
            <w:tcBorders>
              <w:top w:val="nil"/>
              <w:left w:val="nil"/>
              <w:bottom w:val="nil"/>
              <w:right w:val="nil"/>
            </w:tcBorders>
            <w:shd w:val="clear" w:color="auto" w:fill="auto"/>
            <w:tcMar>
              <w:top w:w="15" w:type="dxa"/>
              <w:left w:w="15" w:type="dxa"/>
              <w:bottom w:w="0" w:type="dxa"/>
              <w:right w:w="15" w:type="dxa"/>
            </w:tcMar>
            <w:vAlign w:val="center"/>
            <w:hideMark/>
          </w:tcPr>
          <w:p w14:paraId="29A11F8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6.5%</w:t>
            </w:r>
          </w:p>
        </w:tc>
        <w:tc>
          <w:tcPr>
            <w:tcW w:w="640" w:type="dxa"/>
            <w:tcBorders>
              <w:top w:val="nil"/>
              <w:left w:val="nil"/>
              <w:bottom w:val="nil"/>
              <w:right w:val="nil"/>
            </w:tcBorders>
            <w:shd w:val="clear" w:color="auto" w:fill="auto"/>
            <w:tcMar>
              <w:top w:w="15" w:type="dxa"/>
              <w:left w:w="15" w:type="dxa"/>
              <w:bottom w:w="0" w:type="dxa"/>
              <w:right w:w="15" w:type="dxa"/>
            </w:tcMar>
            <w:vAlign w:val="center"/>
            <w:hideMark/>
          </w:tcPr>
          <w:p w14:paraId="2542C852"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23.4%</w:t>
            </w:r>
          </w:p>
        </w:tc>
        <w:tc>
          <w:tcPr>
            <w:tcW w:w="719" w:type="dxa"/>
            <w:tcBorders>
              <w:top w:val="nil"/>
              <w:left w:val="nil"/>
              <w:bottom w:val="nil"/>
              <w:right w:val="nil"/>
            </w:tcBorders>
            <w:shd w:val="clear" w:color="auto" w:fill="auto"/>
            <w:tcMar>
              <w:top w:w="15" w:type="dxa"/>
              <w:left w:w="15" w:type="dxa"/>
              <w:bottom w:w="0" w:type="dxa"/>
              <w:right w:w="15" w:type="dxa"/>
            </w:tcMar>
            <w:vAlign w:val="center"/>
            <w:hideMark/>
          </w:tcPr>
          <w:p w14:paraId="0E0BC29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19.7%</w:t>
            </w:r>
          </w:p>
        </w:tc>
        <w:tc>
          <w:tcPr>
            <w:tcW w:w="739" w:type="dxa"/>
            <w:tcBorders>
              <w:top w:val="nil"/>
              <w:left w:val="nil"/>
              <w:bottom w:val="nil"/>
              <w:right w:val="nil"/>
            </w:tcBorders>
            <w:shd w:val="clear" w:color="auto" w:fill="auto"/>
            <w:tcMar>
              <w:top w:w="15" w:type="dxa"/>
              <w:left w:w="15" w:type="dxa"/>
              <w:bottom w:w="0" w:type="dxa"/>
              <w:right w:w="15" w:type="dxa"/>
            </w:tcMar>
            <w:vAlign w:val="center"/>
            <w:hideMark/>
          </w:tcPr>
          <w:p w14:paraId="7433E0C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13.7%</w:t>
            </w:r>
          </w:p>
        </w:tc>
        <w:tc>
          <w:tcPr>
            <w:tcW w:w="778"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05443E85"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4.2%</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261F1536"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0.7%</w:t>
            </w:r>
          </w:p>
        </w:tc>
        <w:tc>
          <w:tcPr>
            <w:tcW w:w="879"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117D887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0.1%</w:t>
            </w:r>
          </w:p>
        </w:tc>
        <w:tc>
          <w:tcPr>
            <w:tcW w:w="1139" w:type="dxa"/>
            <w:tcBorders>
              <w:top w:val="nil"/>
              <w:left w:val="nil"/>
              <w:bottom w:val="nil"/>
              <w:right w:val="nil"/>
            </w:tcBorders>
            <w:shd w:val="clear" w:color="auto" w:fill="auto"/>
            <w:tcMar>
              <w:top w:w="15" w:type="dxa"/>
              <w:left w:w="15" w:type="dxa"/>
              <w:bottom w:w="0" w:type="dxa"/>
              <w:right w:w="15" w:type="dxa"/>
            </w:tcMar>
            <w:vAlign w:val="center"/>
            <w:hideMark/>
          </w:tcPr>
          <w:p w14:paraId="17EA1561"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5.02%</w:t>
            </w:r>
          </w:p>
        </w:tc>
        <w:tc>
          <w:tcPr>
            <w:tcW w:w="1317" w:type="dxa"/>
            <w:tcBorders>
              <w:top w:val="nil"/>
              <w:left w:val="nil"/>
              <w:bottom w:val="nil"/>
              <w:right w:val="nil"/>
            </w:tcBorders>
            <w:shd w:val="clear" w:color="auto" w:fill="auto"/>
            <w:tcMar>
              <w:top w:w="15" w:type="dxa"/>
              <w:left w:w="15" w:type="dxa"/>
              <w:bottom w:w="0" w:type="dxa"/>
              <w:right w:w="15" w:type="dxa"/>
            </w:tcMar>
            <w:vAlign w:val="center"/>
            <w:hideMark/>
          </w:tcPr>
          <w:p w14:paraId="0A42E848" w14:textId="77777777" w:rsidR="00204A53" w:rsidRPr="00E63900" w:rsidRDefault="00204A53" w:rsidP="00204A53">
            <w:pPr>
              <w:pStyle w:val="BodyText"/>
              <w:rPr>
                <w:rFonts w:asciiTheme="minorHAnsi" w:hAnsiTheme="minorHAnsi" w:cstheme="minorHAnsi"/>
              </w:rPr>
            </w:pPr>
          </w:p>
        </w:tc>
      </w:tr>
      <w:tr w:rsidR="00797133" w:rsidRPr="00204A53" w14:paraId="4DF7F6A6" w14:textId="77777777" w:rsidTr="00603FD4">
        <w:trPr>
          <w:trHeight w:val="357"/>
        </w:trPr>
        <w:tc>
          <w:tcPr>
            <w:tcW w:w="3797"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7D560F23" w14:textId="0B2D811F" w:rsidR="00204A53" w:rsidRPr="00E63900" w:rsidRDefault="00204A53" w:rsidP="00204A53">
            <w:pPr>
              <w:pStyle w:val="BodyText"/>
              <w:rPr>
                <w:rFonts w:asciiTheme="minorHAnsi" w:hAnsiTheme="minorHAnsi" w:cstheme="minorHAnsi"/>
              </w:rPr>
            </w:pPr>
            <w:r w:rsidRPr="00E63900">
              <w:rPr>
                <w:rFonts w:asciiTheme="minorHAnsi" w:hAnsiTheme="minorHAnsi" w:cstheme="minorHAnsi"/>
                <w:b/>
              </w:rPr>
              <w:t xml:space="preserve">Commercial buildings </w:t>
            </w:r>
            <w:proofErr w:type="spellStart"/>
            <w:r w:rsidRPr="00E63900">
              <w:rPr>
                <w:rFonts w:asciiTheme="minorHAnsi" w:hAnsiTheme="minorHAnsi" w:cstheme="minorHAnsi"/>
                <w:b/>
              </w:rPr>
              <w:t>nec</w:t>
            </w:r>
            <w:proofErr w:type="spellEnd"/>
            <w:r w:rsidR="00D84B5C" w:rsidRPr="00E63900">
              <w:rPr>
                <w:rFonts w:asciiTheme="minorHAnsi" w:hAnsiTheme="minorHAnsi" w:cstheme="minorHAnsi"/>
                <w:b/>
              </w:rPr>
              <w:t>*</w:t>
            </w:r>
          </w:p>
        </w:tc>
        <w:tc>
          <w:tcPr>
            <w:tcW w:w="837"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698FB4C3"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7.2%</w:t>
            </w:r>
          </w:p>
        </w:tc>
        <w:tc>
          <w:tcPr>
            <w:tcW w:w="758"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4916913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13.7%</w:t>
            </w:r>
          </w:p>
        </w:tc>
        <w:tc>
          <w:tcPr>
            <w:tcW w:w="739"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01CD551B"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9.8%</w:t>
            </w:r>
          </w:p>
        </w:tc>
        <w:tc>
          <w:tcPr>
            <w:tcW w:w="639"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3D469EC9"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5.6%</w:t>
            </w:r>
          </w:p>
        </w:tc>
        <w:tc>
          <w:tcPr>
            <w:tcW w:w="639"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594664C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3.9%</w:t>
            </w:r>
          </w:p>
        </w:tc>
        <w:tc>
          <w:tcPr>
            <w:tcW w:w="640"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7C951C60"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12.6%</w:t>
            </w:r>
          </w:p>
        </w:tc>
        <w:tc>
          <w:tcPr>
            <w:tcW w:w="719"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7F6E994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9.7%</w:t>
            </w:r>
          </w:p>
        </w:tc>
        <w:tc>
          <w:tcPr>
            <w:tcW w:w="739" w:type="dxa"/>
            <w:tcBorders>
              <w:top w:val="nil"/>
              <w:left w:val="nil"/>
              <w:bottom w:val="single" w:sz="8" w:space="0" w:color="1E49E2"/>
              <w:right w:val="single" w:sz="18" w:space="0" w:color="FF0000"/>
            </w:tcBorders>
            <w:shd w:val="clear" w:color="auto" w:fill="auto"/>
            <w:tcMar>
              <w:top w:w="15" w:type="dxa"/>
              <w:left w:w="15" w:type="dxa"/>
              <w:bottom w:w="0" w:type="dxa"/>
              <w:right w:w="15" w:type="dxa"/>
            </w:tcMar>
            <w:vAlign w:val="center"/>
            <w:hideMark/>
          </w:tcPr>
          <w:p w14:paraId="50FAB26C"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21.9%</w:t>
            </w:r>
          </w:p>
        </w:tc>
        <w:tc>
          <w:tcPr>
            <w:tcW w:w="778" w:type="dxa"/>
            <w:tcBorders>
              <w:top w:val="single" w:sz="18" w:space="0" w:color="FF0000"/>
              <w:left w:val="single" w:sz="18" w:space="0" w:color="FF0000"/>
              <w:bottom w:val="single" w:sz="18" w:space="0" w:color="FF0000"/>
              <w:right w:val="nil"/>
            </w:tcBorders>
            <w:shd w:val="clear" w:color="auto" w:fill="auto"/>
            <w:tcMar>
              <w:top w:w="15" w:type="dxa"/>
              <w:left w:w="15" w:type="dxa"/>
              <w:bottom w:w="0" w:type="dxa"/>
              <w:right w:w="15" w:type="dxa"/>
            </w:tcMar>
            <w:vAlign w:val="center"/>
            <w:hideMark/>
          </w:tcPr>
          <w:p w14:paraId="3C9BC8A7"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9.1%</w:t>
            </w:r>
          </w:p>
        </w:tc>
        <w:tc>
          <w:tcPr>
            <w:tcW w:w="760" w:type="dxa"/>
            <w:tcBorders>
              <w:top w:val="single" w:sz="18" w:space="0" w:color="FF0000"/>
              <w:left w:val="nil"/>
              <w:bottom w:val="single" w:sz="18" w:space="0" w:color="FF0000"/>
              <w:right w:val="nil"/>
            </w:tcBorders>
            <w:shd w:val="clear" w:color="auto" w:fill="auto"/>
            <w:tcMar>
              <w:top w:w="15" w:type="dxa"/>
              <w:left w:w="15" w:type="dxa"/>
              <w:bottom w:w="0" w:type="dxa"/>
              <w:right w:w="15" w:type="dxa"/>
            </w:tcMar>
            <w:vAlign w:val="center"/>
            <w:hideMark/>
          </w:tcPr>
          <w:p w14:paraId="3F6D8C54"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4.0%</w:t>
            </w:r>
          </w:p>
        </w:tc>
        <w:tc>
          <w:tcPr>
            <w:tcW w:w="879" w:type="dxa"/>
            <w:tcBorders>
              <w:top w:val="single" w:sz="18" w:space="0" w:color="FF0000"/>
              <w:left w:val="nil"/>
              <w:bottom w:val="single" w:sz="18" w:space="0" w:color="FF0000"/>
              <w:right w:val="single" w:sz="18" w:space="0" w:color="FF0000"/>
            </w:tcBorders>
            <w:shd w:val="clear" w:color="auto" w:fill="auto"/>
            <w:tcMar>
              <w:top w:w="15" w:type="dxa"/>
              <w:left w:w="15" w:type="dxa"/>
              <w:bottom w:w="0" w:type="dxa"/>
              <w:right w:w="15" w:type="dxa"/>
            </w:tcMar>
            <w:vAlign w:val="center"/>
            <w:hideMark/>
          </w:tcPr>
          <w:p w14:paraId="68AD4E4D"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2.4%</w:t>
            </w:r>
          </w:p>
        </w:tc>
        <w:tc>
          <w:tcPr>
            <w:tcW w:w="1139" w:type="dxa"/>
            <w:tcBorders>
              <w:top w:val="nil"/>
              <w:left w:val="single" w:sz="18" w:space="0" w:color="FF0000"/>
              <w:bottom w:val="single" w:sz="8" w:space="0" w:color="1E49E2"/>
              <w:right w:val="nil"/>
            </w:tcBorders>
            <w:shd w:val="clear" w:color="auto" w:fill="auto"/>
            <w:tcMar>
              <w:top w:w="15" w:type="dxa"/>
              <w:left w:w="15" w:type="dxa"/>
              <w:bottom w:w="0" w:type="dxa"/>
              <w:right w:w="15" w:type="dxa"/>
            </w:tcMar>
            <w:vAlign w:val="center"/>
            <w:hideMark/>
          </w:tcPr>
          <w:p w14:paraId="5BA1CD5E" w14:textId="77777777" w:rsidR="00204A53" w:rsidRPr="00E63900" w:rsidRDefault="00204A53" w:rsidP="00204A53">
            <w:pPr>
              <w:pStyle w:val="BodyText"/>
              <w:rPr>
                <w:rFonts w:asciiTheme="minorHAnsi" w:hAnsiTheme="minorHAnsi" w:cstheme="minorHAnsi"/>
              </w:rPr>
            </w:pPr>
            <w:r w:rsidRPr="00E63900">
              <w:rPr>
                <w:rFonts w:asciiTheme="minorHAnsi" w:hAnsiTheme="minorHAnsi" w:cstheme="minorHAnsi"/>
              </w:rPr>
              <w:t>15.53%</w:t>
            </w:r>
          </w:p>
        </w:tc>
        <w:tc>
          <w:tcPr>
            <w:tcW w:w="1317" w:type="dxa"/>
            <w:tcBorders>
              <w:top w:val="nil"/>
              <w:left w:val="nil"/>
              <w:bottom w:val="single" w:sz="8" w:space="0" w:color="1E49E2"/>
              <w:right w:val="nil"/>
            </w:tcBorders>
            <w:shd w:val="clear" w:color="auto" w:fill="auto"/>
            <w:tcMar>
              <w:top w:w="15" w:type="dxa"/>
              <w:left w:w="15" w:type="dxa"/>
              <w:bottom w:w="0" w:type="dxa"/>
              <w:right w:w="15" w:type="dxa"/>
            </w:tcMar>
            <w:vAlign w:val="center"/>
            <w:hideMark/>
          </w:tcPr>
          <w:p w14:paraId="6950707A" w14:textId="77777777" w:rsidR="00204A53" w:rsidRPr="00E63900" w:rsidRDefault="00204A53" w:rsidP="00204A53">
            <w:pPr>
              <w:pStyle w:val="BodyText"/>
              <w:rPr>
                <w:rFonts w:asciiTheme="minorHAnsi" w:hAnsiTheme="minorHAnsi" w:cstheme="minorHAnsi"/>
              </w:rPr>
            </w:pPr>
          </w:p>
        </w:tc>
      </w:tr>
    </w:tbl>
    <w:p w14:paraId="6B5832C2" w14:textId="47649FC9" w:rsidR="00913487" w:rsidRPr="00E63900" w:rsidRDefault="00BF0717" w:rsidP="00911EEF">
      <w:pPr>
        <w:pStyle w:val="BodyText"/>
        <w:rPr>
          <w:rFonts w:asciiTheme="minorHAnsi" w:hAnsiTheme="minorHAnsi" w:cstheme="minorHAnsi"/>
          <w:i/>
          <w:lang w:val="en-GB"/>
        </w:rPr>
      </w:pPr>
      <w:r w:rsidRPr="00E63900">
        <w:rPr>
          <w:rFonts w:asciiTheme="minorHAnsi" w:hAnsiTheme="minorHAnsi" w:cstheme="minorHAnsi"/>
          <w:i/>
        </w:rPr>
        <w:t>*</w:t>
      </w:r>
      <w:r w:rsidR="00D54793" w:rsidRPr="00E63900">
        <w:rPr>
          <w:rFonts w:asciiTheme="minorHAnsi" w:hAnsiTheme="minorHAnsi" w:cstheme="minorHAnsi"/>
          <w:i/>
        </w:rPr>
        <w:t>Only</w:t>
      </w:r>
      <w:r w:rsidRPr="00E63900">
        <w:rPr>
          <w:rFonts w:asciiTheme="minorHAnsi" w:hAnsiTheme="minorHAnsi" w:cstheme="minorHAnsi"/>
          <w:i/>
        </w:rPr>
        <w:t xml:space="preserve"> parts of these categories are included</w:t>
      </w:r>
      <w:r w:rsidR="00911EEF" w:rsidRPr="00E63900">
        <w:rPr>
          <w:rFonts w:asciiTheme="minorHAnsi" w:hAnsiTheme="minorHAnsi" w:cstheme="minorHAnsi"/>
          <w:i/>
        </w:rPr>
        <w:t xml:space="preserve"> </w:t>
      </w:r>
      <w:r w:rsidR="00913487" w:rsidRPr="00E63900">
        <w:rPr>
          <w:rFonts w:asciiTheme="minorHAnsi" w:hAnsiTheme="minorHAnsi" w:cstheme="minorHAnsi"/>
          <w:i/>
          <w:lang w:val="en-GB"/>
        </w:rPr>
        <w:br w:type="page"/>
      </w:r>
    </w:p>
    <w:p w14:paraId="31A03483" w14:textId="77777777" w:rsidR="00913487" w:rsidRPr="00E63900" w:rsidRDefault="00913487" w:rsidP="00913487">
      <w:pPr>
        <w:pStyle w:val="BodyText"/>
        <w:rPr>
          <w:rFonts w:asciiTheme="minorHAnsi" w:hAnsiTheme="minorHAnsi" w:cstheme="minorHAnsi"/>
          <w:lang w:val="en-GB"/>
        </w:rPr>
        <w:sectPr w:rsidR="00913487" w:rsidRPr="00E63900" w:rsidSect="00A77C53">
          <w:pgSz w:w="16838" w:h="11906" w:orient="landscape"/>
          <w:pgMar w:top="851" w:right="851" w:bottom="851" w:left="1418" w:header="567" w:footer="283" w:gutter="0"/>
          <w:cols w:space="708"/>
          <w:docGrid w:linePitch="360"/>
        </w:sectPr>
      </w:pPr>
    </w:p>
    <w:p w14:paraId="261D720C" w14:textId="4A652936" w:rsidR="00AC1DC4" w:rsidRPr="00F81ADB" w:rsidRDefault="00AC1DC4" w:rsidP="00214D42">
      <w:pPr>
        <w:pStyle w:val="Heading2"/>
        <w:rPr>
          <w:rFonts w:cstheme="minorHAnsi"/>
          <w:lang w:val="en-GB"/>
        </w:rPr>
      </w:pPr>
      <w:bookmarkStart w:id="293" w:name="_Ref147338146"/>
      <w:bookmarkStart w:id="294" w:name="_Toc154059395"/>
      <w:r w:rsidRPr="00F81ADB">
        <w:rPr>
          <w:rFonts w:cstheme="minorHAnsi"/>
          <w:lang w:val="en-GB"/>
        </w:rPr>
        <w:lastRenderedPageBreak/>
        <w:t xml:space="preserve">Appendix </w:t>
      </w:r>
      <w:r w:rsidR="00182AB2">
        <w:rPr>
          <w:rFonts w:cstheme="minorHAnsi"/>
          <w:lang w:val="en-GB"/>
        </w:rPr>
        <w:t>7</w:t>
      </w:r>
      <w:r w:rsidRPr="00F81ADB">
        <w:rPr>
          <w:rFonts w:cstheme="minorHAnsi"/>
          <w:lang w:val="en-GB"/>
        </w:rPr>
        <w:t xml:space="preserve">: </w:t>
      </w:r>
      <w:r w:rsidR="00D923E9" w:rsidRPr="00F81ADB">
        <w:rPr>
          <w:rFonts w:cstheme="minorHAnsi"/>
          <w:lang w:val="en-GB"/>
        </w:rPr>
        <w:t xml:space="preserve">Australian relevant policies and </w:t>
      </w:r>
      <w:r w:rsidR="00FE3040" w:rsidRPr="00F81ADB">
        <w:rPr>
          <w:rFonts w:cstheme="minorHAnsi"/>
          <w:lang w:val="en-GB"/>
        </w:rPr>
        <w:t>initiatives</w:t>
      </w:r>
      <w:bookmarkEnd w:id="272"/>
      <w:bookmarkEnd w:id="293"/>
      <w:bookmarkEnd w:id="294"/>
    </w:p>
    <w:p w14:paraId="23060ACC" w14:textId="76561891" w:rsidR="00AC1DC4" w:rsidRPr="00732C3A" w:rsidRDefault="00AC1DC4" w:rsidP="00732C3A">
      <w:pPr>
        <w:pStyle w:val="Caption"/>
        <w:keepNext/>
        <w:spacing w:after="120"/>
        <w:rPr>
          <w:rFonts w:ascii="Calibri" w:eastAsia="Times New Roman" w:hAnsi="Calibri" w:cs="Times New Roman"/>
          <w:b/>
          <w:bCs/>
          <w:i w:val="0"/>
          <w:iCs w:val="0"/>
          <w:color w:val="auto"/>
          <w:sz w:val="24"/>
        </w:rPr>
      </w:pPr>
      <w:bookmarkStart w:id="295" w:name="_Ref136285345"/>
      <w:bookmarkStart w:id="296" w:name="_Toc162535465"/>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SEQ Table \* ARABIC</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29</w:t>
      </w:r>
      <w:r w:rsidRPr="00732C3A">
        <w:rPr>
          <w:rFonts w:ascii="Calibri" w:eastAsia="Times New Roman" w:hAnsi="Calibri" w:cs="Times New Roman"/>
          <w:b/>
          <w:bCs/>
          <w:i w:val="0"/>
          <w:iCs w:val="0"/>
          <w:color w:val="auto"/>
          <w:sz w:val="24"/>
        </w:rPr>
        <w:fldChar w:fldCharType="end"/>
      </w:r>
      <w:bookmarkEnd w:id="295"/>
      <w:r w:rsidRPr="00732C3A">
        <w:rPr>
          <w:rFonts w:ascii="Calibri" w:eastAsia="Times New Roman" w:hAnsi="Calibri" w:cs="Times New Roman"/>
          <w:b/>
          <w:bCs/>
          <w:i w:val="0"/>
          <w:iCs w:val="0"/>
          <w:color w:val="auto"/>
          <w:sz w:val="24"/>
        </w:rPr>
        <w:t>:</w:t>
      </w:r>
      <w:r w:rsidR="006A6F8E" w:rsidRPr="00732C3A">
        <w:rPr>
          <w:rFonts w:ascii="Calibri" w:eastAsia="Times New Roman" w:hAnsi="Calibri" w:cs="Times New Roman"/>
          <w:b/>
          <w:bCs/>
          <w:i w:val="0"/>
          <w:iCs w:val="0"/>
          <w:color w:val="auto"/>
          <w:sz w:val="24"/>
        </w:rPr>
        <w:t xml:space="preserve"> </w:t>
      </w:r>
      <w:r w:rsidRPr="00732C3A">
        <w:rPr>
          <w:rFonts w:ascii="Calibri" w:eastAsia="Times New Roman" w:hAnsi="Calibri" w:cs="Times New Roman"/>
          <w:b/>
          <w:bCs/>
          <w:i w:val="0"/>
          <w:iCs w:val="0"/>
          <w:color w:val="auto"/>
          <w:sz w:val="24"/>
        </w:rPr>
        <w:t xml:space="preserve">Australian Energy and Emission Policies and initiatives to influence the commercial built </w:t>
      </w:r>
      <w:proofErr w:type="gramStart"/>
      <w:r w:rsidRPr="00732C3A">
        <w:rPr>
          <w:rFonts w:ascii="Calibri" w:eastAsia="Times New Roman" w:hAnsi="Calibri" w:cs="Times New Roman"/>
          <w:b/>
          <w:bCs/>
          <w:i w:val="0"/>
          <w:iCs w:val="0"/>
          <w:color w:val="auto"/>
          <w:sz w:val="24"/>
        </w:rPr>
        <w:t>environment</w:t>
      </w:r>
      <w:bookmarkEnd w:id="296"/>
      <w:proofErr w:type="gramEnd"/>
    </w:p>
    <w:tbl>
      <w:tblPr>
        <w:tblStyle w:val="GridTable4-Accent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7226"/>
      </w:tblGrid>
      <w:tr w:rsidR="009B7DC3" w:rsidRPr="00315002" w14:paraId="161B72D6" w14:textId="77777777" w:rsidTr="00E3592F">
        <w:trPr>
          <w:cnfStyle w:val="100000000000" w:firstRow="1" w:lastRow="0" w:firstColumn="0" w:lastColumn="0" w:oddVBand="0" w:evenVBand="0" w:oddHBand="0" w:evenHBand="0" w:firstRowFirstColumn="0" w:firstRowLastColumn="0" w:lastRowFirstColumn="0" w:lastRowLastColumn="0"/>
          <w:cantSplit/>
          <w:trHeight w:val="389"/>
          <w:tblHeader/>
        </w:trPr>
        <w:tc>
          <w:tcPr>
            <w:cnfStyle w:val="001000000000" w:firstRow="0" w:lastRow="0" w:firstColumn="1" w:lastColumn="0" w:oddVBand="0" w:evenVBand="0" w:oddHBand="0" w:evenHBand="0" w:firstRowFirstColumn="0" w:firstRowLastColumn="0" w:lastRowFirstColumn="0" w:lastRowLastColumn="0"/>
            <w:tcW w:w="2125" w:type="dxa"/>
            <w:tcBorders>
              <w:top w:val="single" w:sz="4" w:space="0" w:color="000000"/>
              <w:left w:val="single" w:sz="4" w:space="0" w:color="000000"/>
            </w:tcBorders>
            <w:shd w:val="clear" w:color="auto" w:fill="auto"/>
            <w:vAlign w:val="center"/>
          </w:tcPr>
          <w:p w14:paraId="386FE0D2" w14:textId="5099A3F9" w:rsidR="009B7DC3" w:rsidRPr="00FD477B" w:rsidRDefault="009B7DC3" w:rsidP="009B7DC3">
            <w:pPr>
              <w:spacing w:before="0" w:after="0"/>
              <w:jc w:val="center"/>
              <w:rPr>
                <w:rFonts w:asciiTheme="minorHAnsi" w:hAnsiTheme="minorHAnsi" w:cstheme="minorHAnsi"/>
              </w:rPr>
            </w:pPr>
            <w:r w:rsidRPr="00FD477B">
              <w:rPr>
                <w:rFonts w:asciiTheme="minorHAnsi" w:hAnsiTheme="minorHAnsi" w:cstheme="minorHAnsi"/>
              </w:rPr>
              <w:t>Policy or Initiative to influence change</w:t>
            </w:r>
          </w:p>
        </w:tc>
        <w:tc>
          <w:tcPr>
            <w:tcW w:w="7226" w:type="dxa"/>
            <w:tcBorders>
              <w:top w:val="single" w:sz="4" w:space="0" w:color="000000"/>
              <w:right w:val="single" w:sz="4" w:space="0" w:color="000000"/>
            </w:tcBorders>
            <w:shd w:val="clear" w:color="auto" w:fill="auto"/>
            <w:vAlign w:val="center"/>
            <w:hideMark/>
          </w:tcPr>
          <w:p w14:paraId="3710AF22" w14:textId="77777777" w:rsidR="009B7DC3" w:rsidRPr="00FD477B" w:rsidRDefault="009B7DC3" w:rsidP="009B7DC3">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FD477B">
              <w:rPr>
                <w:rFonts w:asciiTheme="minorHAnsi" w:hAnsiTheme="minorHAnsi" w:cstheme="minorHAnsi"/>
              </w:rPr>
              <w:t>Summary</w:t>
            </w:r>
          </w:p>
        </w:tc>
      </w:tr>
      <w:tr w:rsidR="009B7DC3" w:rsidRPr="00315002" w14:paraId="782CCAA2" w14:textId="77777777" w:rsidTr="009B7DC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5" w:type="dxa"/>
            <w:shd w:val="clear" w:color="auto" w:fill="auto"/>
            <w:vAlign w:val="center"/>
          </w:tcPr>
          <w:p w14:paraId="6E2A0B2D" w14:textId="2C57B0F5" w:rsidR="009B7DC3" w:rsidRPr="00FD477B" w:rsidRDefault="009B7DC3" w:rsidP="009B7DC3">
            <w:pPr>
              <w:spacing w:before="0" w:after="0"/>
              <w:jc w:val="center"/>
              <w:rPr>
                <w:rFonts w:asciiTheme="minorHAnsi" w:hAnsiTheme="minorHAnsi" w:cstheme="minorHAnsi"/>
                <w:b w:val="0"/>
                <w:bCs w:val="0"/>
              </w:rPr>
            </w:pPr>
            <w:r w:rsidRPr="00FD477B">
              <w:rPr>
                <w:rFonts w:asciiTheme="minorHAnsi" w:hAnsiTheme="minorHAnsi" w:cstheme="minorHAnsi"/>
              </w:rPr>
              <w:t>Performance based initiative:</w:t>
            </w:r>
          </w:p>
          <w:p w14:paraId="1C7E692A" w14:textId="77777777" w:rsidR="009B7DC3" w:rsidRPr="00FD477B" w:rsidRDefault="009B7DC3" w:rsidP="009B7DC3">
            <w:pPr>
              <w:spacing w:before="0" w:after="0"/>
              <w:jc w:val="center"/>
              <w:rPr>
                <w:rFonts w:asciiTheme="minorHAnsi" w:hAnsiTheme="minorHAnsi" w:cstheme="minorHAnsi"/>
                <w:b w:val="0"/>
                <w:bCs w:val="0"/>
              </w:rPr>
            </w:pPr>
          </w:p>
          <w:p w14:paraId="301F5BE1" w14:textId="5DFBB5E8" w:rsidR="009B7DC3" w:rsidRPr="00F85358" w:rsidRDefault="009B7DC3" w:rsidP="009B7DC3">
            <w:pPr>
              <w:spacing w:before="0" w:after="0"/>
              <w:jc w:val="center"/>
              <w:rPr>
                <w:rFonts w:asciiTheme="minorHAnsi" w:hAnsiTheme="minorHAnsi" w:cstheme="minorHAnsi"/>
                <w:b w:val="0"/>
                <w:sz w:val="18"/>
                <w:szCs w:val="20"/>
              </w:rPr>
            </w:pPr>
            <w:r w:rsidRPr="00F85358">
              <w:rPr>
                <w:rFonts w:asciiTheme="minorHAnsi" w:hAnsiTheme="minorHAnsi" w:cstheme="minorHAnsi"/>
                <w:sz w:val="18"/>
                <w:szCs w:val="20"/>
              </w:rPr>
              <w:t>National Greenhouse and Energy Reporting Act 2007 (</w:t>
            </w:r>
            <w:proofErr w:type="spellStart"/>
            <w:r w:rsidRPr="00F85358">
              <w:rPr>
                <w:rFonts w:asciiTheme="minorHAnsi" w:hAnsiTheme="minorHAnsi" w:cstheme="minorHAnsi"/>
                <w:sz w:val="18"/>
                <w:szCs w:val="20"/>
              </w:rPr>
              <w:t>NGERS</w:t>
            </w:r>
            <w:proofErr w:type="spellEnd"/>
            <w:r w:rsidRPr="00F85358">
              <w:rPr>
                <w:rFonts w:asciiTheme="minorHAnsi" w:hAnsiTheme="minorHAnsi" w:cstheme="minorHAnsi"/>
                <w:sz w:val="18"/>
                <w:szCs w:val="20"/>
              </w:rPr>
              <w:t>)</w:t>
            </w:r>
          </w:p>
        </w:tc>
        <w:tc>
          <w:tcPr>
            <w:tcW w:w="7226" w:type="dxa"/>
            <w:shd w:val="clear" w:color="auto" w:fill="auto"/>
            <w:vAlign w:val="center"/>
          </w:tcPr>
          <w:p w14:paraId="3E14A54C"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National Greenhouse and Energy Reporting Scheme (</w:t>
            </w:r>
            <w:proofErr w:type="spellStart"/>
            <w:r w:rsidRPr="00F85358">
              <w:rPr>
                <w:rFonts w:asciiTheme="minorHAnsi" w:hAnsiTheme="minorHAnsi" w:cstheme="minorHAnsi"/>
                <w:sz w:val="18"/>
                <w:szCs w:val="20"/>
              </w:rPr>
              <w:t>NGERS</w:t>
            </w:r>
            <w:proofErr w:type="spellEnd"/>
            <w:r w:rsidRPr="00F85358">
              <w:rPr>
                <w:rFonts w:asciiTheme="minorHAnsi" w:hAnsiTheme="minorHAnsi" w:cstheme="minorHAnsi"/>
                <w:sz w:val="18"/>
                <w:szCs w:val="20"/>
              </w:rPr>
              <w:t xml:space="preserve">) is a mandatory emissions reporting program in Australia for companies that meet the following threshold per </w:t>
            </w:r>
            <w:proofErr w:type="gramStart"/>
            <w:r w:rsidRPr="00F85358">
              <w:rPr>
                <w:rFonts w:asciiTheme="minorHAnsi" w:hAnsiTheme="minorHAnsi" w:cstheme="minorHAnsi"/>
                <w:sz w:val="18"/>
                <w:szCs w:val="20"/>
              </w:rPr>
              <w:t>annum</w:t>
            </w:r>
            <w:proofErr w:type="gramEnd"/>
          </w:p>
          <w:p w14:paraId="3916374A" w14:textId="77777777" w:rsidR="009B7DC3" w:rsidRPr="00F85358" w:rsidRDefault="009B7DC3" w:rsidP="009B7DC3">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50 kt or more of GHG gases (CO2-e) (scope 1 and scope 2 emissions)</w:t>
            </w:r>
          </w:p>
          <w:p w14:paraId="2453F431" w14:textId="77777777" w:rsidR="009B7DC3" w:rsidRPr="00F85358" w:rsidRDefault="009B7DC3" w:rsidP="009B7DC3">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production of 200 TJ or more of energy, or</w:t>
            </w:r>
          </w:p>
          <w:p w14:paraId="43CBBB44" w14:textId="77777777" w:rsidR="009B7DC3" w:rsidRPr="00F85358" w:rsidRDefault="009B7DC3" w:rsidP="009B7DC3">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consumption of 200 TJ or more of energy.</w:t>
            </w:r>
          </w:p>
          <w:p w14:paraId="79DBF3C5"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p w14:paraId="0623C521"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roofErr w:type="spellStart"/>
            <w:r w:rsidRPr="00F85358">
              <w:rPr>
                <w:rFonts w:asciiTheme="minorHAnsi" w:hAnsiTheme="minorHAnsi" w:cstheme="minorHAnsi"/>
                <w:sz w:val="18"/>
                <w:szCs w:val="20"/>
              </w:rPr>
              <w:t>NGERS</w:t>
            </w:r>
            <w:proofErr w:type="spellEnd"/>
            <w:r w:rsidRPr="00F85358">
              <w:rPr>
                <w:rFonts w:asciiTheme="minorHAnsi" w:hAnsiTheme="minorHAnsi" w:cstheme="minorHAnsi"/>
                <w:sz w:val="18"/>
                <w:szCs w:val="20"/>
              </w:rPr>
              <w:t xml:space="preserve"> does not directly relate to building stock however it requires corporations to report their GHG emissions, energy production and consumption, and other relevant information to the government. </w:t>
            </w:r>
          </w:p>
          <w:p w14:paraId="254E4082"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p w14:paraId="460D7393"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The scheme aims to provide accurate and transparent information on the country’s greenhouse gas emissions and energy use, and to encourage corporations to reduce their carbon footprint. The objectives of the NGER scheme are to:</w:t>
            </w:r>
          </w:p>
          <w:p w14:paraId="0D1798A9" w14:textId="087DFB44" w:rsidR="009B7DC3" w:rsidRPr="00F85358" w:rsidRDefault="009B7DC3" w:rsidP="009B7DC3">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inform </w:t>
            </w:r>
            <w:proofErr w:type="spellStart"/>
            <w:r w:rsidRPr="00F85358">
              <w:rPr>
                <w:rFonts w:asciiTheme="minorHAnsi" w:hAnsiTheme="minorHAnsi" w:cstheme="minorHAnsi"/>
                <w:sz w:val="18"/>
                <w:szCs w:val="20"/>
              </w:rPr>
              <w:t>govern</w:t>
            </w:r>
            <w:r w:rsidR="00014125">
              <w:rPr>
                <w:rFonts w:asciiTheme="minorHAnsi" w:hAnsiTheme="minorHAnsi" w:cstheme="minorHAnsi"/>
                <w:sz w:val="18"/>
                <w:szCs w:val="20"/>
              </w:rPr>
              <w:t>`</w:t>
            </w:r>
            <w:r w:rsidRPr="00F85358">
              <w:rPr>
                <w:rFonts w:asciiTheme="minorHAnsi" w:hAnsiTheme="minorHAnsi" w:cstheme="minorHAnsi"/>
                <w:sz w:val="18"/>
                <w:szCs w:val="20"/>
              </w:rPr>
              <w:t>ment</w:t>
            </w:r>
            <w:proofErr w:type="spellEnd"/>
            <w:r w:rsidRPr="00F85358">
              <w:rPr>
                <w:rFonts w:asciiTheme="minorHAnsi" w:hAnsiTheme="minorHAnsi" w:cstheme="minorHAnsi"/>
                <w:sz w:val="18"/>
                <w:szCs w:val="20"/>
              </w:rPr>
              <w:t xml:space="preserve"> policy and the Australian </w:t>
            </w:r>
            <w:proofErr w:type="gramStart"/>
            <w:r w:rsidRPr="00F85358">
              <w:rPr>
                <w:rFonts w:asciiTheme="minorHAnsi" w:hAnsiTheme="minorHAnsi" w:cstheme="minorHAnsi"/>
                <w:sz w:val="18"/>
                <w:szCs w:val="20"/>
              </w:rPr>
              <w:t>public</w:t>
            </w:r>
            <w:proofErr w:type="gramEnd"/>
          </w:p>
          <w:p w14:paraId="5D483F18" w14:textId="77777777" w:rsidR="009B7DC3" w:rsidRPr="00F85358" w:rsidRDefault="009B7DC3" w:rsidP="009B7DC3">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help meet Australia's international reporting </w:t>
            </w:r>
            <w:proofErr w:type="gramStart"/>
            <w:r w:rsidRPr="00F85358">
              <w:rPr>
                <w:rFonts w:asciiTheme="minorHAnsi" w:hAnsiTheme="minorHAnsi" w:cstheme="minorHAnsi"/>
                <w:sz w:val="18"/>
                <w:szCs w:val="20"/>
              </w:rPr>
              <w:t>obligations</w:t>
            </w:r>
            <w:proofErr w:type="gramEnd"/>
          </w:p>
          <w:p w14:paraId="37A9624C" w14:textId="77777777" w:rsidR="009B7DC3" w:rsidRPr="00F85358" w:rsidRDefault="009B7DC3" w:rsidP="009B7DC3">
            <w:pPr>
              <w:pStyle w:val="ListParagraph"/>
              <w:numPr>
                <w:ilvl w:val="0"/>
                <w:numId w:val="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avoid duplication of similar reporting requirements in the states and territories.</w:t>
            </w:r>
          </w:p>
        </w:tc>
      </w:tr>
      <w:tr w:rsidR="009B7DC3" w:rsidRPr="00315002" w14:paraId="4CFFBED3" w14:textId="77777777" w:rsidTr="009B7DC3">
        <w:trPr>
          <w:cantSplit/>
          <w:trHeight w:val="1134"/>
        </w:trPr>
        <w:tc>
          <w:tcPr>
            <w:cnfStyle w:val="001000000000" w:firstRow="0" w:lastRow="0" w:firstColumn="1" w:lastColumn="0" w:oddVBand="0" w:evenVBand="0" w:oddHBand="0" w:evenHBand="0" w:firstRowFirstColumn="0" w:firstRowLastColumn="0" w:lastRowFirstColumn="0" w:lastRowLastColumn="0"/>
            <w:tcW w:w="2125" w:type="dxa"/>
            <w:shd w:val="clear" w:color="auto" w:fill="auto"/>
            <w:vAlign w:val="center"/>
          </w:tcPr>
          <w:p w14:paraId="2F26C6C0" w14:textId="77777777" w:rsidR="009B7DC3" w:rsidRPr="00FD477B" w:rsidRDefault="009B7DC3" w:rsidP="009B7DC3">
            <w:pPr>
              <w:spacing w:before="0" w:after="0"/>
              <w:jc w:val="center"/>
              <w:rPr>
                <w:rFonts w:asciiTheme="minorHAnsi" w:hAnsiTheme="minorHAnsi" w:cstheme="minorHAnsi"/>
                <w:b w:val="0"/>
                <w:bCs w:val="0"/>
              </w:rPr>
            </w:pPr>
            <w:r w:rsidRPr="00FD477B">
              <w:rPr>
                <w:rFonts w:asciiTheme="minorHAnsi" w:hAnsiTheme="minorHAnsi" w:cstheme="minorHAnsi"/>
              </w:rPr>
              <w:t>Performance based initiative:</w:t>
            </w:r>
          </w:p>
          <w:p w14:paraId="7DA38412" w14:textId="77777777" w:rsidR="009B7DC3" w:rsidRPr="00FD477B" w:rsidRDefault="009B7DC3" w:rsidP="009B7DC3">
            <w:pPr>
              <w:spacing w:before="0" w:after="0"/>
              <w:jc w:val="center"/>
              <w:rPr>
                <w:rFonts w:asciiTheme="minorHAnsi" w:hAnsiTheme="minorHAnsi" w:cstheme="minorHAnsi"/>
                <w:b w:val="0"/>
                <w:bCs w:val="0"/>
              </w:rPr>
            </w:pPr>
          </w:p>
          <w:p w14:paraId="573F7DBF" w14:textId="77777777" w:rsidR="009B7DC3" w:rsidRPr="00F85358" w:rsidRDefault="009B7DC3" w:rsidP="009B7DC3">
            <w:pPr>
              <w:spacing w:before="0" w:after="0"/>
              <w:jc w:val="center"/>
              <w:rPr>
                <w:rFonts w:asciiTheme="minorHAnsi" w:hAnsiTheme="minorHAnsi" w:cstheme="minorHAnsi"/>
                <w:b w:val="0"/>
                <w:sz w:val="18"/>
                <w:szCs w:val="20"/>
              </w:rPr>
            </w:pPr>
            <w:r w:rsidRPr="00F85358">
              <w:rPr>
                <w:rFonts w:asciiTheme="minorHAnsi" w:hAnsiTheme="minorHAnsi" w:cstheme="minorHAnsi"/>
                <w:sz w:val="18"/>
                <w:szCs w:val="20"/>
              </w:rPr>
              <w:t>Building Energy Efficiency Certificate (BEED Act 2010)</w:t>
            </w:r>
          </w:p>
        </w:tc>
        <w:tc>
          <w:tcPr>
            <w:tcW w:w="7226" w:type="dxa"/>
            <w:shd w:val="clear" w:color="auto" w:fill="auto"/>
            <w:vAlign w:val="center"/>
          </w:tcPr>
          <w:p w14:paraId="39C7DF4E" w14:textId="77777777" w:rsidR="009B7DC3" w:rsidRPr="00F85358" w:rsidRDefault="009B7DC3" w:rsidP="009B7DC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The </w:t>
            </w:r>
            <w:r w:rsidRPr="00F85358">
              <w:rPr>
                <w:rFonts w:asciiTheme="minorHAnsi" w:hAnsiTheme="minorHAnsi" w:cstheme="minorHAnsi"/>
                <w:i/>
                <w:sz w:val="18"/>
                <w:szCs w:val="20"/>
              </w:rPr>
              <w:t>BEED Act 2010</w:t>
            </w:r>
            <w:r w:rsidRPr="00F85358">
              <w:rPr>
                <w:rFonts w:asciiTheme="minorHAnsi" w:hAnsiTheme="minorHAnsi" w:cstheme="minorHAnsi"/>
                <w:sz w:val="18"/>
                <w:szCs w:val="20"/>
              </w:rPr>
              <w:t xml:space="preserve"> is an Australian legislation aimed at improving energy efficiency in commercial buildings. The </w:t>
            </w:r>
            <w:r w:rsidRPr="00F85358">
              <w:rPr>
                <w:rFonts w:asciiTheme="minorHAnsi" w:hAnsiTheme="minorHAnsi" w:cstheme="minorHAnsi"/>
                <w:i/>
                <w:sz w:val="18"/>
                <w:szCs w:val="20"/>
              </w:rPr>
              <w:t>Act</w:t>
            </w:r>
            <w:r w:rsidRPr="00F85358">
              <w:rPr>
                <w:rFonts w:asciiTheme="minorHAnsi" w:hAnsiTheme="minorHAnsi" w:cstheme="minorHAnsi"/>
                <w:sz w:val="18"/>
                <w:szCs w:val="20"/>
              </w:rPr>
              <w:t xml:space="preserve"> introduced provisions for mandatory disclosure of energy efficiency information for commercial buildings above a certain size.</w:t>
            </w:r>
          </w:p>
          <w:p w14:paraId="43CE81C9" w14:textId="77777777" w:rsidR="009B7DC3" w:rsidRPr="00F85358" w:rsidRDefault="009B7DC3" w:rsidP="009B7DC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Under the </w:t>
            </w:r>
            <w:r w:rsidRPr="00F85358">
              <w:rPr>
                <w:rFonts w:asciiTheme="minorHAnsi" w:hAnsiTheme="minorHAnsi" w:cstheme="minorHAnsi"/>
                <w:i/>
                <w:sz w:val="18"/>
                <w:szCs w:val="20"/>
              </w:rPr>
              <w:t>BEED Act</w:t>
            </w:r>
            <w:r w:rsidRPr="00F85358">
              <w:rPr>
                <w:rFonts w:asciiTheme="minorHAnsi" w:hAnsiTheme="minorHAnsi" w:cstheme="minorHAnsi"/>
                <w:sz w:val="18"/>
                <w:szCs w:val="20"/>
              </w:rPr>
              <w:t xml:space="preserve"> building owners and managers are required to disclose a Building Energy Efficiency Certificates (</w:t>
            </w:r>
            <w:proofErr w:type="spellStart"/>
            <w:r w:rsidRPr="00F85358">
              <w:rPr>
                <w:rFonts w:asciiTheme="minorHAnsi" w:hAnsiTheme="minorHAnsi" w:cstheme="minorHAnsi"/>
                <w:b/>
                <w:sz w:val="18"/>
                <w:szCs w:val="20"/>
              </w:rPr>
              <w:t>BEEC</w:t>
            </w:r>
            <w:proofErr w:type="spellEnd"/>
            <w:r w:rsidRPr="00F85358">
              <w:rPr>
                <w:rFonts w:asciiTheme="minorHAnsi" w:hAnsiTheme="minorHAnsi" w:cstheme="minorHAnsi"/>
                <w:sz w:val="18"/>
                <w:szCs w:val="20"/>
              </w:rPr>
              <w:t>) that contains the NABERS Energy rating and Tenancy Lighting Assessment (</w:t>
            </w:r>
            <w:proofErr w:type="spellStart"/>
            <w:r w:rsidRPr="00F85358">
              <w:rPr>
                <w:rFonts w:asciiTheme="minorHAnsi" w:hAnsiTheme="minorHAnsi" w:cstheme="minorHAnsi"/>
                <w:b/>
                <w:sz w:val="18"/>
                <w:szCs w:val="20"/>
              </w:rPr>
              <w:t>TLA</w:t>
            </w:r>
            <w:proofErr w:type="spellEnd"/>
            <w:r w:rsidRPr="00F85358">
              <w:rPr>
                <w:rFonts w:asciiTheme="minorHAnsi" w:hAnsiTheme="minorHAnsi" w:cstheme="minorHAnsi"/>
                <w:sz w:val="18"/>
                <w:szCs w:val="20"/>
              </w:rPr>
              <w:t>) when selling, leasing or subleasing office space greater than 1000m</w:t>
            </w:r>
            <w:r w:rsidRPr="00F85358">
              <w:rPr>
                <w:rFonts w:asciiTheme="minorHAnsi" w:hAnsiTheme="minorHAnsi" w:cstheme="minorHAnsi"/>
                <w:sz w:val="18"/>
                <w:szCs w:val="20"/>
                <w:vertAlign w:val="superscript"/>
              </w:rPr>
              <w:t>2</w:t>
            </w:r>
            <w:r w:rsidRPr="00F85358">
              <w:rPr>
                <w:rFonts w:asciiTheme="minorHAnsi" w:hAnsiTheme="minorHAnsi" w:cstheme="minorHAnsi"/>
                <w:sz w:val="18"/>
                <w:szCs w:val="20"/>
              </w:rPr>
              <w:t>.</w:t>
            </w:r>
          </w:p>
          <w:p w14:paraId="6455DCAD" w14:textId="77777777" w:rsidR="009B7DC3" w:rsidRPr="00F85358" w:rsidRDefault="009B7DC3" w:rsidP="009B7DC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85358">
              <w:rPr>
                <w:rFonts w:asciiTheme="minorHAnsi" w:hAnsiTheme="minorHAnsi" w:cstheme="minorHAnsi"/>
                <w:sz w:val="18"/>
                <w:szCs w:val="20"/>
              </w:rPr>
              <w:t xml:space="preserve">The </w:t>
            </w:r>
            <w:r w:rsidRPr="00F85358">
              <w:rPr>
                <w:rFonts w:asciiTheme="minorHAnsi" w:hAnsiTheme="minorHAnsi" w:cstheme="minorHAnsi"/>
                <w:i/>
                <w:sz w:val="18"/>
                <w:szCs w:val="20"/>
              </w:rPr>
              <w:t>BEED Act</w:t>
            </w:r>
            <w:r w:rsidRPr="00F85358">
              <w:rPr>
                <w:rFonts w:asciiTheme="minorHAnsi" w:hAnsiTheme="minorHAnsi" w:cstheme="minorHAnsi"/>
                <w:sz w:val="18"/>
                <w:szCs w:val="20"/>
              </w:rPr>
              <w:t xml:space="preserve"> requires that advertisements for the sale or lease of a commercial building must include the NABERS energy rating. This aims to inform potential buyers or tenants of the energy efficiency of the building and help them make more informed decisions.</w:t>
            </w:r>
          </w:p>
        </w:tc>
      </w:tr>
      <w:tr w:rsidR="009B7DC3" w:rsidRPr="00315002" w14:paraId="546F1673" w14:textId="77777777" w:rsidTr="009B7DC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5" w:type="dxa"/>
            <w:shd w:val="clear" w:color="auto" w:fill="auto"/>
            <w:vAlign w:val="center"/>
            <w:hideMark/>
          </w:tcPr>
          <w:p w14:paraId="1C81AB65" w14:textId="77777777" w:rsidR="009B7DC3" w:rsidRPr="00FD477B" w:rsidRDefault="009B7DC3" w:rsidP="009B7DC3">
            <w:pPr>
              <w:spacing w:before="0" w:after="0"/>
              <w:jc w:val="center"/>
              <w:rPr>
                <w:rFonts w:asciiTheme="minorHAnsi" w:hAnsiTheme="minorHAnsi" w:cstheme="minorHAnsi"/>
                <w:b w:val="0"/>
                <w:bCs w:val="0"/>
              </w:rPr>
            </w:pPr>
            <w:r w:rsidRPr="00FD477B">
              <w:rPr>
                <w:rFonts w:asciiTheme="minorHAnsi" w:hAnsiTheme="minorHAnsi" w:cstheme="minorHAnsi"/>
              </w:rPr>
              <w:t>Performance based initiative:</w:t>
            </w:r>
          </w:p>
          <w:p w14:paraId="35990DAB" w14:textId="77777777" w:rsidR="009B7DC3" w:rsidRPr="00FD477B" w:rsidRDefault="009B7DC3" w:rsidP="009B7DC3">
            <w:pPr>
              <w:spacing w:before="0" w:after="0"/>
              <w:jc w:val="center"/>
              <w:rPr>
                <w:rFonts w:asciiTheme="minorHAnsi" w:hAnsiTheme="minorHAnsi" w:cstheme="minorHAnsi"/>
                <w:b w:val="0"/>
                <w:bCs w:val="0"/>
              </w:rPr>
            </w:pPr>
          </w:p>
          <w:p w14:paraId="381FF9E3" w14:textId="77777777" w:rsidR="009B7DC3" w:rsidRPr="00F85358" w:rsidRDefault="009B7DC3" w:rsidP="009B7DC3">
            <w:pPr>
              <w:spacing w:before="0" w:after="0"/>
              <w:jc w:val="center"/>
              <w:rPr>
                <w:rFonts w:asciiTheme="minorHAnsi" w:hAnsiTheme="minorHAnsi" w:cstheme="minorHAnsi"/>
                <w:b w:val="0"/>
                <w:sz w:val="18"/>
                <w:szCs w:val="20"/>
              </w:rPr>
            </w:pPr>
            <w:r w:rsidRPr="00F85358">
              <w:rPr>
                <w:rFonts w:asciiTheme="minorHAnsi" w:hAnsiTheme="minorHAnsi" w:cstheme="minorHAnsi"/>
                <w:sz w:val="18"/>
                <w:szCs w:val="20"/>
              </w:rPr>
              <w:t>National Australian Built Environment Rating System (NABERS)</w:t>
            </w:r>
          </w:p>
        </w:tc>
        <w:tc>
          <w:tcPr>
            <w:tcW w:w="7226" w:type="dxa"/>
            <w:shd w:val="clear" w:color="auto" w:fill="auto"/>
            <w:vAlign w:val="center"/>
            <w:hideMark/>
          </w:tcPr>
          <w:p w14:paraId="3DC24A2A"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NABERS Energy and Water for Offices is a government-supported program that rates the environmental performance of buildings in Australia. The program provides a rating system that ranges from zero to six stars, with six stars being the highest rating achievable. NABERS is a voluntary program but is indirectly mandated by the CBD Program for large offices and provides a benchmark for comparing the environmental performance of different buildings and encourages building owners and managers to implement sustainable practices and reduce their environmental impact.</w:t>
            </w:r>
          </w:p>
          <w:p w14:paraId="61A3F8C9"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A8C1474"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Over 65 per cent of Australia’s commercial office space is covered by NABERS scheme and the program has expanded to include other building types.</w:t>
            </w:r>
          </w:p>
          <w:p w14:paraId="1AF99363" w14:textId="77777777" w:rsidR="009B7DC3" w:rsidRPr="00F85358" w:rsidRDefault="009B7DC3" w:rsidP="009B7DC3">
            <w:pPr>
              <w:pStyle w:val="BodyText"/>
              <w:numPr>
                <w:ilvl w:val="0"/>
                <w:numId w:val="6"/>
              </w:numPr>
              <w:tabs>
                <w:tab w:val="clear" w:pos="340"/>
                <w:tab w:val="num" w:pos="680"/>
              </w:tabs>
              <w:spacing w:after="0"/>
              <w:ind w:left="6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 xml:space="preserve">Apartment buildings </w:t>
            </w:r>
          </w:p>
          <w:p w14:paraId="7398105B" w14:textId="77777777" w:rsidR="009B7DC3" w:rsidRPr="00F85358" w:rsidRDefault="009B7DC3" w:rsidP="009B7DC3">
            <w:pPr>
              <w:pStyle w:val="BodyText"/>
              <w:numPr>
                <w:ilvl w:val="0"/>
                <w:numId w:val="6"/>
              </w:numPr>
              <w:tabs>
                <w:tab w:val="clear" w:pos="340"/>
                <w:tab w:val="num" w:pos="680"/>
              </w:tabs>
              <w:spacing w:after="0"/>
              <w:ind w:left="6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 xml:space="preserve">Data centres </w:t>
            </w:r>
          </w:p>
          <w:p w14:paraId="2BB879A2" w14:textId="77777777" w:rsidR="009B7DC3" w:rsidRPr="00F85358" w:rsidRDefault="009B7DC3" w:rsidP="009B7DC3">
            <w:pPr>
              <w:pStyle w:val="BodyText"/>
              <w:numPr>
                <w:ilvl w:val="0"/>
                <w:numId w:val="6"/>
              </w:numPr>
              <w:tabs>
                <w:tab w:val="clear" w:pos="340"/>
                <w:tab w:val="num" w:pos="680"/>
              </w:tabs>
              <w:spacing w:after="0"/>
              <w:ind w:left="6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Hotels</w:t>
            </w:r>
          </w:p>
          <w:p w14:paraId="5F1EF804" w14:textId="77777777" w:rsidR="009B7DC3" w:rsidRPr="00F85358" w:rsidRDefault="009B7DC3" w:rsidP="009B7DC3">
            <w:pPr>
              <w:pStyle w:val="BodyText"/>
              <w:numPr>
                <w:ilvl w:val="0"/>
                <w:numId w:val="6"/>
              </w:numPr>
              <w:tabs>
                <w:tab w:val="clear" w:pos="340"/>
                <w:tab w:val="num" w:pos="680"/>
              </w:tabs>
              <w:spacing w:after="0"/>
              <w:ind w:left="6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Public hospitals</w:t>
            </w:r>
          </w:p>
          <w:p w14:paraId="421DAC30" w14:textId="77777777" w:rsidR="009B7DC3" w:rsidRPr="00F85358" w:rsidRDefault="009B7DC3" w:rsidP="009B7DC3">
            <w:pPr>
              <w:pStyle w:val="BodyText"/>
              <w:numPr>
                <w:ilvl w:val="0"/>
                <w:numId w:val="6"/>
              </w:numPr>
              <w:tabs>
                <w:tab w:val="clear" w:pos="340"/>
                <w:tab w:val="num" w:pos="680"/>
              </w:tabs>
              <w:spacing w:after="0"/>
              <w:ind w:left="6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 xml:space="preserve">Retirement living </w:t>
            </w:r>
          </w:p>
          <w:p w14:paraId="07637526" w14:textId="77777777" w:rsidR="009B7DC3" w:rsidRPr="00F85358" w:rsidRDefault="009B7DC3" w:rsidP="009B7DC3">
            <w:pPr>
              <w:pStyle w:val="BodyText"/>
              <w:numPr>
                <w:ilvl w:val="0"/>
                <w:numId w:val="6"/>
              </w:numPr>
              <w:tabs>
                <w:tab w:val="clear" w:pos="340"/>
                <w:tab w:val="num" w:pos="680"/>
              </w:tabs>
              <w:spacing w:after="0"/>
              <w:ind w:left="6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Shopping centres</w:t>
            </w:r>
          </w:p>
          <w:p w14:paraId="0D91DFC4" w14:textId="77777777" w:rsidR="009B7DC3" w:rsidRPr="00F85358" w:rsidRDefault="009B7DC3" w:rsidP="009B7DC3">
            <w:pPr>
              <w:pStyle w:val="BodyText"/>
              <w:numPr>
                <w:ilvl w:val="0"/>
                <w:numId w:val="6"/>
              </w:numPr>
              <w:tabs>
                <w:tab w:val="clear" w:pos="340"/>
                <w:tab w:val="num" w:pos="680"/>
              </w:tabs>
              <w:spacing w:after="0"/>
              <w:ind w:left="6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 xml:space="preserve">Warehouses and cold stores </w:t>
            </w:r>
          </w:p>
          <w:p w14:paraId="30421515" w14:textId="77777777" w:rsidR="009B7DC3" w:rsidRPr="00F85358" w:rsidRDefault="009B7DC3" w:rsidP="009B7DC3">
            <w:pPr>
              <w:pStyle w:val="BodyText"/>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22F86EA"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For new builds a NABERS commitment agreement can be signed by developers and building owners to promote the environmental performance of new office buildings prior to starting construction.</w:t>
            </w:r>
          </w:p>
          <w:p w14:paraId="2457B95E"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 xml:space="preserve"> </w:t>
            </w:r>
          </w:p>
        </w:tc>
      </w:tr>
      <w:tr w:rsidR="009B7DC3" w:rsidRPr="00315002" w14:paraId="35173E14" w14:textId="77777777" w:rsidTr="009B7DC3">
        <w:trPr>
          <w:cantSplit/>
          <w:trHeight w:val="1134"/>
        </w:trPr>
        <w:tc>
          <w:tcPr>
            <w:cnfStyle w:val="001000000000" w:firstRow="0" w:lastRow="0" w:firstColumn="1" w:lastColumn="0" w:oddVBand="0" w:evenVBand="0" w:oddHBand="0" w:evenHBand="0" w:firstRowFirstColumn="0" w:firstRowLastColumn="0" w:lastRowFirstColumn="0" w:lastRowLastColumn="0"/>
            <w:tcW w:w="2125" w:type="dxa"/>
            <w:shd w:val="clear" w:color="auto" w:fill="auto"/>
            <w:vAlign w:val="center"/>
          </w:tcPr>
          <w:p w14:paraId="75F40CE1" w14:textId="77777777" w:rsidR="009B7DC3" w:rsidRPr="00FD477B" w:rsidRDefault="009B7DC3" w:rsidP="009B7DC3">
            <w:pPr>
              <w:spacing w:before="0" w:after="0"/>
              <w:jc w:val="center"/>
              <w:rPr>
                <w:rFonts w:asciiTheme="minorHAnsi" w:hAnsiTheme="minorHAnsi" w:cstheme="minorHAnsi"/>
                <w:b w:val="0"/>
                <w:bCs w:val="0"/>
              </w:rPr>
            </w:pPr>
            <w:r w:rsidRPr="00FD477B">
              <w:rPr>
                <w:rFonts w:asciiTheme="minorHAnsi" w:hAnsiTheme="minorHAnsi" w:cstheme="minorHAnsi"/>
              </w:rPr>
              <w:lastRenderedPageBreak/>
              <w:t>Performance based initiative:</w:t>
            </w:r>
          </w:p>
          <w:p w14:paraId="2E9F0FBF" w14:textId="77777777" w:rsidR="009B7DC3" w:rsidRPr="00FD477B" w:rsidRDefault="009B7DC3" w:rsidP="009B7DC3">
            <w:pPr>
              <w:spacing w:before="0" w:after="0"/>
              <w:jc w:val="center"/>
              <w:rPr>
                <w:rFonts w:asciiTheme="minorHAnsi" w:hAnsiTheme="minorHAnsi" w:cstheme="minorHAnsi"/>
                <w:b w:val="0"/>
                <w:bCs w:val="0"/>
              </w:rPr>
            </w:pPr>
          </w:p>
          <w:p w14:paraId="29F0D535" w14:textId="77777777" w:rsidR="009B7DC3" w:rsidRPr="00F85358" w:rsidRDefault="009B7DC3" w:rsidP="009B7DC3">
            <w:pPr>
              <w:spacing w:before="0" w:after="0"/>
              <w:jc w:val="center"/>
              <w:rPr>
                <w:rFonts w:asciiTheme="minorHAnsi" w:hAnsiTheme="minorHAnsi" w:cstheme="minorHAnsi"/>
                <w:b w:val="0"/>
                <w:sz w:val="18"/>
                <w:szCs w:val="20"/>
              </w:rPr>
            </w:pPr>
            <w:r w:rsidRPr="00F85358">
              <w:rPr>
                <w:rFonts w:asciiTheme="minorHAnsi" w:hAnsiTheme="minorHAnsi" w:cstheme="minorHAnsi"/>
                <w:sz w:val="18"/>
                <w:szCs w:val="20"/>
              </w:rPr>
              <w:t>Climate Active Carbon Neutral Buildings</w:t>
            </w:r>
          </w:p>
        </w:tc>
        <w:tc>
          <w:tcPr>
            <w:tcW w:w="7226" w:type="dxa"/>
            <w:shd w:val="clear" w:color="auto" w:fill="auto"/>
            <w:vAlign w:val="center"/>
          </w:tcPr>
          <w:p w14:paraId="173016AB" w14:textId="77777777" w:rsidR="009B7DC3" w:rsidRPr="00F85358" w:rsidRDefault="009B7DC3" w:rsidP="009B7DC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Climate Active is an ongoing partnership between Australian Government and Australian businesses to drive voluntary climate action and to be certified as carbon neutral.</w:t>
            </w:r>
          </w:p>
          <w:p w14:paraId="2AE24B61" w14:textId="77777777" w:rsidR="009B7DC3" w:rsidRPr="00F85358" w:rsidRDefault="009B7DC3" w:rsidP="009B7DC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p w14:paraId="467296FD" w14:textId="77777777" w:rsidR="009B7DC3" w:rsidRPr="00F85358" w:rsidRDefault="009B7DC3" w:rsidP="009B7DC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20"/>
              </w:rPr>
              <w:t>The Climate Active Carbon Neutral Standard for Buildings is a voluntary standard to manage GHG emissions, achieve carbon neutrality and to seek Climate Active certification. It provides best-practice guidance on how to measure, reduce and report emissions data for buildings. Climate Active Carbon Neutral Buildings can be rated through NABERS.</w:t>
            </w:r>
          </w:p>
        </w:tc>
      </w:tr>
      <w:tr w:rsidR="009B7DC3" w:rsidRPr="00315002" w14:paraId="2422B8ED" w14:textId="77777777" w:rsidTr="009B7DC3">
        <w:trPr>
          <w:cnfStyle w:val="000000100000" w:firstRow="0" w:lastRow="0" w:firstColumn="0" w:lastColumn="0" w:oddVBand="0" w:evenVBand="0" w:oddHBand="1" w:evenHBand="0" w:firstRowFirstColumn="0" w:firstRowLastColumn="0" w:lastRowFirstColumn="0" w:lastRowLastColumn="0"/>
          <w:cantSplit/>
          <w:trHeight w:val="3000"/>
        </w:trPr>
        <w:tc>
          <w:tcPr>
            <w:cnfStyle w:val="001000000000" w:firstRow="0" w:lastRow="0" w:firstColumn="1" w:lastColumn="0" w:oddVBand="0" w:evenVBand="0" w:oddHBand="0" w:evenHBand="0" w:firstRowFirstColumn="0" w:firstRowLastColumn="0" w:lastRowFirstColumn="0" w:lastRowLastColumn="0"/>
            <w:tcW w:w="2125" w:type="dxa"/>
            <w:shd w:val="clear" w:color="auto" w:fill="auto"/>
            <w:vAlign w:val="center"/>
          </w:tcPr>
          <w:p w14:paraId="58DED817" w14:textId="77777777" w:rsidR="009B7DC3" w:rsidRPr="00FD477B" w:rsidRDefault="009B7DC3" w:rsidP="009B7DC3">
            <w:pPr>
              <w:spacing w:before="0" w:after="0"/>
              <w:jc w:val="center"/>
              <w:rPr>
                <w:rFonts w:asciiTheme="minorHAnsi" w:hAnsiTheme="minorHAnsi" w:cstheme="minorHAnsi"/>
                <w:b w:val="0"/>
                <w:bCs w:val="0"/>
              </w:rPr>
            </w:pPr>
            <w:r w:rsidRPr="00FD477B">
              <w:rPr>
                <w:rFonts w:asciiTheme="minorHAnsi" w:hAnsiTheme="minorHAnsi" w:cstheme="minorHAnsi"/>
              </w:rPr>
              <w:t>Performance based initiative:</w:t>
            </w:r>
          </w:p>
          <w:p w14:paraId="7814C5D7" w14:textId="77777777" w:rsidR="009B7DC3" w:rsidRPr="00FD477B" w:rsidRDefault="009B7DC3" w:rsidP="009B7DC3">
            <w:pPr>
              <w:spacing w:before="0" w:after="0"/>
              <w:jc w:val="center"/>
              <w:rPr>
                <w:rFonts w:asciiTheme="minorHAnsi" w:hAnsiTheme="minorHAnsi" w:cstheme="minorHAnsi"/>
                <w:b w:val="0"/>
                <w:bCs w:val="0"/>
              </w:rPr>
            </w:pPr>
          </w:p>
          <w:p w14:paraId="1AA42A6B" w14:textId="77777777" w:rsidR="009B7DC3" w:rsidRPr="00F85358" w:rsidRDefault="009B7DC3" w:rsidP="009B7DC3">
            <w:pPr>
              <w:spacing w:before="0" w:after="0"/>
              <w:jc w:val="center"/>
              <w:rPr>
                <w:rFonts w:asciiTheme="minorHAnsi" w:hAnsiTheme="minorHAnsi" w:cstheme="minorHAnsi"/>
                <w:b w:val="0"/>
                <w:sz w:val="18"/>
                <w:szCs w:val="20"/>
                <w:highlight w:val="yellow"/>
              </w:rPr>
            </w:pPr>
            <w:r w:rsidRPr="00F85358">
              <w:rPr>
                <w:rFonts w:asciiTheme="minorHAnsi" w:hAnsiTheme="minorHAnsi" w:cstheme="minorHAnsi"/>
                <w:sz w:val="18"/>
                <w:szCs w:val="20"/>
              </w:rPr>
              <w:t xml:space="preserve">Greenhouse and Energy Minimum Standards Act 2012 (GEMS Act) </w:t>
            </w:r>
          </w:p>
        </w:tc>
        <w:tc>
          <w:tcPr>
            <w:tcW w:w="7226" w:type="dxa"/>
            <w:shd w:val="clear" w:color="auto" w:fill="auto"/>
            <w:vAlign w:val="center"/>
          </w:tcPr>
          <w:p w14:paraId="26FC035E"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The Greenhouse and Energy Minimum Standards Act 2012 (</w:t>
            </w:r>
            <w:r w:rsidRPr="00F85358">
              <w:rPr>
                <w:rFonts w:asciiTheme="minorHAnsi" w:hAnsiTheme="minorHAnsi" w:cstheme="minorHAnsi"/>
                <w:b/>
                <w:sz w:val="18"/>
                <w:szCs w:val="18"/>
              </w:rPr>
              <w:t>GEMS Act</w:t>
            </w:r>
            <w:r w:rsidRPr="00F85358">
              <w:rPr>
                <w:rFonts w:asciiTheme="minorHAnsi" w:hAnsiTheme="minorHAnsi" w:cstheme="minorHAnsi"/>
                <w:sz w:val="18"/>
                <w:szCs w:val="18"/>
              </w:rPr>
              <w:t>) is an Australian law that sets minimum energy efficiency standards for products such as air conditioners, refrigerators, and televisions. The law aims to reduce greenhouse gas emissions and improve energy efficiency in households and businesses. In addition to setting energy efficiency standards, the GEMS Act also includes provisions for the labelling of products covered by the Act. It is enforced by the Australian government’s Department of the Environment and Energy.</w:t>
            </w:r>
          </w:p>
          <w:p w14:paraId="2D1A0557"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A4BAC6D"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85358">
              <w:rPr>
                <w:rFonts w:asciiTheme="minorHAnsi" w:hAnsiTheme="minorHAnsi" w:cstheme="minorHAnsi"/>
                <w:sz w:val="18"/>
                <w:szCs w:val="18"/>
              </w:rPr>
              <w:t xml:space="preserve">The GEMS Act relates to appliances and while it doesn’t directly impact the building asset it </w:t>
            </w:r>
            <w:proofErr w:type="gramStart"/>
            <w:r w:rsidRPr="00F85358">
              <w:rPr>
                <w:rFonts w:asciiTheme="minorHAnsi" w:hAnsiTheme="minorHAnsi" w:cstheme="minorHAnsi"/>
                <w:sz w:val="18"/>
                <w:szCs w:val="18"/>
              </w:rPr>
              <w:t>makes a contribution</w:t>
            </w:r>
            <w:proofErr w:type="gramEnd"/>
            <w:r w:rsidRPr="00F85358">
              <w:rPr>
                <w:rFonts w:asciiTheme="minorHAnsi" w:hAnsiTheme="minorHAnsi" w:cstheme="minorHAnsi"/>
                <w:sz w:val="18"/>
                <w:szCs w:val="18"/>
              </w:rPr>
              <w:t xml:space="preserve"> to the energy performance of commercial buildings which include covered appliances.</w:t>
            </w:r>
          </w:p>
        </w:tc>
      </w:tr>
      <w:tr w:rsidR="009B7DC3" w:rsidRPr="00315002" w14:paraId="07D3274F" w14:textId="77777777" w:rsidTr="009B7DC3">
        <w:trPr>
          <w:cantSplit/>
          <w:trHeight w:val="1882"/>
        </w:trPr>
        <w:tc>
          <w:tcPr>
            <w:cnfStyle w:val="001000000000" w:firstRow="0" w:lastRow="0" w:firstColumn="1" w:lastColumn="0" w:oddVBand="0" w:evenVBand="0" w:oddHBand="0" w:evenHBand="0" w:firstRowFirstColumn="0" w:firstRowLastColumn="0" w:lastRowFirstColumn="0" w:lastRowLastColumn="0"/>
            <w:tcW w:w="2125" w:type="dxa"/>
            <w:shd w:val="clear" w:color="auto" w:fill="auto"/>
            <w:vAlign w:val="center"/>
            <w:hideMark/>
          </w:tcPr>
          <w:p w14:paraId="49C0192C" w14:textId="77777777" w:rsidR="009B7DC3" w:rsidRDefault="009B7DC3" w:rsidP="009B7DC3">
            <w:pPr>
              <w:spacing w:before="0" w:after="0"/>
              <w:jc w:val="center"/>
              <w:rPr>
                <w:rFonts w:asciiTheme="minorHAnsi" w:hAnsiTheme="minorHAnsi" w:cstheme="minorHAnsi"/>
                <w:b w:val="0"/>
                <w:sz w:val="18"/>
                <w:szCs w:val="20"/>
              </w:rPr>
            </w:pPr>
            <w:r>
              <w:rPr>
                <w:rFonts w:asciiTheme="minorHAnsi" w:hAnsiTheme="minorHAnsi" w:cstheme="minorHAnsi"/>
                <w:sz w:val="18"/>
                <w:szCs w:val="20"/>
              </w:rPr>
              <w:t xml:space="preserve">Attribute based initiative: </w:t>
            </w:r>
          </w:p>
          <w:p w14:paraId="3802BF07" w14:textId="77777777" w:rsidR="009B7DC3" w:rsidRDefault="009B7DC3" w:rsidP="009B7DC3">
            <w:pPr>
              <w:spacing w:before="0" w:after="0"/>
              <w:jc w:val="center"/>
              <w:rPr>
                <w:rFonts w:asciiTheme="minorHAnsi" w:hAnsiTheme="minorHAnsi" w:cstheme="minorHAnsi"/>
                <w:b w:val="0"/>
                <w:sz w:val="18"/>
                <w:szCs w:val="20"/>
              </w:rPr>
            </w:pPr>
          </w:p>
          <w:p w14:paraId="7FC27948" w14:textId="699298F4" w:rsidR="009B7DC3" w:rsidRPr="00F85358" w:rsidRDefault="009B7DC3" w:rsidP="009B7DC3">
            <w:pPr>
              <w:spacing w:before="0" w:after="0"/>
              <w:jc w:val="center"/>
              <w:rPr>
                <w:rFonts w:asciiTheme="minorHAnsi" w:hAnsiTheme="minorHAnsi" w:cstheme="minorHAnsi"/>
                <w:b w:val="0"/>
                <w:sz w:val="18"/>
                <w:szCs w:val="20"/>
              </w:rPr>
            </w:pPr>
            <w:r w:rsidRPr="00F85358">
              <w:rPr>
                <w:rFonts w:asciiTheme="minorHAnsi" w:hAnsiTheme="minorHAnsi" w:cstheme="minorHAnsi"/>
                <w:sz w:val="18"/>
                <w:szCs w:val="20"/>
              </w:rPr>
              <w:t>National Construction Code (</w:t>
            </w:r>
            <w:proofErr w:type="spellStart"/>
            <w:r w:rsidRPr="00F85358">
              <w:rPr>
                <w:rFonts w:asciiTheme="minorHAnsi" w:hAnsiTheme="minorHAnsi" w:cstheme="minorHAnsi"/>
                <w:sz w:val="18"/>
                <w:szCs w:val="20"/>
              </w:rPr>
              <w:t>NCC</w:t>
            </w:r>
            <w:proofErr w:type="spellEnd"/>
            <w:r w:rsidRPr="00F85358">
              <w:rPr>
                <w:rFonts w:asciiTheme="minorHAnsi" w:hAnsiTheme="minorHAnsi" w:cstheme="minorHAnsi"/>
                <w:sz w:val="18"/>
                <w:szCs w:val="20"/>
              </w:rPr>
              <w:t>)</w:t>
            </w:r>
          </w:p>
        </w:tc>
        <w:tc>
          <w:tcPr>
            <w:tcW w:w="7226" w:type="dxa"/>
            <w:shd w:val="clear" w:color="auto" w:fill="auto"/>
            <w:vAlign w:val="center"/>
            <w:hideMark/>
          </w:tcPr>
          <w:p w14:paraId="62B3C38E" w14:textId="77777777" w:rsidR="009B7DC3" w:rsidRPr="00F85358" w:rsidRDefault="009B7DC3" w:rsidP="009B7DC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The National Construction Code (</w:t>
            </w:r>
            <w:proofErr w:type="spellStart"/>
            <w:r w:rsidRPr="00F85358">
              <w:rPr>
                <w:rFonts w:asciiTheme="minorHAnsi" w:hAnsiTheme="minorHAnsi" w:cstheme="minorHAnsi"/>
                <w:b/>
                <w:sz w:val="18"/>
                <w:szCs w:val="20"/>
              </w:rPr>
              <w:t>NCC</w:t>
            </w:r>
            <w:proofErr w:type="spellEnd"/>
            <w:r w:rsidRPr="00F85358">
              <w:rPr>
                <w:rFonts w:asciiTheme="minorHAnsi" w:hAnsiTheme="minorHAnsi" w:cstheme="minorHAnsi"/>
                <w:sz w:val="18"/>
                <w:szCs w:val="20"/>
              </w:rPr>
              <w:t xml:space="preserve">) is a set of technical provisions for the design, construction and performance of buildings and structures throughout Australia. It sets minimum requirements for safety, health, </w:t>
            </w:r>
            <w:proofErr w:type="gramStart"/>
            <w:r w:rsidRPr="00F85358">
              <w:rPr>
                <w:rFonts w:asciiTheme="minorHAnsi" w:hAnsiTheme="minorHAnsi" w:cstheme="minorHAnsi"/>
                <w:sz w:val="18"/>
                <w:szCs w:val="20"/>
              </w:rPr>
              <w:t>amenity</w:t>
            </w:r>
            <w:proofErr w:type="gramEnd"/>
            <w:r w:rsidRPr="00F85358">
              <w:rPr>
                <w:rFonts w:asciiTheme="minorHAnsi" w:hAnsiTheme="minorHAnsi" w:cstheme="minorHAnsi"/>
                <w:sz w:val="18"/>
                <w:szCs w:val="20"/>
              </w:rPr>
              <w:t xml:space="preserve"> and sustainability in the built environment and covers a range of aspects including energy efficiency (Section J), metering and monitoring. It is mandatory for all new building work and renovations, and compliance with the code is enforced by local building authorities.</w:t>
            </w:r>
          </w:p>
          <w:p w14:paraId="2561F6EE" w14:textId="77777777" w:rsidR="009B7DC3" w:rsidRPr="00F85358" w:rsidRDefault="009B7DC3" w:rsidP="009B7DC3">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p w14:paraId="3A4AC1DB" w14:textId="77777777" w:rsidR="009B7DC3" w:rsidRPr="00F85358" w:rsidRDefault="009B7DC3" w:rsidP="009B7DC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Section J provides a framework for designing and constructing buildings that are energy-efficient and covers requirements such as building fabric, glazing, lighting, air conditioning, and ventilation in Class 3-9 buildings, which aims to achieve a 30-40 per cent reduction in overall GHG emissions.</w:t>
            </w:r>
          </w:p>
          <w:p w14:paraId="60FBCDA4" w14:textId="77777777" w:rsidR="009B7DC3" w:rsidRPr="00F85358" w:rsidRDefault="009B7DC3" w:rsidP="009B7DC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Section J also provides guidance on the use of renewable energy sources, such as solar panels and wind turbines, to meet the energy needs of buildings. </w:t>
            </w:r>
          </w:p>
          <w:p w14:paraId="370CF9AD" w14:textId="77777777" w:rsidR="009B7DC3" w:rsidRPr="00F85358" w:rsidRDefault="009B7DC3" w:rsidP="009B7DC3">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tc>
      </w:tr>
      <w:tr w:rsidR="009B7DC3" w:rsidRPr="00315002" w14:paraId="3437F1F1" w14:textId="77777777" w:rsidTr="009B7DC3">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5" w:type="dxa"/>
            <w:shd w:val="clear" w:color="auto" w:fill="auto"/>
            <w:vAlign w:val="center"/>
          </w:tcPr>
          <w:p w14:paraId="151EDD42" w14:textId="659B0D4A" w:rsidR="009B7DC3" w:rsidRDefault="009B7DC3" w:rsidP="009B7DC3">
            <w:pPr>
              <w:spacing w:before="0" w:after="0"/>
              <w:jc w:val="center"/>
              <w:rPr>
                <w:rFonts w:asciiTheme="minorHAnsi" w:hAnsiTheme="minorHAnsi" w:cstheme="minorHAnsi"/>
                <w:b w:val="0"/>
                <w:sz w:val="18"/>
                <w:szCs w:val="20"/>
              </w:rPr>
            </w:pPr>
            <w:r>
              <w:rPr>
                <w:rFonts w:asciiTheme="minorHAnsi" w:hAnsiTheme="minorHAnsi" w:cstheme="minorHAnsi"/>
                <w:sz w:val="18"/>
                <w:szCs w:val="20"/>
              </w:rPr>
              <w:t>Attribute based initiative:</w:t>
            </w:r>
          </w:p>
          <w:p w14:paraId="5C1AF9B4" w14:textId="77777777" w:rsidR="009B7DC3" w:rsidRDefault="009B7DC3" w:rsidP="009B7DC3">
            <w:pPr>
              <w:spacing w:before="0" w:after="0"/>
              <w:jc w:val="center"/>
              <w:rPr>
                <w:rFonts w:asciiTheme="minorHAnsi" w:hAnsiTheme="minorHAnsi" w:cstheme="minorHAnsi"/>
                <w:b w:val="0"/>
                <w:sz w:val="18"/>
                <w:szCs w:val="20"/>
              </w:rPr>
            </w:pPr>
          </w:p>
          <w:p w14:paraId="74E9AEE2" w14:textId="77777777" w:rsidR="009B7DC3" w:rsidRPr="00F85358" w:rsidRDefault="009B7DC3" w:rsidP="009B7DC3">
            <w:pPr>
              <w:spacing w:before="0" w:after="0"/>
              <w:jc w:val="center"/>
              <w:rPr>
                <w:rFonts w:asciiTheme="minorHAnsi" w:hAnsiTheme="minorHAnsi" w:cstheme="minorHAnsi"/>
                <w:sz w:val="18"/>
                <w:szCs w:val="20"/>
              </w:rPr>
            </w:pPr>
            <w:r w:rsidRPr="00F85358">
              <w:rPr>
                <w:rFonts w:asciiTheme="minorHAnsi" w:hAnsiTheme="minorHAnsi" w:cstheme="minorHAnsi"/>
                <w:sz w:val="18"/>
                <w:szCs w:val="20"/>
              </w:rPr>
              <w:t>Green Star and Green Building Council of Australia (</w:t>
            </w:r>
            <w:proofErr w:type="spellStart"/>
            <w:r w:rsidRPr="00F85358">
              <w:rPr>
                <w:rFonts w:asciiTheme="minorHAnsi" w:hAnsiTheme="minorHAnsi" w:cstheme="minorHAnsi"/>
                <w:sz w:val="18"/>
                <w:szCs w:val="20"/>
              </w:rPr>
              <w:t>GBCA</w:t>
            </w:r>
            <w:proofErr w:type="spellEnd"/>
            <w:r w:rsidRPr="00F85358">
              <w:rPr>
                <w:rFonts w:asciiTheme="minorHAnsi" w:hAnsiTheme="minorHAnsi" w:cstheme="minorHAnsi"/>
                <w:sz w:val="18"/>
                <w:szCs w:val="20"/>
              </w:rPr>
              <w:t>).</w:t>
            </w:r>
          </w:p>
          <w:p w14:paraId="43E70505" w14:textId="77777777" w:rsidR="009B7DC3" w:rsidRPr="00F85358" w:rsidRDefault="009B7DC3" w:rsidP="009B7DC3">
            <w:pPr>
              <w:spacing w:before="0" w:after="0"/>
              <w:jc w:val="center"/>
              <w:rPr>
                <w:rFonts w:asciiTheme="minorHAnsi" w:hAnsiTheme="minorHAnsi" w:cstheme="minorHAnsi"/>
                <w:b w:val="0"/>
                <w:sz w:val="18"/>
                <w:szCs w:val="20"/>
              </w:rPr>
            </w:pPr>
          </w:p>
        </w:tc>
        <w:tc>
          <w:tcPr>
            <w:tcW w:w="7226" w:type="dxa"/>
            <w:shd w:val="clear" w:color="auto" w:fill="auto"/>
            <w:vAlign w:val="center"/>
          </w:tcPr>
          <w:p w14:paraId="10B86078"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Green Star is a voluntary rating system for buildings and communities developed by the Green Building Council Australia (</w:t>
            </w:r>
            <w:proofErr w:type="spellStart"/>
            <w:r w:rsidRPr="00F85358">
              <w:rPr>
                <w:rFonts w:asciiTheme="minorHAnsi" w:hAnsiTheme="minorHAnsi" w:cstheme="minorHAnsi"/>
                <w:b/>
                <w:sz w:val="18"/>
                <w:szCs w:val="20"/>
              </w:rPr>
              <w:t>GBCA</w:t>
            </w:r>
            <w:proofErr w:type="spellEnd"/>
            <w:r w:rsidRPr="00F85358">
              <w:rPr>
                <w:rFonts w:asciiTheme="minorHAnsi" w:hAnsiTheme="minorHAnsi" w:cstheme="minorHAnsi"/>
                <w:sz w:val="18"/>
                <w:szCs w:val="20"/>
              </w:rPr>
              <w:t xml:space="preserve">). Within the commercial building sector Green Star is primarily used for </w:t>
            </w:r>
            <w:r w:rsidRPr="00F85358">
              <w:rPr>
                <w:rFonts w:asciiTheme="minorHAnsi" w:hAnsiTheme="minorHAnsi" w:cstheme="minorHAnsi"/>
                <w:i/>
                <w:sz w:val="18"/>
                <w:szCs w:val="20"/>
              </w:rPr>
              <w:t>Green Star Buildings</w:t>
            </w:r>
            <w:r w:rsidRPr="00F85358">
              <w:rPr>
                <w:rFonts w:asciiTheme="minorHAnsi" w:hAnsiTheme="minorHAnsi" w:cstheme="minorHAnsi"/>
                <w:sz w:val="18"/>
                <w:szCs w:val="20"/>
              </w:rPr>
              <w:t xml:space="preserve"> stage to rate the design and construction of any building. Green Star have also expanded into building</w:t>
            </w:r>
            <w:r w:rsidRPr="00F85358">
              <w:rPr>
                <w:rFonts w:asciiTheme="minorHAnsi" w:hAnsiTheme="minorHAnsi" w:cstheme="minorHAnsi"/>
                <w:i/>
                <w:sz w:val="18"/>
                <w:szCs w:val="20"/>
              </w:rPr>
              <w:t xml:space="preserve"> Performance</w:t>
            </w:r>
            <w:r w:rsidRPr="00F85358">
              <w:rPr>
                <w:rFonts w:asciiTheme="minorHAnsi" w:hAnsiTheme="minorHAnsi" w:cstheme="minorHAnsi"/>
                <w:sz w:val="18"/>
                <w:szCs w:val="20"/>
              </w:rPr>
              <w:t xml:space="preserve"> ratings for the operational stage of an asset.</w:t>
            </w:r>
          </w:p>
          <w:p w14:paraId="0C59924B"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p w14:paraId="634E11A6"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The New Buildings rating tool (formerly the </w:t>
            </w:r>
            <w:r w:rsidRPr="00F85358">
              <w:rPr>
                <w:rFonts w:asciiTheme="minorHAnsi" w:hAnsiTheme="minorHAnsi" w:cstheme="minorHAnsi"/>
                <w:i/>
                <w:sz w:val="18"/>
                <w:szCs w:val="20"/>
              </w:rPr>
              <w:t xml:space="preserve">Design &amp; As Built) </w:t>
            </w:r>
            <w:r w:rsidRPr="00F85358">
              <w:rPr>
                <w:rFonts w:asciiTheme="minorHAnsi" w:hAnsiTheme="minorHAnsi" w:cstheme="minorHAnsi"/>
                <w:sz w:val="18"/>
                <w:szCs w:val="20"/>
              </w:rPr>
              <w:t xml:space="preserve">evaluates the environmental design and performance of buildings, based on energy efficiency, water usage, materials, and indoor environment quality. A project must meet a </w:t>
            </w:r>
            <w:proofErr w:type="gramStart"/>
            <w:r w:rsidRPr="00F85358">
              <w:rPr>
                <w:rFonts w:asciiTheme="minorHAnsi" w:hAnsiTheme="minorHAnsi" w:cstheme="minorHAnsi"/>
                <w:sz w:val="18"/>
                <w:szCs w:val="20"/>
              </w:rPr>
              <w:t>minimum sustainability criteria</w:t>
            </w:r>
            <w:proofErr w:type="gramEnd"/>
            <w:r w:rsidRPr="00F85358">
              <w:rPr>
                <w:rFonts w:asciiTheme="minorHAnsi" w:hAnsiTheme="minorHAnsi" w:cstheme="minorHAnsi"/>
                <w:sz w:val="18"/>
                <w:szCs w:val="20"/>
              </w:rPr>
              <w:t xml:space="preserve"> to receive certification, including energy efficiency, responsible management practices, water conservation, indoor environmental quality, sustainable materials, transport, ecology, and innovation.</w:t>
            </w:r>
          </w:p>
          <w:p w14:paraId="4507F54E"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p w14:paraId="76468742" w14:textId="029D74E0"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Each credit defines a clear outcome that a project must </w:t>
            </w:r>
            <w:proofErr w:type="gramStart"/>
            <w:r w:rsidRPr="00F85358">
              <w:rPr>
                <w:rFonts w:asciiTheme="minorHAnsi" w:hAnsiTheme="minorHAnsi" w:cstheme="minorHAnsi"/>
                <w:sz w:val="18"/>
                <w:szCs w:val="20"/>
              </w:rPr>
              <w:t>meet</w:t>
            </w:r>
            <w:proofErr w:type="gramEnd"/>
            <w:r w:rsidRPr="00F85358">
              <w:rPr>
                <w:rFonts w:asciiTheme="minorHAnsi" w:hAnsiTheme="minorHAnsi" w:cstheme="minorHAnsi"/>
                <w:sz w:val="18"/>
                <w:szCs w:val="20"/>
              </w:rPr>
              <w:t xml:space="preserve"> and credits are weighted in relation with each other by varying the number of points available. Where the outcome is verified to have been met, a project will be rewarded with the relevant available points. Therefore, each project can demonstrate the achievement of a specific level of sustainability aggregating points up to a star rating out of six, with six being the highest rating.</w:t>
            </w:r>
          </w:p>
          <w:p w14:paraId="0ABFDDA6"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p w14:paraId="7DA6E7B7"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F85358">
              <w:rPr>
                <w:rFonts w:asciiTheme="minorHAnsi" w:hAnsiTheme="minorHAnsi" w:cstheme="minorHAnsi"/>
                <w:sz w:val="18"/>
                <w:szCs w:val="20"/>
              </w:rPr>
              <w:t xml:space="preserve">Green Star and the </w:t>
            </w:r>
            <w:proofErr w:type="spellStart"/>
            <w:r w:rsidRPr="00F85358">
              <w:rPr>
                <w:rFonts w:asciiTheme="minorHAnsi" w:hAnsiTheme="minorHAnsi" w:cstheme="minorHAnsi"/>
                <w:sz w:val="18"/>
                <w:szCs w:val="20"/>
              </w:rPr>
              <w:t>GBCA</w:t>
            </w:r>
            <w:proofErr w:type="spellEnd"/>
            <w:r w:rsidRPr="00F85358">
              <w:rPr>
                <w:rFonts w:asciiTheme="minorHAnsi" w:hAnsiTheme="minorHAnsi" w:cstheme="minorHAnsi"/>
                <w:sz w:val="18"/>
                <w:szCs w:val="20"/>
              </w:rPr>
              <w:t xml:space="preserve"> work closely with </w:t>
            </w:r>
            <w:proofErr w:type="spellStart"/>
            <w:r w:rsidRPr="00F85358">
              <w:rPr>
                <w:rFonts w:asciiTheme="minorHAnsi" w:hAnsiTheme="minorHAnsi" w:cstheme="minorHAnsi"/>
                <w:sz w:val="18"/>
                <w:szCs w:val="20"/>
              </w:rPr>
              <w:t>NCC</w:t>
            </w:r>
            <w:proofErr w:type="spellEnd"/>
            <w:r w:rsidRPr="00F85358">
              <w:rPr>
                <w:rFonts w:asciiTheme="minorHAnsi" w:hAnsiTheme="minorHAnsi" w:cstheme="minorHAnsi"/>
                <w:sz w:val="18"/>
                <w:szCs w:val="20"/>
              </w:rPr>
              <w:t xml:space="preserve"> to make necessary adjustments to their program to align with the </w:t>
            </w:r>
            <w:proofErr w:type="spellStart"/>
            <w:r w:rsidRPr="00F85358">
              <w:rPr>
                <w:rFonts w:asciiTheme="minorHAnsi" w:hAnsiTheme="minorHAnsi" w:cstheme="minorHAnsi"/>
                <w:sz w:val="18"/>
                <w:szCs w:val="20"/>
              </w:rPr>
              <w:t>NCC</w:t>
            </w:r>
            <w:proofErr w:type="spellEnd"/>
            <w:r w:rsidRPr="00F85358">
              <w:rPr>
                <w:rFonts w:asciiTheme="minorHAnsi" w:hAnsiTheme="minorHAnsi" w:cstheme="minorHAnsi"/>
                <w:sz w:val="18"/>
                <w:szCs w:val="20"/>
              </w:rPr>
              <w:t xml:space="preserve"> changes that occur every 3 years. Three-yearly overhauls (major updates) of the rating tool will result in the release of a new rating tool version. e.g., v1.0, v2.0.</w:t>
            </w:r>
          </w:p>
          <w:p w14:paraId="07146373" w14:textId="77777777" w:rsidR="009B7DC3" w:rsidRPr="00F85358" w:rsidRDefault="009B7DC3" w:rsidP="009B7DC3">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p>
        </w:tc>
      </w:tr>
    </w:tbl>
    <w:p w14:paraId="661A517E" w14:textId="77777777" w:rsidR="00AC1DC4" w:rsidRPr="00F85358" w:rsidRDefault="00AC1DC4" w:rsidP="00AC1DC4">
      <w:pPr>
        <w:pStyle w:val="BodyText"/>
        <w:rPr>
          <w:rFonts w:asciiTheme="minorHAnsi" w:hAnsiTheme="minorHAnsi" w:cstheme="minorHAnsi"/>
          <w:lang w:val="en-GB"/>
        </w:rPr>
      </w:pPr>
    </w:p>
    <w:p w14:paraId="5E02458E" w14:textId="77777777" w:rsidR="00660512" w:rsidRPr="00F85358" w:rsidRDefault="00660512">
      <w:pPr>
        <w:spacing w:before="0" w:after="160" w:line="259" w:lineRule="auto"/>
        <w:rPr>
          <w:rFonts w:asciiTheme="minorHAnsi" w:eastAsiaTheme="majorEastAsia" w:hAnsiTheme="minorHAnsi" w:cstheme="minorHAnsi"/>
          <w:b/>
          <w:color w:val="1E49E2" w:themeColor="accent1"/>
          <w:sz w:val="28"/>
          <w:szCs w:val="24"/>
          <w:lang w:val="en-GB"/>
        </w:rPr>
      </w:pPr>
      <w:r w:rsidRPr="00F85358">
        <w:rPr>
          <w:rFonts w:asciiTheme="minorHAnsi" w:hAnsiTheme="minorHAnsi" w:cstheme="minorHAnsi"/>
          <w:lang w:val="en-GB"/>
        </w:rPr>
        <w:br w:type="page"/>
      </w:r>
    </w:p>
    <w:p w14:paraId="2E004438" w14:textId="1298CF7C" w:rsidR="00A939DD" w:rsidRPr="00F81ADB" w:rsidRDefault="00833097" w:rsidP="00214D42">
      <w:pPr>
        <w:pStyle w:val="Heading2"/>
        <w:rPr>
          <w:rFonts w:cstheme="minorHAnsi"/>
          <w:lang w:val="en-GB"/>
        </w:rPr>
      </w:pPr>
      <w:bookmarkStart w:id="297" w:name="_Toc136286398"/>
      <w:bookmarkStart w:id="298" w:name="_Toc154059396"/>
      <w:r w:rsidRPr="00F81ADB">
        <w:rPr>
          <w:rFonts w:cstheme="minorHAnsi"/>
          <w:lang w:val="en-GB"/>
        </w:rPr>
        <w:lastRenderedPageBreak/>
        <w:t>Appendi</w:t>
      </w:r>
      <w:r w:rsidR="00F22F30" w:rsidRPr="00F81ADB">
        <w:rPr>
          <w:rFonts w:cstheme="minorHAnsi"/>
          <w:lang w:val="en-GB"/>
        </w:rPr>
        <w:t>x</w:t>
      </w:r>
      <w:r w:rsidR="00A939DD" w:rsidRPr="00F81ADB">
        <w:rPr>
          <w:rFonts w:cstheme="minorHAnsi"/>
          <w:lang w:val="en-GB"/>
        </w:rPr>
        <w:t xml:space="preserve"> </w:t>
      </w:r>
      <w:bookmarkEnd w:id="266"/>
      <w:bookmarkEnd w:id="267"/>
      <w:r w:rsidR="00182AB2">
        <w:rPr>
          <w:rFonts w:cstheme="minorHAnsi"/>
          <w:lang w:val="en-GB"/>
        </w:rPr>
        <w:t>8</w:t>
      </w:r>
      <w:r w:rsidR="00A939DD" w:rsidRPr="00F81ADB">
        <w:rPr>
          <w:rFonts w:cstheme="minorHAnsi"/>
          <w:lang w:val="en-GB"/>
        </w:rPr>
        <w:t>:</w:t>
      </w:r>
      <w:r w:rsidR="00F01ABB" w:rsidRPr="00F81ADB">
        <w:rPr>
          <w:rFonts w:cstheme="minorHAnsi"/>
          <w:lang w:val="en-GB"/>
        </w:rPr>
        <w:t xml:space="preserve"> </w:t>
      </w:r>
      <w:r w:rsidR="00DB10B9" w:rsidRPr="00F81ADB">
        <w:rPr>
          <w:rFonts w:cstheme="minorHAnsi"/>
          <w:lang w:val="en-GB"/>
        </w:rPr>
        <w:t>S</w:t>
      </w:r>
      <w:r w:rsidR="00F01ABB" w:rsidRPr="00F81ADB">
        <w:rPr>
          <w:rFonts w:cstheme="minorHAnsi"/>
          <w:lang w:val="en-GB"/>
        </w:rPr>
        <w:t>ummary information from international research</w:t>
      </w:r>
      <w:bookmarkEnd w:id="268"/>
      <w:bookmarkEnd w:id="297"/>
      <w:bookmarkEnd w:id="298"/>
    </w:p>
    <w:p w14:paraId="24661263" w14:textId="3B063C1E" w:rsidR="00A939DD" w:rsidRPr="00F85358" w:rsidRDefault="00D37725" w:rsidP="00A939DD">
      <w:pPr>
        <w:pStyle w:val="BodyText"/>
        <w:rPr>
          <w:rFonts w:asciiTheme="minorHAnsi" w:hAnsiTheme="minorHAnsi" w:cstheme="minorHAnsi"/>
          <w:lang w:val="en-GB"/>
        </w:rPr>
      </w:pPr>
      <w:r w:rsidRPr="00F85358">
        <w:rPr>
          <w:rFonts w:asciiTheme="minorHAnsi" w:hAnsiTheme="minorHAnsi" w:cstheme="minorHAnsi"/>
          <w:lang w:val="en-GB"/>
        </w:rPr>
        <w:t>Below is the summary data from the international research.</w:t>
      </w:r>
    </w:p>
    <w:p w14:paraId="2BCFBAF8" w14:textId="601CA4D3" w:rsidR="005B3B6F" w:rsidRPr="00732C3A" w:rsidRDefault="005B3B6F" w:rsidP="00732C3A">
      <w:pPr>
        <w:pStyle w:val="Caption"/>
        <w:keepNext/>
        <w:spacing w:after="120"/>
        <w:rPr>
          <w:rFonts w:ascii="Calibri" w:eastAsia="Times New Roman" w:hAnsi="Calibri" w:cs="Times New Roman"/>
          <w:b/>
          <w:bCs/>
          <w:i w:val="0"/>
          <w:iCs w:val="0"/>
          <w:color w:val="auto"/>
          <w:sz w:val="24"/>
        </w:rPr>
      </w:pPr>
      <w:bookmarkStart w:id="299" w:name="_Ref132371370"/>
      <w:bookmarkStart w:id="300" w:name="_Toc162535466"/>
      <w:r w:rsidRPr="00732C3A">
        <w:rPr>
          <w:rFonts w:ascii="Calibri" w:eastAsia="Times New Roman" w:hAnsi="Calibri" w:cs="Times New Roman"/>
          <w:b/>
          <w:bCs/>
          <w:i w:val="0"/>
          <w:iCs w:val="0"/>
          <w:color w:val="auto"/>
          <w:sz w:val="24"/>
        </w:rPr>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SEQ Table \* ARABIC</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30</w:t>
      </w:r>
      <w:r w:rsidRPr="00732C3A">
        <w:rPr>
          <w:rFonts w:ascii="Calibri" w:eastAsia="Times New Roman" w:hAnsi="Calibri" w:cs="Times New Roman"/>
          <w:b/>
          <w:bCs/>
          <w:i w:val="0"/>
          <w:iCs w:val="0"/>
          <w:color w:val="auto"/>
          <w:sz w:val="24"/>
        </w:rPr>
        <w:fldChar w:fldCharType="end"/>
      </w:r>
      <w:bookmarkEnd w:id="299"/>
      <w:r w:rsidRPr="00732C3A">
        <w:rPr>
          <w:rFonts w:ascii="Calibri" w:eastAsia="Times New Roman" w:hAnsi="Calibri" w:cs="Times New Roman"/>
          <w:b/>
          <w:bCs/>
          <w:i w:val="0"/>
          <w:iCs w:val="0"/>
          <w:color w:val="auto"/>
          <w:sz w:val="24"/>
        </w:rPr>
        <w:t>: High level findings from international research (focus on commercial buildings)</w:t>
      </w:r>
      <w:bookmarkEnd w:id="300"/>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28"/>
        <w:gridCol w:w="1690"/>
        <w:gridCol w:w="5965"/>
      </w:tblGrid>
      <w:tr w:rsidR="005B3B6F" w:rsidRPr="00AB77BC" w14:paraId="1F9CB75B" w14:textId="77777777" w:rsidTr="00FD47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5B4474A0"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Country/ region</w:t>
            </w:r>
          </w:p>
        </w:tc>
        <w:tc>
          <w:tcPr>
            <w:tcW w:w="1428" w:type="dxa"/>
          </w:tcPr>
          <w:p w14:paraId="6C3B0CFB" w14:textId="77777777" w:rsidR="005B3B6F" w:rsidRPr="00F85358" w:rsidRDefault="005B3B6F">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Mechanism name</w:t>
            </w:r>
          </w:p>
        </w:tc>
        <w:tc>
          <w:tcPr>
            <w:tcW w:w="1690" w:type="dxa"/>
          </w:tcPr>
          <w:p w14:paraId="306DDC17" w14:textId="77777777" w:rsidR="005B3B6F" w:rsidRPr="00F85358" w:rsidRDefault="005B3B6F">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Trigger point </w:t>
            </w:r>
          </w:p>
        </w:tc>
        <w:tc>
          <w:tcPr>
            <w:tcW w:w="5965" w:type="dxa"/>
          </w:tcPr>
          <w:p w14:paraId="01A12F35" w14:textId="77777777" w:rsidR="005B3B6F" w:rsidRPr="00F85358" w:rsidRDefault="005B3B6F">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Detail (aims, requirements, effectiveness, attribute vs performance etc)</w:t>
            </w:r>
          </w:p>
        </w:tc>
      </w:tr>
      <w:tr w:rsidR="005B3B6F" w:rsidRPr="00AB77BC" w14:paraId="4BD26109"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5A32F341"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EU</w:t>
            </w:r>
          </w:p>
        </w:tc>
        <w:tc>
          <w:tcPr>
            <w:tcW w:w="1428" w:type="dxa"/>
          </w:tcPr>
          <w:p w14:paraId="6FAAD7BE"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Minimum Energy Performance Standards (</w:t>
            </w:r>
            <w:proofErr w:type="spellStart"/>
            <w:r w:rsidRPr="00F85358">
              <w:rPr>
                <w:rFonts w:asciiTheme="minorHAnsi" w:hAnsiTheme="minorHAnsi" w:cstheme="minorHAnsi"/>
                <w:sz w:val="16"/>
                <w:szCs w:val="16"/>
              </w:rPr>
              <w:t>MEPS</w:t>
            </w:r>
            <w:proofErr w:type="spellEnd"/>
            <w:r w:rsidRPr="00F85358">
              <w:rPr>
                <w:rFonts w:asciiTheme="minorHAnsi" w:hAnsiTheme="minorHAnsi" w:cstheme="minorHAnsi"/>
                <w:sz w:val="16"/>
                <w:szCs w:val="16"/>
              </w:rPr>
              <w:t xml:space="preserve">, part of EU Energy Performance of Buildings Directive </w:t>
            </w:r>
            <w:proofErr w:type="spellStart"/>
            <w:r w:rsidRPr="00F85358">
              <w:rPr>
                <w:rFonts w:asciiTheme="minorHAnsi" w:hAnsiTheme="minorHAnsi" w:cstheme="minorHAnsi"/>
                <w:sz w:val="16"/>
                <w:szCs w:val="16"/>
              </w:rPr>
              <w:t>EPBD</w:t>
            </w:r>
            <w:proofErr w:type="spellEnd"/>
            <w:r w:rsidRPr="00F85358">
              <w:rPr>
                <w:rFonts w:asciiTheme="minorHAnsi" w:hAnsiTheme="minorHAnsi" w:cstheme="minorHAnsi"/>
                <w:sz w:val="16"/>
                <w:szCs w:val="16"/>
              </w:rPr>
              <w:t>)</w:t>
            </w:r>
          </w:p>
        </w:tc>
        <w:tc>
          <w:tcPr>
            <w:tcW w:w="1690" w:type="dxa"/>
          </w:tcPr>
          <w:p w14:paraId="0823955A"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Buying, </w:t>
            </w:r>
            <w:proofErr w:type="gramStart"/>
            <w:r w:rsidRPr="00F85358">
              <w:rPr>
                <w:rFonts w:asciiTheme="minorHAnsi" w:hAnsiTheme="minorHAnsi" w:cstheme="minorHAnsi"/>
                <w:sz w:val="16"/>
                <w:szCs w:val="16"/>
              </w:rPr>
              <w:t>selling</w:t>
            </w:r>
            <w:proofErr w:type="gramEnd"/>
            <w:r w:rsidRPr="00F85358">
              <w:rPr>
                <w:rFonts w:asciiTheme="minorHAnsi" w:hAnsiTheme="minorHAnsi" w:cstheme="minorHAnsi"/>
                <w:sz w:val="16"/>
                <w:szCs w:val="16"/>
              </w:rPr>
              <w:t xml:space="preserve"> or renting public and non-residential buildings (mandatory)</w:t>
            </w:r>
          </w:p>
        </w:tc>
        <w:tc>
          <w:tcPr>
            <w:tcW w:w="5965" w:type="dxa"/>
          </w:tcPr>
          <w:p w14:paraId="582564F3"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Must be renovated/ improved to energy performance level F by 2027, and to E by 2030 (measured by Energy Performance Certificates, </w:t>
            </w:r>
            <w:proofErr w:type="spellStart"/>
            <w:r w:rsidRPr="00F85358">
              <w:rPr>
                <w:rFonts w:asciiTheme="minorHAnsi" w:hAnsiTheme="minorHAnsi" w:cstheme="minorHAnsi"/>
                <w:sz w:val="16"/>
                <w:szCs w:val="16"/>
              </w:rPr>
              <w:t>EPCs</w:t>
            </w:r>
            <w:proofErr w:type="spellEnd"/>
            <w:r w:rsidRPr="00F85358">
              <w:rPr>
                <w:rFonts w:asciiTheme="minorHAnsi" w:hAnsiTheme="minorHAnsi" w:cstheme="minorHAnsi"/>
                <w:sz w:val="16"/>
                <w:szCs w:val="16"/>
              </w:rPr>
              <w:t>)</w:t>
            </w:r>
          </w:p>
          <w:p w14:paraId="2D9EB484"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new buildings should be equipped with solar technologies by 2028. Fossil fuels for heating phased out by 2035.</w:t>
            </w:r>
          </w:p>
          <w:p w14:paraId="3C7FF78E"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Member states will motivate through law, </w:t>
            </w:r>
            <w:proofErr w:type="gramStart"/>
            <w:r w:rsidRPr="00F85358">
              <w:rPr>
                <w:rFonts w:asciiTheme="minorHAnsi" w:hAnsiTheme="minorHAnsi" w:cstheme="minorHAnsi"/>
                <w:sz w:val="16"/>
                <w:szCs w:val="16"/>
              </w:rPr>
              <w:t>incentives</w:t>
            </w:r>
            <w:proofErr w:type="gramEnd"/>
            <w:r w:rsidRPr="00F85358">
              <w:rPr>
                <w:rFonts w:asciiTheme="minorHAnsi" w:hAnsiTheme="minorHAnsi" w:cstheme="minorHAnsi"/>
                <w:sz w:val="16"/>
                <w:szCs w:val="16"/>
              </w:rPr>
              <w:t xml:space="preserve"> and penalties.</w:t>
            </w:r>
          </w:p>
          <w:p w14:paraId="1448E6FE" w14:textId="4B02D34F"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Voluntary schemes have less impact (renovations are around 0.</w:t>
            </w:r>
            <w:r w:rsidR="54504D5A" w:rsidRPr="00F85358">
              <w:rPr>
                <w:rFonts w:asciiTheme="minorHAnsi" w:hAnsiTheme="minorHAnsi" w:cstheme="minorHAnsi"/>
                <w:sz w:val="16"/>
                <w:szCs w:val="16"/>
              </w:rPr>
              <w:t>6</w:t>
            </w:r>
            <w:r w:rsidR="5E20B82E" w:rsidRPr="00F85358">
              <w:rPr>
                <w:rFonts w:asciiTheme="minorHAnsi" w:hAnsiTheme="minorHAnsi" w:cstheme="minorHAnsi"/>
                <w:sz w:val="16"/>
                <w:szCs w:val="16"/>
              </w:rPr>
              <w:t xml:space="preserve"> </w:t>
            </w:r>
            <w:r w:rsidR="53404FD2" w:rsidRPr="00F85358">
              <w:rPr>
                <w:rFonts w:asciiTheme="minorHAnsi" w:hAnsiTheme="minorHAnsi" w:cstheme="minorHAnsi"/>
                <w:sz w:val="16"/>
                <w:szCs w:val="16"/>
              </w:rPr>
              <w:t>per</w:t>
            </w:r>
            <w:r w:rsidR="001655E9" w:rsidRPr="00F85358">
              <w:rPr>
                <w:rFonts w:asciiTheme="minorHAnsi" w:hAnsiTheme="minorHAnsi" w:cstheme="minorHAnsi"/>
                <w:sz w:val="16"/>
                <w:szCs w:val="16"/>
              </w:rPr>
              <w:t xml:space="preserve"> cent</w:t>
            </w:r>
            <w:r w:rsidRPr="00F85358">
              <w:rPr>
                <w:rFonts w:asciiTheme="minorHAnsi" w:hAnsiTheme="minorHAnsi" w:cstheme="minorHAnsi"/>
                <w:sz w:val="16"/>
                <w:szCs w:val="16"/>
              </w:rPr>
              <w:t>-1.</w:t>
            </w:r>
            <w:r w:rsidR="54504D5A" w:rsidRPr="00F85358">
              <w:rPr>
                <w:rFonts w:asciiTheme="minorHAnsi" w:hAnsiTheme="minorHAnsi" w:cstheme="minorHAnsi"/>
                <w:sz w:val="16"/>
                <w:szCs w:val="16"/>
              </w:rPr>
              <w:t>6</w:t>
            </w:r>
            <w:r w:rsidR="32D65A63" w:rsidRPr="00F85358">
              <w:rPr>
                <w:rFonts w:asciiTheme="minorHAnsi" w:hAnsiTheme="minorHAnsi" w:cstheme="minorHAnsi"/>
                <w:sz w:val="16"/>
                <w:szCs w:val="16"/>
              </w:rPr>
              <w:t xml:space="preserve"> </w:t>
            </w:r>
            <w:r w:rsidR="53404FD2" w:rsidRPr="00F85358">
              <w:rPr>
                <w:rFonts w:asciiTheme="minorHAnsi" w:hAnsiTheme="minorHAnsi" w:cstheme="minorHAnsi"/>
                <w:sz w:val="16"/>
                <w:szCs w:val="16"/>
              </w:rPr>
              <w:t>per</w:t>
            </w:r>
            <w:r w:rsidR="001655E9" w:rsidRPr="00F85358">
              <w:rPr>
                <w:rFonts w:asciiTheme="minorHAnsi" w:hAnsiTheme="minorHAnsi" w:cstheme="minorHAnsi"/>
                <w:sz w:val="16"/>
                <w:szCs w:val="16"/>
              </w:rPr>
              <w:t xml:space="preserve"> cent</w:t>
            </w:r>
            <w:r w:rsidRPr="00F85358">
              <w:rPr>
                <w:rFonts w:asciiTheme="minorHAnsi" w:hAnsiTheme="minorHAnsi" w:cstheme="minorHAnsi"/>
                <w:sz w:val="16"/>
                <w:szCs w:val="16"/>
              </w:rPr>
              <w:t>), hence the motivation to introduce MEPS</w:t>
            </w:r>
            <w:r w:rsidR="002D0089">
              <w:rPr>
                <w:rFonts w:ascii="ZWAdobeF" w:hAnsi="ZWAdobeF" w:cs="ZWAdobeF"/>
                <w:color w:val="auto"/>
                <w:sz w:val="2"/>
                <w:szCs w:val="2"/>
              </w:rPr>
              <w:t>169F</w:t>
            </w:r>
            <w:r w:rsidR="00EE36E3">
              <w:rPr>
                <w:rFonts w:ascii="ZWAdobeF" w:hAnsi="ZWAdobeF" w:cs="ZWAdobeF"/>
                <w:color w:val="auto"/>
                <w:sz w:val="2"/>
                <w:szCs w:val="2"/>
              </w:rPr>
              <w:t>172F</w:t>
            </w:r>
            <w:r w:rsidR="00122C48">
              <w:rPr>
                <w:rFonts w:ascii="ZWAdobeF" w:hAnsi="ZWAdobeF" w:cs="ZWAdobeF"/>
                <w:color w:val="auto"/>
                <w:sz w:val="2"/>
                <w:szCs w:val="2"/>
              </w:rPr>
              <w:t>172F</w:t>
            </w:r>
            <w:r w:rsidR="00F73A23">
              <w:rPr>
                <w:rFonts w:ascii="ZWAdobeF" w:hAnsi="ZWAdobeF" w:cs="ZWAdobeF"/>
                <w:color w:val="auto"/>
                <w:sz w:val="2"/>
                <w:szCs w:val="2"/>
              </w:rPr>
              <w:t>172F</w:t>
            </w:r>
            <w:r w:rsidR="00626378">
              <w:rPr>
                <w:rFonts w:ascii="ZWAdobeF" w:hAnsi="ZWAdobeF" w:cs="ZWAdobeF"/>
                <w:color w:val="auto"/>
                <w:sz w:val="2"/>
                <w:szCs w:val="2"/>
              </w:rPr>
              <w:t>172F</w:t>
            </w:r>
            <w:r w:rsidR="00413811">
              <w:rPr>
                <w:rFonts w:ascii="ZWAdobeF" w:hAnsi="ZWAdobeF" w:cs="ZWAdobeF"/>
                <w:color w:val="auto"/>
                <w:sz w:val="2"/>
                <w:szCs w:val="2"/>
              </w:rPr>
              <w:t>172F</w:t>
            </w:r>
            <w:r w:rsidR="002C327C">
              <w:rPr>
                <w:rFonts w:ascii="ZWAdobeF" w:hAnsi="ZWAdobeF" w:cs="ZWAdobeF"/>
                <w:color w:val="auto"/>
                <w:sz w:val="2"/>
                <w:szCs w:val="2"/>
              </w:rPr>
              <w:t>172F</w:t>
            </w:r>
            <w:r w:rsidR="00D24A06">
              <w:rPr>
                <w:rFonts w:ascii="ZWAdobeF" w:hAnsi="ZWAdobeF" w:cs="ZWAdobeF"/>
                <w:color w:val="auto"/>
                <w:sz w:val="2"/>
                <w:szCs w:val="2"/>
              </w:rPr>
              <w:t>172F</w:t>
            </w:r>
            <w:r w:rsidRPr="00F85358">
              <w:rPr>
                <w:rStyle w:val="FootnoteReference"/>
                <w:rFonts w:asciiTheme="minorHAnsi" w:hAnsiTheme="minorHAnsi" w:cstheme="minorHAnsi"/>
                <w:sz w:val="16"/>
                <w:szCs w:val="16"/>
              </w:rPr>
              <w:footnoteReference w:id="174"/>
            </w:r>
            <w:r w:rsidRPr="00F85358">
              <w:rPr>
                <w:rFonts w:asciiTheme="minorHAnsi" w:hAnsiTheme="minorHAnsi" w:cstheme="minorHAnsi"/>
                <w:sz w:val="16"/>
                <w:szCs w:val="16"/>
              </w:rPr>
              <w:t>.</w:t>
            </w:r>
          </w:p>
        </w:tc>
      </w:tr>
      <w:tr w:rsidR="005B3B6F" w:rsidRPr="00AB77BC" w14:paraId="3AC1476A"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60E16A0A" w14:textId="79E1494F" w:rsidR="005B3B6F" w:rsidRPr="00F85358" w:rsidRDefault="00FD477B">
            <w:pPr>
              <w:pStyle w:val="BodyText"/>
              <w:rPr>
                <w:rFonts w:asciiTheme="minorHAnsi" w:hAnsiTheme="minorHAnsi" w:cstheme="minorHAnsi"/>
                <w:sz w:val="16"/>
                <w:szCs w:val="16"/>
              </w:rPr>
            </w:pPr>
            <w:r>
              <w:rPr>
                <w:rFonts w:asciiTheme="minorHAnsi" w:hAnsiTheme="minorHAnsi" w:cstheme="minorHAnsi"/>
                <w:sz w:val="16"/>
                <w:szCs w:val="16"/>
              </w:rPr>
              <w:t>EU</w:t>
            </w:r>
          </w:p>
        </w:tc>
        <w:tc>
          <w:tcPr>
            <w:tcW w:w="1428" w:type="dxa"/>
          </w:tcPr>
          <w:p w14:paraId="42ADDE52"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Fit for 55 </w:t>
            </w:r>
            <w:proofErr w:type="gramStart"/>
            <w:r w:rsidRPr="00F85358">
              <w:rPr>
                <w:rFonts w:asciiTheme="minorHAnsi" w:hAnsiTheme="minorHAnsi" w:cstheme="minorHAnsi"/>
                <w:sz w:val="16"/>
                <w:szCs w:val="16"/>
              </w:rPr>
              <w:t>package</w:t>
            </w:r>
            <w:proofErr w:type="gramEnd"/>
          </w:p>
        </w:tc>
        <w:tc>
          <w:tcPr>
            <w:tcW w:w="1690" w:type="dxa"/>
          </w:tcPr>
          <w:p w14:paraId="2336BDB7"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New residential, commercial, public, and industrial buildings from 2028 (mandatory)</w:t>
            </w:r>
          </w:p>
        </w:tc>
        <w:tc>
          <w:tcPr>
            <w:tcW w:w="5965" w:type="dxa"/>
          </w:tcPr>
          <w:p w14:paraId="0618EBBA"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Public new buildings to be zero emissions by 2028, the rest by 2030. </w:t>
            </w:r>
          </w:p>
          <w:p w14:paraId="0517F4AC"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Public sector must improve energy performance of renovated buildings. </w:t>
            </w:r>
          </w:p>
          <w:p w14:paraId="03122382"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Existing buildings transformed into zero-emission buildings by 2050. </w:t>
            </w:r>
          </w:p>
          <w:p w14:paraId="69E8EE77"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Have added an A+ rating for buildings that are zero emissions and contribute to on-site renewable energy to the </w:t>
            </w:r>
            <w:proofErr w:type="gramStart"/>
            <w:r w:rsidRPr="00F85358">
              <w:rPr>
                <w:rFonts w:asciiTheme="minorHAnsi" w:hAnsiTheme="minorHAnsi" w:cstheme="minorHAnsi"/>
                <w:sz w:val="16"/>
                <w:szCs w:val="16"/>
              </w:rPr>
              <w:t>grid</w:t>
            </w:r>
            <w:proofErr w:type="gramEnd"/>
          </w:p>
          <w:p w14:paraId="28114CEF"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EU to provide financial help, tax reductions, administrative support</w:t>
            </w:r>
          </w:p>
        </w:tc>
      </w:tr>
      <w:tr w:rsidR="005B3B6F" w:rsidRPr="00AB77BC" w14:paraId="0476CDA5"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23DD7823"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UK</w:t>
            </w:r>
          </w:p>
        </w:tc>
        <w:tc>
          <w:tcPr>
            <w:tcW w:w="1428" w:type="dxa"/>
          </w:tcPr>
          <w:p w14:paraId="0256AD43"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Energy Performance Certificates (</w:t>
            </w:r>
            <w:proofErr w:type="spellStart"/>
            <w:r w:rsidRPr="00F85358">
              <w:rPr>
                <w:rFonts w:asciiTheme="minorHAnsi" w:hAnsiTheme="minorHAnsi" w:cstheme="minorHAnsi"/>
                <w:sz w:val="16"/>
                <w:szCs w:val="16"/>
              </w:rPr>
              <w:t>EPCs</w:t>
            </w:r>
            <w:proofErr w:type="spellEnd"/>
            <w:r w:rsidRPr="00F85358">
              <w:rPr>
                <w:rFonts w:asciiTheme="minorHAnsi" w:hAnsiTheme="minorHAnsi" w:cstheme="minorHAnsi"/>
                <w:sz w:val="16"/>
                <w:szCs w:val="16"/>
              </w:rPr>
              <w:t>)</w:t>
            </w:r>
          </w:p>
        </w:tc>
        <w:tc>
          <w:tcPr>
            <w:tcW w:w="1690" w:type="dxa"/>
          </w:tcPr>
          <w:p w14:paraId="52418EF3"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Property built, sold, rented (mandatory assessments and reporting information)</w:t>
            </w:r>
          </w:p>
          <w:p w14:paraId="3815CF2E"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5965" w:type="dxa"/>
          </w:tcPr>
          <w:p w14:paraId="37B9EC75"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EPC provides information about property energy use and typical energy costs, recommendations about how to reduce energy use, and gives an energy efficiency rating from A (most efficient) to G (least efficient). </w:t>
            </w:r>
          </w:p>
          <w:p w14:paraId="72B108B0"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Current requirement to be D or above. F and G grade building landlords will be fined £5,000 as of Nov 2023 unless they improve the energy efficiency.</w:t>
            </w:r>
          </w:p>
          <w:p w14:paraId="0CA72D05"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Found weak correlation between actual performance and rating in large buildings (hence introducing ‘Industrial building energy performance framework’)</w:t>
            </w:r>
          </w:p>
        </w:tc>
      </w:tr>
      <w:tr w:rsidR="005B3B6F" w:rsidRPr="00AB77BC" w14:paraId="4ABBAFF4" w14:textId="77777777" w:rsidTr="00FD477B">
        <w:trPr>
          <w:trHeight w:val="1369"/>
        </w:trPr>
        <w:tc>
          <w:tcPr>
            <w:cnfStyle w:val="001000000000" w:firstRow="0" w:lastRow="0" w:firstColumn="1" w:lastColumn="0" w:oddVBand="0" w:evenVBand="0" w:oddHBand="0" w:evenHBand="0" w:firstRowFirstColumn="0" w:firstRowLastColumn="0" w:lastRowFirstColumn="0" w:lastRowLastColumn="0"/>
            <w:tcW w:w="988" w:type="dxa"/>
          </w:tcPr>
          <w:p w14:paraId="5CBBE897" w14:textId="20728B37" w:rsidR="005B3B6F" w:rsidRPr="00F85358" w:rsidRDefault="00FD477B">
            <w:pPr>
              <w:pStyle w:val="BodyText"/>
              <w:rPr>
                <w:rFonts w:asciiTheme="minorHAnsi" w:hAnsiTheme="minorHAnsi" w:cstheme="minorHAnsi"/>
                <w:sz w:val="16"/>
                <w:szCs w:val="16"/>
              </w:rPr>
            </w:pPr>
            <w:r>
              <w:rPr>
                <w:rFonts w:asciiTheme="minorHAnsi" w:hAnsiTheme="minorHAnsi" w:cstheme="minorHAnsi"/>
                <w:sz w:val="16"/>
                <w:szCs w:val="16"/>
              </w:rPr>
              <w:t>UK</w:t>
            </w:r>
          </w:p>
        </w:tc>
        <w:tc>
          <w:tcPr>
            <w:tcW w:w="1428" w:type="dxa"/>
          </w:tcPr>
          <w:p w14:paraId="2FD6C4CB"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Industrial building energy performance framework</w:t>
            </w:r>
          </w:p>
        </w:tc>
        <w:tc>
          <w:tcPr>
            <w:tcW w:w="1690" w:type="dxa"/>
          </w:tcPr>
          <w:p w14:paraId="5D4874B7" w14:textId="64AD9E70"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Commercial buildings &gt;1000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(disclosure of rating ‘encouraged’ in first year but will become mandatory)</w:t>
            </w:r>
          </w:p>
        </w:tc>
        <w:tc>
          <w:tcPr>
            <w:tcW w:w="5965" w:type="dxa"/>
          </w:tcPr>
          <w:p w14:paraId="3FB26992"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Responds to weak correlation between EPC score and energy performance.</w:t>
            </w:r>
          </w:p>
          <w:p w14:paraId="3A88DEC1"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Required to report a base building rating (building owners) and whole building rating (owner occupier/single tenant sites).</w:t>
            </w:r>
          </w:p>
          <w:p w14:paraId="2FD66E5A" w14:textId="445C98B0"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This will cover 7</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of buildings which account for 50</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of total floor </w:t>
            </w:r>
            <w:proofErr w:type="gramStart"/>
            <w:r w:rsidRPr="00F85358">
              <w:rPr>
                <w:rFonts w:asciiTheme="minorHAnsi" w:hAnsiTheme="minorHAnsi" w:cstheme="minorHAnsi"/>
                <w:sz w:val="16"/>
                <w:szCs w:val="16"/>
              </w:rPr>
              <w:t>space</w:t>
            </w:r>
            <w:proofErr w:type="gramEnd"/>
          </w:p>
          <w:p w14:paraId="50543D2C"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Phase 1: Offices. Phase 2: all remaining buildings</w:t>
            </w:r>
          </w:p>
        </w:tc>
      </w:tr>
      <w:tr w:rsidR="005B3B6F" w:rsidRPr="00AB77BC" w14:paraId="0E6E225B"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1D59FDDB" w14:textId="097A800E" w:rsidR="005B3B6F" w:rsidRPr="00F85358" w:rsidRDefault="00FD477B">
            <w:pPr>
              <w:pStyle w:val="BodyText"/>
              <w:rPr>
                <w:rFonts w:asciiTheme="minorHAnsi" w:hAnsiTheme="minorHAnsi" w:cstheme="minorHAnsi"/>
                <w:sz w:val="16"/>
                <w:szCs w:val="16"/>
              </w:rPr>
            </w:pPr>
            <w:r>
              <w:rPr>
                <w:rFonts w:asciiTheme="minorHAnsi" w:hAnsiTheme="minorHAnsi" w:cstheme="minorHAnsi"/>
                <w:sz w:val="16"/>
                <w:szCs w:val="16"/>
              </w:rPr>
              <w:t>UK</w:t>
            </w:r>
          </w:p>
        </w:tc>
        <w:tc>
          <w:tcPr>
            <w:tcW w:w="1428" w:type="dxa"/>
          </w:tcPr>
          <w:p w14:paraId="206C88B6"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Building to net zero: costing carbon in construction</w:t>
            </w:r>
          </w:p>
        </w:tc>
        <w:tc>
          <w:tcPr>
            <w:tcW w:w="1690" w:type="dxa"/>
          </w:tcPr>
          <w:p w14:paraId="7EC572E6"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TBC (based on consults in 2023/24)</w:t>
            </w:r>
          </w:p>
        </w:tc>
        <w:tc>
          <w:tcPr>
            <w:tcW w:w="5965" w:type="dxa"/>
          </w:tcPr>
          <w:p w14:paraId="77D5D803"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Potential requirement to undertake whole-life carbon assessments (</w:t>
            </w:r>
            <w:proofErr w:type="spellStart"/>
            <w:r w:rsidRPr="00F85358">
              <w:rPr>
                <w:rFonts w:asciiTheme="minorHAnsi" w:hAnsiTheme="minorHAnsi" w:cstheme="minorHAnsi"/>
                <w:sz w:val="16"/>
                <w:szCs w:val="16"/>
              </w:rPr>
              <w:t>WLCA</w:t>
            </w:r>
            <w:proofErr w:type="spellEnd"/>
            <w:r w:rsidRPr="00F85358">
              <w:rPr>
                <w:rFonts w:asciiTheme="minorHAnsi" w:hAnsiTheme="minorHAnsi" w:cstheme="minorHAnsi"/>
                <w:sz w:val="16"/>
                <w:szCs w:val="16"/>
              </w:rPr>
              <w:t>) for buildings.</w:t>
            </w:r>
          </w:p>
          <w:p w14:paraId="61CCF209"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Attribute based (as construction phase only). Considers emissions in developing the materials used in construction.</w:t>
            </w:r>
          </w:p>
        </w:tc>
      </w:tr>
      <w:tr w:rsidR="005B3B6F" w:rsidRPr="00AB77BC" w14:paraId="143D7D53"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3228C3CB" w14:textId="4EEF39A8" w:rsidR="005B3B6F" w:rsidRPr="00F85358" w:rsidRDefault="00FD477B">
            <w:pPr>
              <w:pStyle w:val="BodyText"/>
              <w:rPr>
                <w:rFonts w:asciiTheme="minorHAnsi" w:hAnsiTheme="minorHAnsi" w:cstheme="minorHAnsi"/>
                <w:sz w:val="16"/>
                <w:szCs w:val="16"/>
              </w:rPr>
            </w:pPr>
            <w:r>
              <w:rPr>
                <w:rFonts w:asciiTheme="minorHAnsi" w:hAnsiTheme="minorHAnsi" w:cstheme="minorHAnsi"/>
                <w:sz w:val="16"/>
                <w:szCs w:val="16"/>
              </w:rPr>
              <w:t>UK</w:t>
            </w:r>
          </w:p>
        </w:tc>
        <w:tc>
          <w:tcPr>
            <w:tcW w:w="1428" w:type="dxa"/>
          </w:tcPr>
          <w:p w14:paraId="60EC0834"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Energy Savings Opportunity Scheme (ESOS, relates to buildings and other areas)</w:t>
            </w:r>
          </w:p>
        </w:tc>
        <w:tc>
          <w:tcPr>
            <w:tcW w:w="1690" w:type="dxa"/>
          </w:tcPr>
          <w:p w14:paraId="5A039B57"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Business that employs &gt;250 staff and annual turnover &gt; £44M, not incl public sector (mandatory audits)</w:t>
            </w:r>
          </w:p>
        </w:tc>
        <w:tc>
          <w:tcPr>
            <w:tcW w:w="5965" w:type="dxa"/>
          </w:tcPr>
          <w:p w14:paraId="576B3A63"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Businesses must carry out audits of their energy use every four years to identify potential energy-saving measures. In future it will be mandatory to carry out a net zero assessment and to act on energy-saving measures</w:t>
            </w:r>
          </w:p>
          <w:p w14:paraId="47ABC361" w14:textId="42AF67FF"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Effectiveness: participant net cost savings of 37</w:t>
            </w:r>
            <w:r w:rsidR="00F85358">
              <w:rPr>
                <w:rFonts w:asciiTheme="minorHAnsi" w:hAnsiTheme="minorHAnsi" w:cstheme="minorHAnsi"/>
                <w:sz w:val="16"/>
                <w:szCs w:val="16"/>
              </w:rPr>
              <w:t xml:space="preserve"> </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Energy and fuel efficiency improvement estimates of 1.65TWh of energy efficiency savings from buildings (138MWh per business).</w:t>
            </w:r>
          </w:p>
          <w:p w14:paraId="23732ACB"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Covers 11,900 UK businesses. Environment Agency administers it. Environment Agency has issued 82 civil penalties totalling £1.3M.</w:t>
            </w:r>
          </w:p>
        </w:tc>
      </w:tr>
      <w:tr w:rsidR="005B3B6F" w:rsidRPr="00AB77BC" w14:paraId="25700C3F"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15FD88E2"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France</w:t>
            </w:r>
          </w:p>
        </w:tc>
        <w:tc>
          <w:tcPr>
            <w:tcW w:w="1428" w:type="dxa"/>
          </w:tcPr>
          <w:p w14:paraId="3A7914A1"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Article 175</w:t>
            </w:r>
          </w:p>
        </w:tc>
        <w:tc>
          <w:tcPr>
            <w:tcW w:w="1690" w:type="dxa"/>
          </w:tcPr>
          <w:p w14:paraId="521925C0" w14:textId="79D35316"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buildings &gt;1000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(mandatory disclosure</w:t>
            </w:r>
            <w:r w:rsidR="007D591D" w:rsidRPr="00F85358">
              <w:rPr>
                <w:rFonts w:asciiTheme="minorHAnsi" w:hAnsiTheme="minorHAnsi" w:cstheme="minorHAnsi"/>
                <w:sz w:val="16"/>
                <w:szCs w:val="16"/>
              </w:rPr>
              <w:t xml:space="preserve"> and minimum energy performance</w:t>
            </w:r>
            <w:r w:rsidRPr="00F85358">
              <w:rPr>
                <w:rFonts w:asciiTheme="minorHAnsi" w:hAnsiTheme="minorHAnsi" w:cstheme="minorHAnsi"/>
                <w:sz w:val="16"/>
                <w:szCs w:val="16"/>
              </w:rPr>
              <w:t>)</w:t>
            </w:r>
          </w:p>
        </w:tc>
        <w:tc>
          <w:tcPr>
            <w:tcW w:w="5965" w:type="dxa"/>
          </w:tcPr>
          <w:p w14:paraId="29CA189C"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Landlords and tenants in France required to annually declare energy performance achieved by buildings via online platform (administered by French Env and Energy Management Agency)</w:t>
            </w:r>
          </w:p>
          <w:p w14:paraId="491ED4B0"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Failure to comply face fines up to €7500 per </w:t>
            </w:r>
            <w:proofErr w:type="gramStart"/>
            <w:r w:rsidRPr="00F85358">
              <w:rPr>
                <w:rFonts w:asciiTheme="minorHAnsi" w:hAnsiTheme="minorHAnsi" w:cstheme="minorHAnsi"/>
                <w:sz w:val="16"/>
                <w:szCs w:val="16"/>
              </w:rPr>
              <w:t>building</w:t>
            </w:r>
            <w:proofErr w:type="gramEnd"/>
          </w:p>
          <w:p w14:paraId="2343AFF0"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Performance based and influences landlords and tenants. Recommended scope of responsibility ‘should be mentioned in lease agreement’.</w:t>
            </w:r>
          </w:p>
          <w:p w14:paraId="3ED250BC" w14:textId="531501C6" w:rsidR="005B3B6F" w:rsidRPr="00F85358" w:rsidRDefault="007D591D"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The policy imposes targets: -40</w:t>
            </w:r>
            <w:r w:rsidR="00F85358">
              <w:rPr>
                <w:rFonts w:asciiTheme="minorHAnsi" w:hAnsiTheme="minorHAnsi" w:cstheme="minorHAnsi"/>
                <w:sz w:val="16"/>
                <w:szCs w:val="16"/>
              </w:rPr>
              <w:t xml:space="preserve"> </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for 2030, -50</w:t>
            </w:r>
            <w:r w:rsidR="00F85358">
              <w:rPr>
                <w:rFonts w:asciiTheme="minorHAnsi" w:hAnsiTheme="minorHAnsi" w:cstheme="minorHAnsi"/>
                <w:sz w:val="16"/>
                <w:szCs w:val="16"/>
              </w:rPr>
              <w:t xml:space="preserve"> </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for 2040, -60</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for 2050, or a final energy value of reference per square metre and per year that should not be exceeded, per buildings category</w:t>
            </w:r>
          </w:p>
        </w:tc>
      </w:tr>
      <w:tr w:rsidR="005B3B6F" w:rsidRPr="00AB77BC" w14:paraId="7B67613E"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56929F75" w14:textId="5DBFDB96" w:rsidR="005B3B6F" w:rsidRPr="00F85358" w:rsidRDefault="00FD477B">
            <w:pPr>
              <w:pStyle w:val="BodyText"/>
              <w:rPr>
                <w:rFonts w:asciiTheme="minorHAnsi" w:hAnsiTheme="minorHAnsi" w:cstheme="minorHAnsi"/>
                <w:sz w:val="16"/>
                <w:szCs w:val="16"/>
              </w:rPr>
            </w:pPr>
            <w:r>
              <w:rPr>
                <w:rFonts w:asciiTheme="minorHAnsi" w:hAnsiTheme="minorHAnsi" w:cstheme="minorHAnsi"/>
                <w:sz w:val="16"/>
                <w:szCs w:val="16"/>
              </w:rPr>
              <w:t>France</w:t>
            </w:r>
          </w:p>
        </w:tc>
        <w:tc>
          <w:tcPr>
            <w:tcW w:w="1428" w:type="dxa"/>
          </w:tcPr>
          <w:p w14:paraId="51FC2BC9"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Re2020</w:t>
            </w:r>
          </w:p>
        </w:tc>
        <w:tc>
          <w:tcPr>
            <w:tcW w:w="1690" w:type="dxa"/>
          </w:tcPr>
          <w:p w14:paraId="5228A785"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New builds only: Residential, offices, </w:t>
            </w:r>
            <w:r w:rsidRPr="00F85358">
              <w:rPr>
                <w:rFonts w:asciiTheme="minorHAnsi" w:hAnsiTheme="minorHAnsi" w:cstheme="minorHAnsi"/>
                <w:sz w:val="16"/>
                <w:szCs w:val="16"/>
              </w:rPr>
              <w:lastRenderedPageBreak/>
              <w:t xml:space="preserve">education, tertiary buildings such as hotels, </w:t>
            </w:r>
            <w:proofErr w:type="gramStart"/>
            <w:r w:rsidRPr="00F85358">
              <w:rPr>
                <w:rFonts w:asciiTheme="minorHAnsi" w:hAnsiTheme="minorHAnsi" w:cstheme="minorHAnsi"/>
                <w:sz w:val="16"/>
                <w:szCs w:val="16"/>
              </w:rPr>
              <w:t>shops</w:t>
            </w:r>
            <w:proofErr w:type="gramEnd"/>
            <w:r w:rsidRPr="00F85358">
              <w:rPr>
                <w:rFonts w:asciiTheme="minorHAnsi" w:hAnsiTheme="minorHAnsi" w:cstheme="minorHAnsi"/>
                <w:sz w:val="16"/>
                <w:szCs w:val="16"/>
              </w:rPr>
              <w:t xml:space="preserve"> and gyms (mandatory caps)</w:t>
            </w:r>
          </w:p>
        </w:tc>
        <w:tc>
          <w:tcPr>
            <w:tcW w:w="5965" w:type="dxa"/>
          </w:tcPr>
          <w:p w14:paraId="782E0E9D" w14:textId="4E11EDB7" w:rsidR="00B901DE" w:rsidRPr="00F85358" w:rsidRDefault="00B901DE"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lastRenderedPageBreak/>
              <w:t xml:space="preserve">Aim to construct positive energy </w:t>
            </w:r>
            <w:proofErr w:type="gramStart"/>
            <w:r w:rsidRPr="00F85358">
              <w:rPr>
                <w:rFonts w:asciiTheme="minorHAnsi" w:hAnsiTheme="minorHAnsi" w:cstheme="minorHAnsi"/>
                <w:sz w:val="16"/>
                <w:szCs w:val="16"/>
              </w:rPr>
              <w:t>buildings</w:t>
            </w:r>
            <w:proofErr w:type="gramEnd"/>
          </w:p>
          <w:p w14:paraId="7CAF6990" w14:textId="71F7FC1A"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lastRenderedPageBreak/>
              <w:t>Assesses environmental impacts of buildings over life cycle (construction phase caps to reduce from 740 kg CO2/</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/year in 2022 to 490 in 2031 for apartment buildings) but also puts limits on consumption when in operation e.g</w:t>
            </w:r>
            <w:r w:rsidR="00FE109F" w:rsidRPr="00F85358">
              <w:rPr>
                <w:rFonts w:asciiTheme="minorHAnsi" w:hAnsiTheme="minorHAnsi" w:cstheme="minorHAnsi"/>
                <w:sz w:val="16"/>
                <w:szCs w:val="16"/>
              </w:rPr>
              <w:t>.,</w:t>
            </w:r>
            <w:r w:rsidRPr="00F85358">
              <w:rPr>
                <w:rFonts w:asciiTheme="minorHAnsi" w:hAnsiTheme="minorHAnsi" w:cstheme="minorHAnsi"/>
                <w:sz w:val="16"/>
                <w:szCs w:val="16"/>
              </w:rPr>
              <w:t xml:space="preserve"> max primary energy consumption (heating, hot water, lighting, electrical appliances) of 100kWh/</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per year)). </w:t>
            </w:r>
          </w:p>
          <w:p w14:paraId="7071A7C1"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Links to aim for carbon neutrality by 2050 in construction </w:t>
            </w:r>
            <w:proofErr w:type="gramStart"/>
            <w:r w:rsidRPr="00F85358">
              <w:rPr>
                <w:rFonts w:asciiTheme="minorHAnsi" w:hAnsiTheme="minorHAnsi" w:cstheme="minorHAnsi"/>
                <w:sz w:val="16"/>
                <w:szCs w:val="16"/>
              </w:rPr>
              <w:t>sector</w:t>
            </w:r>
            <w:proofErr w:type="gramEnd"/>
          </w:p>
          <w:p w14:paraId="533D8D6D"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Expected co-benefits include €200 saving per year for detached homes, comfort in summer without air conditioning, and improved air quality.</w:t>
            </w:r>
          </w:p>
        </w:tc>
      </w:tr>
      <w:tr w:rsidR="005B3B6F" w:rsidRPr="00AB77BC" w14:paraId="7C754693"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480A6EC6"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lastRenderedPageBreak/>
              <w:t>Netherlands</w:t>
            </w:r>
          </w:p>
        </w:tc>
        <w:tc>
          <w:tcPr>
            <w:tcW w:w="1428" w:type="dxa"/>
          </w:tcPr>
          <w:p w14:paraId="53488775"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F85358">
              <w:rPr>
                <w:rFonts w:asciiTheme="minorHAnsi" w:hAnsiTheme="minorHAnsi" w:cstheme="minorHAnsi"/>
                <w:sz w:val="16"/>
                <w:szCs w:val="16"/>
              </w:rPr>
              <w:t>EPCs</w:t>
            </w:r>
            <w:proofErr w:type="spellEnd"/>
            <w:r w:rsidRPr="00F85358">
              <w:rPr>
                <w:rFonts w:asciiTheme="minorHAnsi" w:hAnsiTheme="minorHAnsi" w:cstheme="minorHAnsi"/>
                <w:sz w:val="16"/>
                <w:szCs w:val="16"/>
              </w:rPr>
              <w:t xml:space="preserve"> and nearly zero energy buildings (</w:t>
            </w:r>
            <w:proofErr w:type="spellStart"/>
            <w:r w:rsidRPr="00F85358">
              <w:rPr>
                <w:rFonts w:asciiTheme="minorHAnsi" w:hAnsiTheme="minorHAnsi" w:cstheme="minorHAnsi"/>
                <w:sz w:val="16"/>
                <w:szCs w:val="16"/>
              </w:rPr>
              <w:t>NZEBs</w:t>
            </w:r>
            <w:proofErr w:type="spellEnd"/>
            <w:r w:rsidRPr="00F85358">
              <w:rPr>
                <w:rFonts w:asciiTheme="minorHAnsi" w:hAnsiTheme="minorHAnsi" w:cstheme="minorHAnsi"/>
                <w:sz w:val="16"/>
                <w:szCs w:val="16"/>
              </w:rPr>
              <w:t>)</w:t>
            </w:r>
          </w:p>
        </w:tc>
        <w:tc>
          <w:tcPr>
            <w:tcW w:w="1690" w:type="dxa"/>
          </w:tcPr>
          <w:p w14:paraId="20817211"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new buildings (mandatory capped energy use and renewable energy)</w:t>
            </w:r>
          </w:p>
        </w:tc>
        <w:tc>
          <w:tcPr>
            <w:tcW w:w="5965" w:type="dxa"/>
          </w:tcPr>
          <w:p w14:paraId="2101B27F" w14:textId="1A98BAAA"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F85358">
              <w:rPr>
                <w:rFonts w:asciiTheme="minorHAnsi" w:hAnsiTheme="minorHAnsi" w:cstheme="minorHAnsi"/>
                <w:sz w:val="16"/>
                <w:szCs w:val="16"/>
              </w:rPr>
              <w:t>EPCs</w:t>
            </w:r>
            <w:proofErr w:type="spellEnd"/>
            <w:r w:rsidRPr="00F85358">
              <w:rPr>
                <w:rFonts w:asciiTheme="minorHAnsi" w:hAnsiTheme="minorHAnsi" w:cstheme="minorHAnsi"/>
                <w:sz w:val="16"/>
                <w:szCs w:val="16"/>
              </w:rPr>
              <w:t xml:space="preserve"> are voluntary and at the end of 2019, approximately 120,000 non-residential buildings (11</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of the total stock) have a registered and valid EPC.</w:t>
            </w:r>
          </w:p>
          <w:p w14:paraId="59296E14" w14:textId="076C5A9B"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From Jan 2021 new energy performance requirements incl. capped kWh/</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/year and minimum </w:t>
            </w:r>
            <w:r w:rsidR="00B85A88" w:rsidRPr="00F85358">
              <w:rPr>
                <w:rFonts w:asciiTheme="minorHAnsi" w:hAnsiTheme="minorHAnsi" w:cstheme="minorHAnsi"/>
                <w:sz w:val="16"/>
                <w:szCs w:val="16"/>
              </w:rPr>
              <w:t>per cent</w:t>
            </w:r>
            <w:r w:rsidRPr="00F85358">
              <w:rPr>
                <w:rFonts w:asciiTheme="minorHAnsi" w:hAnsiTheme="minorHAnsi" w:cstheme="minorHAnsi"/>
                <w:sz w:val="16"/>
                <w:szCs w:val="16"/>
              </w:rPr>
              <w:t>age of renewable energy</w:t>
            </w:r>
          </w:p>
          <w:p w14:paraId="2570DB18"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New buildings required to reach EPC rating of “C” or better from 2023.</w:t>
            </w:r>
          </w:p>
          <w:p w14:paraId="7591FBC9" w14:textId="4671518B"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Banks have aligned their lending strategies to promote compliance</w:t>
            </w:r>
            <w:r w:rsidR="002D0089">
              <w:rPr>
                <w:rFonts w:ascii="ZWAdobeF" w:hAnsi="ZWAdobeF" w:cs="ZWAdobeF"/>
                <w:color w:val="auto"/>
                <w:sz w:val="2"/>
                <w:szCs w:val="2"/>
              </w:rPr>
              <w:t>170F</w:t>
            </w:r>
            <w:r w:rsidR="00EE36E3">
              <w:rPr>
                <w:rFonts w:ascii="ZWAdobeF" w:hAnsi="ZWAdobeF" w:cs="ZWAdobeF"/>
                <w:color w:val="auto"/>
                <w:sz w:val="2"/>
                <w:szCs w:val="2"/>
              </w:rPr>
              <w:t>173F</w:t>
            </w:r>
            <w:r w:rsidR="00122C48">
              <w:rPr>
                <w:rFonts w:ascii="ZWAdobeF" w:hAnsi="ZWAdobeF" w:cs="ZWAdobeF"/>
                <w:color w:val="auto"/>
                <w:sz w:val="2"/>
                <w:szCs w:val="2"/>
              </w:rPr>
              <w:t>173F</w:t>
            </w:r>
            <w:r w:rsidR="00F73A23">
              <w:rPr>
                <w:rFonts w:ascii="ZWAdobeF" w:hAnsi="ZWAdobeF" w:cs="ZWAdobeF"/>
                <w:color w:val="auto"/>
                <w:sz w:val="2"/>
                <w:szCs w:val="2"/>
              </w:rPr>
              <w:t>173F</w:t>
            </w:r>
            <w:r w:rsidR="00626378">
              <w:rPr>
                <w:rFonts w:ascii="ZWAdobeF" w:hAnsi="ZWAdobeF" w:cs="ZWAdobeF"/>
                <w:color w:val="auto"/>
                <w:sz w:val="2"/>
                <w:szCs w:val="2"/>
              </w:rPr>
              <w:t>173F</w:t>
            </w:r>
            <w:r w:rsidR="00413811">
              <w:rPr>
                <w:rFonts w:ascii="ZWAdobeF" w:hAnsi="ZWAdobeF" w:cs="ZWAdobeF"/>
                <w:color w:val="auto"/>
                <w:sz w:val="2"/>
                <w:szCs w:val="2"/>
              </w:rPr>
              <w:t>173F</w:t>
            </w:r>
            <w:r w:rsidR="002C327C">
              <w:rPr>
                <w:rFonts w:ascii="ZWAdobeF" w:hAnsi="ZWAdobeF" w:cs="ZWAdobeF"/>
                <w:color w:val="auto"/>
                <w:sz w:val="2"/>
                <w:szCs w:val="2"/>
              </w:rPr>
              <w:t>173F</w:t>
            </w:r>
            <w:r w:rsidR="00D24A06">
              <w:rPr>
                <w:rFonts w:ascii="ZWAdobeF" w:hAnsi="ZWAdobeF" w:cs="ZWAdobeF"/>
                <w:color w:val="auto"/>
                <w:sz w:val="2"/>
                <w:szCs w:val="2"/>
              </w:rPr>
              <w:t>173F</w:t>
            </w:r>
            <w:r w:rsidRPr="00F85358">
              <w:rPr>
                <w:rStyle w:val="FootnoteReference"/>
                <w:rFonts w:asciiTheme="minorHAnsi" w:hAnsiTheme="minorHAnsi" w:cstheme="minorHAnsi"/>
                <w:sz w:val="16"/>
                <w:szCs w:val="16"/>
              </w:rPr>
              <w:footnoteReference w:id="175"/>
            </w:r>
          </w:p>
        </w:tc>
      </w:tr>
      <w:tr w:rsidR="005B3B6F" w:rsidRPr="00AB77BC" w14:paraId="7735867B"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3A217FA5" w14:textId="2A084D0A" w:rsidR="005B3B6F" w:rsidRPr="00F85358" w:rsidRDefault="00FD477B">
            <w:pPr>
              <w:pStyle w:val="BodyText"/>
              <w:rPr>
                <w:rFonts w:asciiTheme="minorHAnsi" w:hAnsiTheme="minorHAnsi" w:cstheme="minorHAnsi"/>
                <w:sz w:val="16"/>
                <w:szCs w:val="16"/>
              </w:rPr>
            </w:pPr>
            <w:r w:rsidRPr="00371A65">
              <w:rPr>
                <w:rFonts w:asciiTheme="minorHAnsi" w:hAnsiTheme="minorHAnsi" w:cstheme="minorHAnsi"/>
                <w:sz w:val="16"/>
                <w:szCs w:val="16"/>
              </w:rPr>
              <w:t>Netherlands</w:t>
            </w:r>
          </w:p>
        </w:tc>
        <w:tc>
          <w:tcPr>
            <w:tcW w:w="1428" w:type="dxa"/>
          </w:tcPr>
          <w:p w14:paraId="322ABBBA"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Environmental Performance Buildings – MPG</w:t>
            </w:r>
          </w:p>
        </w:tc>
        <w:tc>
          <w:tcPr>
            <w:tcW w:w="1690" w:type="dxa"/>
          </w:tcPr>
          <w:p w14:paraId="2C709FCB"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New office buildings (&gt;100 m²) and new-build homes </w:t>
            </w:r>
          </w:p>
        </w:tc>
        <w:tc>
          <w:tcPr>
            <w:tcW w:w="5965" w:type="dxa"/>
          </w:tcPr>
          <w:p w14:paraId="77AF04B0"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Indicates the environmental impact of the materials used in a building including the method of application, lifespan and reuse which are decisive for the total environmental </w:t>
            </w:r>
            <w:proofErr w:type="gramStart"/>
            <w:r w:rsidRPr="00F85358">
              <w:rPr>
                <w:rFonts w:asciiTheme="minorHAnsi" w:hAnsiTheme="minorHAnsi" w:cstheme="minorHAnsi"/>
                <w:sz w:val="16"/>
                <w:szCs w:val="16"/>
              </w:rPr>
              <w:t>impact</w:t>
            </w:r>
            <w:proofErr w:type="gramEnd"/>
          </w:p>
          <w:p w14:paraId="1053BAE4"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Maximum limit value of 1.0 applies to the MPG, reducing to 0.5 by 2030</w:t>
            </w:r>
          </w:p>
        </w:tc>
      </w:tr>
      <w:tr w:rsidR="005B3B6F" w:rsidRPr="00AB77BC" w14:paraId="0D30369F"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5B750BBA" w14:textId="1B80364D" w:rsidR="005B3B6F" w:rsidRPr="00F85358" w:rsidRDefault="00FD477B">
            <w:pPr>
              <w:pStyle w:val="BodyText"/>
              <w:rPr>
                <w:rFonts w:asciiTheme="minorHAnsi" w:hAnsiTheme="minorHAnsi" w:cstheme="minorHAnsi"/>
                <w:sz w:val="16"/>
                <w:szCs w:val="16"/>
              </w:rPr>
            </w:pPr>
            <w:r w:rsidRPr="00371A65">
              <w:rPr>
                <w:rFonts w:asciiTheme="minorHAnsi" w:hAnsiTheme="minorHAnsi" w:cstheme="minorHAnsi"/>
                <w:sz w:val="16"/>
                <w:szCs w:val="16"/>
              </w:rPr>
              <w:t>Netherlands</w:t>
            </w:r>
          </w:p>
        </w:tc>
        <w:tc>
          <w:tcPr>
            <w:tcW w:w="1428" w:type="dxa"/>
          </w:tcPr>
          <w:p w14:paraId="344FBFE7" w14:textId="059FAF91"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Gas </w:t>
            </w:r>
            <w:r w:rsidR="00FE109F" w:rsidRPr="00F85358">
              <w:rPr>
                <w:rFonts w:asciiTheme="minorHAnsi" w:hAnsiTheme="minorHAnsi" w:cstheme="minorHAnsi"/>
                <w:sz w:val="16"/>
                <w:szCs w:val="16"/>
              </w:rPr>
              <w:t>grids</w:t>
            </w:r>
            <w:r w:rsidRPr="00F85358">
              <w:rPr>
                <w:rFonts w:asciiTheme="minorHAnsi" w:hAnsiTheme="minorHAnsi" w:cstheme="minorHAnsi"/>
                <w:sz w:val="16"/>
                <w:szCs w:val="16"/>
              </w:rPr>
              <w:t xml:space="preserve"> ban in 2018, plus hybrid heat pumps mandatory from 2026</w:t>
            </w:r>
          </w:p>
        </w:tc>
        <w:tc>
          <w:tcPr>
            <w:tcW w:w="1690" w:type="dxa"/>
          </w:tcPr>
          <w:p w14:paraId="7281D8E2"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buildings (mandatory)</w:t>
            </w:r>
          </w:p>
        </w:tc>
        <w:tc>
          <w:tcPr>
            <w:tcW w:w="5965" w:type="dxa"/>
          </w:tcPr>
          <w:p w14:paraId="7A6A3961"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Cannot use gas to power building, must use hybrid heat pumps to heat building by 2026.</w:t>
            </w:r>
          </w:p>
          <w:p w14:paraId="58283200"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One of the aims is to avoid dependence on Russian gas, but it also provides environmental benefits. </w:t>
            </w:r>
          </w:p>
          <w:p w14:paraId="19131C45"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Government resourcing: €400M to trial gas free precincts (funding to 2030).  Cabinet has reserved €150 million per year to support homeowners with the purchase of heat pumps. Also financing through the National Heat Pumps.</w:t>
            </w:r>
          </w:p>
        </w:tc>
      </w:tr>
      <w:tr w:rsidR="005B3B6F" w:rsidRPr="00AB77BC" w14:paraId="234C189B"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0DAC240B" w14:textId="20AFEE42" w:rsidR="005B3B6F" w:rsidRPr="00F85358" w:rsidRDefault="00FD477B">
            <w:pPr>
              <w:pStyle w:val="BodyText"/>
              <w:rPr>
                <w:rFonts w:asciiTheme="minorHAnsi" w:hAnsiTheme="minorHAnsi" w:cstheme="minorHAnsi"/>
                <w:sz w:val="16"/>
                <w:szCs w:val="16"/>
              </w:rPr>
            </w:pPr>
            <w:r w:rsidRPr="00371A65">
              <w:rPr>
                <w:rFonts w:asciiTheme="minorHAnsi" w:hAnsiTheme="minorHAnsi" w:cstheme="minorHAnsi"/>
                <w:sz w:val="16"/>
                <w:szCs w:val="16"/>
              </w:rPr>
              <w:t>Netherlands</w:t>
            </w:r>
          </w:p>
        </w:tc>
        <w:tc>
          <w:tcPr>
            <w:tcW w:w="1428" w:type="dxa"/>
          </w:tcPr>
          <w:p w14:paraId="1FEF68E7"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The Circular Buildings Green Deal</w:t>
            </w:r>
          </w:p>
        </w:tc>
        <w:tc>
          <w:tcPr>
            <w:tcW w:w="1690" w:type="dxa"/>
          </w:tcPr>
          <w:p w14:paraId="3E983485"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TBC</w:t>
            </w:r>
          </w:p>
          <w:p w14:paraId="70239A8B"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5965" w:type="dxa"/>
          </w:tcPr>
          <w:p w14:paraId="20ECCA99" w14:textId="6BC646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Considers raw materials used (cement, concrete, sand, bricks, </w:t>
            </w:r>
            <w:proofErr w:type="gramStart"/>
            <w:r w:rsidRPr="00F85358">
              <w:rPr>
                <w:rFonts w:asciiTheme="minorHAnsi" w:hAnsiTheme="minorHAnsi" w:cstheme="minorHAnsi"/>
                <w:sz w:val="16"/>
                <w:szCs w:val="16"/>
              </w:rPr>
              <w:t>wood</w:t>
            </w:r>
            <w:proofErr w:type="gramEnd"/>
            <w:r w:rsidRPr="00F85358">
              <w:rPr>
                <w:rFonts w:asciiTheme="minorHAnsi" w:hAnsiTheme="minorHAnsi" w:cstheme="minorHAnsi"/>
                <w:sz w:val="16"/>
                <w:szCs w:val="16"/>
              </w:rPr>
              <w:t xml:space="preserve"> or glass panels,</w:t>
            </w:r>
            <w:r w:rsidR="00FE109F" w:rsidRPr="00F85358">
              <w:rPr>
                <w:rFonts w:asciiTheme="minorHAnsi" w:hAnsiTheme="minorHAnsi" w:cstheme="minorHAnsi"/>
                <w:sz w:val="16"/>
                <w:szCs w:val="16"/>
              </w:rPr>
              <w:t xml:space="preserve"> </w:t>
            </w:r>
            <w:r w:rsidRPr="00F85358">
              <w:rPr>
                <w:rFonts w:asciiTheme="minorHAnsi" w:hAnsiTheme="minorHAnsi" w:cstheme="minorHAnsi"/>
                <w:sz w:val="16"/>
                <w:szCs w:val="16"/>
              </w:rPr>
              <w:t xml:space="preserve">etc.) and products for finishing works (insulation, glass-wool, mortars, clay tiles, ceilings, etc.) </w:t>
            </w:r>
          </w:p>
          <w:p w14:paraId="37250C0D"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Dutch Environmental Cost Indicator measures a wide range of relevant environmental impacts of new construction, such as depletion, GHG emissions, </w:t>
            </w:r>
            <w:proofErr w:type="gramStart"/>
            <w:r w:rsidRPr="00F85358">
              <w:rPr>
                <w:rFonts w:asciiTheme="minorHAnsi" w:hAnsiTheme="minorHAnsi" w:cstheme="minorHAnsi"/>
                <w:sz w:val="16"/>
                <w:szCs w:val="16"/>
              </w:rPr>
              <w:t>pollution</w:t>
            </w:r>
            <w:proofErr w:type="gramEnd"/>
            <w:r w:rsidRPr="00F85358">
              <w:rPr>
                <w:rFonts w:asciiTheme="minorHAnsi" w:hAnsiTheme="minorHAnsi" w:cstheme="minorHAnsi"/>
                <w:sz w:val="16"/>
                <w:szCs w:val="16"/>
              </w:rPr>
              <w:t xml:space="preserve"> and biodiversity loss.</w:t>
            </w:r>
          </w:p>
        </w:tc>
      </w:tr>
      <w:tr w:rsidR="005B3B6F" w:rsidRPr="00AB77BC" w14:paraId="1CCD9E59"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3958A988"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Germany</w:t>
            </w:r>
          </w:p>
        </w:tc>
        <w:tc>
          <w:tcPr>
            <w:tcW w:w="1428" w:type="dxa"/>
          </w:tcPr>
          <w:p w14:paraId="196C9B3A"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Buildings Energy Act (</w:t>
            </w:r>
            <w:proofErr w:type="spellStart"/>
            <w:r w:rsidRPr="00F85358">
              <w:rPr>
                <w:rFonts w:asciiTheme="minorHAnsi" w:hAnsiTheme="minorHAnsi" w:cstheme="minorHAnsi"/>
                <w:sz w:val="16"/>
                <w:szCs w:val="16"/>
              </w:rPr>
              <w:t>GEG</w:t>
            </w:r>
            <w:proofErr w:type="spellEnd"/>
            <w:r w:rsidRPr="00F85358">
              <w:rPr>
                <w:rFonts w:asciiTheme="minorHAnsi" w:hAnsiTheme="minorHAnsi" w:cstheme="minorHAnsi"/>
                <w:sz w:val="16"/>
                <w:szCs w:val="16"/>
              </w:rPr>
              <w:t>)</w:t>
            </w:r>
          </w:p>
        </w:tc>
        <w:tc>
          <w:tcPr>
            <w:tcW w:w="1690" w:type="dxa"/>
          </w:tcPr>
          <w:p w14:paraId="768BCB38" w14:textId="4291EEB8"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Buildings with &gt;50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usable space, both new construction and existing buildings</w:t>
            </w:r>
          </w:p>
          <w:p w14:paraId="6C002AA9"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Renewables required for new buildings and major renovations in public buildings </w:t>
            </w:r>
          </w:p>
        </w:tc>
        <w:tc>
          <w:tcPr>
            <w:tcW w:w="5965" w:type="dxa"/>
          </w:tcPr>
          <w:p w14:paraId="5D719765"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Issuing and application for </w:t>
            </w:r>
            <w:proofErr w:type="spellStart"/>
            <w:r w:rsidRPr="00F85358">
              <w:rPr>
                <w:rFonts w:asciiTheme="minorHAnsi" w:hAnsiTheme="minorHAnsi" w:cstheme="minorHAnsi"/>
                <w:sz w:val="16"/>
                <w:szCs w:val="16"/>
              </w:rPr>
              <w:t>EPCs</w:t>
            </w:r>
            <w:proofErr w:type="spellEnd"/>
            <w:r w:rsidRPr="00F85358">
              <w:rPr>
                <w:rFonts w:asciiTheme="minorHAnsi" w:hAnsiTheme="minorHAnsi" w:cstheme="minorHAnsi"/>
                <w:sz w:val="16"/>
                <w:szCs w:val="16"/>
              </w:rPr>
              <w:t xml:space="preserve"> with requirements for energy performance and renewable energy use in buildings</w:t>
            </w:r>
          </w:p>
          <w:p w14:paraId="69C9DD39"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Information disclosed: energy consumption, energy demand and </w:t>
            </w:r>
            <w:proofErr w:type="gramStart"/>
            <w:r w:rsidRPr="00F85358">
              <w:rPr>
                <w:rFonts w:asciiTheme="minorHAnsi" w:hAnsiTheme="minorHAnsi" w:cstheme="minorHAnsi"/>
                <w:sz w:val="16"/>
                <w:szCs w:val="16"/>
              </w:rPr>
              <w:t>emissions</w:t>
            </w:r>
            <w:proofErr w:type="gramEnd"/>
          </w:p>
          <w:p w14:paraId="0038C441"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Consumption certificates and energy requirement certificates </w:t>
            </w:r>
          </w:p>
        </w:tc>
      </w:tr>
      <w:tr w:rsidR="005B3B6F" w:rsidRPr="00AB77BC" w14:paraId="50703440"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174080AC" w14:textId="58148A70" w:rsidR="005B3B6F" w:rsidRPr="00F85358" w:rsidRDefault="00FD477B">
            <w:pPr>
              <w:pStyle w:val="BodyText"/>
              <w:rPr>
                <w:rFonts w:asciiTheme="minorHAnsi" w:hAnsiTheme="minorHAnsi" w:cstheme="minorHAnsi"/>
                <w:sz w:val="16"/>
                <w:szCs w:val="16"/>
              </w:rPr>
            </w:pPr>
            <w:r w:rsidRPr="00F85358">
              <w:rPr>
                <w:rFonts w:asciiTheme="minorHAnsi" w:hAnsiTheme="minorHAnsi" w:cstheme="minorHAnsi"/>
                <w:sz w:val="16"/>
                <w:szCs w:val="16"/>
              </w:rPr>
              <w:t>Germany</w:t>
            </w:r>
          </w:p>
        </w:tc>
        <w:tc>
          <w:tcPr>
            <w:tcW w:w="1428" w:type="dxa"/>
          </w:tcPr>
          <w:p w14:paraId="2094FB29"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Federal Funding for Efficient Buildings (BEG) (voluntary)</w:t>
            </w:r>
          </w:p>
        </w:tc>
        <w:tc>
          <w:tcPr>
            <w:tcW w:w="1690" w:type="dxa"/>
          </w:tcPr>
          <w:p w14:paraId="0E7421F9"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residential and non-residential buildings</w:t>
            </w:r>
          </w:p>
        </w:tc>
        <w:tc>
          <w:tcPr>
            <w:tcW w:w="5965" w:type="dxa"/>
          </w:tcPr>
          <w:p w14:paraId="18480B47"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As part of climate protection program 2030 the federal government further developed funding for energy-efficient buildings. The Federal Subsidy for Efficient Buildings (BEG) is operated by the German development bank.</w:t>
            </w:r>
          </w:p>
          <w:p w14:paraId="1EE550A7"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Funding available as a direct investment grant or as a low-interest loan with a repayment grant</w:t>
            </w:r>
          </w:p>
          <w:p w14:paraId="5E53D070" w14:textId="1089FCAC"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New standards from 2023. E.g</w:t>
            </w:r>
            <w:r w:rsidR="00FE109F" w:rsidRPr="00F85358">
              <w:rPr>
                <w:rFonts w:asciiTheme="minorHAnsi" w:hAnsiTheme="minorHAnsi" w:cstheme="minorHAnsi"/>
                <w:sz w:val="16"/>
                <w:szCs w:val="16"/>
              </w:rPr>
              <w:t>.,</w:t>
            </w:r>
            <w:r w:rsidRPr="00F85358">
              <w:rPr>
                <w:rFonts w:asciiTheme="minorHAnsi" w:hAnsiTheme="minorHAnsi" w:cstheme="minorHAnsi"/>
                <w:sz w:val="16"/>
                <w:szCs w:val="16"/>
              </w:rPr>
              <w:t xml:space="preserve"> each newly installed heating system is to be operated </w:t>
            </w:r>
            <w:proofErr w:type="gramStart"/>
            <w:r w:rsidRPr="00F85358">
              <w:rPr>
                <w:rFonts w:asciiTheme="minorHAnsi" w:hAnsiTheme="minorHAnsi" w:cstheme="minorHAnsi"/>
                <w:sz w:val="16"/>
                <w:szCs w:val="16"/>
              </w:rPr>
              <w:t>on the basis of</w:t>
            </w:r>
            <w:proofErr w:type="gramEnd"/>
            <w:r w:rsidRPr="00F85358">
              <w:rPr>
                <w:rFonts w:asciiTheme="minorHAnsi" w:hAnsiTheme="minorHAnsi" w:cstheme="minorHAnsi"/>
                <w:sz w:val="16"/>
                <w:szCs w:val="16"/>
              </w:rPr>
              <w:t xml:space="preserve"> 65</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renewable energy from 2024 onwards</w:t>
            </w:r>
          </w:p>
        </w:tc>
      </w:tr>
      <w:tr w:rsidR="005B3B6F" w:rsidRPr="00AB77BC" w14:paraId="33A484B6"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7B9153BD"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Norway</w:t>
            </w:r>
          </w:p>
        </w:tc>
        <w:tc>
          <w:tcPr>
            <w:tcW w:w="1428" w:type="dxa"/>
          </w:tcPr>
          <w:p w14:paraId="1146675C"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Energy Labelling Regulations</w:t>
            </w:r>
          </w:p>
        </w:tc>
        <w:tc>
          <w:tcPr>
            <w:tcW w:w="1690" w:type="dxa"/>
          </w:tcPr>
          <w:p w14:paraId="54F7E4E6"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housing and non-residential buildings sold or rented, and for new constructions</w:t>
            </w:r>
          </w:p>
        </w:tc>
        <w:tc>
          <w:tcPr>
            <w:tcW w:w="5965" w:type="dxa"/>
          </w:tcPr>
          <w:p w14:paraId="45153966"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Based on EU's building energy directive, in 2010, energy certificates became mandatory </w:t>
            </w:r>
          </w:p>
          <w:p w14:paraId="5A47E2D5"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The basis for calculating the energy rating is through delivered energy. Delivered energy means the sum of energy that is delivered to cover the building's overall energy needs, including system losses. Scale is from A to G.</w:t>
            </w:r>
          </w:p>
          <w:p w14:paraId="12D5EAFC"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Total delivered energy in kWh is measured</w:t>
            </w:r>
          </w:p>
        </w:tc>
      </w:tr>
      <w:tr w:rsidR="005B3B6F" w:rsidRPr="00AB77BC" w14:paraId="5BE52CF6"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498418AD"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Denmark</w:t>
            </w:r>
          </w:p>
        </w:tc>
        <w:tc>
          <w:tcPr>
            <w:tcW w:w="1428" w:type="dxa"/>
          </w:tcPr>
          <w:p w14:paraId="6BB38787"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Whole of life carbon limits</w:t>
            </w:r>
          </w:p>
        </w:tc>
        <w:tc>
          <w:tcPr>
            <w:tcW w:w="1690" w:type="dxa"/>
          </w:tcPr>
          <w:p w14:paraId="61632859" w14:textId="36627A65" w:rsidR="005B3B6F" w:rsidRPr="00F85358" w:rsidRDefault="0055623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New buildings</w:t>
            </w:r>
          </w:p>
        </w:tc>
        <w:tc>
          <w:tcPr>
            <w:tcW w:w="5965" w:type="dxa"/>
          </w:tcPr>
          <w:p w14:paraId="340FC429"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Enforces Whole Life Carbon limits based on </w:t>
            </w:r>
            <w:proofErr w:type="spellStart"/>
            <w:r w:rsidRPr="00F85358">
              <w:rPr>
                <w:rFonts w:asciiTheme="minorHAnsi" w:hAnsiTheme="minorHAnsi" w:cstheme="minorHAnsi"/>
                <w:sz w:val="16"/>
                <w:szCs w:val="16"/>
              </w:rPr>
              <w:t>LCA</w:t>
            </w:r>
            <w:proofErr w:type="spellEnd"/>
            <w:r w:rsidRPr="00F85358">
              <w:rPr>
                <w:rFonts w:asciiTheme="minorHAnsi" w:hAnsiTheme="minorHAnsi" w:cstheme="minorHAnsi"/>
                <w:sz w:val="16"/>
                <w:szCs w:val="16"/>
              </w:rPr>
              <w:t xml:space="preserve"> tools to curb embodied carbon for upcoming buildings</w:t>
            </w:r>
          </w:p>
        </w:tc>
      </w:tr>
      <w:tr w:rsidR="005B3B6F" w:rsidRPr="00AB77BC" w14:paraId="793285FF"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01FAD1EE" w14:textId="14D08269" w:rsidR="005B3B6F" w:rsidRPr="00F85358" w:rsidRDefault="00FD477B">
            <w:pPr>
              <w:pStyle w:val="BodyText"/>
              <w:rPr>
                <w:rFonts w:asciiTheme="minorHAnsi" w:hAnsiTheme="minorHAnsi" w:cstheme="minorHAnsi"/>
                <w:sz w:val="16"/>
                <w:szCs w:val="16"/>
              </w:rPr>
            </w:pPr>
            <w:r w:rsidRPr="00BD5DF0">
              <w:rPr>
                <w:rFonts w:asciiTheme="minorHAnsi" w:hAnsiTheme="minorHAnsi" w:cstheme="minorHAnsi"/>
                <w:sz w:val="16"/>
                <w:szCs w:val="16"/>
              </w:rPr>
              <w:lastRenderedPageBreak/>
              <w:t>Denmark</w:t>
            </w:r>
          </w:p>
        </w:tc>
        <w:tc>
          <w:tcPr>
            <w:tcW w:w="1428" w:type="dxa"/>
          </w:tcPr>
          <w:p w14:paraId="0E5454E8" w14:textId="4C515B34"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Recovery and resilience plan - Energy efficiency, green </w:t>
            </w:r>
            <w:proofErr w:type="gramStart"/>
            <w:r w:rsidRPr="00F85358">
              <w:rPr>
                <w:rFonts w:asciiTheme="minorHAnsi" w:hAnsiTheme="minorHAnsi" w:cstheme="minorHAnsi"/>
                <w:sz w:val="16"/>
                <w:szCs w:val="16"/>
              </w:rPr>
              <w:t>heating</w:t>
            </w:r>
            <w:proofErr w:type="gramEnd"/>
            <w:r w:rsidRPr="00F85358">
              <w:rPr>
                <w:rFonts w:asciiTheme="minorHAnsi" w:hAnsiTheme="minorHAnsi" w:cstheme="minorHAnsi"/>
                <w:sz w:val="16"/>
                <w:szCs w:val="16"/>
              </w:rPr>
              <w:t xml:space="preserve"> and CCS </w:t>
            </w:r>
          </w:p>
        </w:tc>
        <w:tc>
          <w:tcPr>
            <w:tcW w:w="1690" w:type="dxa"/>
          </w:tcPr>
          <w:p w14:paraId="5449F9A9" w14:textId="17F78FC5" w:rsidR="005B3B6F" w:rsidRPr="00F85358" w:rsidRDefault="0055623A">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Voluntary</w:t>
            </w:r>
          </w:p>
        </w:tc>
        <w:tc>
          <w:tcPr>
            <w:tcW w:w="5965" w:type="dxa"/>
          </w:tcPr>
          <w:p w14:paraId="34FBADC6"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Conversion from oil- and gas furnaces to electrical heat pumps, district heating as well as energy renovations in private and public building</w:t>
            </w:r>
          </w:p>
          <w:p w14:paraId="3646558E"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Information do disclose includes energy performance of buildings, heating systems, or industrial processes, including the amount of energy consumed, energy efficiency ratings, and CO2 </w:t>
            </w:r>
            <w:proofErr w:type="gramStart"/>
            <w:r w:rsidRPr="00F85358">
              <w:rPr>
                <w:rFonts w:asciiTheme="minorHAnsi" w:hAnsiTheme="minorHAnsi" w:cstheme="minorHAnsi"/>
                <w:sz w:val="16"/>
                <w:szCs w:val="16"/>
              </w:rPr>
              <w:t>emissions</w:t>
            </w:r>
            <w:proofErr w:type="gramEnd"/>
          </w:p>
          <w:p w14:paraId="434CED25"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Danish government proposed a subsidy of approximately $500K AUD in total for 2021-2025 to increase energy efficiency in buildings and in industry, green </w:t>
            </w:r>
            <w:proofErr w:type="gramStart"/>
            <w:r w:rsidRPr="00F85358">
              <w:rPr>
                <w:rFonts w:asciiTheme="minorHAnsi" w:hAnsiTheme="minorHAnsi" w:cstheme="minorHAnsi"/>
                <w:sz w:val="16"/>
                <w:szCs w:val="16"/>
              </w:rPr>
              <w:t>heating</w:t>
            </w:r>
            <w:proofErr w:type="gramEnd"/>
            <w:r w:rsidRPr="00F85358">
              <w:rPr>
                <w:rFonts w:asciiTheme="minorHAnsi" w:hAnsiTheme="minorHAnsi" w:cstheme="minorHAnsi"/>
                <w:sz w:val="16"/>
                <w:szCs w:val="16"/>
              </w:rPr>
              <w:t xml:space="preserve"> and CCS.</w:t>
            </w:r>
          </w:p>
        </w:tc>
      </w:tr>
      <w:tr w:rsidR="005B3B6F" w:rsidRPr="00AB77BC" w14:paraId="76080130"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224B7482" w14:textId="1E27A8F3" w:rsidR="005B3B6F" w:rsidRPr="00F85358" w:rsidRDefault="00FD477B">
            <w:pPr>
              <w:pStyle w:val="BodyText"/>
              <w:rPr>
                <w:rFonts w:asciiTheme="minorHAnsi" w:hAnsiTheme="minorHAnsi" w:cstheme="minorHAnsi"/>
                <w:sz w:val="16"/>
                <w:szCs w:val="16"/>
              </w:rPr>
            </w:pPr>
            <w:r w:rsidRPr="00BD5DF0">
              <w:rPr>
                <w:rFonts w:asciiTheme="minorHAnsi" w:hAnsiTheme="minorHAnsi" w:cstheme="minorHAnsi"/>
                <w:sz w:val="16"/>
                <w:szCs w:val="16"/>
              </w:rPr>
              <w:t>Denmark</w:t>
            </w:r>
          </w:p>
        </w:tc>
        <w:tc>
          <w:tcPr>
            <w:tcW w:w="1428" w:type="dxa"/>
          </w:tcPr>
          <w:p w14:paraId="43C17638"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Danish building regulations - codes (BR18) 2018 – energy performance certificates</w:t>
            </w:r>
          </w:p>
        </w:tc>
        <w:tc>
          <w:tcPr>
            <w:tcW w:w="1690" w:type="dxa"/>
          </w:tcPr>
          <w:p w14:paraId="6FE117C2"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New buildings, extensions, conversions and alterations, replacement of building elements and installations</w:t>
            </w:r>
          </w:p>
        </w:tc>
        <w:tc>
          <w:tcPr>
            <w:tcW w:w="5965" w:type="dxa"/>
          </w:tcPr>
          <w:p w14:paraId="29597061"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Code includes energy efficiency requirements in </w:t>
            </w:r>
            <w:proofErr w:type="gramStart"/>
            <w:r w:rsidRPr="00F85358">
              <w:rPr>
                <w:rFonts w:asciiTheme="minorHAnsi" w:hAnsiTheme="minorHAnsi" w:cstheme="minorHAnsi"/>
                <w:sz w:val="16"/>
                <w:szCs w:val="16"/>
              </w:rPr>
              <w:t>buildings</w:t>
            </w:r>
            <w:proofErr w:type="gramEnd"/>
          </w:p>
          <w:p w14:paraId="6738F94D"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Energy label from A to G</w:t>
            </w:r>
          </w:p>
          <w:p w14:paraId="0FC0E46E"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Renewable energy sources also considered</w:t>
            </w:r>
          </w:p>
        </w:tc>
      </w:tr>
      <w:tr w:rsidR="005B3B6F" w:rsidRPr="00AB77BC" w14:paraId="5227D98C" w14:textId="77777777" w:rsidTr="00FD477B">
        <w:trPr>
          <w:trHeight w:val="1274"/>
        </w:trPr>
        <w:tc>
          <w:tcPr>
            <w:cnfStyle w:val="001000000000" w:firstRow="0" w:lastRow="0" w:firstColumn="1" w:lastColumn="0" w:oddVBand="0" w:evenVBand="0" w:oddHBand="0" w:evenHBand="0" w:firstRowFirstColumn="0" w:firstRowLastColumn="0" w:lastRowFirstColumn="0" w:lastRowLastColumn="0"/>
            <w:tcW w:w="988" w:type="dxa"/>
          </w:tcPr>
          <w:p w14:paraId="2C22753E"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Sweden</w:t>
            </w:r>
          </w:p>
        </w:tc>
        <w:tc>
          <w:tcPr>
            <w:tcW w:w="1428" w:type="dxa"/>
          </w:tcPr>
          <w:p w14:paraId="40F88717" w14:textId="0A7ED8EA"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Recovery Plan </w:t>
            </w:r>
          </w:p>
        </w:tc>
        <w:tc>
          <w:tcPr>
            <w:tcW w:w="1690" w:type="dxa"/>
          </w:tcPr>
          <w:p w14:paraId="196366B5" w14:textId="3E212449"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Apartments exceeding 100kWh/ </w:t>
            </w:r>
            <w:r w:rsidR="001A70A3" w:rsidRPr="00F85358">
              <w:rPr>
                <w:rFonts w:asciiTheme="minorHAnsi" w:hAnsiTheme="minorHAnsi" w:cstheme="minorHAnsi"/>
                <w:sz w:val="16"/>
                <w:szCs w:val="16"/>
              </w:rPr>
              <w:t xml:space="preserve">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or if 20</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improvements can be demonstrated</w:t>
            </w:r>
            <w:r w:rsidR="00DE3531" w:rsidRPr="00F85358">
              <w:rPr>
                <w:rFonts w:asciiTheme="minorHAnsi" w:hAnsiTheme="minorHAnsi" w:cstheme="minorHAnsi"/>
                <w:sz w:val="16"/>
                <w:szCs w:val="16"/>
              </w:rPr>
              <w:t xml:space="preserve"> </w:t>
            </w:r>
            <w:r w:rsidR="0055623A" w:rsidRPr="00F85358">
              <w:rPr>
                <w:rFonts w:asciiTheme="minorHAnsi" w:hAnsiTheme="minorHAnsi" w:cstheme="minorHAnsi"/>
                <w:sz w:val="16"/>
                <w:szCs w:val="16"/>
              </w:rPr>
              <w:t>(voluntary)</w:t>
            </w:r>
          </w:p>
        </w:tc>
        <w:tc>
          <w:tcPr>
            <w:tcW w:w="5965" w:type="dxa"/>
          </w:tcPr>
          <w:p w14:paraId="1567F012" w14:textId="65D7CDA6"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Support given to apartment buildings which are energy efficient</w:t>
            </w:r>
            <w:r w:rsidR="00FE109F" w:rsidRPr="00F85358">
              <w:rPr>
                <w:rFonts w:asciiTheme="minorHAnsi" w:hAnsiTheme="minorHAnsi" w:cstheme="minorHAnsi"/>
                <w:sz w:val="16"/>
                <w:szCs w:val="16"/>
              </w:rPr>
              <w:t>,</w:t>
            </w:r>
            <w:r w:rsidRPr="00F85358">
              <w:rPr>
                <w:rFonts w:asciiTheme="minorHAnsi" w:hAnsiTheme="minorHAnsi" w:cstheme="minorHAnsi"/>
                <w:sz w:val="16"/>
                <w:szCs w:val="16"/>
              </w:rPr>
              <w:t xml:space="preserve"> and which undergo renovation resulting in greater energy efficiency of the building.</w:t>
            </w:r>
          </w:p>
          <w:p w14:paraId="4F718C80" w14:textId="7117BE82"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The total cost for 2021–2023 amounts to SEK 4.05 billion ($580M AUD or $56 AUD per person). By 2023, support will have been granted for projects involving a total of 2 850 000 </w:t>
            </w:r>
            <w:r w:rsidR="001A70A3" w:rsidRPr="00F85358">
              <w:rPr>
                <w:rFonts w:asciiTheme="minorHAnsi" w:hAnsiTheme="minorHAnsi" w:cstheme="minorHAnsi"/>
                <w:sz w:val="16"/>
                <w:szCs w:val="16"/>
              </w:rPr>
              <w:t xml:space="preserve">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(2</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of all multi-unit dwellings)</w:t>
            </w:r>
          </w:p>
        </w:tc>
      </w:tr>
      <w:tr w:rsidR="005B3B6F" w:rsidRPr="00B51812" w14:paraId="78C88440"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5DD1C1E6"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Japan</w:t>
            </w:r>
          </w:p>
        </w:tc>
        <w:tc>
          <w:tcPr>
            <w:tcW w:w="1428" w:type="dxa"/>
          </w:tcPr>
          <w:p w14:paraId="53087FED"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Building Energy Efficiency Act </w:t>
            </w:r>
          </w:p>
        </w:tc>
        <w:tc>
          <w:tcPr>
            <w:tcW w:w="1690" w:type="dxa"/>
          </w:tcPr>
          <w:p w14:paraId="08208C1B" w14:textId="58556F41"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Large (&gt;2000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and medium (&gt;300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commercial buildings</w:t>
            </w:r>
          </w:p>
        </w:tc>
        <w:tc>
          <w:tcPr>
            <w:tcW w:w="5965" w:type="dxa"/>
          </w:tcPr>
          <w:p w14:paraId="63AB9597"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Building owners must disclose annual energy consumption data, information about the building, such as its address, floor area, and occupancy type, provide a statement indicating whether the building complies with the energy efficiency standards set by the government and whether any energy efficiency measures have been implemented. </w:t>
            </w:r>
          </w:p>
          <w:p w14:paraId="48969B05" w14:textId="45F9E8A9"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Requirement by law to capture and display information on energy efficiency and performance. Started with 2,000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in 2017 and moved to 300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in 2021.</w:t>
            </w:r>
          </w:p>
          <w:p w14:paraId="54C5EE80"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The government certifies the </w:t>
            </w:r>
            <w:proofErr w:type="gramStart"/>
            <w:r w:rsidRPr="00F85358">
              <w:rPr>
                <w:rFonts w:asciiTheme="minorHAnsi" w:hAnsiTheme="minorHAnsi" w:cstheme="minorHAnsi"/>
                <w:sz w:val="16"/>
                <w:szCs w:val="16"/>
              </w:rPr>
              <w:t>compliance</w:t>
            </w:r>
            <w:proofErr w:type="gramEnd"/>
          </w:p>
          <w:p w14:paraId="485B7C9E" w14:textId="684E92D3"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Since making the standards mandatory there have been improvements. Previously, less than half of new buildings complied with the requirements (with compliance rates reaching 36</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44</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and 51</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respectively, for large-, medium- and small-sized buildings). The government expects full compliance with the standards to bring about energy savings in the order of 2.8 MT by 2030 (equalling 7</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of the total energy savings aimed for by 2030)</w:t>
            </w:r>
          </w:p>
        </w:tc>
      </w:tr>
      <w:tr w:rsidR="005B3B6F" w:rsidRPr="00B51812" w14:paraId="77E1819A"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3F8676B3" w14:textId="371F3295" w:rsidR="005B3B6F" w:rsidRPr="00F85358" w:rsidRDefault="00FD477B">
            <w:pPr>
              <w:pStyle w:val="BodyText"/>
              <w:rPr>
                <w:rFonts w:asciiTheme="minorHAnsi" w:hAnsiTheme="minorHAnsi" w:cstheme="minorHAnsi"/>
                <w:sz w:val="16"/>
                <w:szCs w:val="16"/>
              </w:rPr>
            </w:pPr>
            <w:r w:rsidRPr="0094278A">
              <w:rPr>
                <w:rFonts w:asciiTheme="minorHAnsi" w:hAnsiTheme="minorHAnsi" w:cstheme="minorHAnsi"/>
                <w:sz w:val="16"/>
                <w:szCs w:val="16"/>
              </w:rPr>
              <w:t>Japan</w:t>
            </w:r>
          </w:p>
        </w:tc>
        <w:tc>
          <w:tcPr>
            <w:tcW w:w="1428" w:type="dxa"/>
          </w:tcPr>
          <w:p w14:paraId="248476CA"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Zero energy buildings (ZEB)</w:t>
            </w:r>
          </w:p>
        </w:tc>
        <w:tc>
          <w:tcPr>
            <w:tcW w:w="1690" w:type="dxa"/>
          </w:tcPr>
          <w:p w14:paraId="08CDDAFC"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Newly constructed public buildings</w:t>
            </w:r>
          </w:p>
        </w:tc>
        <w:tc>
          <w:tcPr>
            <w:tcW w:w="5965" w:type="dxa"/>
          </w:tcPr>
          <w:p w14:paraId="5C56A07B" w14:textId="6E7CF4CC"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ZEB must generate energy and reduce net energy consumption by at least 50</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compared to an ordinary </w:t>
            </w:r>
            <w:proofErr w:type="gramStart"/>
            <w:r w:rsidRPr="00F85358">
              <w:rPr>
                <w:rFonts w:asciiTheme="minorHAnsi" w:hAnsiTheme="minorHAnsi" w:cstheme="minorHAnsi"/>
                <w:sz w:val="16"/>
                <w:szCs w:val="16"/>
              </w:rPr>
              <w:t>building</w:t>
            </w:r>
            <w:proofErr w:type="gramEnd"/>
          </w:p>
          <w:p w14:paraId="02576B99" w14:textId="7D7C70F2"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By the end of 2018, the number of ZEBs reached 70 or 0.1</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of total buildings </w:t>
            </w:r>
            <w:proofErr w:type="gramStart"/>
            <w:r w:rsidRPr="00F85358">
              <w:rPr>
                <w:rFonts w:asciiTheme="minorHAnsi" w:hAnsiTheme="minorHAnsi" w:cstheme="minorHAnsi"/>
                <w:sz w:val="16"/>
                <w:szCs w:val="16"/>
              </w:rPr>
              <w:t>constructed</w:t>
            </w:r>
            <w:proofErr w:type="gramEnd"/>
          </w:p>
          <w:p w14:paraId="6EC7890C"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Attribute and performance based: requires improved heat insulation, high-efficiency equipment </w:t>
            </w:r>
            <w:proofErr w:type="gramStart"/>
            <w:r w:rsidRPr="00F85358">
              <w:rPr>
                <w:rFonts w:asciiTheme="minorHAnsi" w:hAnsiTheme="minorHAnsi" w:cstheme="minorHAnsi"/>
                <w:sz w:val="16"/>
                <w:szCs w:val="16"/>
              </w:rPr>
              <w:t>and also</w:t>
            </w:r>
            <w:proofErr w:type="gramEnd"/>
            <w:r w:rsidRPr="00F85358">
              <w:rPr>
                <w:rFonts w:asciiTheme="minorHAnsi" w:hAnsiTheme="minorHAnsi" w:cstheme="minorHAnsi"/>
                <w:sz w:val="16"/>
                <w:szCs w:val="16"/>
              </w:rPr>
              <w:t xml:space="preserve"> measures energy use</w:t>
            </w:r>
          </w:p>
        </w:tc>
      </w:tr>
      <w:tr w:rsidR="005B3B6F" w:rsidRPr="00B51812" w14:paraId="0CAF2014"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2135E59C" w14:textId="42E43C8C" w:rsidR="005B3B6F" w:rsidRPr="00F85358" w:rsidRDefault="00FD477B">
            <w:pPr>
              <w:pStyle w:val="BodyText"/>
              <w:rPr>
                <w:rFonts w:asciiTheme="minorHAnsi" w:hAnsiTheme="minorHAnsi" w:cstheme="minorHAnsi"/>
                <w:sz w:val="16"/>
                <w:szCs w:val="16"/>
              </w:rPr>
            </w:pPr>
            <w:r w:rsidRPr="0094278A">
              <w:rPr>
                <w:rFonts w:asciiTheme="minorHAnsi" w:hAnsiTheme="minorHAnsi" w:cstheme="minorHAnsi"/>
                <w:sz w:val="16"/>
                <w:szCs w:val="16"/>
              </w:rPr>
              <w:t>Japan</w:t>
            </w:r>
          </w:p>
        </w:tc>
        <w:tc>
          <w:tcPr>
            <w:tcW w:w="1428" w:type="dxa"/>
          </w:tcPr>
          <w:p w14:paraId="2BB66478"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Cap and Trade program</w:t>
            </w:r>
          </w:p>
        </w:tc>
        <w:tc>
          <w:tcPr>
            <w:tcW w:w="1690" w:type="dxa"/>
          </w:tcPr>
          <w:p w14:paraId="0F391E6C"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Annual consumption of 1,500 </w:t>
            </w:r>
            <w:proofErr w:type="spellStart"/>
            <w:r w:rsidRPr="00F85358">
              <w:rPr>
                <w:rFonts w:asciiTheme="minorHAnsi" w:hAnsiTheme="minorHAnsi" w:cstheme="minorHAnsi"/>
                <w:sz w:val="16"/>
                <w:szCs w:val="16"/>
              </w:rPr>
              <w:t>kL</w:t>
            </w:r>
            <w:proofErr w:type="spellEnd"/>
            <w:r w:rsidRPr="00F85358">
              <w:rPr>
                <w:rFonts w:asciiTheme="minorHAnsi" w:hAnsiTheme="minorHAnsi" w:cstheme="minorHAnsi"/>
                <w:sz w:val="16"/>
                <w:szCs w:val="16"/>
              </w:rPr>
              <w:t xml:space="preserve"> of crude oil equivalent (COE) or more</w:t>
            </w:r>
          </w:p>
        </w:tc>
        <w:tc>
          <w:tcPr>
            <w:tcW w:w="5965" w:type="dxa"/>
          </w:tcPr>
          <w:p w14:paraId="1D50CC02"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Energy-saving measures and low-carbon heat and electricity</w:t>
            </w:r>
          </w:p>
          <w:p w14:paraId="3FAF3A19" w14:textId="3F312EB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By the start of the third compliance period (2020), 33</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emissions reductions achieved compared to the baseline, equivalent to 11M </w:t>
            </w:r>
            <w:proofErr w:type="gramStart"/>
            <w:r w:rsidRPr="00F85358">
              <w:rPr>
                <w:rFonts w:asciiTheme="minorHAnsi" w:hAnsiTheme="minorHAnsi" w:cstheme="minorHAnsi"/>
                <w:sz w:val="16"/>
                <w:szCs w:val="16"/>
              </w:rPr>
              <w:t>tonnes</w:t>
            </w:r>
            <w:proofErr w:type="gramEnd"/>
          </w:p>
          <w:p w14:paraId="4054B4F6"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Renewable energy credits generated onsite may be sold. Different renewable energy sources have different credits. Breach to Governor and fines for not participating</w:t>
            </w:r>
          </w:p>
        </w:tc>
      </w:tr>
      <w:tr w:rsidR="005B3B6F" w:rsidRPr="00B51812" w14:paraId="3722F19E"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356E6985"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t>South Korea</w:t>
            </w:r>
          </w:p>
        </w:tc>
        <w:tc>
          <w:tcPr>
            <w:tcW w:w="1428" w:type="dxa"/>
          </w:tcPr>
          <w:p w14:paraId="67D2ED61"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Building Energy Code Compliance – Energy Performance Index</w:t>
            </w:r>
          </w:p>
        </w:tc>
        <w:tc>
          <w:tcPr>
            <w:tcW w:w="1690" w:type="dxa"/>
          </w:tcPr>
          <w:p w14:paraId="21E988D1" w14:textId="2A4705CF"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new buildings &gt;500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floor area</w:t>
            </w:r>
          </w:p>
        </w:tc>
        <w:tc>
          <w:tcPr>
            <w:tcW w:w="5965" w:type="dxa"/>
          </w:tcPr>
          <w:p w14:paraId="173286F4"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Requirements on energy saving design including preventing heat loss and installing energy saving facilities. Also considers energy efficient products and renewable energy. </w:t>
            </w:r>
          </w:p>
          <w:p w14:paraId="08700DFE"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Local government building officials execute the codes. The property owner must fill out an energy-saving worksheet and submit it to local governmental offices to obtain a building </w:t>
            </w:r>
            <w:proofErr w:type="gramStart"/>
            <w:r w:rsidRPr="00F85358">
              <w:rPr>
                <w:rFonts w:asciiTheme="minorHAnsi" w:hAnsiTheme="minorHAnsi" w:cstheme="minorHAnsi"/>
                <w:sz w:val="16"/>
                <w:szCs w:val="16"/>
              </w:rPr>
              <w:t>permit</w:t>
            </w:r>
            <w:proofErr w:type="gramEnd"/>
          </w:p>
          <w:p w14:paraId="4DD58A76"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Korea Energy Agency (KEA)</w:t>
            </w:r>
            <w:r w:rsidRPr="00F85358">
              <w:rPr>
                <w:rFonts w:asciiTheme="minorHAnsi" w:hAnsiTheme="minorHAnsi" w:cstheme="minorHAnsi"/>
              </w:rPr>
              <w:t xml:space="preserve"> </w:t>
            </w:r>
            <w:r w:rsidRPr="00F85358">
              <w:rPr>
                <w:rFonts w:asciiTheme="minorHAnsi" w:hAnsiTheme="minorHAnsi" w:cstheme="minorHAnsi"/>
                <w:sz w:val="16"/>
                <w:szCs w:val="16"/>
              </w:rPr>
              <w:t xml:space="preserve">reviews the worksheet to check if the property satisfies </w:t>
            </w:r>
            <w:proofErr w:type="gramStart"/>
            <w:r w:rsidRPr="00F85358">
              <w:rPr>
                <w:rFonts w:asciiTheme="minorHAnsi" w:hAnsiTheme="minorHAnsi" w:cstheme="minorHAnsi"/>
                <w:sz w:val="16"/>
                <w:szCs w:val="16"/>
              </w:rPr>
              <w:t>all of</w:t>
            </w:r>
            <w:proofErr w:type="gramEnd"/>
            <w:r w:rsidRPr="00F85358">
              <w:rPr>
                <w:rFonts w:asciiTheme="minorHAnsi" w:hAnsiTheme="minorHAnsi" w:cstheme="minorHAnsi"/>
                <w:sz w:val="16"/>
                <w:szCs w:val="16"/>
              </w:rPr>
              <w:t xml:space="preserve"> the standards and gets at least 65 points on the Energy Performance Index (EPI) (minimum 75 points for public buildings)</w:t>
            </w:r>
          </w:p>
          <w:p w14:paraId="142DABC2"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Buildings that rate highly are eligible for financial incentives, like low-interest loans</w:t>
            </w:r>
          </w:p>
        </w:tc>
      </w:tr>
      <w:tr w:rsidR="005B3B6F" w:rsidRPr="00B51812" w14:paraId="3FCD696D"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529C0075" w14:textId="615CA459" w:rsidR="005B3B6F" w:rsidRPr="00F85358" w:rsidRDefault="00FD477B">
            <w:pPr>
              <w:pStyle w:val="BodyText"/>
              <w:rPr>
                <w:rFonts w:asciiTheme="minorHAnsi" w:hAnsiTheme="minorHAnsi" w:cstheme="minorHAnsi"/>
                <w:sz w:val="16"/>
                <w:szCs w:val="16"/>
              </w:rPr>
            </w:pPr>
            <w:r w:rsidRPr="00F85358">
              <w:rPr>
                <w:rFonts w:asciiTheme="minorHAnsi" w:hAnsiTheme="minorHAnsi" w:cstheme="minorHAnsi"/>
                <w:sz w:val="16"/>
                <w:szCs w:val="16"/>
              </w:rPr>
              <w:t>South Korea</w:t>
            </w:r>
          </w:p>
        </w:tc>
        <w:tc>
          <w:tcPr>
            <w:tcW w:w="1428" w:type="dxa"/>
          </w:tcPr>
          <w:p w14:paraId="45CA5BF9"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Building Energy Efficiency </w:t>
            </w:r>
            <w:r w:rsidRPr="00F85358">
              <w:rPr>
                <w:rFonts w:asciiTheme="minorHAnsi" w:hAnsiTheme="minorHAnsi" w:cstheme="minorHAnsi"/>
                <w:sz w:val="16"/>
                <w:szCs w:val="16"/>
              </w:rPr>
              <w:lastRenderedPageBreak/>
              <w:t>Certification (voluntary)</w:t>
            </w:r>
          </w:p>
        </w:tc>
        <w:tc>
          <w:tcPr>
            <w:tcW w:w="1690" w:type="dxa"/>
          </w:tcPr>
          <w:p w14:paraId="7F3746A1" w14:textId="169C1DDD"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lastRenderedPageBreak/>
              <w:t xml:space="preserve">Existing buildings and new buildings (houses, apartments </w:t>
            </w:r>
            <w:r w:rsidRPr="00F85358">
              <w:rPr>
                <w:rFonts w:asciiTheme="minorHAnsi" w:hAnsiTheme="minorHAnsi" w:cstheme="minorHAnsi"/>
                <w:sz w:val="16"/>
                <w:szCs w:val="16"/>
              </w:rPr>
              <w:lastRenderedPageBreak/>
              <w:t xml:space="preserve">and dormitory buildings, buildings with cooling or heating areas greater than 500 </w:t>
            </w:r>
            <w:r w:rsidR="001A70A3" w:rsidRPr="00F85358">
              <w:rPr>
                <w:rFonts w:asciiTheme="minorHAnsi" w:hAnsiTheme="minorHAnsi" w:cstheme="minorHAnsi"/>
                <w:sz w:val="16"/>
                <w:szCs w:val="16"/>
              </w:rPr>
              <w:t xml:space="preserve">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and office buildings)</w:t>
            </w:r>
          </w:p>
        </w:tc>
        <w:tc>
          <w:tcPr>
            <w:tcW w:w="5965" w:type="dxa"/>
          </w:tcPr>
          <w:p w14:paraId="069D9344" w14:textId="73E9BA1B"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lastRenderedPageBreak/>
              <w:t>KEA estimates CO2 emission and energy consumption for heating, cooling and hot water supply of a buildings based on their design documents and issue certification ranging from level 7 to level 1 +++</w:t>
            </w:r>
            <w:r w:rsidR="00D54793" w:rsidRPr="00F85358">
              <w:rPr>
                <w:rFonts w:asciiTheme="minorHAnsi" w:hAnsiTheme="minorHAnsi" w:cstheme="minorHAnsi"/>
                <w:sz w:val="16"/>
                <w:szCs w:val="16"/>
              </w:rPr>
              <w:t>.</w:t>
            </w:r>
          </w:p>
          <w:p w14:paraId="66274615"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lastRenderedPageBreak/>
              <w:t>Performance based: energy used per unit area per year, overall energy consumption and CO2 emissions.</w:t>
            </w:r>
          </w:p>
          <w:p w14:paraId="0BB87E2E" w14:textId="73B3019E"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According to KEA buildings that are certified consume 30</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less energy and emit around 26</w:t>
            </w:r>
            <w:r w:rsidR="001655E9" w:rsidRPr="00F85358">
              <w:rPr>
                <w:rFonts w:asciiTheme="minorHAnsi" w:hAnsiTheme="minorHAnsi" w:cstheme="minorHAnsi"/>
                <w:sz w:val="16"/>
                <w:szCs w:val="16"/>
              </w:rPr>
              <w:t>per cent</w:t>
            </w:r>
            <w:r w:rsidRPr="00F85358">
              <w:rPr>
                <w:rFonts w:asciiTheme="minorHAnsi" w:hAnsiTheme="minorHAnsi" w:cstheme="minorHAnsi"/>
                <w:sz w:val="16"/>
                <w:szCs w:val="16"/>
              </w:rPr>
              <w:t xml:space="preserve"> less GHG than non-certified buildings</w:t>
            </w:r>
            <w:r w:rsidR="00D54793" w:rsidRPr="00F85358">
              <w:rPr>
                <w:rFonts w:asciiTheme="minorHAnsi" w:hAnsiTheme="minorHAnsi" w:cstheme="minorHAnsi"/>
                <w:sz w:val="16"/>
                <w:szCs w:val="16"/>
              </w:rPr>
              <w:t>.</w:t>
            </w:r>
          </w:p>
        </w:tc>
      </w:tr>
      <w:tr w:rsidR="005B3B6F" w:rsidRPr="00B51812" w14:paraId="20F4FDEF"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465255B6" w14:textId="77777777" w:rsidR="005B3B6F" w:rsidRPr="00F85358" w:rsidRDefault="005B3B6F">
            <w:pPr>
              <w:pStyle w:val="BodyText"/>
              <w:rPr>
                <w:rFonts w:asciiTheme="minorHAnsi" w:hAnsiTheme="minorHAnsi" w:cstheme="minorHAnsi"/>
                <w:sz w:val="16"/>
                <w:szCs w:val="16"/>
              </w:rPr>
            </w:pPr>
            <w:r w:rsidRPr="00F85358">
              <w:rPr>
                <w:rFonts w:asciiTheme="minorHAnsi" w:hAnsiTheme="minorHAnsi" w:cstheme="minorHAnsi"/>
                <w:sz w:val="16"/>
                <w:szCs w:val="16"/>
              </w:rPr>
              <w:lastRenderedPageBreak/>
              <w:t>Washington DC</w:t>
            </w:r>
          </w:p>
        </w:tc>
        <w:tc>
          <w:tcPr>
            <w:tcW w:w="1428" w:type="dxa"/>
          </w:tcPr>
          <w:p w14:paraId="5FAEFC29" w14:textId="77777777" w:rsidR="005B3B6F" w:rsidRPr="00F85358"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Building and Energy Performance Standards (BEPS) and Benchmarking (measured by Energy Star Rating)</w:t>
            </w:r>
          </w:p>
        </w:tc>
        <w:tc>
          <w:tcPr>
            <w:tcW w:w="1690" w:type="dxa"/>
          </w:tcPr>
          <w:p w14:paraId="570C90F4" w14:textId="6E8E4877" w:rsidR="005B3B6F" w:rsidRPr="00F85358" w:rsidRDefault="005B3B6F">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Commercial buildings &gt;50,000 </w:t>
            </w:r>
            <w:r w:rsidR="001A70A3" w:rsidRPr="00F85358">
              <w:rPr>
                <w:rFonts w:asciiTheme="minorHAnsi" w:hAnsiTheme="minorHAnsi" w:cstheme="minorHAnsi"/>
                <w:sz w:val="16"/>
                <w:szCs w:val="16"/>
              </w:rPr>
              <w:t xml:space="preserve">square </w:t>
            </w:r>
            <w:proofErr w:type="gramStart"/>
            <w:r w:rsidR="001A70A3" w:rsidRPr="00F85358">
              <w:rPr>
                <w:rFonts w:asciiTheme="minorHAnsi" w:hAnsiTheme="minorHAnsi" w:cstheme="minorHAnsi"/>
                <w:sz w:val="16"/>
                <w:szCs w:val="16"/>
              </w:rPr>
              <w:t>feet</w:t>
            </w:r>
            <w:r w:rsidRPr="00F85358">
              <w:rPr>
                <w:rFonts w:asciiTheme="minorHAnsi" w:hAnsiTheme="minorHAnsi" w:cstheme="minorHAnsi"/>
                <w:sz w:val="16"/>
                <w:szCs w:val="16"/>
              </w:rPr>
              <w:t>(</w:t>
            </w:r>
            <w:proofErr w:type="gramEnd"/>
            <w:r w:rsidRPr="00F85358">
              <w:rPr>
                <w:rFonts w:asciiTheme="minorHAnsi" w:hAnsiTheme="minorHAnsi" w:cstheme="minorHAnsi"/>
                <w:sz w:val="16"/>
                <w:szCs w:val="16"/>
              </w:rPr>
              <w:t>4,600</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 xml:space="preserve">) and all District-owned buildings &gt;10,000 </w:t>
            </w:r>
            <w:r w:rsidR="001A70A3" w:rsidRPr="00F85358">
              <w:rPr>
                <w:rFonts w:asciiTheme="minorHAnsi" w:hAnsiTheme="minorHAnsi" w:cstheme="minorHAnsi"/>
                <w:sz w:val="16"/>
                <w:szCs w:val="16"/>
              </w:rPr>
              <w:t xml:space="preserve"> square feet</w:t>
            </w:r>
            <w:r w:rsidRPr="00F85358">
              <w:rPr>
                <w:rFonts w:asciiTheme="minorHAnsi" w:hAnsiTheme="minorHAnsi" w:cstheme="minorHAnsi"/>
                <w:sz w:val="16"/>
                <w:szCs w:val="16"/>
              </w:rPr>
              <w:t xml:space="preserve">(1,000 </w:t>
            </w:r>
            <w:r w:rsidR="001A70A3" w:rsidRPr="00F85358">
              <w:rPr>
                <w:rFonts w:asciiTheme="minorHAnsi" w:hAnsiTheme="minorHAnsi" w:cstheme="minorHAnsi"/>
                <w:sz w:val="16"/>
                <w:szCs w:val="16"/>
              </w:rPr>
              <w:t xml:space="preserve"> square </w:t>
            </w:r>
            <w:r w:rsidR="00CD25C7" w:rsidRPr="00F85358">
              <w:rPr>
                <w:rFonts w:asciiTheme="minorHAnsi" w:hAnsiTheme="minorHAnsi" w:cstheme="minorHAnsi"/>
                <w:sz w:val="16"/>
                <w:szCs w:val="16"/>
              </w:rPr>
              <w:t>metres</w:t>
            </w:r>
            <w:r w:rsidRPr="00F85358">
              <w:rPr>
                <w:rFonts w:asciiTheme="minorHAnsi" w:hAnsiTheme="minorHAnsi" w:cstheme="minorHAnsi"/>
                <w:sz w:val="16"/>
                <w:szCs w:val="16"/>
              </w:rPr>
              <w:t>).</w:t>
            </w:r>
          </w:p>
          <w:p w14:paraId="1821B53D" w14:textId="77777777" w:rsidR="005B3B6F" w:rsidRPr="00F85358" w:rsidRDefault="005B3B6F">
            <w:pPr>
              <w:pStyle w:val="BodyText"/>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p w14:paraId="60329B68" w14:textId="14B9A64B" w:rsidR="005B3B6F" w:rsidRPr="00F85358" w:rsidRDefault="002E6DF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(mandatory)</w:t>
            </w:r>
          </w:p>
        </w:tc>
        <w:tc>
          <w:tcPr>
            <w:tcW w:w="5965" w:type="dxa"/>
          </w:tcPr>
          <w:p w14:paraId="1080D21B"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Aims to reduce energy use and increase renewables.</w:t>
            </w:r>
          </w:p>
          <w:p w14:paraId="390909CF"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Building owners to complete energy assessments of all District homes and buildings. If not performing to standard, owners have one year to select a pathway (reduce energy use intensity, conduct energy </w:t>
            </w:r>
            <w:proofErr w:type="gramStart"/>
            <w:r w:rsidRPr="00F85358">
              <w:rPr>
                <w:rFonts w:asciiTheme="minorHAnsi" w:hAnsiTheme="minorHAnsi" w:cstheme="minorHAnsi"/>
                <w:sz w:val="16"/>
                <w:szCs w:val="16"/>
              </w:rPr>
              <w:t>audit</w:t>
            </w:r>
            <w:proofErr w:type="gramEnd"/>
            <w:r w:rsidRPr="00F85358">
              <w:rPr>
                <w:rFonts w:asciiTheme="minorHAnsi" w:hAnsiTheme="minorHAnsi" w:cstheme="minorHAnsi"/>
                <w:sz w:val="16"/>
                <w:szCs w:val="16"/>
              </w:rPr>
              <w:t xml:space="preserve"> and implement energy efficient upgrades, etc). </w:t>
            </w:r>
          </w:p>
          <w:p w14:paraId="2ACA264A" w14:textId="637EE41B"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Different star ratings required for different building types: Office Building 71; Hotels 54; Multifamily 66; K-12 Schools 36; Hospitals 50.</w:t>
            </w:r>
          </w:p>
          <w:p w14:paraId="282BA16D"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(DC PACE) program generated nearly $57M in savings to property owners through lower utility bills.</w:t>
            </w:r>
          </w:p>
          <w:p w14:paraId="2CDCA372" w14:textId="77777777"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An incentive and financial assistance program is to be created under the Green Finance Authority to help building owners.</w:t>
            </w:r>
          </w:p>
          <w:p w14:paraId="277725E1" w14:textId="2916D2BF" w:rsidR="005B3B6F" w:rsidRPr="00F85358"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Compliance penalties may be imposed. Max fine of $10 per square foot, not to exceed $7,500,000 per building (USD). Fines proportional to the building’s demonstrated performance</w:t>
            </w:r>
            <w:r w:rsidR="000621C5" w:rsidRPr="00F85358">
              <w:rPr>
                <w:rFonts w:asciiTheme="minorHAnsi" w:hAnsiTheme="minorHAnsi" w:cstheme="minorHAnsi"/>
                <w:sz w:val="16"/>
                <w:szCs w:val="16"/>
              </w:rPr>
              <w:t>.</w:t>
            </w:r>
          </w:p>
        </w:tc>
      </w:tr>
      <w:tr w:rsidR="00A41FB9" w:rsidRPr="00B51812" w14:paraId="037F2465"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48EE2FFD" w14:textId="4E38225F" w:rsidR="00A41FB9" w:rsidRPr="00F85358" w:rsidRDefault="00FD477B">
            <w:pPr>
              <w:pStyle w:val="BodyText"/>
              <w:rPr>
                <w:rFonts w:asciiTheme="minorHAnsi" w:hAnsiTheme="minorHAnsi" w:cstheme="minorHAnsi"/>
                <w:sz w:val="16"/>
                <w:szCs w:val="16"/>
              </w:rPr>
            </w:pPr>
            <w:r w:rsidRPr="00F85A22">
              <w:rPr>
                <w:rFonts w:asciiTheme="minorHAnsi" w:hAnsiTheme="minorHAnsi" w:cstheme="minorHAnsi"/>
                <w:sz w:val="16"/>
                <w:szCs w:val="16"/>
              </w:rPr>
              <w:t>Washington DC</w:t>
            </w:r>
          </w:p>
        </w:tc>
        <w:tc>
          <w:tcPr>
            <w:tcW w:w="1428" w:type="dxa"/>
          </w:tcPr>
          <w:p w14:paraId="74B3C79C" w14:textId="70511B45" w:rsidR="00A41FB9" w:rsidRPr="00F85358" w:rsidRDefault="00A41FB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Green Building Act</w:t>
            </w:r>
          </w:p>
        </w:tc>
        <w:tc>
          <w:tcPr>
            <w:tcW w:w="1690" w:type="dxa"/>
          </w:tcPr>
          <w:p w14:paraId="2FFDAF8C" w14:textId="04522528" w:rsidR="00A41FB9" w:rsidRPr="00F85358" w:rsidRDefault="002D5CCD" w:rsidP="002D5CC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All new government buildings and private commercial buildings of at least 50,000 square feet must meet LEED certified standard</w:t>
            </w:r>
            <w:r w:rsidR="002D0089">
              <w:rPr>
                <w:rFonts w:ascii="ZWAdobeF" w:hAnsi="ZWAdobeF" w:cs="ZWAdobeF"/>
                <w:color w:val="auto"/>
                <w:sz w:val="2"/>
                <w:szCs w:val="2"/>
              </w:rPr>
              <w:t>171F</w:t>
            </w:r>
            <w:r w:rsidR="00EE36E3">
              <w:rPr>
                <w:rFonts w:ascii="ZWAdobeF" w:hAnsi="ZWAdobeF" w:cs="ZWAdobeF"/>
                <w:color w:val="auto"/>
                <w:sz w:val="2"/>
                <w:szCs w:val="2"/>
              </w:rPr>
              <w:t>174F</w:t>
            </w:r>
            <w:r w:rsidR="00122C48">
              <w:rPr>
                <w:rFonts w:ascii="ZWAdobeF" w:hAnsi="ZWAdobeF" w:cs="ZWAdobeF"/>
                <w:color w:val="auto"/>
                <w:sz w:val="2"/>
                <w:szCs w:val="2"/>
              </w:rPr>
              <w:t>174F</w:t>
            </w:r>
            <w:r w:rsidR="00F73A23">
              <w:rPr>
                <w:rFonts w:ascii="ZWAdobeF" w:hAnsi="ZWAdobeF" w:cs="ZWAdobeF"/>
                <w:color w:val="auto"/>
                <w:sz w:val="2"/>
                <w:szCs w:val="2"/>
              </w:rPr>
              <w:t>174F</w:t>
            </w:r>
            <w:r w:rsidR="00626378">
              <w:rPr>
                <w:rFonts w:ascii="ZWAdobeF" w:hAnsi="ZWAdobeF" w:cs="ZWAdobeF"/>
                <w:color w:val="auto"/>
                <w:sz w:val="2"/>
                <w:szCs w:val="2"/>
              </w:rPr>
              <w:t>174F</w:t>
            </w:r>
            <w:r w:rsidR="00413811">
              <w:rPr>
                <w:rFonts w:ascii="ZWAdobeF" w:hAnsi="ZWAdobeF" w:cs="ZWAdobeF"/>
                <w:color w:val="auto"/>
                <w:sz w:val="2"/>
                <w:szCs w:val="2"/>
              </w:rPr>
              <w:t>174F</w:t>
            </w:r>
            <w:r w:rsidR="002C327C">
              <w:rPr>
                <w:rFonts w:ascii="ZWAdobeF" w:hAnsi="ZWAdobeF" w:cs="ZWAdobeF"/>
                <w:color w:val="auto"/>
                <w:sz w:val="2"/>
                <w:szCs w:val="2"/>
              </w:rPr>
              <w:t>174F</w:t>
            </w:r>
            <w:r w:rsidR="00D24A06">
              <w:rPr>
                <w:rFonts w:ascii="ZWAdobeF" w:hAnsi="ZWAdobeF" w:cs="ZWAdobeF"/>
                <w:color w:val="auto"/>
                <w:sz w:val="2"/>
                <w:szCs w:val="2"/>
              </w:rPr>
              <w:t>174F</w:t>
            </w:r>
            <w:r w:rsidR="007D359A" w:rsidRPr="00E63900">
              <w:rPr>
                <w:rStyle w:val="FootnoteReference"/>
                <w:rFonts w:asciiTheme="minorHAnsi" w:hAnsiTheme="minorHAnsi" w:cstheme="minorHAnsi"/>
                <w:sz w:val="16"/>
                <w:szCs w:val="16"/>
              </w:rPr>
              <w:footnoteReference w:id="176"/>
            </w:r>
          </w:p>
        </w:tc>
        <w:tc>
          <w:tcPr>
            <w:tcW w:w="5965" w:type="dxa"/>
          </w:tcPr>
          <w:p w14:paraId="32445BB6" w14:textId="5D808CDA" w:rsidR="00A41FB9" w:rsidRPr="00F85358" w:rsidRDefault="00C46347"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85358">
              <w:rPr>
                <w:rFonts w:asciiTheme="minorHAnsi" w:hAnsiTheme="minorHAnsi" w:cstheme="minorHAnsi"/>
                <w:sz w:val="16"/>
                <w:szCs w:val="16"/>
              </w:rPr>
              <w:t xml:space="preserve">The </w:t>
            </w:r>
            <w:r w:rsidR="00D54793" w:rsidRPr="00F85358">
              <w:rPr>
                <w:rFonts w:asciiTheme="minorHAnsi" w:hAnsiTheme="minorHAnsi" w:cstheme="minorHAnsi"/>
                <w:sz w:val="16"/>
                <w:szCs w:val="16"/>
              </w:rPr>
              <w:t>district</w:t>
            </w:r>
            <w:r w:rsidRPr="00F85358">
              <w:rPr>
                <w:rFonts w:asciiTheme="minorHAnsi" w:hAnsiTheme="minorHAnsi" w:cstheme="minorHAnsi"/>
                <w:sz w:val="16"/>
                <w:szCs w:val="16"/>
              </w:rPr>
              <w:t xml:space="preserve"> will amend the scope of the Green Building Act to raise the level of LEED certification to Gold for public projects and Silver for all large private buildings or ensure equivalent standards of environmental performance are achieved through the building code.</w:t>
            </w:r>
          </w:p>
        </w:tc>
      </w:tr>
      <w:tr w:rsidR="003429BF" w:rsidRPr="00B51812" w14:paraId="1CBEF83E"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50D17F7A" w14:textId="5A8B7C6A" w:rsidR="003429BF" w:rsidRPr="00E63900" w:rsidRDefault="00FD477B">
            <w:pPr>
              <w:pStyle w:val="BodyText"/>
              <w:rPr>
                <w:rFonts w:asciiTheme="minorHAnsi" w:hAnsiTheme="minorHAnsi" w:cstheme="minorHAnsi"/>
                <w:sz w:val="16"/>
                <w:szCs w:val="16"/>
              </w:rPr>
            </w:pPr>
            <w:r w:rsidRPr="00F85A22">
              <w:rPr>
                <w:rFonts w:asciiTheme="minorHAnsi" w:hAnsiTheme="minorHAnsi" w:cstheme="minorHAnsi"/>
                <w:sz w:val="16"/>
                <w:szCs w:val="16"/>
              </w:rPr>
              <w:t>Washington DC</w:t>
            </w:r>
          </w:p>
        </w:tc>
        <w:tc>
          <w:tcPr>
            <w:tcW w:w="1428" w:type="dxa"/>
          </w:tcPr>
          <w:p w14:paraId="10144F0E" w14:textId="2C8FE351" w:rsidR="003429BF" w:rsidRPr="00E63900" w:rsidRDefault="007A2AF7">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Sustainable DC</w:t>
            </w:r>
          </w:p>
        </w:tc>
        <w:tc>
          <w:tcPr>
            <w:tcW w:w="1690" w:type="dxa"/>
          </w:tcPr>
          <w:p w14:paraId="7629767E" w14:textId="50EA54D5" w:rsidR="003429BF" w:rsidRPr="00E63900" w:rsidRDefault="007A2AF7" w:rsidP="00BB415D">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Action 3.5: </w:t>
            </w:r>
            <w:r w:rsidR="00BB415D" w:rsidRPr="00E63900">
              <w:rPr>
                <w:rFonts w:asciiTheme="minorHAnsi" w:hAnsiTheme="minorHAnsi" w:cstheme="minorHAnsi"/>
                <w:sz w:val="16"/>
                <w:szCs w:val="16"/>
              </w:rPr>
              <w:t>Retrofit and modernize all public buildings to at least the LEED Gold standard or equivalent green building certification</w:t>
            </w:r>
          </w:p>
        </w:tc>
        <w:tc>
          <w:tcPr>
            <w:tcW w:w="5965" w:type="dxa"/>
          </w:tcPr>
          <w:p w14:paraId="32DD822F" w14:textId="77777777" w:rsidR="003429BF" w:rsidRPr="00E63900" w:rsidRDefault="002F143D"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From document: Over the next five years, the </w:t>
            </w:r>
            <w:proofErr w:type="gramStart"/>
            <w:r w:rsidRPr="00E63900">
              <w:rPr>
                <w:rFonts w:asciiTheme="minorHAnsi" w:hAnsiTheme="minorHAnsi" w:cstheme="minorHAnsi"/>
                <w:sz w:val="16"/>
                <w:szCs w:val="16"/>
              </w:rPr>
              <w:t>District</w:t>
            </w:r>
            <w:proofErr w:type="gramEnd"/>
            <w:r w:rsidRPr="00E63900">
              <w:rPr>
                <w:rFonts w:asciiTheme="minorHAnsi" w:hAnsiTheme="minorHAnsi" w:cstheme="minorHAnsi"/>
                <w:sz w:val="16"/>
                <w:szCs w:val="16"/>
              </w:rPr>
              <w:t xml:space="preserve"> will begin retrofitting all public buildings, including schools, libraries, and other municipal facilities, so that these buildings meet at least a </w:t>
            </w:r>
            <w:r w:rsidR="00AF23A4" w:rsidRPr="00E63900">
              <w:rPr>
                <w:rFonts w:asciiTheme="minorHAnsi" w:hAnsiTheme="minorHAnsi" w:cstheme="minorHAnsi"/>
                <w:sz w:val="16"/>
                <w:szCs w:val="16"/>
              </w:rPr>
              <w:t>LEED Gold standard for existing buildings.</w:t>
            </w:r>
          </w:p>
          <w:p w14:paraId="2FB3B8A2" w14:textId="0E0087B9" w:rsidR="00CC4491" w:rsidRPr="00E63900" w:rsidRDefault="00CC4491"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Retrofitting and modernizing District public schools, libraries, and other public buildings to LEED Gold or higher standards will create more than 3,400 one-year full-time jobs</w:t>
            </w:r>
          </w:p>
        </w:tc>
      </w:tr>
      <w:tr w:rsidR="005B3B6F" w:rsidRPr="00B51812" w14:paraId="03EF48D7"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71BE8174" w14:textId="77777777" w:rsidR="005B3B6F" w:rsidRPr="00E63900" w:rsidRDefault="005B3B6F">
            <w:pPr>
              <w:pStyle w:val="BodyText"/>
              <w:rPr>
                <w:rFonts w:asciiTheme="minorHAnsi" w:hAnsiTheme="minorHAnsi" w:cstheme="minorHAnsi"/>
                <w:sz w:val="16"/>
                <w:szCs w:val="16"/>
              </w:rPr>
            </w:pPr>
            <w:r w:rsidRPr="00E63900">
              <w:rPr>
                <w:rFonts w:asciiTheme="minorHAnsi" w:hAnsiTheme="minorHAnsi" w:cstheme="minorHAnsi"/>
                <w:sz w:val="16"/>
                <w:szCs w:val="16"/>
              </w:rPr>
              <w:t>California</w:t>
            </w:r>
          </w:p>
        </w:tc>
        <w:tc>
          <w:tcPr>
            <w:tcW w:w="1428" w:type="dxa"/>
          </w:tcPr>
          <w:p w14:paraId="347931DB" w14:textId="77777777"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2019 California Energy Efficiency Action Plan</w:t>
            </w:r>
          </w:p>
        </w:tc>
        <w:tc>
          <w:tcPr>
            <w:tcW w:w="1690" w:type="dxa"/>
          </w:tcPr>
          <w:p w14:paraId="0E2FBD86" w14:textId="0348D4CE"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Property built, sold, rented, &gt;50,000</w:t>
            </w:r>
            <w:r w:rsidR="001A70A3" w:rsidRPr="00E63900">
              <w:rPr>
                <w:rFonts w:asciiTheme="minorHAnsi" w:hAnsiTheme="minorHAnsi" w:cstheme="minorHAnsi"/>
                <w:sz w:val="16"/>
                <w:szCs w:val="16"/>
              </w:rPr>
              <w:t xml:space="preserve"> square feet</w:t>
            </w:r>
            <w:r w:rsidR="00D54793" w:rsidRPr="00E63900">
              <w:rPr>
                <w:rFonts w:asciiTheme="minorHAnsi" w:hAnsiTheme="minorHAnsi" w:cstheme="minorHAnsi"/>
                <w:sz w:val="16"/>
                <w:szCs w:val="16"/>
              </w:rPr>
              <w:t xml:space="preserve"> </w:t>
            </w:r>
            <w:r w:rsidRPr="00E63900">
              <w:rPr>
                <w:rFonts w:asciiTheme="minorHAnsi" w:hAnsiTheme="minorHAnsi" w:cstheme="minorHAnsi"/>
                <w:sz w:val="16"/>
                <w:szCs w:val="16"/>
              </w:rPr>
              <w:t>(4,600</w:t>
            </w:r>
            <w:r w:rsidR="001A70A3" w:rsidRPr="00E63900">
              <w:rPr>
                <w:rFonts w:asciiTheme="minorHAnsi" w:hAnsiTheme="minorHAnsi" w:cstheme="minorHAnsi"/>
                <w:sz w:val="16"/>
                <w:szCs w:val="16"/>
              </w:rPr>
              <w:t xml:space="preserve"> square </w:t>
            </w:r>
            <w:r w:rsidR="00CD25C7" w:rsidRPr="00E63900">
              <w:rPr>
                <w:rFonts w:asciiTheme="minorHAnsi" w:hAnsiTheme="minorHAnsi" w:cstheme="minorHAnsi"/>
                <w:sz w:val="16"/>
                <w:szCs w:val="16"/>
              </w:rPr>
              <w:t>metres</w:t>
            </w:r>
            <w:r w:rsidRPr="00E63900">
              <w:rPr>
                <w:rFonts w:asciiTheme="minorHAnsi" w:hAnsiTheme="minorHAnsi" w:cstheme="minorHAnsi"/>
                <w:sz w:val="16"/>
                <w:szCs w:val="16"/>
              </w:rPr>
              <w:t>)</w:t>
            </w:r>
          </w:p>
          <w:p w14:paraId="287A7BFF" w14:textId="6C7D8A04" w:rsidR="005B3B6F" w:rsidRPr="00E63900" w:rsidRDefault="00FA2BDC">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LEED </w:t>
            </w:r>
            <w:r w:rsidR="002C0658" w:rsidRPr="00E63900">
              <w:rPr>
                <w:rFonts w:asciiTheme="minorHAnsi" w:hAnsiTheme="minorHAnsi" w:cstheme="minorHAnsi"/>
                <w:sz w:val="16"/>
                <w:szCs w:val="16"/>
              </w:rPr>
              <w:t xml:space="preserve">certification </w:t>
            </w:r>
            <w:r w:rsidRPr="00E63900">
              <w:rPr>
                <w:rFonts w:asciiTheme="minorHAnsi" w:hAnsiTheme="minorHAnsi" w:cstheme="minorHAnsi"/>
                <w:sz w:val="16"/>
                <w:szCs w:val="16"/>
              </w:rPr>
              <w:t xml:space="preserve">requirements: </w:t>
            </w:r>
            <w:r w:rsidR="002C0658" w:rsidRPr="00E63900">
              <w:rPr>
                <w:rFonts w:asciiTheme="minorHAnsi" w:hAnsiTheme="minorHAnsi" w:cstheme="minorHAnsi"/>
                <w:sz w:val="16"/>
                <w:szCs w:val="16"/>
              </w:rPr>
              <w:t xml:space="preserve">new buildings over 10,000 ft2 (1,000m2) or </w:t>
            </w:r>
            <w:r w:rsidR="00EA2DF6" w:rsidRPr="00E63900">
              <w:rPr>
                <w:rFonts w:asciiTheme="minorHAnsi" w:hAnsiTheme="minorHAnsi" w:cstheme="minorHAnsi"/>
                <w:sz w:val="16"/>
                <w:szCs w:val="16"/>
              </w:rPr>
              <w:t xml:space="preserve">any building </w:t>
            </w:r>
            <w:r w:rsidR="002C0658" w:rsidRPr="00E63900">
              <w:rPr>
                <w:rFonts w:asciiTheme="minorHAnsi" w:hAnsiTheme="minorHAnsi" w:cstheme="minorHAnsi"/>
                <w:sz w:val="16"/>
                <w:szCs w:val="16"/>
              </w:rPr>
              <w:t>&gt;50,000 ft2</w:t>
            </w:r>
          </w:p>
        </w:tc>
        <w:tc>
          <w:tcPr>
            <w:tcW w:w="5965" w:type="dxa"/>
          </w:tcPr>
          <w:p w14:paraId="7DF3AC84" w14:textId="77777777"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Aims to im</w:t>
            </w:r>
            <w:r w:rsidRPr="00E63900">
              <w:rPr>
                <w:rFonts w:asciiTheme="minorHAnsi" w:hAnsiTheme="minorHAnsi" w:cstheme="minorHAnsi"/>
                <w:sz w:val="15"/>
                <w:szCs w:val="15"/>
              </w:rPr>
              <w:t xml:space="preserve">prove energy efficiency, create electric pathways, increase solar, grid </w:t>
            </w:r>
            <w:proofErr w:type="gramStart"/>
            <w:r w:rsidRPr="00E63900">
              <w:rPr>
                <w:rFonts w:asciiTheme="minorHAnsi" w:hAnsiTheme="minorHAnsi" w:cstheme="minorHAnsi"/>
                <w:sz w:val="15"/>
                <w:szCs w:val="15"/>
              </w:rPr>
              <w:t>harmonisation</w:t>
            </w:r>
            <w:proofErr w:type="gramEnd"/>
          </w:p>
          <w:p w14:paraId="36707A78" w14:textId="5E6812F9" w:rsidR="00C43ECA" w:rsidRPr="00E63900" w:rsidRDefault="00C43ECA"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California has required LEED certification for its buildings since 2004</w:t>
            </w:r>
            <w:r w:rsidR="00717703" w:rsidRPr="00E63900">
              <w:rPr>
                <w:rFonts w:asciiTheme="minorHAnsi" w:hAnsiTheme="minorHAnsi" w:cstheme="minorHAnsi"/>
                <w:sz w:val="16"/>
                <w:szCs w:val="16"/>
              </w:rPr>
              <w:t>.</w:t>
            </w:r>
            <w:r w:rsidR="002D0089">
              <w:rPr>
                <w:rFonts w:ascii="ZWAdobeF" w:hAnsi="ZWAdobeF" w:cs="ZWAdobeF"/>
                <w:color w:val="auto"/>
                <w:sz w:val="2"/>
                <w:szCs w:val="2"/>
              </w:rPr>
              <w:t>172F</w:t>
            </w:r>
            <w:r w:rsidR="00EE36E3">
              <w:rPr>
                <w:rFonts w:ascii="ZWAdobeF" w:hAnsi="ZWAdobeF" w:cs="ZWAdobeF"/>
                <w:color w:val="auto"/>
                <w:sz w:val="2"/>
                <w:szCs w:val="2"/>
              </w:rPr>
              <w:t>175F</w:t>
            </w:r>
            <w:r w:rsidR="00122C48">
              <w:rPr>
                <w:rFonts w:ascii="ZWAdobeF" w:hAnsi="ZWAdobeF" w:cs="ZWAdobeF"/>
                <w:color w:val="auto"/>
                <w:sz w:val="2"/>
                <w:szCs w:val="2"/>
              </w:rPr>
              <w:t>175F</w:t>
            </w:r>
            <w:r w:rsidR="00F73A23">
              <w:rPr>
                <w:rFonts w:ascii="ZWAdobeF" w:hAnsi="ZWAdobeF" w:cs="ZWAdobeF"/>
                <w:color w:val="auto"/>
                <w:sz w:val="2"/>
                <w:szCs w:val="2"/>
              </w:rPr>
              <w:t>175F</w:t>
            </w:r>
            <w:r w:rsidR="00626378">
              <w:rPr>
                <w:rFonts w:ascii="ZWAdobeF" w:hAnsi="ZWAdobeF" w:cs="ZWAdobeF"/>
                <w:color w:val="auto"/>
                <w:sz w:val="2"/>
                <w:szCs w:val="2"/>
              </w:rPr>
              <w:t>175F</w:t>
            </w:r>
            <w:r w:rsidR="00413811">
              <w:rPr>
                <w:rFonts w:ascii="ZWAdobeF" w:hAnsi="ZWAdobeF" w:cs="ZWAdobeF"/>
                <w:color w:val="auto"/>
                <w:sz w:val="2"/>
                <w:szCs w:val="2"/>
              </w:rPr>
              <w:t>175F</w:t>
            </w:r>
            <w:r w:rsidR="002C327C">
              <w:rPr>
                <w:rFonts w:ascii="ZWAdobeF" w:hAnsi="ZWAdobeF" w:cs="ZWAdobeF"/>
                <w:color w:val="auto"/>
                <w:sz w:val="2"/>
                <w:szCs w:val="2"/>
              </w:rPr>
              <w:t>175F</w:t>
            </w:r>
            <w:r w:rsidR="00D24A06">
              <w:rPr>
                <w:rFonts w:ascii="ZWAdobeF" w:hAnsi="ZWAdobeF" w:cs="ZWAdobeF"/>
                <w:color w:val="auto"/>
                <w:sz w:val="2"/>
                <w:szCs w:val="2"/>
              </w:rPr>
              <w:t>175F</w:t>
            </w:r>
            <w:r w:rsidRPr="00E63900">
              <w:rPr>
                <w:rStyle w:val="FootnoteReference"/>
                <w:rFonts w:asciiTheme="minorHAnsi" w:hAnsiTheme="minorHAnsi" w:cstheme="minorHAnsi"/>
                <w:sz w:val="16"/>
                <w:szCs w:val="16"/>
              </w:rPr>
              <w:footnoteReference w:id="177"/>
            </w:r>
            <w:r w:rsidRPr="00E63900">
              <w:rPr>
                <w:rFonts w:asciiTheme="minorHAnsi" w:hAnsiTheme="minorHAnsi" w:cstheme="minorHAnsi"/>
                <w:sz w:val="16"/>
                <w:szCs w:val="16"/>
              </w:rPr>
              <w:t xml:space="preserve"> </w:t>
            </w:r>
            <w:r w:rsidR="002C0658" w:rsidRPr="00E63900">
              <w:rPr>
                <w:rFonts w:asciiTheme="minorHAnsi" w:hAnsiTheme="minorHAnsi" w:cstheme="minorHAnsi"/>
                <w:sz w:val="16"/>
                <w:szCs w:val="16"/>
              </w:rPr>
              <w:t xml:space="preserve">231 </w:t>
            </w:r>
            <w:r w:rsidR="00983247" w:rsidRPr="00E63900">
              <w:rPr>
                <w:rFonts w:asciiTheme="minorHAnsi" w:hAnsiTheme="minorHAnsi" w:cstheme="minorHAnsi"/>
                <w:sz w:val="16"/>
                <w:szCs w:val="16"/>
              </w:rPr>
              <w:t xml:space="preserve">LEED certified buildings by 2018. </w:t>
            </w:r>
          </w:p>
          <w:p w14:paraId="71024F66" w14:textId="77777777"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It is market focused (the rating influences mortgages and property values, financial incentives for owners to participate, contractor policies that integrate requirements part of broader Bill, on-bill tariffs, Green/LEED Buildings</w:t>
            </w:r>
          </w:p>
          <w:p w14:paraId="00ACE58F" w14:textId="4D54224D"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Attribute and performance: </w:t>
            </w:r>
            <w:r w:rsidR="00FE109F" w:rsidRPr="00E63900">
              <w:rPr>
                <w:rFonts w:asciiTheme="minorHAnsi" w:hAnsiTheme="minorHAnsi" w:cstheme="minorHAnsi"/>
                <w:sz w:val="16"/>
                <w:szCs w:val="16"/>
              </w:rPr>
              <w:t>Require</w:t>
            </w:r>
            <w:r w:rsidRPr="00E63900">
              <w:rPr>
                <w:rFonts w:asciiTheme="minorHAnsi" w:hAnsiTheme="minorHAnsi" w:cstheme="minorHAnsi"/>
                <w:sz w:val="16"/>
                <w:szCs w:val="16"/>
              </w:rPr>
              <w:t xml:space="preserve"> reporting building characteristics, energy use data, and building usage information</w:t>
            </w:r>
          </w:p>
        </w:tc>
      </w:tr>
      <w:tr w:rsidR="005B3B6F" w:rsidRPr="00B51812" w14:paraId="56A823C7"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0DCA01D4" w14:textId="2EAA2610" w:rsidR="005B3B6F" w:rsidRPr="00E63900" w:rsidRDefault="00FD477B">
            <w:pPr>
              <w:pStyle w:val="BodyText"/>
              <w:rPr>
                <w:rFonts w:asciiTheme="minorHAnsi" w:hAnsiTheme="minorHAnsi" w:cstheme="minorHAnsi"/>
                <w:sz w:val="16"/>
                <w:szCs w:val="16"/>
              </w:rPr>
            </w:pPr>
            <w:r w:rsidRPr="00E63900">
              <w:rPr>
                <w:rFonts w:asciiTheme="minorHAnsi" w:hAnsiTheme="minorHAnsi" w:cstheme="minorHAnsi"/>
                <w:sz w:val="16"/>
                <w:szCs w:val="16"/>
              </w:rPr>
              <w:t>California</w:t>
            </w:r>
          </w:p>
        </w:tc>
        <w:tc>
          <w:tcPr>
            <w:tcW w:w="1428" w:type="dxa"/>
          </w:tcPr>
          <w:p w14:paraId="19B4D6F3" w14:textId="77777777"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California Green Building Standards Code (</w:t>
            </w:r>
            <w:proofErr w:type="spellStart"/>
            <w:r w:rsidRPr="00E63900">
              <w:rPr>
                <w:rFonts w:asciiTheme="minorHAnsi" w:hAnsiTheme="minorHAnsi" w:cstheme="minorHAnsi"/>
                <w:sz w:val="16"/>
                <w:szCs w:val="16"/>
              </w:rPr>
              <w:t>CALGreen</w:t>
            </w:r>
            <w:proofErr w:type="spellEnd"/>
            <w:r w:rsidRPr="00E63900">
              <w:rPr>
                <w:rFonts w:asciiTheme="minorHAnsi" w:hAnsiTheme="minorHAnsi" w:cstheme="minorHAnsi"/>
                <w:sz w:val="16"/>
                <w:szCs w:val="16"/>
              </w:rPr>
              <w:t>)</w:t>
            </w:r>
          </w:p>
        </w:tc>
        <w:tc>
          <w:tcPr>
            <w:tcW w:w="1690" w:type="dxa"/>
          </w:tcPr>
          <w:p w14:paraId="49A6F3F0" w14:textId="77777777"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New constructions and major renovations</w:t>
            </w:r>
          </w:p>
        </w:tc>
        <w:tc>
          <w:tcPr>
            <w:tcW w:w="5965" w:type="dxa"/>
          </w:tcPr>
          <w:p w14:paraId="24E90B0C" w14:textId="77777777"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Mandatory minimum requirements for energy efficiency, water conservation, and other sustainability measures</w:t>
            </w:r>
          </w:p>
          <w:p w14:paraId="1B5994A4" w14:textId="77777777"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Compliance with </w:t>
            </w:r>
            <w:proofErr w:type="spellStart"/>
            <w:r w:rsidRPr="00E63900">
              <w:rPr>
                <w:rFonts w:asciiTheme="minorHAnsi" w:hAnsiTheme="minorHAnsi" w:cstheme="minorHAnsi"/>
                <w:sz w:val="16"/>
                <w:szCs w:val="16"/>
              </w:rPr>
              <w:t>CalGreen</w:t>
            </w:r>
            <w:proofErr w:type="spellEnd"/>
            <w:r w:rsidRPr="00E63900">
              <w:rPr>
                <w:rFonts w:asciiTheme="minorHAnsi" w:hAnsiTheme="minorHAnsi" w:cstheme="minorHAnsi"/>
                <w:sz w:val="16"/>
                <w:szCs w:val="16"/>
              </w:rPr>
              <w:t xml:space="preserve"> is enforced by local building departments, although there are no penalties</w:t>
            </w:r>
          </w:p>
        </w:tc>
      </w:tr>
      <w:tr w:rsidR="005B3B6F" w:rsidRPr="00B51812" w14:paraId="5857502D"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0B717F15" w14:textId="77777777" w:rsidR="005B3B6F" w:rsidRPr="00E63900" w:rsidRDefault="005B3B6F">
            <w:pPr>
              <w:pStyle w:val="BodyText"/>
              <w:rPr>
                <w:rFonts w:asciiTheme="minorHAnsi" w:hAnsiTheme="minorHAnsi" w:cstheme="minorHAnsi"/>
                <w:sz w:val="16"/>
                <w:szCs w:val="16"/>
              </w:rPr>
            </w:pPr>
            <w:r w:rsidRPr="00E63900">
              <w:rPr>
                <w:rFonts w:asciiTheme="minorHAnsi" w:hAnsiTheme="minorHAnsi" w:cstheme="minorHAnsi"/>
                <w:sz w:val="16"/>
                <w:szCs w:val="16"/>
              </w:rPr>
              <w:t>New York City</w:t>
            </w:r>
          </w:p>
        </w:tc>
        <w:tc>
          <w:tcPr>
            <w:tcW w:w="1428" w:type="dxa"/>
          </w:tcPr>
          <w:p w14:paraId="1C2510CA" w14:textId="77777777"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Local Laws of the city of New York (No.97)</w:t>
            </w:r>
          </w:p>
        </w:tc>
        <w:tc>
          <w:tcPr>
            <w:tcW w:w="1690" w:type="dxa"/>
          </w:tcPr>
          <w:p w14:paraId="5501C5C9" w14:textId="3FBB88DA"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New and existing buildings:  &gt;25,000 f2 (~2500</w:t>
            </w:r>
            <w:r w:rsidR="001A70A3" w:rsidRPr="00E63900">
              <w:rPr>
                <w:rFonts w:asciiTheme="minorHAnsi" w:hAnsiTheme="minorHAnsi" w:cstheme="minorHAnsi"/>
                <w:sz w:val="16"/>
                <w:szCs w:val="16"/>
              </w:rPr>
              <w:t xml:space="preserve"> square </w:t>
            </w:r>
            <w:r w:rsidR="00CD25C7" w:rsidRPr="00E63900">
              <w:rPr>
                <w:rFonts w:asciiTheme="minorHAnsi" w:hAnsiTheme="minorHAnsi" w:cstheme="minorHAnsi"/>
                <w:sz w:val="16"/>
                <w:szCs w:val="16"/>
              </w:rPr>
              <w:t>metres</w:t>
            </w:r>
            <w:r w:rsidRPr="00E63900">
              <w:rPr>
                <w:rFonts w:asciiTheme="minorHAnsi" w:hAnsiTheme="minorHAnsi" w:cstheme="minorHAnsi"/>
                <w:sz w:val="16"/>
                <w:szCs w:val="16"/>
              </w:rPr>
              <w:t xml:space="preserve">) </w:t>
            </w:r>
          </w:p>
        </w:tc>
        <w:tc>
          <w:tcPr>
            <w:tcW w:w="5965" w:type="dxa"/>
          </w:tcPr>
          <w:p w14:paraId="400D96E5" w14:textId="77777777"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Must meet new energy efficiency and GHG emissions limits by 2024, with stricter limits coming into effect in </w:t>
            </w:r>
            <w:proofErr w:type="gramStart"/>
            <w:r w:rsidRPr="00E63900">
              <w:rPr>
                <w:rFonts w:asciiTheme="minorHAnsi" w:hAnsiTheme="minorHAnsi" w:cstheme="minorHAnsi"/>
                <w:sz w:val="16"/>
                <w:szCs w:val="16"/>
              </w:rPr>
              <w:t>2030</w:t>
            </w:r>
            <w:proofErr w:type="gramEnd"/>
          </w:p>
          <w:p w14:paraId="6462B817" w14:textId="069D30A3"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Aims to help reduce greenhouse gas emissions from buildings by 80</w:t>
            </w:r>
            <w:r w:rsidR="001655E9" w:rsidRPr="00E63900">
              <w:rPr>
                <w:rFonts w:asciiTheme="minorHAnsi" w:hAnsiTheme="minorHAnsi" w:cstheme="minorHAnsi"/>
                <w:sz w:val="16"/>
                <w:szCs w:val="16"/>
              </w:rPr>
              <w:t>per cent</w:t>
            </w:r>
            <w:r w:rsidRPr="00E63900">
              <w:rPr>
                <w:rFonts w:asciiTheme="minorHAnsi" w:hAnsiTheme="minorHAnsi" w:cstheme="minorHAnsi"/>
                <w:sz w:val="16"/>
                <w:szCs w:val="16"/>
              </w:rPr>
              <w:t xml:space="preserve"> by 2050, compared to a benchmark year of </w:t>
            </w:r>
            <w:proofErr w:type="gramStart"/>
            <w:r w:rsidRPr="00E63900">
              <w:rPr>
                <w:rFonts w:asciiTheme="minorHAnsi" w:hAnsiTheme="minorHAnsi" w:cstheme="minorHAnsi"/>
                <w:sz w:val="16"/>
                <w:szCs w:val="16"/>
              </w:rPr>
              <w:t>2005</w:t>
            </w:r>
            <w:proofErr w:type="gramEnd"/>
          </w:p>
          <w:p w14:paraId="3A3D2F96" w14:textId="30DB8D06"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There are penalties for non-compliance</w:t>
            </w:r>
          </w:p>
        </w:tc>
      </w:tr>
      <w:tr w:rsidR="005B3B6F" w:rsidRPr="00B51812" w14:paraId="3F960903" w14:textId="77777777" w:rsidTr="00FD477B">
        <w:tc>
          <w:tcPr>
            <w:cnfStyle w:val="001000000000" w:firstRow="0" w:lastRow="0" w:firstColumn="1" w:lastColumn="0" w:oddVBand="0" w:evenVBand="0" w:oddHBand="0" w:evenHBand="0" w:firstRowFirstColumn="0" w:firstRowLastColumn="0" w:lastRowFirstColumn="0" w:lastRowLastColumn="0"/>
            <w:tcW w:w="988" w:type="dxa"/>
          </w:tcPr>
          <w:p w14:paraId="28ABC184" w14:textId="77777777" w:rsidR="005B3B6F" w:rsidRPr="00E63900" w:rsidRDefault="005B3B6F">
            <w:pPr>
              <w:pStyle w:val="BodyText"/>
              <w:rPr>
                <w:rFonts w:asciiTheme="minorHAnsi" w:hAnsiTheme="minorHAnsi" w:cstheme="minorHAnsi"/>
                <w:sz w:val="16"/>
                <w:szCs w:val="16"/>
              </w:rPr>
            </w:pPr>
            <w:r w:rsidRPr="00E63900">
              <w:rPr>
                <w:rFonts w:asciiTheme="minorHAnsi" w:hAnsiTheme="minorHAnsi" w:cstheme="minorHAnsi"/>
                <w:sz w:val="16"/>
                <w:szCs w:val="16"/>
              </w:rPr>
              <w:t>Washington State</w:t>
            </w:r>
          </w:p>
        </w:tc>
        <w:tc>
          <w:tcPr>
            <w:tcW w:w="1428" w:type="dxa"/>
          </w:tcPr>
          <w:p w14:paraId="602B9F65" w14:textId="77777777"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Washington Clean Buildings Performance Standard</w:t>
            </w:r>
          </w:p>
        </w:tc>
        <w:tc>
          <w:tcPr>
            <w:tcW w:w="1690" w:type="dxa"/>
          </w:tcPr>
          <w:p w14:paraId="048ED99C" w14:textId="563EA528" w:rsidR="005B3B6F" w:rsidRPr="00E63900" w:rsidRDefault="005B3B6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E63900">
              <w:rPr>
                <w:rFonts w:asciiTheme="minorHAnsi" w:hAnsiTheme="minorHAnsi" w:cstheme="minorHAnsi"/>
                <w:sz w:val="16"/>
                <w:szCs w:val="16"/>
              </w:rPr>
              <w:t>GFA</w:t>
            </w:r>
            <w:proofErr w:type="spellEnd"/>
            <w:r w:rsidRPr="00E63900">
              <w:rPr>
                <w:rFonts w:asciiTheme="minorHAnsi" w:hAnsiTheme="minorHAnsi" w:cstheme="minorHAnsi"/>
                <w:sz w:val="16"/>
                <w:szCs w:val="16"/>
              </w:rPr>
              <w:t xml:space="preserve"> of 50,000 </w:t>
            </w:r>
            <w:r w:rsidR="001A70A3" w:rsidRPr="00E63900">
              <w:rPr>
                <w:rFonts w:asciiTheme="minorHAnsi" w:hAnsiTheme="minorHAnsi" w:cstheme="minorHAnsi"/>
                <w:sz w:val="16"/>
                <w:szCs w:val="16"/>
              </w:rPr>
              <w:t xml:space="preserve">square </w:t>
            </w:r>
            <w:proofErr w:type="gramStart"/>
            <w:r w:rsidR="001A70A3" w:rsidRPr="00E63900">
              <w:rPr>
                <w:rFonts w:asciiTheme="minorHAnsi" w:hAnsiTheme="minorHAnsi" w:cstheme="minorHAnsi"/>
                <w:sz w:val="16"/>
                <w:szCs w:val="16"/>
              </w:rPr>
              <w:t>feet</w:t>
            </w:r>
            <w:r w:rsidRPr="00E63900">
              <w:rPr>
                <w:rFonts w:asciiTheme="minorHAnsi" w:hAnsiTheme="minorHAnsi" w:cstheme="minorHAnsi"/>
                <w:sz w:val="16"/>
                <w:szCs w:val="16"/>
              </w:rPr>
              <w:t>(</w:t>
            </w:r>
            <w:proofErr w:type="gramEnd"/>
            <w:r w:rsidRPr="00E63900">
              <w:rPr>
                <w:rFonts w:asciiTheme="minorHAnsi" w:hAnsiTheme="minorHAnsi" w:cstheme="minorHAnsi"/>
                <w:sz w:val="16"/>
                <w:szCs w:val="16"/>
              </w:rPr>
              <w:t xml:space="preserve">4600.2 </w:t>
            </w:r>
            <w:r w:rsidR="001A70A3" w:rsidRPr="00E63900">
              <w:rPr>
                <w:rFonts w:asciiTheme="minorHAnsi" w:hAnsiTheme="minorHAnsi" w:cstheme="minorHAnsi"/>
                <w:sz w:val="16"/>
                <w:szCs w:val="16"/>
              </w:rPr>
              <w:t xml:space="preserve"> square </w:t>
            </w:r>
            <w:r w:rsidR="00CD25C7" w:rsidRPr="00E63900">
              <w:rPr>
                <w:rFonts w:asciiTheme="minorHAnsi" w:hAnsiTheme="minorHAnsi" w:cstheme="minorHAnsi"/>
                <w:sz w:val="16"/>
                <w:szCs w:val="16"/>
              </w:rPr>
              <w:t>metres</w:t>
            </w:r>
            <w:r w:rsidRPr="00E63900">
              <w:rPr>
                <w:rFonts w:asciiTheme="minorHAnsi" w:hAnsiTheme="minorHAnsi" w:cstheme="minorHAnsi"/>
                <w:sz w:val="16"/>
                <w:szCs w:val="16"/>
              </w:rPr>
              <w:t>) or more</w:t>
            </w:r>
          </w:p>
        </w:tc>
        <w:tc>
          <w:tcPr>
            <w:tcW w:w="5965" w:type="dxa"/>
          </w:tcPr>
          <w:p w14:paraId="773EE912" w14:textId="46C6CC50"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The early adoption incentive program is a one-time incentive payment of $0.85 per gross </w:t>
            </w:r>
            <w:r w:rsidR="001A70A3" w:rsidRPr="00E63900">
              <w:rPr>
                <w:rFonts w:asciiTheme="minorHAnsi" w:hAnsiTheme="minorHAnsi" w:cstheme="minorHAnsi"/>
                <w:sz w:val="16"/>
                <w:szCs w:val="16"/>
              </w:rPr>
              <w:t>square feet</w:t>
            </w:r>
            <w:r w:rsidR="00CC71D9" w:rsidRPr="00E63900">
              <w:rPr>
                <w:rFonts w:asciiTheme="minorHAnsi" w:hAnsiTheme="minorHAnsi" w:cstheme="minorHAnsi"/>
                <w:sz w:val="16"/>
                <w:szCs w:val="16"/>
              </w:rPr>
              <w:t xml:space="preserve"> </w:t>
            </w:r>
            <w:r w:rsidRPr="00E63900">
              <w:rPr>
                <w:rFonts w:asciiTheme="minorHAnsi" w:hAnsiTheme="minorHAnsi" w:cstheme="minorHAnsi"/>
                <w:sz w:val="16"/>
                <w:szCs w:val="16"/>
              </w:rPr>
              <w:t>area. Penalties may be imposed but may not be greater than $5,000 plus $1/</w:t>
            </w:r>
            <w:r w:rsidR="001A70A3" w:rsidRPr="00E63900">
              <w:rPr>
                <w:rFonts w:asciiTheme="minorHAnsi" w:hAnsiTheme="minorHAnsi" w:cstheme="minorHAnsi"/>
                <w:sz w:val="16"/>
                <w:szCs w:val="16"/>
              </w:rPr>
              <w:t xml:space="preserve"> square feet</w:t>
            </w:r>
            <w:r w:rsidR="00717703" w:rsidRPr="00E63900">
              <w:rPr>
                <w:rFonts w:asciiTheme="minorHAnsi" w:hAnsiTheme="minorHAnsi" w:cstheme="minorHAnsi"/>
                <w:sz w:val="16"/>
                <w:szCs w:val="16"/>
              </w:rPr>
              <w:t xml:space="preserve"> </w:t>
            </w:r>
            <w:r w:rsidRPr="00E63900">
              <w:rPr>
                <w:rFonts w:asciiTheme="minorHAnsi" w:hAnsiTheme="minorHAnsi" w:cstheme="minorHAnsi"/>
                <w:sz w:val="16"/>
                <w:szCs w:val="16"/>
              </w:rPr>
              <w:t>gross area/year</w:t>
            </w:r>
            <w:r w:rsidR="00717703" w:rsidRPr="00E63900">
              <w:rPr>
                <w:rFonts w:asciiTheme="minorHAnsi" w:hAnsiTheme="minorHAnsi" w:cstheme="minorHAnsi"/>
                <w:sz w:val="16"/>
                <w:szCs w:val="16"/>
              </w:rPr>
              <w:t>.</w:t>
            </w:r>
            <w:r w:rsidRPr="00E63900">
              <w:rPr>
                <w:rFonts w:asciiTheme="minorHAnsi" w:hAnsiTheme="minorHAnsi" w:cstheme="minorHAnsi"/>
                <w:sz w:val="16"/>
                <w:szCs w:val="16"/>
              </w:rPr>
              <w:t xml:space="preserve"> </w:t>
            </w:r>
          </w:p>
          <w:p w14:paraId="4380489B" w14:textId="32871516"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Energy use intensity (EUI) is reported</w:t>
            </w:r>
            <w:r w:rsidR="002253EF" w:rsidRPr="00E63900">
              <w:rPr>
                <w:rFonts w:asciiTheme="minorHAnsi" w:hAnsiTheme="minorHAnsi" w:cstheme="minorHAnsi"/>
                <w:sz w:val="16"/>
                <w:szCs w:val="16"/>
              </w:rPr>
              <w:t xml:space="preserve"> (weather normalised)</w:t>
            </w:r>
            <w:r w:rsidR="00717703" w:rsidRPr="00E63900">
              <w:rPr>
                <w:rFonts w:asciiTheme="minorHAnsi" w:hAnsiTheme="minorHAnsi" w:cstheme="minorHAnsi"/>
                <w:sz w:val="16"/>
                <w:szCs w:val="16"/>
              </w:rPr>
              <w:t>.</w:t>
            </w:r>
          </w:p>
          <w:p w14:paraId="4470C3A6" w14:textId="5DC39063" w:rsidR="002253EF" w:rsidRPr="00E63900" w:rsidRDefault="00D755F0"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lastRenderedPageBreak/>
              <w:t>Each utility that serves over 25,000 customers must administer incentive payments to eligible building owners</w:t>
            </w:r>
            <w:r w:rsidR="00717703" w:rsidRPr="00E63900">
              <w:rPr>
                <w:rFonts w:asciiTheme="minorHAnsi" w:hAnsiTheme="minorHAnsi" w:cstheme="minorHAnsi"/>
                <w:sz w:val="16"/>
                <w:szCs w:val="16"/>
              </w:rPr>
              <w:t>.</w:t>
            </w:r>
          </w:p>
          <w:p w14:paraId="2B6E3FE5" w14:textId="64E26EDA" w:rsidR="005B3B6F" w:rsidRPr="00E63900" w:rsidRDefault="005B3B6F"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Dept must provide a support program for building owners</w:t>
            </w:r>
            <w:r w:rsidR="00AE0715" w:rsidRPr="00E63900">
              <w:rPr>
                <w:rFonts w:asciiTheme="minorHAnsi" w:hAnsiTheme="minorHAnsi" w:cstheme="minorHAnsi"/>
                <w:sz w:val="16"/>
                <w:szCs w:val="16"/>
              </w:rPr>
              <w:t>,</w:t>
            </w:r>
            <w:r w:rsidRPr="00E63900">
              <w:rPr>
                <w:rFonts w:asciiTheme="minorHAnsi" w:hAnsiTheme="minorHAnsi" w:cstheme="minorHAnsi"/>
                <w:sz w:val="16"/>
                <w:szCs w:val="16"/>
              </w:rPr>
              <w:t xml:space="preserve"> outreach, information material, training, and other technical assistance. There is a cap of $75 million budgeted for the early adopter program (~$10 per person)</w:t>
            </w:r>
            <w:r w:rsidR="00717703" w:rsidRPr="00E63900">
              <w:rPr>
                <w:rFonts w:asciiTheme="minorHAnsi" w:hAnsiTheme="minorHAnsi" w:cstheme="minorHAnsi"/>
                <w:sz w:val="16"/>
                <w:szCs w:val="16"/>
              </w:rPr>
              <w:t>.</w:t>
            </w:r>
          </w:p>
        </w:tc>
      </w:tr>
      <w:tr w:rsidR="006E2239" w:rsidRPr="00B51812" w14:paraId="1AD74499" w14:textId="77777777" w:rsidTr="00FD477B">
        <w:trPr>
          <w:trHeight w:val="688"/>
        </w:trPr>
        <w:tc>
          <w:tcPr>
            <w:cnfStyle w:val="001000000000" w:firstRow="0" w:lastRow="0" w:firstColumn="1" w:lastColumn="0" w:oddVBand="0" w:evenVBand="0" w:oddHBand="0" w:evenHBand="0" w:firstRowFirstColumn="0" w:firstRowLastColumn="0" w:lastRowFirstColumn="0" w:lastRowLastColumn="0"/>
            <w:tcW w:w="988" w:type="dxa"/>
          </w:tcPr>
          <w:p w14:paraId="25B73175" w14:textId="7875E771" w:rsidR="006E2239" w:rsidRPr="00E63900" w:rsidRDefault="006E2239">
            <w:pPr>
              <w:pStyle w:val="BodyText"/>
              <w:rPr>
                <w:rFonts w:asciiTheme="minorHAnsi" w:hAnsiTheme="minorHAnsi" w:cstheme="minorHAnsi"/>
                <w:sz w:val="16"/>
                <w:szCs w:val="16"/>
              </w:rPr>
            </w:pPr>
            <w:r w:rsidRPr="00E63900">
              <w:rPr>
                <w:rFonts w:asciiTheme="minorHAnsi" w:hAnsiTheme="minorHAnsi" w:cstheme="minorHAnsi"/>
                <w:sz w:val="16"/>
                <w:szCs w:val="16"/>
              </w:rPr>
              <w:lastRenderedPageBreak/>
              <w:t>Global</w:t>
            </w:r>
          </w:p>
        </w:tc>
        <w:tc>
          <w:tcPr>
            <w:tcW w:w="1428" w:type="dxa"/>
          </w:tcPr>
          <w:p w14:paraId="7FF11650" w14:textId="385DC841" w:rsidR="006E2239" w:rsidRPr="00E63900" w:rsidRDefault="006E223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NA</w:t>
            </w:r>
          </w:p>
        </w:tc>
        <w:tc>
          <w:tcPr>
            <w:tcW w:w="1690" w:type="dxa"/>
          </w:tcPr>
          <w:p w14:paraId="5EF1FFD5" w14:textId="004F27A6" w:rsidR="006E2239" w:rsidRPr="00E63900" w:rsidRDefault="006E223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High natural gas prices and efforts to reduce greenhouse gas emissions</w:t>
            </w:r>
            <w:r w:rsidR="00E41AD0" w:rsidRPr="00E63900">
              <w:rPr>
                <w:rFonts w:asciiTheme="minorHAnsi" w:hAnsiTheme="minorHAnsi" w:cstheme="minorHAnsi"/>
                <w:sz w:val="16"/>
                <w:szCs w:val="16"/>
              </w:rPr>
              <w:t xml:space="preserve"> have driven this increase</w:t>
            </w:r>
          </w:p>
        </w:tc>
        <w:tc>
          <w:tcPr>
            <w:tcW w:w="5965" w:type="dxa"/>
          </w:tcPr>
          <w:p w14:paraId="595BD4A1" w14:textId="59ACB113" w:rsidR="00E41AD0" w:rsidRPr="00E63900" w:rsidRDefault="006E2239"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There has been a global rise in heat pumps: in 2022 global sales of heat pumps grew 11% (40% in Europe)</w:t>
            </w:r>
            <w:r w:rsidR="00717703" w:rsidRPr="00E63900">
              <w:rPr>
                <w:rFonts w:asciiTheme="minorHAnsi" w:hAnsiTheme="minorHAnsi" w:cstheme="minorHAnsi"/>
                <w:sz w:val="16"/>
                <w:szCs w:val="16"/>
              </w:rPr>
              <w:t>.</w:t>
            </w:r>
            <w:r w:rsidR="002D0089">
              <w:rPr>
                <w:rFonts w:ascii="ZWAdobeF" w:hAnsi="ZWAdobeF" w:cs="ZWAdobeF"/>
                <w:color w:val="auto"/>
                <w:sz w:val="2"/>
                <w:szCs w:val="2"/>
              </w:rPr>
              <w:t>173F</w:t>
            </w:r>
            <w:r w:rsidR="00EE36E3">
              <w:rPr>
                <w:rFonts w:ascii="ZWAdobeF" w:hAnsi="ZWAdobeF" w:cs="ZWAdobeF"/>
                <w:color w:val="auto"/>
                <w:sz w:val="2"/>
                <w:szCs w:val="2"/>
              </w:rPr>
              <w:t>176F</w:t>
            </w:r>
            <w:r w:rsidR="00122C48">
              <w:rPr>
                <w:rFonts w:ascii="ZWAdobeF" w:hAnsi="ZWAdobeF" w:cs="ZWAdobeF"/>
                <w:color w:val="auto"/>
                <w:sz w:val="2"/>
                <w:szCs w:val="2"/>
              </w:rPr>
              <w:t>176F</w:t>
            </w:r>
            <w:r w:rsidR="00F73A23">
              <w:rPr>
                <w:rFonts w:ascii="ZWAdobeF" w:hAnsi="ZWAdobeF" w:cs="ZWAdobeF"/>
                <w:color w:val="auto"/>
                <w:sz w:val="2"/>
                <w:szCs w:val="2"/>
              </w:rPr>
              <w:t>176F</w:t>
            </w:r>
            <w:r w:rsidR="00626378">
              <w:rPr>
                <w:rFonts w:ascii="ZWAdobeF" w:hAnsi="ZWAdobeF" w:cs="ZWAdobeF"/>
                <w:color w:val="auto"/>
                <w:sz w:val="2"/>
                <w:szCs w:val="2"/>
              </w:rPr>
              <w:t>176F</w:t>
            </w:r>
            <w:r w:rsidR="00413811">
              <w:rPr>
                <w:rFonts w:ascii="ZWAdobeF" w:hAnsi="ZWAdobeF" w:cs="ZWAdobeF"/>
                <w:color w:val="auto"/>
                <w:sz w:val="2"/>
                <w:szCs w:val="2"/>
              </w:rPr>
              <w:t>176F</w:t>
            </w:r>
            <w:r w:rsidR="002C327C">
              <w:rPr>
                <w:rFonts w:ascii="ZWAdobeF" w:hAnsi="ZWAdobeF" w:cs="ZWAdobeF"/>
                <w:color w:val="auto"/>
                <w:sz w:val="2"/>
                <w:szCs w:val="2"/>
              </w:rPr>
              <w:t>176F</w:t>
            </w:r>
            <w:r w:rsidR="00D24A06">
              <w:rPr>
                <w:rFonts w:ascii="ZWAdobeF" w:hAnsi="ZWAdobeF" w:cs="ZWAdobeF"/>
                <w:color w:val="auto"/>
                <w:sz w:val="2"/>
                <w:szCs w:val="2"/>
              </w:rPr>
              <w:t>176F</w:t>
            </w:r>
            <w:r w:rsidRPr="00E63900">
              <w:rPr>
                <w:rStyle w:val="FootnoteReference"/>
                <w:rFonts w:asciiTheme="minorHAnsi" w:hAnsiTheme="minorHAnsi" w:cstheme="minorHAnsi"/>
                <w:sz w:val="16"/>
                <w:szCs w:val="16"/>
              </w:rPr>
              <w:footnoteReference w:id="178"/>
            </w:r>
            <w:r w:rsidRPr="00E63900">
              <w:rPr>
                <w:rFonts w:asciiTheme="minorHAnsi" w:hAnsiTheme="minorHAnsi" w:cstheme="minorHAnsi"/>
                <w:sz w:val="16"/>
                <w:szCs w:val="16"/>
              </w:rPr>
              <w:t xml:space="preserve"> </w:t>
            </w:r>
          </w:p>
          <w:p w14:paraId="3F926E12" w14:textId="2DF634FF" w:rsidR="006E2239" w:rsidRPr="00E63900" w:rsidRDefault="006E2239" w:rsidP="00214D42">
            <w:pPr>
              <w:pStyle w:val="BodyText"/>
              <w:numPr>
                <w:ilvl w:val="0"/>
                <w:numId w:val="5"/>
              </w:numPr>
              <w:spacing w:after="0"/>
              <w:ind w:left="179" w:hanging="2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Globally, heat pumps, when used as a main heating device, cover around 10% of heating needs in buildings today.</w:t>
            </w:r>
          </w:p>
          <w:p w14:paraId="04F0897D" w14:textId="77777777" w:rsidR="006E2239" w:rsidRPr="00E63900" w:rsidRDefault="006E2239" w:rsidP="0028677A">
            <w:pPr>
              <w:pStyle w:val="BodyText"/>
              <w:spacing w:after="0"/>
              <w:ind w:left="17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bl>
    <w:p w14:paraId="00317756" w14:textId="77777777" w:rsidR="005B3B6F" w:rsidRPr="00E63900" w:rsidRDefault="005B3B6F" w:rsidP="00A939DD">
      <w:pPr>
        <w:pStyle w:val="BodyText"/>
        <w:rPr>
          <w:rFonts w:asciiTheme="minorHAnsi" w:hAnsiTheme="minorHAnsi" w:cstheme="minorHAnsi"/>
          <w:lang w:val="en-GB"/>
        </w:rPr>
      </w:pPr>
    </w:p>
    <w:p w14:paraId="541DA131" w14:textId="77777777" w:rsidR="0019528D" w:rsidRPr="00E63900" w:rsidRDefault="0019528D">
      <w:pPr>
        <w:spacing w:before="0" w:after="160" w:line="259" w:lineRule="auto"/>
        <w:rPr>
          <w:rFonts w:asciiTheme="minorHAnsi" w:hAnsiTheme="minorHAnsi" w:cstheme="minorHAnsi"/>
          <w:i/>
          <w:color w:val="00338D" w:themeColor="text2"/>
          <w:sz w:val="18"/>
          <w:szCs w:val="18"/>
        </w:rPr>
      </w:pPr>
      <w:bookmarkStart w:id="301" w:name="_Ref136286293"/>
      <w:r w:rsidRPr="00E63900">
        <w:rPr>
          <w:rFonts w:asciiTheme="minorHAnsi" w:hAnsiTheme="minorHAnsi" w:cstheme="minorHAnsi"/>
        </w:rPr>
        <w:br w:type="page"/>
      </w:r>
    </w:p>
    <w:p w14:paraId="62E1016D" w14:textId="1A0A0BE5" w:rsidR="00D923E9" w:rsidRPr="00732C3A" w:rsidRDefault="00D923E9" w:rsidP="00732C3A">
      <w:pPr>
        <w:pStyle w:val="Caption"/>
        <w:keepNext/>
        <w:spacing w:after="120"/>
        <w:rPr>
          <w:rFonts w:ascii="Calibri" w:eastAsia="Times New Roman" w:hAnsi="Calibri" w:cs="Times New Roman"/>
          <w:b/>
          <w:bCs/>
          <w:i w:val="0"/>
          <w:iCs w:val="0"/>
          <w:color w:val="auto"/>
          <w:sz w:val="24"/>
        </w:rPr>
      </w:pPr>
      <w:bookmarkStart w:id="302" w:name="_Toc162535467"/>
      <w:r w:rsidRPr="00732C3A">
        <w:rPr>
          <w:rFonts w:ascii="Calibri" w:eastAsia="Times New Roman" w:hAnsi="Calibri" w:cs="Times New Roman"/>
          <w:b/>
          <w:bCs/>
          <w:i w:val="0"/>
          <w:iCs w:val="0"/>
          <w:color w:val="auto"/>
          <w:sz w:val="24"/>
        </w:rPr>
        <w:lastRenderedPageBreak/>
        <w:t xml:space="preserve">Table </w:t>
      </w:r>
      <w:r w:rsidRPr="00732C3A">
        <w:rPr>
          <w:rFonts w:ascii="Calibri" w:eastAsia="Times New Roman" w:hAnsi="Calibri" w:cs="Times New Roman"/>
          <w:b/>
          <w:bCs/>
          <w:i w:val="0"/>
          <w:iCs w:val="0"/>
          <w:color w:val="auto"/>
          <w:sz w:val="24"/>
        </w:rPr>
        <w:fldChar w:fldCharType="begin"/>
      </w:r>
      <w:r w:rsidRPr="00732C3A">
        <w:rPr>
          <w:rFonts w:ascii="Calibri" w:eastAsia="Times New Roman" w:hAnsi="Calibri" w:cs="Times New Roman"/>
          <w:b/>
          <w:bCs/>
          <w:i w:val="0"/>
          <w:iCs w:val="0"/>
          <w:color w:val="auto"/>
          <w:sz w:val="24"/>
        </w:rPr>
        <w:instrText>SEQ Table \* ARABIC</w:instrText>
      </w:r>
      <w:r w:rsidRPr="00732C3A">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31</w:t>
      </w:r>
      <w:r w:rsidRPr="00732C3A">
        <w:rPr>
          <w:rFonts w:ascii="Calibri" w:eastAsia="Times New Roman" w:hAnsi="Calibri" w:cs="Times New Roman"/>
          <w:b/>
          <w:bCs/>
          <w:i w:val="0"/>
          <w:iCs w:val="0"/>
          <w:color w:val="auto"/>
          <w:sz w:val="24"/>
        </w:rPr>
        <w:fldChar w:fldCharType="end"/>
      </w:r>
      <w:bookmarkEnd w:id="301"/>
      <w:r w:rsidRPr="00732C3A">
        <w:rPr>
          <w:rFonts w:ascii="Calibri" w:eastAsia="Times New Roman" w:hAnsi="Calibri" w:cs="Times New Roman"/>
          <w:b/>
          <w:bCs/>
          <w:i w:val="0"/>
          <w:iCs w:val="0"/>
          <w:color w:val="auto"/>
          <w:sz w:val="24"/>
        </w:rPr>
        <w:t xml:space="preserve">: Disclosure rating system by jurisdiction </w:t>
      </w:r>
      <w:r w:rsidR="00B92EB0" w:rsidRPr="00732C3A">
        <w:rPr>
          <w:rFonts w:ascii="Calibri" w:eastAsia="Times New Roman" w:hAnsi="Calibri" w:cs="Times New Roman"/>
          <w:b/>
          <w:bCs/>
          <w:i w:val="0"/>
          <w:iCs w:val="0"/>
          <w:color w:val="auto"/>
          <w:sz w:val="24"/>
        </w:rPr>
        <w:t xml:space="preserve">including </w:t>
      </w:r>
      <w:r w:rsidRPr="00732C3A">
        <w:rPr>
          <w:rFonts w:ascii="Calibri" w:eastAsia="Times New Roman" w:hAnsi="Calibri" w:cs="Times New Roman"/>
          <w:b/>
          <w:bCs/>
          <w:i w:val="0"/>
          <w:iCs w:val="0"/>
          <w:color w:val="auto"/>
          <w:sz w:val="24"/>
        </w:rPr>
        <w:t xml:space="preserve">rationale behind </w:t>
      </w:r>
      <w:proofErr w:type="gramStart"/>
      <w:r w:rsidRPr="00732C3A">
        <w:rPr>
          <w:rFonts w:ascii="Calibri" w:eastAsia="Times New Roman" w:hAnsi="Calibri" w:cs="Times New Roman"/>
          <w:b/>
          <w:bCs/>
          <w:i w:val="0"/>
          <w:iCs w:val="0"/>
          <w:color w:val="auto"/>
          <w:sz w:val="24"/>
        </w:rPr>
        <w:t>implementation</w:t>
      </w:r>
      <w:bookmarkEnd w:id="302"/>
      <w:proofErr w:type="gramEnd"/>
    </w:p>
    <w:tbl>
      <w:tblPr>
        <w:tblStyle w:val="GridTable4-Accent1"/>
        <w:tblpPr w:leftFromText="180" w:rightFromText="180" w:vertAnchor="text" w:tblpX="-15"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344"/>
        <w:gridCol w:w="1527"/>
        <w:gridCol w:w="5812"/>
      </w:tblGrid>
      <w:tr w:rsidR="00B151EF" w14:paraId="042BE2D3" w14:textId="77777777" w:rsidTr="007B0D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hideMark/>
          </w:tcPr>
          <w:p w14:paraId="6D0093B4" w14:textId="77777777" w:rsidR="00B151EF" w:rsidRPr="00FD477B" w:rsidRDefault="00B151EF" w:rsidP="00F00FAF">
            <w:pPr>
              <w:jc w:val="center"/>
              <w:rPr>
                <w:rFonts w:asciiTheme="minorHAnsi" w:hAnsiTheme="minorHAnsi" w:cstheme="minorHAnsi"/>
                <w:sz w:val="16"/>
                <w:szCs w:val="16"/>
              </w:rPr>
            </w:pPr>
            <w:r w:rsidRPr="00FD477B">
              <w:rPr>
                <w:rFonts w:asciiTheme="minorHAnsi" w:hAnsiTheme="minorHAnsi" w:cstheme="minorHAnsi"/>
                <w:sz w:val="16"/>
                <w:szCs w:val="16"/>
              </w:rPr>
              <w:t>Jurisdiction</w:t>
            </w:r>
          </w:p>
        </w:tc>
        <w:tc>
          <w:tcPr>
            <w:tcW w:w="0" w:type="auto"/>
            <w:tcBorders>
              <w:top w:val="single" w:sz="4" w:space="0" w:color="auto"/>
              <w:bottom w:val="single" w:sz="4" w:space="0" w:color="auto"/>
            </w:tcBorders>
            <w:shd w:val="clear" w:color="auto" w:fill="auto"/>
            <w:hideMark/>
          </w:tcPr>
          <w:p w14:paraId="4A2F49D0" w14:textId="77777777" w:rsidR="00B151EF" w:rsidRPr="00FD477B" w:rsidRDefault="00B151EF" w:rsidP="00F00F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D477B">
              <w:rPr>
                <w:rFonts w:asciiTheme="minorHAnsi" w:hAnsiTheme="minorHAnsi" w:cstheme="minorHAnsi"/>
                <w:sz w:val="16"/>
                <w:szCs w:val="16"/>
              </w:rPr>
              <w:t>Latest policy/ regulation</w:t>
            </w:r>
          </w:p>
        </w:tc>
        <w:tc>
          <w:tcPr>
            <w:tcW w:w="1527" w:type="dxa"/>
            <w:tcBorders>
              <w:top w:val="single" w:sz="4" w:space="0" w:color="auto"/>
              <w:bottom w:val="single" w:sz="4" w:space="0" w:color="auto"/>
            </w:tcBorders>
            <w:shd w:val="clear" w:color="auto" w:fill="auto"/>
            <w:hideMark/>
          </w:tcPr>
          <w:p w14:paraId="132FA049" w14:textId="77777777" w:rsidR="00B151EF" w:rsidRPr="00FD477B" w:rsidRDefault="00B151EF" w:rsidP="00F00F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D477B">
              <w:rPr>
                <w:rFonts w:asciiTheme="minorHAnsi" w:hAnsiTheme="minorHAnsi" w:cstheme="minorHAnsi"/>
                <w:sz w:val="16"/>
                <w:szCs w:val="16"/>
              </w:rPr>
              <w:t>Rating system</w:t>
            </w:r>
          </w:p>
        </w:tc>
        <w:tc>
          <w:tcPr>
            <w:tcW w:w="5812" w:type="dxa"/>
            <w:tcBorders>
              <w:top w:val="single" w:sz="4" w:space="0" w:color="auto"/>
              <w:bottom w:val="single" w:sz="4" w:space="0" w:color="auto"/>
              <w:right w:val="single" w:sz="4" w:space="0" w:color="auto"/>
            </w:tcBorders>
            <w:shd w:val="clear" w:color="auto" w:fill="auto"/>
            <w:hideMark/>
          </w:tcPr>
          <w:p w14:paraId="0D800AD2" w14:textId="77777777" w:rsidR="00B151EF" w:rsidRPr="00FD477B" w:rsidRDefault="00B151EF" w:rsidP="00F00FA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D477B">
              <w:rPr>
                <w:rFonts w:asciiTheme="minorHAnsi" w:hAnsiTheme="minorHAnsi" w:cstheme="minorHAnsi"/>
                <w:sz w:val="16"/>
                <w:szCs w:val="16"/>
              </w:rPr>
              <w:t>Rationale behind policy implementatio</w:t>
            </w:r>
            <w:r w:rsidRPr="00FD477B">
              <w:rPr>
                <w:rFonts w:asciiTheme="minorHAnsi" w:hAnsiTheme="minorHAnsi" w:cstheme="minorHAnsi"/>
                <w:b w:val="0"/>
                <w:sz w:val="16"/>
                <w:szCs w:val="16"/>
              </w:rPr>
              <w:t>n</w:t>
            </w:r>
          </w:p>
        </w:tc>
      </w:tr>
      <w:tr w:rsidR="00B151EF" w14:paraId="40EA72C0" w14:textId="77777777" w:rsidTr="007B0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hideMark/>
          </w:tcPr>
          <w:p w14:paraId="22A96589" w14:textId="77777777" w:rsidR="00B151EF" w:rsidRPr="001B092E" w:rsidRDefault="00B151EF" w:rsidP="00F00FAF">
            <w:pPr>
              <w:rPr>
                <w:rFonts w:asciiTheme="minorHAnsi" w:hAnsiTheme="minorHAnsi" w:cstheme="minorHAnsi"/>
                <w:sz w:val="16"/>
                <w:szCs w:val="16"/>
              </w:rPr>
            </w:pPr>
            <w:r w:rsidRPr="001B092E">
              <w:rPr>
                <w:rFonts w:asciiTheme="minorHAnsi" w:hAnsiTheme="minorHAnsi" w:cstheme="minorHAnsi"/>
                <w:sz w:val="16"/>
                <w:szCs w:val="16"/>
              </w:rPr>
              <w:t>UK (England and Wales)</w:t>
            </w:r>
          </w:p>
        </w:tc>
        <w:tc>
          <w:tcPr>
            <w:tcW w:w="0" w:type="auto"/>
            <w:tcBorders>
              <w:top w:val="single" w:sz="4" w:space="0" w:color="auto"/>
            </w:tcBorders>
            <w:shd w:val="clear" w:color="auto" w:fill="auto"/>
            <w:hideMark/>
          </w:tcPr>
          <w:p w14:paraId="57A90B0A" w14:textId="5111FED7"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Minimum Energy Efficiency Standards (MEES), 2018</w:t>
            </w:r>
            <w:r w:rsidR="002D0089" w:rsidRPr="00FD477B">
              <w:rPr>
                <w:rFonts w:ascii="ZWAdobeF" w:hAnsi="ZWAdobeF" w:cs="ZWAdobeF"/>
                <w:sz w:val="2"/>
                <w:szCs w:val="2"/>
              </w:rPr>
              <w:t>174F</w:t>
            </w:r>
            <w:r w:rsidR="00EE36E3" w:rsidRPr="00FD477B">
              <w:rPr>
                <w:rFonts w:ascii="ZWAdobeF" w:hAnsi="ZWAdobeF" w:cs="ZWAdobeF"/>
                <w:sz w:val="2"/>
                <w:szCs w:val="2"/>
              </w:rPr>
              <w:t>177F</w:t>
            </w:r>
            <w:r w:rsidR="00122C48" w:rsidRPr="00FD477B">
              <w:rPr>
                <w:rFonts w:ascii="ZWAdobeF" w:hAnsi="ZWAdobeF" w:cs="ZWAdobeF"/>
                <w:sz w:val="2"/>
                <w:szCs w:val="2"/>
              </w:rPr>
              <w:t>177F</w:t>
            </w:r>
            <w:r w:rsidR="00F73A23" w:rsidRPr="00FD477B">
              <w:rPr>
                <w:rFonts w:ascii="ZWAdobeF" w:hAnsi="ZWAdobeF" w:cs="ZWAdobeF"/>
                <w:sz w:val="2"/>
                <w:szCs w:val="2"/>
              </w:rPr>
              <w:t>177F</w:t>
            </w:r>
            <w:r w:rsidR="00626378">
              <w:rPr>
                <w:rFonts w:ascii="ZWAdobeF" w:hAnsi="ZWAdobeF" w:cs="ZWAdobeF"/>
                <w:color w:val="auto"/>
                <w:sz w:val="2"/>
                <w:szCs w:val="2"/>
              </w:rPr>
              <w:t>177F</w:t>
            </w:r>
            <w:r w:rsidR="00413811">
              <w:rPr>
                <w:rFonts w:ascii="ZWAdobeF" w:hAnsi="ZWAdobeF" w:cs="ZWAdobeF"/>
                <w:color w:val="auto"/>
                <w:sz w:val="2"/>
                <w:szCs w:val="2"/>
              </w:rPr>
              <w:t>177F</w:t>
            </w:r>
            <w:r w:rsidR="002C327C">
              <w:rPr>
                <w:rFonts w:ascii="ZWAdobeF" w:hAnsi="ZWAdobeF" w:cs="ZWAdobeF"/>
                <w:color w:val="auto"/>
                <w:sz w:val="2"/>
                <w:szCs w:val="2"/>
              </w:rPr>
              <w:t>177F</w:t>
            </w:r>
            <w:r w:rsidR="00D24A06">
              <w:rPr>
                <w:rFonts w:ascii="ZWAdobeF" w:hAnsi="ZWAdobeF" w:cs="ZWAdobeF"/>
                <w:color w:val="auto"/>
                <w:sz w:val="2"/>
                <w:szCs w:val="2"/>
              </w:rPr>
              <w:t>177F</w:t>
            </w:r>
            <w:r w:rsidRPr="001B092E">
              <w:rPr>
                <w:rStyle w:val="FootnoteReference"/>
                <w:rFonts w:asciiTheme="minorHAnsi" w:hAnsiTheme="minorHAnsi" w:cstheme="minorHAnsi"/>
                <w:sz w:val="16"/>
                <w:szCs w:val="16"/>
              </w:rPr>
              <w:footnoteReference w:id="179"/>
            </w:r>
            <w:r w:rsidRPr="001B092E">
              <w:rPr>
                <w:rFonts w:asciiTheme="minorHAnsi" w:hAnsiTheme="minorHAnsi" w:cstheme="minorHAnsi"/>
                <w:sz w:val="16"/>
                <w:szCs w:val="16"/>
              </w:rPr>
              <w:t xml:space="preserve"> </w:t>
            </w:r>
          </w:p>
        </w:tc>
        <w:tc>
          <w:tcPr>
            <w:tcW w:w="1527" w:type="dxa"/>
            <w:tcBorders>
              <w:top w:val="single" w:sz="4" w:space="0" w:color="auto"/>
            </w:tcBorders>
            <w:shd w:val="clear" w:color="auto" w:fill="auto"/>
            <w:hideMark/>
          </w:tcPr>
          <w:p w14:paraId="0B196969" w14:textId="77777777"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Energy Performance Certificate (</w:t>
            </w:r>
            <w:proofErr w:type="spellStart"/>
            <w:r w:rsidRPr="001B092E">
              <w:rPr>
                <w:rFonts w:asciiTheme="minorHAnsi" w:hAnsiTheme="minorHAnsi" w:cstheme="minorHAnsi"/>
                <w:sz w:val="16"/>
                <w:szCs w:val="16"/>
              </w:rPr>
              <w:t>EPCs</w:t>
            </w:r>
            <w:proofErr w:type="spellEnd"/>
            <w:r w:rsidRPr="001B092E">
              <w:rPr>
                <w:rFonts w:asciiTheme="minorHAnsi" w:hAnsiTheme="minorHAnsi" w:cstheme="minorHAnsi"/>
                <w:sz w:val="16"/>
                <w:szCs w:val="16"/>
              </w:rPr>
              <w:t>)</w:t>
            </w:r>
          </w:p>
        </w:tc>
        <w:tc>
          <w:tcPr>
            <w:tcW w:w="5812" w:type="dxa"/>
            <w:tcBorders>
              <w:top w:val="single" w:sz="4" w:space="0" w:color="auto"/>
            </w:tcBorders>
            <w:shd w:val="clear" w:color="auto" w:fill="auto"/>
          </w:tcPr>
          <w:p w14:paraId="7C7CD42A" w14:textId="77777777" w:rsidR="00B151EF" w:rsidRPr="001B092E" w:rsidRDefault="00B151EF" w:rsidP="00F00FAF">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Implemented on a phased basis based on the EU’s Energy Performance of Buildings Directive.</w:t>
            </w:r>
          </w:p>
          <w:p w14:paraId="065689A0" w14:textId="0904E9E1" w:rsidR="00B151EF" w:rsidRPr="001B092E" w:rsidRDefault="00B151EF" w:rsidP="0019528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 xml:space="preserve">The MEES policy is designed to encourage landlords to make energy efficiency improvements to their non-domestic buildings, </w:t>
            </w:r>
            <w:proofErr w:type="gramStart"/>
            <w:r w:rsidRPr="001B092E">
              <w:rPr>
                <w:rFonts w:asciiTheme="minorHAnsi" w:hAnsiTheme="minorHAnsi" w:cstheme="minorHAnsi"/>
                <w:sz w:val="16"/>
                <w:szCs w:val="16"/>
              </w:rPr>
              <w:t>in order to</w:t>
            </w:r>
            <w:proofErr w:type="gramEnd"/>
            <w:r w:rsidRPr="001B092E">
              <w:rPr>
                <w:rFonts w:asciiTheme="minorHAnsi" w:hAnsiTheme="minorHAnsi" w:cstheme="minorHAnsi"/>
                <w:sz w:val="16"/>
                <w:szCs w:val="16"/>
              </w:rPr>
              <w:t xml:space="preserve"> reduce energy consumption and carbon emissions. This is achieved by setting a minimum energy efficiency standard for all privately rented non-domestic properties in England and Wales, and by making it illegal to rent out a property that does not meet this standard.</w:t>
            </w:r>
          </w:p>
        </w:tc>
      </w:tr>
      <w:tr w:rsidR="00B151EF" w14:paraId="0F717630" w14:textId="77777777" w:rsidTr="00FD477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410F5B" w14:textId="77777777" w:rsidR="00B151EF" w:rsidRPr="001B092E" w:rsidRDefault="00B151EF" w:rsidP="00F00FAF">
            <w:pPr>
              <w:rPr>
                <w:rFonts w:asciiTheme="minorHAnsi" w:hAnsiTheme="minorHAnsi" w:cstheme="minorHAnsi"/>
                <w:sz w:val="16"/>
                <w:szCs w:val="16"/>
              </w:rPr>
            </w:pPr>
            <w:r w:rsidRPr="001B092E">
              <w:rPr>
                <w:rFonts w:asciiTheme="minorHAnsi" w:hAnsiTheme="minorHAnsi" w:cstheme="minorHAnsi"/>
                <w:sz w:val="16"/>
                <w:szCs w:val="16"/>
              </w:rPr>
              <w:t xml:space="preserve">UK </w:t>
            </w:r>
          </w:p>
        </w:tc>
        <w:tc>
          <w:tcPr>
            <w:tcW w:w="0" w:type="auto"/>
            <w:shd w:val="clear" w:color="auto" w:fill="auto"/>
            <w:hideMark/>
          </w:tcPr>
          <w:p w14:paraId="43F70D92" w14:textId="3A6A6F3F"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Industrial building energy performance framework, 2022 (in early stages)</w:t>
            </w:r>
            <w:r w:rsidR="002D0089" w:rsidRPr="00FD477B">
              <w:rPr>
                <w:rFonts w:ascii="ZWAdobeF" w:hAnsi="ZWAdobeF" w:cs="ZWAdobeF"/>
                <w:sz w:val="2"/>
                <w:szCs w:val="2"/>
              </w:rPr>
              <w:t>175F</w:t>
            </w:r>
            <w:r w:rsidR="00EE36E3" w:rsidRPr="00FD477B">
              <w:rPr>
                <w:rFonts w:ascii="ZWAdobeF" w:hAnsi="ZWAdobeF" w:cs="ZWAdobeF"/>
                <w:sz w:val="2"/>
                <w:szCs w:val="2"/>
              </w:rPr>
              <w:t>178F</w:t>
            </w:r>
            <w:r w:rsidR="00122C48" w:rsidRPr="00FD477B">
              <w:rPr>
                <w:rFonts w:ascii="ZWAdobeF" w:hAnsi="ZWAdobeF" w:cs="ZWAdobeF"/>
                <w:sz w:val="2"/>
                <w:szCs w:val="2"/>
              </w:rPr>
              <w:t>178F</w:t>
            </w:r>
            <w:r w:rsidR="00F73A23" w:rsidRPr="00FD477B">
              <w:rPr>
                <w:rFonts w:ascii="ZWAdobeF" w:hAnsi="ZWAdobeF" w:cs="ZWAdobeF"/>
                <w:sz w:val="2"/>
                <w:szCs w:val="2"/>
              </w:rPr>
              <w:t>178F</w:t>
            </w:r>
            <w:r w:rsidR="00626378">
              <w:rPr>
                <w:rFonts w:ascii="ZWAdobeF" w:hAnsi="ZWAdobeF" w:cs="ZWAdobeF"/>
                <w:color w:val="auto"/>
                <w:sz w:val="2"/>
                <w:szCs w:val="2"/>
              </w:rPr>
              <w:t>178F</w:t>
            </w:r>
            <w:r w:rsidR="00413811">
              <w:rPr>
                <w:rFonts w:ascii="ZWAdobeF" w:hAnsi="ZWAdobeF" w:cs="ZWAdobeF"/>
                <w:color w:val="auto"/>
                <w:sz w:val="2"/>
                <w:szCs w:val="2"/>
              </w:rPr>
              <w:t>178F</w:t>
            </w:r>
            <w:r w:rsidR="002C327C">
              <w:rPr>
                <w:rFonts w:ascii="ZWAdobeF" w:hAnsi="ZWAdobeF" w:cs="ZWAdobeF"/>
                <w:color w:val="auto"/>
                <w:sz w:val="2"/>
                <w:szCs w:val="2"/>
              </w:rPr>
              <w:t>178F</w:t>
            </w:r>
            <w:r w:rsidR="00D24A06">
              <w:rPr>
                <w:rFonts w:ascii="ZWAdobeF" w:hAnsi="ZWAdobeF" w:cs="ZWAdobeF"/>
                <w:color w:val="auto"/>
                <w:sz w:val="2"/>
                <w:szCs w:val="2"/>
              </w:rPr>
              <w:t>178F</w:t>
            </w:r>
            <w:r w:rsidRPr="001B092E">
              <w:rPr>
                <w:rStyle w:val="FootnoteReference"/>
                <w:rFonts w:asciiTheme="minorHAnsi" w:hAnsiTheme="minorHAnsi" w:cstheme="minorHAnsi"/>
                <w:sz w:val="16"/>
                <w:szCs w:val="16"/>
              </w:rPr>
              <w:footnoteReference w:id="180"/>
            </w:r>
          </w:p>
        </w:tc>
        <w:tc>
          <w:tcPr>
            <w:tcW w:w="1527" w:type="dxa"/>
            <w:shd w:val="clear" w:color="auto" w:fill="auto"/>
            <w:hideMark/>
          </w:tcPr>
          <w:p w14:paraId="77D06916" w14:textId="77777777"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Energy Performance Indicator (EPI), a standardised benchmarking tool developed specifically for industrial buildings.</w:t>
            </w:r>
          </w:p>
        </w:tc>
        <w:tc>
          <w:tcPr>
            <w:tcW w:w="5812" w:type="dxa"/>
            <w:shd w:val="clear" w:color="auto" w:fill="auto"/>
            <w:hideMark/>
          </w:tcPr>
          <w:p w14:paraId="2050156E" w14:textId="77777777"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Rating system is based on NABERS.</w:t>
            </w:r>
          </w:p>
          <w:p w14:paraId="3B52E98A" w14:textId="203AA85E"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1B092E">
              <w:rPr>
                <w:rFonts w:asciiTheme="minorHAnsi" w:hAnsiTheme="minorHAnsi" w:cstheme="minorHAnsi"/>
                <w:sz w:val="16"/>
                <w:szCs w:val="16"/>
              </w:rPr>
              <w:t>EPCs</w:t>
            </w:r>
            <w:proofErr w:type="spellEnd"/>
            <w:r w:rsidRPr="001B092E">
              <w:rPr>
                <w:rFonts w:asciiTheme="minorHAnsi" w:hAnsiTheme="minorHAnsi" w:cstheme="minorHAnsi"/>
                <w:sz w:val="16"/>
                <w:szCs w:val="16"/>
              </w:rPr>
              <w:t xml:space="preserve"> do not measure metered energy consumption and associated carbon emissions. A high EPC score is no guarantee that a building will use less energy and emit less carbon as a result. In large and complex buildings in particular, the evidence is showing that there is almost no correlation between a building’s EPC score and its actual energy and carbon performance in practice</w:t>
            </w:r>
            <w:r w:rsidR="002D0089" w:rsidRPr="00FD477B">
              <w:rPr>
                <w:rFonts w:ascii="ZWAdobeF" w:hAnsi="ZWAdobeF" w:cs="ZWAdobeF"/>
                <w:sz w:val="2"/>
                <w:szCs w:val="2"/>
              </w:rPr>
              <w:t>176F</w:t>
            </w:r>
            <w:r w:rsidR="00EE36E3" w:rsidRPr="00FD477B">
              <w:rPr>
                <w:rFonts w:ascii="ZWAdobeF" w:hAnsi="ZWAdobeF" w:cs="ZWAdobeF"/>
                <w:sz w:val="2"/>
                <w:szCs w:val="2"/>
              </w:rPr>
              <w:t>179F</w:t>
            </w:r>
            <w:r w:rsidR="00122C48" w:rsidRPr="00FD477B">
              <w:rPr>
                <w:rFonts w:ascii="ZWAdobeF" w:hAnsi="ZWAdobeF" w:cs="ZWAdobeF"/>
                <w:sz w:val="2"/>
                <w:szCs w:val="2"/>
              </w:rPr>
              <w:t>179F</w:t>
            </w:r>
            <w:r w:rsidR="00F73A23" w:rsidRPr="00FD477B">
              <w:rPr>
                <w:rFonts w:ascii="ZWAdobeF" w:hAnsi="ZWAdobeF" w:cs="ZWAdobeF"/>
                <w:sz w:val="2"/>
                <w:szCs w:val="2"/>
              </w:rPr>
              <w:t>179F</w:t>
            </w:r>
            <w:r w:rsidR="00626378">
              <w:rPr>
                <w:rFonts w:ascii="ZWAdobeF" w:hAnsi="ZWAdobeF" w:cs="ZWAdobeF"/>
                <w:color w:val="auto"/>
                <w:sz w:val="2"/>
                <w:szCs w:val="2"/>
              </w:rPr>
              <w:t>179F</w:t>
            </w:r>
            <w:r w:rsidR="00413811">
              <w:rPr>
                <w:rFonts w:ascii="ZWAdobeF" w:hAnsi="ZWAdobeF" w:cs="ZWAdobeF"/>
                <w:color w:val="auto"/>
                <w:sz w:val="2"/>
                <w:szCs w:val="2"/>
              </w:rPr>
              <w:t>179F</w:t>
            </w:r>
            <w:r w:rsidR="002C327C">
              <w:rPr>
                <w:rFonts w:ascii="ZWAdobeF" w:hAnsi="ZWAdobeF" w:cs="ZWAdobeF"/>
                <w:color w:val="auto"/>
                <w:sz w:val="2"/>
                <w:szCs w:val="2"/>
              </w:rPr>
              <w:t>179F</w:t>
            </w:r>
            <w:r w:rsidR="00D24A06">
              <w:rPr>
                <w:rFonts w:ascii="ZWAdobeF" w:hAnsi="ZWAdobeF" w:cs="ZWAdobeF"/>
                <w:color w:val="auto"/>
                <w:sz w:val="2"/>
                <w:szCs w:val="2"/>
              </w:rPr>
              <w:t>179F</w:t>
            </w:r>
            <w:r w:rsidRPr="001B092E">
              <w:rPr>
                <w:rStyle w:val="FootnoteReference"/>
                <w:rFonts w:asciiTheme="minorHAnsi" w:hAnsiTheme="minorHAnsi" w:cstheme="minorHAnsi"/>
                <w:sz w:val="16"/>
                <w:szCs w:val="16"/>
              </w:rPr>
              <w:footnoteReference w:id="181"/>
            </w:r>
            <w:r w:rsidRPr="001B092E">
              <w:rPr>
                <w:rFonts w:asciiTheme="minorHAnsi" w:hAnsiTheme="minorHAnsi" w:cstheme="minorHAnsi"/>
                <w:sz w:val="16"/>
                <w:szCs w:val="16"/>
              </w:rPr>
              <w:t xml:space="preserve">. This policy was introduced in response to that, following a performance-based approach </w:t>
            </w:r>
            <w:proofErr w:type="gramStart"/>
            <w:r w:rsidRPr="001B092E">
              <w:rPr>
                <w:rFonts w:asciiTheme="minorHAnsi" w:hAnsiTheme="minorHAnsi" w:cstheme="minorHAnsi"/>
                <w:sz w:val="16"/>
                <w:szCs w:val="16"/>
              </w:rPr>
              <w:t>similar to</w:t>
            </w:r>
            <w:proofErr w:type="gramEnd"/>
            <w:r w:rsidRPr="001B092E">
              <w:rPr>
                <w:rFonts w:asciiTheme="minorHAnsi" w:hAnsiTheme="minorHAnsi" w:cstheme="minorHAnsi"/>
                <w:sz w:val="16"/>
                <w:szCs w:val="16"/>
              </w:rPr>
              <w:t xml:space="preserve"> NABERS in Australia. </w:t>
            </w:r>
          </w:p>
          <w:p w14:paraId="76D61F08" w14:textId="0559E7E2"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The policy was also introduced to help industrial businesses reduce their energy consumption and associated costs and align with the UK's net-zero carbon emissions target. Targeting large buildings means a smaller number of buildings are affected by the policy, but these impact a high proportion of floor space. Only 7% of commercial and industrial buildings are larger than 1,000m² and these buildings use over 53% of all the energy used by commercial and industrial buildings, and the associated carbon emitted from these buildings.</w:t>
            </w:r>
            <w:r w:rsidR="002D0089" w:rsidRPr="00FD477B">
              <w:rPr>
                <w:rFonts w:ascii="ZWAdobeF" w:hAnsi="ZWAdobeF" w:cs="ZWAdobeF"/>
                <w:sz w:val="2"/>
                <w:szCs w:val="2"/>
              </w:rPr>
              <w:t>177F</w:t>
            </w:r>
            <w:r w:rsidR="00EE36E3" w:rsidRPr="00FD477B">
              <w:rPr>
                <w:rFonts w:ascii="ZWAdobeF" w:hAnsi="ZWAdobeF" w:cs="ZWAdobeF"/>
                <w:sz w:val="2"/>
                <w:szCs w:val="2"/>
              </w:rPr>
              <w:t>180F</w:t>
            </w:r>
            <w:r w:rsidR="00122C48" w:rsidRPr="00FD477B">
              <w:rPr>
                <w:rFonts w:ascii="ZWAdobeF" w:hAnsi="ZWAdobeF" w:cs="ZWAdobeF"/>
                <w:sz w:val="2"/>
                <w:szCs w:val="2"/>
              </w:rPr>
              <w:t>180F</w:t>
            </w:r>
            <w:r w:rsidR="00F73A23" w:rsidRPr="00FD477B">
              <w:rPr>
                <w:rFonts w:ascii="ZWAdobeF" w:hAnsi="ZWAdobeF" w:cs="ZWAdobeF"/>
                <w:sz w:val="2"/>
                <w:szCs w:val="2"/>
              </w:rPr>
              <w:t>180F</w:t>
            </w:r>
            <w:r w:rsidR="00626378">
              <w:rPr>
                <w:rFonts w:ascii="ZWAdobeF" w:hAnsi="ZWAdobeF" w:cs="ZWAdobeF"/>
                <w:color w:val="auto"/>
                <w:sz w:val="2"/>
                <w:szCs w:val="2"/>
              </w:rPr>
              <w:t>180F</w:t>
            </w:r>
            <w:r w:rsidR="00413811">
              <w:rPr>
                <w:rFonts w:ascii="ZWAdobeF" w:hAnsi="ZWAdobeF" w:cs="ZWAdobeF"/>
                <w:color w:val="auto"/>
                <w:sz w:val="2"/>
                <w:szCs w:val="2"/>
              </w:rPr>
              <w:t>180F</w:t>
            </w:r>
            <w:r w:rsidR="002C327C">
              <w:rPr>
                <w:rFonts w:ascii="ZWAdobeF" w:hAnsi="ZWAdobeF" w:cs="ZWAdobeF"/>
                <w:color w:val="auto"/>
                <w:sz w:val="2"/>
                <w:szCs w:val="2"/>
              </w:rPr>
              <w:t>180F</w:t>
            </w:r>
            <w:r w:rsidR="00D24A06">
              <w:rPr>
                <w:rFonts w:ascii="ZWAdobeF" w:hAnsi="ZWAdobeF" w:cs="ZWAdobeF"/>
                <w:color w:val="auto"/>
                <w:sz w:val="2"/>
                <w:szCs w:val="2"/>
              </w:rPr>
              <w:t>180F</w:t>
            </w:r>
            <w:r w:rsidRPr="001B092E">
              <w:rPr>
                <w:rStyle w:val="FootnoteReference"/>
                <w:rFonts w:asciiTheme="minorHAnsi" w:hAnsiTheme="minorHAnsi" w:cstheme="minorHAnsi"/>
                <w:sz w:val="16"/>
                <w:szCs w:val="16"/>
              </w:rPr>
              <w:footnoteReference w:id="182"/>
            </w:r>
          </w:p>
        </w:tc>
      </w:tr>
      <w:tr w:rsidR="00B151EF" w14:paraId="057F1123"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ECFC1B8" w14:textId="77777777" w:rsidR="00B151EF" w:rsidRPr="001B092E" w:rsidRDefault="00B151EF" w:rsidP="00F00FAF">
            <w:pPr>
              <w:rPr>
                <w:rFonts w:asciiTheme="minorHAnsi" w:hAnsiTheme="minorHAnsi" w:cstheme="minorHAnsi"/>
                <w:sz w:val="16"/>
                <w:szCs w:val="16"/>
              </w:rPr>
            </w:pPr>
            <w:r w:rsidRPr="001B092E">
              <w:rPr>
                <w:rFonts w:asciiTheme="minorHAnsi" w:hAnsiTheme="minorHAnsi" w:cstheme="minorHAnsi"/>
                <w:sz w:val="16"/>
                <w:szCs w:val="16"/>
              </w:rPr>
              <w:t>France</w:t>
            </w:r>
          </w:p>
        </w:tc>
        <w:tc>
          <w:tcPr>
            <w:tcW w:w="0" w:type="auto"/>
            <w:shd w:val="clear" w:color="auto" w:fill="auto"/>
            <w:hideMark/>
          </w:tcPr>
          <w:p w14:paraId="53475EBF" w14:textId="65217263"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Article 175 of the French ELAN law and the Tertiary Decree, 2019</w:t>
            </w:r>
            <w:r w:rsidR="002D0089" w:rsidRPr="00FD477B">
              <w:rPr>
                <w:rFonts w:ascii="ZWAdobeF" w:hAnsi="ZWAdobeF" w:cs="ZWAdobeF"/>
                <w:sz w:val="2"/>
                <w:szCs w:val="2"/>
              </w:rPr>
              <w:t>178F</w:t>
            </w:r>
            <w:r w:rsidR="00EE36E3" w:rsidRPr="00FD477B">
              <w:rPr>
                <w:rFonts w:ascii="ZWAdobeF" w:hAnsi="ZWAdobeF" w:cs="ZWAdobeF"/>
                <w:sz w:val="2"/>
                <w:szCs w:val="2"/>
              </w:rPr>
              <w:t>181F</w:t>
            </w:r>
            <w:r w:rsidR="00122C48" w:rsidRPr="00FD477B">
              <w:rPr>
                <w:rFonts w:ascii="ZWAdobeF" w:hAnsi="ZWAdobeF" w:cs="ZWAdobeF"/>
                <w:sz w:val="2"/>
                <w:szCs w:val="2"/>
              </w:rPr>
              <w:t>181F</w:t>
            </w:r>
            <w:r w:rsidR="00F73A23" w:rsidRPr="00FD477B">
              <w:rPr>
                <w:rFonts w:ascii="ZWAdobeF" w:hAnsi="ZWAdobeF" w:cs="ZWAdobeF"/>
                <w:sz w:val="2"/>
                <w:szCs w:val="2"/>
              </w:rPr>
              <w:t>181F</w:t>
            </w:r>
            <w:r w:rsidR="00626378">
              <w:rPr>
                <w:rFonts w:ascii="ZWAdobeF" w:hAnsi="ZWAdobeF" w:cs="ZWAdobeF"/>
                <w:color w:val="auto"/>
                <w:sz w:val="2"/>
                <w:szCs w:val="2"/>
              </w:rPr>
              <w:t>181F</w:t>
            </w:r>
            <w:r w:rsidR="00413811">
              <w:rPr>
                <w:rFonts w:ascii="ZWAdobeF" w:hAnsi="ZWAdobeF" w:cs="ZWAdobeF"/>
                <w:color w:val="auto"/>
                <w:sz w:val="2"/>
                <w:szCs w:val="2"/>
              </w:rPr>
              <w:t>181F</w:t>
            </w:r>
            <w:r w:rsidR="002C327C">
              <w:rPr>
                <w:rFonts w:ascii="ZWAdobeF" w:hAnsi="ZWAdobeF" w:cs="ZWAdobeF"/>
                <w:color w:val="auto"/>
                <w:sz w:val="2"/>
                <w:szCs w:val="2"/>
              </w:rPr>
              <w:t>181F</w:t>
            </w:r>
            <w:r w:rsidR="00D24A06">
              <w:rPr>
                <w:rFonts w:ascii="ZWAdobeF" w:hAnsi="ZWAdobeF" w:cs="ZWAdobeF"/>
                <w:color w:val="auto"/>
                <w:sz w:val="2"/>
                <w:szCs w:val="2"/>
              </w:rPr>
              <w:t>181F</w:t>
            </w:r>
            <w:r w:rsidRPr="001B092E">
              <w:rPr>
                <w:rStyle w:val="FootnoteReference"/>
                <w:rFonts w:asciiTheme="minorHAnsi" w:hAnsiTheme="minorHAnsi" w:cstheme="minorHAnsi"/>
                <w:sz w:val="16"/>
                <w:szCs w:val="16"/>
              </w:rPr>
              <w:footnoteReference w:id="183"/>
            </w:r>
          </w:p>
        </w:tc>
        <w:tc>
          <w:tcPr>
            <w:tcW w:w="1527" w:type="dxa"/>
            <w:shd w:val="clear" w:color="auto" w:fill="auto"/>
            <w:hideMark/>
          </w:tcPr>
          <w:p w14:paraId="740ABA59" w14:textId="77777777"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Energy consumption data (energy audits conducted every 10 years)</w:t>
            </w:r>
          </w:p>
        </w:tc>
        <w:tc>
          <w:tcPr>
            <w:tcW w:w="5812" w:type="dxa"/>
            <w:shd w:val="clear" w:color="auto" w:fill="auto"/>
            <w:hideMark/>
          </w:tcPr>
          <w:p w14:paraId="27911FD6" w14:textId="77777777"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Tertiary buildings were included in Article 175 because they are a significant source of energy consumption and greenhouse gas emissions in France. Tertiary buildings, which include commercial, administrative, and public buildings, account for about 20% of France's total energy consumption and are responsible for similar levels of greenhouse gas emissions.</w:t>
            </w:r>
          </w:p>
        </w:tc>
      </w:tr>
      <w:tr w:rsidR="00B151EF" w14:paraId="75EC11FB" w14:textId="77777777" w:rsidTr="00FD477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6C12E9F" w14:textId="77777777" w:rsidR="00B151EF" w:rsidRPr="001B092E" w:rsidRDefault="00B151EF" w:rsidP="00F00FAF">
            <w:pPr>
              <w:rPr>
                <w:rFonts w:asciiTheme="minorHAnsi" w:hAnsiTheme="minorHAnsi" w:cstheme="minorHAnsi"/>
                <w:sz w:val="16"/>
                <w:szCs w:val="16"/>
              </w:rPr>
            </w:pPr>
            <w:r w:rsidRPr="001B092E">
              <w:rPr>
                <w:rFonts w:asciiTheme="minorHAnsi" w:hAnsiTheme="minorHAnsi" w:cstheme="minorHAnsi"/>
                <w:sz w:val="16"/>
                <w:szCs w:val="16"/>
              </w:rPr>
              <w:t xml:space="preserve">Germany </w:t>
            </w:r>
          </w:p>
        </w:tc>
        <w:tc>
          <w:tcPr>
            <w:tcW w:w="0" w:type="auto"/>
            <w:shd w:val="clear" w:color="auto" w:fill="auto"/>
            <w:hideMark/>
          </w:tcPr>
          <w:p w14:paraId="6C2691D4" w14:textId="4F2E1D06"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Buildings Energy Act (</w:t>
            </w:r>
            <w:proofErr w:type="spellStart"/>
            <w:r w:rsidRPr="001B092E">
              <w:rPr>
                <w:rFonts w:asciiTheme="minorHAnsi" w:hAnsiTheme="minorHAnsi" w:cstheme="minorHAnsi"/>
                <w:sz w:val="16"/>
                <w:szCs w:val="16"/>
              </w:rPr>
              <w:t>GEG</w:t>
            </w:r>
            <w:proofErr w:type="spellEnd"/>
            <w:r w:rsidRPr="001B092E">
              <w:rPr>
                <w:rFonts w:asciiTheme="minorHAnsi" w:hAnsiTheme="minorHAnsi" w:cstheme="minorHAnsi"/>
                <w:sz w:val="16"/>
                <w:szCs w:val="16"/>
              </w:rPr>
              <w:t xml:space="preserve">), </w:t>
            </w:r>
            <w:proofErr w:type="spellStart"/>
            <w:r w:rsidRPr="001B092E">
              <w:rPr>
                <w:rFonts w:asciiTheme="minorHAnsi" w:hAnsiTheme="minorHAnsi" w:cstheme="minorHAnsi"/>
                <w:sz w:val="16"/>
                <w:szCs w:val="16"/>
              </w:rPr>
              <w:t>2020</w:t>
            </w:r>
            <w:r w:rsidR="002D0089" w:rsidRPr="00FD477B">
              <w:rPr>
                <w:rFonts w:ascii="ZWAdobeF" w:hAnsi="ZWAdobeF" w:cs="ZWAdobeF"/>
                <w:sz w:val="2"/>
                <w:szCs w:val="2"/>
              </w:rPr>
              <w:t>179F</w:t>
            </w:r>
            <w:r w:rsidR="00EE36E3" w:rsidRPr="00FD477B">
              <w:rPr>
                <w:rFonts w:ascii="ZWAdobeF" w:hAnsi="ZWAdobeF" w:cs="ZWAdobeF"/>
                <w:sz w:val="2"/>
                <w:szCs w:val="2"/>
              </w:rPr>
              <w:t>182F</w:t>
            </w:r>
            <w:r w:rsidR="00122C48" w:rsidRPr="00FD477B">
              <w:rPr>
                <w:rFonts w:ascii="ZWAdobeF" w:hAnsi="ZWAdobeF" w:cs="ZWAdobeF"/>
                <w:sz w:val="2"/>
                <w:szCs w:val="2"/>
              </w:rPr>
              <w:t>182F</w:t>
            </w:r>
            <w:r w:rsidR="00F73A23" w:rsidRPr="00FD477B">
              <w:rPr>
                <w:rFonts w:ascii="ZWAdobeF" w:hAnsi="ZWAdobeF" w:cs="ZWAdobeF"/>
                <w:sz w:val="2"/>
                <w:szCs w:val="2"/>
              </w:rPr>
              <w:t>182F</w:t>
            </w:r>
            <w:r w:rsidR="00626378">
              <w:rPr>
                <w:rFonts w:ascii="ZWAdobeF" w:hAnsi="ZWAdobeF" w:cs="ZWAdobeF"/>
                <w:color w:val="auto"/>
                <w:sz w:val="2"/>
                <w:szCs w:val="2"/>
              </w:rPr>
              <w:t>182F</w:t>
            </w:r>
            <w:r w:rsidR="00413811">
              <w:rPr>
                <w:rFonts w:ascii="ZWAdobeF" w:hAnsi="ZWAdobeF" w:cs="ZWAdobeF"/>
                <w:color w:val="auto"/>
                <w:sz w:val="2"/>
                <w:szCs w:val="2"/>
              </w:rPr>
              <w:t>182F</w:t>
            </w:r>
            <w:r w:rsidR="002C327C">
              <w:rPr>
                <w:rFonts w:ascii="ZWAdobeF" w:hAnsi="ZWAdobeF" w:cs="ZWAdobeF"/>
                <w:color w:val="auto"/>
                <w:sz w:val="2"/>
                <w:szCs w:val="2"/>
              </w:rPr>
              <w:t>182F</w:t>
            </w:r>
            <w:r w:rsidR="00D24A06">
              <w:rPr>
                <w:rFonts w:ascii="ZWAdobeF" w:hAnsi="ZWAdobeF" w:cs="ZWAdobeF"/>
                <w:color w:val="auto"/>
                <w:sz w:val="2"/>
                <w:szCs w:val="2"/>
              </w:rPr>
              <w:t>182F</w:t>
            </w:r>
            <w:proofErr w:type="spellEnd"/>
            <w:r w:rsidRPr="001B092E">
              <w:rPr>
                <w:rStyle w:val="FootnoteReference"/>
                <w:rFonts w:asciiTheme="minorHAnsi" w:hAnsiTheme="minorHAnsi" w:cstheme="minorHAnsi"/>
                <w:sz w:val="16"/>
                <w:szCs w:val="16"/>
              </w:rPr>
              <w:footnoteReference w:id="184"/>
            </w:r>
          </w:p>
        </w:tc>
        <w:tc>
          <w:tcPr>
            <w:tcW w:w="1527" w:type="dxa"/>
            <w:shd w:val="clear" w:color="auto" w:fill="auto"/>
            <w:hideMark/>
          </w:tcPr>
          <w:p w14:paraId="1EB56CD3" w14:textId="371C5FF3"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roofErr w:type="spellStart"/>
            <w:r w:rsidRPr="001B092E">
              <w:rPr>
                <w:rFonts w:asciiTheme="minorHAnsi" w:hAnsiTheme="minorHAnsi" w:cstheme="minorHAnsi"/>
                <w:sz w:val="16"/>
                <w:szCs w:val="16"/>
              </w:rPr>
              <w:t>GEG</w:t>
            </w:r>
            <w:proofErr w:type="spellEnd"/>
            <w:r w:rsidRPr="001B092E">
              <w:rPr>
                <w:rFonts w:asciiTheme="minorHAnsi" w:hAnsiTheme="minorHAnsi" w:cstheme="minorHAnsi"/>
                <w:sz w:val="16"/>
                <w:szCs w:val="16"/>
              </w:rPr>
              <w:t xml:space="preserve"> rating system ranges from A+ (very efficient) to H (very inefficient)</w:t>
            </w:r>
            <w:proofErr w:type="spellStart"/>
            <w:r w:rsidR="002D0089" w:rsidRPr="00FD477B">
              <w:rPr>
                <w:rFonts w:ascii="ZWAdobeF" w:hAnsi="ZWAdobeF" w:cs="ZWAdobeF"/>
                <w:sz w:val="2"/>
                <w:szCs w:val="2"/>
              </w:rPr>
              <w:t>180F</w:t>
            </w:r>
            <w:r w:rsidR="00EE36E3" w:rsidRPr="00FD477B">
              <w:rPr>
                <w:rFonts w:ascii="ZWAdobeF" w:hAnsi="ZWAdobeF" w:cs="ZWAdobeF"/>
                <w:sz w:val="2"/>
                <w:szCs w:val="2"/>
              </w:rPr>
              <w:t>183F</w:t>
            </w:r>
            <w:r w:rsidR="00122C48" w:rsidRPr="00FD477B">
              <w:rPr>
                <w:rFonts w:ascii="ZWAdobeF" w:hAnsi="ZWAdobeF" w:cs="ZWAdobeF"/>
                <w:sz w:val="2"/>
                <w:szCs w:val="2"/>
              </w:rPr>
              <w:t>183F</w:t>
            </w:r>
            <w:r w:rsidR="00F73A23" w:rsidRPr="00FD477B">
              <w:rPr>
                <w:rFonts w:ascii="ZWAdobeF" w:hAnsi="ZWAdobeF" w:cs="ZWAdobeF"/>
                <w:sz w:val="2"/>
                <w:szCs w:val="2"/>
              </w:rPr>
              <w:t>183F</w:t>
            </w:r>
            <w:r w:rsidR="00626378">
              <w:rPr>
                <w:rFonts w:ascii="ZWAdobeF" w:hAnsi="ZWAdobeF" w:cs="ZWAdobeF"/>
                <w:color w:val="auto"/>
                <w:sz w:val="2"/>
                <w:szCs w:val="2"/>
              </w:rPr>
              <w:t>183F</w:t>
            </w:r>
            <w:r w:rsidR="00413811">
              <w:rPr>
                <w:rFonts w:ascii="ZWAdobeF" w:hAnsi="ZWAdobeF" w:cs="ZWAdobeF"/>
                <w:color w:val="auto"/>
                <w:sz w:val="2"/>
                <w:szCs w:val="2"/>
              </w:rPr>
              <w:t>183F</w:t>
            </w:r>
            <w:r w:rsidR="002C327C">
              <w:rPr>
                <w:rFonts w:ascii="ZWAdobeF" w:hAnsi="ZWAdobeF" w:cs="ZWAdobeF"/>
                <w:color w:val="auto"/>
                <w:sz w:val="2"/>
                <w:szCs w:val="2"/>
              </w:rPr>
              <w:t>183F</w:t>
            </w:r>
            <w:r w:rsidR="00D24A06">
              <w:rPr>
                <w:rFonts w:ascii="ZWAdobeF" w:hAnsi="ZWAdobeF" w:cs="ZWAdobeF"/>
                <w:color w:val="auto"/>
                <w:sz w:val="2"/>
                <w:szCs w:val="2"/>
              </w:rPr>
              <w:t>183F</w:t>
            </w:r>
            <w:proofErr w:type="spellEnd"/>
            <w:r w:rsidRPr="001B092E">
              <w:rPr>
                <w:rStyle w:val="FootnoteReference"/>
                <w:rFonts w:asciiTheme="minorHAnsi" w:hAnsiTheme="minorHAnsi" w:cstheme="minorHAnsi"/>
                <w:sz w:val="16"/>
                <w:szCs w:val="16"/>
              </w:rPr>
              <w:footnoteReference w:id="185"/>
            </w:r>
            <w:r w:rsidRPr="001B092E">
              <w:rPr>
                <w:rFonts w:asciiTheme="minorHAnsi" w:hAnsiTheme="minorHAnsi" w:cstheme="minorHAnsi"/>
                <w:sz w:val="16"/>
                <w:szCs w:val="16"/>
              </w:rPr>
              <w:t xml:space="preserve"> and </w:t>
            </w:r>
            <w:proofErr w:type="spellStart"/>
            <w:r w:rsidRPr="001B092E">
              <w:rPr>
                <w:rFonts w:asciiTheme="minorHAnsi" w:hAnsiTheme="minorHAnsi" w:cstheme="minorHAnsi"/>
                <w:sz w:val="16"/>
                <w:szCs w:val="16"/>
              </w:rPr>
              <w:t>EPCs</w:t>
            </w:r>
            <w:proofErr w:type="spellEnd"/>
          </w:p>
        </w:tc>
        <w:tc>
          <w:tcPr>
            <w:tcW w:w="5812" w:type="dxa"/>
            <w:shd w:val="clear" w:color="auto" w:fill="auto"/>
            <w:hideMark/>
          </w:tcPr>
          <w:p w14:paraId="339BAA96" w14:textId="77777777"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 xml:space="preserve">Applying to all buildings ensures all owners and operators are subject to the same requirements and obligations. It is also set up to promote the construction and renovation of buildings that can be energy-efficient and sustainable in the long-term, and comply with EU directives, which set minimum energy performance standards for buildings in EU member states. </w:t>
            </w:r>
          </w:p>
        </w:tc>
      </w:tr>
      <w:tr w:rsidR="00B151EF" w14:paraId="1C43BA97"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C7AD40C" w14:textId="77777777" w:rsidR="00B151EF" w:rsidRPr="001B092E" w:rsidRDefault="00B151EF" w:rsidP="00F00FAF">
            <w:pPr>
              <w:rPr>
                <w:rFonts w:asciiTheme="minorHAnsi" w:hAnsiTheme="minorHAnsi" w:cstheme="minorHAnsi"/>
                <w:sz w:val="16"/>
                <w:szCs w:val="16"/>
              </w:rPr>
            </w:pPr>
            <w:r w:rsidRPr="001B092E">
              <w:rPr>
                <w:rFonts w:asciiTheme="minorHAnsi" w:hAnsiTheme="minorHAnsi" w:cstheme="minorHAnsi"/>
                <w:sz w:val="16"/>
                <w:szCs w:val="16"/>
              </w:rPr>
              <w:t>Japan</w:t>
            </w:r>
          </w:p>
        </w:tc>
        <w:tc>
          <w:tcPr>
            <w:tcW w:w="0" w:type="auto"/>
            <w:shd w:val="clear" w:color="auto" w:fill="auto"/>
            <w:hideMark/>
          </w:tcPr>
          <w:p w14:paraId="0F25D8F5" w14:textId="5699AEEA"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Building Energy Efficiency Act, 2016</w:t>
            </w:r>
            <w:r w:rsidR="002D0089" w:rsidRPr="00FD477B">
              <w:rPr>
                <w:rFonts w:ascii="ZWAdobeF" w:hAnsi="ZWAdobeF" w:cs="ZWAdobeF"/>
                <w:sz w:val="2"/>
                <w:szCs w:val="2"/>
              </w:rPr>
              <w:t>181F</w:t>
            </w:r>
            <w:r w:rsidR="00EE36E3" w:rsidRPr="00FD477B">
              <w:rPr>
                <w:rFonts w:ascii="ZWAdobeF" w:hAnsi="ZWAdobeF" w:cs="ZWAdobeF"/>
                <w:sz w:val="2"/>
                <w:szCs w:val="2"/>
              </w:rPr>
              <w:t>184F</w:t>
            </w:r>
            <w:r w:rsidR="00122C48" w:rsidRPr="00FD477B">
              <w:rPr>
                <w:rFonts w:ascii="ZWAdobeF" w:hAnsi="ZWAdobeF" w:cs="ZWAdobeF"/>
                <w:sz w:val="2"/>
                <w:szCs w:val="2"/>
              </w:rPr>
              <w:t>184F</w:t>
            </w:r>
            <w:r w:rsidR="00F73A23" w:rsidRPr="00FD477B">
              <w:rPr>
                <w:rFonts w:ascii="ZWAdobeF" w:hAnsi="ZWAdobeF" w:cs="ZWAdobeF"/>
                <w:sz w:val="2"/>
                <w:szCs w:val="2"/>
              </w:rPr>
              <w:t>184F</w:t>
            </w:r>
            <w:r w:rsidR="00626378">
              <w:rPr>
                <w:rFonts w:ascii="ZWAdobeF" w:hAnsi="ZWAdobeF" w:cs="ZWAdobeF"/>
                <w:color w:val="auto"/>
                <w:sz w:val="2"/>
                <w:szCs w:val="2"/>
              </w:rPr>
              <w:t>184F</w:t>
            </w:r>
            <w:r w:rsidR="00413811">
              <w:rPr>
                <w:rFonts w:ascii="ZWAdobeF" w:hAnsi="ZWAdobeF" w:cs="ZWAdobeF"/>
                <w:color w:val="auto"/>
                <w:sz w:val="2"/>
                <w:szCs w:val="2"/>
              </w:rPr>
              <w:t>184F</w:t>
            </w:r>
            <w:r w:rsidR="002C327C">
              <w:rPr>
                <w:rFonts w:ascii="ZWAdobeF" w:hAnsi="ZWAdobeF" w:cs="ZWAdobeF"/>
                <w:color w:val="auto"/>
                <w:sz w:val="2"/>
                <w:szCs w:val="2"/>
              </w:rPr>
              <w:t>184F</w:t>
            </w:r>
            <w:r w:rsidR="00D24A06">
              <w:rPr>
                <w:rFonts w:ascii="ZWAdobeF" w:hAnsi="ZWAdobeF" w:cs="ZWAdobeF"/>
                <w:color w:val="auto"/>
                <w:sz w:val="2"/>
                <w:szCs w:val="2"/>
              </w:rPr>
              <w:t>184F</w:t>
            </w:r>
            <w:r w:rsidRPr="001B092E">
              <w:rPr>
                <w:rStyle w:val="FootnoteReference"/>
                <w:rFonts w:asciiTheme="minorHAnsi" w:hAnsiTheme="minorHAnsi" w:cstheme="minorHAnsi"/>
                <w:sz w:val="16"/>
                <w:szCs w:val="16"/>
              </w:rPr>
              <w:footnoteReference w:id="186"/>
            </w:r>
            <w:r w:rsidRPr="001B092E">
              <w:rPr>
                <w:rFonts w:asciiTheme="minorHAnsi" w:hAnsiTheme="minorHAnsi" w:cstheme="minorHAnsi"/>
                <w:sz w:val="16"/>
                <w:szCs w:val="16"/>
              </w:rPr>
              <w:t xml:space="preserve"> </w:t>
            </w:r>
          </w:p>
        </w:tc>
        <w:tc>
          <w:tcPr>
            <w:tcW w:w="1527" w:type="dxa"/>
            <w:shd w:val="clear" w:color="auto" w:fill="auto"/>
            <w:hideMark/>
          </w:tcPr>
          <w:p w14:paraId="3A00E793" w14:textId="77777777" w:rsidR="00B151EF" w:rsidRPr="00FD477B" w:rsidRDefault="00B151EF" w:rsidP="00F00FAF">
            <w:pPr>
              <w:pStyle w:val="ListParagraph"/>
              <w:ind w:left="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6"/>
                <w:szCs w:val="16"/>
              </w:rPr>
            </w:pPr>
            <w:r w:rsidRPr="00FD477B">
              <w:rPr>
                <w:rFonts w:asciiTheme="minorHAnsi" w:hAnsiTheme="minorHAnsi" w:cstheme="minorHAnsi"/>
                <w:color w:val="000000" w:themeColor="text1"/>
                <w:sz w:val="16"/>
                <w:szCs w:val="16"/>
              </w:rPr>
              <w:t xml:space="preserve">Energy consumption performance standards (energy efficiency standards), certification standards, and residential construction client standards. </w:t>
            </w:r>
          </w:p>
        </w:tc>
        <w:tc>
          <w:tcPr>
            <w:tcW w:w="5812" w:type="dxa"/>
            <w:shd w:val="clear" w:color="auto" w:fill="auto"/>
          </w:tcPr>
          <w:p w14:paraId="33344F04" w14:textId="77777777"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The Law was introduced to promote energy efficiency and reduce the carbon footprint of buildings in the country. Japan is heavily dependent on imported fossil fuels to meet its energy needs, and the energy consumption of buildings accounts for a significant portion of the country's total energy use.</w:t>
            </w:r>
          </w:p>
          <w:p w14:paraId="2DC5E735" w14:textId="77777777" w:rsidR="00B151EF" w:rsidRPr="001B092E"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The Buildings Energy Efficiency Act regulates that all new constructions and retrofits may receive certification if they conform with certain efficiency standards. Certified buildings may then receive certain benefits, such as eased restrictions on building size (allowing developers to construct buildings with more floor space) and labelling to certify conformity with the standard.</w:t>
            </w:r>
          </w:p>
        </w:tc>
      </w:tr>
      <w:tr w:rsidR="00B151EF" w14:paraId="12FCE422" w14:textId="77777777" w:rsidTr="00FD477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D5A00A1" w14:textId="77777777" w:rsidR="00B151EF" w:rsidRPr="001B092E" w:rsidRDefault="00B151EF" w:rsidP="00F00FAF">
            <w:pPr>
              <w:rPr>
                <w:rFonts w:asciiTheme="minorHAnsi" w:hAnsiTheme="minorHAnsi" w:cstheme="minorHAnsi"/>
                <w:sz w:val="16"/>
                <w:szCs w:val="16"/>
              </w:rPr>
            </w:pPr>
            <w:r w:rsidRPr="001B092E">
              <w:rPr>
                <w:rFonts w:asciiTheme="minorHAnsi" w:hAnsiTheme="minorHAnsi" w:cstheme="minorHAnsi"/>
                <w:sz w:val="16"/>
                <w:szCs w:val="16"/>
              </w:rPr>
              <w:t>Washington, DC (US)</w:t>
            </w:r>
          </w:p>
        </w:tc>
        <w:tc>
          <w:tcPr>
            <w:tcW w:w="0" w:type="auto"/>
            <w:shd w:val="clear" w:color="auto" w:fill="auto"/>
            <w:hideMark/>
          </w:tcPr>
          <w:p w14:paraId="30D70F29" w14:textId="60D82557" w:rsidR="00B151EF" w:rsidRPr="001B092E"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t>Clean and Affordable Energy Act (</w:t>
            </w:r>
            <w:proofErr w:type="spellStart"/>
            <w:r w:rsidRPr="001B092E">
              <w:rPr>
                <w:rFonts w:asciiTheme="minorHAnsi" w:hAnsiTheme="minorHAnsi" w:cstheme="minorHAnsi"/>
                <w:sz w:val="16"/>
                <w:szCs w:val="16"/>
              </w:rPr>
              <w:t>CAEA</w:t>
            </w:r>
            <w:proofErr w:type="spellEnd"/>
            <w:r w:rsidRPr="001B092E">
              <w:rPr>
                <w:rFonts w:asciiTheme="minorHAnsi" w:hAnsiTheme="minorHAnsi" w:cstheme="minorHAnsi"/>
                <w:sz w:val="16"/>
                <w:szCs w:val="16"/>
              </w:rPr>
              <w:t xml:space="preserve">) of </w:t>
            </w:r>
            <w:proofErr w:type="spellStart"/>
            <w:r w:rsidRPr="001B092E">
              <w:rPr>
                <w:rFonts w:asciiTheme="minorHAnsi" w:hAnsiTheme="minorHAnsi" w:cstheme="minorHAnsi"/>
                <w:sz w:val="16"/>
                <w:szCs w:val="16"/>
              </w:rPr>
              <w:t>2008</w:t>
            </w:r>
            <w:r w:rsidR="002D0089" w:rsidRPr="00FD477B">
              <w:rPr>
                <w:rFonts w:ascii="ZWAdobeF" w:hAnsi="ZWAdobeF" w:cs="ZWAdobeF"/>
                <w:sz w:val="2"/>
                <w:szCs w:val="2"/>
              </w:rPr>
              <w:t>182F</w:t>
            </w:r>
            <w:r w:rsidR="00EE36E3" w:rsidRPr="00FD477B">
              <w:rPr>
                <w:rFonts w:ascii="ZWAdobeF" w:hAnsi="ZWAdobeF" w:cs="ZWAdobeF"/>
                <w:sz w:val="2"/>
                <w:szCs w:val="2"/>
              </w:rPr>
              <w:t>185F</w:t>
            </w:r>
            <w:r w:rsidR="00122C48" w:rsidRPr="00FD477B">
              <w:rPr>
                <w:rFonts w:ascii="ZWAdobeF" w:hAnsi="ZWAdobeF" w:cs="ZWAdobeF"/>
                <w:sz w:val="2"/>
                <w:szCs w:val="2"/>
              </w:rPr>
              <w:t>185F</w:t>
            </w:r>
            <w:r w:rsidR="00F73A23" w:rsidRPr="00FD477B">
              <w:rPr>
                <w:rFonts w:ascii="ZWAdobeF" w:hAnsi="ZWAdobeF" w:cs="ZWAdobeF"/>
                <w:sz w:val="2"/>
                <w:szCs w:val="2"/>
              </w:rPr>
              <w:t>185F</w:t>
            </w:r>
            <w:r w:rsidR="00626378">
              <w:rPr>
                <w:rFonts w:ascii="ZWAdobeF" w:hAnsi="ZWAdobeF" w:cs="ZWAdobeF"/>
                <w:color w:val="auto"/>
                <w:sz w:val="2"/>
                <w:szCs w:val="2"/>
              </w:rPr>
              <w:t>185F</w:t>
            </w:r>
            <w:r w:rsidR="00413811">
              <w:rPr>
                <w:rFonts w:ascii="ZWAdobeF" w:hAnsi="ZWAdobeF" w:cs="ZWAdobeF"/>
                <w:color w:val="auto"/>
                <w:sz w:val="2"/>
                <w:szCs w:val="2"/>
              </w:rPr>
              <w:t>185F</w:t>
            </w:r>
            <w:r w:rsidR="002C327C">
              <w:rPr>
                <w:rFonts w:ascii="ZWAdobeF" w:hAnsi="ZWAdobeF" w:cs="ZWAdobeF"/>
                <w:color w:val="auto"/>
                <w:sz w:val="2"/>
                <w:szCs w:val="2"/>
              </w:rPr>
              <w:t>185F</w:t>
            </w:r>
            <w:r w:rsidR="00D24A06">
              <w:rPr>
                <w:rFonts w:ascii="ZWAdobeF" w:hAnsi="ZWAdobeF" w:cs="ZWAdobeF"/>
                <w:color w:val="auto"/>
                <w:sz w:val="2"/>
                <w:szCs w:val="2"/>
              </w:rPr>
              <w:t>185F</w:t>
            </w:r>
            <w:proofErr w:type="spellEnd"/>
            <w:r w:rsidRPr="001B092E">
              <w:rPr>
                <w:rStyle w:val="FootnoteReference"/>
                <w:rFonts w:asciiTheme="minorHAnsi" w:hAnsiTheme="minorHAnsi" w:cstheme="minorHAnsi"/>
                <w:sz w:val="16"/>
                <w:szCs w:val="16"/>
              </w:rPr>
              <w:footnoteReference w:id="187"/>
            </w:r>
            <w:r w:rsidRPr="001B092E">
              <w:rPr>
                <w:rFonts w:asciiTheme="minorHAnsi" w:hAnsiTheme="minorHAnsi" w:cstheme="minorHAnsi"/>
                <w:sz w:val="16"/>
                <w:szCs w:val="16"/>
              </w:rPr>
              <w:t xml:space="preserve"> with </w:t>
            </w:r>
            <w:r w:rsidRPr="001B092E">
              <w:rPr>
                <w:rFonts w:asciiTheme="minorHAnsi" w:hAnsiTheme="minorHAnsi" w:cstheme="minorHAnsi"/>
                <w:sz w:val="16"/>
                <w:szCs w:val="16"/>
              </w:rPr>
              <w:lastRenderedPageBreak/>
              <w:t>updates in the 2018 Act</w:t>
            </w:r>
          </w:p>
        </w:tc>
        <w:tc>
          <w:tcPr>
            <w:tcW w:w="1527" w:type="dxa"/>
            <w:shd w:val="clear" w:color="auto" w:fill="auto"/>
            <w:hideMark/>
          </w:tcPr>
          <w:p w14:paraId="456D564F" w14:textId="5F1D6EBE"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1B092E">
              <w:rPr>
                <w:rFonts w:asciiTheme="minorHAnsi" w:hAnsiTheme="minorHAnsi" w:cstheme="minorHAnsi"/>
                <w:sz w:val="16"/>
                <w:szCs w:val="16"/>
              </w:rPr>
              <w:lastRenderedPageBreak/>
              <w:t>ENERGY STAR</w:t>
            </w:r>
            <w:r w:rsidR="002D0089" w:rsidRPr="00FD477B">
              <w:rPr>
                <w:rFonts w:ascii="ZWAdobeF" w:hAnsi="ZWAdobeF" w:cs="ZWAdobeF"/>
                <w:sz w:val="2"/>
                <w:szCs w:val="2"/>
              </w:rPr>
              <w:t>183F</w:t>
            </w:r>
            <w:r w:rsidR="00EE36E3" w:rsidRPr="00FD477B">
              <w:rPr>
                <w:rFonts w:ascii="ZWAdobeF" w:hAnsi="ZWAdobeF" w:cs="ZWAdobeF"/>
                <w:sz w:val="2"/>
                <w:szCs w:val="2"/>
              </w:rPr>
              <w:t>186F</w:t>
            </w:r>
            <w:r w:rsidR="00122C48" w:rsidRPr="00FD477B">
              <w:rPr>
                <w:rFonts w:ascii="ZWAdobeF" w:hAnsi="ZWAdobeF" w:cs="ZWAdobeF"/>
                <w:sz w:val="2"/>
                <w:szCs w:val="2"/>
              </w:rPr>
              <w:t>186F</w:t>
            </w:r>
            <w:r w:rsidR="00F73A23" w:rsidRPr="00FD477B">
              <w:rPr>
                <w:rFonts w:ascii="ZWAdobeF" w:hAnsi="ZWAdobeF" w:cs="ZWAdobeF"/>
                <w:sz w:val="2"/>
                <w:szCs w:val="2"/>
              </w:rPr>
              <w:t>186F</w:t>
            </w:r>
            <w:r w:rsidR="00626378">
              <w:rPr>
                <w:rFonts w:ascii="ZWAdobeF" w:hAnsi="ZWAdobeF" w:cs="ZWAdobeF"/>
                <w:color w:val="auto"/>
                <w:sz w:val="2"/>
                <w:szCs w:val="2"/>
              </w:rPr>
              <w:t>186F</w:t>
            </w:r>
            <w:r w:rsidR="00413811">
              <w:rPr>
                <w:rFonts w:ascii="ZWAdobeF" w:hAnsi="ZWAdobeF" w:cs="ZWAdobeF"/>
                <w:color w:val="auto"/>
                <w:sz w:val="2"/>
                <w:szCs w:val="2"/>
              </w:rPr>
              <w:t>186F</w:t>
            </w:r>
            <w:r w:rsidR="002C327C">
              <w:rPr>
                <w:rFonts w:ascii="ZWAdobeF" w:hAnsi="ZWAdobeF" w:cs="ZWAdobeF"/>
                <w:color w:val="auto"/>
                <w:sz w:val="2"/>
                <w:szCs w:val="2"/>
              </w:rPr>
              <w:t>186F</w:t>
            </w:r>
            <w:r w:rsidR="00D24A06">
              <w:rPr>
                <w:rFonts w:ascii="ZWAdobeF" w:hAnsi="ZWAdobeF" w:cs="ZWAdobeF"/>
                <w:color w:val="auto"/>
                <w:sz w:val="2"/>
                <w:szCs w:val="2"/>
              </w:rPr>
              <w:t>186F</w:t>
            </w:r>
            <w:r w:rsidRPr="00E63900">
              <w:rPr>
                <w:rStyle w:val="FootnoteReference"/>
                <w:rFonts w:asciiTheme="minorHAnsi" w:hAnsiTheme="minorHAnsi" w:cstheme="minorHAnsi"/>
                <w:sz w:val="16"/>
                <w:szCs w:val="16"/>
              </w:rPr>
              <w:footnoteReference w:id="188"/>
            </w:r>
            <w:r w:rsidRPr="00E63900">
              <w:rPr>
                <w:rFonts w:asciiTheme="minorHAnsi" w:hAnsiTheme="minorHAnsi" w:cstheme="minorHAnsi"/>
                <w:sz w:val="16"/>
                <w:szCs w:val="16"/>
              </w:rPr>
              <w:t xml:space="preserve">, Blended Custom </w:t>
            </w:r>
            <w:r w:rsidRPr="00E63900">
              <w:rPr>
                <w:rFonts w:asciiTheme="minorHAnsi" w:hAnsiTheme="minorHAnsi" w:cstheme="minorHAnsi"/>
                <w:sz w:val="16"/>
                <w:szCs w:val="16"/>
              </w:rPr>
              <w:lastRenderedPageBreak/>
              <w:t>Source Energy Use Intensity (EUI)</w:t>
            </w:r>
          </w:p>
        </w:tc>
        <w:tc>
          <w:tcPr>
            <w:tcW w:w="5812" w:type="dxa"/>
            <w:shd w:val="clear" w:color="auto" w:fill="auto"/>
            <w:hideMark/>
          </w:tcPr>
          <w:p w14:paraId="04534181" w14:textId="77777777"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lastRenderedPageBreak/>
              <w:t xml:space="preserve">The implementation of the </w:t>
            </w:r>
            <w:proofErr w:type="spellStart"/>
            <w:r w:rsidRPr="00E63900">
              <w:rPr>
                <w:rFonts w:asciiTheme="minorHAnsi" w:hAnsiTheme="minorHAnsi" w:cstheme="minorHAnsi"/>
                <w:sz w:val="16"/>
                <w:szCs w:val="16"/>
              </w:rPr>
              <w:t>CAEA</w:t>
            </w:r>
            <w:proofErr w:type="spellEnd"/>
            <w:r w:rsidRPr="00E63900">
              <w:rPr>
                <w:rFonts w:asciiTheme="minorHAnsi" w:hAnsiTheme="minorHAnsi" w:cstheme="minorHAnsi"/>
                <w:sz w:val="16"/>
                <w:szCs w:val="16"/>
              </w:rPr>
              <w:t xml:space="preserve"> is based on the recognition that buildings are a significant source of greenhouse gas emissions, accounting for about 74% of the city's total emissions. By improving the energy efficiency of buildings, it is possible to </w:t>
            </w:r>
            <w:r w:rsidRPr="00E63900">
              <w:rPr>
                <w:rFonts w:asciiTheme="minorHAnsi" w:hAnsiTheme="minorHAnsi" w:cstheme="minorHAnsi"/>
                <w:sz w:val="16"/>
                <w:szCs w:val="16"/>
              </w:rPr>
              <w:lastRenderedPageBreak/>
              <w:t>reduce energy consumption, lower utility bills, and cut down on greenhouse gas emissions.</w:t>
            </w:r>
          </w:p>
          <w:p w14:paraId="0904AA10" w14:textId="77777777"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In addition to promoting energy efficiency in buildings, the </w:t>
            </w:r>
            <w:proofErr w:type="spellStart"/>
            <w:r w:rsidRPr="00E63900">
              <w:rPr>
                <w:rFonts w:asciiTheme="minorHAnsi" w:hAnsiTheme="minorHAnsi" w:cstheme="minorHAnsi"/>
                <w:sz w:val="16"/>
                <w:szCs w:val="16"/>
              </w:rPr>
              <w:t>CAEA</w:t>
            </w:r>
            <w:proofErr w:type="spellEnd"/>
            <w:r w:rsidRPr="00E63900">
              <w:rPr>
                <w:rFonts w:asciiTheme="minorHAnsi" w:hAnsiTheme="minorHAnsi" w:cstheme="minorHAnsi"/>
                <w:sz w:val="16"/>
                <w:szCs w:val="16"/>
              </w:rPr>
              <w:t xml:space="preserve"> also includes provisions to increase the use of renewable energy sources. This includes a renewable portfolio standard that requires electricity suppliers to obtain a certain percentage of their electricity from renewable sources.</w:t>
            </w:r>
          </w:p>
        </w:tc>
      </w:tr>
      <w:tr w:rsidR="00B151EF" w14:paraId="28EF5A50"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AC8A84C" w14:textId="77777777" w:rsidR="00B151EF" w:rsidRPr="00E63900" w:rsidRDefault="00B151EF" w:rsidP="00F00FAF">
            <w:pPr>
              <w:rPr>
                <w:rFonts w:asciiTheme="minorHAnsi" w:hAnsiTheme="minorHAnsi" w:cstheme="minorHAnsi"/>
                <w:sz w:val="16"/>
                <w:szCs w:val="16"/>
              </w:rPr>
            </w:pPr>
            <w:r w:rsidRPr="00E63900">
              <w:rPr>
                <w:rFonts w:asciiTheme="minorHAnsi" w:hAnsiTheme="minorHAnsi" w:cstheme="minorHAnsi"/>
                <w:sz w:val="16"/>
                <w:szCs w:val="16"/>
              </w:rPr>
              <w:lastRenderedPageBreak/>
              <w:t>Washington State (US)</w:t>
            </w:r>
          </w:p>
        </w:tc>
        <w:tc>
          <w:tcPr>
            <w:tcW w:w="0" w:type="auto"/>
            <w:shd w:val="clear" w:color="auto" w:fill="auto"/>
            <w:hideMark/>
          </w:tcPr>
          <w:p w14:paraId="4EED2B13" w14:textId="77777777"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Clean Buildings Act, 2019</w:t>
            </w:r>
          </w:p>
        </w:tc>
        <w:tc>
          <w:tcPr>
            <w:tcW w:w="1527" w:type="dxa"/>
            <w:shd w:val="clear" w:color="auto" w:fill="auto"/>
            <w:hideMark/>
          </w:tcPr>
          <w:p w14:paraId="7B9A4BF8" w14:textId="77777777"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ENERGY STAR</w:t>
            </w:r>
          </w:p>
          <w:p w14:paraId="696161A7" w14:textId="77777777"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(Energy Use Intensity (EUI) metric)</w:t>
            </w:r>
          </w:p>
        </w:tc>
        <w:tc>
          <w:tcPr>
            <w:tcW w:w="5812" w:type="dxa"/>
            <w:shd w:val="clear" w:color="auto" w:fill="auto"/>
            <w:hideMark/>
          </w:tcPr>
          <w:p w14:paraId="19B60492" w14:textId="77777777"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Commercial and industrial buildings account for approximately 35% of energy consumption in the state, according to the Northwest Power and Conservation Council. </w:t>
            </w:r>
          </w:p>
          <w:p w14:paraId="76DA1F4A" w14:textId="77777777"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By targeting these larger buildings, the law aims to reduce energy consumption and greenhouse gas emissions, which is in line with Washington State's broader goal of reducing carbon emissions and transitioning to a clean energy future.</w:t>
            </w:r>
          </w:p>
        </w:tc>
      </w:tr>
      <w:tr w:rsidR="00B151EF" w14:paraId="1B1488F4" w14:textId="77777777" w:rsidTr="00FD477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1686F6E" w14:textId="77777777" w:rsidR="00B151EF" w:rsidRPr="00E63900" w:rsidRDefault="00B151EF" w:rsidP="00F00FAF">
            <w:pPr>
              <w:rPr>
                <w:rFonts w:asciiTheme="minorHAnsi" w:hAnsiTheme="minorHAnsi" w:cstheme="minorHAnsi"/>
                <w:sz w:val="16"/>
                <w:szCs w:val="16"/>
              </w:rPr>
            </w:pPr>
            <w:r w:rsidRPr="00E63900">
              <w:rPr>
                <w:rFonts w:asciiTheme="minorHAnsi" w:hAnsiTheme="minorHAnsi" w:cstheme="minorHAnsi"/>
                <w:sz w:val="16"/>
                <w:szCs w:val="16"/>
              </w:rPr>
              <w:t>California (US)</w:t>
            </w:r>
          </w:p>
        </w:tc>
        <w:tc>
          <w:tcPr>
            <w:tcW w:w="0" w:type="auto"/>
            <w:shd w:val="clear" w:color="auto" w:fill="auto"/>
            <w:hideMark/>
          </w:tcPr>
          <w:p w14:paraId="1E878390" w14:textId="072E5DB2"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Assembly Bill 1103</w:t>
            </w:r>
            <w:r w:rsidR="002D0089" w:rsidRPr="00FD477B">
              <w:rPr>
                <w:rFonts w:ascii="ZWAdobeF" w:hAnsi="ZWAdobeF" w:cs="ZWAdobeF"/>
                <w:sz w:val="2"/>
                <w:szCs w:val="2"/>
              </w:rPr>
              <w:t>184F</w:t>
            </w:r>
            <w:r w:rsidR="00EE36E3" w:rsidRPr="00FD477B">
              <w:rPr>
                <w:rFonts w:ascii="ZWAdobeF" w:hAnsi="ZWAdobeF" w:cs="ZWAdobeF"/>
                <w:sz w:val="2"/>
                <w:szCs w:val="2"/>
              </w:rPr>
              <w:t>187F</w:t>
            </w:r>
            <w:r w:rsidR="00122C48" w:rsidRPr="00FD477B">
              <w:rPr>
                <w:rFonts w:ascii="ZWAdobeF" w:hAnsi="ZWAdobeF" w:cs="ZWAdobeF"/>
                <w:sz w:val="2"/>
                <w:szCs w:val="2"/>
              </w:rPr>
              <w:t>187F</w:t>
            </w:r>
            <w:r w:rsidR="00F73A23" w:rsidRPr="00FD477B">
              <w:rPr>
                <w:rFonts w:ascii="ZWAdobeF" w:hAnsi="ZWAdobeF" w:cs="ZWAdobeF"/>
                <w:sz w:val="2"/>
                <w:szCs w:val="2"/>
              </w:rPr>
              <w:t>187F</w:t>
            </w:r>
            <w:r w:rsidR="00626378">
              <w:rPr>
                <w:rFonts w:ascii="ZWAdobeF" w:hAnsi="ZWAdobeF" w:cs="ZWAdobeF"/>
                <w:color w:val="auto"/>
                <w:sz w:val="2"/>
                <w:szCs w:val="2"/>
              </w:rPr>
              <w:t>187F</w:t>
            </w:r>
            <w:r w:rsidR="00413811">
              <w:rPr>
                <w:rFonts w:ascii="ZWAdobeF" w:hAnsi="ZWAdobeF" w:cs="ZWAdobeF"/>
                <w:color w:val="auto"/>
                <w:sz w:val="2"/>
                <w:szCs w:val="2"/>
              </w:rPr>
              <w:t>187F</w:t>
            </w:r>
            <w:r w:rsidR="002C327C">
              <w:rPr>
                <w:rFonts w:ascii="ZWAdobeF" w:hAnsi="ZWAdobeF" w:cs="ZWAdobeF"/>
                <w:color w:val="auto"/>
                <w:sz w:val="2"/>
                <w:szCs w:val="2"/>
              </w:rPr>
              <w:t>187F</w:t>
            </w:r>
            <w:r w:rsidR="00D24A06">
              <w:rPr>
                <w:rFonts w:ascii="ZWAdobeF" w:hAnsi="ZWAdobeF" w:cs="ZWAdobeF"/>
                <w:color w:val="auto"/>
                <w:sz w:val="2"/>
                <w:szCs w:val="2"/>
              </w:rPr>
              <w:t>187F</w:t>
            </w:r>
            <w:r w:rsidRPr="00E63900">
              <w:rPr>
                <w:rStyle w:val="FootnoteReference"/>
                <w:rFonts w:asciiTheme="minorHAnsi" w:hAnsiTheme="minorHAnsi" w:cstheme="minorHAnsi"/>
                <w:sz w:val="16"/>
                <w:szCs w:val="16"/>
              </w:rPr>
              <w:footnoteReference w:id="189"/>
            </w:r>
          </w:p>
        </w:tc>
        <w:tc>
          <w:tcPr>
            <w:tcW w:w="1527" w:type="dxa"/>
            <w:shd w:val="clear" w:color="auto" w:fill="auto"/>
            <w:hideMark/>
          </w:tcPr>
          <w:p w14:paraId="4FCEF26C" w14:textId="77777777"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ENERGY STAR </w:t>
            </w:r>
          </w:p>
        </w:tc>
        <w:tc>
          <w:tcPr>
            <w:tcW w:w="5812" w:type="dxa"/>
            <w:shd w:val="clear" w:color="auto" w:fill="auto"/>
            <w:hideMark/>
          </w:tcPr>
          <w:p w14:paraId="423C36F1" w14:textId="77777777"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The rationale behind applying AB 1103 to non-residential buildings in California is to increase transparency in building energy use and to encourage building owners and operators to improve the energy efficiency of their properties.</w:t>
            </w:r>
          </w:p>
        </w:tc>
      </w:tr>
      <w:tr w:rsidR="00B151EF" w14:paraId="0B0295A7" w14:textId="77777777" w:rsidTr="00FD4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D6C477" w14:textId="77777777" w:rsidR="00B151EF" w:rsidRPr="00E63900" w:rsidRDefault="00B151EF" w:rsidP="00F00FAF">
            <w:pPr>
              <w:rPr>
                <w:rFonts w:asciiTheme="minorHAnsi" w:hAnsiTheme="minorHAnsi" w:cstheme="minorHAnsi"/>
                <w:sz w:val="16"/>
                <w:szCs w:val="16"/>
              </w:rPr>
            </w:pPr>
            <w:r w:rsidRPr="00E63900">
              <w:rPr>
                <w:rFonts w:asciiTheme="minorHAnsi" w:hAnsiTheme="minorHAnsi" w:cstheme="minorHAnsi"/>
                <w:sz w:val="16"/>
                <w:szCs w:val="16"/>
              </w:rPr>
              <w:t>New York City</w:t>
            </w:r>
          </w:p>
        </w:tc>
        <w:tc>
          <w:tcPr>
            <w:tcW w:w="0" w:type="auto"/>
            <w:shd w:val="clear" w:color="auto" w:fill="auto"/>
            <w:hideMark/>
          </w:tcPr>
          <w:p w14:paraId="333C028A" w14:textId="18CD3402"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Climate Mobilization Act (Local Law 97), 2019</w:t>
            </w:r>
            <w:r w:rsidR="002D0089" w:rsidRPr="00FD477B">
              <w:rPr>
                <w:rFonts w:ascii="ZWAdobeF" w:hAnsi="ZWAdobeF" w:cs="ZWAdobeF"/>
                <w:sz w:val="2"/>
                <w:szCs w:val="2"/>
              </w:rPr>
              <w:t>185F</w:t>
            </w:r>
            <w:r w:rsidR="00EE36E3" w:rsidRPr="00FD477B">
              <w:rPr>
                <w:rFonts w:ascii="ZWAdobeF" w:hAnsi="ZWAdobeF" w:cs="ZWAdobeF"/>
                <w:sz w:val="2"/>
                <w:szCs w:val="2"/>
              </w:rPr>
              <w:t>188F</w:t>
            </w:r>
            <w:r w:rsidR="00122C48" w:rsidRPr="00FD477B">
              <w:rPr>
                <w:rFonts w:ascii="ZWAdobeF" w:hAnsi="ZWAdobeF" w:cs="ZWAdobeF"/>
                <w:sz w:val="2"/>
                <w:szCs w:val="2"/>
              </w:rPr>
              <w:t>188F</w:t>
            </w:r>
            <w:r w:rsidR="00F73A23" w:rsidRPr="00FD477B">
              <w:rPr>
                <w:rFonts w:ascii="ZWAdobeF" w:hAnsi="ZWAdobeF" w:cs="ZWAdobeF"/>
                <w:sz w:val="2"/>
                <w:szCs w:val="2"/>
              </w:rPr>
              <w:t>188F</w:t>
            </w:r>
            <w:r w:rsidR="00626378">
              <w:rPr>
                <w:rFonts w:ascii="ZWAdobeF" w:hAnsi="ZWAdobeF" w:cs="ZWAdobeF"/>
                <w:color w:val="auto"/>
                <w:sz w:val="2"/>
                <w:szCs w:val="2"/>
              </w:rPr>
              <w:t>188F</w:t>
            </w:r>
            <w:r w:rsidR="00413811">
              <w:rPr>
                <w:rFonts w:ascii="ZWAdobeF" w:hAnsi="ZWAdobeF" w:cs="ZWAdobeF"/>
                <w:color w:val="auto"/>
                <w:sz w:val="2"/>
                <w:szCs w:val="2"/>
              </w:rPr>
              <w:t>188F</w:t>
            </w:r>
            <w:r w:rsidR="002C327C">
              <w:rPr>
                <w:rFonts w:ascii="ZWAdobeF" w:hAnsi="ZWAdobeF" w:cs="ZWAdobeF"/>
                <w:color w:val="auto"/>
                <w:sz w:val="2"/>
                <w:szCs w:val="2"/>
              </w:rPr>
              <w:t>188F</w:t>
            </w:r>
            <w:r w:rsidR="00D24A06">
              <w:rPr>
                <w:rFonts w:ascii="ZWAdobeF" w:hAnsi="ZWAdobeF" w:cs="ZWAdobeF"/>
                <w:color w:val="auto"/>
                <w:sz w:val="2"/>
                <w:szCs w:val="2"/>
              </w:rPr>
              <w:t>188F</w:t>
            </w:r>
            <w:r w:rsidRPr="00E63900">
              <w:rPr>
                <w:rStyle w:val="FootnoteReference"/>
                <w:rFonts w:asciiTheme="minorHAnsi" w:hAnsiTheme="minorHAnsi" w:cstheme="minorHAnsi"/>
                <w:sz w:val="16"/>
                <w:szCs w:val="16"/>
              </w:rPr>
              <w:footnoteReference w:id="190"/>
            </w:r>
          </w:p>
        </w:tc>
        <w:tc>
          <w:tcPr>
            <w:tcW w:w="1527" w:type="dxa"/>
            <w:shd w:val="clear" w:color="auto" w:fill="auto"/>
            <w:hideMark/>
          </w:tcPr>
          <w:p w14:paraId="203A44F9" w14:textId="77777777"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Report ENERGY STAR score, or Leadership in Energy and Environmental Design (LEED)</w:t>
            </w:r>
          </w:p>
        </w:tc>
        <w:tc>
          <w:tcPr>
            <w:tcW w:w="5812" w:type="dxa"/>
            <w:shd w:val="clear" w:color="auto" w:fill="auto"/>
            <w:hideMark/>
          </w:tcPr>
          <w:p w14:paraId="770EBA00" w14:textId="2207684A" w:rsidR="00B151EF" w:rsidRPr="00E63900" w:rsidRDefault="00B151EF" w:rsidP="00F00FA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 xml:space="preserve">The decision to apply Local Law 97 to buildings larger than 25,000 square feet is based on a combination of factors related to energy usage, ownership and management, and the overall impact of these buildings on the urban environment. By targeting larger buildings, the law </w:t>
            </w:r>
            <w:proofErr w:type="gramStart"/>
            <w:r w:rsidRPr="00E63900">
              <w:rPr>
                <w:rFonts w:asciiTheme="minorHAnsi" w:hAnsiTheme="minorHAnsi" w:cstheme="minorHAnsi"/>
                <w:sz w:val="16"/>
                <w:szCs w:val="16"/>
              </w:rPr>
              <w:t>is able to</w:t>
            </w:r>
            <w:proofErr w:type="gramEnd"/>
            <w:r w:rsidRPr="00E63900">
              <w:rPr>
                <w:rFonts w:asciiTheme="minorHAnsi" w:hAnsiTheme="minorHAnsi" w:cstheme="minorHAnsi"/>
                <w:sz w:val="16"/>
                <w:szCs w:val="16"/>
              </w:rPr>
              <w:t xml:space="preserve"> have a significant impact on reducing energy usage and greenhouse gas emissions in the city, which is critical for achieving the city's sustainability goals. Buildings covered by the policy include approximately 40,000 New York City buildings and although this is around 4%</w:t>
            </w:r>
            <w:r w:rsidR="002D0089" w:rsidRPr="00FD477B">
              <w:rPr>
                <w:rFonts w:ascii="ZWAdobeF" w:hAnsi="ZWAdobeF" w:cs="ZWAdobeF"/>
                <w:sz w:val="2"/>
                <w:szCs w:val="2"/>
              </w:rPr>
              <w:t>186F</w:t>
            </w:r>
            <w:r w:rsidR="00EE36E3" w:rsidRPr="00FD477B">
              <w:rPr>
                <w:rFonts w:ascii="ZWAdobeF" w:hAnsi="ZWAdobeF" w:cs="ZWAdobeF"/>
                <w:sz w:val="2"/>
                <w:szCs w:val="2"/>
              </w:rPr>
              <w:t>189F</w:t>
            </w:r>
            <w:r w:rsidR="00122C48" w:rsidRPr="00FD477B">
              <w:rPr>
                <w:rFonts w:ascii="ZWAdobeF" w:hAnsi="ZWAdobeF" w:cs="ZWAdobeF"/>
                <w:sz w:val="2"/>
                <w:szCs w:val="2"/>
              </w:rPr>
              <w:t>189F</w:t>
            </w:r>
            <w:r w:rsidR="00F73A23" w:rsidRPr="00FD477B">
              <w:rPr>
                <w:rFonts w:ascii="ZWAdobeF" w:hAnsi="ZWAdobeF" w:cs="ZWAdobeF"/>
                <w:sz w:val="2"/>
                <w:szCs w:val="2"/>
              </w:rPr>
              <w:t>189F</w:t>
            </w:r>
            <w:r w:rsidR="00626378">
              <w:rPr>
                <w:rFonts w:ascii="ZWAdobeF" w:hAnsi="ZWAdobeF" w:cs="ZWAdobeF"/>
                <w:color w:val="auto"/>
                <w:sz w:val="2"/>
                <w:szCs w:val="2"/>
              </w:rPr>
              <w:t>189F</w:t>
            </w:r>
            <w:r w:rsidR="00413811">
              <w:rPr>
                <w:rFonts w:ascii="ZWAdobeF" w:hAnsi="ZWAdobeF" w:cs="ZWAdobeF"/>
                <w:color w:val="auto"/>
                <w:sz w:val="2"/>
                <w:szCs w:val="2"/>
              </w:rPr>
              <w:t>189F</w:t>
            </w:r>
            <w:r w:rsidR="002C327C">
              <w:rPr>
                <w:rFonts w:ascii="ZWAdobeF" w:hAnsi="ZWAdobeF" w:cs="ZWAdobeF"/>
                <w:color w:val="auto"/>
                <w:sz w:val="2"/>
                <w:szCs w:val="2"/>
              </w:rPr>
              <w:t>189F</w:t>
            </w:r>
            <w:r w:rsidR="00D24A06">
              <w:rPr>
                <w:rFonts w:ascii="ZWAdobeF" w:hAnsi="ZWAdobeF" w:cs="ZWAdobeF"/>
                <w:color w:val="auto"/>
                <w:sz w:val="2"/>
                <w:szCs w:val="2"/>
              </w:rPr>
              <w:t>189F</w:t>
            </w:r>
            <w:r w:rsidRPr="00E63900">
              <w:rPr>
                <w:rStyle w:val="FootnoteReference"/>
                <w:rFonts w:asciiTheme="minorHAnsi" w:hAnsiTheme="minorHAnsi" w:cstheme="minorHAnsi"/>
                <w:sz w:val="16"/>
                <w:szCs w:val="16"/>
              </w:rPr>
              <w:footnoteReference w:id="191"/>
            </w:r>
            <w:r w:rsidRPr="00E63900">
              <w:rPr>
                <w:rFonts w:asciiTheme="minorHAnsi" w:hAnsiTheme="minorHAnsi" w:cstheme="minorHAnsi"/>
                <w:sz w:val="16"/>
                <w:szCs w:val="16"/>
              </w:rPr>
              <w:t xml:space="preserve"> this covers nearly 60 percent of the city's building area.</w:t>
            </w:r>
            <w:r w:rsidR="002D0089" w:rsidRPr="00FD477B">
              <w:rPr>
                <w:rFonts w:ascii="ZWAdobeF" w:hAnsi="ZWAdobeF" w:cs="ZWAdobeF"/>
                <w:sz w:val="2"/>
                <w:szCs w:val="2"/>
              </w:rPr>
              <w:t>187F</w:t>
            </w:r>
            <w:r w:rsidR="00EE36E3" w:rsidRPr="00FD477B">
              <w:rPr>
                <w:rFonts w:ascii="ZWAdobeF" w:hAnsi="ZWAdobeF" w:cs="ZWAdobeF"/>
                <w:sz w:val="2"/>
                <w:szCs w:val="2"/>
              </w:rPr>
              <w:t>190F</w:t>
            </w:r>
            <w:r w:rsidR="00122C48" w:rsidRPr="00FD477B">
              <w:rPr>
                <w:rFonts w:ascii="ZWAdobeF" w:hAnsi="ZWAdobeF" w:cs="ZWAdobeF"/>
                <w:sz w:val="2"/>
                <w:szCs w:val="2"/>
              </w:rPr>
              <w:t>190F</w:t>
            </w:r>
            <w:r w:rsidR="00F73A23" w:rsidRPr="00FD477B">
              <w:rPr>
                <w:rFonts w:ascii="ZWAdobeF" w:hAnsi="ZWAdobeF" w:cs="ZWAdobeF"/>
                <w:sz w:val="2"/>
                <w:szCs w:val="2"/>
              </w:rPr>
              <w:t>190F</w:t>
            </w:r>
            <w:r w:rsidR="00626378">
              <w:rPr>
                <w:rFonts w:ascii="ZWAdobeF" w:hAnsi="ZWAdobeF" w:cs="ZWAdobeF"/>
                <w:color w:val="auto"/>
                <w:sz w:val="2"/>
                <w:szCs w:val="2"/>
              </w:rPr>
              <w:t>190F</w:t>
            </w:r>
            <w:r w:rsidR="00413811">
              <w:rPr>
                <w:rFonts w:ascii="ZWAdobeF" w:hAnsi="ZWAdobeF" w:cs="ZWAdobeF"/>
                <w:color w:val="auto"/>
                <w:sz w:val="2"/>
                <w:szCs w:val="2"/>
              </w:rPr>
              <w:t>190F</w:t>
            </w:r>
            <w:r w:rsidR="002C327C">
              <w:rPr>
                <w:rFonts w:ascii="ZWAdobeF" w:hAnsi="ZWAdobeF" w:cs="ZWAdobeF"/>
                <w:color w:val="auto"/>
                <w:sz w:val="2"/>
                <w:szCs w:val="2"/>
              </w:rPr>
              <w:t>190F</w:t>
            </w:r>
            <w:r w:rsidR="00D24A06">
              <w:rPr>
                <w:rFonts w:ascii="ZWAdobeF" w:hAnsi="ZWAdobeF" w:cs="ZWAdobeF"/>
                <w:color w:val="auto"/>
                <w:sz w:val="2"/>
                <w:szCs w:val="2"/>
              </w:rPr>
              <w:t>190F</w:t>
            </w:r>
            <w:r w:rsidRPr="00E63900">
              <w:rPr>
                <w:rStyle w:val="FootnoteReference"/>
                <w:rFonts w:asciiTheme="minorHAnsi" w:hAnsiTheme="minorHAnsi" w:cstheme="minorHAnsi"/>
                <w:sz w:val="16"/>
                <w:szCs w:val="16"/>
              </w:rPr>
              <w:footnoteReference w:id="192"/>
            </w:r>
          </w:p>
        </w:tc>
      </w:tr>
      <w:tr w:rsidR="00B151EF" w14:paraId="21025956" w14:textId="77777777" w:rsidTr="00FD477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33E0AF" w14:textId="77777777" w:rsidR="00B151EF" w:rsidRPr="00E63900" w:rsidRDefault="00B151EF" w:rsidP="00F00FAF">
            <w:pPr>
              <w:rPr>
                <w:rFonts w:asciiTheme="minorHAnsi" w:hAnsiTheme="minorHAnsi" w:cstheme="minorHAnsi"/>
                <w:sz w:val="16"/>
                <w:szCs w:val="16"/>
              </w:rPr>
            </w:pPr>
            <w:r w:rsidRPr="00E63900">
              <w:rPr>
                <w:rFonts w:asciiTheme="minorHAnsi" w:hAnsiTheme="minorHAnsi" w:cstheme="minorHAnsi"/>
                <w:sz w:val="16"/>
                <w:szCs w:val="16"/>
              </w:rPr>
              <w:t>South Korea</w:t>
            </w:r>
          </w:p>
        </w:tc>
        <w:tc>
          <w:tcPr>
            <w:tcW w:w="0" w:type="auto"/>
            <w:shd w:val="clear" w:color="auto" w:fill="auto"/>
            <w:hideMark/>
          </w:tcPr>
          <w:p w14:paraId="4A3FA28B" w14:textId="77777777"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Building Energy Efficiency Rating and Disclosure System (BEERS), 2012</w:t>
            </w:r>
          </w:p>
        </w:tc>
        <w:tc>
          <w:tcPr>
            <w:tcW w:w="1527" w:type="dxa"/>
            <w:shd w:val="clear" w:color="auto" w:fill="auto"/>
            <w:hideMark/>
          </w:tcPr>
          <w:p w14:paraId="064B89D6" w14:textId="77777777"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Point system, with a maximum of 100 points possible. Buildings are evaluated on their energy consumption per unit area (kWh/m2/year), and a higher score indicates greater energy efficiency.</w:t>
            </w:r>
          </w:p>
        </w:tc>
        <w:tc>
          <w:tcPr>
            <w:tcW w:w="5812" w:type="dxa"/>
            <w:shd w:val="clear" w:color="auto" w:fill="auto"/>
            <w:hideMark/>
          </w:tcPr>
          <w:p w14:paraId="0E745C37" w14:textId="77777777" w:rsidR="00B151EF" w:rsidRPr="00E63900" w:rsidRDefault="00B151EF" w:rsidP="00F00F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63900">
              <w:rPr>
                <w:rFonts w:asciiTheme="minorHAnsi" w:hAnsiTheme="minorHAnsi" w:cstheme="minorHAnsi"/>
                <w:sz w:val="16"/>
                <w:szCs w:val="16"/>
              </w:rPr>
              <w:t>BEERS was implemented for commercial buildings in South Korea to improve their energy efficiency, reduce energy consumption and costs, lower greenhouse gas emissions, and meet the growing demand for sustainable buildings.</w:t>
            </w:r>
          </w:p>
        </w:tc>
      </w:tr>
    </w:tbl>
    <w:p w14:paraId="722A0A49" w14:textId="77777777" w:rsidR="00D923E9" w:rsidRPr="00E63900" w:rsidRDefault="00D923E9" w:rsidP="00D923E9">
      <w:pPr>
        <w:spacing w:before="0" w:after="160" w:line="259" w:lineRule="auto"/>
        <w:rPr>
          <w:rFonts w:asciiTheme="minorHAnsi" w:eastAsiaTheme="majorEastAsia" w:hAnsiTheme="minorHAnsi" w:cstheme="minorHAnsi"/>
          <w:b/>
          <w:color w:val="1E49E2" w:themeColor="accent1"/>
          <w:sz w:val="28"/>
          <w:szCs w:val="24"/>
          <w:lang w:val="en-GB"/>
        </w:rPr>
      </w:pPr>
    </w:p>
    <w:p w14:paraId="19A65309" w14:textId="77777777" w:rsidR="00D923E9" w:rsidRPr="00E63900" w:rsidRDefault="00D923E9" w:rsidP="00A939DD">
      <w:pPr>
        <w:pStyle w:val="BodyText"/>
        <w:rPr>
          <w:rFonts w:asciiTheme="minorHAnsi" w:hAnsiTheme="minorHAnsi" w:cstheme="minorHAnsi"/>
          <w:lang w:val="en-GB"/>
        </w:rPr>
      </w:pPr>
    </w:p>
    <w:p w14:paraId="7BB13CF6" w14:textId="77777777" w:rsidR="0019528D" w:rsidRPr="00E63900" w:rsidRDefault="0019528D">
      <w:pPr>
        <w:spacing w:before="0" w:after="160" w:line="259" w:lineRule="auto"/>
        <w:rPr>
          <w:rFonts w:asciiTheme="minorHAnsi" w:eastAsiaTheme="majorEastAsia" w:hAnsiTheme="minorHAnsi" w:cstheme="minorHAnsi"/>
          <w:b/>
          <w:color w:val="1E49E2" w:themeColor="accent1"/>
          <w:sz w:val="28"/>
          <w:szCs w:val="24"/>
          <w:lang w:val="en-GB"/>
        </w:rPr>
      </w:pPr>
      <w:bookmarkStart w:id="303" w:name="_Toc136286399"/>
      <w:bookmarkStart w:id="304" w:name="_Toc133844047"/>
      <w:bookmarkStart w:id="305" w:name="_Toc132295393"/>
      <w:bookmarkStart w:id="306" w:name="_Toc132295414"/>
      <w:r w:rsidRPr="00E63900">
        <w:rPr>
          <w:rFonts w:asciiTheme="minorHAnsi" w:hAnsiTheme="minorHAnsi" w:cstheme="minorHAnsi"/>
          <w:lang w:val="en-GB"/>
        </w:rPr>
        <w:br w:type="page"/>
      </w:r>
    </w:p>
    <w:p w14:paraId="6CCB0A19" w14:textId="129BDBDC" w:rsidR="004737E9" w:rsidRPr="00F81ADB" w:rsidRDefault="004737E9" w:rsidP="00214D42">
      <w:pPr>
        <w:pStyle w:val="Heading2"/>
        <w:rPr>
          <w:rFonts w:cstheme="minorHAnsi"/>
          <w:lang w:val="en-GB"/>
        </w:rPr>
      </w:pPr>
      <w:bookmarkStart w:id="307" w:name="_Toc154059397"/>
      <w:r w:rsidRPr="00F81ADB">
        <w:rPr>
          <w:rFonts w:cstheme="minorHAnsi"/>
          <w:lang w:val="en-GB"/>
        </w:rPr>
        <w:lastRenderedPageBreak/>
        <w:t xml:space="preserve">Appendix </w:t>
      </w:r>
      <w:r w:rsidR="00182AB2">
        <w:rPr>
          <w:rFonts w:cstheme="minorHAnsi"/>
          <w:lang w:val="en-GB"/>
        </w:rPr>
        <w:t>9</w:t>
      </w:r>
      <w:r w:rsidRPr="00F81ADB">
        <w:rPr>
          <w:rFonts w:cstheme="minorHAnsi"/>
          <w:lang w:val="en-GB"/>
        </w:rPr>
        <w:t xml:space="preserve">: Detail on Energy Star and </w:t>
      </w:r>
      <w:proofErr w:type="spellStart"/>
      <w:r w:rsidRPr="00F81ADB">
        <w:rPr>
          <w:rFonts w:cstheme="minorHAnsi"/>
          <w:lang w:val="en-GB"/>
        </w:rPr>
        <w:t>EPCs</w:t>
      </w:r>
      <w:bookmarkEnd w:id="303"/>
      <w:bookmarkEnd w:id="307"/>
      <w:proofErr w:type="spellEnd"/>
    </w:p>
    <w:p w14:paraId="250D9384" w14:textId="244BC07F" w:rsidR="00FD477B" w:rsidRDefault="0019528D" w:rsidP="00760D92">
      <w:pPr>
        <w:rPr>
          <w:rFonts w:asciiTheme="minorHAnsi" w:hAnsiTheme="minorHAnsi" w:cstheme="minorHAnsi"/>
        </w:rPr>
      </w:pPr>
      <w:r w:rsidRPr="00E63900">
        <w:rPr>
          <w:rFonts w:asciiTheme="minorHAnsi" w:hAnsiTheme="minorHAnsi" w:cstheme="minorHAnsi"/>
        </w:rPr>
        <w:t>A summary of the ENERGY STAR scheme and EPC scheme is provided below</w:t>
      </w:r>
      <w:r w:rsidR="00AD6AE3" w:rsidRPr="00E63900">
        <w:rPr>
          <w:rFonts w:asciiTheme="minorHAnsi" w:hAnsiTheme="minorHAnsi" w:cstheme="minorHAnsi"/>
        </w:rPr>
        <w:t xml:space="preserve"> (Boxes </w:t>
      </w:r>
      <w:r w:rsidR="007A5A28">
        <w:rPr>
          <w:rFonts w:asciiTheme="minorHAnsi" w:hAnsiTheme="minorHAnsi" w:cstheme="minorHAnsi"/>
        </w:rPr>
        <w:t>3</w:t>
      </w:r>
      <w:r w:rsidR="00AD6AE3" w:rsidRPr="00E63900">
        <w:rPr>
          <w:rFonts w:asciiTheme="minorHAnsi" w:hAnsiTheme="minorHAnsi" w:cstheme="minorHAnsi"/>
        </w:rPr>
        <w:t xml:space="preserve"> and </w:t>
      </w:r>
      <w:r w:rsidR="007A5A28">
        <w:rPr>
          <w:rFonts w:asciiTheme="minorHAnsi" w:hAnsiTheme="minorHAnsi" w:cstheme="minorHAnsi"/>
        </w:rPr>
        <w:t>4</w:t>
      </w:r>
      <w:r w:rsidR="00AD6AE3" w:rsidRPr="00E63900">
        <w:rPr>
          <w:rFonts w:asciiTheme="minorHAnsi" w:hAnsiTheme="minorHAnsi" w:cstheme="minorHAnsi"/>
        </w:rPr>
        <w:t>)</w:t>
      </w:r>
      <w:r w:rsidRPr="00E63900">
        <w:rPr>
          <w:rFonts w:asciiTheme="minorHAnsi" w:hAnsiTheme="minorHAnsi" w:cstheme="minorHAnsi"/>
        </w:rPr>
        <w:t xml:space="preserve">. </w:t>
      </w:r>
      <w:r w:rsidR="00760D92" w:rsidRPr="00E63900">
        <w:rPr>
          <w:rFonts w:asciiTheme="minorHAnsi" w:hAnsiTheme="minorHAnsi" w:cstheme="minorHAnsi"/>
        </w:rPr>
        <w:t xml:space="preserve">Details on </w:t>
      </w:r>
      <w:r w:rsidR="001A0C6E" w:rsidRPr="00E63900">
        <w:rPr>
          <w:rFonts w:asciiTheme="minorHAnsi" w:hAnsiTheme="minorHAnsi" w:cstheme="minorHAnsi"/>
        </w:rPr>
        <w:t>Box 3 from</w:t>
      </w:r>
      <w:r w:rsidR="002D0089">
        <w:rPr>
          <w:rFonts w:ascii="ZWAdobeF" w:hAnsi="ZWAdobeF" w:cs="ZWAdobeF"/>
          <w:color w:val="auto"/>
          <w:sz w:val="2"/>
          <w:szCs w:val="2"/>
        </w:rPr>
        <w:t>188F</w:t>
      </w:r>
      <w:r w:rsidR="00EE36E3">
        <w:rPr>
          <w:rFonts w:ascii="ZWAdobeF" w:hAnsi="ZWAdobeF" w:cs="ZWAdobeF"/>
          <w:color w:val="auto"/>
          <w:sz w:val="2"/>
          <w:szCs w:val="2"/>
        </w:rPr>
        <w:t>191F</w:t>
      </w:r>
      <w:r w:rsidR="00122C48">
        <w:rPr>
          <w:rFonts w:ascii="ZWAdobeF" w:hAnsi="ZWAdobeF" w:cs="ZWAdobeF"/>
          <w:color w:val="auto"/>
          <w:sz w:val="2"/>
          <w:szCs w:val="2"/>
        </w:rPr>
        <w:t>191F</w:t>
      </w:r>
      <w:r w:rsidR="00F73A23">
        <w:rPr>
          <w:rFonts w:ascii="ZWAdobeF" w:hAnsi="ZWAdobeF" w:cs="ZWAdobeF"/>
          <w:color w:val="auto"/>
          <w:sz w:val="2"/>
          <w:szCs w:val="2"/>
        </w:rPr>
        <w:t>191F</w:t>
      </w:r>
      <w:r w:rsidR="00626378">
        <w:rPr>
          <w:rFonts w:ascii="ZWAdobeF" w:hAnsi="ZWAdobeF" w:cs="ZWAdobeF"/>
          <w:color w:val="auto"/>
          <w:sz w:val="2"/>
          <w:szCs w:val="2"/>
        </w:rPr>
        <w:t>191F</w:t>
      </w:r>
      <w:r w:rsidR="00413811">
        <w:rPr>
          <w:rFonts w:ascii="ZWAdobeF" w:hAnsi="ZWAdobeF" w:cs="ZWAdobeF"/>
          <w:color w:val="auto"/>
          <w:sz w:val="2"/>
          <w:szCs w:val="2"/>
        </w:rPr>
        <w:t>191F</w:t>
      </w:r>
      <w:r w:rsidR="002C327C">
        <w:rPr>
          <w:rFonts w:ascii="ZWAdobeF" w:hAnsi="ZWAdobeF" w:cs="ZWAdobeF"/>
          <w:color w:val="auto"/>
          <w:sz w:val="2"/>
          <w:szCs w:val="2"/>
        </w:rPr>
        <w:t>191F</w:t>
      </w:r>
      <w:r w:rsidR="00D24A06">
        <w:rPr>
          <w:rFonts w:ascii="ZWAdobeF" w:hAnsi="ZWAdobeF" w:cs="ZWAdobeF"/>
          <w:color w:val="auto"/>
          <w:sz w:val="2"/>
          <w:szCs w:val="2"/>
        </w:rPr>
        <w:t>191F</w:t>
      </w:r>
      <w:r w:rsidR="001A0C6E" w:rsidRPr="00E63900">
        <w:rPr>
          <w:rFonts w:asciiTheme="minorHAnsi" w:hAnsiTheme="minorHAnsi" w:cstheme="minorHAnsi"/>
          <w:vertAlign w:val="superscript"/>
        </w:rPr>
        <w:footnoteReference w:id="193"/>
      </w:r>
      <w:r w:rsidR="001A0C6E" w:rsidRPr="00E63900">
        <w:rPr>
          <w:rFonts w:asciiTheme="minorHAnsi" w:hAnsiTheme="minorHAnsi" w:cstheme="minorHAnsi"/>
          <w:vertAlign w:val="superscript"/>
        </w:rPr>
        <w:t>,</w:t>
      </w:r>
      <w:r w:rsidR="002D0089">
        <w:rPr>
          <w:rFonts w:ascii="ZWAdobeF" w:hAnsi="ZWAdobeF" w:cs="ZWAdobeF"/>
          <w:color w:val="auto"/>
          <w:sz w:val="2"/>
          <w:szCs w:val="2"/>
        </w:rPr>
        <w:t>189F</w:t>
      </w:r>
      <w:r w:rsidR="00EE36E3">
        <w:rPr>
          <w:rFonts w:ascii="ZWAdobeF" w:hAnsi="ZWAdobeF" w:cs="ZWAdobeF"/>
          <w:color w:val="auto"/>
          <w:sz w:val="2"/>
          <w:szCs w:val="2"/>
        </w:rPr>
        <w:t>192F</w:t>
      </w:r>
      <w:r w:rsidR="00122C48">
        <w:rPr>
          <w:rFonts w:ascii="ZWAdobeF" w:hAnsi="ZWAdobeF" w:cs="ZWAdobeF"/>
          <w:color w:val="auto"/>
          <w:sz w:val="2"/>
          <w:szCs w:val="2"/>
        </w:rPr>
        <w:t>192F</w:t>
      </w:r>
      <w:r w:rsidR="00F73A23">
        <w:rPr>
          <w:rFonts w:ascii="ZWAdobeF" w:hAnsi="ZWAdobeF" w:cs="ZWAdobeF"/>
          <w:color w:val="auto"/>
          <w:sz w:val="2"/>
          <w:szCs w:val="2"/>
        </w:rPr>
        <w:t>192F</w:t>
      </w:r>
      <w:r w:rsidR="00626378">
        <w:rPr>
          <w:rFonts w:ascii="ZWAdobeF" w:hAnsi="ZWAdobeF" w:cs="ZWAdobeF"/>
          <w:color w:val="auto"/>
          <w:sz w:val="2"/>
          <w:szCs w:val="2"/>
        </w:rPr>
        <w:t>192F</w:t>
      </w:r>
      <w:r w:rsidR="00413811">
        <w:rPr>
          <w:rFonts w:ascii="ZWAdobeF" w:hAnsi="ZWAdobeF" w:cs="ZWAdobeF"/>
          <w:color w:val="auto"/>
          <w:sz w:val="2"/>
          <w:szCs w:val="2"/>
        </w:rPr>
        <w:t>192F</w:t>
      </w:r>
      <w:r w:rsidR="002C327C">
        <w:rPr>
          <w:rFonts w:ascii="ZWAdobeF" w:hAnsi="ZWAdobeF" w:cs="ZWAdobeF"/>
          <w:color w:val="auto"/>
          <w:sz w:val="2"/>
          <w:szCs w:val="2"/>
        </w:rPr>
        <w:t>192F</w:t>
      </w:r>
      <w:r w:rsidR="00D24A06">
        <w:rPr>
          <w:rFonts w:ascii="ZWAdobeF" w:hAnsi="ZWAdobeF" w:cs="ZWAdobeF"/>
          <w:color w:val="auto"/>
          <w:sz w:val="2"/>
          <w:szCs w:val="2"/>
        </w:rPr>
        <w:t>192F</w:t>
      </w:r>
      <w:r w:rsidR="001A0C6E" w:rsidRPr="00E63900">
        <w:rPr>
          <w:rFonts w:asciiTheme="minorHAnsi" w:hAnsiTheme="minorHAnsi" w:cstheme="minorHAnsi"/>
          <w:vertAlign w:val="superscript"/>
        </w:rPr>
        <w:footnoteReference w:id="194"/>
      </w:r>
      <w:r w:rsidR="001A0C6E" w:rsidRPr="00E63900">
        <w:rPr>
          <w:rFonts w:asciiTheme="minorHAnsi" w:hAnsiTheme="minorHAnsi" w:cstheme="minorHAnsi"/>
          <w:vertAlign w:val="superscript"/>
        </w:rPr>
        <w:t>,</w:t>
      </w:r>
      <w:r w:rsidR="002D0089">
        <w:rPr>
          <w:rFonts w:ascii="ZWAdobeF" w:hAnsi="ZWAdobeF" w:cs="ZWAdobeF"/>
          <w:color w:val="auto"/>
          <w:sz w:val="2"/>
          <w:szCs w:val="2"/>
        </w:rPr>
        <w:t>190F</w:t>
      </w:r>
      <w:r w:rsidR="00EE36E3">
        <w:rPr>
          <w:rFonts w:ascii="ZWAdobeF" w:hAnsi="ZWAdobeF" w:cs="ZWAdobeF"/>
          <w:color w:val="auto"/>
          <w:sz w:val="2"/>
          <w:szCs w:val="2"/>
        </w:rPr>
        <w:t>193F</w:t>
      </w:r>
      <w:r w:rsidR="00122C48">
        <w:rPr>
          <w:rFonts w:ascii="ZWAdobeF" w:hAnsi="ZWAdobeF" w:cs="ZWAdobeF"/>
          <w:color w:val="auto"/>
          <w:sz w:val="2"/>
          <w:szCs w:val="2"/>
        </w:rPr>
        <w:t>193F</w:t>
      </w:r>
      <w:r w:rsidR="00F73A23">
        <w:rPr>
          <w:rFonts w:ascii="ZWAdobeF" w:hAnsi="ZWAdobeF" w:cs="ZWAdobeF"/>
          <w:color w:val="auto"/>
          <w:sz w:val="2"/>
          <w:szCs w:val="2"/>
        </w:rPr>
        <w:t>193F</w:t>
      </w:r>
      <w:r w:rsidR="00626378">
        <w:rPr>
          <w:rFonts w:ascii="ZWAdobeF" w:hAnsi="ZWAdobeF" w:cs="ZWAdobeF"/>
          <w:color w:val="auto"/>
          <w:sz w:val="2"/>
          <w:szCs w:val="2"/>
        </w:rPr>
        <w:t>193F</w:t>
      </w:r>
      <w:r w:rsidR="00413811">
        <w:rPr>
          <w:rFonts w:ascii="ZWAdobeF" w:hAnsi="ZWAdobeF" w:cs="ZWAdobeF"/>
          <w:color w:val="auto"/>
          <w:sz w:val="2"/>
          <w:szCs w:val="2"/>
        </w:rPr>
        <w:t>193F</w:t>
      </w:r>
      <w:r w:rsidR="002C327C">
        <w:rPr>
          <w:rFonts w:ascii="ZWAdobeF" w:hAnsi="ZWAdobeF" w:cs="ZWAdobeF"/>
          <w:color w:val="auto"/>
          <w:sz w:val="2"/>
          <w:szCs w:val="2"/>
        </w:rPr>
        <w:t>193F</w:t>
      </w:r>
      <w:r w:rsidR="00D24A06">
        <w:rPr>
          <w:rFonts w:ascii="ZWAdobeF" w:hAnsi="ZWAdobeF" w:cs="ZWAdobeF"/>
          <w:color w:val="auto"/>
          <w:sz w:val="2"/>
          <w:szCs w:val="2"/>
        </w:rPr>
        <w:t>193F</w:t>
      </w:r>
      <w:r w:rsidR="001A0C6E" w:rsidRPr="00E63900">
        <w:rPr>
          <w:rFonts w:asciiTheme="minorHAnsi" w:hAnsiTheme="minorHAnsi" w:cstheme="minorHAnsi"/>
          <w:vertAlign w:val="superscript"/>
        </w:rPr>
        <w:footnoteReference w:id="195"/>
      </w:r>
      <w:r w:rsidR="001A0C6E" w:rsidRPr="00E63900">
        <w:rPr>
          <w:rFonts w:asciiTheme="minorHAnsi" w:hAnsiTheme="minorHAnsi" w:cstheme="minorHAnsi"/>
          <w:vertAlign w:val="superscript"/>
        </w:rPr>
        <w:t>,</w:t>
      </w:r>
      <w:r w:rsidR="002D0089">
        <w:rPr>
          <w:rFonts w:ascii="ZWAdobeF" w:hAnsi="ZWAdobeF" w:cs="ZWAdobeF"/>
          <w:color w:val="auto"/>
          <w:sz w:val="2"/>
          <w:szCs w:val="2"/>
        </w:rPr>
        <w:t>191F</w:t>
      </w:r>
      <w:r w:rsidR="00EE36E3">
        <w:rPr>
          <w:rFonts w:ascii="ZWAdobeF" w:hAnsi="ZWAdobeF" w:cs="ZWAdobeF"/>
          <w:color w:val="auto"/>
          <w:sz w:val="2"/>
          <w:szCs w:val="2"/>
        </w:rPr>
        <w:t>194F</w:t>
      </w:r>
      <w:r w:rsidR="00122C48">
        <w:rPr>
          <w:rFonts w:ascii="ZWAdobeF" w:hAnsi="ZWAdobeF" w:cs="ZWAdobeF"/>
          <w:color w:val="auto"/>
          <w:sz w:val="2"/>
          <w:szCs w:val="2"/>
        </w:rPr>
        <w:t>194F</w:t>
      </w:r>
      <w:r w:rsidR="00F73A23">
        <w:rPr>
          <w:rFonts w:ascii="ZWAdobeF" w:hAnsi="ZWAdobeF" w:cs="ZWAdobeF"/>
          <w:color w:val="auto"/>
          <w:sz w:val="2"/>
          <w:szCs w:val="2"/>
        </w:rPr>
        <w:t>194F</w:t>
      </w:r>
      <w:r w:rsidR="00626378">
        <w:rPr>
          <w:rFonts w:ascii="ZWAdobeF" w:hAnsi="ZWAdobeF" w:cs="ZWAdobeF"/>
          <w:color w:val="auto"/>
          <w:sz w:val="2"/>
          <w:szCs w:val="2"/>
        </w:rPr>
        <w:t>194F</w:t>
      </w:r>
      <w:r w:rsidR="00413811">
        <w:rPr>
          <w:rFonts w:ascii="ZWAdobeF" w:hAnsi="ZWAdobeF" w:cs="ZWAdobeF"/>
          <w:color w:val="auto"/>
          <w:sz w:val="2"/>
          <w:szCs w:val="2"/>
        </w:rPr>
        <w:t>194F</w:t>
      </w:r>
      <w:r w:rsidR="002C327C">
        <w:rPr>
          <w:rFonts w:ascii="ZWAdobeF" w:hAnsi="ZWAdobeF" w:cs="ZWAdobeF"/>
          <w:color w:val="auto"/>
          <w:sz w:val="2"/>
          <w:szCs w:val="2"/>
        </w:rPr>
        <w:t>194F</w:t>
      </w:r>
      <w:r w:rsidR="00D24A06">
        <w:rPr>
          <w:rFonts w:ascii="ZWAdobeF" w:hAnsi="ZWAdobeF" w:cs="ZWAdobeF"/>
          <w:color w:val="auto"/>
          <w:sz w:val="2"/>
          <w:szCs w:val="2"/>
        </w:rPr>
        <w:t>194F</w:t>
      </w:r>
      <w:r w:rsidR="001A0C6E" w:rsidRPr="00E63900">
        <w:rPr>
          <w:rFonts w:asciiTheme="minorHAnsi" w:hAnsiTheme="minorHAnsi" w:cstheme="minorHAnsi"/>
          <w:vertAlign w:val="superscript"/>
        </w:rPr>
        <w:footnoteReference w:id="196"/>
      </w:r>
      <w:r w:rsidR="001A0C6E" w:rsidRPr="00E63900">
        <w:rPr>
          <w:rFonts w:asciiTheme="minorHAnsi" w:hAnsiTheme="minorHAnsi" w:cstheme="minorHAnsi"/>
        </w:rPr>
        <w:t xml:space="preserve">  and Box 4 </w:t>
      </w:r>
      <w:r w:rsidR="00760D92" w:rsidRPr="00E63900">
        <w:rPr>
          <w:rFonts w:asciiTheme="minorHAnsi" w:hAnsiTheme="minorHAnsi" w:cstheme="minorHAnsi"/>
        </w:rPr>
        <w:t>from</w:t>
      </w:r>
      <w:r w:rsidR="002D0089">
        <w:rPr>
          <w:rFonts w:ascii="ZWAdobeF" w:hAnsi="ZWAdobeF" w:cs="ZWAdobeF"/>
          <w:color w:val="auto"/>
          <w:sz w:val="2"/>
          <w:szCs w:val="2"/>
        </w:rPr>
        <w:t>192F</w:t>
      </w:r>
      <w:r w:rsidR="00EE36E3">
        <w:rPr>
          <w:rFonts w:ascii="ZWAdobeF" w:hAnsi="ZWAdobeF" w:cs="ZWAdobeF"/>
          <w:color w:val="auto"/>
          <w:sz w:val="2"/>
          <w:szCs w:val="2"/>
        </w:rPr>
        <w:t>195F</w:t>
      </w:r>
      <w:r w:rsidR="00122C48">
        <w:rPr>
          <w:rFonts w:ascii="ZWAdobeF" w:hAnsi="ZWAdobeF" w:cs="ZWAdobeF"/>
          <w:color w:val="auto"/>
          <w:sz w:val="2"/>
          <w:szCs w:val="2"/>
        </w:rPr>
        <w:t>195F</w:t>
      </w:r>
      <w:r w:rsidR="00F73A23">
        <w:rPr>
          <w:rFonts w:ascii="ZWAdobeF" w:hAnsi="ZWAdobeF" w:cs="ZWAdobeF"/>
          <w:color w:val="auto"/>
          <w:sz w:val="2"/>
          <w:szCs w:val="2"/>
        </w:rPr>
        <w:t>195F</w:t>
      </w:r>
      <w:r w:rsidR="00626378">
        <w:rPr>
          <w:rFonts w:ascii="ZWAdobeF" w:hAnsi="ZWAdobeF" w:cs="ZWAdobeF"/>
          <w:color w:val="auto"/>
          <w:sz w:val="2"/>
          <w:szCs w:val="2"/>
        </w:rPr>
        <w:t>195F</w:t>
      </w:r>
      <w:r w:rsidR="00413811">
        <w:rPr>
          <w:rFonts w:ascii="ZWAdobeF" w:hAnsi="ZWAdobeF" w:cs="ZWAdobeF"/>
          <w:color w:val="auto"/>
          <w:sz w:val="2"/>
          <w:szCs w:val="2"/>
        </w:rPr>
        <w:t>195F</w:t>
      </w:r>
      <w:r w:rsidR="002C327C">
        <w:rPr>
          <w:rFonts w:ascii="ZWAdobeF" w:hAnsi="ZWAdobeF" w:cs="ZWAdobeF"/>
          <w:color w:val="auto"/>
          <w:sz w:val="2"/>
          <w:szCs w:val="2"/>
        </w:rPr>
        <w:t>195F</w:t>
      </w:r>
      <w:r w:rsidR="00D24A06">
        <w:rPr>
          <w:rFonts w:ascii="ZWAdobeF" w:hAnsi="ZWAdobeF" w:cs="ZWAdobeF"/>
          <w:color w:val="auto"/>
          <w:sz w:val="2"/>
          <w:szCs w:val="2"/>
        </w:rPr>
        <w:t>195F</w:t>
      </w:r>
      <w:r w:rsidR="00760D92" w:rsidRPr="00E63900">
        <w:rPr>
          <w:rFonts w:asciiTheme="minorHAnsi" w:hAnsiTheme="minorHAnsi" w:cstheme="minorHAnsi"/>
          <w:vertAlign w:val="superscript"/>
        </w:rPr>
        <w:footnoteReference w:id="197"/>
      </w:r>
      <w:r w:rsidR="00760D92" w:rsidRPr="00E63900">
        <w:rPr>
          <w:rFonts w:asciiTheme="minorHAnsi" w:hAnsiTheme="minorHAnsi" w:cstheme="minorHAnsi"/>
          <w:vertAlign w:val="superscript"/>
        </w:rPr>
        <w:t>,</w:t>
      </w:r>
      <w:r w:rsidR="002D0089">
        <w:rPr>
          <w:rFonts w:ascii="ZWAdobeF" w:hAnsi="ZWAdobeF" w:cs="ZWAdobeF"/>
          <w:color w:val="auto"/>
          <w:sz w:val="2"/>
          <w:szCs w:val="2"/>
        </w:rPr>
        <w:t>193F</w:t>
      </w:r>
      <w:r w:rsidR="00EE36E3">
        <w:rPr>
          <w:rFonts w:ascii="ZWAdobeF" w:hAnsi="ZWAdobeF" w:cs="ZWAdobeF"/>
          <w:color w:val="auto"/>
          <w:sz w:val="2"/>
          <w:szCs w:val="2"/>
        </w:rPr>
        <w:t>196F</w:t>
      </w:r>
      <w:r w:rsidR="00122C48">
        <w:rPr>
          <w:rFonts w:ascii="ZWAdobeF" w:hAnsi="ZWAdobeF" w:cs="ZWAdobeF"/>
          <w:color w:val="auto"/>
          <w:sz w:val="2"/>
          <w:szCs w:val="2"/>
        </w:rPr>
        <w:t>196F</w:t>
      </w:r>
      <w:r w:rsidR="00F73A23">
        <w:rPr>
          <w:rFonts w:ascii="ZWAdobeF" w:hAnsi="ZWAdobeF" w:cs="ZWAdobeF"/>
          <w:color w:val="auto"/>
          <w:sz w:val="2"/>
          <w:szCs w:val="2"/>
        </w:rPr>
        <w:t>196F</w:t>
      </w:r>
      <w:r w:rsidR="00626378">
        <w:rPr>
          <w:rFonts w:ascii="ZWAdobeF" w:hAnsi="ZWAdobeF" w:cs="ZWAdobeF"/>
          <w:color w:val="auto"/>
          <w:sz w:val="2"/>
          <w:szCs w:val="2"/>
        </w:rPr>
        <w:t>196F</w:t>
      </w:r>
      <w:r w:rsidR="00413811">
        <w:rPr>
          <w:rFonts w:ascii="ZWAdobeF" w:hAnsi="ZWAdobeF" w:cs="ZWAdobeF"/>
          <w:color w:val="auto"/>
          <w:sz w:val="2"/>
          <w:szCs w:val="2"/>
        </w:rPr>
        <w:t>196F</w:t>
      </w:r>
      <w:r w:rsidR="002C327C">
        <w:rPr>
          <w:rFonts w:ascii="ZWAdobeF" w:hAnsi="ZWAdobeF" w:cs="ZWAdobeF"/>
          <w:color w:val="auto"/>
          <w:sz w:val="2"/>
          <w:szCs w:val="2"/>
        </w:rPr>
        <w:t>196F</w:t>
      </w:r>
      <w:r w:rsidR="00D24A06">
        <w:rPr>
          <w:rFonts w:ascii="ZWAdobeF" w:hAnsi="ZWAdobeF" w:cs="ZWAdobeF"/>
          <w:color w:val="auto"/>
          <w:sz w:val="2"/>
          <w:szCs w:val="2"/>
        </w:rPr>
        <w:t>196F</w:t>
      </w:r>
      <w:r w:rsidR="00760D92" w:rsidRPr="00E63900">
        <w:rPr>
          <w:rFonts w:asciiTheme="minorHAnsi" w:hAnsiTheme="minorHAnsi" w:cstheme="minorHAnsi"/>
          <w:vertAlign w:val="superscript"/>
        </w:rPr>
        <w:footnoteReference w:id="198"/>
      </w:r>
      <w:r w:rsidR="00760D92" w:rsidRPr="00E63900">
        <w:rPr>
          <w:rFonts w:asciiTheme="minorHAnsi" w:hAnsiTheme="minorHAnsi" w:cstheme="minorHAnsi"/>
          <w:vertAlign w:val="superscript"/>
        </w:rPr>
        <w:t>,</w:t>
      </w:r>
      <w:r w:rsidR="002D0089">
        <w:rPr>
          <w:rFonts w:ascii="ZWAdobeF" w:hAnsi="ZWAdobeF" w:cs="ZWAdobeF"/>
          <w:color w:val="auto"/>
          <w:sz w:val="2"/>
          <w:szCs w:val="2"/>
        </w:rPr>
        <w:t>194F</w:t>
      </w:r>
      <w:r w:rsidR="00EE36E3">
        <w:rPr>
          <w:rFonts w:ascii="ZWAdobeF" w:hAnsi="ZWAdobeF" w:cs="ZWAdobeF"/>
          <w:color w:val="auto"/>
          <w:sz w:val="2"/>
          <w:szCs w:val="2"/>
        </w:rPr>
        <w:t>197F</w:t>
      </w:r>
      <w:r w:rsidR="00122C48">
        <w:rPr>
          <w:rFonts w:ascii="ZWAdobeF" w:hAnsi="ZWAdobeF" w:cs="ZWAdobeF"/>
          <w:color w:val="auto"/>
          <w:sz w:val="2"/>
          <w:szCs w:val="2"/>
        </w:rPr>
        <w:t>197F</w:t>
      </w:r>
      <w:r w:rsidR="00F73A23">
        <w:rPr>
          <w:rFonts w:ascii="ZWAdobeF" w:hAnsi="ZWAdobeF" w:cs="ZWAdobeF"/>
          <w:color w:val="auto"/>
          <w:sz w:val="2"/>
          <w:szCs w:val="2"/>
        </w:rPr>
        <w:t>197F</w:t>
      </w:r>
      <w:r w:rsidR="00626378">
        <w:rPr>
          <w:rFonts w:ascii="ZWAdobeF" w:hAnsi="ZWAdobeF" w:cs="ZWAdobeF"/>
          <w:color w:val="auto"/>
          <w:sz w:val="2"/>
          <w:szCs w:val="2"/>
        </w:rPr>
        <w:t>197F</w:t>
      </w:r>
      <w:r w:rsidR="00413811">
        <w:rPr>
          <w:rFonts w:ascii="ZWAdobeF" w:hAnsi="ZWAdobeF" w:cs="ZWAdobeF"/>
          <w:color w:val="auto"/>
          <w:sz w:val="2"/>
          <w:szCs w:val="2"/>
        </w:rPr>
        <w:t>197F</w:t>
      </w:r>
      <w:r w:rsidR="002C327C">
        <w:rPr>
          <w:rFonts w:ascii="ZWAdobeF" w:hAnsi="ZWAdobeF" w:cs="ZWAdobeF"/>
          <w:color w:val="auto"/>
          <w:sz w:val="2"/>
          <w:szCs w:val="2"/>
        </w:rPr>
        <w:t>197F</w:t>
      </w:r>
      <w:r w:rsidR="00D24A06">
        <w:rPr>
          <w:rFonts w:ascii="ZWAdobeF" w:hAnsi="ZWAdobeF" w:cs="ZWAdobeF"/>
          <w:color w:val="auto"/>
          <w:sz w:val="2"/>
          <w:szCs w:val="2"/>
        </w:rPr>
        <w:t>197F</w:t>
      </w:r>
      <w:r w:rsidR="00760D92" w:rsidRPr="00E63900">
        <w:rPr>
          <w:rFonts w:asciiTheme="minorHAnsi" w:hAnsiTheme="minorHAnsi" w:cstheme="minorHAnsi"/>
          <w:vertAlign w:val="superscript"/>
        </w:rPr>
        <w:footnoteReference w:id="199"/>
      </w:r>
      <w:r w:rsidR="00760D92" w:rsidRPr="00E63900">
        <w:rPr>
          <w:rFonts w:asciiTheme="minorHAnsi" w:hAnsiTheme="minorHAnsi" w:cstheme="minorHAnsi"/>
          <w:vertAlign w:val="superscript"/>
        </w:rPr>
        <w:t>,</w:t>
      </w:r>
      <w:r w:rsidR="002D0089">
        <w:rPr>
          <w:rFonts w:ascii="ZWAdobeF" w:hAnsi="ZWAdobeF" w:cs="ZWAdobeF"/>
          <w:color w:val="auto"/>
          <w:sz w:val="2"/>
          <w:szCs w:val="2"/>
        </w:rPr>
        <w:t>195F</w:t>
      </w:r>
      <w:r w:rsidR="00EE36E3">
        <w:rPr>
          <w:rFonts w:ascii="ZWAdobeF" w:hAnsi="ZWAdobeF" w:cs="ZWAdobeF"/>
          <w:color w:val="auto"/>
          <w:sz w:val="2"/>
          <w:szCs w:val="2"/>
        </w:rPr>
        <w:t>198F</w:t>
      </w:r>
      <w:r w:rsidR="00122C48">
        <w:rPr>
          <w:rFonts w:ascii="ZWAdobeF" w:hAnsi="ZWAdobeF" w:cs="ZWAdobeF"/>
          <w:color w:val="auto"/>
          <w:sz w:val="2"/>
          <w:szCs w:val="2"/>
        </w:rPr>
        <w:t>198F</w:t>
      </w:r>
      <w:r w:rsidR="00F73A23">
        <w:rPr>
          <w:rFonts w:ascii="ZWAdobeF" w:hAnsi="ZWAdobeF" w:cs="ZWAdobeF"/>
          <w:color w:val="auto"/>
          <w:sz w:val="2"/>
          <w:szCs w:val="2"/>
        </w:rPr>
        <w:t>198F</w:t>
      </w:r>
      <w:r w:rsidR="00626378">
        <w:rPr>
          <w:rFonts w:ascii="ZWAdobeF" w:hAnsi="ZWAdobeF" w:cs="ZWAdobeF"/>
          <w:color w:val="auto"/>
          <w:sz w:val="2"/>
          <w:szCs w:val="2"/>
        </w:rPr>
        <w:t>198F</w:t>
      </w:r>
      <w:r w:rsidR="00413811">
        <w:rPr>
          <w:rFonts w:ascii="ZWAdobeF" w:hAnsi="ZWAdobeF" w:cs="ZWAdobeF"/>
          <w:color w:val="auto"/>
          <w:sz w:val="2"/>
          <w:szCs w:val="2"/>
        </w:rPr>
        <w:t>198F</w:t>
      </w:r>
      <w:r w:rsidR="002C327C">
        <w:rPr>
          <w:rFonts w:ascii="ZWAdobeF" w:hAnsi="ZWAdobeF" w:cs="ZWAdobeF"/>
          <w:color w:val="auto"/>
          <w:sz w:val="2"/>
          <w:szCs w:val="2"/>
        </w:rPr>
        <w:t>198F</w:t>
      </w:r>
      <w:r w:rsidR="00D24A06">
        <w:rPr>
          <w:rFonts w:ascii="ZWAdobeF" w:hAnsi="ZWAdobeF" w:cs="ZWAdobeF"/>
          <w:color w:val="auto"/>
          <w:sz w:val="2"/>
          <w:szCs w:val="2"/>
        </w:rPr>
        <w:t>198F</w:t>
      </w:r>
      <w:r w:rsidR="00760D92" w:rsidRPr="00E63900">
        <w:rPr>
          <w:rFonts w:asciiTheme="minorHAnsi" w:hAnsiTheme="minorHAnsi" w:cstheme="minorHAnsi"/>
          <w:vertAlign w:val="superscript"/>
        </w:rPr>
        <w:footnoteReference w:id="200"/>
      </w:r>
      <w:r w:rsidR="00760D92" w:rsidRPr="00E63900">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10194"/>
      </w:tblGrid>
      <w:tr w:rsidR="00FD477B" w14:paraId="536452C0" w14:textId="77777777" w:rsidTr="00FD477B">
        <w:tc>
          <w:tcPr>
            <w:tcW w:w="10194" w:type="dxa"/>
          </w:tcPr>
          <w:p w14:paraId="290DD6CD" w14:textId="77777777" w:rsidR="00FD477B" w:rsidRPr="00D44FE5" w:rsidRDefault="00FD477B" w:rsidP="00FD477B">
            <w:pPr>
              <w:rPr>
                <w:rFonts w:asciiTheme="minorHAnsi" w:hAnsiTheme="minorHAnsi" w:cstheme="minorHAnsi"/>
                <w:color w:val="7213EA" w:themeColor="accent3"/>
                <w:sz w:val="32"/>
                <w:szCs w:val="32"/>
              </w:rPr>
            </w:pPr>
            <w:r w:rsidRPr="00D44FE5">
              <w:rPr>
                <w:rFonts w:asciiTheme="minorHAnsi" w:hAnsiTheme="minorHAnsi" w:cstheme="minorHAnsi"/>
                <w:color w:val="7213EA" w:themeColor="accent3"/>
                <w:sz w:val="32"/>
                <w:szCs w:val="32"/>
              </w:rPr>
              <w:t xml:space="preserve">Box </w:t>
            </w:r>
            <w:r>
              <w:rPr>
                <w:rFonts w:asciiTheme="minorHAnsi" w:hAnsiTheme="minorHAnsi" w:cstheme="minorHAnsi"/>
                <w:color w:val="7213EA" w:themeColor="accent3"/>
                <w:sz w:val="32"/>
                <w:szCs w:val="32"/>
              </w:rPr>
              <w:t>3</w:t>
            </w:r>
            <w:r w:rsidRPr="00D44FE5">
              <w:rPr>
                <w:rFonts w:asciiTheme="minorHAnsi" w:hAnsiTheme="minorHAnsi" w:cstheme="minorHAnsi"/>
                <w:color w:val="7213EA" w:themeColor="accent3"/>
                <w:sz w:val="32"/>
                <w:szCs w:val="32"/>
              </w:rPr>
              <w:t xml:space="preserve">: Detail on the ENERGY STAR Program </w:t>
            </w:r>
          </w:p>
          <w:p w14:paraId="12F63471" w14:textId="77777777" w:rsidR="00FD477B" w:rsidRPr="00D44FE5" w:rsidRDefault="00FD477B" w:rsidP="00FD477B">
            <w:pPr>
              <w:rPr>
                <w:rFonts w:asciiTheme="minorHAnsi" w:hAnsiTheme="minorHAnsi" w:cstheme="minorHAnsi"/>
              </w:rPr>
            </w:pPr>
            <w:r w:rsidRPr="00D44FE5">
              <w:rPr>
                <w:rFonts w:asciiTheme="minorHAnsi" w:hAnsiTheme="minorHAnsi" w:cstheme="minorHAnsi"/>
              </w:rPr>
              <w:t xml:space="preserve">Energy Star (trademarked ENERGY STAR) is a program run by the U.S. Environmental Protection Agency (EPA) and U.S. Department of Energy (DOE) that promotes energy efficiency. The Energy Star label is found on more than 75 different certified product categories, homes, commercial buildings, and industrial plants. </w:t>
            </w:r>
          </w:p>
          <w:p w14:paraId="0A468ED9" w14:textId="77777777" w:rsidR="00FD477B" w:rsidRPr="00D44FE5" w:rsidRDefault="00FD477B" w:rsidP="00FD477B">
            <w:pPr>
              <w:rPr>
                <w:rFonts w:asciiTheme="minorHAnsi" w:hAnsiTheme="minorHAnsi" w:cstheme="minorHAnsi"/>
                <w:b/>
                <w:i/>
              </w:rPr>
            </w:pPr>
            <w:r w:rsidRPr="00D44FE5">
              <w:rPr>
                <w:rFonts w:asciiTheme="minorHAnsi" w:hAnsiTheme="minorHAnsi" w:cstheme="minorHAnsi"/>
                <w:b/>
                <w:i/>
              </w:rPr>
              <w:t>History:</w:t>
            </w:r>
          </w:p>
          <w:p w14:paraId="4FE2CC5C" w14:textId="77777777" w:rsidR="00FD477B" w:rsidRPr="00D44FE5" w:rsidRDefault="00FD477B" w:rsidP="00FD477B">
            <w:pPr>
              <w:rPr>
                <w:rFonts w:asciiTheme="minorHAnsi" w:hAnsiTheme="minorHAnsi" w:cstheme="minorHAnsi"/>
              </w:rPr>
            </w:pPr>
            <w:r w:rsidRPr="00D44FE5">
              <w:rPr>
                <w:rFonts w:asciiTheme="minorHAnsi" w:hAnsiTheme="minorHAnsi" w:cstheme="minorHAnsi"/>
              </w:rPr>
              <w:t>The program was introduced by the United States EPA in 1992 as a voluntary labelling program for energy-efficient computers and monitors. Over the years, Energy Star expanded its scope to include appliances, electronics, heating and cooling systems, lighting, and commercial buildings. The program provides consumers with a reliable and recognizable label that indicates energy-efficient products and buildings. It also allows building owners and managers to assess and track their buildings' energy performance and compare it to similar buildings nationwide.</w:t>
            </w:r>
          </w:p>
          <w:p w14:paraId="4AC6C1BC" w14:textId="77777777" w:rsidR="00FD477B" w:rsidRPr="00D44FE5" w:rsidRDefault="00FD477B" w:rsidP="00FD477B">
            <w:pPr>
              <w:rPr>
                <w:rFonts w:asciiTheme="minorHAnsi" w:hAnsiTheme="minorHAnsi" w:cstheme="minorHAnsi"/>
                <w:b/>
                <w:i/>
              </w:rPr>
            </w:pPr>
            <w:r w:rsidRPr="00D44FE5">
              <w:rPr>
                <w:rFonts w:asciiTheme="minorHAnsi" w:hAnsiTheme="minorHAnsi" w:cstheme="minorHAnsi"/>
                <w:b/>
                <w:i/>
              </w:rPr>
              <w:t>How it works for commercial buildings:</w:t>
            </w:r>
          </w:p>
          <w:p w14:paraId="46031ABE" w14:textId="77777777" w:rsidR="00FD477B" w:rsidRPr="00D44FE5" w:rsidRDefault="00FD477B" w:rsidP="00FD477B">
            <w:pPr>
              <w:pStyle w:val="ListParagraph"/>
              <w:numPr>
                <w:ilvl w:val="0"/>
                <w:numId w:val="19"/>
              </w:numPr>
              <w:spacing w:line="254" w:lineRule="auto"/>
              <w:rPr>
                <w:rFonts w:asciiTheme="minorHAnsi" w:hAnsiTheme="minorHAnsi" w:cstheme="minorHAnsi"/>
              </w:rPr>
            </w:pPr>
            <w:r w:rsidRPr="00D44FE5">
              <w:rPr>
                <w:rFonts w:asciiTheme="minorHAnsi" w:hAnsiTheme="minorHAnsi" w:cstheme="minorHAnsi"/>
              </w:rPr>
              <w:t xml:space="preserve">Energy Star Portfolio Manager: The Energy Star program has developed energy performance rating systems for several commercial and institutional building types and manufacturing facilities. For many types of commercial buildings, the property owner can enter energy information into EPA's free online tool, </w:t>
            </w:r>
            <w:r w:rsidRPr="00D44FE5">
              <w:rPr>
                <w:rFonts w:asciiTheme="minorHAnsi" w:hAnsiTheme="minorHAnsi" w:cstheme="minorHAnsi"/>
                <w:i/>
              </w:rPr>
              <w:t>Portfolio Manager</w:t>
            </w:r>
            <w:r w:rsidRPr="00D44FE5">
              <w:rPr>
                <w:rFonts w:asciiTheme="minorHAnsi" w:hAnsiTheme="minorHAnsi" w:cstheme="minorHAnsi"/>
              </w:rPr>
              <w:t xml:space="preserve">, and it will calculate a score for the building on a scale of 1–100. Buildings that score a 75 or greater may qualify for the Energy Star.  </w:t>
            </w:r>
          </w:p>
          <w:p w14:paraId="0025D5E0" w14:textId="77777777" w:rsidR="00FD477B" w:rsidRPr="00D44FE5" w:rsidRDefault="00FD477B" w:rsidP="00FD477B">
            <w:pPr>
              <w:pStyle w:val="ListParagraph"/>
              <w:numPr>
                <w:ilvl w:val="0"/>
                <w:numId w:val="19"/>
              </w:numPr>
              <w:spacing w:line="254" w:lineRule="auto"/>
              <w:rPr>
                <w:rFonts w:asciiTheme="minorHAnsi" w:hAnsiTheme="minorHAnsi" w:cstheme="minorHAnsi"/>
              </w:rPr>
            </w:pPr>
            <w:r w:rsidRPr="00D44FE5">
              <w:rPr>
                <w:rFonts w:asciiTheme="minorHAnsi" w:hAnsiTheme="minorHAnsi" w:cstheme="minorHAnsi"/>
              </w:rPr>
              <w:t xml:space="preserve">Benchmarking: These ratings, on a scale of 1 to 100, provide a means for benchmarking the energy efficiency of specific buildings and industrial plants against the energy performance of similar facilities. </w:t>
            </w:r>
            <w:r w:rsidRPr="00D44FE5">
              <w:rPr>
                <w:rFonts w:asciiTheme="minorHAnsi" w:hAnsiTheme="minorHAnsi" w:cstheme="minorHAnsi"/>
                <w:i/>
              </w:rPr>
              <w:t>Portfolio Manager</w:t>
            </w:r>
            <w:r w:rsidRPr="00D44FE5">
              <w:rPr>
                <w:rFonts w:asciiTheme="minorHAnsi" w:hAnsiTheme="minorHAnsi" w:cstheme="minorHAnsi"/>
              </w:rPr>
              <w:t xml:space="preserve"> uses an automated benchmarking tool that can award Energy Star certification to buildings that have uploaded 12 months of consecutive energy usage data and received scores of 75 or above.</w:t>
            </w:r>
          </w:p>
          <w:p w14:paraId="468AA69A" w14:textId="77777777" w:rsidR="00FD477B" w:rsidRPr="00D44FE5" w:rsidRDefault="00FD477B" w:rsidP="00FD477B">
            <w:pPr>
              <w:pStyle w:val="ListParagraph"/>
              <w:numPr>
                <w:ilvl w:val="0"/>
                <w:numId w:val="19"/>
              </w:numPr>
              <w:spacing w:line="254" w:lineRule="auto"/>
              <w:rPr>
                <w:rFonts w:asciiTheme="minorHAnsi" w:hAnsiTheme="minorHAnsi" w:cstheme="minorHAnsi"/>
              </w:rPr>
            </w:pPr>
            <w:r w:rsidRPr="00D44FE5">
              <w:rPr>
                <w:rFonts w:asciiTheme="minorHAnsi" w:hAnsiTheme="minorHAnsi" w:cstheme="minorHAnsi"/>
              </w:rPr>
              <w:t>Energy Star Certification: If a building performs in the top 25 percent (based on its rating) compared to similar buildings, it may be eligible for Energy Star Certification. To qualify, the building must meet specific criteria established by Energy Star, including sharing its energy performance data with the EPA.</w:t>
            </w:r>
          </w:p>
          <w:p w14:paraId="7C869DE5" w14:textId="593BE210" w:rsidR="00FD477B" w:rsidRDefault="00FD477B" w:rsidP="00760D92">
            <w:pPr>
              <w:rPr>
                <w:rFonts w:asciiTheme="minorHAnsi" w:hAnsiTheme="minorHAnsi" w:cstheme="minorHAnsi"/>
              </w:rPr>
            </w:pPr>
            <w:r w:rsidRPr="00D44FE5">
              <w:rPr>
                <w:rFonts w:asciiTheme="minorHAnsi" w:hAnsiTheme="minorHAnsi" w:cstheme="minorHAnsi"/>
              </w:rPr>
              <w:t>More than 80 property types can receive the energy performance rating in Portfolio Manager. Some of property types include housing, bank/financial institutions, courthouses, hospitals, hotels and motels, houses of worship, schools, medical offices, offices, residence halls/dormitories, retail stores, supermarkets, warehouses, data centres, senior care facilities, and worship facilities.</w:t>
            </w:r>
          </w:p>
        </w:tc>
      </w:tr>
    </w:tbl>
    <w:p w14:paraId="54E1911E" w14:textId="77777777" w:rsidR="00FD477B" w:rsidRDefault="00FD477B" w:rsidP="00760D92">
      <w:pPr>
        <w:rPr>
          <w:rFonts w:asciiTheme="minorHAnsi" w:hAnsiTheme="minorHAnsi" w:cstheme="minorHAnsi"/>
        </w:rPr>
      </w:pPr>
      <w:r>
        <w:rPr>
          <w:rFonts w:asciiTheme="minorHAnsi" w:hAnsiTheme="minorHAnsi" w:cstheme="minorHAnsi"/>
        </w:rPr>
        <w:tab/>
      </w:r>
    </w:p>
    <w:p w14:paraId="01CB3FEF" w14:textId="77777777" w:rsidR="006F1D4F" w:rsidRDefault="006F1D4F" w:rsidP="00760D92">
      <w:pPr>
        <w:rPr>
          <w:rFonts w:asciiTheme="minorHAnsi" w:hAnsiTheme="minorHAnsi" w:cstheme="minorHAnsi"/>
        </w:rPr>
      </w:pPr>
    </w:p>
    <w:p w14:paraId="26A6996B" w14:textId="77777777" w:rsidR="006F1D4F" w:rsidRDefault="006F1D4F" w:rsidP="00760D92">
      <w:pPr>
        <w:rPr>
          <w:rFonts w:asciiTheme="minorHAnsi" w:hAnsiTheme="minorHAnsi" w:cstheme="minorHAnsi"/>
        </w:rPr>
      </w:pPr>
    </w:p>
    <w:p w14:paraId="38270A24" w14:textId="77777777" w:rsidR="006F1D4F" w:rsidRDefault="006F1D4F" w:rsidP="00760D92">
      <w:pPr>
        <w:rPr>
          <w:rFonts w:asciiTheme="minorHAnsi" w:hAnsiTheme="minorHAnsi" w:cstheme="minorHAnsi"/>
        </w:rPr>
      </w:pPr>
    </w:p>
    <w:p w14:paraId="04D9AB60" w14:textId="77777777" w:rsidR="006F1D4F" w:rsidRDefault="006F1D4F" w:rsidP="00760D92">
      <w:pPr>
        <w:rPr>
          <w:rFonts w:asciiTheme="minorHAnsi" w:hAnsiTheme="minorHAnsi" w:cstheme="minorHAnsi"/>
        </w:rPr>
      </w:pPr>
    </w:p>
    <w:p w14:paraId="0FE8948B" w14:textId="77777777" w:rsidR="006F1D4F" w:rsidRDefault="006F1D4F" w:rsidP="00760D92">
      <w:pPr>
        <w:rPr>
          <w:rFonts w:asciiTheme="minorHAnsi" w:hAnsiTheme="minorHAnsi" w:cstheme="minorHAnsi"/>
        </w:rPr>
      </w:pPr>
    </w:p>
    <w:p w14:paraId="1A6904FE" w14:textId="77777777" w:rsidR="006F1D4F" w:rsidRDefault="006F1D4F" w:rsidP="00760D92">
      <w:pPr>
        <w:rPr>
          <w:rFonts w:asciiTheme="minorHAnsi" w:hAnsiTheme="minorHAnsi" w:cstheme="minorHAnsi"/>
        </w:rPr>
      </w:pPr>
    </w:p>
    <w:p w14:paraId="48AC3320" w14:textId="77777777" w:rsidR="006F1D4F" w:rsidRDefault="006F1D4F" w:rsidP="00760D92">
      <w:pPr>
        <w:rPr>
          <w:rFonts w:asciiTheme="minorHAnsi" w:hAnsiTheme="minorHAnsi" w:cstheme="minorHAnsi"/>
        </w:rPr>
      </w:pPr>
    </w:p>
    <w:p w14:paraId="4CD5236B" w14:textId="77777777" w:rsidR="006F1D4F" w:rsidRDefault="006F1D4F" w:rsidP="00760D92">
      <w:pPr>
        <w:rPr>
          <w:rFonts w:asciiTheme="minorHAnsi" w:hAnsiTheme="minorHAnsi" w:cstheme="minorHAnsi"/>
        </w:rPr>
      </w:pPr>
    </w:p>
    <w:p w14:paraId="10EE0E40" w14:textId="77777777" w:rsidR="006F1D4F" w:rsidRDefault="006F1D4F" w:rsidP="00760D92">
      <w:pPr>
        <w:rPr>
          <w:rFonts w:asciiTheme="minorHAnsi" w:hAnsiTheme="minorHAnsi" w:cstheme="minorHAnsi"/>
        </w:rPr>
      </w:pPr>
    </w:p>
    <w:p w14:paraId="403CFD11" w14:textId="77777777" w:rsidR="006F1D4F" w:rsidRDefault="006F1D4F" w:rsidP="00760D92">
      <w:pPr>
        <w:rPr>
          <w:rFonts w:asciiTheme="minorHAnsi" w:hAnsiTheme="minorHAnsi" w:cstheme="minorHAnsi"/>
        </w:rPr>
      </w:pPr>
    </w:p>
    <w:p w14:paraId="73C84EDD" w14:textId="77777777" w:rsidR="006F1D4F" w:rsidRDefault="006F1D4F" w:rsidP="00760D92">
      <w:pPr>
        <w:rPr>
          <w:rFonts w:asciiTheme="minorHAnsi" w:hAnsiTheme="minorHAnsi" w:cstheme="minorHAnsi"/>
        </w:rPr>
      </w:pPr>
    </w:p>
    <w:tbl>
      <w:tblPr>
        <w:tblStyle w:val="TableGrid"/>
        <w:tblW w:w="0" w:type="auto"/>
        <w:tblLook w:val="04A0" w:firstRow="1" w:lastRow="0" w:firstColumn="1" w:lastColumn="0" w:noHBand="0" w:noVBand="1"/>
      </w:tblPr>
      <w:tblGrid>
        <w:gridCol w:w="10194"/>
      </w:tblGrid>
      <w:tr w:rsidR="00FD477B" w14:paraId="6108918B" w14:textId="77777777" w:rsidTr="00FD477B">
        <w:tc>
          <w:tcPr>
            <w:tcW w:w="10194" w:type="dxa"/>
          </w:tcPr>
          <w:p w14:paraId="36143800" w14:textId="77777777" w:rsidR="00FD477B" w:rsidRPr="00121748" w:rsidRDefault="00FD477B" w:rsidP="00FD477B">
            <w:pPr>
              <w:rPr>
                <w:rFonts w:asciiTheme="minorHAnsi" w:hAnsiTheme="minorHAnsi" w:cstheme="minorHAnsi"/>
                <w:color w:val="7213EA" w:themeColor="accent3"/>
                <w:sz w:val="32"/>
                <w:szCs w:val="32"/>
              </w:rPr>
            </w:pPr>
            <w:r w:rsidRPr="00121748">
              <w:rPr>
                <w:rFonts w:asciiTheme="minorHAnsi" w:hAnsiTheme="minorHAnsi" w:cstheme="minorHAnsi"/>
                <w:color w:val="7213EA" w:themeColor="accent3"/>
                <w:sz w:val="32"/>
                <w:szCs w:val="32"/>
              </w:rPr>
              <w:lastRenderedPageBreak/>
              <w:t xml:space="preserve">Box </w:t>
            </w:r>
            <w:r>
              <w:rPr>
                <w:rFonts w:asciiTheme="minorHAnsi" w:hAnsiTheme="minorHAnsi" w:cstheme="minorHAnsi"/>
                <w:color w:val="7213EA" w:themeColor="accent3"/>
                <w:sz w:val="32"/>
                <w:szCs w:val="32"/>
              </w:rPr>
              <w:t>4</w:t>
            </w:r>
            <w:r w:rsidRPr="00121748">
              <w:rPr>
                <w:rFonts w:asciiTheme="minorHAnsi" w:hAnsiTheme="minorHAnsi" w:cstheme="minorHAnsi"/>
                <w:color w:val="7213EA" w:themeColor="accent3"/>
                <w:sz w:val="32"/>
                <w:szCs w:val="32"/>
              </w:rPr>
              <w:t xml:space="preserve">: Detail on </w:t>
            </w:r>
            <w:proofErr w:type="spellStart"/>
            <w:r w:rsidRPr="00121748">
              <w:rPr>
                <w:rFonts w:asciiTheme="minorHAnsi" w:hAnsiTheme="minorHAnsi" w:cstheme="minorHAnsi"/>
                <w:color w:val="7213EA" w:themeColor="accent3"/>
                <w:sz w:val="32"/>
                <w:szCs w:val="32"/>
              </w:rPr>
              <w:t>EPCs</w:t>
            </w:r>
            <w:proofErr w:type="spellEnd"/>
          </w:p>
          <w:p w14:paraId="40B5380F" w14:textId="77777777" w:rsidR="00FD477B" w:rsidRPr="00121748" w:rsidRDefault="00FD477B" w:rsidP="00FD477B">
            <w:pPr>
              <w:rPr>
                <w:rFonts w:asciiTheme="minorHAnsi" w:hAnsiTheme="minorHAnsi" w:cstheme="minorHAnsi"/>
              </w:rPr>
            </w:pPr>
            <w:r w:rsidRPr="00121748">
              <w:rPr>
                <w:rFonts w:asciiTheme="minorHAnsi" w:hAnsiTheme="minorHAnsi" w:cstheme="minorHAnsi"/>
              </w:rPr>
              <w:t>Energy Performance Certificates (</w:t>
            </w: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are an integral part of energy efficiency initiatives in the European Union (EU) and the UK. They provide information on the energy performance of buildings and are designed to promote energy efficiency, reduce greenhouse gas emissions, and assist consumers in making informed decisions about energy use. The main aim of the EPC is to serve as an information tool for building owners, occupiers, and real estate actors. Therefore, </w:t>
            </w: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can be a powerful market tool to create demand for energy efficiency in buildings by targeting such improvements as a decision-making criterion in real-estate transactions, and by providing recommendations for the cost-effective or cost-optimal upgrading of the energy performance.</w:t>
            </w:r>
          </w:p>
          <w:p w14:paraId="03346C0C" w14:textId="77777777" w:rsidR="00FD477B" w:rsidRPr="00121748" w:rsidRDefault="00FD477B" w:rsidP="00FD477B">
            <w:pPr>
              <w:textAlignment w:val="center"/>
              <w:rPr>
                <w:rFonts w:asciiTheme="minorHAnsi" w:hAnsiTheme="minorHAnsi" w:cstheme="minorHAnsi"/>
                <w:color w:val="auto"/>
                <w:lang w:eastAsia="en-AU"/>
              </w:rPr>
            </w:pPr>
            <w:r w:rsidRPr="00121748">
              <w:rPr>
                <w:rFonts w:asciiTheme="minorHAnsi" w:hAnsiTheme="minorHAnsi" w:cstheme="minorHAnsi"/>
                <w:lang w:eastAsia="en-AU"/>
              </w:rPr>
              <w:t>The Energy Performance Certificate (EPC) rating scheme in the UK reviews the following building attributes:</w:t>
            </w:r>
          </w:p>
          <w:p w14:paraId="0D21BE9C" w14:textId="77777777" w:rsidR="00FD477B" w:rsidRPr="00121748" w:rsidRDefault="00FD477B" w:rsidP="00FD477B">
            <w:pPr>
              <w:pStyle w:val="ListParagraph"/>
              <w:numPr>
                <w:ilvl w:val="0"/>
                <w:numId w:val="25"/>
              </w:numPr>
              <w:spacing w:after="0" w:line="240" w:lineRule="auto"/>
              <w:ind w:left="567"/>
              <w:contextualSpacing w:val="0"/>
              <w:textAlignment w:val="center"/>
              <w:rPr>
                <w:rFonts w:asciiTheme="minorHAnsi" w:eastAsia="Symbol" w:hAnsiTheme="minorHAnsi" w:cstheme="minorHAnsi"/>
                <w:lang w:eastAsia="en-AU"/>
              </w:rPr>
            </w:pPr>
            <w:r w:rsidRPr="00121748">
              <w:rPr>
                <w:rFonts w:asciiTheme="minorHAnsi" w:eastAsia="Symbol" w:hAnsiTheme="minorHAnsi" w:cstheme="minorHAnsi"/>
                <w:lang w:eastAsia="en-AU"/>
              </w:rPr>
              <w:t>Building fabric: This includes the insulation and construction materials used in walls, roofs, and floors.</w:t>
            </w:r>
          </w:p>
          <w:p w14:paraId="629A2DA1" w14:textId="77777777" w:rsidR="00FD477B" w:rsidRPr="00121748" w:rsidRDefault="00FD477B" w:rsidP="00FD477B">
            <w:pPr>
              <w:pStyle w:val="ListParagraph"/>
              <w:numPr>
                <w:ilvl w:val="0"/>
                <w:numId w:val="25"/>
              </w:numPr>
              <w:spacing w:after="0" w:line="240" w:lineRule="auto"/>
              <w:ind w:left="567"/>
              <w:contextualSpacing w:val="0"/>
              <w:textAlignment w:val="center"/>
              <w:rPr>
                <w:rFonts w:asciiTheme="minorHAnsi" w:eastAsia="Symbol" w:hAnsiTheme="minorHAnsi" w:cstheme="minorHAnsi"/>
                <w:lang w:eastAsia="en-AU"/>
              </w:rPr>
            </w:pPr>
            <w:r w:rsidRPr="00121748">
              <w:rPr>
                <w:rFonts w:asciiTheme="minorHAnsi" w:eastAsia="Symbol" w:hAnsiTheme="minorHAnsi" w:cstheme="minorHAnsi"/>
                <w:lang w:eastAsia="en-AU"/>
              </w:rPr>
              <w:t>Windows and doors: The energy efficiency of windows and doors, including glazing types and frames.</w:t>
            </w:r>
          </w:p>
          <w:p w14:paraId="4FD56AD8" w14:textId="77777777" w:rsidR="00FD477B" w:rsidRPr="00121748" w:rsidRDefault="00FD477B" w:rsidP="00FD477B">
            <w:pPr>
              <w:pStyle w:val="ListParagraph"/>
              <w:numPr>
                <w:ilvl w:val="0"/>
                <w:numId w:val="25"/>
              </w:numPr>
              <w:spacing w:after="0" w:line="240" w:lineRule="auto"/>
              <w:ind w:left="567"/>
              <w:contextualSpacing w:val="0"/>
              <w:textAlignment w:val="center"/>
              <w:rPr>
                <w:rFonts w:asciiTheme="minorHAnsi" w:eastAsia="Symbol" w:hAnsiTheme="minorHAnsi" w:cstheme="minorHAnsi"/>
                <w:lang w:eastAsia="en-AU"/>
              </w:rPr>
            </w:pPr>
            <w:r w:rsidRPr="00121748">
              <w:rPr>
                <w:rFonts w:asciiTheme="minorHAnsi" w:eastAsia="Symbol" w:hAnsiTheme="minorHAnsi" w:cstheme="minorHAnsi"/>
                <w:lang w:eastAsia="en-AU"/>
              </w:rPr>
              <w:t>Heating and cooling systems: The efficiency of heating, ventilation, and air conditioning (HVAC) systems, including boilers, heat pumps, and air conditioning units.</w:t>
            </w:r>
          </w:p>
          <w:p w14:paraId="4970CA91" w14:textId="77777777" w:rsidR="00FD477B" w:rsidRPr="00121748" w:rsidRDefault="00FD477B" w:rsidP="00FD477B">
            <w:pPr>
              <w:pStyle w:val="ListParagraph"/>
              <w:numPr>
                <w:ilvl w:val="0"/>
                <w:numId w:val="25"/>
              </w:numPr>
              <w:spacing w:after="0" w:line="240" w:lineRule="auto"/>
              <w:ind w:left="567"/>
              <w:contextualSpacing w:val="0"/>
              <w:textAlignment w:val="center"/>
              <w:rPr>
                <w:rFonts w:asciiTheme="minorHAnsi" w:eastAsia="Symbol" w:hAnsiTheme="minorHAnsi" w:cstheme="minorHAnsi"/>
                <w:lang w:eastAsia="en-AU"/>
              </w:rPr>
            </w:pPr>
            <w:r w:rsidRPr="00121748">
              <w:rPr>
                <w:rFonts w:asciiTheme="minorHAnsi" w:eastAsia="Symbol" w:hAnsiTheme="minorHAnsi" w:cstheme="minorHAnsi"/>
                <w:lang w:eastAsia="en-AU"/>
              </w:rPr>
              <w:t>Lighting: The energy efficiency of lighting systems, including the use of energy-saving bulbs and controls.</w:t>
            </w:r>
          </w:p>
          <w:p w14:paraId="0717FE50" w14:textId="77777777" w:rsidR="00FD477B" w:rsidRPr="00121748" w:rsidRDefault="00FD477B" w:rsidP="00FD477B">
            <w:pPr>
              <w:pStyle w:val="ListParagraph"/>
              <w:numPr>
                <w:ilvl w:val="0"/>
                <w:numId w:val="25"/>
              </w:numPr>
              <w:spacing w:after="0" w:line="240" w:lineRule="auto"/>
              <w:ind w:left="567"/>
              <w:contextualSpacing w:val="0"/>
              <w:textAlignment w:val="center"/>
              <w:rPr>
                <w:rFonts w:asciiTheme="minorHAnsi" w:eastAsia="Symbol" w:hAnsiTheme="minorHAnsi" w:cstheme="minorHAnsi"/>
                <w:lang w:eastAsia="en-AU"/>
              </w:rPr>
            </w:pPr>
            <w:r w:rsidRPr="00121748">
              <w:rPr>
                <w:rFonts w:asciiTheme="minorHAnsi" w:eastAsia="Symbol" w:hAnsiTheme="minorHAnsi" w:cstheme="minorHAnsi"/>
                <w:lang w:eastAsia="en-AU"/>
              </w:rPr>
              <w:t>Renewable energy technologies: The presence and effectiveness of renewable energy systems, such as solar panels, wind turbines, and biomass boilers.</w:t>
            </w:r>
          </w:p>
          <w:p w14:paraId="3E83EA2D" w14:textId="77777777" w:rsidR="00FD477B" w:rsidRPr="00121748" w:rsidRDefault="00FD477B" w:rsidP="00FD477B">
            <w:pPr>
              <w:pStyle w:val="ListParagraph"/>
              <w:numPr>
                <w:ilvl w:val="0"/>
                <w:numId w:val="25"/>
              </w:numPr>
              <w:spacing w:after="0" w:line="240" w:lineRule="auto"/>
              <w:ind w:left="567"/>
              <w:contextualSpacing w:val="0"/>
              <w:textAlignment w:val="center"/>
              <w:rPr>
                <w:rFonts w:asciiTheme="minorHAnsi" w:eastAsia="Symbol" w:hAnsiTheme="minorHAnsi" w:cstheme="minorHAnsi"/>
                <w:lang w:eastAsia="en-AU"/>
              </w:rPr>
            </w:pPr>
            <w:r w:rsidRPr="00121748">
              <w:rPr>
                <w:rFonts w:asciiTheme="minorHAnsi" w:eastAsia="Symbol" w:hAnsiTheme="minorHAnsi" w:cstheme="minorHAnsi"/>
                <w:lang w:eastAsia="en-AU"/>
              </w:rPr>
              <w:t>Energy consumption: Based on the above factors (not actual performance).</w:t>
            </w:r>
          </w:p>
          <w:p w14:paraId="65BB9324" w14:textId="77777777" w:rsidR="00FD477B" w:rsidRPr="00121748" w:rsidRDefault="00FD477B" w:rsidP="00FD477B">
            <w:pPr>
              <w:pStyle w:val="ListParagraph"/>
              <w:numPr>
                <w:ilvl w:val="0"/>
                <w:numId w:val="25"/>
              </w:numPr>
              <w:spacing w:after="0" w:line="240" w:lineRule="auto"/>
              <w:ind w:left="567"/>
              <w:contextualSpacing w:val="0"/>
              <w:textAlignment w:val="center"/>
              <w:rPr>
                <w:rFonts w:asciiTheme="minorHAnsi" w:eastAsia="Symbol" w:hAnsiTheme="minorHAnsi" w:cstheme="minorHAnsi"/>
                <w:lang w:eastAsia="en-AU"/>
              </w:rPr>
            </w:pPr>
            <w:r w:rsidRPr="00121748">
              <w:rPr>
                <w:rFonts w:asciiTheme="minorHAnsi" w:eastAsia="Symbol" w:hAnsiTheme="minorHAnsi" w:cstheme="minorHAnsi"/>
                <w:lang w:eastAsia="en-AU"/>
              </w:rPr>
              <w:t>Carbon emissions: Estimated carbon dioxide emissions produced by the building's energy consumption.</w:t>
            </w:r>
          </w:p>
          <w:p w14:paraId="6808C144" w14:textId="77777777" w:rsidR="00FD477B" w:rsidRPr="00121748" w:rsidRDefault="00FD477B" w:rsidP="00FD477B">
            <w:pPr>
              <w:rPr>
                <w:rFonts w:asciiTheme="minorHAnsi" w:hAnsiTheme="minorHAnsi" w:cstheme="minorHAnsi"/>
                <w:b/>
                <w:i/>
              </w:rPr>
            </w:pPr>
            <w:r w:rsidRPr="00121748">
              <w:rPr>
                <w:rFonts w:asciiTheme="minorHAnsi" w:hAnsiTheme="minorHAnsi" w:cstheme="minorHAnsi"/>
                <w:b/>
                <w:i/>
              </w:rPr>
              <w:t>History:</w:t>
            </w:r>
          </w:p>
          <w:p w14:paraId="32EB2AD7" w14:textId="77777777" w:rsidR="00FD477B" w:rsidRPr="00121748" w:rsidRDefault="00FD477B" w:rsidP="00FD477B">
            <w:pPr>
              <w:rPr>
                <w:rFonts w:asciiTheme="minorHAnsi" w:hAnsiTheme="minorHAnsi" w:cstheme="minorHAnsi"/>
              </w:rPr>
            </w:pP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were introduced for the first time in the Energy Performance of Buildings Directive (</w:t>
            </w:r>
            <w:proofErr w:type="spellStart"/>
            <w:r w:rsidRPr="00121748">
              <w:rPr>
                <w:rFonts w:asciiTheme="minorHAnsi" w:hAnsiTheme="minorHAnsi" w:cstheme="minorHAnsi"/>
              </w:rPr>
              <w:t>EPBD</w:t>
            </w:r>
            <w:proofErr w:type="spellEnd"/>
            <w:r w:rsidRPr="00121748">
              <w:rPr>
                <w:rFonts w:asciiTheme="minorHAnsi" w:hAnsiTheme="minorHAnsi" w:cstheme="minorHAnsi"/>
              </w:rPr>
              <w:t xml:space="preserve">) in 2002, and in 2010 the </w:t>
            </w:r>
            <w:proofErr w:type="spellStart"/>
            <w:r w:rsidRPr="00121748">
              <w:rPr>
                <w:rFonts w:asciiTheme="minorHAnsi" w:hAnsiTheme="minorHAnsi" w:cstheme="minorHAnsi"/>
              </w:rPr>
              <w:t>EPBD</w:t>
            </w:r>
            <w:proofErr w:type="spellEnd"/>
            <w:r w:rsidRPr="00121748">
              <w:rPr>
                <w:rFonts w:asciiTheme="minorHAnsi" w:hAnsiTheme="minorHAnsi" w:cstheme="minorHAnsi"/>
              </w:rPr>
              <w:t xml:space="preserve"> recast added a set of new requirements to improve the quality, </w:t>
            </w:r>
            <w:proofErr w:type="gramStart"/>
            <w:r w:rsidRPr="00121748">
              <w:rPr>
                <w:rFonts w:asciiTheme="minorHAnsi" w:hAnsiTheme="minorHAnsi" w:cstheme="minorHAnsi"/>
              </w:rPr>
              <w:t>usability</w:t>
            </w:r>
            <w:proofErr w:type="gramEnd"/>
            <w:r w:rsidRPr="00121748">
              <w:rPr>
                <w:rFonts w:asciiTheme="minorHAnsi" w:hAnsiTheme="minorHAnsi" w:cstheme="minorHAnsi"/>
              </w:rPr>
              <w:t xml:space="preserve"> and public acceptance of </w:t>
            </w: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Following the requirements of the first </w:t>
            </w:r>
            <w:proofErr w:type="spellStart"/>
            <w:r w:rsidRPr="00121748">
              <w:rPr>
                <w:rFonts w:asciiTheme="minorHAnsi" w:hAnsiTheme="minorHAnsi" w:cstheme="minorHAnsi"/>
              </w:rPr>
              <w:t>EPBD</w:t>
            </w:r>
            <w:proofErr w:type="spellEnd"/>
            <w:r w:rsidRPr="00121748">
              <w:rPr>
                <w:rFonts w:asciiTheme="minorHAnsi" w:hAnsiTheme="minorHAnsi" w:cstheme="minorHAnsi"/>
              </w:rPr>
              <w:t xml:space="preserve"> (2002/91/ EC), all Member States had to introduce, at the latest by 4 January 2009, an effective certification scheme for: </w:t>
            </w:r>
          </w:p>
          <w:p w14:paraId="02D74B7B" w14:textId="77777777" w:rsidR="00FD477B" w:rsidRPr="00121748" w:rsidRDefault="00FD477B" w:rsidP="00FD477B">
            <w:pPr>
              <w:rPr>
                <w:rFonts w:asciiTheme="minorHAnsi" w:hAnsiTheme="minorHAnsi" w:cstheme="minorHAnsi"/>
              </w:rPr>
            </w:pPr>
            <w:r w:rsidRPr="00121748">
              <w:rPr>
                <w:rFonts w:asciiTheme="minorHAnsi" w:hAnsiTheme="minorHAnsi" w:cstheme="minorHAnsi"/>
              </w:rPr>
              <w:t xml:space="preserve">• All buildings or building units which are newly constructed or undergo major </w:t>
            </w:r>
            <w:proofErr w:type="gramStart"/>
            <w:r w:rsidRPr="00121748">
              <w:rPr>
                <w:rFonts w:asciiTheme="minorHAnsi" w:hAnsiTheme="minorHAnsi" w:cstheme="minorHAnsi"/>
              </w:rPr>
              <w:t>renovation;</w:t>
            </w:r>
            <w:proofErr w:type="gramEnd"/>
            <w:r w:rsidRPr="00121748">
              <w:rPr>
                <w:rFonts w:asciiTheme="minorHAnsi" w:hAnsiTheme="minorHAnsi" w:cstheme="minorHAnsi"/>
              </w:rPr>
              <w:t xml:space="preserve"> </w:t>
            </w:r>
          </w:p>
          <w:p w14:paraId="18776B34" w14:textId="77777777" w:rsidR="00FD477B" w:rsidRPr="00121748" w:rsidRDefault="00FD477B" w:rsidP="00FD477B">
            <w:pPr>
              <w:rPr>
                <w:rFonts w:asciiTheme="minorHAnsi" w:hAnsiTheme="minorHAnsi" w:cstheme="minorHAnsi"/>
              </w:rPr>
            </w:pPr>
            <w:r w:rsidRPr="00121748">
              <w:rPr>
                <w:rFonts w:asciiTheme="minorHAnsi" w:hAnsiTheme="minorHAnsi" w:cstheme="minorHAnsi"/>
              </w:rPr>
              <w:t xml:space="preserve">• All buildings or building units sold or rented out to a new tenant; and </w:t>
            </w:r>
          </w:p>
          <w:p w14:paraId="3858623D" w14:textId="77777777" w:rsidR="00FD477B" w:rsidRPr="00121748" w:rsidRDefault="00FD477B" w:rsidP="00FD477B">
            <w:pPr>
              <w:rPr>
                <w:rFonts w:asciiTheme="minorHAnsi" w:hAnsiTheme="minorHAnsi" w:cstheme="minorHAnsi"/>
              </w:rPr>
            </w:pPr>
            <w:r w:rsidRPr="00121748">
              <w:rPr>
                <w:rFonts w:asciiTheme="minorHAnsi" w:hAnsiTheme="minorHAnsi" w:cstheme="minorHAnsi"/>
              </w:rPr>
              <w:t xml:space="preserve">• All buildings where a total useful floor area over 1,000 square meters is occupied by a public authority and frequently visited by the public; this threshold has been further lowered with the recast </w:t>
            </w:r>
            <w:proofErr w:type="spellStart"/>
            <w:r w:rsidRPr="00121748">
              <w:rPr>
                <w:rFonts w:asciiTheme="minorHAnsi" w:hAnsiTheme="minorHAnsi" w:cstheme="minorHAnsi"/>
              </w:rPr>
              <w:t>EPBD</w:t>
            </w:r>
            <w:proofErr w:type="spellEnd"/>
            <w:r w:rsidRPr="00121748">
              <w:rPr>
                <w:rFonts w:asciiTheme="minorHAnsi" w:hAnsiTheme="minorHAnsi" w:cstheme="minorHAnsi"/>
              </w:rPr>
              <w:t xml:space="preserve"> to 500 square meters from 9 January 2013, and to 250 square meters from 9 July 2015.</w:t>
            </w:r>
          </w:p>
          <w:p w14:paraId="31BD9F6B" w14:textId="77777777" w:rsidR="00FD477B" w:rsidRPr="00121748" w:rsidRDefault="00FD477B" w:rsidP="00FD477B">
            <w:pPr>
              <w:rPr>
                <w:rFonts w:asciiTheme="minorHAnsi" w:hAnsiTheme="minorHAnsi" w:cstheme="minorHAnsi"/>
              </w:rPr>
            </w:pPr>
            <w:r w:rsidRPr="00121748">
              <w:rPr>
                <w:rFonts w:asciiTheme="minorHAnsi" w:hAnsiTheme="minorHAnsi" w:cstheme="minorHAnsi"/>
              </w:rPr>
              <w:t xml:space="preserve">Since April 2018- subject to certain exemptions- it has been a legal requirement under the Minimum Energy Efficiency Standard regulations that a commercial building must have a rating of at least E before a new or renewal lease can </w:t>
            </w:r>
            <w:proofErr w:type="gramStart"/>
            <w:r w:rsidRPr="00121748">
              <w:rPr>
                <w:rFonts w:asciiTheme="minorHAnsi" w:hAnsiTheme="minorHAnsi" w:cstheme="minorHAnsi"/>
              </w:rPr>
              <w:t>be  granted</w:t>
            </w:r>
            <w:proofErr w:type="gramEnd"/>
            <w:r w:rsidRPr="00121748">
              <w:rPr>
                <w:rFonts w:asciiTheme="minorHAnsi" w:hAnsiTheme="minorHAnsi" w:cstheme="minorHAnsi"/>
              </w:rPr>
              <w:t>. As of 2021, all new buildings must be nearly zero-energy buildings (</w:t>
            </w:r>
            <w:proofErr w:type="spellStart"/>
            <w:r w:rsidRPr="00121748">
              <w:rPr>
                <w:rFonts w:asciiTheme="minorHAnsi" w:hAnsiTheme="minorHAnsi" w:cstheme="minorHAnsi"/>
              </w:rPr>
              <w:t>NZEB</w:t>
            </w:r>
            <w:proofErr w:type="spellEnd"/>
            <w:r w:rsidRPr="00121748">
              <w:rPr>
                <w:rFonts w:asciiTheme="minorHAnsi" w:hAnsiTheme="minorHAnsi" w:cstheme="minorHAnsi"/>
              </w:rPr>
              <w:t xml:space="preserve">) and since 2019, all new public buildings should be </w:t>
            </w:r>
            <w:proofErr w:type="spellStart"/>
            <w:r w:rsidRPr="00121748">
              <w:rPr>
                <w:rFonts w:asciiTheme="minorHAnsi" w:hAnsiTheme="minorHAnsi" w:cstheme="minorHAnsi"/>
              </w:rPr>
              <w:t>NZEB</w:t>
            </w:r>
            <w:proofErr w:type="spellEnd"/>
            <w:r w:rsidRPr="00121748">
              <w:rPr>
                <w:rFonts w:asciiTheme="minorHAnsi" w:hAnsiTheme="minorHAnsi" w:cstheme="minorHAnsi"/>
              </w:rPr>
              <w:t>. When a building is sold or rented, energy performance certificates must be issued and inspection schemes for heating and air conditioning systems must be established.</w:t>
            </w:r>
          </w:p>
          <w:p w14:paraId="52999CDE" w14:textId="77777777" w:rsidR="00FD477B" w:rsidRPr="00121748" w:rsidRDefault="00FD477B" w:rsidP="00FD477B">
            <w:pPr>
              <w:rPr>
                <w:rFonts w:asciiTheme="minorHAnsi" w:hAnsiTheme="minorHAnsi" w:cstheme="minorHAnsi"/>
                <w:b/>
                <w:i/>
              </w:rPr>
            </w:pPr>
            <w:r w:rsidRPr="00121748">
              <w:rPr>
                <w:rFonts w:asciiTheme="minorHAnsi" w:hAnsiTheme="minorHAnsi" w:cstheme="minorHAnsi"/>
                <w:b/>
                <w:i/>
              </w:rPr>
              <w:t>How it works for commercial buildings:</w:t>
            </w:r>
          </w:p>
          <w:p w14:paraId="6A23D80C" w14:textId="77777777" w:rsidR="00FD477B" w:rsidRPr="00121748" w:rsidRDefault="00FD477B" w:rsidP="00FD477B">
            <w:pPr>
              <w:numPr>
                <w:ilvl w:val="0"/>
                <w:numId w:val="18"/>
              </w:numPr>
              <w:ind w:left="426"/>
              <w:rPr>
                <w:rFonts w:asciiTheme="minorHAnsi" w:hAnsiTheme="minorHAnsi" w:cstheme="minorHAnsi"/>
              </w:rPr>
            </w:pP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for commercial buildings are typically required in specific situations such as when the building is constructed, sold, or leased. The exact triggers and frequency of </w:t>
            </w: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may vary between EU member states.</w:t>
            </w:r>
          </w:p>
          <w:p w14:paraId="7C2437AC" w14:textId="77777777" w:rsidR="00FD477B" w:rsidRPr="00121748" w:rsidRDefault="00FD477B" w:rsidP="00FD477B">
            <w:pPr>
              <w:numPr>
                <w:ilvl w:val="0"/>
                <w:numId w:val="18"/>
              </w:numPr>
              <w:ind w:left="426"/>
              <w:rPr>
                <w:rFonts w:asciiTheme="minorHAnsi" w:hAnsiTheme="minorHAnsi" w:cstheme="minorHAnsi"/>
              </w:rPr>
            </w:pPr>
            <w:r w:rsidRPr="00121748">
              <w:rPr>
                <w:rFonts w:asciiTheme="minorHAnsi" w:hAnsiTheme="minorHAnsi" w:cstheme="minorHAnsi"/>
              </w:rPr>
              <w:t xml:space="preserve">Commercial </w:t>
            </w: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assign an energy efficiency rating to the building, typically displayed on a scale from A (most efficient) to G (least efficient). The rating helps building owners, tenants, and prospective buyers understand the energy efficiency level of the building and make informed decisions. Certificates are generally valid for 10 years unless there’s been a substantial change to the building.</w:t>
            </w:r>
          </w:p>
          <w:p w14:paraId="1478B03B" w14:textId="77777777" w:rsidR="00FD477B" w:rsidRPr="00121748" w:rsidRDefault="00FD477B" w:rsidP="00FD477B">
            <w:pPr>
              <w:numPr>
                <w:ilvl w:val="0"/>
                <w:numId w:val="18"/>
              </w:numPr>
              <w:ind w:left="426"/>
              <w:rPr>
                <w:rFonts w:asciiTheme="minorHAnsi" w:hAnsiTheme="minorHAnsi" w:cstheme="minorHAnsi"/>
              </w:rPr>
            </w:pP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must be included in all advertisements in commercial media when a building is put up for sale or rent. They must also be shown to prospective tenants or buyers when a building is being constructed, sold, or rented.</w:t>
            </w:r>
          </w:p>
          <w:p w14:paraId="750D8CE4" w14:textId="77777777" w:rsidR="00FD477B" w:rsidRPr="00121748" w:rsidRDefault="00FD477B" w:rsidP="00FD477B">
            <w:pPr>
              <w:numPr>
                <w:ilvl w:val="0"/>
                <w:numId w:val="18"/>
              </w:numPr>
              <w:ind w:left="426"/>
              <w:rPr>
                <w:rFonts w:asciiTheme="minorHAnsi" w:hAnsiTheme="minorHAnsi" w:cstheme="minorHAnsi"/>
              </w:rPr>
            </w:pPr>
            <w:proofErr w:type="spellStart"/>
            <w:r w:rsidRPr="00121748">
              <w:rPr>
                <w:rFonts w:asciiTheme="minorHAnsi" w:hAnsiTheme="minorHAnsi" w:cstheme="minorHAnsi"/>
              </w:rPr>
              <w:t>EPCs</w:t>
            </w:r>
            <w:proofErr w:type="spellEnd"/>
            <w:r w:rsidRPr="00121748">
              <w:rPr>
                <w:rFonts w:asciiTheme="minorHAnsi" w:hAnsiTheme="minorHAnsi" w:cstheme="minorHAnsi"/>
              </w:rPr>
              <w:t xml:space="preserve"> for commercial buildings provide recommendations for energy-saving measures and improvements that can enhance the energy efficiency of the building. These recommendations may include upgrades to heating and cooling systems, insulation, lighting, and the integration of renewable energy technologies.</w:t>
            </w:r>
          </w:p>
          <w:p w14:paraId="5ED65F08" w14:textId="09C3715B" w:rsidR="00FD477B" w:rsidRPr="00FD477B" w:rsidRDefault="00FD477B" w:rsidP="00760D92">
            <w:pPr>
              <w:numPr>
                <w:ilvl w:val="0"/>
                <w:numId w:val="18"/>
              </w:numPr>
              <w:ind w:left="426"/>
              <w:rPr>
                <w:rFonts w:asciiTheme="minorHAnsi" w:hAnsiTheme="minorHAnsi" w:cstheme="minorHAnsi"/>
              </w:rPr>
            </w:pPr>
            <w:r w:rsidRPr="00121748">
              <w:rPr>
                <w:rFonts w:asciiTheme="minorHAnsi" w:hAnsiTheme="minorHAnsi" w:cstheme="minorHAnsi"/>
              </w:rPr>
              <w:t>EU member states are responsible for enforcing the EPC requirements for commercial buildings. Penalties may be imposed on building owners or parties involved in transactions who fail to obtain or display a valid EPC when required.</w:t>
            </w:r>
          </w:p>
        </w:tc>
      </w:tr>
    </w:tbl>
    <w:p w14:paraId="13837A51" w14:textId="40C4B1B0" w:rsidR="00FD477B" w:rsidRDefault="00FD477B" w:rsidP="00760D92">
      <w:pPr>
        <w:rPr>
          <w:rFonts w:asciiTheme="minorHAnsi" w:hAnsiTheme="minorHAnsi" w:cstheme="minorHAnsi"/>
        </w:rPr>
      </w:pPr>
    </w:p>
    <w:p w14:paraId="251A871E" w14:textId="3741D99B" w:rsidR="00696F02" w:rsidRPr="00E63900" w:rsidRDefault="00696F02" w:rsidP="00760D92">
      <w:pPr>
        <w:rPr>
          <w:rFonts w:asciiTheme="minorHAnsi" w:hAnsiTheme="minorHAnsi" w:cstheme="minorHAnsi"/>
        </w:rPr>
      </w:pPr>
    </w:p>
    <w:p w14:paraId="66BEFABE" w14:textId="77777777" w:rsidR="00131FC3" w:rsidRPr="00E63900" w:rsidRDefault="00131FC3" w:rsidP="00760D92">
      <w:pPr>
        <w:rPr>
          <w:rFonts w:asciiTheme="minorHAnsi" w:hAnsiTheme="minorHAnsi" w:cstheme="minorHAnsi"/>
        </w:rPr>
      </w:pPr>
    </w:p>
    <w:p w14:paraId="0853BDEE" w14:textId="420168BF" w:rsidR="001D3B1F" w:rsidRPr="001D3B1F" w:rsidRDefault="001D3B1F" w:rsidP="001D3B1F">
      <w:pPr>
        <w:pStyle w:val="Caption"/>
        <w:keepNext/>
        <w:spacing w:after="120"/>
        <w:rPr>
          <w:rFonts w:ascii="Calibri" w:eastAsia="Times New Roman" w:hAnsi="Calibri" w:cs="Times New Roman"/>
          <w:b/>
          <w:bCs/>
          <w:i w:val="0"/>
          <w:iCs w:val="0"/>
          <w:color w:val="auto"/>
          <w:sz w:val="24"/>
        </w:rPr>
      </w:pPr>
      <w:bookmarkStart w:id="308" w:name="_Toc157687033"/>
      <w:r w:rsidRPr="001D3B1F">
        <w:rPr>
          <w:rFonts w:ascii="Calibri" w:eastAsia="Times New Roman" w:hAnsi="Calibri" w:cs="Times New Roman"/>
          <w:b/>
          <w:bCs/>
          <w:i w:val="0"/>
          <w:iCs w:val="0"/>
          <w:color w:val="auto"/>
          <w:sz w:val="24"/>
        </w:rPr>
        <w:t xml:space="preserve">Figure </w:t>
      </w:r>
      <w:r w:rsidRPr="001D3B1F">
        <w:rPr>
          <w:rFonts w:ascii="Calibri" w:eastAsia="Times New Roman" w:hAnsi="Calibri" w:cs="Times New Roman"/>
          <w:b/>
          <w:bCs/>
          <w:i w:val="0"/>
          <w:iCs w:val="0"/>
          <w:color w:val="auto"/>
          <w:sz w:val="24"/>
        </w:rPr>
        <w:fldChar w:fldCharType="begin"/>
      </w:r>
      <w:r w:rsidRPr="001D3B1F">
        <w:rPr>
          <w:rFonts w:ascii="Calibri" w:eastAsia="Times New Roman" w:hAnsi="Calibri" w:cs="Times New Roman"/>
          <w:b/>
          <w:bCs/>
          <w:i w:val="0"/>
          <w:iCs w:val="0"/>
          <w:color w:val="auto"/>
          <w:sz w:val="24"/>
        </w:rPr>
        <w:instrText>SEQ Figure \* ARABIC</w:instrText>
      </w:r>
      <w:r w:rsidRPr="001D3B1F">
        <w:rPr>
          <w:rFonts w:ascii="Calibri" w:eastAsia="Times New Roman" w:hAnsi="Calibri" w:cs="Times New Roman"/>
          <w:b/>
          <w:bCs/>
          <w:i w:val="0"/>
          <w:iCs w:val="0"/>
          <w:color w:val="auto"/>
          <w:sz w:val="24"/>
        </w:rPr>
        <w:fldChar w:fldCharType="separate"/>
      </w:r>
      <w:r w:rsidR="00D24A06">
        <w:rPr>
          <w:rFonts w:ascii="Calibri" w:eastAsia="Times New Roman" w:hAnsi="Calibri" w:cs="Times New Roman"/>
          <w:b/>
          <w:bCs/>
          <w:i w:val="0"/>
          <w:iCs w:val="0"/>
          <w:noProof/>
          <w:color w:val="auto"/>
          <w:sz w:val="24"/>
        </w:rPr>
        <w:t>28</w:t>
      </w:r>
      <w:r w:rsidRPr="001D3B1F">
        <w:rPr>
          <w:rFonts w:ascii="Calibri" w:eastAsia="Times New Roman" w:hAnsi="Calibri" w:cs="Times New Roman"/>
          <w:b/>
          <w:bCs/>
          <w:i w:val="0"/>
          <w:iCs w:val="0"/>
          <w:color w:val="auto"/>
          <w:sz w:val="24"/>
        </w:rPr>
        <w:fldChar w:fldCharType="end"/>
      </w:r>
      <w:r w:rsidRPr="001D3B1F">
        <w:rPr>
          <w:rFonts w:ascii="Calibri" w:eastAsia="Times New Roman" w:hAnsi="Calibri" w:cs="Times New Roman"/>
          <w:b/>
          <w:bCs/>
          <w:i w:val="0"/>
          <w:iCs w:val="0"/>
          <w:color w:val="auto"/>
          <w:sz w:val="24"/>
        </w:rPr>
        <w:t xml:space="preserve">: Example of </w:t>
      </w:r>
      <w:proofErr w:type="spellStart"/>
      <w:r w:rsidRPr="001D3B1F">
        <w:rPr>
          <w:rFonts w:ascii="Calibri" w:eastAsia="Times New Roman" w:hAnsi="Calibri" w:cs="Times New Roman"/>
          <w:b/>
          <w:bCs/>
          <w:i w:val="0"/>
          <w:iCs w:val="0"/>
          <w:color w:val="auto"/>
          <w:sz w:val="24"/>
        </w:rPr>
        <w:t>EPCs</w:t>
      </w:r>
      <w:proofErr w:type="spellEnd"/>
      <w:r w:rsidRPr="001D3B1F">
        <w:rPr>
          <w:rFonts w:ascii="Calibri" w:eastAsia="Times New Roman" w:hAnsi="Calibri" w:cs="Times New Roman"/>
          <w:b/>
          <w:bCs/>
          <w:i w:val="0"/>
          <w:iCs w:val="0"/>
          <w:color w:val="auto"/>
          <w:sz w:val="24"/>
        </w:rPr>
        <w:t xml:space="preserve"> used in the U</w:t>
      </w:r>
      <w:r w:rsidR="00DB6120">
        <w:rPr>
          <w:rFonts w:ascii="Calibri" w:eastAsia="Times New Roman" w:hAnsi="Calibri" w:cs="Times New Roman"/>
          <w:b/>
          <w:bCs/>
          <w:i w:val="0"/>
          <w:iCs w:val="0"/>
          <w:color w:val="auto"/>
          <w:sz w:val="24"/>
        </w:rPr>
        <w:t>K</w:t>
      </w:r>
      <w:r w:rsidR="00F73A23">
        <w:rPr>
          <w:rFonts w:ascii="ZWAdobeF" w:eastAsia="Times New Roman" w:hAnsi="ZWAdobeF" w:cs="ZWAdobeF"/>
          <w:bCs/>
          <w:i w:val="0"/>
          <w:iCs w:val="0"/>
          <w:color w:val="auto"/>
          <w:sz w:val="2"/>
          <w:szCs w:val="2"/>
        </w:rPr>
        <w:t>199F</w:t>
      </w:r>
      <w:r w:rsidR="00626378">
        <w:rPr>
          <w:rFonts w:ascii="ZWAdobeF" w:eastAsia="Times New Roman" w:hAnsi="ZWAdobeF" w:cs="ZWAdobeF"/>
          <w:bCs/>
          <w:i w:val="0"/>
          <w:iCs w:val="0"/>
          <w:color w:val="auto"/>
          <w:sz w:val="2"/>
          <w:szCs w:val="2"/>
        </w:rPr>
        <w:t>199F</w:t>
      </w:r>
      <w:r w:rsidR="00413811">
        <w:rPr>
          <w:rFonts w:ascii="ZWAdobeF" w:eastAsia="Times New Roman" w:hAnsi="ZWAdobeF" w:cs="ZWAdobeF"/>
          <w:bCs/>
          <w:i w:val="0"/>
          <w:iCs w:val="0"/>
          <w:color w:val="auto"/>
          <w:sz w:val="2"/>
          <w:szCs w:val="2"/>
        </w:rPr>
        <w:t>199F</w:t>
      </w:r>
      <w:r w:rsidR="002C327C">
        <w:rPr>
          <w:rFonts w:ascii="ZWAdobeF" w:eastAsia="Times New Roman" w:hAnsi="ZWAdobeF" w:cs="ZWAdobeF"/>
          <w:bCs/>
          <w:i w:val="0"/>
          <w:iCs w:val="0"/>
          <w:color w:val="auto"/>
          <w:sz w:val="2"/>
          <w:szCs w:val="2"/>
        </w:rPr>
        <w:t>199F</w:t>
      </w:r>
      <w:r w:rsidR="00D24A06">
        <w:rPr>
          <w:rFonts w:ascii="ZWAdobeF" w:eastAsia="Times New Roman" w:hAnsi="ZWAdobeF" w:cs="ZWAdobeF"/>
          <w:bCs/>
          <w:i w:val="0"/>
          <w:iCs w:val="0"/>
          <w:color w:val="auto"/>
          <w:sz w:val="2"/>
          <w:szCs w:val="2"/>
        </w:rPr>
        <w:t>199F</w:t>
      </w:r>
      <w:r>
        <w:rPr>
          <w:rStyle w:val="FootnoteReference"/>
          <w:rFonts w:ascii="Calibri" w:eastAsia="Times New Roman" w:hAnsi="Calibri" w:cs="Times New Roman"/>
          <w:b/>
          <w:bCs/>
          <w:i w:val="0"/>
          <w:iCs w:val="0"/>
          <w:color w:val="auto"/>
          <w:sz w:val="24"/>
        </w:rPr>
        <w:footnoteReference w:id="201"/>
      </w:r>
      <w:bookmarkEnd w:id="308"/>
    </w:p>
    <w:p w14:paraId="1BA9431E" w14:textId="77777777" w:rsidR="00826B8E" w:rsidRPr="00E63900" w:rsidRDefault="002C588D" w:rsidP="00826B8E">
      <w:pPr>
        <w:keepNext/>
        <w:spacing w:before="0" w:after="160" w:line="259" w:lineRule="auto"/>
        <w:rPr>
          <w:rFonts w:asciiTheme="minorHAnsi" w:hAnsiTheme="minorHAnsi" w:cstheme="minorHAnsi"/>
        </w:rPr>
      </w:pPr>
      <w:r w:rsidRPr="000C274B">
        <w:rPr>
          <w:rFonts w:asciiTheme="minorHAnsi" w:hAnsiTheme="minorHAnsi" w:cstheme="minorHAnsi"/>
          <w:noProof/>
          <w:color w:val="auto"/>
          <w:szCs w:val="20"/>
          <w:lang w:eastAsia="en-AU"/>
        </w:rPr>
        <w:drawing>
          <wp:inline distT="0" distB="0" distL="0" distR="0" wp14:anchorId="19891F3B" wp14:editId="312A0068">
            <wp:extent cx="6491733" cy="3429000"/>
            <wp:effectExtent l="0" t="0" r="4445" b="0"/>
            <wp:docPr id="3" name="Picture 3" descr="Two different examples of Energy Performance Certificates used in the UK to show a building's energy efficiency rating or environmental impact rating against a set of bands. The bands are from 'A', very energy efficient, lower running costs and very environmentally friendly, lower CO2 emissions to 'G', not energy efficient, higher running costs and not environmentally friendly, higher CO2 emissions. The example shows a building in band 'C' for both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different examples of Energy Performance Certificates used in the UK to show a building's energy efficiency rating or environmental impact rating against a set of bands. The bands are from 'A', very energy efficient, lower running costs and very environmentally friendly, lower CO2 emissions to 'G', not energy efficient, higher running costs and not environmentally friendly, higher CO2 emissions. The example shows a building in band 'C' for both rating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07574" cy="3437368"/>
                    </a:xfrm>
                    <a:prstGeom prst="rect">
                      <a:avLst/>
                    </a:prstGeom>
                    <a:noFill/>
                    <a:ln>
                      <a:noFill/>
                    </a:ln>
                  </pic:spPr>
                </pic:pic>
              </a:graphicData>
            </a:graphic>
          </wp:inline>
        </w:drawing>
      </w:r>
    </w:p>
    <w:p w14:paraId="26E44625" w14:textId="77777777" w:rsidR="00D923E9" w:rsidRPr="00E63900" w:rsidRDefault="00D923E9">
      <w:pPr>
        <w:spacing w:before="0" w:after="160" w:line="259" w:lineRule="auto"/>
        <w:rPr>
          <w:rFonts w:asciiTheme="minorHAnsi" w:hAnsiTheme="minorHAnsi" w:cstheme="minorHAnsi"/>
          <w:i/>
          <w:color w:val="00338D" w:themeColor="text2"/>
          <w:sz w:val="18"/>
          <w:szCs w:val="18"/>
        </w:rPr>
      </w:pPr>
      <w:r w:rsidRPr="00E63900">
        <w:rPr>
          <w:rFonts w:asciiTheme="minorHAnsi" w:hAnsiTheme="minorHAnsi" w:cstheme="minorHAnsi"/>
        </w:rPr>
        <w:br w:type="page"/>
      </w:r>
    </w:p>
    <w:p w14:paraId="7123855F" w14:textId="4F9A4E03" w:rsidR="007C63D0" w:rsidRPr="00F81ADB" w:rsidRDefault="00A939DD" w:rsidP="00214D42">
      <w:pPr>
        <w:pStyle w:val="Heading2"/>
        <w:rPr>
          <w:rFonts w:cstheme="minorHAnsi"/>
          <w:lang w:val="en-GB"/>
        </w:rPr>
      </w:pPr>
      <w:bookmarkStart w:id="309" w:name="_Toc136286400"/>
      <w:bookmarkStart w:id="310" w:name="_Toc154059398"/>
      <w:r w:rsidRPr="00F81ADB">
        <w:rPr>
          <w:rFonts w:cstheme="minorHAnsi"/>
          <w:lang w:val="en-GB"/>
        </w:rPr>
        <w:lastRenderedPageBreak/>
        <w:t xml:space="preserve">Appendix </w:t>
      </w:r>
      <w:r w:rsidR="004F00D8" w:rsidRPr="00F81ADB">
        <w:rPr>
          <w:rFonts w:cstheme="minorHAnsi"/>
          <w:lang w:val="en-GB"/>
        </w:rPr>
        <w:t>1</w:t>
      </w:r>
      <w:r w:rsidR="00182AB2">
        <w:rPr>
          <w:rFonts w:cstheme="minorHAnsi"/>
          <w:lang w:val="en-GB"/>
        </w:rPr>
        <w:t>0</w:t>
      </w:r>
      <w:r w:rsidRPr="00F81ADB">
        <w:rPr>
          <w:rFonts w:cstheme="minorHAnsi"/>
          <w:lang w:val="en-GB"/>
        </w:rPr>
        <w:t>:</w:t>
      </w:r>
      <w:r w:rsidR="00D37725" w:rsidRPr="00F81ADB">
        <w:rPr>
          <w:rFonts w:cstheme="minorHAnsi"/>
          <w:lang w:val="en-GB"/>
        </w:rPr>
        <w:t xml:space="preserve"> </w:t>
      </w:r>
      <w:r w:rsidR="007C63D0" w:rsidRPr="00F81ADB">
        <w:rPr>
          <w:rFonts w:cstheme="minorHAnsi"/>
          <w:lang w:val="en-GB"/>
        </w:rPr>
        <w:t>Examples of energy rating displays</w:t>
      </w:r>
      <w:bookmarkEnd w:id="304"/>
      <w:bookmarkEnd w:id="309"/>
      <w:bookmarkEnd w:id="310"/>
    </w:p>
    <w:p w14:paraId="7FAED13D" w14:textId="5864BF2C" w:rsidR="00FD1157" w:rsidRPr="00E63900" w:rsidRDefault="00FD1157" w:rsidP="00757631">
      <w:pPr>
        <w:rPr>
          <w:rFonts w:asciiTheme="minorHAnsi" w:hAnsiTheme="minorHAnsi" w:cstheme="minorHAnsi"/>
          <w:b/>
          <w:lang w:val="en-GB"/>
        </w:rPr>
      </w:pPr>
      <w:r w:rsidRPr="00E63900">
        <w:rPr>
          <w:rFonts w:asciiTheme="minorHAnsi" w:hAnsiTheme="minorHAnsi" w:cstheme="minorHAnsi"/>
          <w:b/>
          <w:lang w:val="en-GB"/>
        </w:rPr>
        <w:t>Display Energy Certificate (UK)</w:t>
      </w:r>
      <w:r w:rsidR="002D0089">
        <w:rPr>
          <w:rFonts w:ascii="ZWAdobeF" w:hAnsi="ZWAdobeF" w:cs="ZWAdobeF"/>
          <w:color w:val="auto"/>
          <w:sz w:val="2"/>
          <w:szCs w:val="2"/>
          <w:lang w:val="en-GB"/>
        </w:rPr>
        <w:t>197F</w:t>
      </w:r>
      <w:r w:rsidR="00EE36E3">
        <w:rPr>
          <w:rFonts w:ascii="ZWAdobeF" w:hAnsi="ZWAdobeF" w:cs="ZWAdobeF"/>
          <w:color w:val="auto"/>
          <w:sz w:val="2"/>
          <w:szCs w:val="2"/>
          <w:lang w:val="en-GB"/>
        </w:rPr>
        <w:t>200F</w:t>
      </w:r>
      <w:r w:rsidR="00122C48">
        <w:rPr>
          <w:rFonts w:ascii="ZWAdobeF" w:hAnsi="ZWAdobeF" w:cs="ZWAdobeF"/>
          <w:color w:val="auto"/>
          <w:sz w:val="2"/>
          <w:szCs w:val="2"/>
          <w:lang w:val="en-GB"/>
        </w:rPr>
        <w:t>200F</w:t>
      </w:r>
      <w:r w:rsidR="00F73A23">
        <w:rPr>
          <w:rFonts w:ascii="ZWAdobeF" w:hAnsi="ZWAdobeF" w:cs="ZWAdobeF"/>
          <w:color w:val="auto"/>
          <w:sz w:val="2"/>
          <w:szCs w:val="2"/>
          <w:lang w:val="en-GB"/>
        </w:rPr>
        <w:t>200F</w:t>
      </w:r>
      <w:r w:rsidR="00626378">
        <w:rPr>
          <w:rFonts w:ascii="ZWAdobeF" w:hAnsi="ZWAdobeF" w:cs="ZWAdobeF"/>
          <w:color w:val="auto"/>
          <w:sz w:val="2"/>
          <w:szCs w:val="2"/>
          <w:lang w:val="en-GB"/>
        </w:rPr>
        <w:t>200F</w:t>
      </w:r>
      <w:r w:rsidR="00413811">
        <w:rPr>
          <w:rFonts w:ascii="ZWAdobeF" w:hAnsi="ZWAdobeF" w:cs="ZWAdobeF"/>
          <w:color w:val="auto"/>
          <w:sz w:val="2"/>
          <w:szCs w:val="2"/>
          <w:lang w:val="en-GB"/>
        </w:rPr>
        <w:t>200F</w:t>
      </w:r>
      <w:r w:rsidR="002C327C">
        <w:rPr>
          <w:rFonts w:ascii="ZWAdobeF" w:hAnsi="ZWAdobeF" w:cs="ZWAdobeF"/>
          <w:color w:val="auto"/>
          <w:sz w:val="2"/>
          <w:szCs w:val="2"/>
          <w:lang w:val="en-GB"/>
        </w:rPr>
        <w:t>200F</w:t>
      </w:r>
      <w:r w:rsidR="00D24A06">
        <w:rPr>
          <w:rFonts w:ascii="ZWAdobeF" w:hAnsi="ZWAdobeF" w:cs="ZWAdobeF"/>
          <w:color w:val="auto"/>
          <w:sz w:val="2"/>
          <w:szCs w:val="2"/>
          <w:lang w:val="en-GB"/>
        </w:rPr>
        <w:t>200F</w:t>
      </w:r>
      <w:r w:rsidRPr="00E63900">
        <w:rPr>
          <w:rStyle w:val="FootnoteReference"/>
          <w:rFonts w:asciiTheme="minorHAnsi" w:hAnsiTheme="minorHAnsi" w:cstheme="minorHAnsi"/>
          <w:b/>
          <w:lang w:val="en-GB"/>
        </w:rPr>
        <w:footnoteReference w:id="202"/>
      </w:r>
      <w:r w:rsidRPr="00E63900">
        <w:rPr>
          <w:rFonts w:asciiTheme="minorHAnsi" w:hAnsiTheme="minorHAnsi" w:cstheme="minorHAnsi"/>
          <w:b/>
          <w:lang w:val="en-GB"/>
        </w:rPr>
        <w:t>:</w:t>
      </w:r>
    </w:p>
    <w:p w14:paraId="19EC7CF9" w14:textId="77777777" w:rsidR="00FD1157" w:rsidRPr="00E63900" w:rsidRDefault="00FD1157">
      <w:pPr>
        <w:spacing w:before="0" w:after="160" w:line="259" w:lineRule="auto"/>
        <w:rPr>
          <w:rFonts w:asciiTheme="minorHAnsi" w:hAnsiTheme="minorHAnsi" w:cstheme="minorHAnsi"/>
          <w:lang w:val="en-GB"/>
        </w:rPr>
      </w:pPr>
      <w:r w:rsidRPr="00E63900">
        <w:rPr>
          <w:rFonts w:asciiTheme="minorHAnsi" w:hAnsiTheme="minorHAnsi" w:cstheme="minorHAnsi"/>
          <w:noProof/>
        </w:rPr>
        <w:drawing>
          <wp:inline distT="0" distB="0" distL="0" distR="0" wp14:anchorId="7A3D4B25" wp14:editId="02173466">
            <wp:extent cx="4663440" cy="2398445"/>
            <wp:effectExtent l="0" t="0" r="3810" b="1905"/>
            <wp:docPr id="905" name="Picture 905" descr="Display Energy Certificate for the UK. 31 May 2023. Operational Rating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Picture 905" descr="Display Energy Certificate for the UK. 31 May 2023. Operational Rating F"/>
                    <pic:cNvPicPr/>
                  </pic:nvPicPr>
                  <pic:blipFill>
                    <a:blip r:embed="rId72"/>
                    <a:stretch>
                      <a:fillRect/>
                    </a:stretch>
                  </pic:blipFill>
                  <pic:spPr>
                    <a:xfrm>
                      <a:off x="0" y="0"/>
                      <a:ext cx="4670632" cy="2402144"/>
                    </a:xfrm>
                    <a:prstGeom prst="rect">
                      <a:avLst/>
                    </a:prstGeom>
                  </pic:spPr>
                </pic:pic>
              </a:graphicData>
            </a:graphic>
          </wp:inline>
        </w:drawing>
      </w:r>
    </w:p>
    <w:p w14:paraId="6AE5953A" w14:textId="2C06D0EE" w:rsidR="007E2886" w:rsidRPr="00E63900" w:rsidRDefault="007E2886" w:rsidP="00757631">
      <w:pPr>
        <w:rPr>
          <w:rFonts w:asciiTheme="minorHAnsi" w:hAnsiTheme="minorHAnsi" w:cstheme="minorHAnsi"/>
          <w:b/>
          <w:lang w:val="en-GB"/>
        </w:rPr>
      </w:pPr>
      <w:r w:rsidRPr="00E63900">
        <w:rPr>
          <w:rFonts w:asciiTheme="minorHAnsi" w:hAnsiTheme="minorHAnsi" w:cstheme="minorHAnsi"/>
          <w:b/>
          <w:lang w:val="en-GB"/>
        </w:rPr>
        <w:t>EPC in the UK must contain the following information</w:t>
      </w:r>
      <w:r w:rsidR="002D0089">
        <w:rPr>
          <w:rFonts w:ascii="ZWAdobeF" w:hAnsi="ZWAdobeF" w:cs="ZWAdobeF"/>
          <w:color w:val="auto"/>
          <w:sz w:val="2"/>
          <w:szCs w:val="2"/>
          <w:lang w:val="en-GB"/>
        </w:rPr>
        <w:t>198F</w:t>
      </w:r>
      <w:r w:rsidR="00EE36E3">
        <w:rPr>
          <w:rFonts w:ascii="ZWAdobeF" w:hAnsi="ZWAdobeF" w:cs="ZWAdobeF"/>
          <w:color w:val="auto"/>
          <w:sz w:val="2"/>
          <w:szCs w:val="2"/>
          <w:lang w:val="en-GB"/>
        </w:rPr>
        <w:t>201F</w:t>
      </w:r>
      <w:r w:rsidR="00122C48">
        <w:rPr>
          <w:rFonts w:ascii="ZWAdobeF" w:hAnsi="ZWAdobeF" w:cs="ZWAdobeF"/>
          <w:color w:val="auto"/>
          <w:sz w:val="2"/>
          <w:szCs w:val="2"/>
          <w:lang w:val="en-GB"/>
        </w:rPr>
        <w:t>201F</w:t>
      </w:r>
      <w:r w:rsidR="00F73A23">
        <w:rPr>
          <w:rFonts w:ascii="ZWAdobeF" w:hAnsi="ZWAdobeF" w:cs="ZWAdobeF"/>
          <w:color w:val="auto"/>
          <w:sz w:val="2"/>
          <w:szCs w:val="2"/>
          <w:lang w:val="en-GB"/>
        </w:rPr>
        <w:t>201F</w:t>
      </w:r>
      <w:r w:rsidR="00626378">
        <w:rPr>
          <w:rFonts w:ascii="ZWAdobeF" w:hAnsi="ZWAdobeF" w:cs="ZWAdobeF"/>
          <w:color w:val="auto"/>
          <w:sz w:val="2"/>
          <w:szCs w:val="2"/>
          <w:lang w:val="en-GB"/>
        </w:rPr>
        <w:t>201F</w:t>
      </w:r>
      <w:r w:rsidR="00413811">
        <w:rPr>
          <w:rFonts w:ascii="ZWAdobeF" w:hAnsi="ZWAdobeF" w:cs="ZWAdobeF"/>
          <w:color w:val="auto"/>
          <w:sz w:val="2"/>
          <w:szCs w:val="2"/>
          <w:lang w:val="en-GB"/>
        </w:rPr>
        <w:t>201F</w:t>
      </w:r>
      <w:r w:rsidR="002C327C">
        <w:rPr>
          <w:rFonts w:ascii="ZWAdobeF" w:hAnsi="ZWAdobeF" w:cs="ZWAdobeF"/>
          <w:color w:val="auto"/>
          <w:sz w:val="2"/>
          <w:szCs w:val="2"/>
          <w:lang w:val="en-GB"/>
        </w:rPr>
        <w:t>201F</w:t>
      </w:r>
      <w:r w:rsidR="00D24A06">
        <w:rPr>
          <w:rFonts w:ascii="ZWAdobeF" w:hAnsi="ZWAdobeF" w:cs="ZWAdobeF"/>
          <w:color w:val="auto"/>
          <w:sz w:val="2"/>
          <w:szCs w:val="2"/>
          <w:lang w:val="en-GB"/>
        </w:rPr>
        <w:t>201F</w:t>
      </w:r>
      <w:r w:rsidRPr="00E63900">
        <w:rPr>
          <w:rStyle w:val="FootnoteReference"/>
          <w:rFonts w:asciiTheme="minorHAnsi" w:hAnsiTheme="minorHAnsi" w:cstheme="minorHAnsi"/>
          <w:b/>
          <w:lang w:val="en-GB"/>
        </w:rPr>
        <w:footnoteReference w:id="203"/>
      </w:r>
      <w:r w:rsidRPr="00E63900">
        <w:rPr>
          <w:rFonts w:asciiTheme="minorHAnsi" w:hAnsiTheme="minorHAnsi" w:cstheme="minorHAnsi"/>
          <w:b/>
          <w:lang w:val="en-GB"/>
        </w:rPr>
        <w:t>:</w:t>
      </w:r>
    </w:p>
    <w:p w14:paraId="42B556D9" w14:textId="77777777" w:rsidR="007E2886" w:rsidRPr="00E63900" w:rsidRDefault="007E2886" w:rsidP="00214D42">
      <w:pPr>
        <w:pStyle w:val="ListParagraph"/>
        <w:numPr>
          <w:ilvl w:val="0"/>
          <w:numId w:val="12"/>
        </w:numPr>
        <w:rPr>
          <w:rFonts w:asciiTheme="minorHAnsi" w:hAnsiTheme="minorHAnsi" w:cstheme="minorHAnsi"/>
          <w:lang w:val="en-GB"/>
        </w:rPr>
      </w:pPr>
      <w:r w:rsidRPr="00E63900">
        <w:rPr>
          <w:rFonts w:asciiTheme="minorHAnsi" w:hAnsiTheme="minorHAnsi" w:cstheme="minorHAnsi"/>
          <w:lang w:val="en-GB"/>
        </w:rPr>
        <w:t xml:space="preserve">The asset rating - the rating places the energy efficiency of the property on a sliding </w:t>
      </w:r>
      <w:proofErr w:type="gramStart"/>
      <w:r w:rsidRPr="00E63900">
        <w:rPr>
          <w:rFonts w:asciiTheme="minorHAnsi" w:hAnsiTheme="minorHAnsi" w:cstheme="minorHAnsi"/>
          <w:lang w:val="en-GB"/>
        </w:rPr>
        <w:t>scale</w:t>
      </w:r>
      <w:proofErr w:type="gramEnd"/>
    </w:p>
    <w:p w14:paraId="41D1A5BD" w14:textId="77777777" w:rsidR="007E2886" w:rsidRPr="00E63900" w:rsidRDefault="007E2886" w:rsidP="00214D42">
      <w:pPr>
        <w:pStyle w:val="ListParagraph"/>
        <w:numPr>
          <w:ilvl w:val="0"/>
          <w:numId w:val="12"/>
        </w:numPr>
        <w:rPr>
          <w:rFonts w:asciiTheme="minorHAnsi" w:hAnsiTheme="minorHAnsi" w:cstheme="minorHAnsi"/>
          <w:lang w:val="en-GB"/>
        </w:rPr>
      </w:pPr>
      <w:r w:rsidRPr="00E63900">
        <w:rPr>
          <w:rFonts w:asciiTheme="minorHAnsi" w:hAnsiTheme="minorHAnsi" w:cstheme="minorHAnsi"/>
          <w:lang w:val="en-GB"/>
        </w:rPr>
        <w:t xml:space="preserve">A recommendation report - the assessor usually must include recommendations for cost-effective improvements that could be made to the property to improve its energy </w:t>
      </w:r>
      <w:proofErr w:type="gramStart"/>
      <w:r w:rsidRPr="00E63900">
        <w:rPr>
          <w:rFonts w:asciiTheme="minorHAnsi" w:hAnsiTheme="minorHAnsi" w:cstheme="minorHAnsi"/>
          <w:lang w:val="en-GB"/>
        </w:rPr>
        <w:t>efficiency</w:t>
      </w:r>
      <w:proofErr w:type="gramEnd"/>
    </w:p>
    <w:p w14:paraId="22D01483" w14:textId="77777777" w:rsidR="007E2886" w:rsidRPr="00E63900" w:rsidRDefault="007E2886" w:rsidP="00214D42">
      <w:pPr>
        <w:pStyle w:val="ListParagraph"/>
        <w:numPr>
          <w:ilvl w:val="0"/>
          <w:numId w:val="12"/>
        </w:numPr>
        <w:rPr>
          <w:rFonts w:asciiTheme="minorHAnsi" w:hAnsiTheme="minorHAnsi" w:cstheme="minorHAnsi"/>
          <w:lang w:val="en-GB"/>
        </w:rPr>
      </w:pPr>
      <w:r w:rsidRPr="00E63900">
        <w:rPr>
          <w:rFonts w:asciiTheme="minorHAnsi" w:hAnsiTheme="minorHAnsi" w:cstheme="minorHAnsi"/>
          <w:lang w:val="en-GB"/>
        </w:rPr>
        <w:t>Details of the property</w:t>
      </w:r>
    </w:p>
    <w:p w14:paraId="23AF98B1" w14:textId="77777777" w:rsidR="007E2886" w:rsidRPr="00E63900" w:rsidRDefault="007E2886" w:rsidP="00214D42">
      <w:pPr>
        <w:pStyle w:val="ListParagraph"/>
        <w:numPr>
          <w:ilvl w:val="0"/>
          <w:numId w:val="12"/>
        </w:numPr>
        <w:rPr>
          <w:rFonts w:asciiTheme="minorHAnsi" w:hAnsiTheme="minorHAnsi" w:cstheme="minorHAnsi"/>
          <w:lang w:val="en-GB"/>
        </w:rPr>
      </w:pPr>
      <w:r w:rsidRPr="00E63900">
        <w:rPr>
          <w:rFonts w:asciiTheme="minorHAnsi" w:hAnsiTheme="minorHAnsi" w:cstheme="minorHAnsi"/>
          <w:lang w:val="en-GB"/>
        </w:rPr>
        <w:t xml:space="preserve">The date the EPC was </w:t>
      </w:r>
      <w:proofErr w:type="gramStart"/>
      <w:r w:rsidRPr="00E63900">
        <w:rPr>
          <w:rFonts w:asciiTheme="minorHAnsi" w:hAnsiTheme="minorHAnsi" w:cstheme="minorHAnsi"/>
          <w:lang w:val="en-GB"/>
        </w:rPr>
        <w:t>issued</w:t>
      </w:r>
      <w:proofErr w:type="gramEnd"/>
    </w:p>
    <w:p w14:paraId="6EE9617D" w14:textId="77777777" w:rsidR="007E2886" w:rsidRPr="00E63900" w:rsidRDefault="007E2886" w:rsidP="00214D42">
      <w:pPr>
        <w:pStyle w:val="ListParagraph"/>
        <w:numPr>
          <w:ilvl w:val="0"/>
          <w:numId w:val="12"/>
        </w:numPr>
        <w:rPr>
          <w:rFonts w:asciiTheme="minorHAnsi" w:hAnsiTheme="minorHAnsi" w:cstheme="minorHAnsi"/>
          <w:lang w:val="en-GB"/>
        </w:rPr>
      </w:pPr>
      <w:r w:rsidRPr="00E63900">
        <w:rPr>
          <w:rFonts w:asciiTheme="minorHAnsi" w:hAnsiTheme="minorHAnsi" w:cstheme="minorHAnsi"/>
          <w:lang w:val="en-GB"/>
        </w:rPr>
        <w:t>Green Deal information - if the property is subject to a Green Deal plan that has not yet been repaid, then there will be an additional page to the EPC which sets out the information relating to that Green Deal plan. Since 2015, the Green Deal has been effectively closed to new entrants.</w:t>
      </w:r>
    </w:p>
    <w:p w14:paraId="1FC6F269" w14:textId="7971C59C" w:rsidR="001A22A0" w:rsidRPr="00E63900" w:rsidRDefault="001A22A0" w:rsidP="001A22A0">
      <w:pPr>
        <w:rPr>
          <w:rFonts w:asciiTheme="minorHAnsi" w:hAnsiTheme="minorHAnsi" w:cstheme="minorHAnsi"/>
          <w:lang w:val="en-GB"/>
        </w:rPr>
      </w:pPr>
      <w:r w:rsidRPr="00E63900">
        <w:rPr>
          <w:rFonts w:asciiTheme="minorHAnsi" w:hAnsiTheme="minorHAnsi" w:cstheme="minorHAnsi"/>
          <w:noProof/>
          <w:lang w:val="en-GB"/>
        </w:rPr>
        <w:drawing>
          <wp:inline distT="0" distB="0" distL="0" distR="0" wp14:anchorId="2E970099" wp14:editId="207233A0">
            <wp:extent cx="2500113" cy="3556267"/>
            <wp:effectExtent l="0" t="0" r="0" b="6350"/>
            <wp:docPr id="916" name="Picture 916" descr="Energy performance certificate for a non domestic building. A score of 32 on energy efficiency or a letter grade of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Picture 916" descr="Energy performance certificate for a non domestic building. A score of 32 on energy efficiency or a letter grade of 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4403" cy="3590818"/>
                    </a:xfrm>
                    <a:prstGeom prst="rect">
                      <a:avLst/>
                    </a:prstGeom>
                    <a:noFill/>
                  </pic:spPr>
                </pic:pic>
              </a:graphicData>
            </a:graphic>
          </wp:inline>
        </w:drawing>
      </w:r>
    </w:p>
    <w:p w14:paraId="211E4994" w14:textId="77777777" w:rsidR="001A22A0" w:rsidRPr="00E63900" w:rsidRDefault="001A22A0" w:rsidP="007E2886">
      <w:pPr>
        <w:rPr>
          <w:rFonts w:asciiTheme="minorHAnsi" w:hAnsiTheme="minorHAnsi" w:cstheme="minorHAnsi"/>
          <w:lang w:val="en-GB"/>
        </w:rPr>
      </w:pPr>
    </w:p>
    <w:p w14:paraId="4FAD1A3D" w14:textId="1C89FB0D" w:rsidR="00D67804" w:rsidRPr="00E63900" w:rsidRDefault="00D67804" w:rsidP="00920D83">
      <w:pPr>
        <w:rPr>
          <w:rFonts w:asciiTheme="minorHAnsi" w:hAnsiTheme="minorHAnsi" w:cstheme="minorHAnsi"/>
          <w:b/>
          <w:lang w:val="en-GB"/>
        </w:rPr>
      </w:pPr>
      <w:r w:rsidRPr="00E63900">
        <w:rPr>
          <w:rFonts w:asciiTheme="minorHAnsi" w:hAnsiTheme="minorHAnsi" w:cstheme="minorHAnsi"/>
          <w:b/>
          <w:lang w:val="en-GB"/>
        </w:rPr>
        <w:t>Energy Efficiency Grade Label (Korea)</w:t>
      </w:r>
      <w:r w:rsidR="002D0089">
        <w:rPr>
          <w:rFonts w:ascii="ZWAdobeF" w:hAnsi="ZWAdobeF" w:cs="ZWAdobeF"/>
          <w:color w:val="auto"/>
          <w:sz w:val="2"/>
          <w:szCs w:val="2"/>
          <w:lang w:val="en-GB"/>
        </w:rPr>
        <w:t>199F</w:t>
      </w:r>
      <w:r w:rsidR="00EE36E3">
        <w:rPr>
          <w:rFonts w:ascii="ZWAdobeF" w:hAnsi="ZWAdobeF" w:cs="ZWAdobeF"/>
          <w:color w:val="auto"/>
          <w:sz w:val="2"/>
          <w:szCs w:val="2"/>
          <w:lang w:val="en-GB"/>
        </w:rPr>
        <w:t>202F</w:t>
      </w:r>
      <w:r w:rsidR="00122C48">
        <w:rPr>
          <w:rFonts w:ascii="ZWAdobeF" w:hAnsi="ZWAdobeF" w:cs="ZWAdobeF"/>
          <w:color w:val="auto"/>
          <w:sz w:val="2"/>
          <w:szCs w:val="2"/>
          <w:lang w:val="en-GB"/>
        </w:rPr>
        <w:t>202F</w:t>
      </w:r>
      <w:r w:rsidR="00F73A23">
        <w:rPr>
          <w:rFonts w:ascii="ZWAdobeF" w:hAnsi="ZWAdobeF" w:cs="ZWAdobeF"/>
          <w:color w:val="auto"/>
          <w:sz w:val="2"/>
          <w:szCs w:val="2"/>
          <w:lang w:val="en-GB"/>
        </w:rPr>
        <w:t>202F</w:t>
      </w:r>
      <w:r w:rsidR="00626378">
        <w:rPr>
          <w:rFonts w:ascii="ZWAdobeF" w:hAnsi="ZWAdobeF" w:cs="ZWAdobeF"/>
          <w:color w:val="auto"/>
          <w:sz w:val="2"/>
          <w:szCs w:val="2"/>
          <w:lang w:val="en-GB"/>
        </w:rPr>
        <w:t>202F</w:t>
      </w:r>
      <w:r w:rsidR="00413811">
        <w:rPr>
          <w:rFonts w:ascii="ZWAdobeF" w:hAnsi="ZWAdobeF" w:cs="ZWAdobeF"/>
          <w:color w:val="auto"/>
          <w:sz w:val="2"/>
          <w:szCs w:val="2"/>
          <w:lang w:val="en-GB"/>
        </w:rPr>
        <w:t>202F</w:t>
      </w:r>
      <w:r w:rsidR="002C327C">
        <w:rPr>
          <w:rFonts w:ascii="ZWAdobeF" w:hAnsi="ZWAdobeF" w:cs="ZWAdobeF"/>
          <w:color w:val="auto"/>
          <w:sz w:val="2"/>
          <w:szCs w:val="2"/>
          <w:lang w:val="en-GB"/>
        </w:rPr>
        <w:t>202F</w:t>
      </w:r>
      <w:r w:rsidR="00D24A06">
        <w:rPr>
          <w:rFonts w:ascii="ZWAdobeF" w:hAnsi="ZWAdobeF" w:cs="ZWAdobeF"/>
          <w:color w:val="auto"/>
          <w:sz w:val="2"/>
          <w:szCs w:val="2"/>
          <w:lang w:val="en-GB"/>
        </w:rPr>
        <w:t>202F</w:t>
      </w:r>
      <w:r w:rsidRPr="00E63900">
        <w:rPr>
          <w:rStyle w:val="FootnoteReference"/>
          <w:rFonts w:asciiTheme="minorHAnsi" w:hAnsiTheme="minorHAnsi" w:cstheme="minorHAnsi"/>
          <w:b/>
          <w:lang w:val="en-GB"/>
        </w:rPr>
        <w:footnoteReference w:id="204"/>
      </w:r>
      <w:r w:rsidRPr="00E63900">
        <w:rPr>
          <w:rFonts w:asciiTheme="minorHAnsi" w:hAnsiTheme="minorHAnsi" w:cstheme="minorHAnsi"/>
          <w:b/>
          <w:lang w:val="en-GB"/>
        </w:rPr>
        <w:t>:</w:t>
      </w:r>
    </w:p>
    <w:p w14:paraId="778EA4FC" w14:textId="3FD76C7D" w:rsidR="00D67804" w:rsidRPr="00E63900" w:rsidRDefault="00D67804" w:rsidP="007E2886">
      <w:pPr>
        <w:rPr>
          <w:rFonts w:asciiTheme="minorHAnsi" w:hAnsiTheme="minorHAnsi" w:cstheme="minorHAnsi"/>
          <w:lang w:val="en-GB"/>
        </w:rPr>
      </w:pPr>
      <w:r w:rsidRPr="00E63900">
        <w:rPr>
          <w:rFonts w:asciiTheme="minorHAnsi" w:hAnsiTheme="minorHAnsi" w:cstheme="minorHAnsi"/>
          <w:noProof/>
        </w:rPr>
        <w:drawing>
          <wp:inline distT="0" distB="0" distL="0" distR="0" wp14:anchorId="4669CF87" wp14:editId="7FEAD203">
            <wp:extent cx="3773606" cy="2606466"/>
            <wp:effectExtent l="0" t="0" r="0" b="3810"/>
            <wp:docPr id="915" name="Picture 915" descr="Energy Efficiency Grade label in Korea. Slide scale from 1-5. No letter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Picture 915" descr="Energy Efficiency Grade label in Korea. Slide scale from 1-5. No letter grade"/>
                    <pic:cNvPicPr/>
                  </pic:nvPicPr>
                  <pic:blipFill>
                    <a:blip r:embed="rId74"/>
                    <a:stretch>
                      <a:fillRect/>
                    </a:stretch>
                  </pic:blipFill>
                  <pic:spPr>
                    <a:xfrm>
                      <a:off x="0" y="0"/>
                      <a:ext cx="3786847" cy="2615611"/>
                    </a:xfrm>
                    <a:prstGeom prst="rect">
                      <a:avLst/>
                    </a:prstGeom>
                  </pic:spPr>
                </pic:pic>
              </a:graphicData>
            </a:graphic>
          </wp:inline>
        </w:drawing>
      </w:r>
    </w:p>
    <w:p w14:paraId="0FB071B9" w14:textId="77777777" w:rsidR="00D67804" w:rsidRPr="00E63900" w:rsidRDefault="00D67804" w:rsidP="007E2886">
      <w:pPr>
        <w:rPr>
          <w:rFonts w:asciiTheme="minorHAnsi" w:hAnsiTheme="minorHAnsi" w:cstheme="minorHAnsi"/>
          <w:lang w:val="en-GB"/>
        </w:rPr>
      </w:pPr>
    </w:p>
    <w:p w14:paraId="2554CF98" w14:textId="7470EB39" w:rsidR="007E2886" w:rsidRPr="00E63900" w:rsidRDefault="00D67804" w:rsidP="00920D83">
      <w:pPr>
        <w:rPr>
          <w:rFonts w:asciiTheme="minorHAnsi" w:hAnsiTheme="minorHAnsi" w:cstheme="minorHAnsi"/>
          <w:b/>
          <w:lang w:val="en-GB"/>
        </w:rPr>
      </w:pPr>
      <w:r w:rsidRPr="00E63900">
        <w:rPr>
          <w:rFonts w:asciiTheme="minorHAnsi" w:hAnsiTheme="minorHAnsi" w:cstheme="minorHAnsi"/>
          <w:b/>
          <w:lang w:val="en-GB"/>
        </w:rPr>
        <w:t>Display Energy Certificate (Germany)</w:t>
      </w:r>
      <w:r w:rsidR="002D0089">
        <w:rPr>
          <w:rFonts w:ascii="ZWAdobeF" w:hAnsi="ZWAdobeF" w:cs="ZWAdobeF"/>
          <w:color w:val="auto"/>
          <w:sz w:val="2"/>
          <w:szCs w:val="2"/>
          <w:lang w:val="en-GB"/>
        </w:rPr>
        <w:t>200F</w:t>
      </w:r>
      <w:r w:rsidR="00EE36E3">
        <w:rPr>
          <w:rFonts w:ascii="ZWAdobeF" w:hAnsi="ZWAdobeF" w:cs="ZWAdobeF"/>
          <w:color w:val="auto"/>
          <w:sz w:val="2"/>
          <w:szCs w:val="2"/>
          <w:lang w:val="en-GB"/>
        </w:rPr>
        <w:t>203F</w:t>
      </w:r>
      <w:r w:rsidR="00122C48">
        <w:rPr>
          <w:rFonts w:ascii="ZWAdobeF" w:hAnsi="ZWAdobeF" w:cs="ZWAdobeF"/>
          <w:color w:val="auto"/>
          <w:sz w:val="2"/>
          <w:szCs w:val="2"/>
          <w:lang w:val="en-GB"/>
        </w:rPr>
        <w:t>203F</w:t>
      </w:r>
      <w:r w:rsidR="00F73A23">
        <w:rPr>
          <w:rFonts w:ascii="ZWAdobeF" w:hAnsi="ZWAdobeF" w:cs="ZWAdobeF"/>
          <w:color w:val="auto"/>
          <w:sz w:val="2"/>
          <w:szCs w:val="2"/>
          <w:lang w:val="en-GB"/>
        </w:rPr>
        <w:t>203F</w:t>
      </w:r>
      <w:r w:rsidR="00626378">
        <w:rPr>
          <w:rFonts w:ascii="ZWAdobeF" w:hAnsi="ZWAdobeF" w:cs="ZWAdobeF"/>
          <w:color w:val="auto"/>
          <w:sz w:val="2"/>
          <w:szCs w:val="2"/>
          <w:lang w:val="en-GB"/>
        </w:rPr>
        <w:t>203F</w:t>
      </w:r>
      <w:r w:rsidR="00413811">
        <w:rPr>
          <w:rFonts w:ascii="ZWAdobeF" w:hAnsi="ZWAdobeF" w:cs="ZWAdobeF"/>
          <w:color w:val="auto"/>
          <w:sz w:val="2"/>
          <w:szCs w:val="2"/>
          <w:lang w:val="en-GB"/>
        </w:rPr>
        <w:t>203F</w:t>
      </w:r>
      <w:r w:rsidR="002C327C">
        <w:rPr>
          <w:rFonts w:ascii="ZWAdobeF" w:hAnsi="ZWAdobeF" w:cs="ZWAdobeF"/>
          <w:color w:val="auto"/>
          <w:sz w:val="2"/>
          <w:szCs w:val="2"/>
          <w:lang w:val="en-GB"/>
        </w:rPr>
        <w:t>203F</w:t>
      </w:r>
      <w:r w:rsidR="00D24A06">
        <w:rPr>
          <w:rFonts w:ascii="ZWAdobeF" w:hAnsi="ZWAdobeF" w:cs="ZWAdobeF"/>
          <w:color w:val="auto"/>
          <w:sz w:val="2"/>
          <w:szCs w:val="2"/>
          <w:lang w:val="en-GB"/>
        </w:rPr>
        <w:t>203F</w:t>
      </w:r>
      <w:r w:rsidRPr="00E63900">
        <w:rPr>
          <w:rStyle w:val="FootnoteReference"/>
          <w:rFonts w:asciiTheme="minorHAnsi" w:hAnsiTheme="minorHAnsi" w:cstheme="minorHAnsi"/>
          <w:b/>
          <w:lang w:val="en-GB"/>
        </w:rPr>
        <w:footnoteReference w:id="205"/>
      </w:r>
      <w:r w:rsidRPr="00E63900">
        <w:rPr>
          <w:rFonts w:asciiTheme="minorHAnsi" w:hAnsiTheme="minorHAnsi" w:cstheme="minorHAnsi"/>
          <w:b/>
          <w:lang w:val="en-GB"/>
        </w:rPr>
        <w:t>:</w:t>
      </w:r>
    </w:p>
    <w:p w14:paraId="1BEEB08A" w14:textId="77777777" w:rsidR="007E2886" w:rsidRPr="00E63900" w:rsidRDefault="007E2886" w:rsidP="007E2886">
      <w:pPr>
        <w:rPr>
          <w:rFonts w:asciiTheme="minorHAnsi" w:hAnsiTheme="minorHAnsi" w:cstheme="minorHAnsi"/>
          <w:lang w:val="en-GB"/>
        </w:rPr>
      </w:pPr>
    </w:p>
    <w:p w14:paraId="6563ACE8" w14:textId="68613B2E" w:rsidR="007E2886" w:rsidRPr="00E63900" w:rsidRDefault="00D67804">
      <w:pPr>
        <w:spacing w:before="0" w:after="160" w:line="259" w:lineRule="auto"/>
        <w:rPr>
          <w:rFonts w:asciiTheme="minorHAnsi" w:hAnsiTheme="minorHAnsi" w:cstheme="minorHAnsi"/>
          <w:lang w:val="en-GB"/>
        </w:rPr>
      </w:pPr>
      <w:r w:rsidRPr="00E63900">
        <w:rPr>
          <w:rFonts w:asciiTheme="minorHAnsi" w:hAnsiTheme="minorHAnsi" w:cstheme="minorHAnsi"/>
          <w:noProof/>
          <w:lang w:val="en-GB"/>
        </w:rPr>
        <w:drawing>
          <wp:inline distT="0" distB="0" distL="0" distR="0" wp14:anchorId="32ED5C35" wp14:editId="3C0FD2BE">
            <wp:extent cx="3009726" cy="4259050"/>
            <wp:effectExtent l="0" t="0" r="635" b="8255"/>
            <wp:docPr id="912" name="Picture 912" descr="Display energy certificate from Germany. sliding scale from 0 to &g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descr="Display energy certificate from Germany. sliding scale from 0 to &gt;4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43371" cy="4306661"/>
                    </a:xfrm>
                    <a:prstGeom prst="rect">
                      <a:avLst/>
                    </a:prstGeom>
                    <a:noFill/>
                  </pic:spPr>
                </pic:pic>
              </a:graphicData>
            </a:graphic>
          </wp:inline>
        </w:drawing>
      </w:r>
      <w:r w:rsidR="007E2886" w:rsidRPr="00E63900">
        <w:rPr>
          <w:rFonts w:asciiTheme="minorHAnsi" w:hAnsiTheme="minorHAnsi" w:cstheme="minorHAnsi"/>
          <w:lang w:val="en-GB"/>
        </w:rPr>
        <w:br w:type="page"/>
      </w:r>
    </w:p>
    <w:p w14:paraId="771858C9" w14:textId="2AFCF12E" w:rsidR="00FD1157" w:rsidRPr="00E63900" w:rsidRDefault="0078135D" w:rsidP="00920D83">
      <w:pPr>
        <w:rPr>
          <w:rFonts w:asciiTheme="minorHAnsi" w:hAnsiTheme="minorHAnsi" w:cstheme="minorHAnsi"/>
          <w:b/>
          <w:lang w:val="en-GB"/>
        </w:rPr>
      </w:pPr>
      <w:r w:rsidRPr="00E63900">
        <w:rPr>
          <w:rFonts w:asciiTheme="minorHAnsi" w:hAnsiTheme="minorHAnsi" w:cstheme="minorHAnsi"/>
          <w:b/>
          <w:lang w:val="en-GB"/>
        </w:rPr>
        <w:lastRenderedPageBreak/>
        <w:t xml:space="preserve">Building Energy Efficiency Rating </w:t>
      </w:r>
      <w:r w:rsidR="00FD1157" w:rsidRPr="00E63900">
        <w:rPr>
          <w:rFonts w:asciiTheme="minorHAnsi" w:hAnsiTheme="minorHAnsi" w:cstheme="minorHAnsi"/>
          <w:b/>
          <w:lang w:val="en-GB"/>
        </w:rPr>
        <w:t>New York</w:t>
      </w:r>
      <w:r w:rsidR="002D0089">
        <w:rPr>
          <w:rFonts w:ascii="ZWAdobeF" w:hAnsi="ZWAdobeF" w:cs="ZWAdobeF"/>
          <w:color w:val="auto"/>
          <w:sz w:val="2"/>
          <w:szCs w:val="2"/>
          <w:lang w:val="en-GB"/>
        </w:rPr>
        <w:t>201F</w:t>
      </w:r>
      <w:r w:rsidR="00EE36E3">
        <w:rPr>
          <w:rFonts w:ascii="ZWAdobeF" w:hAnsi="ZWAdobeF" w:cs="ZWAdobeF"/>
          <w:color w:val="auto"/>
          <w:sz w:val="2"/>
          <w:szCs w:val="2"/>
          <w:lang w:val="en-GB"/>
        </w:rPr>
        <w:t>204F</w:t>
      </w:r>
      <w:r w:rsidR="00122C48">
        <w:rPr>
          <w:rFonts w:ascii="ZWAdobeF" w:hAnsi="ZWAdobeF" w:cs="ZWAdobeF"/>
          <w:color w:val="auto"/>
          <w:sz w:val="2"/>
          <w:szCs w:val="2"/>
          <w:lang w:val="en-GB"/>
        </w:rPr>
        <w:t>204F</w:t>
      </w:r>
      <w:r w:rsidR="00F73A23">
        <w:rPr>
          <w:rFonts w:ascii="ZWAdobeF" w:hAnsi="ZWAdobeF" w:cs="ZWAdobeF"/>
          <w:color w:val="auto"/>
          <w:sz w:val="2"/>
          <w:szCs w:val="2"/>
          <w:lang w:val="en-GB"/>
        </w:rPr>
        <w:t>204F</w:t>
      </w:r>
      <w:r w:rsidR="00626378">
        <w:rPr>
          <w:rFonts w:ascii="ZWAdobeF" w:hAnsi="ZWAdobeF" w:cs="ZWAdobeF"/>
          <w:color w:val="auto"/>
          <w:sz w:val="2"/>
          <w:szCs w:val="2"/>
          <w:lang w:val="en-GB"/>
        </w:rPr>
        <w:t>204F</w:t>
      </w:r>
      <w:r w:rsidR="00413811">
        <w:rPr>
          <w:rFonts w:ascii="ZWAdobeF" w:hAnsi="ZWAdobeF" w:cs="ZWAdobeF"/>
          <w:color w:val="auto"/>
          <w:sz w:val="2"/>
          <w:szCs w:val="2"/>
          <w:lang w:val="en-GB"/>
        </w:rPr>
        <w:t>204F</w:t>
      </w:r>
      <w:r w:rsidR="002C327C">
        <w:rPr>
          <w:rFonts w:ascii="ZWAdobeF" w:hAnsi="ZWAdobeF" w:cs="ZWAdobeF"/>
          <w:color w:val="auto"/>
          <w:sz w:val="2"/>
          <w:szCs w:val="2"/>
          <w:lang w:val="en-GB"/>
        </w:rPr>
        <w:t>204F</w:t>
      </w:r>
      <w:r w:rsidR="00D24A06">
        <w:rPr>
          <w:rFonts w:ascii="ZWAdobeF" w:hAnsi="ZWAdobeF" w:cs="ZWAdobeF"/>
          <w:color w:val="auto"/>
          <w:sz w:val="2"/>
          <w:szCs w:val="2"/>
          <w:lang w:val="en-GB"/>
        </w:rPr>
        <w:t>204F</w:t>
      </w:r>
      <w:r w:rsidR="00E92CA0" w:rsidRPr="00E63900">
        <w:rPr>
          <w:rStyle w:val="FootnoteReference"/>
          <w:rFonts w:asciiTheme="minorHAnsi" w:hAnsiTheme="minorHAnsi" w:cstheme="minorHAnsi"/>
          <w:b/>
          <w:lang w:val="en-GB"/>
        </w:rPr>
        <w:footnoteReference w:id="206"/>
      </w:r>
    </w:p>
    <w:p w14:paraId="00389C72" w14:textId="43BDF02C" w:rsidR="00FD1157" w:rsidRPr="00E63900" w:rsidRDefault="00E92CA0">
      <w:pPr>
        <w:spacing w:before="0" w:after="160" w:line="259" w:lineRule="auto"/>
        <w:rPr>
          <w:rFonts w:asciiTheme="minorHAnsi" w:hAnsiTheme="minorHAnsi" w:cstheme="minorHAnsi"/>
          <w:lang w:val="en-GB"/>
        </w:rPr>
      </w:pPr>
      <w:r w:rsidRPr="00E63900">
        <w:rPr>
          <w:rFonts w:asciiTheme="minorHAnsi" w:hAnsiTheme="minorHAnsi" w:cstheme="minorHAnsi"/>
          <w:noProof/>
        </w:rPr>
        <w:drawing>
          <wp:inline distT="0" distB="0" distL="0" distR="0" wp14:anchorId="68B3B1C8" wp14:editId="5779104D">
            <wp:extent cx="3120901" cy="4046220"/>
            <wp:effectExtent l="0" t="0" r="3810" b="0"/>
            <wp:docPr id="906" name="Picture 906" descr="Building energy efficiency rating New York. Sliding scale from A-D. Also represent a sliding scale from 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Picture 906" descr="Building energy efficiency rating New York. Sliding scale from A-D. Also represent a sliding scale from 0-100."/>
                    <pic:cNvPicPr/>
                  </pic:nvPicPr>
                  <pic:blipFill>
                    <a:blip r:embed="rId76"/>
                    <a:stretch>
                      <a:fillRect/>
                    </a:stretch>
                  </pic:blipFill>
                  <pic:spPr>
                    <a:xfrm>
                      <a:off x="0" y="0"/>
                      <a:ext cx="3124597" cy="4051011"/>
                    </a:xfrm>
                    <a:prstGeom prst="rect">
                      <a:avLst/>
                    </a:prstGeom>
                  </pic:spPr>
                </pic:pic>
              </a:graphicData>
            </a:graphic>
          </wp:inline>
        </w:drawing>
      </w:r>
    </w:p>
    <w:p w14:paraId="6002A054" w14:textId="44BD34C6" w:rsidR="003061FE" w:rsidRPr="00E63900" w:rsidRDefault="003061FE" w:rsidP="00920D83">
      <w:pPr>
        <w:rPr>
          <w:rFonts w:asciiTheme="minorHAnsi" w:hAnsiTheme="minorHAnsi" w:cstheme="minorHAnsi"/>
          <w:b/>
          <w:lang w:val="en-GB"/>
        </w:rPr>
      </w:pPr>
      <w:r w:rsidRPr="00E63900">
        <w:rPr>
          <w:rFonts w:asciiTheme="minorHAnsi" w:hAnsiTheme="minorHAnsi" w:cstheme="minorHAnsi"/>
          <w:b/>
          <w:lang w:val="en-GB"/>
        </w:rPr>
        <w:t>Information available on</w:t>
      </w:r>
      <w:r w:rsidR="00A66520" w:rsidRPr="00E63900">
        <w:rPr>
          <w:rFonts w:asciiTheme="minorHAnsi" w:hAnsiTheme="minorHAnsi" w:cstheme="minorHAnsi"/>
          <w:b/>
          <w:lang w:val="en-GB"/>
        </w:rPr>
        <w:t>line on Washington DC buildings</w:t>
      </w:r>
      <w:r w:rsidR="002B7C68" w:rsidRPr="00E63900">
        <w:rPr>
          <w:rFonts w:asciiTheme="minorHAnsi" w:hAnsiTheme="minorHAnsi" w:cstheme="minorHAnsi"/>
          <w:b/>
          <w:lang w:val="en-GB"/>
        </w:rPr>
        <w:t xml:space="preserve"> including whether it meets the BEPS</w:t>
      </w:r>
      <w:r w:rsidR="002D0089">
        <w:rPr>
          <w:rFonts w:ascii="ZWAdobeF" w:hAnsi="ZWAdobeF" w:cs="ZWAdobeF"/>
          <w:color w:val="auto"/>
          <w:sz w:val="2"/>
          <w:szCs w:val="2"/>
          <w:lang w:val="en-GB"/>
        </w:rPr>
        <w:t>202F</w:t>
      </w:r>
      <w:r w:rsidR="00EE36E3">
        <w:rPr>
          <w:rFonts w:ascii="ZWAdobeF" w:hAnsi="ZWAdobeF" w:cs="ZWAdobeF"/>
          <w:color w:val="auto"/>
          <w:sz w:val="2"/>
          <w:szCs w:val="2"/>
          <w:lang w:val="en-GB"/>
        </w:rPr>
        <w:t>205F</w:t>
      </w:r>
      <w:r w:rsidR="00122C48">
        <w:rPr>
          <w:rFonts w:ascii="ZWAdobeF" w:hAnsi="ZWAdobeF" w:cs="ZWAdobeF"/>
          <w:color w:val="auto"/>
          <w:sz w:val="2"/>
          <w:szCs w:val="2"/>
          <w:lang w:val="en-GB"/>
        </w:rPr>
        <w:t>205F</w:t>
      </w:r>
      <w:r w:rsidR="00F73A23">
        <w:rPr>
          <w:rFonts w:ascii="ZWAdobeF" w:hAnsi="ZWAdobeF" w:cs="ZWAdobeF"/>
          <w:color w:val="auto"/>
          <w:sz w:val="2"/>
          <w:szCs w:val="2"/>
          <w:lang w:val="en-GB"/>
        </w:rPr>
        <w:t>205F</w:t>
      </w:r>
      <w:r w:rsidR="00626378">
        <w:rPr>
          <w:rFonts w:ascii="ZWAdobeF" w:hAnsi="ZWAdobeF" w:cs="ZWAdobeF"/>
          <w:color w:val="auto"/>
          <w:sz w:val="2"/>
          <w:szCs w:val="2"/>
          <w:lang w:val="en-GB"/>
        </w:rPr>
        <w:t>205F</w:t>
      </w:r>
      <w:r w:rsidR="00413811">
        <w:rPr>
          <w:rFonts w:ascii="ZWAdobeF" w:hAnsi="ZWAdobeF" w:cs="ZWAdobeF"/>
          <w:color w:val="auto"/>
          <w:sz w:val="2"/>
          <w:szCs w:val="2"/>
          <w:lang w:val="en-GB"/>
        </w:rPr>
        <w:t>205F</w:t>
      </w:r>
      <w:r w:rsidR="002C327C">
        <w:rPr>
          <w:rFonts w:ascii="ZWAdobeF" w:hAnsi="ZWAdobeF" w:cs="ZWAdobeF"/>
          <w:color w:val="auto"/>
          <w:sz w:val="2"/>
          <w:szCs w:val="2"/>
          <w:lang w:val="en-GB"/>
        </w:rPr>
        <w:t>205F</w:t>
      </w:r>
      <w:r w:rsidR="00D24A06">
        <w:rPr>
          <w:rFonts w:ascii="ZWAdobeF" w:hAnsi="ZWAdobeF" w:cs="ZWAdobeF"/>
          <w:color w:val="auto"/>
          <w:sz w:val="2"/>
          <w:szCs w:val="2"/>
          <w:lang w:val="en-GB"/>
        </w:rPr>
        <w:t>205F</w:t>
      </w:r>
      <w:r w:rsidR="00451B90" w:rsidRPr="00E63900">
        <w:rPr>
          <w:rStyle w:val="FootnoteReference"/>
          <w:rFonts w:asciiTheme="minorHAnsi" w:hAnsiTheme="minorHAnsi" w:cstheme="minorHAnsi"/>
          <w:b/>
          <w:lang w:val="en-GB"/>
        </w:rPr>
        <w:footnoteReference w:id="207"/>
      </w:r>
      <w:r w:rsidR="00A66520" w:rsidRPr="00E63900">
        <w:rPr>
          <w:rFonts w:asciiTheme="minorHAnsi" w:hAnsiTheme="minorHAnsi" w:cstheme="minorHAnsi"/>
          <w:b/>
          <w:lang w:val="en-GB"/>
        </w:rPr>
        <w:t>:</w:t>
      </w:r>
    </w:p>
    <w:p w14:paraId="5C77FC5D" w14:textId="77777777" w:rsidR="00C077E9" w:rsidRDefault="00451B90">
      <w:pPr>
        <w:spacing w:before="0" w:after="160" w:line="259" w:lineRule="auto"/>
        <w:rPr>
          <w:rFonts w:asciiTheme="minorHAnsi" w:hAnsiTheme="minorHAnsi" w:cstheme="minorHAnsi"/>
          <w:lang w:val="en-GB"/>
        </w:rPr>
      </w:pPr>
      <w:r w:rsidRPr="00E63900">
        <w:rPr>
          <w:rFonts w:asciiTheme="minorHAnsi" w:hAnsiTheme="minorHAnsi" w:cstheme="minorHAnsi"/>
          <w:noProof/>
        </w:rPr>
        <w:drawing>
          <wp:inline distT="0" distB="0" distL="0" distR="0" wp14:anchorId="0781BF35" wp14:editId="61C6FC29">
            <wp:extent cx="6479540" cy="2894330"/>
            <wp:effectExtent l="0" t="0" r="0" b="1270"/>
            <wp:docPr id="5" name="Picture 5" descr="Building energy performance tool that highlights buildings in Washington DC energy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uilding energy performance tool that highlights buildings in Washington DC energy performance."/>
                    <pic:cNvPicPr/>
                  </pic:nvPicPr>
                  <pic:blipFill>
                    <a:blip r:embed="rId77"/>
                    <a:stretch>
                      <a:fillRect/>
                    </a:stretch>
                  </pic:blipFill>
                  <pic:spPr>
                    <a:xfrm>
                      <a:off x="0" y="0"/>
                      <a:ext cx="6479540" cy="2894330"/>
                    </a:xfrm>
                    <a:prstGeom prst="rect">
                      <a:avLst/>
                    </a:prstGeom>
                  </pic:spPr>
                </pic:pic>
              </a:graphicData>
            </a:graphic>
          </wp:inline>
        </w:drawing>
      </w:r>
    </w:p>
    <w:p w14:paraId="775E4484" w14:textId="77777777" w:rsidR="0088500C" w:rsidRDefault="0088500C">
      <w:pPr>
        <w:spacing w:before="0" w:after="160" w:line="259" w:lineRule="auto"/>
        <w:rPr>
          <w:rFonts w:asciiTheme="minorHAnsi" w:hAnsiTheme="minorHAnsi" w:cstheme="minorHAnsi"/>
          <w:lang w:val="en-GB"/>
        </w:rPr>
        <w:sectPr w:rsidR="0088500C" w:rsidSect="00A77C53">
          <w:pgSz w:w="11906" w:h="16838"/>
          <w:pgMar w:top="851" w:right="851" w:bottom="1418" w:left="851" w:header="567" w:footer="283" w:gutter="0"/>
          <w:cols w:space="708"/>
          <w:docGrid w:linePitch="360"/>
        </w:sectPr>
      </w:pPr>
    </w:p>
    <w:bookmarkStart w:id="311" w:name="_Appendix_11:_Accessibility"/>
    <w:bookmarkStart w:id="312" w:name="_Toc154059399"/>
    <w:bookmarkEnd w:id="311"/>
    <w:p w14:paraId="5E703878" w14:textId="731F1AAC" w:rsidR="0088500C" w:rsidRPr="005438A1" w:rsidRDefault="00630358" w:rsidP="005438A1">
      <w:pPr>
        <w:pStyle w:val="Heading2"/>
        <w:numPr>
          <w:ilvl w:val="0"/>
          <w:numId w:val="0"/>
        </w:numPr>
        <w:ind w:left="576"/>
      </w:pPr>
      <w:r w:rsidRPr="005438A1">
        <w:lastRenderedPageBreak/>
        <w:fldChar w:fldCharType="begin"/>
      </w:r>
      <w:r w:rsidRPr="005438A1">
        <w:instrText>HYPERLINK  \l "_Appendix_11:_Accessibility"</w:instrText>
      </w:r>
      <w:r w:rsidRPr="005438A1">
        <w:fldChar w:fldCharType="separate"/>
      </w:r>
      <w:r w:rsidR="0088500C" w:rsidRPr="005438A1">
        <w:t>Appendix 11</w:t>
      </w:r>
      <w:r w:rsidRPr="005438A1">
        <w:fldChar w:fldCharType="end"/>
      </w:r>
      <w:r w:rsidR="0088500C" w:rsidRPr="005438A1">
        <w:t xml:space="preserve">: Accessibility </w:t>
      </w:r>
      <w:r w:rsidR="00791386" w:rsidRPr="005438A1">
        <w:t xml:space="preserve">supported information for charts and </w:t>
      </w:r>
      <w:proofErr w:type="gramStart"/>
      <w:r w:rsidR="00791386" w:rsidRPr="005438A1">
        <w:t>infographics</w:t>
      </w:r>
      <w:bookmarkEnd w:id="312"/>
      <w:proofErr w:type="gramEnd"/>
    </w:p>
    <w:p w14:paraId="78351C51" w14:textId="68F0DBDD" w:rsidR="001C420C" w:rsidRPr="005438A1" w:rsidRDefault="001C420C" w:rsidP="005438A1">
      <w:pPr>
        <w:pStyle w:val="Heading2"/>
        <w:numPr>
          <w:ilvl w:val="0"/>
          <w:numId w:val="0"/>
        </w:numPr>
        <w:ind w:left="576"/>
      </w:pPr>
      <w:bookmarkStart w:id="313" w:name="_Toc162535468"/>
      <w:bookmarkStart w:id="314" w:name="_Table_32:_Details"/>
      <w:bookmarkEnd w:id="314"/>
      <w:r w:rsidRPr="005438A1">
        <w:t xml:space="preserve">Table </w:t>
      </w:r>
      <w:r w:rsidRPr="005438A1">
        <w:fldChar w:fldCharType="begin"/>
      </w:r>
      <w:r w:rsidRPr="005438A1">
        <w:instrText xml:space="preserve"> SEQ Table \* ARABIC </w:instrText>
      </w:r>
      <w:r w:rsidRPr="005438A1">
        <w:fldChar w:fldCharType="separate"/>
      </w:r>
      <w:r w:rsidR="00D24A06" w:rsidRPr="005438A1">
        <w:t>32</w:t>
      </w:r>
      <w:r w:rsidRPr="005438A1">
        <w:fldChar w:fldCharType="end"/>
      </w:r>
      <w:r w:rsidRPr="005438A1">
        <w:t xml:space="preserve">: Details of </w:t>
      </w:r>
      <w:r w:rsidR="00894349" w:rsidRPr="005438A1">
        <w:fldChar w:fldCharType="begin" w:fldLock="1"/>
      </w:r>
      <w:r w:rsidR="00894349" w:rsidRPr="005438A1">
        <w:instrText xml:space="preserve"> REF _Ref152095475 \h </w:instrText>
      </w:r>
      <w:r w:rsidR="00EA3477" w:rsidRPr="005438A1">
        <w:instrText xml:space="preserve"> \* MERGEFORMAT </w:instrText>
      </w:r>
      <w:r w:rsidR="00894349" w:rsidRPr="005438A1">
        <w:fldChar w:fldCharType="separate"/>
      </w:r>
      <w:r w:rsidR="00894349" w:rsidRPr="005438A1">
        <w:t>Figure 1</w:t>
      </w:r>
      <w:r w:rsidR="00894349" w:rsidRPr="005438A1">
        <w:fldChar w:fldCharType="end"/>
      </w:r>
      <w:r w:rsidR="00C42549" w:rsidRPr="005438A1">
        <w:t xml:space="preserve"> and Figure 24</w:t>
      </w:r>
      <w:r w:rsidR="00752573" w:rsidRPr="005438A1">
        <w:t xml:space="preserve"> </w:t>
      </w:r>
      <w:r w:rsidRPr="005438A1">
        <w:t xml:space="preserve">- High level-roadmap for how CBD program could be expanded between 2025 and </w:t>
      </w:r>
      <w:proofErr w:type="gramStart"/>
      <w:r w:rsidRPr="005438A1">
        <w:t>2035</w:t>
      </w:r>
      <w:bookmarkEnd w:id="313"/>
      <w:proofErr w:type="gramEnd"/>
    </w:p>
    <w:tbl>
      <w:tblPr>
        <w:tblStyle w:val="PlainTable1"/>
        <w:tblW w:w="0" w:type="auto"/>
        <w:tblLook w:val="04A0" w:firstRow="1" w:lastRow="0" w:firstColumn="1" w:lastColumn="0" w:noHBand="0" w:noVBand="1"/>
      </w:tblPr>
      <w:tblGrid>
        <w:gridCol w:w="1980"/>
        <w:gridCol w:w="2305"/>
        <w:gridCol w:w="1239"/>
        <w:gridCol w:w="2268"/>
        <w:gridCol w:w="2402"/>
      </w:tblGrid>
      <w:tr w:rsidR="00A12A61" w:rsidRPr="005D05E2" w14:paraId="7C6F94ED" w14:textId="77777777" w:rsidTr="006F1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3BADE6" w14:textId="384CEE31" w:rsidR="00A12A61" w:rsidRPr="005D05E2" w:rsidRDefault="001C420C" w:rsidP="00791386">
            <w:pPr>
              <w:pStyle w:val="BodyText"/>
              <w:rPr>
                <w:rFonts w:asciiTheme="minorHAnsi" w:hAnsiTheme="minorHAnsi" w:cstheme="minorHAnsi"/>
                <w:szCs w:val="20"/>
                <w:lang w:val="en-GB"/>
              </w:rPr>
            </w:pPr>
            <w:r w:rsidRPr="005D05E2">
              <w:rPr>
                <w:rFonts w:asciiTheme="minorHAnsi" w:hAnsiTheme="minorHAnsi" w:cstheme="minorHAnsi"/>
                <w:szCs w:val="20"/>
                <w:lang w:val="en-GB"/>
              </w:rPr>
              <w:t>Category</w:t>
            </w:r>
            <w:r w:rsidR="00A704E4">
              <w:rPr>
                <w:rFonts w:asciiTheme="minorHAnsi" w:hAnsiTheme="minorHAnsi" w:cstheme="minorHAnsi"/>
                <w:szCs w:val="20"/>
                <w:lang w:val="en-GB"/>
              </w:rPr>
              <w:t xml:space="preserve"> </w:t>
            </w:r>
          </w:p>
        </w:tc>
        <w:tc>
          <w:tcPr>
            <w:tcW w:w="2305" w:type="dxa"/>
          </w:tcPr>
          <w:p w14:paraId="378B0947" w14:textId="26B4FD35" w:rsidR="00A12A61" w:rsidRPr="005D05E2" w:rsidRDefault="00A12A61" w:rsidP="00791386">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r w:rsidRPr="005D05E2">
              <w:rPr>
                <w:rFonts w:asciiTheme="minorHAnsi" w:hAnsiTheme="minorHAnsi" w:cstheme="minorHAnsi"/>
                <w:szCs w:val="20"/>
                <w:lang w:val="en-GB"/>
              </w:rPr>
              <w:t>Phase 1</w:t>
            </w:r>
          </w:p>
        </w:tc>
        <w:tc>
          <w:tcPr>
            <w:tcW w:w="1239" w:type="dxa"/>
          </w:tcPr>
          <w:p w14:paraId="6BEFAF86" w14:textId="72DBF5CF" w:rsidR="00A12A61" w:rsidRPr="005D05E2" w:rsidRDefault="00A12A61" w:rsidP="00791386">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r w:rsidRPr="005D05E2">
              <w:rPr>
                <w:rFonts w:asciiTheme="minorHAnsi" w:hAnsiTheme="minorHAnsi" w:cstheme="minorHAnsi"/>
                <w:szCs w:val="20"/>
                <w:lang w:val="en-GB"/>
              </w:rPr>
              <w:t>Phase 2</w:t>
            </w:r>
          </w:p>
        </w:tc>
        <w:tc>
          <w:tcPr>
            <w:tcW w:w="2268" w:type="dxa"/>
          </w:tcPr>
          <w:p w14:paraId="652D9380" w14:textId="3D28F55C" w:rsidR="00A12A61" w:rsidRPr="005D05E2" w:rsidRDefault="00A12A61" w:rsidP="00791386">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r w:rsidRPr="005D05E2">
              <w:rPr>
                <w:rFonts w:asciiTheme="minorHAnsi" w:hAnsiTheme="minorHAnsi" w:cstheme="minorHAnsi"/>
                <w:szCs w:val="20"/>
                <w:lang w:val="en-GB"/>
              </w:rPr>
              <w:t>Phase 3</w:t>
            </w:r>
          </w:p>
        </w:tc>
        <w:tc>
          <w:tcPr>
            <w:tcW w:w="2402" w:type="dxa"/>
          </w:tcPr>
          <w:p w14:paraId="20807E07" w14:textId="04828C04" w:rsidR="00A12A61" w:rsidRPr="005D05E2" w:rsidRDefault="00A12A61" w:rsidP="00791386">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r w:rsidRPr="005D05E2">
              <w:rPr>
                <w:rFonts w:asciiTheme="minorHAnsi" w:hAnsiTheme="minorHAnsi" w:cstheme="minorHAnsi"/>
                <w:szCs w:val="20"/>
                <w:lang w:val="en-GB"/>
              </w:rPr>
              <w:t xml:space="preserve">Phase </w:t>
            </w:r>
            <w:r w:rsidR="001C420C" w:rsidRPr="005D05E2">
              <w:rPr>
                <w:rFonts w:asciiTheme="minorHAnsi" w:hAnsiTheme="minorHAnsi" w:cstheme="minorHAnsi"/>
                <w:szCs w:val="20"/>
                <w:lang w:val="en-GB"/>
              </w:rPr>
              <w:t>4</w:t>
            </w:r>
          </w:p>
        </w:tc>
      </w:tr>
      <w:tr w:rsidR="00A12A61" w:rsidRPr="005D05E2" w14:paraId="3FF664D7" w14:textId="77777777" w:rsidTr="006F1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B145C0" w14:textId="59E3A245" w:rsidR="00A12A61" w:rsidRPr="005D05E2" w:rsidRDefault="00D9042C" w:rsidP="00791386">
            <w:pPr>
              <w:pStyle w:val="BodyText"/>
              <w:rPr>
                <w:rFonts w:asciiTheme="minorHAnsi" w:hAnsiTheme="minorHAnsi" w:cstheme="minorHAnsi"/>
                <w:szCs w:val="20"/>
                <w:lang w:val="en-GB"/>
              </w:rPr>
            </w:pPr>
            <w:r w:rsidRPr="005D05E2">
              <w:rPr>
                <w:rFonts w:asciiTheme="minorHAnsi" w:hAnsiTheme="minorHAnsi" w:cstheme="minorHAnsi"/>
                <w:szCs w:val="20"/>
                <w:lang w:val="en-GB"/>
              </w:rPr>
              <w:t>Overall Building regulation</w:t>
            </w:r>
          </w:p>
        </w:tc>
        <w:tc>
          <w:tcPr>
            <w:tcW w:w="2305" w:type="dxa"/>
          </w:tcPr>
          <w:p w14:paraId="2ECDC81E" w14:textId="661F36FE" w:rsidR="00A12A61" w:rsidRPr="005D05E2" w:rsidRDefault="000E2710"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0E2710">
              <w:rPr>
                <w:rFonts w:asciiTheme="minorHAnsi" w:hAnsiTheme="minorHAnsi" w:cstheme="minorHAnsi"/>
                <w:szCs w:val="20"/>
              </w:rPr>
              <w:t xml:space="preserve">Develop sectoral emission pathway and set the vision for future phase rollout. Detailed RIS and CBA to calibrate exact details for expansion. Firm up building stock data for building counts and </w:t>
            </w:r>
            <w:proofErr w:type="spellStart"/>
            <w:r w:rsidRPr="000E2710">
              <w:rPr>
                <w:rFonts w:asciiTheme="minorHAnsi" w:hAnsiTheme="minorHAnsi" w:cstheme="minorHAnsi"/>
                <w:szCs w:val="20"/>
              </w:rPr>
              <w:t>GFA</w:t>
            </w:r>
            <w:proofErr w:type="spellEnd"/>
            <w:r w:rsidRPr="000E2710">
              <w:rPr>
                <w:rFonts w:asciiTheme="minorHAnsi" w:hAnsiTheme="minorHAnsi" w:cstheme="minorHAnsi"/>
                <w:szCs w:val="20"/>
              </w:rPr>
              <w:t>.</w:t>
            </w:r>
          </w:p>
        </w:tc>
        <w:tc>
          <w:tcPr>
            <w:tcW w:w="1239" w:type="dxa"/>
          </w:tcPr>
          <w:p w14:paraId="3C3883C7" w14:textId="77777777" w:rsidR="007F025C" w:rsidRPr="007F025C" w:rsidRDefault="007F025C" w:rsidP="007F025C">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F025C">
              <w:rPr>
                <w:rFonts w:asciiTheme="minorHAnsi" w:hAnsiTheme="minorHAnsi" w:cstheme="minorHAnsi"/>
                <w:szCs w:val="20"/>
              </w:rPr>
              <w:t>Periodic review of progress</w:t>
            </w:r>
          </w:p>
          <w:p w14:paraId="5F244EE5" w14:textId="77777777" w:rsidR="007F025C" w:rsidRPr="007F025C" w:rsidRDefault="007F025C" w:rsidP="007F025C">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F025C">
              <w:rPr>
                <w:rFonts w:asciiTheme="minorHAnsi" w:hAnsiTheme="minorHAnsi" w:cstheme="minorHAnsi"/>
                <w:szCs w:val="20"/>
              </w:rPr>
              <w:t xml:space="preserve">Introduce scope 1 </w:t>
            </w:r>
            <w:proofErr w:type="gramStart"/>
            <w:r w:rsidRPr="007F025C">
              <w:rPr>
                <w:rFonts w:asciiTheme="minorHAnsi" w:hAnsiTheme="minorHAnsi" w:cstheme="minorHAnsi"/>
                <w:szCs w:val="20"/>
              </w:rPr>
              <w:t>disclosure</w:t>
            </w:r>
            <w:proofErr w:type="gramEnd"/>
          </w:p>
          <w:p w14:paraId="2782F9EC"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c>
          <w:tcPr>
            <w:tcW w:w="2268" w:type="dxa"/>
          </w:tcPr>
          <w:p w14:paraId="66BA9019" w14:textId="4B2BA752" w:rsidR="00A12A61" w:rsidRPr="005D05E2" w:rsidRDefault="00F539BE"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F539BE">
              <w:rPr>
                <w:rFonts w:asciiTheme="minorHAnsi" w:hAnsiTheme="minorHAnsi" w:cstheme="minorHAnsi"/>
                <w:szCs w:val="20"/>
              </w:rPr>
              <w:t xml:space="preserve">Disclosure covers 80% of </w:t>
            </w:r>
            <w:proofErr w:type="spellStart"/>
            <w:r w:rsidRPr="00F539BE">
              <w:rPr>
                <w:rFonts w:asciiTheme="minorHAnsi" w:hAnsiTheme="minorHAnsi" w:cstheme="minorHAnsi"/>
                <w:szCs w:val="20"/>
              </w:rPr>
              <w:t>GFA</w:t>
            </w:r>
            <w:proofErr w:type="spellEnd"/>
            <w:r w:rsidRPr="00F539BE">
              <w:rPr>
                <w:rFonts w:asciiTheme="minorHAnsi" w:hAnsiTheme="minorHAnsi" w:cstheme="minorHAnsi"/>
                <w:szCs w:val="20"/>
              </w:rPr>
              <w:t xml:space="preserve"> across all commercial buildings, </w:t>
            </w:r>
            <w:proofErr w:type="spellStart"/>
            <w:r w:rsidRPr="00F539BE">
              <w:rPr>
                <w:rFonts w:asciiTheme="minorHAnsi" w:hAnsiTheme="minorHAnsi" w:cstheme="minorHAnsi"/>
                <w:szCs w:val="20"/>
              </w:rPr>
              <w:t>MEPS</w:t>
            </w:r>
            <w:proofErr w:type="spellEnd"/>
            <w:r w:rsidRPr="00F539BE">
              <w:rPr>
                <w:rFonts w:asciiTheme="minorHAnsi" w:hAnsiTheme="minorHAnsi" w:cstheme="minorHAnsi"/>
                <w:szCs w:val="20"/>
              </w:rPr>
              <w:t xml:space="preserve"> introduced in all participating sectors.</w:t>
            </w:r>
          </w:p>
        </w:tc>
        <w:tc>
          <w:tcPr>
            <w:tcW w:w="2402" w:type="dxa"/>
          </w:tcPr>
          <w:p w14:paraId="1E370638"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r>
      <w:tr w:rsidR="00A12A61" w:rsidRPr="005D05E2" w14:paraId="2D4339B3" w14:textId="77777777" w:rsidTr="006F1D4F">
        <w:tc>
          <w:tcPr>
            <w:cnfStyle w:val="001000000000" w:firstRow="0" w:lastRow="0" w:firstColumn="1" w:lastColumn="0" w:oddVBand="0" w:evenVBand="0" w:oddHBand="0" w:evenHBand="0" w:firstRowFirstColumn="0" w:firstRowLastColumn="0" w:lastRowFirstColumn="0" w:lastRowLastColumn="0"/>
            <w:tcW w:w="1980" w:type="dxa"/>
          </w:tcPr>
          <w:p w14:paraId="6A87656B" w14:textId="40E13D1E" w:rsidR="00A12A61" w:rsidRPr="005D05E2" w:rsidRDefault="00651C83" w:rsidP="00791386">
            <w:pPr>
              <w:pStyle w:val="BodyText"/>
              <w:rPr>
                <w:rFonts w:asciiTheme="minorHAnsi" w:hAnsiTheme="minorHAnsi" w:cstheme="minorHAnsi"/>
                <w:szCs w:val="20"/>
                <w:lang w:val="en-GB"/>
              </w:rPr>
            </w:pPr>
            <w:r w:rsidRPr="005D05E2">
              <w:rPr>
                <w:rFonts w:asciiTheme="minorHAnsi" w:hAnsiTheme="minorHAnsi" w:cstheme="minorHAnsi"/>
                <w:szCs w:val="20"/>
                <w:lang w:val="en-GB"/>
              </w:rPr>
              <w:t>Group 1 buildings: Offices</w:t>
            </w:r>
          </w:p>
        </w:tc>
        <w:tc>
          <w:tcPr>
            <w:tcW w:w="2305" w:type="dxa"/>
          </w:tcPr>
          <w:p w14:paraId="674AA77D" w14:textId="05975FC7" w:rsidR="00A12A61" w:rsidRPr="005D05E2" w:rsidRDefault="00717DD1"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17DD1">
              <w:rPr>
                <w:rFonts w:asciiTheme="minorHAnsi" w:hAnsiTheme="minorHAnsi" w:cstheme="minorHAnsi"/>
                <w:szCs w:val="20"/>
              </w:rPr>
              <w:t>Reduce threshold of CBD compliance to 500m</w:t>
            </w:r>
            <w:r w:rsidRPr="00717DD1">
              <w:rPr>
                <w:rFonts w:asciiTheme="minorHAnsi" w:hAnsiTheme="minorHAnsi" w:cstheme="minorHAnsi"/>
                <w:szCs w:val="20"/>
                <w:vertAlign w:val="superscript"/>
              </w:rPr>
              <w:t xml:space="preserve">2 </w:t>
            </w:r>
            <w:r w:rsidRPr="00717DD1">
              <w:rPr>
                <w:rFonts w:asciiTheme="minorHAnsi" w:hAnsiTheme="minorHAnsi" w:cstheme="minorHAnsi"/>
                <w:szCs w:val="20"/>
              </w:rPr>
              <w:t>for office buildings including tenancies in the threshold; Expand CBD Program to non-corporate entities and owner occupiers.</w:t>
            </w:r>
          </w:p>
        </w:tc>
        <w:tc>
          <w:tcPr>
            <w:tcW w:w="1239" w:type="dxa"/>
          </w:tcPr>
          <w:p w14:paraId="36085CA6" w14:textId="3097B62F" w:rsidR="00A12A61" w:rsidRPr="005D05E2" w:rsidRDefault="007B6360"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7B6360">
              <w:rPr>
                <w:rFonts w:asciiTheme="minorHAnsi" w:hAnsiTheme="minorHAnsi" w:cstheme="minorHAnsi"/>
                <w:szCs w:val="20"/>
              </w:rPr>
              <w:t xml:space="preserve">Introduce </w:t>
            </w:r>
            <w:proofErr w:type="spellStart"/>
            <w:r w:rsidRPr="007B6360">
              <w:rPr>
                <w:rFonts w:asciiTheme="minorHAnsi" w:hAnsiTheme="minorHAnsi" w:cstheme="minorHAnsi"/>
                <w:szCs w:val="20"/>
              </w:rPr>
              <w:t>MEPS</w:t>
            </w:r>
            <w:proofErr w:type="spellEnd"/>
            <w:r w:rsidRPr="007B6360">
              <w:rPr>
                <w:rFonts w:asciiTheme="minorHAnsi" w:hAnsiTheme="minorHAnsi" w:cstheme="minorHAnsi"/>
                <w:szCs w:val="20"/>
              </w:rPr>
              <w:t xml:space="preserve"> for large office buildings including tenancies in the threshold</w:t>
            </w:r>
          </w:p>
        </w:tc>
        <w:tc>
          <w:tcPr>
            <w:tcW w:w="2268" w:type="dxa"/>
          </w:tcPr>
          <w:p w14:paraId="79D717E7" w14:textId="1C9456F1" w:rsidR="00A12A61" w:rsidRPr="005D05E2" w:rsidRDefault="00225545"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225545">
              <w:rPr>
                <w:rFonts w:asciiTheme="minorHAnsi" w:hAnsiTheme="minorHAnsi" w:cstheme="minorHAnsi"/>
                <w:szCs w:val="20"/>
              </w:rPr>
              <w:t xml:space="preserve">Consider raising </w:t>
            </w:r>
            <w:proofErr w:type="spellStart"/>
            <w:r w:rsidRPr="00225545">
              <w:rPr>
                <w:rFonts w:asciiTheme="minorHAnsi" w:hAnsiTheme="minorHAnsi" w:cstheme="minorHAnsi"/>
                <w:szCs w:val="20"/>
              </w:rPr>
              <w:t>MEPS</w:t>
            </w:r>
            <w:proofErr w:type="spellEnd"/>
            <w:r w:rsidRPr="00225545">
              <w:rPr>
                <w:rFonts w:asciiTheme="minorHAnsi" w:hAnsiTheme="minorHAnsi" w:cstheme="minorHAnsi"/>
                <w:szCs w:val="20"/>
              </w:rPr>
              <w:t xml:space="preserve"> star rating for offices including tenancies in the threshold. Consider reducing </w:t>
            </w:r>
            <w:proofErr w:type="spellStart"/>
            <w:r w:rsidRPr="00225545">
              <w:rPr>
                <w:rFonts w:asciiTheme="minorHAnsi" w:hAnsiTheme="minorHAnsi" w:cstheme="minorHAnsi"/>
                <w:szCs w:val="20"/>
              </w:rPr>
              <w:t>MEPS</w:t>
            </w:r>
            <w:proofErr w:type="spellEnd"/>
            <w:r w:rsidRPr="00225545">
              <w:rPr>
                <w:rFonts w:asciiTheme="minorHAnsi" w:hAnsiTheme="minorHAnsi" w:cstheme="minorHAnsi"/>
                <w:szCs w:val="20"/>
              </w:rPr>
              <w:t xml:space="preserve"> building size threshold for offices</w:t>
            </w:r>
          </w:p>
        </w:tc>
        <w:tc>
          <w:tcPr>
            <w:tcW w:w="2402" w:type="dxa"/>
          </w:tcPr>
          <w:p w14:paraId="4BBD03AF" w14:textId="1BFB427F" w:rsidR="00A12A61" w:rsidRPr="005D05E2" w:rsidRDefault="00CC59A3"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C59A3">
              <w:rPr>
                <w:rFonts w:asciiTheme="minorHAnsi" w:hAnsiTheme="minorHAnsi" w:cstheme="minorHAnsi"/>
                <w:szCs w:val="20"/>
              </w:rPr>
              <w:t xml:space="preserve">CBD coverage at least 90% of </w:t>
            </w:r>
            <w:proofErr w:type="spellStart"/>
            <w:r w:rsidRPr="00CC59A3">
              <w:rPr>
                <w:rFonts w:asciiTheme="minorHAnsi" w:hAnsiTheme="minorHAnsi" w:cstheme="minorHAnsi"/>
                <w:szCs w:val="20"/>
              </w:rPr>
              <w:t>GFA</w:t>
            </w:r>
            <w:proofErr w:type="spellEnd"/>
            <w:r w:rsidRPr="00CC59A3">
              <w:rPr>
                <w:rFonts w:asciiTheme="minorHAnsi" w:hAnsiTheme="minorHAnsi" w:cstheme="minorHAnsi"/>
                <w:szCs w:val="20"/>
              </w:rPr>
              <w:t xml:space="preserve"> of commercial office buildings</w:t>
            </w:r>
          </w:p>
        </w:tc>
      </w:tr>
      <w:tr w:rsidR="00A12A61" w:rsidRPr="005D05E2" w14:paraId="3F736C1B" w14:textId="77777777" w:rsidTr="006F1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095BCD" w14:textId="1437BD72" w:rsidR="00A12A61" w:rsidRPr="005D05E2" w:rsidRDefault="00976F61" w:rsidP="00791386">
            <w:pPr>
              <w:pStyle w:val="BodyText"/>
              <w:rPr>
                <w:rFonts w:asciiTheme="minorHAnsi" w:hAnsiTheme="minorHAnsi" w:cstheme="minorHAnsi"/>
                <w:szCs w:val="20"/>
                <w:lang w:val="en-GB"/>
              </w:rPr>
            </w:pPr>
            <w:r w:rsidRPr="005D05E2">
              <w:rPr>
                <w:rFonts w:asciiTheme="minorHAnsi" w:hAnsiTheme="minorHAnsi" w:cstheme="minorHAnsi"/>
                <w:szCs w:val="20"/>
                <w:lang w:val="en-GB"/>
              </w:rPr>
              <w:t>Group 2 buildings: Hotels, Shopping Centres, Data Centres, Public Hospitals</w:t>
            </w:r>
          </w:p>
        </w:tc>
        <w:tc>
          <w:tcPr>
            <w:tcW w:w="2305" w:type="dxa"/>
          </w:tcPr>
          <w:p w14:paraId="643C2714" w14:textId="77777777" w:rsidR="00CC5B7E" w:rsidRPr="00CC5B7E" w:rsidRDefault="00CC5B7E" w:rsidP="00CC5B7E">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C5B7E">
              <w:rPr>
                <w:rFonts w:asciiTheme="minorHAnsi" w:hAnsiTheme="minorHAnsi" w:cstheme="minorHAnsi"/>
                <w:szCs w:val="20"/>
              </w:rPr>
              <w:t xml:space="preserve">Introduce mandatory disclosure for large Group 2 </w:t>
            </w:r>
            <w:proofErr w:type="gramStart"/>
            <w:r w:rsidRPr="00CC5B7E">
              <w:rPr>
                <w:rFonts w:asciiTheme="minorHAnsi" w:hAnsiTheme="minorHAnsi" w:cstheme="minorHAnsi"/>
                <w:szCs w:val="20"/>
              </w:rPr>
              <w:t>buildings</w:t>
            </w:r>
            <w:proofErr w:type="gramEnd"/>
          </w:p>
          <w:p w14:paraId="0D137DCD"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c>
          <w:tcPr>
            <w:tcW w:w="1239" w:type="dxa"/>
          </w:tcPr>
          <w:p w14:paraId="7E9E490D" w14:textId="77777777" w:rsidR="00CC5B7E" w:rsidRPr="00CC5B7E" w:rsidRDefault="00CC5B7E" w:rsidP="00CC5B7E">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C5B7E">
              <w:rPr>
                <w:rFonts w:asciiTheme="minorHAnsi" w:hAnsiTheme="minorHAnsi" w:cstheme="minorHAnsi"/>
                <w:szCs w:val="20"/>
              </w:rPr>
              <w:t xml:space="preserve">Reduce threshold to include medium-sized Group 2 </w:t>
            </w:r>
            <w:proofErr w:type="gramStart"/>
            <w:r w:rsidRPr="00CC5B7E">
              <w:rPr>
                <w:rFonts w:asciiTheme="minorHAnsi" w:hAnsiTheme="minorHAnsi" w:cstheme="minorHAnsi"/>
                <w:szCs w:val="20"/>
              </w:rPr>
              <w:t>buildings</w:t>
            </w:r>
            <w:proofErr w:type="gramEnd"/>
          </w:p>
          <w:p w14:paraId="3FCDC909"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c>
          <w:tcPr>
            <w:tcW w:w="2268" w:type="dxa"/>
          </w:tcPr>
          <w:p w14:paraId="3D1EE5CB" w14:textId="77777777" w:rsidR="00CC5B7E" w:rsidRPr="00CC5B7E" w:rsidRDefault="00CC5B7E" w:rsidP="00CC5B7E">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C5B7E">
              <w:rPr>
                <w:rFonts w:asciiTheme="minorHAnsi" w:hAnsiTheme="minorHAnsi" w:cstheme="minorHAnsi"/>
                <w:szCs w:val="20"/>
              </w:rPr>
              <w:t xml:space="preserve">Introduce </w:t>
            </w:r>
            <w:proofErr w:type="spellStart"/>
            <w:r w:rsidRPr="00CC5B7E">
              <w:rPr>
                <w:rFonts w:asciiTheme="minorHAnsi" w:hAnsiTheme="minorHAnsi" w:cstheme="minorHAnsi"/>
                <w:szCs w:val="20"/>
              </w:rPr>
              <w:t>MEPS</w:t>
            </w:r>
            <w:proofErr w:type="spellEnd"/>
            <w:r w:rsidRPr="00CC5B7E">
              <w:rPr>
                <w:rFonts w:asciiTheme="minorHAnsi" w:hAnsiTheme="minorHAnsi" w:cstheme="minorHAnsi"/>
                <w:szCs w:val="20"/>
              </w:rPr>
              <w:t xml:space="preserve"> for large group 2 </w:t>
            </w:r>
            <w:proofErr w:type="gramStart"/>
            <w:r w:rsidRPr="00CC5B7E">
              <w:rPr>
                <w:rFonts w:asciiTheme="minorHAnsi" w:hAnsiTheme="minorHAnsi" w:cstheme="minorHAnsi"/>
                <w:szCs w:val="20"/>
              </w:rPr>
              <w:t>buildings</w:t>
            </w:r>
            <w:proofErr w:type="gramEnd"/>
          </w:p>
          <w:p w14:paraId="54A63483"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c>
          <w:tcPr>
            <w:tcW w:w="2402" w:type="dxa"/>
          </w:tcPr>
          <w:p w14:paraId="0739620E" w14:textId="0357E8DC" w:rsidR="00A12A61" w:rsidRPr="005D05E2" w:rsidRDefault="00CC5B7E"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C5B7E">
              <w:rPr>
                <w:rFonts w:asciiTheme="minorHAnsi" w:hAnsiTheme="minorHAnsi" w:cstheme="minorHAnsi"/>
                <w:szCs w:val="20"/>
              </w:rPr>
              <w:t xml:space="preserve">Progressively reduce disclosure and </w:t>
            </w:r>
            <w:proofErr w:type="spellStart"/>
            <w:r w:rsidRPr="00CC5B7E">
              <w:rPr>
                <w:rFonts w:asciiTheme="minorHAnsi" w:hAnsiTheme="minorHAnsi" w:cstheme="minorHAnsi"/>
                <w:szCs w:val="20"/>
              </w:rPr>
              <w:t>MEPS</w:t>
            </w:r>
            <w:proofErr w:type="spellEnd"/>
            <w:r w:rsidRPr="00CC5B7E">
              <w:rPr>
                <w:rFonts w:asciiTheme="minorHAnsi" w:hAnsiTheme="minorHAnsi" w:cstheme="minorHAnsi"/>
                <w:szCs w:val="20"/>
              </w:rPr>
              <w:t xml:space="preserve"> threshold to include small Group 2 buildings. Consider raising </w:t>
            </w:r>
            <w:proofErr w:type="spellStart"/>
            <w:r w:rsidRPr="00CC5B7E">
              <w:rPr>
                <w:rFonts w:asciiTheme="minorHAnsi" w:hAnsiTheme="minorHAnsi" w:cstheme="minorHAnsi"/>
                <w:szCs w:val="20"/>
              </w:rPr>
              <w:t>MEPS</w:t>
            </w:r>
            <w:proofErr w:type="spellEnd"/>
            <w:r w:rsidRPr="00CC5B7E">
              <w:rPr>
                <w:rFonts w:asciiTheme="minorHAnsi" w:hAnsiTheme="minorHAnsi" w:cstheme="minorHAnsi"/>
                <w:szCs w:val="20"/>
              </w:rPr>
              <w:t xml:space="preserve"> star rating; CBD expansion to cover &gt;80% of Group 2 </w:t>
            </w:r>
            <w:proofErr w:type="spellStart"/>
            <w:r w:rsidRPr="00CC5B7E">
              <w:rPr>
                <w:rFonts w:asciiTheme="minorHAnsi" w:hAnsiTheme="minorHAnsi" w:cstheme="minorHAnsi"/>
                <w:szCs w:val="20"/>
              </w:rPr>
              <w:t>GFA</w:t>
            </w:r>
            <w:proofErr w:type="spellEnd"/>
            <w:r w:rsidRPr="00CC5B7E">
              <w:rPr>
                <w:rFonts w:asciiTheme="minorHAnsi" w:hAnsiTheme="minorHAnsi" w:cstheme="minorHAnsi"/>
                <w:szCs w:val="20"/>
              </w:rPr>
              <w:t>.</w:t>
            </w:r>
          </w:p>
        </w:tc>
      </w:tr>
      <w:tr w:rsidR="00A12A61" w:rsidRPr="005D05E2" w14:paraId="3E3F779C" w14:textId="77777777" w:rsidTr="006F1D4F">
        <w:tc>
          <w:tcPr>
            <w:cnfStyle w:val="001000000000" w:firstRow="0" w:lastRow="0" w:firstColumn="1" w:lastColumn="0" w:oddVBand="0" w:evenVBand="0" w:oddHBand="0" w:evenHBand="0" w:firstRowFirstColumn="0" w:firstRowLastColumn="0" w:lastRowFirstColumn="0" w:lastRowLastColumn="0"/>
            <w:tcW w:w="1980" w:type="dxa"/>
          </w:tcPr>
          <w:p w14:paraId="4A072A6A" w14:textId="6331BE41" w:rsidR="00A12A61" w:rsidRPr="005D05E2" w:rsidRDefault="00522A0E" w:rsidP="00791386">
            <w:pPr>
              <w:pStyle w:val="BodyText"/>
              <w:rPr>
                <w:rFonts w:asciiTheme="minorHAnsi" w:hAnsiTheme="minorHAnsi" w:cstheme="minorHAnsi"/>
                <w:szCs w:val="20"/>
                <w:lang w:val="en-GB"/>
              </w:rPr>
            </w:pPr>
            <w:r w:rsidRPr="005D05E2">
              <w:rPr>
                <w:rFonts w:asciiTheme="minorHAnsi" w:hAnsiTheme="minorHAnsi" w:cstheme="minorHAnsi"/>
                <w:szCs w:val="20"/>
                <w:lang w:val="en-GB"/>
              </w:rPr>
              <w:t>Group 3 buildings: Residential Aged Care, Retirement Living, Warehouses, Cold Stores, Schools, Retail stores</w:t>
            </w:r>
          </w:p>
        </w:tc>
        <w:tc>
          <w:tcPr>
            <w:tcW w:w="2305" w:type="dxa"/>
          </w:tcPr>
          <w:p w14:paraId="4B83DB3C" w14:textId="1F2FB583" w:rsidR="00522A0E" w:rsidRPr="00522A0E" w:rsidRDefault="00522A0E" w:rsidP="00522A0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22A0E">
              <w:rPr>
                <w:rFonts w:asciiTheme="minorHAnsi" w:hAnsiTheme="minorHAnsi" w:cstheme="minorHAnsi"/>
                <w:szCs w:val="20"/>
              </w:rPr>
              <w:t xml:space="preserve">Increase NABERS participation </w:t>
            </w:r>
            <w:r w:rsidRPr="00522A0E">
              <w:rPr>
                <w:rFonts w:asciiTheme="minorHAnsi" w:hAnsiTheme="minorHAnsi" w:cstheme="minorHAnsi"/>
                <w:szCs w:val="20"/>
              </w:rPr>
              <w:br/>
              <w:t>to all Group 3 buildings and announce disclosure is upcoming.</w:t>
            </w:r>
          </w:p>
          <w:p w14:paraId="0FF2FFD9" w14:textId="77777777" w:rsidR="00A12A61" w:rsidRPr="005D05E2" w:rsidRDefault="00A12A61"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p>
        </w:tc>
        <w:tc>
          <w:tcPr>
            <w:tcW w:w="1239" w:type="dxa"/>
          </w:tcPr>
          <w:p w14:paraId="40E4AE5A" w14:textId="77777777" w:rsidR="00522A0E" w:rsidRPr="00522A0E" w:rsidRDefault="00522A0E" w:rsidP="00522A0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22A0E">
              <w:rPr>
                <w:rFonts w:asciiTheme="minorHAnsi" w:hAnsiTheme="minorHAnsi" w:cstheme="minorHAnsi"/>
                <w:szCs w:val="20"/>
              </w:rPr>
              <w:t xml:space="preserve">Introduce mandatory disclosure for large Group 3 </w:t>
            </w:r>
            <w:proofErr w:type="gramStart"/>
            <w:r w:rsidRPr="00522A0E">
              <w:rPr>
                <w:rFonts w:asciiTheme="minorHAnsi" w:hAnsiTheme="minorHAnsi" w:cstheme="minorHAnsi"/>
                <w:szCs w:val="20"/>
              </w:rPr>
              <w:t>buildings</w:t>
            </w:r>
            <w:proofErr w:type="gramEnd"/>
          </w:p>
          <w:p w14:paraId="784DEB6A" w14:textId="77777777" w:rsidR="00A12A61" w:rsidRPr="005D05E2" w:rsidRDefault="00A12A61"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p>
        </w:tc>
        <w:tc>
          <w:tcPr>
            <w:tcW w:w="2268" w:type="dxa"/>
          </w:tcPr>
          <w:p w14:paraId="08A04D95" w14:textId="77777777" w:rsidR="00994DBC" w:rsidRPr="00994DBC" w:rsidRDefault="00994DBC" w:rsidP="00994DBC">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94DBC">
              <w:rPr>
                <w:rFonts w:asciiTheme="minorHAnsi" w:hAnsiTheme="minorHAnsi" w:cstheme="minorHAnsi"/>
                <w:szCs w:val="20"/>
              </w:rPr>
              <w:t xml:space="preserve">Introduce </w:t>
            </w:r>
            <w:proofErr w:type="spellStart"/>
            <w:r w:rsidRPr="00994DBC">
              <w:rPr>
                <w:rFonts w:asciiTheme="minorHAnsi" w:hAnsiTheme="minorHAnsi" w:cstheme="minorHAnsi"/>
                <w:szCs w:val="20"/>
              </w:rPr>
              <w:t>MEPS</w:t>
            </w:r>
            <w:proofErr w:type="spellEnd"/>
            <w:r w:rsidRPr="00994DBC">
              <w:rPr>
                <w:rFonts w:asciiTheme="minorHAnsi" w:hAnsiTheme="minorHAnsi" w:cstheme="minorHAnsi"/>
                <w:szCs w:val="20"/>
              </w:rPr>
              <w:t xml:space="preserve"> for large Group 3 </w:t>
            </w:r>
            <w:proofErr w:type="gramStart"/>
            <w:r w:rsidRPr="00994DBC">
              <w:rPr>
                <w:rFonts w:asciiTheme="minorHAnsi" w:hAnsiTheme="minorHAnsi" w:cstheme="minorHAnsi"/>
                <w:szCs w:val="20"/>
              </w:rPr>
              <w:t>buildings</w:t>
            </w:r>
            <w:proofErr w:type="gramEnd"/>
          </w:p>
          <w:p w14:paraId="604D3B90" w14:textId="77777777" w:rsidR="00A12A61" w:rsidRPr="005D05E2" w:rsidRDefault="00A12A61"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p>
        </w:tc>
        <w:tc>
          <w:tcPr>
            <w:tcW w:w="2402" w:type="dxa"/>
          </w:tcPr>
          <w:p w14:paraId="0DF2FF79" w14:textId="0E7B6A7E" w:rsidR="00A12A61" w:rsidRPr="005D05E2" w:rsidRDefault="00994DBC"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994DBC">
              <w:rPr>
                <w:rFonts w:asciiTheme="minorHAnsi" w:hAnsiTheme="minorHAnsi" w:cstheme="minorHAnsi"/>
                <w:szCs w:val="20"/>
              </w:rPr>
              <w:t xml:space="preserve">Consider raising </w:t>
            </w:r>
            <w:proofErr w:type="spellStart"/>
            <w:r w:rsidRPr="00994DBC">
              <w:rPr>
                <w:rFonts w:asciiTheme="minorHAnsi" w:hAnsiTheme="minorHAnsi" w:cstheme="minorHAnsi"/>
                <w:szCs w:val="20"/>
              </w:rPr>
              <w:t>MEPS</w:t>
            </w:r>
            <w:proofErr w:type="spellEnd"/>
            <w:r w:rsidRPr="00994DBC">
              <w:rPr>
                <w:rFonts w:asciiTheme="minorHAnsi" w:hAnsiTheme="minorHAnsi" w:cstheme="minorHAnsi"/>
                <w:szCs w:val="20"/>
              </w:rPr>
              <w:t xml:space="preserve"> star rating; Reduce disclosure and </w:t>
            </w:r>
            <w:proofErr w:type="spellStart"/>
            <w:r w:rsidRPr="00994DBC">
              <w:rPr>
                <w:rFonts w:asciiTheme="minorHAnsi" w:hAnsiTheme="minorHAnsi" w:cstheme="minorHAnsi"/>
                <w:szCs w:val="20"/>
              </w:rPr>
              <w:t>MEPS</w:t>
            </w:r>
            <w:proofErr w:type="spellEnd"/>
            <w:r w:rsidRPr="00994DBC">
              <w:rPr>
                <w:rFonts w:asciiTheme="minorHAnsi" w:hAnsiTheme="minorHAnsi" w:cstheme="minorHAnsi"/>
                <w:szCs w:val="20"/>
              </w:rPr>
              <w:t xml:space="preserve"> threshold to medium-sized then small Group 3 buildings; CBD expansion to cover &gt;70% of Group 3 </w:t>
            </w:r>
            <w:proofErr w:type="spellStart"/>
            <w:r w:rsidRPr="00994DBC">
              <w:rPr>
                <w:rFonts w:asciiTheme="minorHAnsi" w:hAnsiTheme="minorHAnsi" w:cstheme="minorHAnsi"/>
                <w:szCs w:val="20"/>
              </w:rPr>
              <w:t>GFA</w:t>
            </w:r>
            <w:proofErr w:type="spellEnd"/>
            <w:r w:rsidRPr="00994DBC">
              <w:rPr>
                <w:rFonts w:asciiTheme="minorHAnsi" w:hAnsiTheme="minorHAnsi" w:cstheme="minorHAnsi"/>
                <w:szCs w:val="20"/>
              </w:rPr>
              <w:t>.</w:t>
            </w:r>
          </w:p>
        </w:tc>
      </w:tr>
      <w:tr w:rsidR="00A12A61" w:rsidRPr="005D05E2" w14:paraId="0DA6B964" w14:textId="77777777" w:rsidTr="006F1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DC6D6C" w14:textId="55A9953C" w:rsidR="00A12A61" w:rsidRPr="005D05E2" w:rsidRDefault="00994DBC" w:rsidP="00791386">
            <w:pPr>
              <w:pStyle w:val="BodyText"/>
              <w:rPr>
                <w:rFonts w:asciiTheme="minorHAnsi" w:hAnsiTheme="minorHAnsi" w:cstheme="minorHAnsi"/>
                <w:szCs w:val="20"/>
              </w:rPr>
            </w:pPr>
            <w:r w:rsidRPr="00994DBC">
              <w:rPr>
                <w:rFonts w:asciiTheme="minorHAnsi" w:hAnsiTheme="minorHAnsi" w:cstheme="minorHAnsi"/>
                <w:szCs w:val="20"/>
              </w:rPr>
              <w:t>Group 4 buildings: Higher Education, Supermarkets, Private Hospitals, Medical centres, Other (e.g. galleries, sport facilities)</w:t>
            </w:r>
          </w:p>
        </w:tc>
        <w:tc>
          <w:tcPr>
            <w:tcW w:w="2305" w:type="dxa"/>
          </w:tcPr>
          <w:p w14:paraId="5A5E823A" w14:textId="21A51B85" w:rsidR="00A12A61" w:rsidRPr="005D05E2" w:rsidRDefault="006A644F"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r w:rsidRPr="005D05E2">
              <w:rPr>
                <w:rFonts w:asciiTheme="minorHAnsi" w:hAnsiTheme="minorHAnsi" w:cstheme="minorHAnsi"/>
                <w:szCs w:val="20"/>
              </w:rPr>
              <w:t>NABERS expansion to incorporate Group 4 buildings, and announce disclosure is upcoming</w:t>
            </w:r>
          </w:p>
        </w:tc>
        <w:tc>
          <w:tcPr>
            <w:tcW w:w="1239" w:type="dxa"/>
          </w:tcPr>
          <w:p w14:paraId="3E3490E8" w14:textId="77777777" w:rsidR="006A644F" w:rsidRPr="006A644F" w:rsidRDefault="006A644F" w:rsidP="006A644F">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6A644F">
              <w:rPr>
                <w:rFonts w:asciiTheme="minorHAnsi" w:hAnsiTheme="minorHAnsi" w:cstheme="minorHAnsi"/>
                <w:szCs w:val="20"/>
              </w:rPr>
              <w:t xml:space="preserve">Introduce mandatory disclosure for large Group 4 </w:t>
            </w:r>
            <w:proofErr w:type="gramStart"/>
            <w:r w:rsidRPr="006A644F">
              <w:rPr>
                <w:rFonts w:asciiTheme="minorHAnsi" w:hAnsiTheme="minorHAnsi" w:cstheme="minorHAnsi"/>
                <w:szCs w:val="20"/>
              </w:rPr>
              <w:t>buildings</w:t>
            </w:r>
            <w:proofErr w:type="gramEnd"/>
          </w:p>
          <w:p w14:paraId="76B6DB89"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c>
          <w:tcPr>
            <w:tcW w:w="2268" w:type="dxa"/>
          </w:tcPr>
          <w:p w14:paraId="20D1A317" w14:textId="77777777" w:rsidR="006A644F" w:rsidRPr="006A644F" w:rsidRDefault="006A644F" w:rsidP="006A644F">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6A644F">
              <w:rPr>
                <w:rFonts w:asciiTheme="minorHAnsi" w:hAnsiTheme="minorHAnsi" w:cstheme="minorHAnsi"/>
                <w:szCs w:val="20"/>
              </w:rPr>
              <w:t xml:space="preserve">Introduce </w:t>
            </w:r>
            <w:proofErr w:type="spellStart"/>
            <w:r w:rsidRPr="006A644F">
              <w:rPr>
                <w:rFonts w:asciiTheme="minorHAnsi" w:hAnsiTheme="minorHAnsi" w:cstheme="minorHAnsi"/>
                <w:szCs w:val="20"/>
              </w:rPr>
              <w:t>MEPS</w:t>
            </w:r>
            <w:proofErr w:type="spellEnd"/>
            <w:r w:rsidRPr="006A644F">
              <w:rPr>
                <w:rFonts w:asciiTheme="minorHAnsi" w:hAnsiTheme="minorHAnsi" w:cstheme="minorHAnsi"/>
                <w:szCs w:val="20"/>
              </w:rPr>
              <w:t xml:space="preserve"> for large Group 4 </w:t>
            </w:r>
            <w:proofErr w:type="gramStart"/>
            <w:r w:rsidRPr="006A644F">
              <w:rPr>
                <w:rFonts w:asciiTheme="minorHAnsi" w:hAnsiTheme="minorHAnsi" w:cstheme="minorHAnsi"/>
                <w:szCs w:val="20"/>
              </w:rPr>
              <w:t>buildings</w:t>
            </w:r>
            <w:proofErr w:type="gramEnd"/>
          </w:p>
          <w:p w14:paraId="60110942"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c>
          <w:tcPr>
            <w:tcW w:w="2402" w:type="dxa"/>
          </w:tcPr>
          <w:p w14:paraId="4BCD054D" w14:textId="77777777" w:rsidR="006A644F" w:rsidRPr="006A644F" w:rsidRDefault="006A644F" w:rsidP="006A644F">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6A644F">
              <w:rPr>
                <w:rFonts w:asciiTheme="minorHAnsi" w:hAnsiTheme="minorHAnsi" w:cstheme="minorHAnsi"/>
                <w:szCs w:val="20"/>
              </w:rPr>
              <w:t xml:space="preserve">Reduce disclosure and </w:t>
            </w:r>
            <w:proofErr w:type="spellStart"/>
            <w:r w:rsidRPr="006A644F">
              <w:rPr>
                <w:rFonts w:asciiTheme="minorHAnsi" w:hAnsiTheme="minorHAnsi" w:cstheme="minorHAnsi"/>
                <w:szCs w:val="20"/>
              </w:rPr>
              <w:t>MEPS</w:t>
            </w:r>
            <w:proofErr w:type="spellEnd"/>
            <w:r w:rsidRPr="006A644F">
              <w:rPr>
                <w:rFonts w:asciiTheme="minorHAnsi" w:hAnsiTheme="minorHAnsi" w:cstheme="minorHAnsi"/>
                <w:szCs w:val="20"/>
              </w:rPr>
              <w:t xml:space="preserve"> threshold to medium-sized Group 4 buildings; Consider raising </w:t>
            </w:r>
            <w:proofErr w:type="spellStart"/>
            <w:r w:rsidRPr="006A644F">
              <w:rPr>
                <w:rFonts w:asciiTheme="minorHAnsi" w:hAnsiTheme="minorHAnsi" w:cstheme="minorHAnsi"/>
                <w:szCs w:val="20"/>
              </w:rPr>
              <w:t>MEPS</w:t>
            </w:r>
            <w:proofErr w:type="spellEnd"/>
            <w:r w:rsidRPr="006A644F">
              <w:rPr>
                <w:rFonts w:asciiTheme="minorHAnsi" w:hAnsiTheme="minorHAnsi" w:cstheme="minorHAnsi"/>
                <w:szCs w:val="20"/>
              </w:rPr>
              <w:t xml:space="preserve"> star rating; CBD building coverage &gt;60% of Group 4 </w:t>
            </w:r>
            <w:proofErr w:type="spellStart"/>
            <w:r w:rsidRPr="006A644F">
              <w:rPr>
                <w:rFonts w:asciiTheme="minorHAnsi" w:hAnsiTheme="minorHAnsi" w:cstheme="minorHAnsi"/>
                <w:szCs w:val="20"/>
              </w:rPr>
              <w:t>GFA</w:t>
            </w:r>
            <w:proofErr w:type="spellEnd"/>
            <w:r w:rsidRPr="006A644F">
              <w:rPr>
                <w:rFonts w:asciiTheme="minorHAnsi" w:hAnsiTheme="minorHAnsi" w:cstheme="minorHAnsi"/>
                <w:szCs w:val="20"/>
              </w:rPr>
              <w:t>.</w:t>
            </w:r>
          </w:p>
          <w:p w14:paraId="089D17CD" w14:textId="77777777" w:rsidR="00A12A61" w:rsidRPr="005D05E2" w:rsidRDefault="00A12A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lang w:val="en-GB"/>
              </w:rPr>
            </w:pPr>
          </w:p>
        </w:tc>
      </w:tr>
      <w:tr w:rsidR="00A12A61" w:rsidRPr="005D05E2" w14:paraId="7D5AC9C2" w14:textId="77777777" w:rsidTr="006F1D4F">
        <w:tc>
          <w:tcPr>
            <w:cnfStyle w:val="001000000000" w:firstRow="0" w:lastRow="0" w:firstColumn="1" w:lastColumn="0" w:oddVBand="0" w:evenVBand="0" w:oddHBand="0" w:evenHBand="0" w:firstRowFirstColumn="0" w:firstRowLastColumn="0" w:lastRowFirstColumn="0" w:lastRowLastColumn="0"/>
            <w:tcW w:w="1980" w:type="dxa"/>
          </w:tcPr>
          <w:p w14:paraId="5022E15B" w14:textId="34F0E8B0" w:rsidR="00A12A61" w:rsidRPr="005D05E2" w:rsidRDefault="00BA68DE" w:rsidP="00BA68DE">
            <w:pPr>
              <w:pStyle w:val="BodyText"/>
              <w:rPr>
                <w:rFonts w:asciiTheme="minorHAnsi" w:hAnsiTheme="minorHAnsi" w:cstheme="minorHAnsi"/>
                <w:szCs w:val="20"/>
                <w:lang w:val="en-GB"/>
              </w:rPr>
            </w:pPr>
            <w:r w:rsidRPr="00BA68DE">
              <w:rPr>
                <w:rFonts w:asciiTheme="minorHAnsi" w:hAnsiTheme="minorHAnsi" w:cstheme="minorHAnsi"/>
                <w:szCs w:val="20"/>
              </w:rPr>
              <w:t>Remaining buildings unlikely to include in next decade (e.g. churches)</w:t>
            </w:r>
          </w:p>
        </w:tc>
        <w:tc>
          <w:tcPr>
            <w:tcW w:w="2305" w:type="dxa"/>
          </w:tcPr>
          <w:p w14:paraId="32EBF5C1" w14:textId="77777777" w:rsidR="006A644F" w:rsidRPr="006A644F" w:rsidRDefault="006A644F" w:rsidP="006A644F">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A644F">
              <w:rPr>
                <w:rFonts w:asciiTheme="minorHAnsi" w:hAnsiTheme="minorHAnsi" w:cstheme="minorHAnsi"/>
                <w:szCs w:val="20"/>
              </w:rPr>
              <w:t>Revisit these buildings to assess if appropriate for inclusion.</w:t>
            </w:r>
          </w:p>
          <w:p w14:paraId="652C4A74" w14:textId="77777777" w:rsidR="00A12A61" w:rsidRPr="005D05E2" w:rsidRDefault="00A12A61"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p>
        </w:tc>
        <w:tc>
          <w:tcPr>
            <w:tcW w:w="1239" w:type="dxa"/>
          </w:tcPr>
          <w:p w14:paraId="6F3141A5" w14:textId="77777777" w:rsidR="00A12A61" w:rsidRPr="005D05E2" w:rsidRDefault="00A12A61"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p>
        </w:tc>
        <w:tc>
          <w:tcPr>
            <w:tcW w:w="2268" w:type="dxa"/>
          </w:tcPr>
          <w:p w14:paraId="4FB03A4C" w14:textId="77777777" w:rsidR="00A12A61" w:rsidRPr="005D05E2" w:rsidRDefault="00A12A61"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p>
        </w:tc>
        <w:tc>
          <w:tcPr>
            <w:tcW w:w="2402" w:type="dxa"/>
          </w:tcPr>
          <w:p w14:paraId="36B94A0E" w14:textId="77777777" w:rsidR="00A12A61" w:rsidRPr="005D05E2" w:rsidRDefault="00A12A61" w:rsidP="006A644F">
            <w:pPr>
              <w:pStyle w:val="BodyText"/>
              <w:ind w:firstLine="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p>
        </w:tc>
      </w:tr>
    </w:tbl>
    <w:p w14:paraId="555DF1C8" w14:textId="2FE1A307" w:rsidR="00421EDA" w:rsidRDefault="006B1F81" w:rsidP="00791386">
      <w:pPr>
        <w:pStyle w:val="BodyText"/>
        <w:rPr>
          <w:lang w:val="en-GB"/>
        </w:rPr>
      </w:pPr>
      <w:hyperlink w:anchor="_Table_of_Contents" w:history="1">
        <w:r w:rsidR="00891495" w:rsidRPr="006B1F81">
          <w:rPr>
            <w:rStyle w:val="Hyperlink"/>
            <w:lang w:val="en-GB"/>
          </w:rPr>
          <w:t>Link to</w:t>
        </w:r>
        <w:r w:rsidRPr="006B1F81">
          <w:rPr>
            <w:rStyle w:val="Hyperlink"/>
            <w:lang w:val="en-GB"/>
          </w:rPr>
          <w:t xml:space="preserve"> Table of Contents</w:t>
        </w:r>
        <w:r w:rsidR="002D55F0" w:rsidRPr="006B1F81">
          <w:rPr>
            <w:rStyle w:val="Hyperlink"/>
            <w:lang w:val="en-GB"/>
          </w:rPr>
          <w:t>.</w:t>
        </w:r>
      </w:hyperlink>
      <w:r w:rsidR="002D55F0">
        <w:rPr>
          <w:lang w:val="en-GB"/>
        </w:rPr>
        <w:t xml:space="preserve"> </w:t>
      </w:r>
    </w:p>
    <w:p w14:paraId="4334D916" w14:textId="3CD35A91" w:rsidR="00352F98" w:rsidRPr="00412269" w:rsidRDefault="00352F98" w:rsidP="00412269">
      <w:pPr>
        <w:pStyle w:val="Heading2"/>
        <w:numPr>
          <w:ilvl w:val="0"/>
          <w:numId w:val="0"/>
        </w:numPr>
        <w:ind w:left="576"/>
      </w:pPr>
      <w:bookmarkStart w:id="315" w:name="_Toc162535469"/>
      <w:bookmarkStart w:id="316" w:name="_Table_33:_Details"/>
      <w:bookmarkEnd w:id="316"/>
      <w:r w:rsidRPr="00412269">
        <w:lastRenderedPageBreak/>
        <w:t xml:space="preserve">Table </w:t>
      </w:r>
      <w:r w:rsidRPr="00412269">
        <w:fldChar w:fldCharType="begin"/>
      </w:r>
      <w:r w:rsidRPr="00412269">
        <w:instrText xml:space="preserve"> SEQ Table \* ARABIC </w:instrText>
      </w:r>
      <w:r w:rsidRPr="00412269">
        <w:fldChar w:fldCharType="separate"/>
      </w:r>
      <w:r w:rsidR="00D24A06" w:rsidRPr="00412269">
        <w:t>33</w:t>
      </w:r>
      <w:r w:rsidRPr="00412269">
        <w:fldChar w:fldCharType="end"/>
      </w:r>
      <w:r w:rsidRPr="00412269">
        <w:t xml:space="preserve">: Details of </w:t>
      </w:r>
      <w:r w:rsidR="00894349" w:rsidRPr="00412269">
        <w:fldChar w:fldCharType="begin" w:fldLock="1"/>
      </w:r>
      <w:r w:rsidR="00894349" w:rsidRPr="00412269">
        <w:instrText xml:space="preserve"> REF _Ref157675625 \h </w:instrText>
      </w:r>
      <w:r w:rsidR="00EA3477" w:rsidRPr="00412269">
        <w:instrText xml:space="preserve"> \* MERGEFORMAT </w:instrText>
      </w:r>
      <w:r w:rsidR="00894349" w:rsidRPr="00412269">
        <w:fldChar w:fldCharType="separate"/>
      </w:r>
      <w:r w:rsidR="00894349" w:rsidRPr="00412269">
        <w:t>Figure 3</w:t>
      </w:r>
      <w:r w:rsidR="00894349" w:rsidRPr="00412269">
        <w:fldChar w:fldCharType="end"/>
      </w:r>
      <w:r w:rsidRPr="00412269">
        <w:t>- High level overview of building energy global disclosure requirements</w:t>
      </w:r>
      <w:bookmarkEnd w:id="315"/>
    </w:p>
    <w:tbl>
      <w:tblPr>
        <w:tblStyle w:val="PlainTable1"/>
        <w:tblW w:w="0" w:type="auto"/>
        <w:tblLook w:val="04A0" w:firstRow="1" w:lastRow="0" w:firstColumn="1" w:lastColumn="0" w:noHBand="0" w:noVBand="1"/>
      </w:tblPr>
      <w:tblGrid>
        <w:gridCol w:w="1980"/>
        <w:gridCol w:w="850"/>
        <w:gridCol w:w="7364"/>
      </w:tblGrid>
      <w:tr w:rsidR="000C12D9" w:rsidRPr="00374507" w14:paraId="46163560" w14:textId="77777777" w:rsidTr="003F3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742E0A" w14:textId="5C0E9CAC" w:rsidR="000C12D9" w:rsidRPr="00374507" w:rsidRDefault="000C12D9" w:rsidP="00791386">
            <w:pPr>
              <w:pStyle w:val="BodyText"/>
              <w:rPr>
                <w:rFonts w:asciiTheme="minorHAnsi" w:hAnsiTheme="minorHAnsi" w:cstheme="minorHAnsi"/>
                <w:lang w:val="en-GB"/>
              </w:rPr>
            </w:pPr>
            <w:r w:rsidRPr="00374507">
              <w:rPr>
                <w:rFonts w:asciiTheme="minorHAnsi" w:hAnsiTheme="minorHAnsi" w:cstheme="minorHAnsi"/>
                <w:lang w:val="en-GB"/>
              </w:rPr>
              <w:t>Country/jurisdiction</w:t>
            </w:r>
          </w:p>
        </w:tc>
        <w:tc>
          <w:tcPr>
            <w:tcW w:w="850" w:type="dxa"/>
          </w:tcPr>
          <w:p w14:paraId="3B16EC2E" w14:textId="00F0665E" w:rsidR="000C12D9" w:rsidRPr="00374507" w:rsidRDefault="000C12D9" w:rsidP="00791386">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74507">
              <w:rPr>
                <w:rFonts w:asciiTheme="minorHAnsi" w:hAnsiTheme="minorHAnsi" w:cstheme="minorHAnsi"/>
                <w:lang w:val="en-GB"/>
              </w:rPr>
              <w:t>Year</w:t>
            </w:r>
          </w:p>
        </w:tc>
        <w:tc>
          <w:tcPr>
            <w:tcW w:w="7364" w:type="dxa"/>
          </w:tcPr>
          <w:p w14:paraId="796F838A" w14:textId="6CFA6139" w:rsidR="000C12D9" w:rsidRPr="00374507" w:rsidRDefault="00110B03" w:rsidP="00791386">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374507">
              <w:rPr>
                <w:rFonts w:asciiTheme="minorHAnsi" w:hAnsiTheme="minorHAnsi" w:cstheme="minorHAnsi"/>
                <w:lang w:val="en-GB"/>
              </w:rPr>
              <w:t>Details</w:t>
            </w:r>
          </w:p>
        </w:tc>
      </w:tr>
      <w:tr w:rsidR="000C12D9" w:rsidRPr="00374507" w14:paraId="36EDF2CB" w14:textId="77777777" w:rsidTr="003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0A819C" w14:textId="5A2549FB" w:rsidR="000C12D9" w:rsidRPr="00374507" w:rsidRDefault="00374507" w:rsidP="00791386">
            <w:pPr>
              <w:pStyle w:val="BodyText"/>
              <w:rPr>
                <w:rFonts w:asciiTheme="minorHAnsi" w:hAnsiTheme="minorHAnsi" w:cstheme="minorHAnsi"/>
                <w:lang w:val="en-GB"/>
              </w:rPr>
            </w:pPr>
            <w:r>
              <w:rPr>
                <w:rFonts w:asciiTheme="minorHAnsi" w:hAnsiTheme="minorHAnsi" w:cstheme="minorHAnsi"/>
                <w:lang w:val="en-GB"/>
              </w:rPr>
              <w:t>California</w:t>
            </w:r>
          </w:p>
        </w:tc>
        <w:tc>
          <w:tcPr>
            <w:tcW w:w="850" w:type="dxa"/>
          </w:tcPr>
          <w:p w14:paraId="771B206D" w14:textId="072B3CE4" w:rsidR="000C12D9" w:rsidRPr="00374507" w:rsidRDefault="00683772"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2009</w:t>
            </w:r>
          </w:p>
        </w:tc>
        <w:tc>
          <w:tcPr>
            <w:tcW w:w="7364" w:type="dxa"/>
          </w:tcPr>
          <w:p w14:paraId="66B7DEDF" w14:textId="6AFFAE33" w:rsidR="000C12D9" w:rsidRPr="00374507" w:rsidRDefault="00683772"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683772">
              <w:rPr>
                <w:rFonts w:asciiTheme="minorHAnsi" w:hAnsiTheme="minorHAnsi" w:cstheme="minorHAnsi"/>
                <w:lang w:val="en-GB"/>
              </w:rPr>
              <w:t>Non-residential building owners or operators must disclose energy consumption data buyers, lenders, and lessees (buildings &gt; ~500m2)</w:t>
            </w:r>
          </w:p>
        </w:tc>
      </w:tr>
      <w:tr w:rsidR="000C12D9" w:rsidRPr="00374507" w14:paraId="28E7EDCA" w14:textId="77777777" w:rsidTr="003F37F7">
        <w:tc>
          <w:tcPr>
            <w:cnfStyle w:val="001000000000" w:firstRow="0" w:lastRow="0" w:firstColumn="1" w:lastColumn="0" w:oddVBand="0" w:evenVBand="0" w:oddHBand="0" w:evenHBand="0" w:firstRowFirstColumn="0" w:firstRowLastColumn="0" w:lastRowFirstColumn="0" w:lastRowLastColumn="0"/>
            <w:tcW w:w="1980" w:type="dxa"/>
          </w:tcPr>
          <w:p w14:paraId="61883128" w14:textId="008E77CF" w:rsidR="000C12D9" w:rsidRPr="00374507" w:rsidRDefault="00374507" w:rsidP="00791386">
            <w:pPr>
              <w:pStyle w:val="BodyText"/>
              <w:rPr>
                <w:rFonts w:asciiTheme="minorHAnsi" w:hAnsiTheme="minorHAnsi" w:cstheme="minorHAnsi"/>
                <w:lang w:val="en-GB"/>
              </w:rPr>
            </w:pPr>
            <w:r>
              <w:rPr>
                <w:rFonts w:asciiTheme="minorHAnsi" w:hAnsiTheme="minorHAnsi" w:cstheme="minorHAnsi"/>
                <w:lang w:val="en-GB"/>
              </w:rPr>
              <w:t>New York</w:t>
            </w:r>
          </w:p>
        </w:tc>
        <w:tc>
          <w:tcPr>
            <w:tcW w:w="850" w:type="dxa"/>
          </w:tcPr>
          <w:p w14:paraId="40D2BC73" w14:textId="60D03A21" w:rsidR="000C12D9" w:rsidRPr="00374507" w:rsidRDefault="00683772"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2019</w:t>
            </w:r>
          </w:p>
        </w:tc>
        <w:tc>
          <w:tcPr>
            <w:tcW w:w="7364" w:type="dxa"/>
          </w:tcPr>
          <w:p w14:paraId="6F945759" w14:textId="0945AC05" w:rsidR="000C12D9" w:rsidRPr="00374507" w:rsidRDefault="00683772"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83772">
              <w:rPr>
                <w:rFonts w:asciiTheme="minorHAnsi" w:hAnsiTheme="minorHAnsi" w:cstheme="minorHAnsi"/>
                <w:lang w:val="en-GB"/>
              </w:rPr>
              <w:t>Requires owners of most buildings over ~2,300m2 to obtain building energy efficiency rating labels and display near building entrances.</w:t>
            </w:r>
          </w:p>
        </w:tc>
      </w:tr>
      <w:tr w:rsidR="000C12D9" w:rsidRPr="00374507" w14:paraId="5D60DE4C" w14:textId="77777777" w:rsidTr="003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9A2CFB" w14:textId="218D52A7" w:rsidR="000C12D9" w:rsidRPr="00374507" w:rsidRDefault="00374507" w:rsidP="00791386">
            <w:pPr>
              <w:pStyle w:val="BodyText"/>
              <w:rPr>
                <w:rFonts w:asciiTheme="minorHAnsi" w:hAnsiTheme="minorHAnsi" w:cstheme="minorHAnsi"/>
                <w:lang w:val="en-GB"/>
              </w:rPr>
            </w:pPr>
            <w:r>
              <w:rPr>
                <w:rFonts w:asciiTheme="minorHAnsi" w:hAnsiTheme="minorHAnsi" w:cstheme="minorHAnsi"/>
                <w:lang w:val="en-GB"/>
              </w:rPr>
              <w:t>Washington DC</w:t>
            </w:r>
          </w:p>
        </w:tc>
        <w:tc>
          <w:tcPr>
            <w:tcW w:w="850" w:type="dxa"/>
          </w:tcPr>
          <w:p w14:paraId="09BC87C8" w14:textId="49E8F01E" w:rsidR="000C12D9" w:rsidRPr="00374507" w:rsidRDefault="00AB3F16"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2008</w:t>
            </w:r>
          </w:p>
        </w:tc>
        <w:tc>
          <w:tcPr>
            <w:tcW w:w="7364" w:type="dxa"/>
          </w:tcPr>
          <w:p w14:paraId="20B1BB08" w14:textId="2EC643CB" w:rsidR="000C12D9" w:rsidRPr="00374507" w:rsidRDefault="00AB3F16"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AB3F16">
              <w:rPr>
                <w:rFonts w:asciiTheme="minorHAnsi" w:hAnsiTheme="minorHAnsi" w:cstheme="minorHAnsi"/>
                <w:lang w:val="en-GB"/>
              </w:rPr>
              <w:t xml:space="preserve">Commercial buildings with min. </w:t>
            </w:r>
            <w:proofErr w:type="spellStart"/>
            <w:r w:rsidRPr="00AB3F16">
              <w:rPr>
                <w:rFonts w:asciiTheme="minorHAnsi" w:hAnsiTheme="minorHAnsi" w:cstheme="minorHAnsi"/>
                <w:lang w:val="en-GB"/>
              </w:rPr>
              <w:t>GFA</w:t>
            </w:r>
            <w:proofErr w:type="spellEnd"/>
            <w:r w:rsidRPr="00AB3F16">
              <w:rPr>
                <w:rFonts w:asciiTheme="minorHAnsi" w:hAnsiTheme="minorHAnsi" w:cstheme="minorHAnsi"/>
                <w:lang w:val="en-GB"/>
              </w:rPr>
              <w:t xml:space="preserve"> of ~</w:t>
            </w:r>
            <w:proofErr w:type="spellStart"/>
            <w:r w:rsidRPr="00AB3F16">
              <w:rPr>
                <w:rFonts w:asciiTheme="minorHAnsi" w:hAnsiTheme="minorHAnsi" w:cstheme="minorHAnsi"/>
                <w:lang w:val="en-GB"/>
              </w:rPr>
              <w:t>4,600m2</w:t>
            </w:r>
            <w:proofErr w:type="spellEnd"/>
            <w:r w:rsidRPr="00AB3F16">
              <w:rPr>
                <w:rFonts w:asciiTheme="minorHAnsi" w:hAnsiTheme="minorHAnsi" w:cstheme="minorHAnsi"/>
                <w:lang w:val="en-GB"/>
              </w:rPr>
              <w:t xml:space="preserve"> and government buildings with a min. </w:t>
            </w:r>
            <w:proofErr w:type="spellStart"/>
            <w:r w:rsidRPr="00AB3F16">
              <w:rPr>
                <w:rFonts w:asciiTheme="minorHAnsi" w:hAnsiTheme="minorHAnsi" w:cstheme="minorHAnsi"/>
                <w:lang w:val="en-GB"/>
              </w:rPr>
              <w:t>GFA</w:t>
            </w:r>
            <w:proofErr w:type="spellEnd"/>
            <w:r w:rsidRPr="00AB3F16">
              <w:rPr>
                <w:rFonts w:asciiTheme="minorHAnsi" w:hAnsiTheme="minorHAnsi" w:cstheme="minorHAnsi"/>
                <w:lang w:val="en-GB"/>
              </w:rPr>
              <w:t xml:space="preserve"> of ~</w:t>
            </w:r>
            <w:proofErr w:type="spellStart"/>
            <w:r w:rsidRPr="00AB3F16">
              <w:rPr>
                <w:rFonts w:asciiTheme="minorHAnsi" w:hAnsiTheme="minorHAnsi" w:cstheme="minorHAnsi"/>
                <w:lang w:val="en-GB"/>
              </w:rPr>
              <w:t>900m2</w:t>
            </w:r>
            <w:proofErr w:type="spellEnd"/>
            <w:r w:rsidRPr="00AB3F16">
              <w:rPr>
                <w:rFonts w:asciiTheme="minorHAnsi" w:hAnsiTheme="minorHAnsi" w:cstheme="minorHAnsi"/>
                <w:lang w:val="en-GB"/>
              </w:rPr>
              <w:t xml:space="preserve"> required to benchmark using ENERGY STAR, results reported annually to the state government for public disclosure on website. Threshold for inclusion lowered from 2021-2024.</w:t>
            </w:r>
          </w:p>
        </w:tc>
      </w:tr>
      <w:tr w:rsidR="000C12D9" w:rsidRPr="00374507" w14:paraId="74410E9D" w14:textId="77777777" w:rsidTr="003F37F7">
        <w:tc>
          <w:tcPr>
            <w:cnfStyle w:val="001000000000" w:firstRow="0" w:lastRow="0" w:firstColumn="1" w:lastColumn="0" w:oddVBand="0" w:evenVBand="0" w:oddHBand="0" w:evenHBand="0" w:firstRowFirstColumn="0" w:firstRowLastColumn="0" w:lastRowFirstColumn="0" w:lastRowLastColumn="0"/>
            <w:tcW w:w="1980" w:type="dxa"/>
          </w:tcPr>
          <w:p w14:paraId="683CF2E2" w14:textId="556E7BAC" w:rsidR="000C12D9" w:rsidRPr="00374507" w:rsidRDefault="00374507" w:rsidP="00791386">
            <w:pPr>
              <w:pStyle w:val="BodyText"/>
              <w:rPr>
                <w:rFonts w:asciiTheme="minorHAnsi" w:hAnsiTheme="minorHAnsi" w:cstheme="minorHAnsi"/>
                <w:lang w:val="en-GB"/>
              </w:rPr>
            </w:pPr>
            <w:r>
              <w:rPr>
                <w:rFonts w:asciiTheme="minorHAnsi" w:hAnsiTheme="minorHAnsi" w:cstheme="minorHAnsi"/>
                <w:lang w:val="en-GB"/>
              </w:rPr>
              <w:t>Washington State</w:t>
            </w:r>
          </w:p>
        </w:tc>
        <w:tc>
          <w:tcPr>
            <w:tcW w:w="850" w:type="dxa"/>
          </w:tcPr>
          <w:p w14:paraId="053EA9D0" w14:textId="156C5DE7" w:rsidR="000C12D9" w:rsidRPr="00374507" w:rsidRDefault="00AB3F16"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2009</w:t>
            </w:r>
          </w:p>
        </w:tc>
        <w:tc>
          <w:tcPr>
            <w:tcW w:w="7364" w:type="dxa"/>
          </w:tcPr>
          <w:p w14:paraId="50053EA5" w14:textId="0D1D0A0F" w:rsidR="000C12D9" w:rsidRPr="00AB3F16" w:rsidRDefault="00AB3F16"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B3F16">
              <w:rPr>
                <w:rFonts w:asciiTheme="minorHAnsi" w:hAnsiTheme="minorHAnsi" w:cstheme="minorHAnsi"/>
              </w:rPr>
              <w:t xml:space="preserve">All non-residential owners and qualifying public agency buildings to maintain and disclose ENERGY STAR rating to a prospective buyer, lessee, or lender </w:t>
            </w:r>
          </w:p>
        </w:tc>
      </w:tr>
      <w:tr w:rsidR="000C12D9" w:rsidRPr="00374507" w14:paraId="2A85C2C3" w14:textId="77777777" w:rsidTr="003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DA9298" w14:textId="0100DAAD" w:rsidR="000C12D9" w:rsidRPr="00374507" w:rsidRDefault="005E4F3C" w:rsidP="00791386">
            <w:pPr>
              <w:pStyle w:val="BodyText"/>
              <w:rPr>
                <w:rFonts w:asciiTheme="minorHAnsi" w:hAnsiTheme="minorHAnsi" w:cstheme="minorHAnsi"/>
                <w:lang w:val="en-GB"/>
              </w:rPr>
            </w:pPr>
            <w:r>
              <w:rPr>
                <w:rFonts w:asciiTheme="minorHAnsi" w:hAnsiTheme="minorHAnsi" w:cstheme="minorHAnsi"/>
                <w:lang w:val="en-GB"/>
              </w:rPr>
              <w:t>United Kingdom</w:t>
            </w:r>
          </w:p>
        </w:tc>
        <w:tc>
          <w:tcPr>
            <w:tcW w:w="850" w:type="dxa"/>
          </w:tcPr>
          <w:p w14:paraId="2236D146" w14:textId="322FC99F" w:rsidR="000C12D9" w:rsidRPr="00374507" w:rsidRDefault="000E0A5F"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2008 &amp; 2022</w:t>
            </w:r>
          </w:p>
        </w:tc>
        <w:tc>
          <w:tcPr>
            <w:tcW w:w="7364" w:type="dxa"/>
          </w:tcPr>
          <w:p w14:paraId="027AF60B" w14:textId="77777777" w:rsidR="000E0A5F" w:rsidRPr="000E0A5F" w:rsidRDefault="000E0A5F" w:rsidP="000E0A5F">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0A5F">
              <w:rPr>
                <w:rFonts w:asciiTheme="minorHAnsi" w:hAnsiTheme="minorHAnsi" w:cstheme="minorHAnsi"/>
              </w:rPr>
              <w:t>2008: EPC required for non-domestic buildings &gt;10,00m2 when they are sold or leased, reduced to 50m2 over time.</w:t>
            </w:r>
          </w:p>
          <w:p w14:paraId="2C072E3E" w14:textId="6C22727D" w:rsidR="000C12D9" w:rsidRPr="000E0A5F" w:rsidRDefault="000E0A5F"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E0A5F">
              <w:rPr>
                <w:rFonts w:asciiTheme="minorHAnsi" w:hAnsiTheme="minorHAnsi" w:cstheme="minorHAnsi"/>
              </w:rPr>
              <w:t xml:space="preserve">2022: All commercial buildings &gt;1,000m2 required to display and report energy and carbon performance using Display Energy Certificate (DEC). </w:t>
            </w:r>
          </w:p>
        </w:tc>
      </w:tr>
      <w:tr w:rsidR="000C12D9" w:rsidRPr="00374507" w14:paraId="3CADFE64" w14:textId="77777777" w:rsidTr="003F37F7">
        <w:tc>
          <w:tcPr>
            <w:cnfStyle w:val="001000000000" w:firstRow="0" w:lastRow="0" w:firstColumn="1" w:lastColumn="0" w:oddVBand="0" w:evenVBand="0" w:oddHBand="0" w:evenHBand="0" w:firstRowFirstColumn="0" w:firstRowLastColumn="0" w:lastRowFirstColumn="0" w:lastRowLastColumn="0"/>
            <w:tcW w:w="1980" w:type="dxa"/>
          </w:tcPr>
          <w:p w14:paraId="688D7C31" w14:textId="74EB23FF" w:rsidR="000C12D9" w:rsidRPr="00374507" w:rsidRDefault="005E4F3C" w:rsidP="00791386">
            <w:pPr>
              <w:pStyle w:val="BodyText"/>
              <w:rPr>
                <w:rFonts w:asciiTheme="minorHAnsi" w:hAnsiTheme="minorHAnsi" w:cstheme="minorHAnsi"/>
                <w:lang w:val="en-GB"/>
              </w:rPr>
            </w:pPr>
            <w:r>
              <w:rPr>
                <w:rFonts w:asciiTheme="minorHAnsi" w:hAnsiTheme="minorHAnsi" w:cstheme="minorHAnsi"/>
                <w:lang w:val="en-GB"/>
              </w:rPr>
              <w:t>Germany</w:t>
            </w:r>
          </w:p>
        </w:tc>
        <w:tc>
          <w:tcPr>
            <w:tcW w:w="850" w:type="dxa"/>
          </w:tcPr>
          <w:p w14:paraId="16E25D56" w14:textId="6BF18EF2" w:rsidR="000C12D9" w:rsidRPr="00374507" w:rsidRDefault="000E0A5F"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2020</w:t>
            </w:r>
          </w:p>
        </w:tc>
        <w:tc>
          <w:tcPr>
            <w:tcW w:w="7364" w:type="dxa"/>
          </w:tcPr>
          <w:p w14:paraId="0523778D" w14:textId="7B5902DB" w:rsidR="000C12D9" w:rsidRPr="000E0A5F" w:rsidRDefault="000E0A5F"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E0A5F">
              <w:rPr>
                <w:rFonts w:asciiTheme="minorHAnsi" w:hAnsiTheme="minorHAnsi" w:cstheme="minorHAnsi"/>
              </w:rPr>
              <w:t>Required to disclose energy consumption, energy demand and emissions</w:t>
            </w:r>
          </w:p>
        </w:tc>
      </w:tr>
      <w:tr w:rsidR="000C12D9" w:rsidRPr="00374507" w14:paraId="4F838E56" w14:textId="77777777" w:rsidTr="003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051592" w14:textId="66EC0FCB" w:rsidR="000C12D9" w:rsidRPr="00374507" w:rsidRDefault="005E4F3C" w:rsidP="00791386">
            <w:pPr>
              <w:pStyle w:val="BodyText"/>
              <w:rPr>
                <w:rFonts w:asciiTheme="minorHAnsi" w:hAnsiTheme="minorHAnsi" w:cstheme="minorHAnsi"/>
                <w:lang w:val="en-GB"/>
              </w:rPr>
            </w:pPr>
            <w:r>
              <w:rPr>
                <w:rFonts w:asciiTheme="minorHAnsi" w:hAnsiTheme="minorHAnsi" w:cstheme="minorHAnsi"/>
                <w:lang w:val="en-GB"/>
              </w:rPr>
              <w:t>France</w:t>
            </w:r>
          </w:p>
        </w:tc>
        <w:tc>
          <w:tcPr>
            <w:tcW w:w="850" w:type="dxa"/>
          </w:tcPr>
          <w:p w14:paraId="30197AAD" w14:textId="67F06C0C" w:rsidR="000C12D9" w:rsidRPr="00374507" w:rsidRDefault="00092D8F"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2021</w:t>
            </w:r>
          </w:p>
        </w:tc>
        <w:tc>
          <w:tcPr>
            <w:tcW w:w="7364" w:type="dxa"/>
          </w:tcPr>
          <w:p w14:paraId="5C840368" w14:textId="29E5CE6F" w:rsidR="000C12D9" w:rsidRPr="00374507" w:rsidRDefault="00092D8F" w:rsidP="00092D8F">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092D8F">
              <w:rPr>
                <w:rFonts w:asciiTheme="minorHAnsi" w:hAnsiTheme="minorHAnsi" w:cstheme="minorHAnsi"/>
              </w:rPr>
              <w:t>Any tertiary building with surface area &gt; 1,000m2 to collect building energy data and submit the yearly consumptions to a digital platform</w:t>
            </w:r>
            <w:r>
              <w:rPr>
                <w:rFonts w:asciiTheme="minorHAnsi" w:hAnsiTheme="minorHAnsi" w:cstheme="minorHAnsi"/>
              </w:rPr>
              <w:t>.</w:t>
            </w:r>
            <w:r w:rsidRPr="00092D8F">
              <w:rPr>
                <w:rFonts w:asciiTheme="minorHAnsi" w:hAnsiTheme="minorHAnsi" w:cstheme="minorHAnsi"/>
              </w:rPr>
              <w:t xml:space="preserve"> </w:t>
            </w:r>
          </w:p>
        </w:tc>
      </w:tr>
      <w:tr w:rsidR="0043673B" w:rsidRPr="00374507" w14:paraId="6FC3001B" w14:textId="77777777" w:rsidTr="003F37F7">
        <w:tc>
          <w:tcPr>
            <w:cnfStyle w:val="001000000000" w:firstRow="0" w:lastRow="0" w:firstColumn="1" w:lastColumn="0" w:oddVBand="0" w:evenVBand="0" w:oddHBand="0" w:evenHBand="0" w:firstRowFirstColumn="0" w:firstRowLastColumn="0" w:lastRowFirstColumn="0" w:lastRowLastColumn="0"/>
            <w:tcW w:w="1980" w:type="dxa"/>
          </w:tcPr>
          <w:p w14:paraId="7B015E3B" w14:textId="1DCA28BD" w:rsidR="0043673B" w:rsidRDefault="0043673B" w:rsidP="00791386">
            <w:pPr>
              <w:pStyle w:val="BodyText"/>
              <w:rPr>
                <w:rFonts w:asciiTheme="minorHAnsi" w:hAnsiTheme="minorHAnsi" w:cstheme="minorHAnsi"/>
                <w:lang w:val="en-GB"/>
              </w:rPr>
            </w:pPr>
            <w:r>
              <w:rPr>
                <w:rFonts w:asciiTheme="minorHAnsi" w:hAnsiTheme="minorHAnsi" w:cstheme="minorHAnsi"/>
                <w:lang w:val="en-GB"/>
              </w:rPr>
              <w:t>Norway</w:t>
            </w:r>
          </w:p>
        </w:tc>
        <w:tc>
          <w:tcPr>
            <w:tcW w:w="850" w:type="dxa"/>
          </w:tcPr>
          <w:p w14:paraId="7E88F324" w14:textId="4D8ABA8B" w:rsidR="0043673B" w:rsidRPr="00374507" w:rsidRDefault="00092D8F"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2010</w:t>
            </w:r>
          </w:p>
        </w:tc>
        <w:tc>
          <w:tcPr>
            <w:tcW w:w="7364" w:type="dxa"/>
          </w:tcPr>
          <w:p w14:paraId="66E4BA11" w14:textId="0696AEE5" w:rsidR="0043673B" w:rsidRPr="00092D8F" w:rsidRDefault="00092D8F" w:rsidP="00791386">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92D8F">
              <w:rPr>
                <w:rFonts w:asciiTheme="minorHAnsi" w:hAnsiTheme="minorHAnsi" w:cstheme="minorHAnsi"/>
              </w:rPr>
              <w:t xml:space="preserve">Non-residential buildings &gt;1,000m2 must display the EPC </w:t>
            </w:r>
          </w:p>
        </w:tc>
      </w:tr>
      <w:tr w:rsidR="0043673B" w:rsidRPr="00374507" w14:paraId="5B321598" w14:textId="77777777" w:rsidTr="003F3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E7F529" w14:textId="39F4943F" w:rsidR="0043673B" w:rsidRDefault="0043673B" w:rsidP="00791386">
            <w:pPr>
              <w:pStyle w:val="BodyText"/>
              <w:rPr>
                <w:rFonts w:asciiTheme="minorHAnsi" w:hAnsiTheme="minorHAnsi" w:cstheme="minorHAnsi"/>
                <w:lang w:val="en-GB"/>
              </w:rPr>
            </w:pPr>
            <w:r>
              <w:rPr>
                <w:rFonts w:asciiTheme="minorHAnsi" w:hAnsiTheme="minorHAnsi" w:cstheme="minorHAnsi"/>
                <w:lang w:val="en-GB"/>
              </w:rPr>
              <w:t>Japan</w:t>
            </w:r>
          </w:p>
        </w:tc>
        <w:tc>
          <w:tcPr>
            <w:tcW w:w="850" w:type="dxa"/>
          </w:tcPr>
          <w:p w14:paraId="2BB4E85C" w14:textId="0924DA9D" w:rsidR="0043673B" w:rsidRPr="00374507" w:rsidRDefault="007649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2017</w:t>
            </w:r>
          </w:p>
        </w:tc>
        <w:tc>
          <w:tcPr>
            <w:tcW w:w="7364" w:type="dxa"/>
          </w:tcPr>
          <w:p w14:paraId="5642C951" w14:textId="326CCFEB" w:rsidR="0043673B" w:rsidRPr="00764961" w:rsidRDefault="00764961" w:rsidP="00791386">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4961">
              <w:rPr>
                <w:rFonts w:asciiTheme="minorHAnsi" w:hAnsiTheme="minorHAnsi" w:cstheme="minorHAnsi"/>
              </w:rPr>
              <w:t>Voluntary certification of conformity with energy efficiency standards</w:t>
            </w:r>
          </w:p>
        </w:tc>
      </w:tr>
    </w:tbl>
    <w:p w14:paraId="1F2CBE2C"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7151027B" w14:textId="53E368A8" w:rsidR="00BA3129" w:rsidRPr="00412269" w:rsidRDefault="00BA3129" w:rsidP="00412269">
      <w:pPr>
        <w:pStyle w:val="Heading2"/>
        <w:numPr>
          <w:ilvl w:val="0"/>
          <w:numId w:val="0"/>
        </w:numPr>
        <w:ind w:left="576"/>
      </w:pPr>
      <w:bookmarkStart w:id="317" w:name="_Toc162535470"/>
      <w:bookmarkStart w:id="318" w:name="_Table_34:_Data"/>
      <w:bookmarkEnd w:id="318"/>
      <w:r w:rsidRPr="00412269">
        <w:t xml:space="preserve">Table </w:t>
      </w:r>
      <w:r w:rsidRPr="00412269">
        <w:fldChar w:fldCharType="begin"/>
      </w:r>
      <w:r w:rsidRPr="00412269">
        <w:instrText xml:space="preserve"> SEQ Table \* ARABIC </w:instrText>
      </w:r>
      <w:r w:rsidRPr="00412269">
        <w:fldChar w:fldCharType="separate"/>
      </w:r>
      <w:r w:rsidR="00D24A06" w:rsidRPr="00412269">
        <w:t>34</w:t>
      </w:r>
      <w:r w:rsidRPr="00412269">
        <w:fldChar w:fldCharType="end"/>
      </w:r>
      <w:r w:rsidRPr="00412269">
        <w:t>: Data for Figure 4 -</w:t>
      </w:r>
      <w:r w:rsidR="00A75FCC" w:rsidRPr="00412269">
        <w:t xml:space="preserve"> </w:t>
      </w:r>
      <w:r w:rsidRPr="00412269">
        <w:t xml:space="preserve">Net position for the average building covered by Tailored Sectoral Disclosure policy over 20 </w:t>
      </w:r>
      <w:proofErr w:type="gramStart"/>
      <w:r w:rsidRPr="00412269">
        <w:t>years</w:t>
      </w:r>
      <w:bookmarkEnd w:id="317"/>
      <w:proofErr w:type="gramEnd"/>
    </w:p>
    <w:tbl>
      <w:tblPr>
        <w:tblStyle w:val="PlainTable1"/>
        <w:tblW w:w="7792" w:type="dxa"/>
        <w:tblLook w:val="04A0" w:firstRow="1" w:lastRow="0" w:firstColumn="1" w:lastColumn="0" w:noHBand="0" w:noVBand="1"/>
      </w:tblPr>
      <w:tblGrid>
        <w:gridCol w:w="2830"/>
        <w:gridCol w:w="2410"/>
        <w:gridCol w:w="2552"/>
      </w:tblGrid>
      <w:tr w:rsidR="00BA3129" w:rsidRPr="00BA3129" w14:paraId="48C78C5E" w14:textId="77777777" w:rsidTr="005A0DB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DDB3E03" w14:textId="0158678A" w:rsidR="00BA3129" w:rsidRPr="00BA3129" w:rsidRDefault="00CC171B" w:rsidP="00BA3129">
            <w:pPr>
              <w:spacing w:before="0" w:after="0"/>
              <w:rPr>
                <w:rFonts w:asciiTheme="minorHAnsi" w:eastAsia="Times New Roman" w:hAnsiTheme="minorHAnsi" w:cstheme="minorHAnsi"/>
                <w:color w:val="auto"/>
                <w:szCs w:val="20"/>
                <w:lang w:eastAsia="en-AU"/>
              </w:rPr>
            </w:pPr>
            <w:r w:rsidRPr="00E66277">
              <w:rPr>
                <w:rFonts w:asciiTheme="minorHAnsi" w:eastAsia="Times New Roman" w:hAnsiTheme="minorHAnsi" w:cstheme="minorHAnsi"/>
                <w:color w:val="auto"/>
                <w:szCs w:val="20"/>
                <w:lang w:eastAsia="en-AU"/>
              </w:rPr>
              <w:t xml:space="preserve">Breakdown of </w:t>
            </w:r>
            <w:r w:rsidR="005A0DBB">
              <w:rPr>
                <w:rFonts w:asciiTheme="minorHAnsi" w:eastAsia="Times New Roman" w:hAnsiTheme="minorHAnsi" w:cstheme="minorHAnsi"/>
                <w:color w:val="auto"/>
                <w:szCs w:val="20"/>
                <w:lang w:eastAsia="en-AU"/>
              </w:rPr>
              <w:t>cost and benefit components</w:t>
            </w:r>
          </w:p>
        </w:tc>
        <w:tc>
          <w:tcPr>
            <w:tcW w:w="2410" w:type="dxa"/>
            <w:noWrap/>
            <w:hideMark/>
          </w:tcPr>
          <w:p w14:paraId="0EE6E01F" w14:textId="77777777" w:rsidR="00BA3129" w:rsidRPr="00717CC4" w:rsidRDefault="00BA3129" w:rsidP="00BA3129">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Smaller buildings assumed</w:t>
            </w:r>
          </w:p>
        </w:tc>
        <w:tc>
          <w:tcPr>
            <w:tcW w:w="2552" w:type="dxa"/>
            <w:noWrap/>
            <w:hideMark/>
          </w:tcPr>
          <w:p w14:paraId="4A30AF72" w14:textId="77777777" w:rsidR="00BA3129" w:rsidRPr="00717CC4" w:rsidRDefault="00BA3129" w:rsidP="00BA3129">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Larger buildings assumed</w:t>
            </w:r>
          </w:p>
        </w:tc>
      </w:tr>
      <w:tr w:rsidR="00BA3129" w:rsidRPr="00BA3129" w14:paraId="500F5F94" w14:textId="77777777" w:rsidTr="005A0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A60D7D4" w14:textId="77777777" w:rsidR="00BA3129" w:rsidRPr="00BA3129" w:rsidRDefault="00BA3129" w:rsidP="00BA3129">
            <w:pPr>
              <w:spacing w:before="0" w:after="0"/>
              <w:rPr>
                <w:rFonts w:ascii="Calibri" w:eastAsia="Times New Roman" w:hAnsi="Calibri" w:cs="Calibri"/>
                <w:color w:val="000000"/>
                <w:szCs w:val="20"/>
                <w:lang w:eastAsia="en-AU"/>
              </w:rPr>
            </w:pPr>
            <w:r w:rsidRPr="00BA3129">
              <w:rPr>
                <w:rFonts w:ascii="Calibri" w:eastAsia="Times New Roman" w:hAnsi="Calibri" w:cs="Calibri"/>
                <w:color w:val="000000"/>
                <w:szCs w:val="20"/>
                <w:lang w:eastAsia="en-AU"/>
              </w:rPr>
              <w:t>Bill saving</w:t>
            </w:r>
          </w:p>
        </w:tc>
        <w:tc>
          <w:tcPr>
            <w:tcW w:w="2410" w:type="dxa"/>
            <w:noWrap/>
            <w:hideMark/>
          </w:tcPr>
          <w:p w14:paraId="6044A626" w14:textId="0F68F6A4" w:rsidR="00BA3129" w:rsidRPr="00717CC4" w:rsidRDefault="00BA3129" w:rsidP="00BA3129">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 xml:space="preserve"> $446,510 </w:t>
            </w:r>
          </w:p>
        </w:tc>
        <w:tc>
          <w:tcPr>
            <w:tcW w:w="2552" w:type="dxa"/>
            <w:noWrap/>
            <w:hideMark/>
          </w:tcPr>
          <w:p w14:paraId="44A6DA3E" w14:textId="098F4326" w:rsidR="00BA3129" w:rsidRPr="00717CC4" w:rsidRDefault="00BA3129" w:rsidP="00BA3129">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 xml:space="preserve"> $874,258 </w:t>
            </w:r>
          </w:p>
        </w:tc>
      </w:tr>
      <w:tr w:rsidR="00BA3129" w:rsidRPr="00BA3129" w14:paraId="0A00B604" w14:textId="77777777" w:rsidTr="005A0DBB">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8D28F8C" w14:textId="77777777" w:rsidR="00BA3129" w:rsidRPr="00BA3129" w:rsidRDefault="00BA3129" w:rsidP="00BA3129">
            <w:pPr>
              <w:spacing w:before="0" w:after="0"/>
              <w:rPr>
                <w:rFonts w:ascii="Calibri" w:eastAsia="Times New Roman" w:hAnsi="Calibri" w:cs="Calibri"/>
                <w:color w:val="000000"/>
                <w:szCs w:val="20"/>
                <w:lang w:eastAsia="en-AU"/>
              </w:rPr>
            </w:pPr>
            <w:r w:rsidRPr="00BA3129">
              <w:rPr>
                <w:rFonts w:ascii="Calibri" w:eastAsia="Times New Roman" w:hAnsi="Calibri" w:cs="Calibri"/>
                <w:color w:val="000000"/>
                <w:szCs w:val="20"/>
                <w:lang w:eastAsia="en-AU"/>
              </w:rPr>
              <w:t>Emission saving</w:t>
            </w:r>
          </w:p>
        </w:tc>
        <w:tc>
          <w:tcPr>
            <w:tcW w:w="2410" w:type="dxa"/>
            <w:noWrap/>
            <w:hideMark/>
          </w:tcPr>
          <w:p w14:paraId="40D9E572" w14:textId="0ACC026D" w:rsidR="00BA3129" w:rsidRPr="00717CC4" w:rsidRDefault="00BA3129" w:rsidP="00BA3129">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 xml:space="preserve"> $208,988 </w:t>
            </w:r>
          </w:p>
        </w:tc>
        <w:tc>
          <w:tcPr>
            <w:tcW w:w="2552" w:type="dxa"/>
            <w:noWrap/>
            <w:hideMark/>
          </w:tcPr>
          <w:p w14:paraId="02441C5C" w14:textId="0BC34B98" w:rsidR="00BA3129" w:rsidRPr="00717CC4" w:rsidRDefault="00BA3129" w:rsidP="00BA3129">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 xml:space="preserve"> $409,194 </w:t>
            </w:r>
          </w:p>
        </w:tc>
      </w:tr>
      <w:tr w:rsidR="00BA3129" w:rsidRPr="00BA3129" w14:paraId="672D114A" w14:textId="77777777" w:rsidTr="005A0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8535A98" w14:textId="77777777" w:rsidR="00BA3129" w:rsidRPr="00BA3129" w:rsidRDefault="00BA3129" w:rsidP="00BA3129">
            <w:pPr>
              <w:spacing w:before="0" w:after="0"/>
              <w:rPr>
                <w:rFonts w:ascii="Calibri" w:eastAsia="Times New Roman" w:hAnsi="Calibri" w:cs="Calibri"/>
                <w:color w:val="000000"/>
                <w:szCs w:val="20"/>
                <w:lang w:eastAsia="en-AU"/>
              </w:rPr>
            </w:pPr>
            <w:r w:rsidRPr="00BA3129">
              <w:rPr>
                <w:rFonts w:ascii="Calibri" w:eastAsia="Times New Roman" w:hAnsi="Calibri" w:cs="Calibri"/>
                <w:color w:val="000000"/>
                <w:szCs w:val="20"/>
                <w:lang w:eastAsia="en-AU"/>
              </w:rPr>
              <w:t>Upgrade cost</w:t>
            </w:r>
          </w:p>
        </w:tc>
        <w:tc>
          <w:tcPr>
            <w:tcW w:w="2410" w:type="dxa"/>
            <w:noWrap/>
            <w:hideMark/>
          </w:tcPr>
          <w:p w14:paraId="10C77153" w14:textId="25538C2F" w:rsidR="00BA3129" w:rsidRPr="00717CC4" w:rsidRDefault="00BA3129" w:rsidP="00BA3129">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w:t>
            </w:r>
            <w:r w:rsidR="00422C98" w:rsidRPr="00717CC4">
              <w:rPr>
                <w:rFonts w:ascii="Calibri" w:eastAsia="Times New Roman" w:hAnsi="Calibri" w:cs="Calibri"/>
                <w:color w:val="000000"/>
                <w:szCs w:val="20"/>
                <w:lang w:eastAsia="en-AU"/>
              </w:rPr>
              <w:t>130,090</w:t>
            </w:r>
            <w:r w:rsidRPr="00717CC4">
              <w:rPr>
                <w:rFonts w:ascii="Calibri" w:eastAsia="Times New Roman" w:hAnsi="Calibri" w:cs="Calibri"/>
                <w:color w:val="000000"/>
                <w:szCs w:val="20"/>
                <w:lang w:eastAsia="en-AU"/>
              </w:rPr>
              <w:t xml:space="preserve"> </w:t>
            </w:r>
          </w:p>
        </w:tc>
        <w:tc>
          <w:tcPr>
            <w:tcW w:w="2552" w:type="dxa"/>
            <w:noWrap/>
            <w:hideMark/>
          </w:tcPr>
          <w:p w14:paraId="4E5327DC" w14:textId="13A04539" w:rsidR="00BA3129" w:rsidRPr="00717CC4" w:rsidRDefault="00BA3129" w:rsidP="00BA3129">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w:t>
            </w:r>
            <w:r w:rsidR="0005382C" w:rsidRPr="00717CC4">
              <w:rPr>
                <w:rFonts w:ascii="Calibri" w:eastAsia="Times New Roman" w:hAnsi="Calibri" w:cs="Calibri"/>
                <w:color w:val="000000"/>
                <w:szCs w:val="20"/>
                <w:lang w:eastAsia="en-AU"/>
              </w:rPr>
              <w:t>301,757</w:t>
            </w:r>
          </w:p>
        </w:tc>
      </w:tr>
      <w:tr w:rsidR="00BA3129" w:rsidRPr="00BA3129" w14:paraId="4FC7A227" w14:textId="77777777" w:rsidTr="005A0DBB">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FD3314" w14:textId="77777777" w:rsidR="00BA3129" w:rsidRPr="00BA3129" w:rsidRDefault="00BA3129" w:rsidP="00BA3129">
            <w:pPr>
              <w:spacing w:before="0" w:after="0"/>
              <w:rPr>
                <w:rFonts w:ascii="Calibri" w:eastAsia="Times New Roman" w:hAnsi="Calibri" w:cs="Calibri"/>
                <w:color w:val="000000"/>
                <w:szCs w:val="20"/>
                <w:lang w:eastAsia="en-AU"/>
              </w:rPr>
            </w:pPr>
            <w:r w:rsidRPr="00BA3129">
              <w:rPr>
                <w:rFonts w:ascii="Calibri" w:eastAsia="Times New Roman" w:hAnsi="Calibri" w:cs="Calibri"/>
                <w:color w:val="000000"/>
                <w:szCs w:val="20"/>
                <w:lang w:eastAsia="en-AU"/>
              </w:rPr>
              <w:t>Compliance costs</w:t>
            </w:r>
          </w:p>
        </w:tc>
        <w:tc>
          <w:tcPr>
            <w:tcW w:w="2410" w:type="dxa"/>
            <w:noWrap/>
            <w:hideMark/>
          </w:tcPr>
          <w:p w14:paraId="7A9D4F05" w14:textId="0BB57599" w:rsidR="00BA3129" w:rsidRPr="00717CC4" w:rsidRDefault="00BA3129" w:rsidP="00BA3129">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w:t>
            </w:r>
            <w:r w:rsidR="00045DF7" w:rsidRPr="00717CC4">
              <w:rPr>
                <w:rFonts w:ascii="Calibri" w:eastAsia="Times New Roman" w:hAnsi="Calibri" w:cs="Calibri"/>
                <w:color w:val="000000"/>
                <w:szCs w:val="20"/>
                <w:lang w:eastAsia="en-AU"/>
              </w:rPr>
              <w:t>49,243</w:t>
            </w:r>
            <w:r w:rsidRPr="00717CC4">
              <w:rPr>
                <w:rFonts w:ascii="Calibri" w:eastAsia="Times New Roman" w:hAnsi="Calibri" w:cs="Calibri"/>
                <w:color w:val="000000"/>
                <w:szCs w:val="20"/>
                <w:lang w:eastAsia="en-AU"/>
              </w:rPr>
              <w:t xml:space="preserve"> </w:t>
            </w:r>
          </w:p>
        </w:tc>
        <w:tc>
          <w:tcPr>
            <w:tcW w:w="2552" w:type="dxa"/>
            <w:noWrap/>
            <w:hideMark/>
          </w:tcPr>
          <w:p w14:paraId="7FED5AF7" w14:textId="0EE71F99" w:rsidR="00BA3129" w:rsidRPr="00717CC4" w:rsidRDefault="00BA3129" w:rsidP="00BA3129">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w:t>
            </w:r>
            <w:r w:rsidR="00045DF7" w:rsidRPr="00717CC4">
              <w:rPr>
                <w:rFonts w:ascii="Calibri" w:eastAsia="Times New Roman" w:hAnsi="Calibri" w:cs="Calibri"/>
                <w:color w:val="000000"/>
                <w:szCs w:val="20"/>
                <w:lang w:eastAsia="en-AU"/>
              </w:rPr>
              <w:t>82,</w:t>
            </w:r>
            <w:r w:rsidR="00F5063E" w:rsidRPr="00717CC4">
              <w:rPr>
                <w:rFonts w:ascii="Calibri" w:eastAsia="Times New Roman" w:hAnsi="Calibri" w:cs="Calibri"/>
                <w:color w:val="000000"/>
                <w:szCs w:val="20"/>
                <w:lang w:eastAsia="en-AU"/>
              </w:rPr>
              <w:t>071</w:t>
            </w:r>
            <w:r w:rsidRPr="00717CC4">
              <w:rPr>
                <w:rFonts w:ascii="Calibri" w:eastAsia="Times New Roman" w:hAnsi="Calibri" w:cs="Calibri"/>
                <w:color w:val="000000"/>
                <w:szCs w:val="20"/>
                <w:lang w:eastAsia="en-AU"/>
              </w:rPr>
              <w:t xml:space="preserve"> </w:t>
            </w:r>
          </w:p>
        </w:tc>
      </w:tr>
      <w:tr w:rsidR="00BA3129" w:rsidRPr="00BA3129" w14:paraId="6761369B" w14:textId="77777777" w:rsidTr="005A0DB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8A485B7" w14:textId="77777777" w:rsidR="00BA3129" w:rsidRPr="00045DF7" w:rsidRDefault="00BA3129" w:rsidP="00BA3129">
            <w:pPr>
              <w:spacing w:before="0" w:after="0"/>
              <w:rPr>
                <w:rFonts w:ascii="Calibri" w:eastAsia="Times New Roman" w:hAnsi="Calibri" w:cs="Calibri"/>
                <w:color w:val="000000"/>
                <w:szCs w:val="20"/>
                <w:lang w:eastAsia="en-AU"/>
              </w:rPr>
            </w:pPr>
            <w:r w:rsidRPr="00045DF7">
              <w:rPr>
                <w:rFonts w:ascii="Calibri" w:eastAsia="Times New Roman" w:hAnsi="Calibri" w:cs="Calibri"/>
                <w:color w:val="000000"/>
                <w:szCs w:val="20"/>
                <w:lang w:eastAsia="en-AU"/>
              </w:rPr>
              <w:t>Program costs</w:t>
            </w:r>
          </w:p>
        </w:tc>
        <w:tc>
          <w:tcPr>
            <w:tcW w:w="2410" w:type="dxa"/>
            <w:noWrap/>
            <w:hideMark/>
          </w:tcPr>
          <w:p w14:paraId="1AAA8544" w14:textId="01701E4E" w:rsidR="00BA3129" w:rsidRPr="00717CC4" w:rsidRDefault="00BA3129" w:rsidP="00BA3129">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 xml:space="preserve">-$288 </w:t>
            </w:r>
          </w:p>
        </w:tc>
        <w:tc>
          <w:tcPr>
            <w:tcW w:w="2552" w:type="dxa"/>
            <w:noWrap/>
            <w:hideMark/>
          </w:tcPr>
          <w:p w14:paraId="1AC735A2" w14:textId="1C2EE7B8" w:rsidR="00BA3129" w:rsidRPr="00717CC4" w:rsidRDefault="00BA3129" w:rsidP="00BA3129">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0"/>
                <w:lang w:eastAsia="en-AU"/>
              </w:rPr>
            </w:pPr>
            <w:r w:rsidRPr="00717CC4">
              <w:rPr>
                <w:rFonts w:ascii="Calibri" w:eastAsia="Times New Roman" w:hAnsi="Calibri" w:cs="Calibri"/>
                <w:color w:val="000000"/>
                <w:szCs w:val="20"/>
                <w:lang w:eastAsia="en-AU"/>
              </w:rPr>
              <w:t xml:space="preserve">-$481 </w:t>
            </w:r>
          </w:p>
        </w:tc>
      </w:tr>
      <w:tr w:rsidR="00BA3129" w:rsidRPr="00BA3129" w14:paraId="787F8A07" w14:textId="77777777" w:rsidTr="005A0DBB">
        <w:trPr>
          <w:trHeight w:val="288"/>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778BF56" w14:textId="77777777" w:rsidR="00BA3129" w:rsidRPr="00BA3129" w:rsidRDefault="00BA3129" w:rsidP="00BA3129">
            <w:pPr>
              <w:spacing w:before="0" w:after="0"/>
              <w:rPr>
                <w:rFonts w:ascii="Calibri" w:eastAsia="Times New Roman" w:hAnsi="Calibri" w:cs="Calibri"/>
                <w:b w:val="0"/>
                <w:bCs w:val="0"/>
                <w:i/>
                <w:color w:val="000000"/>
                <w:szCs w:val="20"/>
                <w:lang w:eastAsia="en-AU"/>
              </w:rPr>
            </w:pPr>
            <w:r w:rsidRPr="00BA3129">
              <w:rPr>
                <w:rFonts w:ascii="Calibri" w:eastAsia="Times New Roman" w:hAnsi="Calibri" w:cs="Calibri"/>
                <w:b w:val="0"/>
                <w:bCs w:val="0"/>
                <w:i/>
                <w:color w:val="000000"/>
                <w:szCs w:val="20"/>
                <w:lang w:eastAsia="en-AU"/>
              </w:rPr>
              <w:t>Net position</w:t>
            </w:r>
          </w:p>
        </w:tc>
        <w:tc>
          <w:tcPr>
            <w:tcW w:w="2410" w:type="dxa"/>
            <w:noWrap/>
            <w:hideMark/>
          </w:tcPr>
          <w:p w14:paraId="0E5116B8" w14:textId="31008FCA" w:rsidR="00BA3129" w:rsidRPr="00717CC4" w:rsidRDefault="00BA3129" w:rsidP="00BA3129">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Cs w:val="20"/>
                <w:lang w:eastAsia="en-AU"/>
              </w:rPr>
            </w:pPr>
            <w:r w:rsidRPr="00717CC4">
              <w:rPr>
                <w:rFonts w:ascii="Calibri" w:eastAsia="Times New Roman" w:hAnsi="Calibri" w:cs="Calibri"/>
                <w:b/>
                <w:color w:val="000000"/>
                <w:szCs w:val="20"/>
                <w:lang w:eastAsia="en-AU"/>
              </w:rPr>
              <w:t xml:space="preserve"> $</w:t>
            </w:r>
            <w:r w:rsidR="00045DF7" w:rsidRPr="00717CC4">
              <w:rPr>
                <w:rFonts w:ascii="Calibri" w:eastAsia="Times New Roman" w:hAnsi="Calibri" w:cs="Calibri"/>
                <w:b/>
                <w:color w:val="000000"/>
                <w:szCs w:val="20"/>
                <w:lang w:eastAsia="en-AU"/>
              </w:rPr>
              <w:t>475,876</w:t>
            </w:r>
            <w:r w:rsidRPr="00717CC4">
              <w:rPr>
                <w:rFonts w:ascii="Calibri" w:eastAsia="Times New Roman" w:hAnsi="Calibri" w:cs="Calibri"/>
                <w:b/>
                <w:color w:val="000000"/>
                <w:szCs w:val="20"/>
                <w:lang w:eastAsia="en-AU"/>
              </w:rPr>
              <w:t xml:space="preserve"> </w:t>
            </w:r>
          </w:p>
        </w:tc>
        <w:tc>
          <w:tcPr>
            <w:tcW w:w="2552" w:type="dxa"/>
            <w:noWrap/>
            <w:hideMark/>
          </w:tcPr>
          <w:p w14:paraId="57E14777" w14:textId="19FDA49B" w:rsidR="00BA3129" w:rsidRPr="00717CC4" w:rsidRDefault="00BA3129" w:rsidP="00BA3129">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Cs w:val="20"/>
                <w:lang w:eastAsia="en-AU"/>
              </w:rPr>
            </w:pPr>
            <w:r w:rsidRPr="00717CC4">
              <w:rPr>
                <w:rFonts w:ascii="Calibri" w:eastAsia="Times New Roman" w:hAnsi="Calibri" w:cs="Calibri"/>
                <w:b/>
                <w:color w:val="000000"/>
                <w:szCs w:val="20"/>
                <w:lang w:eastAsia="en-AU"/>
              </w:rPr>
              <w:t xml:space="preserve"> $</w:t>
            </w:r>
            <w:r w:rsidR="0005382C" w:rsidRPr="00717CC4">
              <w:rPr>
                <w:rFonts w:ascii="Calibri" w:eastAsia="Times New Roman" w:hAnsi="Calibri" w:cs="Calibri"/>
                <w:b/>
                <w:color w:val="000000"/>
                <w:szCs w:val="20"/>
                <w:lang w:eastAsia="en-AU"/>
              </w:rPr>
              <w:t>8</w:t>
            </w:r>
            <w:r w:rsidR="00717CC4" w:rsidRPr="00717CC4">
              <w:rPr>
                <w:rFonts w:ascii="Calibri" w:eastAsia="Times New Roman" w:hAnsi="Calibri" w:cs="Calibri"/>
                <w:b/>
                <w:color w:val="000000"/>
                <w:szCs w:val="20"/>
                <w:lang w:eastAsia="en-AU"/>
              </w:rPr>
              <w:t>99,143</w:t>
            </w:r>
            <w:r w:rsidRPr="00717CC4">
              <w:rPr>
                <w:rFonts w:ascii="Calibri" w:eastAsia="Times New Roman" w:hAnsi="Calibri" w:cs="Calibri"/>
                <w:b/>
                <w:color w:val="000000"/>
                <w:szCs w:val="20"/>
                <w:lang w:eastAsia="en-AU"/>
              </w:rPr>
              <w:t xml:space="preserve"> </w:t>
            </w:r>
          </w:p>
        </w:tc>
      </w:tr>
    </w:tbl>
    <w:p w14:paraId="4F8005F9"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56873E8C" w14:textId="42BA7ED4" w:rsidR="00347CD8" w:rsidRPr="00412269" w:rsidRDefault="00347CD8" w:rsidP="00412269">
      <w:pPr>
        <w:pStyle w:val="Heading2"/>
        <w:numPr>
          <w:ilvl w:val="0"/>
          <w:numId w:val="0"/>
        </w:numPr>
        <w:ind w:left="576"/>
      </w:pPr>
      <w:bookmarkStart w:id="319" w:name="_Toc162535471"/>
      <w:bookmarkStart w:id="320" w:name="_Table_35:_Data"/>
      <w:bookmarkEnd w:id="320"/>
      <w:r w:rsidRPr="00412269">
        <w:t xml:space="preserve">Table </w:t>
      </w:r>
      <w:r w:rsidRPr="00412269">
        <w:fldChar w:fldCharType="begin"/>
      </w:r>
      <w:r w:rsidRPr="00412269">
        <w:instrText xml:space="preserve"> SEQ Table \* ARABIC </w:instrText>
      </w:r>
      <w:r w:rsidRPr="00412269">
        <w:fldChar w:fldCharType="separate"/>
      </w:r>
      <w:r w:rsidR="00D24A06" w:rsidRPr="00412269">
        <w:t>35</w:t>
      </w:r>
      <w:r w:rsidRPr="00412269">
        <w:fldChar w:fldCharType="end"/>
      </w:r>
      <w:r w:rsidRPr="00412269">
        <w:t xml:space="preserve">: Data for </w:t>
      </w:r>
      <w:r w:rsidR="00894349" w:rsidRPr="00412269">
        <w:fldChar w:fldCharType="begin" w:fldLock="1"/>
      </w:r>
      <w:r w:rsidR="00894349" w:rsidRPr="00412269">
        <w:instrText xml:space="preserve"> REF _Ref136423104 \h </w:instrText>
      </w:r>
      <w:r w:rsidR="00E00D31" w:rsidRPr="00412269">
        <w:instrText xml:space="preserve"> \* MERGEFORMAT </w:instrText>
      </w:r>
      <w:r w:rsidR="00894349" w:rsidRPr="00412269">
        <w:fldChar w:fldCharType="separate"/>
      </w:r>
      <w:r w:rsidR="00894349" w:rsidRPr="00412269">
        <w:t>Figure 5</w:t>
      </w:r>
      <w:r w:rsidR="00894349" w:rsidRPr="00412269">
        <w:fldChar w:fldCharType="end"/>
      </w:r>
      <w:r w:rsidR="00894349" w:rsidRPr="00412269">
        <w:t xml:space="preserve"> </w:t>
      </w:r>
      <w:r w:rsidRPr="00412269">
        <w:t>-</w:t>
      </w:r>
      <w:r w:rsidR="00894349" w:rsidRPr="00412269">
        <w:t xml:space="preserve"> </w:t>
      </w:r>
      <w:r w:rsidR="00622E3A" w:rsidRPr="00412269">
        <w:t xml:space="preserve">2020 Non-residential Building </w:t>
      </w:r>
      <w:proofErr w:type="spellStart"/>
      <w:r w:rsidR="00622E3A" w:rsidRPr="00412269">
        <w:t>GFA</w:t>
      </w:r>
      <w:proofErr w:type="spellEnd"/>
      <w:r w:rsidR="00622E3A" w:rsidRPr="00412269">
        <w:t xml:space="preserve"> by Space Use Type</w:t>
      </w:r>
      <w:bookmarkEnd w:id="319"/>
    </w:p>
    <w:tbl>
      <w:tblPr>
        <w:tblStyle w:val="PlainTable1"/>
        <w:tblW w:w="6941" w:type="dxa"/>
        <w:tblLook w:val="04A0" w:firstRow="1" w:lastRow="0" w:firstColumn="1" w:lastColumn="0" w:noHBand="0" w:noVBand="1"/>
      </w:tblPr>
      <w:tblGrid>
        <w:gridCol w:w="4900"/>
        <w:gridCol w:w="2041"/>
      </w:tblGrid>
      <w:tr w:rsidR="00580C58" w:rsidRPr="00580C58" w14:paraId="7D040ED8" w14:textId="77777777" w:rsidTr="00580C5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18FDF52" w14:textId="77777777" w:rsidR="00580C58" w:rsidRPr="00580C58" w:rsidRDefault="00580C58" w:rsidP="00580C58">
            <w:pPr>
              <w:spacing w:before="0" w:after="0"/>
              <w:rPr>
                <w:rFonts w:asciiTheme="minorHAnsi" w:eastAsia="Times New Roman" w:hAnsiTheme="minorHAnsi" w:cstheme="minorHAnsi"/>
                <w:color w:val="auto"/>
                <w:szCs w:val="20"/>
                <w:lang w:eastAsia="en-AU"/>
              </w:rPr>
            </w:pPr>
            <w:r w:rsidRPr="00580C58">
              <w:rPr>
                <w:rFonts w:asciiTheme="minorHAnsi" w:eastAsia="Times New Roman" w:hAnsiTheme="minorHAnsi" w:cstheme="minorHAnsi"/>
                <w:color w:val="auto"/>
                <w:szCs w:val="20"/>
                <w:lang w:eastAsia="en-AU"/>
              </w:rPr>
              <w:t>Gross Floor Area by Space Use Type</w:t>
            </w:r>
          </w:p>
        </w:tc>
        <w:tc>
          <w:tcPr>
            <w:tcW w:w="2041" w:type="dxa"/>
            <w:noWrap/>
            <w:hideMark/>
          </w:tcPr>
          <w:p w14:paraId="07770B95" w14:textId="0B65EDB7" w:rsidR="00580C58" w:rsidRPr="006E4B7C" w:rsidRDefault="00580C58" w:rsidP="00580C58">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Cs w:val="20"/>
                <w:lang w:eastAsia="en-AU"/>
              </w:rPr>
            </w:pPr>
            <w:r w:rsidRPr="006E4B7C">
              <w:rPr>
                <w:rFonts w:asciiTheme="minorHAnsi" w:eastAsia="Times New Roman" w:hAnsiTheme="minorHAnsi" w:cstheme="minorHAnsi"/>
                <w:color w:val="auto"/>
                <w:szCs w:val="20"/>
                <w:lang w:eastAsia="en-AU"/>
              </w:rPr>
              <w:t>Proportion of total</w:t>
            </w:r>
          </w:p>
        </w:tc>
      </w:tr>
      <w:tr w:rsidR="00580C58" w:rsidRPr="00580C58" w14:paraId="2C2FD916"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1FBA7742" w14:textId="77777777" w:rsidR="00580C58" w:rsidRPr="00580C58" w:rsidRDefault="00580C58" w:rsidP="00580C58">
            <w:pPr>
              <w:spacing w:before="0" w:after="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Offices</w:t>
            </w:r>
          </w:p>
        </w:tc>
        <w:tc>
          <w:tcPr>
            <w:tcW w:w="2041" w:type="dxa"/>
            <w:noWrap/>
            <w:hideMark/>
          </w:tcPr>
          <w:p w14:paraId="4F7DE7BB"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19%</w:t>
            </w:r>
          </w:p>
        </w:tc>
      </w:tr>
      <w:tr w:rsidR="00580C58" w:rsidRPr="00580C58" w14:paraId="68A8B832" w14:textId="77777777" w:rsidTr="00580C58">
        <w:trPr>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42A7E6E7"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Warehouses</w:t>
            </w:r>
          </w:p>
        </w:tc>
        <w:tc>
          <w:tcPr>
            <w:tcW w:w="2041" w:type="dxa"/>
            <w:noWrap/>
            <w:hideMark/>
          </w:tcPr>
          <w:p w14:paraId="3E51F174" w14:textId="77777777" w:rsidR="00580C58" w:rsidRPr="00580C58" w:rsidRDefault="00580C58" w:rsidP="00580C58">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16%</w:t>
            </w:r>
          </w:p>
        </w:tc>
      </w:tr>
      <w:tr w:rsidR="00580C58" w:rsidRPr="00580C58" w14:paraId="46981315"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BAF33D3"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Transport buildings</w:t>
            </w:r>
          </w:p>
        </w:tc>
        <w:tc>
          <w:tcPr>
            <w:tcW w:w="2041" w:type="dxa"/>
            <w:noWrap/>
            <w:hideMark/>
          </w:tcPr>
          <w:p w14:paraId="7B640170"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12%</w:t>
            </w:r>
          </w:p>
        </w:tc>
      </w:tr>
      <w:tr w:rsidR="00580C58" w:rsidRPr="00580C58" w14:paraId="43D97629" w14:textId="77777777" w:rsidTr="00580C58">
        <w:trPr>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320EDF6"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Retail and wholesale trade buildings</w:t>
            </w:r>
          </w:p>
        </w:tc>
        <w:tc>
          <w:tcPr>
            <w:tcW w:w="2041" w:type="dxa"/>
            <w:noWrap/>
            <w:hideMark/>
          </w:tcPr>
          <w:p w14:paraId="3155CE56" w14:textId="77777777" w:rsidR="00580C58" w:rsidRPr="00580C58" w:rsidRDefault="00580C58" w:rsidP="00580C58">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9%</w:t>
            </w:r>
          </w:p>
        </w:tc>
      </w:tr>
      <w:tr w:rsidR="00580C58" w:rsidRPr="00580C58" w14:paraId="619394BE"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896D039"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Factories and other secondary production buildings</w:t>
            </w:r>
          </w:p>
        </w:tc>
        <w:tc>
          <w:tcPr>
            <w:tcW w:w="2041" w:type="dxa"/>
            <w:noWrap/>
            <w:hideMark/>
          </w:tcPr>
          <w:p w14:paraId="1CBEDF92"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9%</w:t>
            </w:r>
          </w:p>
        </w:tc>
      </w:tr>
      <w:tr w:rsidR="00580C58" w:rsidRPr="00580C58" w14:paraId="2432B9AE" w14:textId="77777777" w:rsidTr="00580C58">
        <w:trPr>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5BE1968"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Entertainment and recreation buildings</w:t>
            </w:r>
          </w:p>
        </w:tc>
        <w:tc>
          <w:tcPr>
            <w:tcW w:w="2041" w:type="dxa"/>
            <w:noWrap/>
            <w:hideMark/>
          </w:tcPr>
          <w:p w14:paraId="18E1A990" w14:textId="77777777" w:rsidR="00580C58" w:rsidRPr="00580C58" w:rsidRDefault="00580C58" w:rsidP="00580C58">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8%</w:t>
            </w:r>
          </w:p>
        </w:tc>
      </w:tr>
      <w:tr w:rsidR="00580C58" w:rsidRPr="00580C58" w14:paraId="3BEC4E6C"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4909FCCF"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Short term accommodation buildings</w:t>
            </w:r>
          </w:p>
        </w:tc>
        <w:tc>
          <w:tcPr>
            <w:tcW w:w="2041" w:type="dxa"/>
            <w:noWrap/>
            <w:hideMark/>
          </w:tcPr>
          <w:p w14:paraId="1F347EAC"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6%</w:t>
            </w:r>
          </w:p>
        </w:tc>
      </w:tr>
      <w:tr w:rsidR="00580C58" w:rsidRPr="00580C58" w14:paraId="500D22B0" w14:textId="77777777" w:rsidTr="00580C58">
        <w:trPr>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3895914"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lastRenderedPageBreak/>
              <w:t>Agricultural and aquacultural buildings</w:t>
            </w:r>
          </w:p>
        </w:tc>
        <w:tc>
          <w:tcPr>
            <w:tcW w:w="2041" w:type="dxa"/>
            <w:noWrap/>
            <w:hideMark/>
          </w:tcPr>
          <w:p w14:paraId="772B37EB" w14:textId="77777777" w:rsidR="00580C58" w:rsidRPr="00580C58" w:rsidRDefault="00580C58" w:rsidP="00580C58">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4%</w:t>
            </w:r>
          </w:p>
        </w:tc>
      </w:tr>
      <w:tr w:rsidR="00580C58" w:rsidRPr="00580C58" w14:paraId="7C2F0F5F"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2F89E91"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Education buildings</w:t>
            </w:r>
          </w:p>
        </w:tc>
        <w:tc>
          <w:tcPr>
            <w:tcW w:w="2041" w:type="dxa"/>
            <w:noWrap/>
            <w:hideMark/>
          </w:tcPr>
          <w:p w14:paraId="36E7F858"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3%</w:t>
            </w:r>
          </w:p>
        </w:tc>
      </w:tr>
      <w:tr w:rsidR="00580C58" w:rsidRPr="00580C58" w14:paraId="7BCA8AC2" w14:textId="77777777" w:rsidTr="00580C58">
        <w:trPr>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46DB3B0"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 xml:space="preserve">Non-residential buildings </w:t>
            </w:r>
            <w:proofErr w:type="spellStart"/>
            <w:r w:rsidRPr="00580C58">
              <w:rPr>
                <w:rFonts w:asciiTheme="minorHAnsi" w:eastAsia="Times New Roman" w:hAnsiTheme="minorHAnsi" w:cstheme="minorHAnsi"/>
                <w:b w:val="0"/>
                <w:bCs w:val="0"/>
                <w:color w:val="000000"/>
                <w:szCs w:val="20"/>
                <w:lang w:eastAsia="en-AU"/>
              </w:rPr>
              <w:t>nec</w:t>
            </w:r>
            <w:proofErr w:type="spellEnd"/>
          </w:p>
        </w:tc>
        <w:tc>
          <w:tcPr>
            <w:tcW w:w="2041" w:type="dxa"/>
            <w:noWrap/>
            <w:hideMark/>
          </w:tcPr>
          <w:p w14:paraId="6F932A4C" w14:textId="77777777" w:rsidR="00580C58" w:rsidRPr="00580C58" w:rsidRDefault="00580C58" w:rsidP="00580C58">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3%</w:t>
            </w:r>
          </w:p>
        </w:tc>
      </w:tr>
      <w:tr w:rsidR="00580C58" w:rsidRPr="00580C58" w14:paraId="330F931E"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43A3D13"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 xml:space="preserve">Other industrial buildings </w:t>
            </w:r>
            <w:proofErr w:type="spellStart"/>
            <w:r w:rsidRPr="00580C58">
              <w:rPr>
                <w:rFonts w:asciiTheme="minorHAnsi" w:eastAsia="Times New Roman" w:hAnsiTheme="minorHAnsi" w:cstheme="minorHAnsi"/>
                <w:b w:val="0"/>
                <w:bCs w:val="0"/>
                <w:color w:val="000000"/>
                <w:szCs w:val="20"/>
                <w:lang w:eastAsia="en-AU"/>
              </w:rPr>
              <w:t>nec</w:t>
            </w:r>
            <w:proofErr w:type="spellEnd"/>
          </w:p>
        </w:tc>
        <w:tc>
          <w:tcPr>
            <w:tcW w:w="2041" w:type="dxa"/>
            <w:noWrap/>
            <w:hideMark/>
          </w:tcPr>
          <w:p w14:paraId="6945BA79"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3%</w:t>
            </w:r>
          </w:p>
        </w:tc>
      </w:tr>
      <w:tr w:rsidR="00580C58" w:rsidRPr="00580C58" w14:paraId="55909EFB" w14:textId="77777777" w:rsidTr="00580C58">
        <w:trPr>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78BB399"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Aged care facilities (including nursing homes)</w:t>
            </w:r>
          </w:p>
        </w:tc>
        <w:tc>
          <w:tcPr>
            <w:tcW w:w="2041" w:type="dxa"/>
            <w:noWrap/>
            <w:hideMark/>
          </w:tcPr>
          <w:p w14:paraId="4575DC48" w14:textId="77777777" w:rsidR="00580C58" w:rsidRPr="00580C58" w:rsidRDefault="00580C58" w:rsidP="00580C58">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2%</w:t>
            </w:r>
          </w:p>
        </w:tc>
      </w:tr>
      <w:tr w:rsidR="00580C58" w:rsidRPr="00580C58" w14:paraId="294AEC23"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82FE172"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Religion buildings</w:t>
            </w:r>
          </w:p>
        </w:tc>
        <w:tc>
          <w:tcPr>
            <w:tcW w:w="2041" w:type="dxa"/>
            <w:noWrap/>
            <w:hideMark/>
          </w:tcPr>
          <w:p w14:paraId="4FE89938"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2%</w:t>
            </w:r>
          </w:p>
        </w:tc>
      </w:tr>
      <w:tr w:rsidR="00580C58" w:rsidRPr="00580C58" w14:paraId="27A1670B" w14:textId="77777777" w:rsidTr="00580C58">
        <w:trPr>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A51B8AE"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Health facilities</w:t>
            </w:r>
          </w:p>
        </w:tc>
        <w:tc>
          <w:tcPr>
            <w:tcW w:w="2041" w:type="dxa"/>
            <w:noWrap/>
            <w:hideMark/>
          </w:tcPr>
          <w:p w14:paraId="6C26CD5D" w14:textId="77777777" w:rsidR="00580C58" w:rsidRPr="00580C58" w:rsidRDefault="00580C58" w:rsidP="00580C58">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1%</w:t>
            </w:r>
          </w:p>
        </w:tc>
      </w:tr>
      <w:tr w:rsidR="00580C58" w:rsidRPr="00580C58" w14:paraId="33673529" w14:textId="77777777" w:rsidTr="00580C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5FAC704" w14:textId="77777777" w:rsidR="00580C58" w:rsidRPr="00580C58" w:rsidRDefault="00580C58" w:rsidP="00580C58">
            <w:pPr>
              <w:spacing w:before="0" w:after="0"/>
              <w:rPr>
                <w:rFonts w:asciiTheme="minorHAnsi" w:eastAsia="Times New Roman" w:hAnsiTheme="minorHAnsi" w:cstheme="minorHAnsi"/>
                <w:b w:val="0"/>
                <w:bCs w:val="0"/>
                <w:color w:val="000000"/>
                <w:szCs w:val="20"/>
                <w:lang w:eastAsia="en-AU"/>
              </w:rPr>
            </w:pPr>
            <w:r w:rsidRPr="00580C58">
              <w:rPr>
                <w:rFonts w:asciiTheme="minorHAnsi" w:eastAsia="Times New Roman" w:hAnsiTheme="minorHAnsi" w:cstheme="minorHAnsi"/>
                <w:b w:val="0"/>
                <w:bCs w:val="0"/>
                <w:color w:val="000000"/>
                <w:szCs w:val="20"/>
                <w:lang w:eastAsia="en-AU"/>
              </w:rPr>
              <w:t xml:space="preserve">Commercial buildings </w:t>
            </w:r>
            <w:proofErr w:type="spellStart"/>
            <w:r w:rsidRPr="00580C58">
              <w:rPr>
                <w:rFonts w:asciiTheme="minorHAnsi" w:eastAsia="Times New Roman" w:hAnsiTheme="minorHAnsi" w:cstheme="minorHAnsi"/>
                <w:b w:val="0"/>
                <w:bCs w:val="0"/>
                <w:color w:val="000000"/>
                <w:szCs w:val="20"/>
                <w:lang w:eastAsia="en-AU"/>
              </w:rPr>
              <w:t>nec</w:t>
            </w:r>
            <w:proofErr w:type="spellEnd"/>
          </w:p>
        </w:tc>
        <w:tc>
          <w:tcPr>
            <w:tcW w:w="2041" w:type="dxa"/>
            <w:noWrap/>
            <w:hideMark/>
          </w:tcPr>
          <w:p w14:paraId="30B1E33C" w14:textId="77777777" w:rsidR="00580C58" w:rsidRPr="00580C58" w:rsidRDefault="00580C58" w:rsidP="00580C58">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580C58">
              <w:rPr>
                <w:rFonts w:asciiTheme="minorHAnsi" w:eastAsia="Times New Roman" w:hAnsiTheme="minorHAnsi" w:cstheme="minorHAnsi"/>
                <w:color w:val="000000"/>
                <w:szCs w:val="20"/>
                <w:lang w:eastAsia="en-AU"/>
              </w:rPr>
              <w:t>1%</w:t>
            </w:r>
          </w:p>
        </w:tc>
      </w:tr>
    </w:tbl>
    <w:p w14:paraId="632040CA"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68124613" w14:textId="6C6720A2" w:rsidR="009F16B4" w:rsidRPr="00412269" w:rsidRDefault="009F16B4" w:rsidP="00412269">
      <w:pPr>
        <w:pStyle w:val="Heading2"/>
        <w:numPr>
          <w:ilvl w:val="0"/>
          <w:numId w:val="0"/>
        </w:numPr>
        <w:ind w:left="576"/>
      </w:pPr>
      <w:bookmarkStart w:id="321" w:name="_Toc162535472"/>
      <w:bookmarkStart w:id="322" w:name="_Table_36:_Data"/>
      <w:bookmarkEnd w:id="322"/>
      <w:r w:rsidRPr="00412269">
        <w:t xml:space="preserve">Table </w:t>
      </w:r>
      <w:r w:rsidRPr="00412269">
        <w:fldChar w:fldCharType="begin"/>
      </w:r>
      <w:r w:rsidRPr="00412269">
        <w:instrText xml:space="preserve"> SEQ Table \* ARABIC </w:instrText>
      </w:r>
      <w:r w:rsidRPr="00412269">
        <w:fldChar w:fldCharType="separate"/>
      </w:r>
      <w:r w:rsidR="00D24A06" w:rsidRPr="00412269">
        <w:t>36</w:t>
      </w:r>
      <w:r w:rsidRPr="00412269">
        <w:fldChar w:fldCharType="end"/>
      </w:r>
      <w:r w:rsidRPr="00412269">
        <w:t xml:space="preserve">: Data for </w:t>
      </w:r>
      <w:r w:rsidR="00894349" w:rsidRPr="00412269">
        <w:fldChar w:fldCharType="begin" w:fldLock="1"/>
      </w:r>
      <w:r w:rsidR="00894349" w:rsidRPr="00412269">
        <w:instrText xml:space="preserve"> REF _Ref157675667 \h </w:instrText>
      </w:r>
      <w:r w:rsidR="00E00D31" w:rsidRPr="00412269">
        <w:instrText xml:space="preserve"> \* MERGEFORMAT </w:instrText>
      </w:r>
      <w:r w:rsidR="00894349" w:rsidRPr="00412269">
        <w:fldChar w:fldCharType="separate"/>
      </w:r>
      <w:r w:rsidR="00894349" w:rsidRPr="00412269">
        <w:t>Figure 6</w:t>
      </w:r>
      <w:r w:rsidR="00894349" w:rsidRPr="00412269">
        <w:fldChar w:fldCharType="end"/>
      </w:r>
      <w:r w:rsidR="00894349" w:rsidRPr="00412269">
        <w:t xml:space="preserve"> </w:t>
      </w:r>
      <w:r w:rsidRPr="00412269">
        <w:t>-</w:t>
      </w:r>
      <w:r w:rsidR="00894349" w:rsidRPr="00412269">
        <w:t xml:space="preserve"> </w:t>
      </w:r>
      <w:r w:rsidR="00BC6832" w:rsidRPr="00412269">
        <w:t>2020 Non-residential Building Total Energy Consumption by Space Use Type</w:t>
      </w:r>
      <w:bookmarkEnd w:id="321"/>
    </w:p>
    <w:tbl>
      <w:tblPr>
        <w:tblStyle w:val="PlainTable1"/>
        <w:tblW w:w="6931" w:type="dxa"/>
        <w:tblLook w:val="04A0" w:firstRow="1" w:lastRow="0" w:firstColumn="1" w:lastColumn="0" w:noHBand="0" w:noVBand="1"/>
      </w:tblPr>
      <w:tblGrid>
        <w:gridCol w:w="5720"/>
        <w:gridCol w:w="1211"/>
      </w:tblGrid>
      <w:tr w:rsidR="009F16B4" w:rsidRPr="009F16B4" w14:paraId="0D6E8658" w14:textId="77777777" w:rsidTr="009F16B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5F468E24"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Total Electricity Consumption by Space Use Type</w:t>
            </w:r>
          </w:p>
        </w:tc>
        <w:tc>
          <w:tcPr>
            <w:tcW w:w="1211" w:type="dxa"/>
            <w:noWrap/>
            <w:hideMark/>
          </w:tcPr>
          <w:p w14:paraId="7DAA6841" w14:textId="6FA6ED04" w:rsidR="009F16B4" w:rsidRPr="009F16B4" w:rsidRDefault="009F16B4" w:rsidP="009F16B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5D05E2">
              <w:rPr>
                <w:rFonts w:ascii="Calibri" w:eastAsia="Times New Roman" w:hAnsi="Calibri" w:cs="Calibri"/>
                <w:color w:val="auto"/>
                <w:szCs w:val="20"/>
                <w:lang w:eastAsia="en-AU"/>
              </w:rPr>
              <w:t>Proportion</w:t>
            </w:r>
          </w:p>
        </w:tc>
      </w:tr>
      <w:tr w:rsidR="009F16B4" w:rsidRPr="009F16B4" w14:paraId="7F052950"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642493D7"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 xml:space="preserve">Other industrial buildings </w:t>
            </w:r>
            <w:proofErr w:type="spellStart"/>
            <w:r w:rsidRPr="009F16B4">
              <w:rPr>
                <w:rFonts w:ascii="Calibri" w:eastAsia="Times New Roman" w:hAnsi="Calibri" w:cs="Calibri"/>
                <w:color w:val="auto"/>
                <w:szCs w:val="20"/>
                <w:lang w:eastAsia="en-AU"/>
              </w:rPr>
              <w:t>nec</w:t>
            </w:r>
            <w:proofErr w:type="spellEnd"/>
          </w:p>
        </w:tc>
        <w:tc>
          <w:tcPr>
            <w:tcW w:w="1211" w:type="dxa"/>
            <w:noWrap/>
            <w:hideMark/>
          </w:tcPr>
          <w:p w14:paraId="7CC725E1"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1%</w:t>
            </w:r>
          </w:p>
        </w:tc>
      </w:tr>
      <w:tr w:rsidR="009F16B4" w:rsidRPr="009F16B4" w14:paraId="250E5130" w14:textId="77777777" w:rsidTr="009F16B4">
        <w:trPr>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040ED694"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Religion buildings</w:t>
            </w:r>
          </w:p>
        </w:tc>
        <w:tc>
          <w:tcPr>
            <w:tcW w:w="1211" w:type="dxa"/>
            <w:noWrap/>
            <w:hideMark/>
          </w:tcPr>
          <w:p w14:paraId="7466C130" w14:textId="77777777" w:rsidR="009F16B4" w:rsidRPr="009F16B4" w:rsidRDefault="009F16B4" w:rsidP="009F16B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1%</w:t>
            </w:r>
          </w:p>
        </w:tc>
      </w:tr>
      <w:tr w:rsidR="009F16B4" w:rsidRPr="009F16B4" w14:paraId="0DCF6957"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314D76EE"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 xml:space="preserve">Commercial buildings </w:t>
            </w:r>
            <w:proofErr w:type="spellStart"/>
            <w:r w:rsidRPr="009F16B4">
              <w:rPr>
                <w:rFonts w:ascii="Calibri" w:eastAsia="Times New Roman" w:hAnsi="Calibri" w:cs="Calibri"/>
                <w:color w:val="auto"/>
                <w:szCs w:val="20"/>
                <w:lang w:eastAsia="en-AU"/>
              </w:rPr>
              <w:t>nec</w:t>
            </w:r>
            <w:proofErr w:type="spellEnd"/>
          </w:p>
        </w:tc>
        <w:tc>
          <w:tcPr>
            <w:tcW w:w="1211" w:type="dxa"/>
            <w:noWrap/>
            <w:hideMark/>
          </w:tcPr>
          <w:p w14:paraId="1C79F597"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1%</w:t>
            </w:r>
          </w:p>
        </w:tc>
      </w:tr>
      <w:tr w:rsidR="009F16B4" w:rsidRPr="009F16B4" w14:paraId="08CECB9E" w14:textId="77777777" w:rsidTr="009F16B4">
        <w:trPr>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6908ED05"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Education buildings</w:t>
            </w:r>
          </w:p>
        </w:tc>
        <w:tc>
          <w:tcPr>
            <w:tcW w:w="1211" w:type="dxa"/>
            <w:noWrap/>
            <w:hideMark/>
          </w:tcPr>
          <w:p w14:paraId="578AF466" w14:textId="77777777" w:rsidR="009F16B4" w:rsidRPr="009F16B4" w:rsidRDefault="009F16B4" w:rsidP="009F16B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2%</w:t>
            </w:r>
          </w:p>
        </w:tc>
      </w:tr>
      <w:tr w:rsidR="009F16B4" w:rsidRPr="009F16B4" w14:paraId="6BDFE149"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006628B8"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Agricultural and aquacultural buildings</w:t>
            </w:r>
          </w:p>
        </w:tc>
        <w:tc>
          <w:tcPr>
            <w:tcW w:w="1211" w:type="dxa"/>
            <w:noWrap/>
            <w:hideMark/>
          </w:tcPr>
          <w:p w14:paraId="0820C2DA"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2%</w:t>
            </w:r>
          </w:p>
        </w:tc>
      </w:tr>
      <w:tr w:rsidR="009F16B4" w:rsidRPr="009F16B4" w14:paraId="36489072" w14:textId="77777777" w:rsidTr="009F16B4">
        <w:trPr>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06D2A14A"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Transport buildings</w:t>
            </w:r>
          </w:p>
        </w:tc>
        <w:tc>
          <w:tcPr>
            <w:tcW w:w="1211" w:type="dxa"/>
            <w:noWrap/>
            <w:hideMark/>
          </w:tcPr>
          <w:p w14:paraId="73E1BE25" w14:textId="77777777" w:rsidR="009F16B4" w:rsidRPr="009F16B4" w:rsidRDefault="009F16B4" w:rsidP="009F16B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3%</w:t>
            </w:r>
          </w:p>
        </w:tc>
      </w:tr>
      <w:tr w:rsidR="009F16B4" w:rsidRPr="009F16B4" w14:paraId="3C8B73B4"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18DA3AC3"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Factories and other secondary production buildings</w:t>
            </w:r>
          </w:p>
        </w:tc>
        <w:tc>
          <w:tcPr>
            <w:tcW w:w="1211" w:type="dxa"/>
            <w:noWrap/>
            <w:hideMark/>
          </w:tcPr>
          <w:p w14:paraId="17E16279"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3%</w:t>
            </w:r>
          </w:p>
        </w:tc>
      </w:tr>
      <w:tr w:rsidR="009F16B4" w:rsidRPr="009F16B4" w14:paraId="2F2FE55A" w14:textId="77777777" w:rsidTr="009F16B4">
        <w:trPr>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4CE29FA0"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Health facilities</w:t>
            </w:r>
          </w:p>
        </w:tc>
        <w:tc>
          <w:tcPr>
            <w:tcW w:w="1211" w:type="dxa"/>
            <w:noWrap/>
            <w:hideMark/>
          </w:tcPr>
          <w:p w14:paraId="3C6FFC54" w14:textId="77777777" w:rsidR="009F16B4" w:rsidRPr="009F16B4" w:rsidRDefault="009F16B4" w:rsidP="009F16B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4%</w:t>
            </w:r>
          </w:p>
        </w:tc>
      </w:tr>
      <w:tr w:rsidR="009F16B4" w:rsidRPr="009F16B4" w14:paraId="4307ABB6"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5B7E886F"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 xml:space="preserve">Non-residential buildings </w:t>
            </w:r>
            <w:proofErr w:type="spellStart"/>
            <w:r w:rsidRPr="009F16B4">
              <w:rPr>
                <w:rFonts w:ascii="Calibri" w:eastAsia="Times New Roman" w:hAnsi="Calibri" w:cs="Calibri"/>
                <w:color w:val="auto"/>
                <w:szCs w:val="20"/>
                <w:lang w:eastAsia="en-AU"/>
              </w:rPr>
              <w:t>nec</w:t>
            </w:r>
            <w:proofErr w:type="spellEnd"/>
          </w:p>
        </w:tc>
        <w:tc>
          <w:tcPr>
            <w:tcW w:w="1211" w:type="dxa"/>
            <w:noWrap/>
            <w:hideMark/>
          </w:tcPr>
          <w:p w14:paraId="0DC11322"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4%</w:t>
            </w:r>
          </w:p>
        </w:tc>
      </w:tr>
      <w:tr w:rsidR="009F16B4" w:rsidRPr="009F16B4" w14:paraId="2160ADB9" w14:textId="77777777" w:rsidTr="009F16B4">
        <w:trPr>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18532CFA"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Aged care facilities (including nursing homes)</w:t>
            </w:r>
          </w:p>
        </w:tc>
        <w:tc>
          <w:tcPr>
            <w:tcW w:w="1211" w:type="dxa"/>
            <w:noWrap/>
            <w:hideMark/>
          </w:tcPr>
          <w:p w14:paraId="4473967A" w14:textId="77777777" w:rsidR="009F16B4" w:rsidRPr="009F16B4" w:rsidRDefault="009F16B4" w:rsidP="009F16B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6%</w:t>
            </w:r>
          </w:p>
        </w:tc>
      </w:tr>
      <w:tr w:rsidR="009F16B4" w:rsidRPr="009F16B4" w14:paraId="61FFD4F5"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14F55F29"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Warehouses</w:t>
            </w:r>
          </w:p>
        </w:tc>
        <w:tc>
          <w:tcPr>
            <w:tcW w:w="1211" w:type="dxa"/>
            <w:noWrap/>
            <w:hideMark/>
          </w:tcPr>
          <w:p w14:paraId="3CF0191A"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6%</w:t>
            </w:r>
          </w:p>
        </w:tc>
      </w:tr>
      <w:tr w:rsidR="009F16B4" w:rsidRPr="009F16B4" w14:paraId="51E18F9E" w14:textId="77777777" w:rsidTr="009F16B4">
        <w:trPr>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2E99A507"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Entertainment and recreation buildings</w:t>
            </w:r>
          </w:p>
        </w:tc>
        <w:tc>
          <w:tcPr>
            <w:tcW w:w="1211" w:type="dxa"/>
            <w:noWrap/>
            <w:hideMark/>
          </w:tcPr>
          <w:p w14:paraId="1FDF3ADA" w14:textId="77777777" w:rsidR="009F16B4" w:rsidRPr="009F16B4" w:rsidRDefault="009F16B4" w:rsidP="009F16B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9%</w:t>
            </w:r>
          </w:p>
        </w:tc>
      </w:tr>
      <w:tr w:rsidR="009F16B4" w:rsidRPr="009F16B4" w14:paraId="6AB1F283"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554F72BE"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Short term accommodation buildings</w:t>
            </w:r>
          </w:p>
        </w:tc>
        <w:tc>
          <w:tcPr>
            <w:tcW w:w="1211" w:type="dxa"/>
            <w:noWrap/>
            <w:hideMark/>
          </w:tcPr>
          <w:p w14:paraId="4F7C32B4"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15%</w:t>
            </w:r>
          </w:p>
        </w:tc>
      </w:tr>
      <w:tr w:rsidR="009F16B4" w:rsidRPr="009F16B4" w14:paraId="718E7B19" w14:textId="77777777" w:rsidTr="009F16B4">
        <w:trPr>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47B18499"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Retail and wholesale trade buildings</w:t>
            </w:r>
          </w:p>
        </w:tc>
        <w:tc>
          <w:tcPr>
            <w:tcW w:w="1211" w:type="dxa"/>
            <w:noWrap/>
            <w:hideMark/>
          </w:tcPr>
          <w:p w14:paraId="1D7D78C2" w14:textId="77777777" w:rsidR="009F16B4" w:rsidRPr="009F16B4" w:rsidRDefault="009F16B4" w:rsidP="009F16B4">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17%</w:t>
            </w:r>
          </w:p>
        </w:tc>
      </w:tr>
      <w:tr w:rsidR="009F16B4" w:rsidRPr="009F16B4" w14:paraId="2FC61942" w14:textId="77777777" w:rsidTr="009F16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20" w:type="dxa"/>
            <w:noWrap/>
            <w:hideMark/>
          </w:tcPr>
          <w:p w14:paraId="02156765" w14:textId="77777777" w:rsidR="009F16B4" w:rsidRPr="009F16B4" w:rsidRDefault="009F16B4" w:rsidP="009F16B4">
            <w:pPr>
              <w:spacing w:before="0" w:after="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Offices</w:t>
            </w:r>
          </w:p>
        </w:tc>
        <w:tc>
          <w:tcPr>
            <w:tcW w:w="1211" w:type="dxa"/>
            <w:noWrap/>
            <w:hideMark/>
          </w:tcPr>
          <w:p w14:paraId="5F3FDB1F" w14:textId="77777777" w:rsidR="009F16B4" w:rsidRPr="009F16B4" w:rsidRDefault="009F16B4" w:rsidP="009F16B4">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auto"/>
                <w:szCs w:val="20"/>
                <w:lang w:eastAsia="en-AU"/>
              </w:rPr>
            </w:pPr>
            <w:r w:rsidRPr="009F16B4">
              <w:rPr>
                <w:rFonts w:ascii="Calibri" w:eastAsia="Times New Roman" w:hAnsi="Calibri" w:cs="Calibri"/>
                <w:color w:val="auto"/>
                <w:szCs w:val="20"/>
                <w:lang w:eastAsia="en-AU"/>
              </w:rPr>
              <w:t>26%</w:t>
            </w:r>
          </w:p>
        </w:tc>
      </w:tr>
    </w:tbl>
    <w:p w14:paraId="6BA4AEB3"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7810FC09" w14:textId="05F58D38" w:rsidR="00BA68DE" w:rsidRPr="00412269" w:rsidRDefault="00BA68DE" w:rsidP="00412269">
      <w:pPr>
        <w:pStyle w:val="Heading2"/>
        <w:numPr>
          <w:ilvl w:val="0"/>
          <w:numId w:val="0"/>
        </w:numPr>
        <w:ind w:left="576"/>
      </w:pPr>
      <w:bookmarkStart w:id="323" w:name="_Toc162535473"/>
      <w:bookmarkStart w:id="324" w:name="_Table_37:_Details"/>
      <w:bookmarkEnd w:id="324"/>
      <w:r w:rsidRPr="00412269">
        <w:t xml:space="preserve">Table </w:t>
      </w:r>
      <w:r w:rsidRPr="00412269">
        <w:fldChar w:fldCharType="begin"/>
      </w:r>
      <w:r w:rsidRPr="00412269">
        <w:instrText xml:space="preserve"> SEQ Table \* ARABIC </w:instrText>
      </w:r>
      <w:r w:rsidRPr="00412269">
        <w:fldChar w:fldCharType="separate"/>
      </w:r>
      <w:r w:rsidR="00D24A06" w:rsidRPr="00412269">
        <w:t>37</w:t>
      </w:r>
      <w:r w:rsidRPr="00412269">
        <w:fldChar w:fldCharType="end"/>
      </w:r>
      <w:r w:rsidRPr="00412269">
        <w:t xml:space="preserve">: Details for </w:t>
      </w:r>
      <w:r w:rsidR="00894349" w:rsidRPr="00412269">
        <w:fldChar w:fldCharType="begin" w:fldLock="1"/>
      </w:r>
      <w:r w:rsidR="00894349" w:rsidRPr="00412269">
        <w:instrText xml:space="preserve"> REF _Ref157675682 \h </w:instrText>
      </w:r>
      <w:r w:rsidR="005C2039" w:rsidRPr="00412269">
        <w:instrText xml:space="preserve"> \* MERGEFORMAT </w:instrText>
      </w:r>
      <w:r w:rsidR="00894349" w:rsidRPr="00412269">
        <w:fldChar w:fldCharType="separate"/>
      </w:r>
      <w:r w:rsidR="00894349" w:rsidRPr="00412269">
        <w:t>Figure 7</w:t>
      </w:r>
      <w:r w:rsidR="00894349" w:rsidRPr="00412269">
        <w:fldChar w:fldCharType="end"/>
      </w:r>
      <w:r w:rsidR="00894349" w:rsidRPr="00412269">
        <w:t xml:space="preserve"> - </w:t>
      </w:r>
      <w:r w:rsidRPr="00412269">
        <w:t xml:space="preserve">Major milestones by state, territory and Australian governments to improve emission </w:t>
      </w:r>
      <w:proofErr w:type="gramStart"/>
      <w:r w:rsidRPr="00412269">
        <w:t>profiles</w:t>
      </w:r>
      <w:bookmarkEnd w:id="323"/>
      <w:proofErr w:type="gramEnd"/>
    </w:p>
    <w:tbl>
      <w:tblPr>
        <w:tblStyle w:val="PlainTable1"/>
        <w:tblW w:w="0" w:type="auto"/>
        <w:tblLook w:val="04A0" w:firstRow="1" w:lastRow="0" w:firstColumn="1" w:lastColumn="0" w:noHBand="0" w:noVBand="1"/>
      </w:tblPr>
      <w:tblGrid>
        <w:gridCol w:w="704"/>
        <w:gridCol w:w="9490"/>
      </w:tblGrid>
      <w:tr w:rsidR="00BA68DE" w14:paraId="1C5C3038" w14:textId="77777777" w:rsidTr="005A0DBB">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704" w:type="dxa"/>
          </w:tcPr>
          <w:p w14:paraId="6B6B1935" w14:textId="7DA19924" w:rsidR="00BA68DE" w:rsidRDefault="00BA68DE">
            <w:pPr>
              <w:spacing w:before="0" w:after="160" w:line="259" w:lineRule="auto"/>
              <w:rPr>
                <w:rFonts w:asciiTheme="minorHAnsi" w:hAnsiTheme="minorHAnsi" w:cstheme="minorHAnsi"/>
                <w:lang w:val="en-GB"/>
              </w:rPr>
            </w:pPr>
            <w:r>
              <w:rPr>
                <w:rFonts w:asciiTheme="minorHAnsi" w:hAnsiTheme="minorHAnsi" w:cstheme="minorHAnsi"/>
                <w:lang w:val="en-GB"/>
              </w:rPr>
              <w:t>Year</w:t>
            </w:r>
          </w:p>
        </w:tc>
        <w:tc>
          <w:tcPr>
            <w:tcW w:w="9490" w:type="dxa"/>
          </w:tcPr>
          <w:p w14:paraId="06B301E4" w14:textId="2B0F8C4E" w:rsidR="00BA68DE" w:rsidRDefault="00BA68DE">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Details</w:t>
            </w:r>
          </w:p>
        </w:tc>
      </w:tr>
      <w:tr w:rsidR="00BA68DE" w14:paraId="137AF61E" w14:textId="77777777" w:rsidTr="005A0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7B28427" w14:textId="27900B7C" w:rsidR="00BA68DE" w:rsidRDefault="004658D5">
            <w:pPr>
              <w:spacing w:before="0" w:after="160" w:line="259" w:lineRule="auto"/>
              <w:rPr>
                <w:rFonts w:asciiTheme="minorHAnsi" w:hAnsiTheme="minorHAnsi" w:cstheme="minorHAnsi"/>
                <w:lang w:val="en-GB"/>
              </w:rPr>
            </w:pPr>
            <w:r>
              <w:rPr>
                <w:rFonts w:asciiTheme="minorHAnsi" w:hAnsiTheme="minorHAnsi" w:cstheme="minorHAnsi"/>
                <w:lang w:val="en-GB"/>
              </w:rPr>
              <w:t>2004</w:t>
            </w:r>
          </w:p>
        </w:tc>
        <w:tc>
          <w:tcPr>
            <w:tcW w:w="9490" w:type="dxa"/>
          </w:tcPr>
          <w:p w14:paraId="36847B4C" w14:textId="7C9AF7F1" w:rsidR="00BA68DE" w:rsidRDefault="00201909" w:rsidP="00201909">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201909">
              <w:rPr>
                <w:rFonts w:asciiTheme="minorHAnsi" w:hAnsiTheme="minorHAnsi" w:cstheme="minorHAnsi"/>
                <w:b/>
                <w:bCs/>
              </w:rPr>
              <w:t>NSW Greenhouse Performance of all Government Office Buildings requires all owned and leased office to be rated</w:t>
            </w:r>
            <w:r w:rsidRPr="00201909">
              <w:rPr>
                <w:rFonts w:asciiTheme="minorHAnsi" w:hAnsiTheme="minorHAnsi" w:cstheme="minorHAnsi"/>
              </w:rPr>
              <w:t>. A milestone in State Government action to take the voluntary NABERS process and legislate a requirement of disclosure. Increase of participation by 377% from 2004 to 2005</w:t>
            </w:r>
          </w:p>
        </w:tc>
      </w:tr>
      <w:tr w:rsidR="00BA68DE" w14:paraId="308B1C27" w14:textId="77777777" w:rsidTr="005A0DBB">
        <w:tc>
          <w:tcPr>
            <w:cnfStyle w:val="001000000000" w:firstRow="0" w:lastRow="0" w:firstColumn="1" w:lastColumn="0" w:oddVBand="0" w:evenVBand="0" w:oddHBand="0" w:evenHBand="0" w:firstRowFirstColumn="0" w:firstRowLastColumn="0" w:lastRowFirstColumn="0" w:lastRowLastColumn="0"/>
            <w:tcW w:w="704" w:type="dxa"/>
          </w:tcPr>
          <w:p w14:paraId="6F4098C3" w14:textId="69A60394" w:rsidR="00BA68DE" w:rsidRDefault="000F3351">
            <w:pPr>
              <w:spacing w:before="0" w:after="160" w:line="259" w:lineRule="auto"/>
              <w:rPr>
                <w:rFonts w:asciiTheme="minorHAnsi" w:hAnsiTheme="minorHAnsi" w:cstheme="minorHAnsi"/>
                <w:lang w:val="en-GB"/>
              </w:rPr>
            </w:pPr>
            <w:r>
              <w:rPr>
                <w:rFonts w:asciiTheme="minorHAnsi" w:hAnsiTheme="minorHAnsi" w:cstheme="minorHAnsi"/>
                <w:lang w:val="en-GB"/>
              </w:rPr>
              <w:t>2007</w:t>
            </w:r>
          </w:p>
        </w:tc>
        <w:tc>
          <w:tcPr>
            <w:tcW w:w="9490" w:type="dxa"/>
          </w:tcPr>
          <w:p w14:paraId="1C317611" w14:textId="289C7006" w:rsidR="00BA68DE" w:rsidRDefault="00683E34" w:rsidP="005A0DBB">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83E34">
              <w:rPr>
                <w:rFonts w:asciiTheme="minorHAnsi" w:hAnsiTheme="minorHAnsi" w:cstheme="minorHAnsi"/>
                <w:b/>
                <w:bCs/>
              </w:rPr>
              <w:t xml:space="preserve">Energy Efficiency in Government Operations </w:t>
            </w:r>
            <w:r w:rsidRPr="00683E34">
              <w:rPr>
                <w:rFonts w:asciiTheme="minorHAnsi" w:hAnsiTheme="minorHAnsi" w:cstheme="minorHAnsi"/>
              </w:rPr>
              <w:t xml:space="preserve">introduced by Commonwealth requiring all owned or leased office spaces rated over 4.5 Stars (2007), followed by </w:t>
            </w:r>
            <w:r w:rsidRPr="00683E34">
              <w:rPr>
                <w:rFonts w:asciiTheme="minorHAnsi" w:hAnsiTheme="minorHAnsi" w:cstheme="minorHAnsi"/>
                <w:b/>
                <w:bCs/>
              </w:rPr>
              <w:t xml:space="preserve">NSW Sustainable Government Policy </w:t>
            </w:r>
            <w:r w:rsidRPr="00683E34">
              <w:rPr>
                <w:rFonts w:asciiTheme="minorHAnsi" w:hAnsiTheme="minorHAnsi" w:cstheme="minorHAnsi"/>
              </w:rPr>
              <w:t>introduced requiring all government owned or leased office spaces to be rate over 4.5 Stars (2008).</w:t>
            </w:r>
            <w:r w:rsidR="005A0DBB">
              <w:rPr>
                <w:rFonts w:asciiTheme="minorHAnsi" w:hAnsiTheme="minorHAnsi" w:cstheme="minorHAnsi"/>
              </w:rPr>
              <w:t xml:space="preserve"> </w:t>
            </w:r>
            <w:r w:rsidRPr="00683E34">
              <w:rPr>
                <w:rFonts w:asciiTheme="minorHAnsi" w:hAnsiTheme="minorHAnsi" w:cstheme="minorHAnsi"/>
              </w:rPr>
              <w:t>Increase of participation by 80% from 2007 to 2008</w:t>
            </w:r>
          </w:p>
        </w:tc>
      </w:tr>
      <w:tr w:rsidR="00BA68DE" w14:paraId="7ABE03CE" w14:textId="77777777" w:rsidTr="005A0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3C3E3ED" w14:textId="0C7EA15B" w:rsidR="00BA68DE" w:rsidRDefault="000F3351">
            <w:pPr>
              <w:spacing w:before="0" w:after="160" w:line="259" w:lineRule="auto"/>
              <w:rPr>
                <w:rFonts w:asciiTheme="minorHAnsi" w:hAnsiTheme="minorHAnsi" w:cstheme="minorHAnsi"/>
                <w:lang w:val="en-GB"/>
              </w:rPr>
            </w:pPr>
            <w:r>
              <w:rPr>
                <w:rFonts w:asciiTheme="minorHAnsi" w:hAnsiTheme="minorHAnsi" w:cstheme="minorHAnsi"/>
                <w:lang w:val="en-GB"/>
              </w:rPr>
              <w:t>2010</w:t>
            </w:r>
          </w:p>
        </w:tc>
        <w:tc>
          <w:tcPr>
            <w:tcW w:w="9490" w:type="dxa"/>
          </w:tcPr>
          <w:p w14:paraId="6D0BDA2E" w14:textId="310FFEAA" w:rsidR="00BA68DE" w:rsidRPr="001D255E" w:rsidRDefault="001D255E" w:rsidP="005A0DBB">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255E">
              <w:rPr>
                <w:rFonts w:asciiTheme="minorHAnsi" w:hAnsiTheme="minorHAnsi" w:cstheme="minorHAnsi"/>
                <w:b/>
                <w:bCs/>
              </w:rPr>
              <w:t xml:space="preserve">Commercial Building Disclosure </w:t>
            </w:r>
            <w:r w:rsidRPr="001D255E">
              <w:rPr>
                <w:rFonts w:asciiTheme="minorHAnsi" w:hAnsiTheme="minorHAnsi" w:cstheme="minorHAnsi"/>
              </w:rPr>
              <w:t>introduced the mandatory reporting of NABERS ratings for all commercial office buildings over 2,000 sqm that were available for lease or sale. A significant milestone which resulted in participation in NABERS increasing from 505 assessments in 2010 to 1143 in 2011 (+</w:t>
            </w:r>
            <w:r w:rsidRPr="001D255E">
              <w:rPr>
                <w:rFonts w:asciiTheme="minorHAnsi" w:hAnsiTheme="minorHAnsi" w:cstheme="minorHAnsi"/>
                <w:b/>
                <w:bCs/>
              </w:rPr>
              <w:t>126%</w:t>
            </w:r>
            <w:r w:rsidRPr="001D255E">
              <w:rPr>
                <w:rFonts w:asciiTheme="minorHAnsi" w:hAnsiTheme="minorHAnsi" w:cstheme="minorHAnsi"/>
              </w:rPr>
              <w:t>).</w:t>
            </w:r>
          </w:p>
        </w:tc>
      </w:tr>
      <w:tr w:rsidR="00BA68DE" w14:paraId="4FA77A56" w14:textId="77777777" w:rsidTr="005A0DBB">
        <w:tc>
          <w:tcPr>
            <w:cnfStyle w:val="001000000000" w:firstRow="0" w:lastRow="0" w:firstColumn="1" w:lastColumn="0" w:oddVBand="0" w:evenVBand="0" w:oddHBand="0" w:evenHBand="0" w:firstRowFirstColumn="0" w:firstRowLastColumn="0" w:lastRowFirstColumn="0" w:lastRowLastColumn="0"/>
            <w:tcW w:w="704" w:type="dxa"/>
          </w:tcPr>
          <w:p w14:paraId="66A4E1A8" w14:textId="131D08F3" w:rsidR="00BA68DE" w:rsidRDefault="000F3351">
            <w:pPr>
              <w:spacing w:before="0" w:after="160" w:line="259" w:lineRule="auto"/>
              <w:rPr>
                <w:rFonts w:asciiTheme="minorHAnsi" w:hAnsiTheme="minorHAnsi" w:cstheme="minorHAnsi"/>
                <w:lang w:val="en-GB"/>
              </w:rPr>
            </w:pPr>
            <w:r>
              <w:rPr>
                <w:rFonts w:asciiTheme="minorHAnsi" w:hAnsiTheme="minorHAnsi" w:cstheme="minorHAnsi"/>
                <w:lang w:val="en-GB"/>
              </w:rPr>
              <w:lastRenderedPageBreak/>
              <w:t>2018</w:t>
            </w:r>
          </w:p>
        </w:tc>
        <w:tc>
          <w:tcPr>
            <w:tcW w:w="9490" w:type="dxa"/>
          </w:tcPr>
          <w:p w14:paraId="5E71D28E" w14:textId="63525655" w:rsidR="00BA68DE" w:rsidRPr="001D255E" w:rsidRDefault="001D255E" w:rsidP="005A0DBB">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55E">
              <w:rPr>
                <w:rFonts w:asciiTheme="minorHAnsi" w:hAnsiTheme="minorHAnsi" w:cstheme="minorHAnsi"/>
              </w:rPr>
              <w:t xml:space="preserve">The threshold for commercial offices was lowered from 2,000 sqm to 1,000 sqm to capture significantly more buildings at point of sale or lease. NABERS ratings increased by </w:t>
            </w:r>
            <w:r w:rsidRPr="001D255E">
              <w:rPr>
                <w:rFonts w:asciiTheme="minorHAnsi" w:hAnsiTheme="minorHAnsi" w:cstheme="minorHAnsi"/>
                <w:b/>
                <w:bCs/>
              </w:rPr>
              <w:t>18%</w:t>
            </w:r>
            <w:r w:rsidRPr="001D255E">
              <w:rPr>
                <w:rFonts w:asciiTheme="minorHAnsi" w:hAnsiTheme="minorHAnsi" w:cstheme="minorHAnsi"/>
              </w:rPr>
              <w:t xml:space="preserve"> from 2018 to 2019, however, at this stage almost 1,800 offices were being rated each year.</w:t>
            </w:r>
          </w:p>
        </w:tc>
      </w:tr>
      <w:tr w:rsidR="00BA68DE" w14:paraId="6788D514" w14:textId="77777777" w:rsidTr="005A0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70D0C88" w14:textId="0EEEEEEE" w:rsidR="00BA68DE" w:rsidRDefault="000F3351">
            <w:pPr>
              <w:spacing w:before="0" w:after="160" w:line="259" w:lineRule="auto"/>
              <w:rPr>
                <w:rFonts w:asciiTheme="minorHAnsi" w:hAnsiTheme="minorHAnsi" w:cstheme="minorHAnsi"/>
                <w:lang w:val="en-GB"/>
              </w:rPr>
            </w:pPr>
            <w:r>
              <w:rPr>
                <w:rFonts w:asciiTheme="minorHAnsi" w:hAnsiTheme="minorHAnsi" w:cstheme="minorHAnsi"/>
                <w:lang w:val="en-GB"/>
              </w:rPr>
              <w:t>2019</w:t>
            </w:r>
          </w:p>
        </w:tc>
        <w:tc>
          <w:tcPr>
            <w:tcW w:w="9490" w:type="dxa"/>
          </w:tcPr>
          <w:p w14:paraId="7AA6AEB2" w14:textId="40B6E948" w:rsidR="00BA68DE" w:rsidRPr="001D255E" w:rsidRDefault="001D255E" w:rsidP="00E75696">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255E">
              <w:rPr>
                <w:rFonts w:asciiTheme="minorHAnsi" w:hAnsiTheme="minorHAnsi" w:cstheme="minorHAnsi"/>
              </w:rPr>
              <w:t xml:space="preserve">In 2019 Federal, State and Territory Energy Ministers agreed on the Trajectory for Low Energy Buildings. Under this Trajectory, the Australian Government is flagged to review the CBD Program every 3 </w:t>
            </w:r>
            <w:proofErr w:type="gramStart"/>
            <w:r w:rsidRPr="001D255E">
              <w:rPr>
                <w:rFonts w:asciiTheme="minorHAnsi" w:hAnsiTheme="minorHAnsi" w:cstheme="minorHAnsi"/>
              </w:rPr>
              <w:t>years, and</w:t>
            </w:r>
            <w:proofErr w:type="gramEnd"/>
            <w:r w:rsidRPr="001D255E">
              <w:rPr>
                <w:rFonts w:asciiTheme="minorHAnsi" w:hAnsiTheme="minorHAnsi" w:cstheme="minorHAnsi"/>
              </w:rPr>
              <w:t xml:space="preserve"> expand its coverage into other commercial building sectors. A follow up 2019 </w:t>
            </w:r>
            <w:hyperlink r:id="rId78" w:history="1">
              <w:r w:rsidRPr="001D255E">
                <w:rPr>
                  <w:rStyle w:val="Hyperlink"/>
                  <w:rFonts w:asciiTheme="minorHAnsi" w:hAnsiTheme="minorHAnsi" w:cstheme="minorHAnsi"/>
                </w:rPr>
                <w:t>report</w:t>
              </w:r>
            </w:hyperlink>
            <w:r w:rsidRPr="001D255E">
              <w:rPr>
                <w:rFonts w:asciiTheme="minorHAnsi" w:hAnsiTheme="minorHAnsi" w:cstheme="minorHAnsi"/>
              </w:rPr>
              <w:t xml:space="preserve"> outlined a number of cost beneficial options for disclosure and minimum energy standards, based on data available at the time.</w:t>
            </w:r>
          </w:p>
        </w:tc>
      </w:tr>
      <w:tr w:rsidR="00BA68DE" w14:paraId="417DDE85" w14:textId="77777777" w:rsidTr="005A0DBB">
        <w:tc>
          <w:tcPr>
            <w:cnfStyle w:val="001000000000" w:firstRow="0" w:lastRow="0" w:firstColumn="1" w:lastColumn="0" w:oddVBand="0" w:evenVBand="0" w:oddHBand="0" w:evenHBand="0" w:firstRowFirstColumn="0" w:firstRowLastColumn="0" w:lastRowFirstColumn="0" w:lastRowLastColumn="0"/>
            <w:tcW w:w="704" w:type="dxa"/>
          </w:tcPr>
          <w:p w14:paraId="07634832" w14:textId="66E710A1" w:rsidR="00BA68DE" w:rsidRDefault="000F3351">
            <w:pPr>
              <w:spacing w:before="0" w:after="160" w:line="259" w:lineRule="auto"/>
              <w:rPr>
                <w:rFonts w:asciiTheme="minorHAnsi" w:hAnsiTheme="minorHAnsi" w:cstheme="minorHAnsi"/>
                <w:lang w:val="en-GB"/>
              </w:rPr>
            </w:pPr>
            <w:r>
              <w:rPr>
                <w:rFonts w:asciiTheme="minorHAnsi" w:hAnsiTheme="minorHAnsi" w:cstheme="minorHAnsi"/>
                <w:lang w:val="en-GB"/>
              </w:rPr>
              <w:t>2022</w:t>
            </w:r>
          </w:p>
        </w:tc>
        <w:tc>
          <w:tcPr>
            <w:tcW w:w="9490" w:type="dxa"/>
          </w:tcPr>
          <w:p w14:paraId="06D5572C" w14:textId="579DDC5F" w:rsidR="00BA68DE" w:rsidRPr="001D255E" w:rsidRDefault="001D255E" w:rsidP="00E75696">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55E">
              <w:rPr>
                <w:rFonts w:asciiTheme="minorHAnsi" w:hAnsiTheme="minorHAnsi" w:cstheme="minorHAnsi"/>
                <w:lang w:val="en-GB"/>
              </w:rPr>
              <w:t xml:space="preserve">The Government committed Australia to a </w:t>
            </w:r>
            <w:r w:rsidRPr="001D255E">
              <w:rPr>
                <w:rFonts w:asciiTheme="minorHAnsi" w:hAnsiTheme="minorHAnsi" w:cstheme="minorHAnsi"/>
                <w:b/>
                <w:bCs/>
                <w:lang w:val="en-GB"/>
              </w:rPr>
              <w:t>43% reduction in greenhouse gas emissions by 2030</w:t>
            </w:r>
            <w:r w:rsidRPr="001D255E">
              <w:rPr>
                <w:rFonts w:asciiTheme="minorHAnsi" w:hAnsiTheme="minorHAnsi" w:cstheme="minorHAnsi"/>
                <w:lang w:val="en-GB"/>
              </w:rPr>
              <w:t>. These targets are legislated as binding under the Climate Change Act 2022 (</w:t>
            </w:r>
            <w:proofErr w:type="spellStart"/>
            <w:r w:rsidRPr="001D255E">
              <w:rPr>
                <w:rFonts w:asciiTheme="minorHAnsi" w:hAnsiTheme="minorHAnsi" w:cstheme="minorHAnsi"/>
                <w:lang w:val="en-GB"/>
              </w:rPr>
              <w:t>Cth</w:t>
            </w:r>
            <w:proofErr w:type="spellEnd"/>
            <w:r w:rsidRPr="001D255E">
              <w:rPr>
                <w:rFonts w:asciiTheme="minorHAnsi" w:hAnsiTheme="minorHAnsi" w:cstheme="minorHAnsi"/>
                <w:lang w:val="en-GB"/>
              </w:rPr>
              <w:t xml:space="preserve">). </w:t>
            </w:r>
            <w:r w:rsidRPr="001D255E">
              <w:rPr>
                <w:rFonts w:asciiTheme="minorHAnsi" w:hAnsiTheme="minorHAnsi" w:cstheme="minorHAnsi"/>
              </w:rPr>
              <w:t>The objective of the Building Energy Efficiency Disclosure Act 2010 (</w:t>
            </w:r>
            <w:proofErr w:type="spellStart"/>
            <w:r w:rsidRPr="001D255E">
              <w:rPr>
                <w:rFonts w:asciiTheme="minorHAnsi" w:hAnsiTheme="minorHAnsi" w:cstheme="minorHAnsi"/>
              </w:rPr>
              <w:t>Cth</w:t>
            </w:r>
            <w:proofErr w:type="spellEnd"/>
            <w:r w:rsidRPr="001D255E">
              <w:rPr>
                <w:rFonts w:asciiTheme="minorHAnsi" w:hAnsiTheme="minorHAnsi" w:cstheme="minorHAnsi"/>
              </w:rPr>
              <w:t xml:space="preserve">) was subsequently amended to promote disclosure of energy efficiency information of buildings, and to contribute to the achievement of Australia’s emissions reduction targets. The Government committed to reduce </w:t>
            </w:r>
            <w:r w:rsidRPr="001D255E">
              <w:rPr>
                <w:rFonts w:asciiTheme="minorHAnsi" w:hAnsiTheme="minorHAnsi" w:cstheme="minorHAnsi"/>
                <w:b/>
                <w:bCs/>
              </w:rPr>
              <w:t xml:space="preserve">APS emissions to net zero by 2030 </w:t>
            </w:r>
            <w:r w:rsidRPr="001D255E">
              <w:rPr>
                <w:rFonts w:asciiTheme="minorHAnsi" w:hAnsiTheme="minorHAnsi" w:cstheme="minorHAnsi"/>
              </w:rPr>
              <w:t>(defence and security agencies exempt). This policy will see a significant effort and enterprise changes from APS.</w:t>
            </w:r>
          </w:p>
        </w:tc>
      </w:tr>
      <w:tr w:rsidR="00BA68DE" w14:paraId="1757B66A" w14:textId="77777777" w:rsidTr="005A0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4CE5C40" w14:textId="66F2A7F2" w:rsidR="00BA68DE" w:rsidRDefault="000F3351">
            <w:pPr>
              <w:spacing w:before="0" w:after="160" w:line="259" w:lineRule="auto"/>
              <w:rPr>
                <w:rFonts w:asciiTheme="minorHAnsi" w:hAnsiTheme="minorHAnsi" w:cstheme="minorHAnsi"/>
                <w:lang w:val="en-GB"/>
              </w:rPr>
            </w:pPr>
            <w:r>
              <w:rPr>
                <w:rFonts w:asciiTheme="minorHAnsi" w:hAnsiTheme="minorHAnsi" w:cstheme="minorHAnsi"/>
                <w:lang w:val="en-GB"/>
              </w:rPr>
              <w:t>2023</w:t>
            </w:r>
          </w:p>
        </w:tc>
        <w:tc>
          <w:tcPr>
            <w:tcW w:w="9490" w:type="dxa"/>
          </w:tcPr>
          <w:p w14:paraId="4BB5C51D" w14:textId="772FD132" w:rsidR="00BA68DE" w:rsidRPr="000F3351" w:rsidRDefault="000F3351">
            <w:pPr>
              <w:spacing w:before="0"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351">
              <w:rPr>
                <w:rFonts w:asciiTheme="minorHAnsi" w:hAnsiTheme="minorHAnsi" w:cstheme="minorHAnsi"/>
              </w:rPr>
              <w:t xml:space="preserve">The Australian Government is drafting a </w:t>
            </w:r>
            <w:r w:rsidRPr="000F3351">
              <w:rPr>
                <w:rFonts w:asciiTheme="minorHAnsi" w:hAnsiTheme="minorHAnsi" w:cstheme="minorHAnsi"/>
                <w:b/>
                <w:bCs/>
              </w:rPr>
              <w:t xml:space="preserve">National Energy Performance Strategy </w:t>
            </w:r>
            <w:r w:rsidRPr="000F3351">
              <w:rPr>
                <w:rFonts w:asciiTheme="minorHAnsi" w:hAnsiTheme="minorHAnsi" w:cstheme="minorHAnsi"/>
              </w:rPr>
              <w:t xml:space="preserve">which focuses on energy efficiency, load shifting, fuel switching and behaviour change. The </w:t>
            </w:r>
            <w:hyperlink r:id="rId79" w:history="1">
              <w:r w:rsidRPr="000F3351">
                <w:rPr>
                  <w:rStyle w:val="Hyperlink"/>
                  <w:rFonts w:asciiTheme="minorHAnsi" w:hAnsiTheme="minorHAnsi" w:cstheme="minorHAnsi"/>
                </w:rPr>
                <w:t>consultation paper</w:t>
              </w:r>
            </w:hyperlink>
            <w:r w:rsidRPr="000F3351">
              <w:rPr>
                <w:rFonts w:asciiTheme="minorHAnsi" w:hAnsiTheme="minorHAnsi" w:cstheme="minorHAnsi"/>
              </w:rPr>
              <w:t xml:space="preserve"> commercial section has a focus on building, asking the question ‘what are the key opportunities to improve the energy performance of new and existing commercial buildings and operations?’.</w:t>
            </w:r>
          </w:p>
        </w:tc>
      </w:tr>
    </w:tbl>
    <w:p w14:paraId="791C69F8"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368CA0AA" w14:textId="7EF30876" w:rsidR="006B48A4" w:rsidRPr="00412269" w:rsidRDefault="006B48A4" w:rsidP="00412269">
      <w:pPr>
        <w:pStyle w:val="Heading2"/>
        <w:numPr>
          <w:ilvl w:val="0"/>
          <w:numId w:val="0"/>
        </w:numPr>
        <w:ind w:left="576"/>
      </w:pPr>
      <w:bookmarkStart w:id="325" w:name="_Toc162535474"/>
      <w:bookmarkStart w:id="326" w:name="_Table_38:_Data"/>
      <w:bookmarkEnd w:id="326"/>
      <w:r w:rsidRPr="00412269">
        <w:t xml:space="preserve">Table </w:t>
      </w:r>
      <w:r w:rsidRPr="00412269">
        <w:fldChar w:fldCharType="begin"/>
      </w:r>
      <w:r w:rsidRPr="00412269">
        <w:instrText xml:space="preserve"> SEQ Table \* ARABIC </w:instrText>
      </w:r>
      <w:r w:rsidRPr="00412269">
        <w:fldChar w:fldCharType="separate"/>
      </w:r>
      <w:r w:rsidR="00D24A06" w:rsidRPr="00412269">
        <w:t>38</w:t>
      </w:r>
      <w:r w:rsidRPr="00412269">
        <w:fldChar w:fldCharType="end"/>
      </w:r>
      <w:r w:rsidRPr="00412269">
        <w:t xml:space="preserve">: Data for </w:t>
      </w:r>
      <w:r w:rsidR="00894349" w:rsidRPr="00412269">
        <w:fldChar w:fldCharType="begin" w:fldLock="1"/>
      </w:r>
      <w:r w:rsidR="00894349" w:rsidRPr="00412269">
        <w:instrText xml:space="preserve"> REF _Ref157675695 \h </w:instrText>
      </w:r>
      <w:r w:rsidR="00E21B0A" w:rsidRPr="00412269">
        <w:instrText xml:space="preserve"> \* MERGEFORMAT </w:instrText>
      </w:r>
      <w:r w:rsidR="00894349" w:rsidRPr="00412269">
        <w:fldChar w:fldCharType="separate"/>
      </w:r>
      <w:r w:rsidR="00894349" w:rsidRPr="00412269">
        <w:t>Figure 8</w:t>
      </w:r>
      <w:r w:rsidR="00894349" w:rsidRPr="00412269">
        <w:fldChar w:fldCharType="end"/>
      </w:r>
      <w:r w:rsidR="00894349" w:rsidRPr="00412269">
        <w:t xml:space="preserve"> </w:t>
      </w:r>
      <w:r w:rsidRPr="00412269">
        <w:t>- Average Energy Intensity Across for All Non-residential Building Space Use Types and Total Greenhouse Gas Emissions for Non-Residential Building Space Use Types, 2012 to 2020</w:t>
      </w:r>
      <w:bookmarkEnd w:id="325"/>
    </w:p>
    <w:tbl>
      <w:tblPr>
        <w:tblStyle w:val="PlainTable1"/>
        <w:tblW w:w="9402" w:type="dxa"/>
        <w:tblLook w:val="04A0" w:firstRow="1" w:lastRow="0" w:firstColumn="1" w:lastColumn="0" w:noHBand="0" w:noVBand="1"/>
      </w:tblPr>
      <w:tblGrid>
        <w:gridCol w:w="2415"/>
        <w:gridCol w:w="663"/>
        <w:gridCol w:w="663"/>
        <w:gridCol w:w="663"/>
        <w:gridCol w:w="1120"/>
        <w:gridCol w:w="663"/>
        <w:gridCol w:w="896"/>
        <w:gridCol w:w="664"/>
        <w:gridCol w:w="992"/>
        <w:gridCol w:w="663"/>
      </w:tblGrid>
      <w:tr w:rsidR="00455B13" w:rsidRPr="00455B13" w14:paraId="110B2A0B" w14:textId="77777777" w:rsidTr="00AA4A3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5" w:type="dxa"/>
            <w:noWrap/>
            <w:hideMark/>
          </w:tcPr>
          <w:p w14:paraId="58FDB544" w14:textId="77777777" w:rsidR="00455B13" w:rsidRPr="00455B13" w:rsidRDefault="00455B13" w:rsidP="00455B13">
            <w:pPr>
              <w:spacing w:before="0" w:after="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Year</w:t>
            </w:r>
          </w:p>
        </w:tc>
        <w:tc>
          <w:tcPr>
            <w:tcW w:w="663" w:type="dxa"/>
            <w:noWrap/>
            <w:hideMark/>
          </w:tcPr>
          <w:p w14:paraId="181FDC54"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2012</w:t>
            </w:r>
          </w:p>
        </w:tc>
        <w:tc>
          <w:tcPr>
            <w:tcW w:w="663" w:type="dxa"/>
            <w:noWrap/>
            <w:hideMark/>
          </w:tcPr>
          <w:p w14:paraId="19544834"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2013</w:t>
            </w:r>
          </w:p>
        </w:tc>
        <w:tc>
          <w:tcPr>
            <w:tcW w:w="663" w:type="dxa"/>
            <w:noWrap/>
            <w:hideMark/>
          </w:tcPr>
          <w:p w14:paraId="5162A385"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2014</w:t>
            </w:r>
          </w:p>
        </w:tc>
        <w:tc>
          <w:tcPr>
            <w:tcW w:w="1120" w:type="dxa"/>
            <w:noWrap/>
            <w:hideMark/>
          </w:tcPr>
          <w:p w14:paraId="5027FABC"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2015</w:t>
            </w:r>
          </w:p>
        </w:tc>
        <w:tc>
          <w:tcPr>
            <w:tcW w:w="663" w:type="dxa"/>
            <w:noWrap/>
            <w:hideMark/>
          </w:tcPr>
          <w:p w14:paraId="28CADAD6"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2016</w:t>
            </w:r>
          </w:p>
        </w:tc>
        <w:tc>
          <w:tcPr>
            <w:tcW w:w="896" w:type="dxa"/>
            <w:noWrap/>
            <w:hideMark/>
          </w:tcPr>
          <w:p w14:paraId="093A03BC"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2017</w:t>
            </w:r>
          </w:p>
        </w:tc>
        <w:tc>
          <w:tcPr>
            <w:tcW w:w="664" w:type="dxa"/>
            <w:noWrap/>
            <w:hideMark/>
          </w:tcPr>
          <w:p w14:paraId="11ADFB6C"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2018</w:t>
            </w:r>
          </w:p>
        </w:tc>
        <w:tc>
          <w:tcPr>
            <w:tcW w:w="992" w:type="dxa"/>
            <w:noWrap/>
            <w:hideMark/>
          </w:tcPr>
          <w:p w14:paraId="5A931395"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2019</w:t>
            </w:r>
          </w:p>
        </w:tc>
        <w:tc>
          <w:tcPr>
            <w:tcW w:w="663" w:type="dxa"/>
            <w:noWrap/>
            <w:hideMark/>
          </w:tcPr>
          <w:p w14:paraId="5763218E" w14:textId="77777777" w:rsidR="00455B13" w:rsidRPr="00455B13" w:rsidRDefault="00455B13" w:rsidP="00455B13">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2020</w:t>
            </w:r>
          </w:p>
        </w:tc>
      </w:tr>
      <w:tr w:rsidR="00455B13" w:rsidRPr="00455B13" w14:paraId="40BB62CE" w14:textId="77777777" w:rsidTr="00E279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5" w:type="dxa"/>
            <w:noWrap/>
            <w:hideMark/>
          </w:tcPr>
          <w:p w14:paraId="4846AF52" w14:textId="10193162" w:rsidR="00455B13" w:rsidRPr="00455B13" w:rsidRDefault="00AD05DA" w:rsidP="00455B13">
            <w:pPr>
              <w:spacing w:before="0" w:after="0"/>
              <w:rPr>
                <w:rFonts w:ascii="Calibri" w:eastAsia="Times New Roman" w:hAnsi="Calibri" w:cs="Calibri"/>
                <w:color w:val="000000"/>
                <w:sz w:val="22"/>
                <w:lang w:eastAsia="en-AU"/>
              </w:rPr>
            </w:pPr>
            <w:r>
              <w:rPr>
                <w:rFonts w:ascii="Calibri" w:eastAsia="Times New Roman" w:hAnsi="Calibri" w:cs="Calibri"/>
                <w:b w:val="0"/>
                <w:bCs w:val="0"/>
                <w:color w:val="000000"/>
                <w:sz w:val="22"/>
                <w:lang w:eastAsia="en-AU"/>
              </w:rPr>
              <w:t>Total Greenhouse Gas Emissions for All non-</w:t>
            </w:r>
            <w:r w:rsidRPr="00F9798F">
              <w:rPr>
                <w:rFonts w:ascii="Calibri" w:eastAsia="Times New Roman" w:hAnsi="Calibri" w:cs="Calibri"/>
                <w:b w:val="0"/>
                <w:bCs w:val="0"/>
                <w:color w:val="000000"/>
                <w:sz w:val="22"/>
                <w:lang w:eastAsia="en-AU"/>
              </w:rPr>
              <w:t>residential Buildings (</w:t>
            </w:r>
            <w:r w:rsidR="00455B13" w:rsidRPr="00455B13">
              <w:rPr>
                <w:rFonts w:ascii="Calibri" w:eastAsia="Times New Roman" w:hAnsi="Calibri" w:cs="Calibri"/>
                <w:b w:val="0"/>
                <w:bCs w:val="0"/>
                <w:color w:val="000000"/>
                <w:sz w:val="22"/>
                <w:lang w:eastAsia="en-AU"/>
              </w:rPr>
              <w:t>Mt CO</w:t>
            </w:r>
            <w:r w:rsidR="00455B13" w:rsidRPr="00455B13">
              <w:rPr>
                <w:rFonts w:ascii="Calibri" w:eastAsia="Times New Roman" w:hAnsi="Calibri" w:cs="Calibri"/>
                <w:b w:val="0"/>
                <w:bCs w:val="0"/>
                <w:color w:val="000000"/>
                <w:sz w:val="22"/>
                <w:vertAlign w:val="superscript"/>
                <w:lang w:eastAsia="en-AU"/>
              </w:rPr>
              <w:t>2</w:t>
            </w:r>
            <w:r w:rsidR="00455B13" w:rsidRPr="00455B13">
              <w:rPr>
                <w:rFonts w:ascii="Calibri" w:eastAsia="Times New Roman" w:hAnsi="Calibri" w:cs="Calibri"/>
                <w:b w:val="0"/>
                <w:bCs w:val="0"/>
                <w:color w:val="000000"/>
                <w:sz w:val="22"/>
                <w:lang w:eastAsia="en-AU"/>
              </w:rPr>
              <w:t>-e</w:t>
            </w:r>
            <w:r w:rsidRPr="00F9798F">
              <w:rPr>
                <w:rFonts w:ascii="Calibri" w:eastAsia="Times New Roman" w:hAnsi="Calibri" w:cs="Calibri"/>
                <w:b w:val="0"/>
                <w:bCs w:val="0"/>
                <w:color w:val="000000"/>
                <w:sz w:val="22"/>
                <w:lang w:eastAsia="en-AU"/>
              </w:rPr>
              <w:t>)</w:t>
            </w:r>
          </w:p>
        </w:tc>
        <w:tc>
          <w:tcPr>
            <w:tcW w:w="663" w:type="dxa"/>
            <w:noWrap/>
            <w:vAlign w:val="center"/>
            <w:hideMark/>
          </w:tcPr>
          <w:p w14:paraId="5AC0BC79"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52.7</w:t>
            </w:r>
          </w:p>
        </w:tc>
        <w:tc>
          <w:tcPr>
            <w:tcW w:w="663" w:type="dxa"/>
            <w:noWrap/>
            <w:vAlign w:val="center"/>
            <w:hideMark/>
          </w:tcPr>
          <w:p w14:paraId="2F0B4613"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51.8</w:t>
            </w:r>
          </w:p>
        </w:tc>
        <w:tc>
          <w:tcPr>
            <w:tcW w:w="663" w:type="dxa"/>
            <w:noWrap/>
            <w:vAlign w:val="center"/>
            <w:hideMark/>
          </w:tcPr>
          <w:p w14:paraId="5E8C11C1"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51.4</w:t>
            </w:r>
          </w:p>
        </w:tc>
        <w:tc>
          <w:tcPr>
            <w:tcW w:w="1120" w:type="dxa"/>
            <w:noWrap/>
            <w:vAlign w:val="center"/>
            <w:hideMark/>
          </w:tcPr>
          <w:p w14:paraId="3E920490"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51.2</w:t>
            </w:r>
          </w:p>
        </w:tc>
        <w:tc>
          <w:tcPr>
            <w:tcW w:w="663" w:type="dxa"/>
            <w:noWrap/>
            <w:vAlign w:val="center"/>
            <w:hideMark/>
          </w:tcPr>
          <w:p w14:paraId="02C5CDED"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51.5</w:t>
            </w:r>
          </w:p>
        </w:tc>
        <w:tc>
          <w:tcPr>
            <w:tcW w:w="896" w:type="dxa"/>
            <w:noWrap/>
            <w:vAlign w:val="center"/>
            <w:hideMark/>
          </w:tcPr>
          <w:p w14:paraId="7979A6C1"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51.7</w:t>
            </w:r>
          </w:p>
        </w:tc>
        <w:tc>
          <w:tcPr>
            <w:tcW w:w="664" w:type="dxa"/>
            <w:noWrap/>
            <w:vAlign w:val="center"/>
            <w:hideMark/>
          </w:tcPr>
          <w:p w14:paraId="4AFF3A05"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51.7</w:t>
            </w:r>
          </w:p>
        </w:tc>
        <w:tc>
          <w:tcPr>
            <w:tcW w:w="992" w:type="dxa"/>
            <w:noWrap/>
            <w:vAlign w:val="center"/>
            <w:hideMark/>
          </w:tcPr>
          <w:p w14:paraId="3C619E9E"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51.5</w:t>
            </w:r>
          </w:p>
        </w:tc>
        <w:tc>
          <w:tcPr>
            <w:tcW w:w="663" w:type="dxa"/>
            <w:noWrap/>
            <w:vAlign w:val="center"/>
            <w:hideMark/>
          </w:tcPr>
          <w:p w14:paraId="080EF436" w14:textId="77777777" w:rsidR="00455B13" w:rsidRPr="00455B13" w:rsidRDefault="00455B13"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455B13">
              <w:rPr>
                <w:rFonts w:ascii="Calibri" w:eastAsia="Times New Roman" w:hAnsi="Calibri" w:cs="Calibri"/>
                <w:color w:val="000000"/>
                <w:sz w:val="22"/>
                <w:lang w:eastAsia="en-AU"/>
              </w:rPr>
              <w:t>50.6</w:t>
            </w:r>
          </w:p>
        </w:tc>
      </w:tr>
      <w:tr w:rsidR="00E279C0" w:rsidRPr="00455B13" w14:paraId="33E5750D" w14:textId="77777777" w:rsidTr="00E279C0">
        <w:trPr>
          <w:trHeight w:val="288"/>
        </w:trPr>
        <w:tc>
          <w:tcPr>
            <w:cnfStyle w:val="001000000000" w:firstRow="0" w:lastRow="0" w:firstColumn="1" w:lastColumn="0" w:oddVBand="0" w:evenVBand="0" w:oddHBand="0" w:evenHBand="0" w:firstRowFirstColumn="0" w:firstRowLastColumn="0" w:lastRowFirstColumn="0" w:lastRowLastColumn="0"/>
            <w:tcW w:w="2415" w:type="dxa"/>
            <w:noWrap/>
          </w:tcPr>
          <w:p w14:paraId="6E4987AF" w14:textId="584D1FAD" w:rsidR="00E279C0" w:rsidRDefault="00E279C0" w:rsidP="00E279C0">
            <w:pPr>
              <w:spacing w:before="0" w:after="0"/>
              <w:rPr>
                <w:rFonts w:ascii="Calibri" w:eastAsia="Times New Roman" w:hAnsi="Calibri" w:cs="Calibri"/>
                <w:b w:val="0"/>
                <w:bCs w:val="0"/>
                <w:color w:val="000000"/>
                <w:sz w:val="22"/>
                <w:lang w:eastAsia="en-AU"/>
              </w:rPr>
            </w:pPr>
            <w:r>
              <w:rPr>
                <w:rFonts w:ascii="Calibri" w:eastAsia="Times New Roman" w:hAnsi="Calibri" w:cs="Calibri"/>
                <w:b w:val="0"/>
                <w:bCs w:val="0"/>
                <w:color w:val="000000"/>
                <w:sz w:val="22"/>
                <w:lang w:eastAsia="en-AU"/>
              </w:rPr>
              <w:t>Average electricity intensity for all non-residential buildings (MJ/m</w:t>
            </w:r>
            <w:proofErr w:type="gramStart"/>
            <w:r w:rsidRPr="00F9798F">
              <w:rPr>
                <w:rFonts w:ascii="Calibri" w:eastAsia="Times New Roman" w:hAnsi="Calibri" w:cs="Calibri"/>
                <w:b w:val="0"/>
                <w:bCs w:val="0"/>
                <w:color w:val="000000"/>
                <w:sz w:val="22"/>
                <w:vertAlign w:val="superscript"/>
                <w:lang w:eastAsia="en-AU"/>
              </w:rPr>
              <w:t>2</w:t>
            </w:r>
            <w:r>
              <w:rPr>
                <w:rFonts w:ascii="Calibri" w:eastAsia="Times New Roman" w:hAnsi="Calibri" w:cs="Calibri"/>
                <w:b w:val="0"/>
                <w:bCs w:val="0"/>
                <w:color w:val="000000"/>
                <w:sz w:val="22"/>
                <w:lang w:eastAsia="en-AU"/>
              </w:rPr>
              <w:t>.a</w:t>
            </w:r>
            <w:proofErr w:type="gramEnd"/>
            <w:r>
              <w:rPr>
                <w:rFonts w:ascii="Calibri" w:eastAsia="Times New Roman" w:hAnsi="Calibri" w:cs="Calibri"/>
                <w:b w:val="0"/>
                <w:bCs w:val="0"/>
                <w:color w:val="000000"/>
                <w:sz w:val="22"/>
                <w:lang w:eastAsia="en-AU"/>
              </w:rPr>
              <w:t>)</w:t>
            </w:r>
          </w:p>
        </w:tc>
        <w:tc>
          <w:tcPr>
            <w:tcW w:w="663" w:type="dxa"/>
            <w:noWrap/>
            <w:vAlign w:val="center"/>
          </w:tcPr>
          <w:p w14:paraId="15E7374B" w14:textId="11886A1D"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396</w:t>
            </w:r>
          </w:p>
        </w:tc>
        <w:tc>
          <w:tcPr>
            <w:tcW w:w="663" w:type="dxa"/>
            <w:noWrap/>
            <w:vAlign w:val="center"/>
          </w:tcPr>
          <w:p w14:paraId="6240EF51" w14:textId="395B8A6A"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382</w:t>
            </w:r>
          </w:p>
        </w:tc>
        <w:tc>
          <w:tcPr>
            <w:tcW w:w="663" w:type="dxa"/>
            <w:noWrap/>
            <w:vAlign w:val="center"/>
          </w:tcPr>
          <w:p w14:paraId="7029E3AB" w14:textId="07D9E0F9"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373</w:t>
            </w:r>
          </w:p>
        </w:tc>
        <w:tc>
          <w:tcPr>
            <w:tcW w:w="1120" w:type="dxa"/>
            <w:noWrap/>
            <w:vAlign w:val="center"/>
          </w:tcPr>
          <w:p w14:paraId="121010E2" w14:textId="4C98697A"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368</w:t>
            </w:r>
          </w:p>
        </w:tc>
        <w:tc>
          <w:tcPr>
            <w:tcW w:w="663" w:type="dxa"/>
            <w:noWrap/>
            <w:vAlign w:val="center"/>
          </w:tcPr>
          <w:p w14:paraId="0D646806" w14:textId="0E134FEE"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365</w:t>
            </w:r>
          </w:p>
        </w:tc>
        <w:tc>
          <w:tcPr>
            <w:tcW w:w="896" w:type="dxa"/>
            <w:noWrap/>
            <w:vAlign w:val="center"/>
          </w:tcPr>
          <w:p w14:paraId="5FF77150" w14:textId="15EE1270"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360</w:t>
            </w:r>
          </w:p>
        </w:tc>
        <w:tc>
          <w:tcPr>
            <w:tcW w:w="664" w:type="dxa"/>
            <w:noWrap/>
            <w:vAlign w:val="center"/>
          </w:tcPr>
          <w:p w14:paraId="32C300AD" w14:textId="69461645"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355</w:t>
            </w:r>
          </w:p>
        </w:tc>
        <w:tc>
          <w:tcPr>
            <w:tcW w:w="992" w:type="dxa"/>
            <w:noWrap/>
            <w:vAlign w:val="center"/>
          </w:tcPr>
          <w:p w14:paraId="7DFDB4ED" w14:textId="40D14F20"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349</w:t>
            </w:r>
          </w:p>
        </w:tc>
        <w:tc>
          <w:tcPr>
            <w:tcW w:w="663" w:type="dxa"/>
            <w:noWrap/>
            <w:vAlign w:val="center"/>
          </w:tcPr>
          <w:p w14:paraId="0912DE43" w14:textId="38D55458" w:rsidR="00E279C0" w:rsidRPr="00455B13" w:rsidRDefault="00E279C0" w:rsidP="00E279C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337</w:t>
            </w:r>
          </w:p>
        </w:tc>
      </w:tr>
      <w:tr w:rsidR="00E279C0" w:rsidRPr="00455B13" w14:paraId="59D8B9EB" w14:textId="77777777" w:rsidTr="00E279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15" w:type="dxa"/>
            <w:noWrap/>
          </w:tcPr>
          <w:p w14:paraId="47B85099" w14:textId="21C51F31" w:rsidR="00E279C0" w:rsidRDefault="00E279C0" w:rsidP="00E279C0">
            <w:pPr>
              <w:spacing w:before="0" w:after="0"/>
              <w:rPr>
                <w:rFonts w:ascii="Calibri" w:eastAsia="Times New Roman" w:hAnsi="Calibri" w:cs="Calibri"/>
                <w:b w:val="0"/>
                <w:bCs w:val="0"/>
                <w:color w:val="000000"/>
                <w:sz w:val="22"/>
                <w:lang w:eastAsia="en-AU"/>
              </w:rPr>
            </w:pPr>
            <w:r>
              <w:rPr>
                <w:rFonts w:ascii="Calibri" w:eastAsia="Times New Roman" w:hAnsi="Calibri" w:cs="Calibri"/>
                <w:b w:val="0"/>
                <w:bCs w:val="0"/>
                <w:color w:val="000000"/>
                <w:sz w:val="22"/>
                <w:lang w:eastAsia="en-AU"/>
              </w:rPr>
              <w:t>Average gas intensity for all non-residential buildings (MJ/m</w:t>
            </w:r>
            <w:proofErr w:type="gramStart"/>
            <w:r w:rsidRPr="00F9798F">
              <w:rPr>
                <w:rFonts w:ascii="Calibri" w:eastAsia="Times New Roman" w:hAnsi="Calibri" w:cs="Calibri"/>
                <w:b w:val="0"/>
                <w:bCs w:val="0"/>
                <w:color w:val="000000"/>
                <w:sz w:val="22"/>
                <w:vertAlign w:val="superscript"/>
                <w:lang w:eastAsia="en-AU"/>
              </w:rPr>
              <w:t>2</w:t>
            </w:r>
            <w:r>
              <w:rPr>
                <w:rFonts w:ascii="Calibri" w:eastAsia="Times New Roman" w:hAnsi="Calibri" w:cs="Calibri"/>
                <w:b w:val="0"/>
                <w:bCs w:val="0"/>
                <w:color w:val="000000"/>
                <w:sz w:val="22"/>
                <w:lang w:eastAsia="en-AU"/>
              </w:rPr>
              <w:t>.a</w:t>
            </w:r>
            <w:proofErr w:type="gramEnd"/>
            <w:r>
              <w:rPr>
                <w:rFonts w:ascii="Calibri" w:eastAsia="Times New Roman" w:hAnsi="Calibri" w:cs="Calibri"/>
                <w:b w:val="0"/>
                <w:bCs w:val="0"/>
                <w:color w:val="000000"/>
                <w:sz w:val="22"/>
                <w:lang w:eastAsia="en-AU"/>
              </w:rPr>
              <w:t>)</w:t>
            </w:r>
          </w:p>
        </w:tc>
        <w:tc>
          <w:tcPr>
            <w:tcW w:w="663" w:type="dxa"/>
            <w:noWrap/>
            <w:vAlign w:val="center"/>
          </w:tcPr>
          <w:p w14:paraId="04F8C6A4" w14:textId="6B118603"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60</w:t>
            </w:r>
          </w:p>
        </w:tc>
        <w:tc>
          <w:tcPr>
            <w:tcW w:w="663" w:type="dxa"/>
            <w:noWrap/>
            <w:vAlign w:val="center"/>
          </w:tcPr>
          <w:p w14:paraId="56E938E0" w14:textId="1A4F1D53"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59</w:t>
            </w:r>
          </w:p>
        </w:tc>
        <w:tc>
          <w:tcPr>
            <w:tcW w:w="663" w:type="dxa"/>
            <w:noWrap/>
            <w:vAlign w:val="center"/>
          </w:tcPr>
          <w:p w14:paraId="4C37C529" w14:textId="6824B2EC"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60</w:t>
            </w:r>
          </w:p>
        </w:tc>
        <w:tc>
          <w:tcPr>
            <w:tcW w:w="1120" w:type="dxa"/>
            <w:noWrap/>
            <w:vAlign w:val="center"/>
          </w:tcPr>
          <w:p w14:paraId="1293A34B" w14:textId="62F0E34C"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60</w:t>
            </w:r>
          </w:p>
        </w:tc>
        <w:tc>
          <w:tcPr>
            <w:tcW w:w="663" w:type="dxa"/>
            <w:noWrap/>
            <w:vAlign w:val="center"/>
          </w:tcPr>
          <w:p w14:paraId="44EC2F37" w14:textId="4E4CB319"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60</w:t>
            </w:r>
          </w:p>
        </w:tc>
        <w:tc>
          <w:tcPr>
            <w:tcW w:w="896" w:type="dxa"/>
            <w:noWrap/>
            <w:vAlign w:val="center"/>
          </w:tcPr>
          <w:p w14:paraId="33DC28F3" w14:textId="6F7FB3C6"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60</w:t>
            </w:r>
          </w:p>
        </w:tc>
        <w:tc>
          <w:tcPr>
            <w:tcW w:w="664" w:type="dxa"/>
            <w:noWrap/>
            <w:vAlign w:val="center"/>
          </w:tcPr>
          <w:p w14:paraId="201BAF32" w14:textId="1120B023"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58</w:t>
            </w:r>
          </w:p>
        </w:tc>
        <w:tc>
          <w:tcPr>
            <w:tcW w:w="992" w:type="dxa"/>
            <w:noWrap/>
            <w:vAlign w:val="center"/>
          </w:tcPr>
          <w:p w14:paraId="611CDE7D" w14:textId="2E11F646"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58</w:t>
            </w:r>
          </w:p>
        </w:tc>
        <w:tc>
          <w:tcPr>
            <w:tcW w:w="663" w:type="dxa"/>
            <w:noWrap/>
            <w:vAlign w:val="center"/>
          </w:tcPr>
          <w:p w14:paraId="2B904CA2" w14:textId="0221A0D1" w:rsidR="00E279C0" w:rsidRPr="00455B13" w:rsidRDefault="00E279C0" w:rsidP="00E279C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Pr>
                <w:rFonts w:ascii="Calibri" w:hAnsi="Calibri" w:cs="Calibri"/>
                <w:color w:val="000000"/>
                <w:sz w:val="22"/>
              </w:rPr>
              <w:t>56</w:t>
            </w:r>
          </w:p>
        </w:tc>
      </w:tr>
    </w:tbl>
    <w:p w14:paraId="367A9637"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384B3B7F" w14:textId="591FF347" w:rsidR="00B76E63" w:rsidRPr="00412269" w:rsidRDefault="001A19CA" w:rsidP="00412269">
      <w:pPr>
        <w:pStyle w:val="Heading2"/>
        <w:numPr>
          <w:ilvl w:val="0"/>
          <w:numId w:val="0"/>
        </w:numPr>
        <w:ind w:left="576"/>
      </w:pPr>
      <w:bookmarkStart w:id="327" w:name="_Description_for_Figure"/>
      <w:bookmarkEnd w:id="327"/>
      <w:r w:rsidRPr="00412269">
        <w:t xml:space="preserve">Description for </w:t>
      </w:r>
      <w:r w:rsidR="00E37421" w:rsidRPr="00412269">
        <w:fldChar w:fldCharType="begin" w:fldLock="1"/>
      </w:r>
      <w:r w:rsidR="00E37421" w:rsidRPr="00412269">
        <w:instrText xml:space="preserve"> REF _Ref157674893 \h  \* MERGEFORMAT </w:instrText>
      </w:r>
      <w:r w:rsidR="00E37421" w:rsidRPr="00412269">
        <w:fldChar w:fldCharType="separate"/>
      </w:r>
      <w:r w:rsidR="00E37421" w:rsidRPr="00412269">
        <w:t>Figure 13</w:t>
      </w:r>
      <w:r w:rsidR="00E37421" w:rsidRPr="00412269">
        <w:fldChar w:fldCharType="end"/>
      </w:r>
      <w:r w:rsidR="00B76E63" w:rsidRPr="00412269">
        <w:t>:</w:t>
      </w:r>
    </w:p>
    <w:p w14:paraId="11411767" w14:textId="77777777" w:rsidR="00B76E63" w:rsidRPr="00B76E63" w:rsidRDefault="00B76E63" w:rsidP="00B76E63">
      <w:pPr>
        <w:spacing w:before="0" w:after="160" w:line="259" w:lineRule="auto"/>
        <w:rPr>
          <w:rFonts w:asciiTheme="minorHAnsi" w:hAnsiTheme="minorHAnsi" w:cstheme="minorHAnsi"/>
          <w:lang w:val="en-GB"/>
        </w:rPr>
      </w:pPr>
      <w:r w:rsidRPr="00B76E63">
        <w:rPr>
          <w:rFonts w:asciiTheme="minorHAnsi" w:hAnsiTheme="minorHAnsi" w:cstheme="minorHAnsi"/>
          <w:lang w:val="en-GB"/>
        </w:rPr>
        <w:t>1) Define options</w:t>
      </w:r>
    </w:p>
    <w:p w14:paraId="092B89A9" w14:textId="77777777" w:rsidR="00B76E63" w:rsidRPr="00B76E63" w:rsidRDefault="00B76E63" w:rsidP="00B76E63">
      <w:pPr>
        <w:spacing w:before="0" w:after="160" w:line="259" w:lineRule="auto"/>
        <w:rPr>
          <w:rFonts w:asciiTheme="minorHAnsi" w:hAnsiTheme="minorHAnsi" w:cstheme="minorHAnsi"/>
          <w:lang w:val="en-GB"/>
        </w:rPr>
      </w:pPr>
      <w:r w:rsidRPr="00B76E63">
        <w:rPr>
          <w:rFonts w:asciiTheme="minorHAnsi" w:hAnsiTheme="minorHAnsi" w:cstheme="minorHAnsi"/>
          <w:lang w:val="en-GB"/>
        </w:rPr>
        <w:t xml:space="preserve">2) Tailored sectoral disclosure; Office </w:t>
      </w:r>
      <w:proofErr w:type="spellStart"/>
      <w:r w:rsidRPr="00B76E63">
        <w:rPr>
          <w:rFonts w:asciiTheme="minorHAnsi" w:hAnsiTheme="minorHAnsi" w:cstheme="minorHAnsi"/>
          <w:lang w:val="en-GB"/>
        </w:rPr>
        <w:t>MEPS</w:t>
      </w:r>
      <w:proofErr w:type="spellEnd"/>
      <w:r w:rsidRPr="00B76E63">
        <w:rPr>
          <w:rFonts w:asciiTheme="minorHAnsi" w:hAnsiTheme="minorHAnsi" w:cstheme="minorHAnsi"/>
          <w:lang w:val="en-GB"/>
        </w:rPr>
        <w:t>; Scope 1 disclosure</w:t>
      </w:r>
    </w:p>
    <w:p w14:paraId="664CD78F" w14:textId="77777777" w:rsidR="00B76E63" w:rsidRPr="00B76E63" w:rsidRDefault="00B76E63" w:rsidP="00B76E63">
      <w:pPr>
        <w:spacing w:before="0" w:after="160" w:line="259" w:lineRule="auto"/>
        <w:rPr>
          <w:rFonts w:asciiTheme="minorHAnsi" w:hAnsiTheme="minorHAnsi" w:cstheme="minorHAnsi"/>
          <w:lang w:val="en-GB"/>
        </w:rPr>
      </w:pPr>
      <w:r w:rsidRPr="00B76E63">
        <w:rPr>
          <w:rFonts w:asciiTheme="minorHAnsi" w:hAnsiTheme="minorHAnsi" w:cstheme="minorHAnsi"/>
          <w:lang w:val="en-GB"/>
        </w:rPr>
        <w:t xml:space="preserve">3a) Costs - Costs of upgrades that result from disclosure; Energy efficiency assessments and compliance costs; Program development and enforcement </w:t>
      </w:r>
      <w:proofErr w:type="gramStart"/>
      <w:r w:rsidRPr="00B76E63">
        <w:rPr>
          <w:rFonts w:asciiTheme="minorHAnsi" w:hAnsiTheme="minorHAnsi" w:cstheme="minorHAnsi"/>
          <w:lang w:val="en-GB"/>
        </w:rPr>
        <w:t>costs</w:t>
      </w:r>
      <w:proofErr w:type="gramEnd"/>
    </w:p>
    <w:p w14:paraId="2CF66783" w14:textId="77777777" w:rsidR="00B76E63" w:rsidRPr="00B76E63" w:rsidRDefault="00B76E63" w:rsidP="00B76E63">
      <w:pPr>
        <w:spacing w:before="0" w:after="160" w:line="259" w:lineRule="auto"/>
        <w:rPr>
          <w:rFonts w:asciiTheme="minorHAnsi" w:hAnsiTheme="minorHAnsi" w:cstheme="minorHAnsi"/>
          <w:lang w:val="en-GB"/>
        </w:rPr>
      </w:pPr>
      <w:r w:rsidRPr="00B76E63">
        <w:rPr>
          <w:rFonts w:asciiTheme="minorHAnsi" w:hAnsiTheme="minorHAnsi" w:cstheme="minorHAnsi"/>
          <w:lang w:val="en-GB"/>
        </w:rPr>
        <w:t xml:space="preserve">3b) Benefits - energy savings (bill reductions); Emissions reductions; Reduced operations and maintenance costs; Reduced structural electricity network, system service and wholesale </w:t>
      </w:r>
      <w:proofErr w:type="gramStart"/>
      <w:r w:rsidRPr="00B76E63">
        <w:rPr>
          <w:rFonts w:asciiTheme="minorHAnsi" w:hAnsiTheme="minorHAnsi" w:cstheme="minorHAnsi"/>
          <w:lang w:val="en-GB"/>
        </w:rPr>
        <w:t>costs</w:t>
      </w:r>
      <w:proofErr w:type="gramEnd"/>
    </w:p>
    <w:p w14:paraId="03EDC8E9" w14:textId="77777777" w:rsidR="00B76E63" w:rsidRPr="00B76E63" w:rsidRDefault="00B76E63" w:rsidP="00B76E63">
      <w:pPr>
        <w:spacing w:before="0" w:after="160" w:line="259" w:lineRule="auto"/>
        <w:rPr>
          <w:rFonts w:asciiTheme="minorHAnsi" w:hAnsiTheme="minorHAnsi" w:cstheme="minorHAnsi"/>
          <w:lang w:val="en-GB"/>
        </w:rPr>
      </w:pPr>
      <w:r w:rsidRPr="00B76E63">
        <w:rPr>
          <w:rFonts w:asciiTheme="minorHAnsi" w:hAnsiTheme="minorHAnsi" w:cstheme="minorHAnsi"/>
          <w:lang w:val="en-GB"/>
        </w:rPr>
        <w:t>4a) Net Present Costs</w:t>
      </w:r>
    </w:p>
    <w:p w14:paraId="43B38FF3" w14:textId="54414E96" w:rsidR="00B76E63" w:rsidRDefault="00B76E63" w:rsidP="00B76E63">
      <w:pPr>
        <w:spacing w:before="0" w:after="160" w:line="259" w:lineRule="auto"/>
        <w:rPr>
          <w:rFonts w:asciiTheme="minorHAnsi" w:hAnsiTheme="minorHAnsi" w:cstheme="minorHAnsi"/>
          <w:lang w:val="en-GB"/>
        </w:rPr>
      </w:pPr>
      <w:proofErr w:type="spellStart"/>
      <w:r w:rsidRPr="00B76E63">
        <w:rPr>
          <w:rFonts w:asciiTheme="minorHAnsi" w:hAnsiTheme="minorHAnsi" w:cstheme="minorHAnsi"/>
          <w:lang w:val="en-GB"/>
        </w:rPr>
        <w:t>4b</w:t>
      </w:r>
      <w:proofErr w:type="spellEnd"/>
      <w:r w:rsidRPr="00B76E63">
        <w:rPr>
          <w:rFonts w:asciiTheme="minorHAnsi" w:hAnsiTheme="minorHAnsi" w:cstheme="minorHAnsi"/>
          <w:lang w:val="en-GB"/>
        </w:rPr>
        <w:t>) Net Present Benefits</w:t>
      </w:r>
    </w:p>
    <w:p w14:paraId="0BD2B50F"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6A2120C5" w14:textId="30FD2D43" w:rsidR="00E174E6" w:rsidRPr="00412269" w:rsidRDefault="00E174E6" w:rsidP="00412269">
      <w:pPr>
        <w:pStyle w:val="Heading2"/>
        <w:numPr>
          <w:ilvl w:val="0"/>
          <w:numId w:val="0"/>
        </w:numPr>
        <w:ind w:left="576"/>
      </w:pPr>
      <w:bookmarkStart w:id="328" w:name="_Toc162535475"/>
      <w:bookmarkStart w:id="329" w:name="_Table_39:_Figure"/>
      <w:bookmarkEnd w:id="329"/>
      <w:r w:rsidRPr="00412269">
        <w:t xml:space="preserve">Table </w:t>
      </w:r>
      <w:r w:rsidRPr="00412269">
        <w:fldChar w:fldCharType="begin"/>
      </w:r>
      <w:r w:rsidRPr="00412269">
        <w:instrText xml:space="preserve"> SEQ Table \* ARABIC </w:instrText>
      </w:r>
      <w:r w:rsidRPr="00412269">
        <w:fldChar w:fldCharType="separate"/>
      </w:r>
      <w:r w:rsidR="00D24A06" w:rsidRPr="00412269">
        <w:t>39</w:t>
      </w:r>
      <w:r w:rsidRPr="00412269">
        <w:fldChar w:fldCharType="end"/>
      </w:r>
      <w:r w:rsidRPr="00412269">
        <w:t xml:space="preserve">: </w:t>
      </w:r>
      <w:r w:rsidR="00B03A45" w:rsidRPr="00412269">
        <w:fldChar w:fldCharType="begin" w:fldLock="1"/>
      </w:r>
      <w:r w:rsidR="00B03A45" w:rsidRPr="00412269">
        <w:instrText xml:space="preserve"> REF _Ref157675577 \h </w:instrText>
      </w:r>
      <w:r w:rsidR="00E21B0A" w:rsidRPr="00412269">
        <w:instrText xml:space="preserve"> \* MERGEFORMAT </w:instrText>
      </w:r>
      <w:r w:rsidR="00B03A45" w:rsidRPr="00412269">
        <w:fldChar w:fldCharType="separate"/>
      </w:r>
      <w:r w:rsidR="00B03A45" w:rsidRPr="00412269">
        <w:t>Figure 14</w:t>
      </w:r>
      <w:r w:rsidR="00B03A45" w:rsidRPr="00412269">
        <w:fldChar w:fldCharType="end"/>
      </w:r>
      <w:r w:rsidR="00894349" w:rsidRPr="00412269">
        <w:t xml:space="preserve"> -</w:t>
      </w:r>
      <w:r w:rsidRPr="00412269">
        <w:t xml:space="preserve"> Approximate costs and benefits of Tailored sectorial disclosure policy over 20 years for the average building (Smaller building size assumed)</w:t>
      </w:r>
      <w:bookmarkEnd w:id="328"/>
      <w:r w:rsidRPr="00412269">
        <w:t xml:space="preserve"> </w:t>
      </w:r>
    </w:p>
    <w:tbl>
      <w:tblPr>
        <w:tblStyle w:val="PlainTable1"/>
        <w:tblW w:w="0" w:type="auto"/>
        <w:tblLook w:val="04A0" w:firstRow="1" w:lastRow="0" w:firstColumn="1" w:lastColumn="0" w:noHBand="0" w:noVBand="1"/>
      </w:tblPr>
      <w:tblGrid>
        <w:gridCol w:w="2122"/>
        <w:gridCol w:w="1417"/>
      </w:tblGrid>
      <w:tr w:rsidR="008438BB" w14:paraId="2A5703F1" w14:textId="77777777" w:rsidTr="009F0305">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2" w:type="dxa"/>
          </w:tcPr>
          <w:p w14:paraId="538C326C" w14:textId="4EE7938B" w:rsidR="008438BB" w:rsidRPr="009F0305" w:rsidRDefault="008438BB" w:rsidP="009F0305">
            <w:pPr>
              <w:spacing w:before="0" w:after="160"/>
              <w:rPr>
                <w:rFonts w:asciiTheme="minorHAnsi" w:hAnsiTheme="minorHAnsi" w:cstheme="minorHAnsi"/>
                <w:lang w:val="en-GB"/>
              </w:rPr>
            </w:pPr>
            <w:r w:rsidRPr="009F0305">
              <w:rPr>
                <w:rFonts w:asciiTheme="minorHAnsi" w:hAnsiTheme="minorHAnsi" w:cstheme="minorHAnsi"/>
                <w:lang w:val="en-GB"/>
              </w:rPr>
              <w:t>Component</w:t>
            </w:r>
          </w:p>
        </w:tc>
        <w:tc>
          <w:tcPr>
            <w:tcW w:w="1417" w:type="dxa"/>
          </w:tcPr>
          <w:p w14:paraId="4477286F" w14:textId="2A462C30" w:rsidR="008438BB" w:rsidRPr="009F0305" w:rsidRDefault="009B3E64" w:rsidP="009F0305">
            <w:pPr>
              <w:spacing w:before="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F0305">
              <w:rPr>
                <w:rFonts w:asciiTheme="minorHAnsi" w:hAnsiTheme="minorHAnsi" w:cstheme="minorHAnsi"/>
                <w:lang w:val="en-GB"/>
              </w:rPr>
              <w:t>Cost/Benefit</w:t>
            </w:r>
          </w:p>
        </w:tc>
      </w:tr>
      <w:tr w:rsidR="008438BB" w14:paraId="01DA2FD1" w14:textId="77777777" w:rsidTr="009F030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22" w:type="dxa"/>
          </w:tcPr>
          <w:p w14:paraId="673EF151" w14:textId="4EEBB49F" w:rsidR="008438BB" w:rsidRPr="009F0305" w:rsidRDefault="009B3E64" w:rsidP="009F0305">
            <w:pPr>
              <w:spacing w:before="0" w:after="160"/>
              <w:rPr>
                <w:rFonts w:asciiTheme="minorHAnsi" w:hAnsiTheme="minorHAnsi" w:cstheme="minorHAnsi"/>
                <w:b w:val="0"/>
                <w:bCs w:val="0"/>
                <w:lang w:val="en-GB"/>
              </w:rPr>
            </w:pPr>
            <w:r w:rsidRPr="009F0305">
              <w:rPr>
                <w:rFonts w:asciiTheme="minorHAnsi" w:hAnsiTheme="minorHAnsi" w:cstheme="minorHAnsi"/>
                <w:b w:val="0"/>
                <w:bCs w:val="0"/>
              </w:rPr>
              <w:t xml:space="preserve">Bill Saving </w:t>
            </w:r>
          </w:p>
        </w:tc>
        <w:tc>
          <w:tcPr>
            <w:tcW w:w="1417" w:type="dxa"/>
          </w:tcPr>
          <w:p w14:paraId="74BC962D" w14:textId="61F6FA98" w:rsidR="008438BB" w:rsidRPr="00964717" w:rsidRDefault="009B3E64" w:rsidP="009F0305">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964717">
              <w:rPr>
                <w:rFonts w:asciiTheme="minorHAnsi" w:hAnsiTheme="minorHAnsi" w:cstheme="minorHAnsi"/>
              </w:rPr>
              <w:t>$446,510</w:t>
            </w:r>
          </w:p>
        </w:tc>
      </w:tr>
      <w:tr w:rsidR="008438BB" w14:paraId="208ED0C8" w14:textId="77777777" w:rsidTr="009F0305">
        <w:tc>
          <w:tcPr>
            <w:cnfStyle w:val="001000000000" w:firstRow="0" w:lastRow="0" w:firstColumn="1" w:lastColumn="0" w:oddVBand="0" w:evenVBand="0" w:oddHBand="0" w:evenHBand="0" w:firstRowFirstColumn="0" w:firstRowLastColumn="0" w:lastRowFirstColumn="0" w:lastRowLastColumn="0"/>
            <w:tcW w:w="2122" w:type="dxa"/>
          </w:tcPr>
          <w:p w14:paraId="2A6914F5" w14:textId="7E22729A" w:rsidR="008438BB" w:rsidRPr="009F0305" w:rsidRDefault="009B3E64" w:rsidP="009F0305">
            <w:pPr>
              <w:spacing w:before="0" w:after="160"/>
              <w:rPr>
                <w:rFonts w:asciiTheme="minorHAnsi" w:hAnsiTheme="minorHAnsi" w:cstheme="minorHAnsi"/>
                <w:b w:val="0"/>
                <w:bCs w:val="0"/>
                <w:lang w:val="en-GB"/>
              </w:rPr>
            </w:pPr>
            <w:r w:rsidRPr="009F0305">
              <w:rPr>
                <w:rFonts w:asciiTheme="minorHAnsi" w:hAnsiTheme="minorHAnsi" w:cstheme="minorHAnsi"/>
                <w:b w:val="0"/>
                <w:bCs w:val="0"/>
              </w:rPr>
              <w:t>Emission Saving</w:t>
            </w:r>
          </w:p>
        </w:tc>
        <w:tc>
          <w:tcPr>
            <w:tcW w:w="1417" w:type="dxa"/>
          </w:tcPr>
          <w:p w14:paraId="1C55BF0B" w14:textId="3FDEE468" w:rsidR="008438BB" w:rsidRPr="00964717" w:rsidRDefault="009B3E64" w:rsidP="009F0305">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64717">
              <w:rPr>
                <w:rFonts w:asciiTheme="minorHAnsi" w:hAnsiTheme="minorHAnsi" w:cstheme="minorHAnsi"/>
              </w:rPr>
              <w:t>$208,988</w:t>
            </w:r>
          </w:p>
        </w:tc>
      </w:tr>
      <w:tr w:rsidR="008438BB" w14:paraId="7DB958E9" w14:textId="77777777" w:rsidTr="009F0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EC3C95" w14:textId="1C5011F5" w:rsidR="008438BB" w:rsidRPr="009F0305" w:rsidRDefault="009F0305" w:rsidP="009F0305">
            <w:pPr>
              <w:spacing w:before="0" w:after="160"/>
              <w:rPr>
                <w:rFonts w:asciiTheme="minorHAnsi" w:hAnsiTheme="minorHAnsi" w:cstheme="minorHAnsi"/>
                <w:b w:val="0"/>
                <w:bCs w:val="0"/>
                <w:lang w:val="en-GB"/>
              </w:rPr>
            </w:pPr>
            <w:r>
              <w:rPr>
                <w:rFonts w:asciiTheme="minorHAnsi" w:hAnsiTheme="minorHAnsi" w:cstheme="minorHAnsi"/>
                <w:b w:val="0"/>
                <w:bCs w:val="0"/>
              </w:rPr>
              <w:t>U</w:t>
            </w:r>
            <w:r w:rsidR="009B3E64" w:rsidRPr="009F0305">
              <w:rPr>
                <w:rFonts w:asciiTheme="minorHAnsi" w:hAnsiTheme="minorHAnsi" w:cstheme="minorHAnsi"/>
                <w:b w:val="0"/>
                <w:bCs w:val="0"/>
              </w:rPr>
              <w:t>pgrade costs</w:t>
            </w:r>
          </w:p>
        </w:tc>
        <w:tc>
          <w:tcPr>
            <w:tcW w:w="1417" w:type="dxa"/>
          </w:tcPr>
          <w:p w14:paraId="7EDCF53E" w14:textId="45FA92FF" w:rsidR="008438BB" w:rsidRPr="00FD585A" w:rsidRDefault="009F0305" w:rsidP="009F0305">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FD585A">
              <w:rPr>
                <w:rFonts w:asciiTheme="minorHAnsi" w:hAnsiTheme="minorHAnsi" w:cstheme="minorHAnsi"/>
              </w:rPr>
              <w:t>-$</w:t>
            </w:r>
            <w:r w:rsidR="00610EFE" w:rsidRPr="00FD585A">
              <w:rPr>
                <w:rFonts w:asciiTheme="minorHAnsi" w:hAnsiTheme="minorHAnsi" w:cstheme="minorHAnsi"/>
              </w:rPr>
              <w:t>130,090</w:t>
            </w:r>
          </w:p>
        </w:tc>
      </w:tr>
      <w:tr w:rsidR="008438BB" w14:paraId="630373AE" w14:textId="77777777" w:rsidTr="009F0305">
        <w:tc>
          <w:tcPr>
            <w:cnfStyle w:val="001000000000" w:firstRow="0" w:lastRow="0" w:firstColumn="1" w:lastColumn="0" w:oddVBand="0" w:evenVBand="0" w:oddHBand="0" w:evenHBand="0" w:firstRowFirstColumn="0" w:firstRowLastColumn="0" w:lastRowFirstColumn="0" w:lastRowLastColumn="0"/>
            <w:tcW w:w="2122" w:type="dxa"/>
          </w:tcPr>
          <w:p w14:paraId="4A94D98E" w14:textId="58F9B2B0" w:rsidR="008438BB" w:rsidRPr="009F0305" w:rsidRDefault="009F0305" w:rsidP="009F0305">
            <w:pPr>
              <w:spacing w:before="0" w:after="160"/>
              <w:rPr>
                <w:rFonts w:asciiTheme="minorHAnsi" w:hAnsiTheme="minorHAnsi" w:cstheme="minorHAnsi"/>
                <w:b w:val="0"/>
                <w:bCs w:val="0"/>
                <w:lang w:val="en-GB"/>
              </w:rPr>
            </w:pPr>
            <w:r>
              <w:rPr>
                <w:rFonts w:asciiTheme="minorHAnsi" w:hAnsiTheme="minorHAnsi" w:cstheme="minorHAnsi"/>
                <w:b w:val="0"/>
                <w:bCs w:val="0"/>
              </w:rPr>
              <w:t>C</w:t>
            </w:r>
            <w:r w:rsidR="009B3E64" w:rsidRPr="009F0305">
              <w:rPr>
                <w:rFonts w:asciiTheme="minorHAnsi" w:hAnsiTheme="minorHAnsi" w:cstheme="minorHAnsi"/>
                <w:b w:val="0"/>
                <w:bCs w:val="0"/>
              </w:rPr>
              <w:t xml:space="preserve">ompliance costs </w:t>
            </w:r>
          </w:p>
        </w:tc>
        <w:tc>
          <w:tcPr>
            <w:tcW w:w="1417" w:type="dxa"/>
          </w:tcPr>
          <w:p w14:paraId="4B6B009D" w14:textId="2BC12EF3" w:rsidR="008438BB" w:rsidRPr="00FD585A" w:rsidRDefault="009F0305" w:rsidP="009F0305">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FD585A">
              <w:rPr>
                <w:rFonts w:asciiTheme="minorHAnsi" w:hAnsiTheme="minorHAnsi" w:cstheme="minorHAnsi"/>
              </w:rPr>
              <w:t>-$</w:t>
            </w:r>
            <w:r w:rsidR="00964717" w:rsidRPr="00FD585A">
              <w:rPr>
                <w:rFonts w:asciiTheme="minorHAnsi" w:hAnsiTheme="minorHAnsi" w:cstheme="minorHAnsi"/>
              </w:rPr>
              <w:t>49,243</w:t>
            </w:r>
          </w:p>
        </w:tc>
      </w:tr>
      <w:tr w:rsidR="008438BB" w14:paraId="7D5FC2DE" w14:textId="77777777" w:rsidTr="009F0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79C297" w14:textId="51E34696" w:rsidR="008438BB" w:rsidRPr="009F0305" w:rsidRDefault="009F0305" w:rsidP="009F0305">
            <w:pPr>
              <w:spacing w:before="0" w:after="160"/>
              <w:rPr>
                <w:rFonts w:asciiTheme="minorHAnsi" w:hAnsiTheme="minorHAnsi" w:cstheme="minorHAnsi"/>
                <w:b w:val="0"/>
                <w:bCs w:val="0"/>
                <w:lang w:val="en-GB"/>
              </w:rPr>
            </w:pPr>
            <w:r>
              <w:rPr>
                <w:rFonts w:asciiTheme="minorHAnsi" w:hAnsiTheme="minorHAnsi" w:cstheme="minorHAnsi"/>
                <w:b w:val="0"/>
                <w:bCs w:val="0"/>
              </w:rPr>
              <w:t>P</w:t>
            </w:r>
            <w:r w:rsidR="009B3E64" w:rsidRPr="009F0305">
              <w:rPr>
                <w:rFonts w:asciiTheme="minorHAnsi" w:hAnsiTheme="minorHAnsi" w:cstheme="minorHAnsi"/>
                <w:b w:val="0"/>
                <w:bCs w:val="0"/>
              </w:rPr>
              <w:t xml:space="preserve">rogram costs </w:t>
            </w:r>
          </w:p>
        </w:tc>
        <w:tc>
          <w:tcPr>
            <w:tcW w:w="1417" w:type="dxa"/>
          </w:tcPr>
          <w:p w14:paraId="582ACF4E" w14:textId="6740AFA1" w:rsidR="008438BB" w:rsidRPr="00FD585A" w:rsidRDefault="009F0305" w:rsidP="009F0305">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FD585A">
              <w:rPr>
                <w:rFonts w:asciiTheme="minorHAnsi" w:hAnsiTheme="minorHAnsi" w:cstheme="minorHAnsi"/>
              </w:rPr>
              <w:t>-$288</w:t>
            </w:r>
          </w:p>
        </w:tc>
      </w:tr>
      <w:tr w:rsidR="008438BB" w14:paraId="179BA4A2" w14:textId="77777777" w:rsidTr="009F0305">
        <w:trPr>
          <w:trHeight w:val="247"/>
        </w:trPr>
        <w:tc>
          <w:tcPr>
            <w:cnfStyle w:val="001000000000" w:firstRow="0" w:lastRow="0" w:firstColumn="1" w:lastColumn="0" w:oddVBand="0" w:evenVBand="0" w:oddHBand="0" w:evenHBand="0" w:firstRowFirstColumn="0" w:firstRowLastColumn="0" w:lastRowFirstColumn="0" w:lastRowLastColumn="0"/>
            <w:tcW w:w="2122" w:type="dxa"/>
          </w:tcPr>
          <w:p w14:paraId="5DC3AF30" w14:textId="40FBCD1C" w:rsidR="008438BB" w:rsidRPr="009F0305" w:rsidRDefault="009F0305" w:rsidP="009F0305">
            <w:pPr>
              <w:spacing w:before="0" w:after="160"/>
              <w:rPr>
                <w:rFonts w:asciiTheme="minorHAnsi" w:hAnsiTheme="minorHAnsi" w:cstheme="minorHAnsi"/>
                <w:lang w:val="en-GB"/>
              </w:rPr>
            </w:pPr>
            <w:r w:rsidRPr="009F0305">
              <w:rPr>
                <w:rFonts w:asciiTheme="minorHAnsi" w:hAnsiTheme="minorHAnsi" w:cstheme="minorHAnsi"/>
              </w:rPr>
              <w:t>N</w:t>
            </w:r>
            <w:r w:rsidR="009B3E64" w:rsidRPr="009F0305">
              <w:rPr>
                <w:rFonts w:asciiTheme="minorHAnsi" w:hAnsiTheme="minorHAnsi" w:cstheme="minorHAnsi"/>
              </w:rPr>
              <w:t xml:space="preserve">et </w:t>
            </w:r>
            <w:r w:rsidRPr="009F0305">
              <w:rPr>
                <w:rFonts w:asciiTheme="minorHAnsi" w:hAnsiTheme="minorHAnsi" w:cstheme="minorHAnsi"/>
              </w:rPr>
              <w:t>P</w:t>
            </w:r>
            <w:r w:rsidR="009B3E64" w:rsidRPr="009F0305">
              <w:rPr>
                <w:rFonts w:asciiTheme="minorHAnsi" w:hAnsiTheme="minorHAnsi" w:cstheme="minorHAnsi"/>
              </w:rPr>
              <w:t xml:space="preserve">osition </w:t>
            </w:r>
          </w:p>
        </w:tc>
        <w:tc>
          <w:tcPr>
            <w:tcW w:w="1417" w:type="dxa"/>
          </w:tcPr>
          <w:p w14:paraId="3724BE0C" w14:textId="7E52C02A" w:rsidR="008438BB" w:rsidRPr="00FD585A" w:rsidRDefault="009F0305" w:rsidP="009F0305">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GB"/>
              </w:rPr>
            </w:pPr>
            <w:r w:rsidRPr="00FD585A">
              <w:rPr>
                <w:rFonts w:asciiTheme="minorHAnsi" w:hAnsiTheme="minorHAnsi" w:cstheme="minorHAnsi"/>
                <w:b/>
              </w:rPr>
              <w:t>$</w:t>
            </w:r>
            <w:r w:rsidR="00964717" w:rsidRPr="00FD585A">
              <w:rPr>
                <w:rFonts w:asciiTheme="minorHAnsi" w:hAnsiTheme="minorHAnsi" w:cstheme="minorHAnsi"/>
                <w:b/>
              </w:rPr>
              <w:t>475,876</w:t>
            </w:r>
          </w:p>
        </w:tc>
      </w:tr>
    </w:tbl>
    <w:p w14:paraId="53E0E030"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3916477F" w14:textId="59B10897" w:rsidR="00894349" w:rsidRPr="00412269" w:rsidRDefault="00894349" w:rsidP="00412269">
      <w:pPr>
        <w:pStyle w:val="Heading2"/>
        <w:numPr>
          <w:ilvl w:val="0"/>
          <w:numId w:val="0"/>
        </w:numPr>
        <w:ind w:left="576"/>
      </w:pPr>
      <w:bookmarkStart w:id="330" w:name="_Toc162535476"/>
      <w:bookmarkStart w:id="331" w:name="_Table_40:_Figure"/>
      <w:bookmarkEnd w:id="331"/>
      <w:r w:rsidRPr="00412269">
        <w:t xml:space="preserve">Table </w:t>
      </w:r>
      <w:r w:rsidRPr="00412269">
        <w:fldChar w:fldCharType="begin"/>
      </w:r>
      <w:r w:rsidRPr="00412269">
        <w:instrText xml:space="preserve"> SEQ Table \* ARABIC </w:instrText>
      </w:r>
      <w:r w:rsidRPr="00412269">
        <w:fldChar w:fldCharType="separate"/>
      </w:r>
      <w:r w:rsidR="00D24A06" w:rsidRPr="00412269">
        <w:t>40</w:t>
      </w:r>
      <w:r w:rsidRPr="00412269">
        <w:fldChar w:fldCharType="end"/>
      </w:r>
      <w:r w:rsidRPr="00412269">
        <w:t xml:space="preserve">: </w:t>
      </w:r>
      <w:r w:rsidR="00892DAB" w:rsidRPr="00412269">
        <w:fldChar w:fldCharType="begin" w:fldLock="1"/>
      </w:r>
      <w:r w:rsidR="00892DAB" w:rsidRPr="00412269">
        <w:instrText xml:space="preserve"> REF _Ref157679654 \h </w:instrText>
      </w:r>
      <w:r w:rsidR="00E21B0A" w:rsidRPr="00412269">
        <w:instrText xml:space="preserve"> \* MERGEFORMAT </w:instrText>
      </w:r>
      <w:r w:rsidR="00892DAB" w:rsidRPr="00412269">
        <w:fldChar w:fldCharType="separate"/>
      </w:r>
      <w:r w:rsidR="00892DAB" w:rsidRPr="00412269">
        <w:t>Figure 15</w:t>
      </w:r>
      <w:r w:rsidR="00892DAB" w:rsidRPr="00412269">
        <w:fldChar w:fldCharType="end"/>
      </w:r>
      <w:r w:rsidR="00892DAB" w:rsidRPr="00412269">
        <w:t xml:space="preserve"> </w:t>
      </w:r>
      <w:r w:rsidR="00B431A6" w:rsidRPr="00412269">
        <w:t>- Approximate costs and benefits of Tailored sectorial disclosure policy over 20 years for the average building (Larger building size assumed)</w:t>
      </w:r>
      <w:bookmarkEnd w:id="330"/>
    </w:p>
    <w:tbl>
      <w:tblPr>
        <w:tblStyle w:val="PlainTable1"/>
        <w:tblW w:w="0" w:type="auto"/>
        <w:tblLook w:val="04A0" w:firstRow="1" w:lastRow="0" w:firstColumn="1" w:lastColumn="0" w:noHBand="0" w:noVBand="1"/>
      </w:tblPr>
      <w:tblGrid>
        <w:gridCol w:w="2122"/>
        <w:gridCol w:w="1417"/>
      </w:tblGrid>
      <w:tr w:rsidR="00894349" w14:paraId="6720F776" w14:textId="77777777" w:rsidTr="00640C2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2" w:type="dxa"/>
          </w:tcPr>
          <w:p w14:paraId="0A0D1CE4" w14:textId="77777777" w:rsidR="00894349" w:rsidRPr="009F0305" w:rsidRDefault="00894349" w:rsidP="00640C2B">
            <w:pPr>
              <w:spacing w:before="0" w:after="160"/>
              <w:rPr>
                <w:rFonts w:asciiTheme="minorHAnsi" w:hAnsiTheme="minorHAnsi" w:cstheme="minorHAnsi"/>
                <w:lang w:val="en-GB"/>
              </w:rPr>
            </w:pPr>
            <w:r w:rsidRPr="009F0305">
              <w:rPr>
                <w:rFonts w:asciiTheme="minorHAnsi" w:hAnsiTheme="minorHAnsi" w:cstheme="minorHAnsi"/>
                <w:lang w:val="en-GB"/>
              </w:rPr>
              <w:t>Component</w:t>
            </w:r>
          </w:p>
        </w:tc>
        <w:tc>
          <w:tcPr>
            <w:tcW w:w="1417" w:type="dxa"/>
          </w:tcPr>
          <w:p w14:paraId="341A1193" w14:textId="77777777" w:rsidR="00894349" w:rsidRPr="009F0305" w:rsidRDefault="00894349" w:rsidP="00640C2B">
            <w:pPr>
              <w:spacing w:before="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F0305">
              <w:rPr>
                <w:rFonts w:asciiTheme="minorHAnsi" w:hAnsiTheme="minorHAnsi" w:cstheme="minorHAnsi"/>
                <w:lang w:val="en-GB"/>
              </w:rPr>
              <w:t>Cost/Benefit</w:t>
            </w:r>
          </w:p>
        </w:tc>
      </w:tr>
      <w:tr w:rsidR="00894349" w14:paraId="676DB53E" w14:textId="77777777" w:rsidTr="00640C2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22" w:type="dxa"/>
          </w:tcPr>
          <w:p w14:paraId="76C25982" w14:textId="77777777" w:rsidR="00894349" w:rsidRPr="009F0305" w:rsidRDefault="00894349"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 xml:space="preserve">Bill Saving </w:t>
            </w:r>
          </w:p>
        </w:tc>
        <w:tc>
          <w:tcPr>
            <w:tcW w:w="1417" w:type="dxa"/>
          </w:tcPr>
          <w:p w14:paraId="18F0C2CB" w14:textId="7F77BA8C" w:rsidR="00894349" w:rsidRPr="00B172F8" w:rsidRDefault="00894349"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172F8">
              <w:rPr>
                <w:rFonts w:asciiTheme="minorHAnsi" w:hAnsiTheme="minorHAnsi" w:cstheme="minorHAnsi"/>
                <w:lang w:val="en-GB"/>
              </w:rPr>
              <w:t>$87</w:t>
            </w:r>
            <w:r w:rsidR="00B172F8" w:rsidRPr="00B172F8">
              <w:rPr>
                <w:rFonts w:asciiTheme="minorHAnsi" w:hAnsiTheme="minorHAnsi" w:cstheme="minorHAnsi"/>
                <w:lang w:val="en-GB"/>
              </w:rPr>
              <w:t>4</w:t>
            </w:r>
            <w:r w:rsidRPr="00B172F8">
              <w:rPr>
                <w:rFonts w:asciiTheme="minorHAnsi" w:hAnsiTheme="minorHAnsi" w:cstheme="minorHAnsi"/>
                <w:lang w:val="en-GB"/>
              </w:rPr>
              <w:t>,258</w:t>
            </w:r>
          </w:p>
        </w:tc>
      </w:tr>
      <w:tr w:rsidR="00894349" w14:paraId="427DEDA0"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76CF0102" w14:textId="77777777" w:rsidR="00894349" w:rsidRPr="009F0305" w:rsidRDefault="00894349"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Emission Saving</w:t>
            </w:r>
          </w:p>
        </w:tc>
        <w:tc>
          <w:tcPr>
            <w:tcW w:w="1417" w:type="dxa"/>
          </w:tcPr>
          <w:p w14:paraId="7E66A2BB" w14:textId="5DB38788" w:rsidR="00894349" w:rsidRPr="00B172F8" w:rsidRDefault="00894349"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172F8">
              <w:rPr>
                <w:rFonts w:asciiTheme="minorHAnsi" w:hAnsiTheme="minorHAnsi" w:cstheme="minorHAnsi"/>
                <w:lang w:val="en-GB"/>
              </w:rPr>
              <w:t>$409,194</w:t>
            </w:r>
          </w:p>
        </w:tc>
      </w:tr>
      <w:tr w:rsidR="00894349" w14:paraId="1A85C2D3"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11D92E" w14:textId="77777777" w:rsidR="00894349" w:rsidRPr="009F0305" w:rsidRDefault="00894349" w:rsidP="00640C2B">
            <w:pPr>
              <w:spacing w:before="0" w:after="160"/>
              <w:rPr>
                <w:rFonts w:asciiTheme="minorHAnsi" w:hAnsiTheme="minorHAnsi" w:cstheme="minorHAnsi"/>
                <w:b w:val="0"/>
                <w:bCs w:val="0"/>
                <w:lang w:val="en-GB"/>
              </w:rPr>
            </w:pPr>
            <w:r>
              <w:rPr>
                <w:rFonts w:asciiTheme="minorHAnsi" w:hAnsiTheme="minorHAnsi" w:cstheme="minorHAnsi"/>
                <w:b w:val="0"/>
                <w:bCs w:val="0"/>
              </w:rPr>
              <w:t>U</w:t>
            </w:r>
            <w:r w:rsidRPr="009F0305">
              <w:rPr>
                <w:rFonts w:asciiTheme="minorHAnsi" w:hAnsiTheme="minorHAnsi" w:cstheme="minorHAnsi"/>
                <w:b w:val="0"/>
                <w:bCs w:val="0"/>
              </w:rPr>
              <w:t>pgrade costs</w:t>
            </w:r>
          </w:p>
        </w:tc>
        <w:tc>
          <w:tcPr>
            <w:tcW w:w="1417" w:type="dxa"/>
          </w:tcPr>
          <w:p w14:paraId="6BC5B38B" w14:textId="1283B4A9" w:rsidR="00894349" w:rsidRPr="00FD585A" w:rsidRDefault="00610EFE"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FD585A">
              <w:rPr>
                <w:rFonts w:asciiTheme="minorHAnsi" w:hAnsiTheme="minorHAnsi" w:cstheme="minorHAnsi"/>
                <w:lang w:val="en-GB"/>
              </w:rPr>
              <w:t>-$301,</w:t>
            </w:r>
            <w:r w:rsidR="004924D6" w:rsidRPr="00FD585A">
              <w:rPr>
                <w:rFonts w:asciiTheme="minorHAnsi" w:hAnsiTheme="minorHAnsi" w:cstheme="minorHAnsi"/>
                <w:lang w:val="en-GB"/>
              </w:rPr>
              <w:t>757</w:t>
            </w:r>
          </w:p>
        </w:tc>
      </w:tr>
      <w:tr w:rsidR="00894349" w14:paraId="0E45C4AC"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188FDEB7" w14:textId="77777777" w:rsidR="00894349" w:rsidRPr="009F0305" w:rsidRDefault="00894349" w:rsidP="00640C2B">
            <w:pPr>
              <w:spacing w:before="0" w:after="160"/>
              <w:rPr>
                <w:rFonts w:asciiTheme="minorHAnsi" w:hAnsiTheme="minorHAnsi" w:cstheme="minorHAnsi"/>
                <w:b w:val="0"/>
                <w:bCs w:val="0"/>
                <w:lang w:val="en-GB"/>
              </w:rPr>
            </w:pPr>
            <w:r>
              <w:rPr>
                <w:rFonts w:asciiTheme="minorHAnsi" w:hAnsiTheme="minorHAnsi" w:cstheme="minorHAnsi"/>
                <w:b w:val="0"/>
                <w:bCs w:val="0"/>
              </w:rPr>
              <w:t>C</w:t>
            </w:r>
            <w:r w:rsidRPr="009F0305">
              <w:rPr>
                <w:rFonts w:asciiTheme="minorHAnsi" w:hAnsiTheme="minorHAnsi" w:cstheme="minorHAnsi"/>
                <w:b w:val="0"/>
                <w:bCs w:val="0"/>
              </w:rPr>
              <w:t xml:space="preserve">ompliance costs </w:t>
            </w:r>
          </w:p>
        </w:tc>
        <w:tc>
          <w:tcPr>
            <w:tcW w:w="1417" w:type="dxa"/>
          </w:tcPr>
          <w:p w14:paraId="625FBF96" w14:textId="3A207504" w:rsidR="00894349" w:rsidRPr="00FD585A" w:rsidRDefault="00894349"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FD585A">
              <w:rPr>
                <w:rFonts w:asciiTheme="minorHAnsi" w:hAnsiTheme="minorHAnsi" w:cstheme="minorHAnsi"/>
                <w:lang w:val="en-GB"/>
              </w:rPr>
              <w:t>-$</w:t>
            </w:r>
            <w:r w:rsidR="00B172F8" w:rsidRPr="00FD585A">
              <w:rPr>
                <w:rFonts w:asciiTheme="minorHAnsi" w:hAnsiTheme="minorHAnsi" w:cstheme="minorHAnsi"/>
                <w:lang w:val="en-GB"/>
              </w:rPr>
              <w:t>82,071</w:t>
            </w:r>
          </w:p>
        </w:tc>
      </w:tr>
      <w:tr w:rsidR="00894349" w14:paraId="76E2FC5A"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96B288" w14:textId="77777777" w:rsidR="00894349" w:rsidRPr="009F0305" w:rsidRDefault="00894349" w:rsidP="00640C2B">
            <w:pPr>
              <w:spacing w:before="0" w:after="160"/>
              <w:rPr>
                <w:rFonts w:asciiTheme="minorHAnsi" w:hAnsiTheme="minorHAnsi" w:cstheme="minorHAnsi"/>
                <w:b w:val="0"/>
                <w:bCs w:val="0"/>
                <w:lang w:val="en-GB"/>
              </w:rPr>
            </w:pPr>
            <w:r>
              <w:rPr>
                <w:rFonts w:asciiTheme="minorHAnsi" w:hAnsiTheme="minorHAnsi" w:cstheme="minorHAnsi"/>
                <w:b w:val="0"/>
                <w:bCs w:val="0"/>
              </w:rPr>
              <w:t>P</w:t>
            </w:r>
            <w:r w:rsidRPr="009F0305">
              <w:rPr>
                <w:rFonts w:asciiTheme="minorHAnsi" w:hAnsiTheme="minorHAnsi" w:cstheme="minorHAnsi"/>
                <w:b w:val="0"/>
                <w:bCs w:val="0"/>
              </w:rPr>
              <w:t xml:space="preserve">rogram costs </w:t>
            </w:r>
          </w:p>
        </w:tc>
        <w:tc>
          <w:tcPr>
            <w:tcW w:w="1417" w:type="dxa"/>
          </w:tcPr>
          <w:p w14:paraId="214BE027" w14:textId="05077750" w:rsidR="00894349" w:rsidRPr="00FD585A" w:rsidRDefault="00894349"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FD585A">
              <w:rPr>
                <w:rFonts w:asciiTheme="minorHAnsi" w:hAnsiTheme="minorHAnsi" w:cstheme="minorHAnsi"/>
                <w:lang w:val="en-GB"/>
              </w:rPr>
              <w:t>-$481</w:t>
            </w:r>
          </w:p>
        </w:tc>
      </w:tr>
      <w:tr w:rsidR="00894349" w14:paraId="45307AFC" w14:textId="77777777" w:rsidTr="00640C2B">
        <w:trPr>
          <w:trHeight w:val="247"/>
        </w:trPr>
        <w:tc>
          <w:tcPr>
            <w:cnfStyle w:val="001000000000" w:firstRow="0" w:lastRow="0" w:firstColumn="1" w:lastColumn="0" w:oddVBand="0" w:evenVBand="0" w:oddHBand="0" w:evenHBand="0" w:firstRowFirstColumn="0" w:firstRowLastColumn="0" w:lastRowFirstColumn="0" w:lastRowLastColumn="0"/>
            <w:tcW w:w="2122" w:type="dxa"/>
          </w:tcPr>
          <w:p w14:paraId="7CF7EDC5" w14:textId="77777777" w:rsidR="00894349" w:rsidRPr="009F0305" w:rsidRDefault="00894349" w:rsidP="00640C2B">
            <w:pPr>
              <w:spacing w:before="0" w:after="160"/>
              <w:rPr>
                <w:rFonts w:asciiTheme="minorHAnsi" w:hAnsiTheme="minorHAnsi" w:cstheme="minorHAnsi"/>
                <w:lang w:val="en-GB"/>
              </w:rPr>
            </w:pPr>
            <w:r w:rsidRPr="009F0305">
              <w:rPr>
                <w:rFonts w:asciiTheme="minorHAnsi" w:hAnsiTheme="minorHAnsi" w:cstheme="minorHAnsi"/>
              </w:rPr>
              <w:t xml:space="preserve">Net Position </w:t>
            </w:r>
          </w:p>
        </w:tc>
        <w:tc>
          <w:tcPr>
            <w:tcW w:w="1417" w:type="dxa"/>
          </w:tcPr>
          <w:p w14:paraId="4E69A01E" w14:textId="2F82BA48" w:rsidR="00894349" w:rsidRPr="00FD585A" w:rsidRDefault="00894349"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GB"/>
              </w:rPr>
            </w:pPr>
            <w:r w:rsidRPr="00FD585A">
              <w:rPr>
                <w:rFonts w:asciiTheme="minorHAnsi" w:hAnsiTheme="minorHAnsi" w:cstheme="minorHAnsi"/>
                <w:b/>
                <w:lang w:val="en-GB"/>
              </w:rPr>
              <w:t>$</w:t>
            </w:r>
            <w:r w:rsidR="00B172F8" w:rsidRPr="00FD585A">
              <w:rPr>
                <w:rFonts w:asciiTheme="minorHAnsi" w:hAnsiTheme="minorHAnsi" w:cstheme="minorHAnsi"/>
                <w:b/>
                <w:lang w:val="en-GB"/>
              </w:rPr>
              <w:t>899,143</w:t>
            </w:r>
          </w:p>
        </w:tc>
      </w:tr>
    </w:tbl>
    <w:p w14:paraId="3063242C"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4606C672" w14:textId="77777777" w:rsidR="00ED44B3" w:rsidRDefault="00ED44B3" w:rsidP="00BF2224">
      <w:pPr>
        <w:pStyle w:val="Caption"/>
        <w:keepNext/>
        <w:rPr>
          <w:rFonts w:ascii="Calibri" w:eastAsia="Times New Roman" w:hAnsi="Calibri" w:cs="Times New Roman"/>
          <w:b/>
          <w:bCs/>
          <w:i w:val="0"/>
          <w:iCs w:val="0"/>
          <w:color w:val="auto"/>
          <w:sz w:val="24"/>
        </w:rPr>
      </w:pPr>
    </w:p>
    <w:p w14:paraId="7F929C2D" w14:textId="495C9083" w:rsidR="00BF2224" w:rsidRPr="00412269" w:rsidRDefault="00BF2224" w:rsidP="00412269">
      <w:pPr>
        <w:pStyle w:val="Heading2"/>
        <w:numPr>
          <w:ilvl w:val="0"/>
          <w:numId w:val="0"/>
        </w:numPr>
        <w:ind w:left="576"/>
      </w:pPr>
      <w:bookmarkStart w:id="332" w:name="_Toc162535477"/>
      <w:bookmarkStart w:id="333" w:name="_Table_41:_Figure"/>
      <w:bookmarkEnd w:id="333"/>
      <w:r w:rsidRPr="00412269">
        <w:t xml:space="preserve">Table </w:t>
      </w:r>
      <w:r w:rsidRPr="00412269">
        <w:fldChar w:fldCharType="begin"/>
      </w:r>
      <w:r w:rsidRPr="00412269">
        <w:instrText xml:space="preserve"> SEQ Table \* ARABIC </w:instrText>
      </w:r>
      <w:r w:rsidRPr="00412269">
        <w:fldChar w:fldCharType="separate"/>
      </w:r>
      <w:r w:rsidR="00D24A06" w:rsidRPr="00412269">
        <w:t>41</w:t>
      </w:r>
      <w:r w:rsidRPr="00412269">
        <w:fldChar w:fldCharType="end"/>
      </w:r>
      <w:r w:rsidRPr="00412269">
        <w:t>:</w:t>
      </w:r>
      <w:r w:rsidR="00892DAB" w:rsidRPr="00412269">
        <w:t xml:space="preserve"> </w:t>
      </w:r>
      <w:r w:rsidR="00892DAB" w:rsidRPr="00412269">
        <w:fldChar w:fldCharType="begin" w:fldLock="1"/>
      </w:r>
      <w:r w:rsidR="00892DAB" w:rsidRPr="00412269">
        <w:instrText xml:space="preserve"> REF _Ref157679944 \h </w:instrText>
      </w:r>
      <w:r w:rsidR="00E21B0A" w:rsidRPr="00412269">
        <w:instrText xml:space="preserve"> \* MERGEFORMAT </w:instrText>
      </w:r>
      <w:r w:rsidR="00892DAB" w:rsidRPr="00412269">
        <w:fldChar w:fldCharType="separate"/>
      </w:r>
      <w:r w:rsidR="00892DAB" w:rsidRPr="00412269">
        <w:t>Figure 16</w:t>
      </w:r>
      <w:r w:rsidR="00892DAB" w:rsidRPr="00412269">
        <w:fldChar w:fldCharType="end"/>
      </w:r>
      <w:r w:rsidRPr="00412269">
        <w:t xml:space="preserve"> - Approximate costs and benefits of Star-rating </w:t>
      </w:r>
      <w:proofErr w:type="spellStart"/>
      <w:r w:rsidRPr="00412269">
        <w:t>MEPS</w:t>
      </w:r>
      <w:proofErr w:type="spellEnd"/>
      <w:r w:rsidRPr="00412269">
        <w:t xml:space="preserve"> for Offices policy over 20 years for the average building (Smaller building size assumed)</w:t>
      </w:r>
      <w:bookmarkEnd w:id="332"/>
    </w:p>
    <w:tbl>
      <w:tblPr>
        <w:tblStyle w:val="PlainTable1"/>
        <w:tblW w:w="0" w:type="auto"/>
        <w:tblLook w:val="04A0" w:firstRow="1" w:lastRow="0" w:firstColumn="1" w:lastColumn="0" w:noHBand="0" w:noVBand="1"/>
      </w:tblPr>
      <w:tblGrid>
        <w:gridCol w:w="2122"/>
        <w:gridCol w:w="1417"/>
      </w:tblGrid>
      <w:tr w:rsidR="00894349" w14:paraId="7B9EC90F" w14:textId="77777777" w:rsidTr="00640C2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2" w:type="dxa"/>
          </w:tcPr>
          <w:p w14:paraId="512BA573" w14:textId="77777777" w:rsidR="00894349" w:rsidRPr="009F0305" w:rsidRDefault="00894349" w:rsidP="00640C2B">
            <w:pPr>
              <w:spacing w:before="0" w:after="160"/>
              <w:rPr>
                <w:rFonts w:asciiTheme="minorHAnsi" w:hAnsiTheme="minorHAnsi" w:cstheme="minorHAnsi"/>
                <w:lang w:val="en-GB"/>
              </w:rPr>
            </w:pPr>
            <w:r w:rsidRPr="009F0305">
              <w:rPr>
                <w:rFonts w:asciiTheme="minorHAnsi" w:hAnsiTheme="minorHAnsi" w:cstheme="minorHAnsi"/>
                <w:lang w:val="en-GB"/>
              </w:rPr>
              <w:t>Component</w:t>
            </w:r>
          </w:p>
        </w:tc>
        <w:tc>
          <w:tcPr>
            <w:tcW w:w="1417" w:type="dxa"/>
          </w:tcPr>
          <w:p w14:paraId="127708F1" w14:textId="77777777" w:rsidR="00894349" w:rsidRPr="009F0305" w:rsidRDefault="00894349" w:rsidP="00640C2B">
            <w:pPr>
              <w:spacing w:before="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F0305">
              <w:rPr>
                <w:rFonts w:asciiTheme="minorHAnsi" w:hAnsiTheme="minorHAnsi" w:cstheme="minorHAnsi"/>
                <w:lang w:val="en-GB"/>
              </w:rPr>
              <w:t>Cost/Benefit</w:t>
            </w:r>
          </w:p>
        </w:tc>
      </w:tr>
      <w:tr w:rsidR="00894349" w14:paraId="57645C21" w14:textId="77777777" w:rsidTr="00640C2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22" w:type="dxa"/>
          </w:tcPr>
          <w:p w14:paraId="1594378B" w14:textId="77777777" w:rsidR="00894349" w:rsidRPr="009F0305" w:rsidRDefault="00894349"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 xml:space="preserve">Bill Saving </w:t>
            </w:r>
          </w:p>
        </w:tc>
        <w:tc>
          <w:tcPr>
            <w:tcW w:w="1417" w:type="dxa"/>
          </w:tcPr>
          <w:p w14:paraId="722382F8" w14:textId="1C4DD1BD" w:rsidR="00894349" w:rsidRPr="00B172F8" w:rsidRDefault="00BF2224"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172F8">
              <w:rPr>
                <w:rFonts w:asciiTheme="minorHAnsi" w:hAnsiTheme="minorHAnsi" w:cstheme="minorHAnsi"/>
                <w:lang w:val="en-GB"/>
              </w:rPr>
              <w:t>$689,929</w:t>
            </w:r>
          </w:p>
        </w:tc>
      </w:tr>
      <w:tr w:rsidR="00894349" w14:paraId="29313EC4"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402F3787" w14:textId="77777777" w:rsidR="00894349" w:rsidRPr="009F0305" w:rsidRDefault="00894349"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Emission Saving</w:t>
            </w:r>
          </w:p>
        </w:tc>
        <w:tc>
          <w:tcPr>
            <w:tcW w:w="1417" w:type="dxa"/>
          </w:tcPr>
          <w:p w14:paraId="6E721234" w14:textId="5AF95603" w:rsidR="00894349" w:rsidRPr="00B172F8" w:rsidRDefault="00BF2224"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172F8">
              <w:rPr>
                <w:rFonts w:asciiTheme="minorHAnsi" w:hAnsiTheme="minorHAnsi" w:cstheme="minorHAnsi"/>
                <w:lang w:val="en-GB"/>
              </w:rPr>
              <w:t>$473,085</w:t>
            </w:r>
          </w:p>
        </w:tc>
      </w:tr>
      <w:tr w:rsidR="00894349" w14:paraId="08D7B28A"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41B201" w14:textId="77777777" w:rsidR="00894349" w:rsidRPr="009F0305" w:rsidRDefault="00894349" w:rsidP="00640C2B">
            <w:pPr>
              <w:spacing w:before="0" w:after="160"/>
              <w:rPr>
                <w:rFonts w:asciiTheme="minorHAnsi" w:hAnsiTheme="minorHAnsi" w:cstheme="minorHAnsi"/>
                <w:b w:val="0"/>
                <w:bCs w:val="0"/>
                <w:lang w:val="en-GB"/>
              </w:rPr>
            </w:pPr>
            <w:r>
              <w:rPr>
                <w:rFonts w:asciiTheme="minorHAnsi" w:hAnsiTheme="minorHAnsi" w:cstheme="minorHAnsi"/>
                <w:b w:val="0"/>
                <w:bCs w:val="0"/>
              </w:rPr>
              <w:t>U</w:t>
            </w:r>
            <w:r w:rsidRPr="009F0305">
              <w:rPr>
                <w:rFonts w:asciiTheme="minorHAnsi" w:hAnsiTheme="minorHAnsi" w:cstheme="minorHAnsi"/>
                <w:b w:val="0"/>
                <w:bCs w:val="0"/>
              </w:rPr>
              <w:t>pgrade costs</w:t>
            </w:r>
          </w:p>
        </w:tc>
        <w:tc>
          <w:tcPr>
            <w:tcW w:w="1417" w:type="dxa"/>
          </w:tcPr>
          <w:p w14:paraId="3056B12C" w14:textId="6321C43F" w:rsidR="00894349" w:rsidRPr="0009002D" w:rsidRDefault="00BF2224"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09002D">
              <w:rPr>
                <w:rFonts w:asciiTheme="minorHAnsi" w:hAnsiTheme="minorHAnsi" w:cstheme="minorHAnsi"/>
                <w:lang w:val="en-GB"/>
              </w:rPr>
              <w:t>-$</w:t>
            </w:r>
            <w:r w:rsidR="004924D6" w:rsidRPr="0009002D">
              <w:rPr>
                <w:rFonts w:asciiTheme="minorHAnsi" w:hAnsiTheme="minorHAnsi" w:cstheme="minorHAnsi"/>
                <w:lang w:val="en-GB"/>
              </w:rPr>
              <w:t>27,</w:t>
            </w:r>
            <w:r w:rsidR="003029D0" w:rsidRPr="0009002D">
              <w:rPr>
                <w:rFonts w:asciiTheme="minorHAnsi" w:hAnsiTheme="minorHAnsi" w:cstheme="minorHAnsi"/>
                <w:lang w:val="en-GB"/>
              </w:rPr>
              <w:t>610</w:t>
            </w:r>
          </w:p>
        </w:tc>
      </w:tr>
      <w:tr w:rsidR="00894349" w14:paraId="1E7E6C78"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55E90B88" w14:textId="77777777" w:rsidR="00894349" w:rsidRPr="009F0305" w:rsidRDefault="00894349" w:rsidP="00640C2B">
            <w:pPr>
              <w:spacing w:before="0" w:after="160"/>
              <w:rPr>
                <w:rFonts w:asciiTheme="minorHAnsi" w:hAnsiTheme="minorHAnsi" w:cstheme="minorHAnsi"/>
                <w:b w:val="0"/>
                <w:bCs w:val="0"/>
                <w:lang w:val="en-GB"/>
              </w:rPr>
            </w:pPr>
            <w:r>
              <w:rPr>
                <w:rFonts w:asciiTheme="minorHAnsi" w:hAnsiTheme="minorHAnsi" w:cstheme="minorHAnsi"/>
                <w:b w:val="0"/>
                <w:bCs w:val="0"/>
              </w:rPr>
              <w:t>C</w:t>
            </w:r>
            <w:r w:rsidRPr="009F0305">
              <w:rPr>
                <w:rFonts w:asciiTheme="minorHAnsi" w:hAnsiTheme="minorHAnsi" w:cstheme="minorHAnsi"/>
                <w:b w:val="0"/>
                <w:bCs w:val="0"/>
              </w:rPr>
              <w:t xml:space="preserve">ompliance costs </w:t>
            </w:r>
          </w:p>
        </w:tc>
        <w:tc>
          <w:tcPr>
            <w:tcW w:w="1417" w:type="dxa"/>
          </w:tcPr>
          <w:p w14:paraId="686C5179" w14:textId="6BCBAB5F" w:rsidR="00894349" w:rsidRPr="0009002D" w:rsidRDefault="00ED44B3"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09002D">
              <w:rPr>
                <w:rFonts w:asciiTheme="minorHAnsi" w:hAnsiTheme="minorHAnsi" w:cstheme="minorHAnsi"/>
                <w:lang w:val="en-GB"/>
              </w:rPr>
              <w:t>-$23,961</w:t>
            </w:r>
          </w:p>
        </w:tc>
      </w:tr>
      <w:tr w:rsidR="00894349" w14:paraId="424401AC"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140571" w14:textId="77777777" w:rsidR="00894349" w:rsidRPr="009F0305" w:rsidRDefault="00894349" w:rsidP="00640C2B">
            <w:pPr>
              <w:spacing w:before="0" w:after="160"/>
              <w:rPr>
                <w:rFonts w:asciiTheme="minorHAnsi" w:hAnsiTheme="minorHAnsi" w:cstheme="minorHAnsi"/>
                <w:b w:val="0"/>
                <w:bCs w:val="0"/>
                <w:lang w:val="en-GB"/>
              </w:rPr>
            </w:pPr>
            <w:r>
              <w:rPr>
                <w:rFonts w:asciiTheme="minorHAnsi" w:hAnsiTheme="minorHAnsi" w:cstheme="minorHAnsi"/>
                <w:b w:val="0"/>
                <w:bCs w:val="0"/>
              </w:rPr>
              <w:t>P</w:t>
            </w:r>
            <w:r w:rsidRPr="009F0305">
              <w:rPr>
                <w:rFonts w:asciiTheme="minorHAnsi" w:hAnsiTheme="minorHAnsi" w:cstheme="minorHAnsi"/>
                <w:b w:val="0"/>
                <w:bCs w:val="0"/>
              </w:rPr>
              <w:t xml:space="preserve">rogram costs </w:t>
            </w:r>
          </w:p>
        </w:tc>
        <w:tc>
          <w:tcPr>
            <w:tcW w:w="1417" w:type="dxa"/>
          </w:tcPr>
          <w:p w14:paraId="6221B5B0" w14:textId="51F88273" w:rsidR="00894349" w:rsidRPr="0009002D" w:rsidRDefault="00ED44B3"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09002D">
              <w:rPr>
                <w:rFonts w:asciiTheme="minorHAnsi" w:hAnsiTheme="minorHAnsi" w:cstheme="minorHAnsi"/>
                <w:lang w:val="en-GB"/>
              </w:rPr>
              <w:t>-$360</w:t>
            </w:r>
          </w:p>
        </w:tc>
      </w:tr>
      <w:tr w:rsidR="00894349" w14:paraId="72DE6C23" w14:textId="77777777" w:rsidTr="00640C2B">
        <w:trPr>
          <w:trHeight w:val="247"/>
        </w:trPr>
        <w:tc>
          <w:tcPr>
            <w:cnfStyle w:val="001000000000" w:firstRow="0" w:lastRow="0" w:firstColumn="1" w:lastColumn="0" w:oddVBand="0" w:evenVBand="0" w:oddHBand="0" w:evenHBand="0" w:firstRowFirstColumn="0" w:firstRowLastColumn="0" w:lastRowFirstColumn="0" w:lastRowLastColumn="0"/>
            <w:tcW w:w="2122" w:type="dxa"/>
          </w:tcPr>
          <w:p w14:paraId="4600EA11" w14:textId="77777777" w:rsidR="00894349" w:rsidRPr="009F0305" w:rsidRDefault="00894349" w:rsidP="00640C2B">
            <w:pPr>
              <w:spacing w:before="0" w:after="160"/>
              <w:rPr>
                <w:rFonts w:asciiTheme="minorHAnsi" w:hAnsiTheme="minorHAnsi" w:cstheme="minorHAnsi"/>
                <w:lang w:val="en-GB"/>
              </w:rPr>
            </w:pPr>
            <w:r w:rsidRPr="009F0305">
              <w:rPr>
                <w:rFonts w:asciiTheme="minorHAnsi" w:hAnsiTheme="minorHAnsi" w:cstheme="minorHAnsi"/>
              </w:rPr>
              <w:t xml:space="preserve">Net Position </w:t>
            </w:r>
          </w:p>
        </w:tc>
        <w:tc>
          <w:tcPr>
            <w:tcW w:w="1417" w:type="dxa"/>
          </w:tcPr>
          <w:p w14:paraId="2C206C10" w14:textId="6EBA896F" w:rsidR="00894349" w:rsidRPr="0009002D" w:rsidRDefault="00ED44B3"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GB"/>
              </w:rPr>
            </w:pPr>
            <w:r w:rsidRPr="0009002D">
              <w:rPr>
                <w:rFonts w:asciiTheme="minorHAnsi" w:hAnsiTheme="minorHAnsi" w:cstheme="minorHAnsi"/>
                <w:b/>
                <w:lang w:val="en-GB"/>
              </w:rPr>
              <w:t>$1,1</w:t>
            </w:r>
            <w:r w:rsidR="003029D0" w:rsidRPr="0009002D">
              <w:rPr>
                <w:rFonts w:asciiTheme="minorHAnsi" w:hAnsiTheme="minorHAnsi" w:cstheme="minorHAnsi"/>
                <w:b/>
                <w:lang w:val="en-GB"/>
              </w:rPr>
              <w:t>11,082</w:t>
            </w:r>
          </w:p>
        </w:tc>
      </w:tr>
    </w:tbl>
    <w:p w14:paraId="6D697489"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214E9BC5" w14:textId="4D849B7C" w:rsidR="00962B7A" w:rsidRPr="00412269" w:rsidRDefault="00962B7A" w:rsidP="00412269">
      <w:pPr>
        <w:pStyle w:val="Heading2"/>
        <w:numPr>
          <w:ilvl w:val="0"/>
          <w:numId w:val="0"/>
        </w:numPr>
        <w:ind w:left="576"/>
      </w:pPr>
      <w:bookmarkStart w:id="334" w:name="_Toc162535478"/>
      <w:bookmarkStart w:id="335" w:name="_Table_42:_Figure"/>
      <w:bookmarkEnd w:id="335"/>
      <w:r w:rsidRPr="00412269">
        <w:t xml:space="preserve">Table </w:t>
      </w:r>
      <w:r w:rsidRPr="00412269">
        <w:fldChar w:fldCharType="begin"/>
      </w:r>
      <w:r w:rsidRPr="00412269">
        <w:instrText xml:space="preserve"> SEQ Table \* ARABIC </w:instrText>
      </w:r>
      <w:r w:rsidRPr="00412269">
        <w:fldChar w:fldCharType="separate"/>
      </w:r>
      <w:r w:rsidR="00D24A06" w:rsidRPr="00412269">
        <w:t>42</w:t>
      </w:r>
      <w:r w:rsidRPr="00412269">
        <w:fldChar w:fldCharType="end"/>
      </w:r>
      <w:r w:rsidRPr="00412269">
        <w:t xml:space="preserve">: </w:t>
      </w:r>
      <w:r w:rsidR="00892DAB" w:rsidRPr="00412269">
        <w:fldChar w:fldCharType="begin" w:fldLock="1"/>
      </w:r>
      <w:r w:rsidR="00892DAB" w:rsidRPr="00412269">
        <w:instrText xml:space="preserve"> REF _Ref162534951 \h </w:instrText>
      </w:r>
      <w:r w:rsidR="00EE67FD" w:rsidRPr="00412269">
        <w:instrText xml:space="preserve"> \* MERGEFORMAT </w:instrText>
      </w:r>
      <w:r w:rsidR="00892DAB" w:rsidRPr="00412269">
        <w:fldChar w:fldCharType="separate"/>
      </w:r>
      <w:r w:rsidR="00892DAB" w:rsidRPr="00412269">
        <w:t>Figure 17</w:t>
      </w:r>
      <w:r w:rsidR="00892DAB" w:rsidRPr="00412269">
        <w:fldChar w:fldCharType="end"/>
      </w:r>
      <w:r w:rsidR="00892DAB" w:rsidRPr="00412269">
        <w:t xml:space="preserve"> </w:t>
      </w:r>
      <w:r w:rsidR="002C2430" w:rsidRPr="00412269">
        <w:t xml:space="preserve">- </w:t>
      </w:r>
      <w:r w:rsidRPr="00412269">
        <w:t xml:space="preserve">Approximate costs and benefits of Star-rating </w:t>
      </w:r>
      <w:proofErr w:type="spellStart"/>
      <w:r w:rsidRPr="00412269">
        <w:t>MEPS</w:t>
      </w:r>
      <w:proofErr w:type="spellEnd"/>
      <w:r w:rsidRPr="00412269">
        <w:t xml:space="preserve"> for Offices policy over 20 years for the average building (Larger building size assumed)</w:t>
      </w:r>
      <w:bookmarkEnd w:id="334"/>
    </w:p>
    <w:tbl>
      <w:tblPr>
        <w:tblStyle w:val="PlainTable1"/>
        <w:tblW w:w="0" w:type="auto"/>
        <w:tblLook w:val="04A0" w:firstRow="1" w:lastRow="0" w:firstColumn="1" w:lastColumn="0" w:noHBand="0" w:noVBand="1"/>
      </w:tblPr>
      <w:tblGrid>
        <w:gridCol w:w="2122"/>
        <w:gridCol w:w="1417"/>
      </w:tblGrid>
      <w:tr w:rsidR="0056601B" w14:paraId="6048E1F0" w14:textId="77777777" w:rsidTr="00640C2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2" w:type="dxa"/>
          </w:tcPr>
          <w:p w14:paraId="4ABF3C3E" w14:textId="77777777" w:rsidR="0056601B" w:rsidRPr="009F0305" w:rsidRDefault="0056601B" w:rsidP="00640C2B">
            <w:pPr>
              <w:spacing w:before="0" w:after="160"/>
              <w:rPr>
                <w:rFonts w:asciiTheme="minorHAnsi" w:hAnsiTheme="minorHAnsi" w:cstheme="minorHAnsi"/>
                <w:lang w:val="en-GB"/>
              </w:rPr>
            </w:pPr>
            <w:r w:rsidRPr="009F0305">
              <w:rPr>
                <w:rFonts w:asciiTheme="minorHAnsi" w:hAnsiTheme="minorHAnsi" w:cstheme="minorHAnsi"/>
                <w:lang w:val="en-GB"/>
              </w:rPr>
              <w:t>Component</w:t>
            </w:r>
          </w:p>
        </w:tc>
        <w:tc>
          <w:tcPr>
            <w:tcW w:w="1417" w:type="dxa"/>
          </w:tcPr>
          <w:p w14:paraId="2576F95B" w14:textId="77777777" w:rsidR="0056601B" w:rsidRPr="009F0305" w:rsidRDefault="0056601B" w:rsidP="00640C2B">
            <w:pPr>
              <w:spacing w:before="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F0305">
              <w:rPr>
                <w:rFonts w:asciiTheme="minorHAnsi" w:hAnsiTheme="minorHAnsi" w:cstheme="minorHAnsi"/>
                <w:lang w:val="en-GB"/>
              </w:rPr>
              <w:t>Cost/Benefit</w:t>
            </w:r>
          </w:p>
        </w:tc>
      </w:tr>
      <w:tr w:rsidR="0056601B" w14:paraId="1EA8E9E8" w14:textId="77777777" w:rsidTr="00640C2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22" w:type="dxa"/>
          </w:tcPr>
          <w:p w14:paraId="671091C5" w14:textId="77777777" w:rsidR="0056601B" w:rsidRPr="009F0305" w:rsidRDefault="0056601B"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 xml:space="preserve">Bill Saving </w:t>
            </w:r>
          </w:p>
        </w:tc>
        <w:tc>
          <w:tcPr>
            <w:tcW w:w="1417" w:type="dxa"/>
          </w:tcPr>
          <w:p w14:paraId="01B52DC1" w14:textId="71205808" w:rsidR="0056601B" w:rsidRPr="00B172F8" w:rsidRDefault="006E221B"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172F8">
              <w:rPr>
                <w:rFonts w:asciiTheme="minorHAnsi" w:hAnsiTheme="minorHAnsi" w:cstheme="minorHAnsi"/>
                <w:lang w:val="en-GB"/>
              </w:rPr>
              <w:t>$1,149,881</w:t>
            </w:r>
          </w:p>
        </w:tc>
      </w:tr>
      <w:tr w:rsidR="0056601B" w14:paraId="672A1F1A"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512223E0" w14:textId="77777777" w:rsidR="0056601B" w:rsidRPr="009F0305" w:rsidRDefault="0056601B"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Emission Saving</w:t>
            </w:r>
          </w:p>
        </w:tc>
        <w:tc>
          <w:tcPr>
            <w:tcW w:w="1417" w:type="dxa"/>
          </w:tcPr>
          <w:p w14:paraId="25C73ADE" w14:textId="736866FA" w:rsidR="0056601B" w:rsidRPr="00B172F8" w:rsidRDefault="006E221B"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172F8">
              <w:rPr>
                <w:rFonts w:asciiTheme="minorHAnsi" w:hAnsiTheme="minorHAnsi" w:cstheme="minorHAnsi"/>
                <w:lang w:val="en-GB"/>
              </w:rPr>
              <w:t>$788,475</w:t>
            </w:r>
          </w:p>
        </w:tc>
      </w:tr>
      <w:tr w:rsidR="0056601B" w14:paraId="25C02700"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F81B16" w14:textId="77777777" w:rsidR="0056601B" w:rsidRPr="009F0305" w:rsidRDefault="0056601B" w:rsidP="00640C2B">
            <w:pPr>
              <w:spacing w:before="0" w:after="160"/>
              <w:rPr>
                <w:rFonts w:asciiTheme="minorHAnsi" w:hAnsiTheme="minorHAnsi" w:cstheme="minorHAnsi"/>
                <w:b w:val="0"/>
                <w:bCs w:val="0"/>
                <w:lang w:val="en-GB"/>
              </w:rPr>
            </w:pPr>
            <w:r>
              <w:rPr>
                <w:rFonts w:asciiTheme="minorHAnsi" w:hAnsiTheme="minorHAnsi" w:cstheme="minorHAnsi"/>
                <w:b w:val="0"/>
                <w:bCs w:val="0"/>
              </w:rPr>
              <w:t>U</w:t>
            </w:r>
            <w:r w:rsidRPr="009F0305">
              <w:rPr>
                <w:rFonts w:asciiTheme="minorHAnsi" w:hAnsiTheme="minorHAnsi" w:cstheme="minorHAnsi"/>
                <w:b w:val="0"/>
                <w:bCs w:val="0"/>
              </w:rPr>
              <w:t>pgrade costs</w:t>
            </w:r>
          </w:p>
        </w:tc>
        <w:tc>
          <w:tcPr>
            <w:tcW w:w="1417" w:type="dxa"/>
          </w:tcPr>
          <w:p w14:paraId="2A33F163" w14:textId="1DE9810B" w:rsidR="0056601B" w:rsidRPr="0009002D" w:rsidRDefault="006E221B"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09002D">
              <w:rPr>
                <w:rFonts w:asciiTheme="minorHAnsi" w:hAnsiTheme="minorHAnsi" w:cstheme="minorHAnsi"/>
                <w:lang w:val="en-GB"/>
              </w:rPr>
              <w:t>-$</w:t>
            </w:r>
            <w:r w:rsidR="003029D0" w:rsidRPr="0009002D">
              <w:rPr>
                <w:rFonts w:asciiTheme="minorHAnsi" w:hAnsiTheme="minorHAnsi" w:cstheme="minorHAnsi"/>
                <w:lang w:val="en-GB"/>
              </w:rPr>
              <w:t>106,499</w:t>
            </w:r>
          </w:p>
        </w:tc>
      </w:tr>
      <w:tr w:rsidR="0056601B" w14:paraId="487A309E"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57A50224" w14:textId="77777777" w:rsidR="0056601B" w:rsidRPr="009F0305" w:rsidRDefault="0056601B" w:rsidP="00640C2B">
            <w:pPr>
              <w:spacing w:before="0" w:after="160"/>
              <w:rPr>
                <w:rFonts w:asciiTheme="minorHAnsi" w:hAnsiTheme="minorHAnsi" w:cstheme="minorHAnsi"/>
                <w:b w:val="0"/>
                <w:bCs w:val="0"/>
                <w:lang w:val="en-GB"/>
              </w:rPr>
            </w:pPr>
            <w:r>
              <w:rPr>
                <w:rFonts w:asciiTheme="minorHAnsi" w:hAnsiTheme="minorHAnsi" w:cstheme="minorHAnsi"/>
                <w:b w:val="0"/>
                <w:bCs w:val="0"/>
              </w:rPr>
              <w:t>C</w:t>
            </w:r>
            <w:r w:rsidRPr="009F0305">
              <w:rPr>
                <w:rFonts w:asciiTheme="minorHAnsi" w:hAnsiTheme="minorHAnsi" w:cstheme="minorHAnsi"/>
                <w:b w:val="0"/>
                <w:bCs w:val="0"/>
              </w:rPr>
              <w:t xml:space="preserve">ompliance costs </w:t>
            </w:r>
          </w:p>
        </w:tc>
        <w:tc>
          <w:tcPr>
            <w:tcW w:w="1417" w:type="dxa"/>
          </w:tcPr>
          <w:p w14:paraId="7050026E" w14:textId="05B600D9" w:rsidR="0056601B" w:rsidRPr="0009002D" w:rsidRDefault="006E221B"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09002D">
              <w:rPr>
                <w:rFonts w:asciiTheme="minorHAnsi" w:hAnsiTheme="minorHAnsi" w:cstheme="minorHAnsi"/>
                <w:lang w:val="en-GB"/>
              </w:rPr>
              <w:t>-$39,936</w:t>
            </w:r>
          </w:p>
        </w:tc>
      </w:tr>
      <w:tr w:rsidR="0056601B" w14:paraId="51B6554E"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A80494" w14:textId="77777777" w:rsidR="0056601B" w:rsidRPr="009F0305" w:rsidRDefault="0056601B" w:rsidP="00640C2B">
            <w:pPr>
              <w:spacing w:before="0" w:after="160"/>
              <w:rPr>
                <w:rFonts w:asciiTheme="minorHAnsi" w:hAnsiTheme="minorHAnsi" w:cstheme="minorHAnsi"/>
                <w:b w:val="0"/>
                <w:bCs w:val="0"/>
                <w:lang w:val="en-GB"/>
              </w:rPr>
            </w:pPr>
            <w:r>
              <w:rPr>
                <w:rFonts w:asciiTheme="minorHAnsi" w:hAnsiTheme="minorHAnsi" w:cstheme="minorHAnsi"/>
                <w:b w:val="0"/>
                <w:bCs w:val="0"/>
              </w:rPr>
              <w:t>P</w:t>
            </w:r>
            <w:r w:rsidRPr="009F0305">
              <w:rPr>
                <w:rFonts w:asciiTheme="minorHAnsi" w:hAnsiTheme="minorHAnsi" w:cstheme="minorHAnsi"/>
                <w:b w:val="0"/>
                <w:bCs w:val="0"/>
              </w:rPr>
              <w:t xml:space="preserve">rogram costs </w:t>
            </w:r>
          </w:p>
        </w:tc>
        <w:tc>
          <w:tcPr>
            <w:tcW w:w="1417" w:type="dxa"/>
          </w:tcPr>
          <w:p w14:paraId="52C459D0" w14:textId="3D0CF1B5" w:rsidR="0056601B" w:rsidRPr="0009002D" w:rsidRDefault="006E221B"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09002D">
              <w:rPr>
                <w:rFonts w:asciiTheme="minorHAnsi" w:hAnsiTheme="minorHAnsi" w:cstheme="minorHAnsi"/>
                <w:lang w:val="en-GB"/>
              </w:rPr>
              <w:t>-$601</w:t>
            </w:r>
          </w:p>
        </w:tc>
      </w:tr>
      <w:tr w:rsidR="0056601B" w14:paraId="5BFD29D3" w14:textId="77777777" w:rsidTr="00640C2B">
        <w:trPr>
          <w:trHeight w:val="247"/>
        </w:trPr>
        <w:tc>
          <w:tcPr>
            <w:cnfStyle w:val="001000000000" w:firstRow="0" w:lastRow="0" w:firstColumn="1" w:lastColumn="0" w:oddVBand="0" w:evenVBand="0" w:oddHBand="0" w:evenHBand="0" w:firstRowFirstColumn="0" w:firstRowLastColumn="0" w:lastRowFirstColumn="0" w:lastRowLastColumn="0"/>
            <w:tcW w:w="2122" w:type="dxa"/>
          </w:tcPr>
          <w:p w14:paraId="5AF37BE2" w14:textId="77777777" w:rsidR="0056601B" w:rsidRPr="009F0305" w:rsidRDefault="0056601B" w:rsidP="00640C2B">
            <w:pPr>
              <w:spacing w:before="0" w:after="160"/>
              <w:rPr>
                <w:rFonts w:asciiTheme="minorHAnsi" w:hAnsiTheme="minorHAnsi" w:cstheme="minorHAnsi"/>
                <w:lang w:val="en-GB"/>
              </w:rPr>
            </w:pPr>
            <w:r w:rsidRPr="009F0305">
              <w:rPr>
                <w:rFonts w:asciiTheme="minorHAnsi" w:hAnsiTheme="minorHAnsi" w:cstheme="minorHAnsi"/>
              </w:rPr>
              <w:t xml:space="preserve">Net Position </w:t>
            </w:r>
          </w:p>
        </w:tc>
        <w:tc>
          <w:tcPr>
            <w:tcW w:w="1417" w:type="dxa"/>
          </w:tcPr>
          <w:p w14:paraId="49E4722E" w14:textId="70283C38" w:rsidR="0056601B" w:rsidRPr="0009002D" w:rsidRDefault="006E221B"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GB"/>
              </w:rPr>
            </w:pPr>
            <w:r w:rsidRPr="0009002D">
              <w:rPr>
                <w:rFonts w:asciiTheme="minorHAnsi" w:hAnsiTheme="minorHAnsi" w:cstheme="minorHAnsi"/>
                <w:b/>
                <w:lang w:val="en-GB"/>
              </w:rPr>
              <w:t>$1,7</w:t>
            </w:r>
            <w:r w:rsidR="00AF6C9D" w:rsidRPr="0009002D">
              <w:rPr>
                <w:rFonts w:asciiTheme="minorHAnsi" w:hAnsiTheme="minorHAnsi" w:cstheme="minorHAnsi"/>
                <w:b/>
                <w:lang w:val="en-GB"/>
              </w:rPr>
              <w:t>91,321</w:t>
            </w:r>
          </w:p>
        </w:tc>
      </w:tr>
    </w:tbl>
    <w:p w14:paraId="59C39AEB"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74A0365F" w14:textId="3DA93AAE" w:rsidR="00542AB5" w:rsidRPr="00412269" w:rsidRDefault="00542AB5" w:rsidP="00412269">
      <w:pPr>
        <w:pStyle w:val="Heading2"/>
        <w:numPr>
          <w:ilvl w:val="0"/>
          <w:numId w:val="0"/>
        </w:numPr>
        <w:ind w:left="576"/>
      </w:pPr>
      <w:bookmarkStart w:id="336" w:name="_Toc162535479"/>
      <w:bookmarkStart w:id="337" w:name="_Table_43:_Figure"/>
      <w:bookmarkEnd w:id="337"/>
      <w:r w:rsidRPr="00412269">
        <w:t xml:space="preserve">Table </w:t>
      </w:r>
      <w:r w:rsidRPr="00412269">
        <w:fldChar w:fldCharType="begin"/>
      </w:r>
      <w:r w:rsidRPr="00412269">
        <w:instrText xml:space="preserve"> SEQ Table \* ARABIC </w:instrText>
      </w:r>
      <w:r w:rsidRPr="00412269">
        <w:fldChar w:fldCharType="separate"/>
      </w:r>
      <w:r w:rsidR="00D24A06" w:rsidRPr="00412269">
        <w:t>43</w:t>
      </w:r>
      <w:r w:rsidRPr="00412269">
        <w:fldChar w:fldCharType="end"/>
      </w:r>
      <w:r w:rsidRPr="00412269">
        <w:t xml:space="preserve">: </w:t>
      </w:r>
      <w:r w:rsidRPr="00412269">
        <w:fldChar w:fldCharType="begin" w:fldLock="1"/>
      </w:r>
      <w:r w:rsidRPr="00412269">
        <w:instrText xml:space="preserve"> REF _Ref157682275 \h </w:instrText>
      </w:r>
      <w:r w:rsidR="00EE67FD" w:rsidRPr="00412269">
        <w:instrText xml:space="preserve"> \* MERGEFORMAT </w:instrText>
      </w:r>
      <w:r w:rsidRPr="00412269">
        <w:fldChar w:fldCharType="separate"/>
      </w:r>
      <w:r w:rsidRPr="00412269">
        <w:t>Figure 18</w:t>
      </w:r>
      <w:r w:rsidRPr="00412269">
        <w:fldChar w:fldCharType="end"/>
      </w:r>
      <w:r w:rsidRPr="00412269">
        <w:t xml:space="preserve"> - Cost of upgrading NABERS ratings by building </w:t>
      </w:r>
      <w:proofErr w:type="gramStart"/>
      <w:r w:rsidRPr="00412269">
        <w:t>size</w:t>
      </w:r>
      <w:bookmarkEnd w:id="336"/>
      <w:proofErr w:type="gramEnd"/>
    </w:p>
    <w:tbl>
      <w:tblPr>
        <w:tblStyle w:val="PlainTable1"/>
        <w:tblW w:w="9288" w:type="dxa"/>
        <w:tblLook w:val="04A0" w:firstRow="1" w:lastRow="0" w:firstColumn="1" w:lastColumn="0" w:noHBand="0" w:noVBand="1"/>
      </w:tblPr>
      <w:tblGrid>
        <w:gridCol w:w="1691"/>
        <w:gridCol w:w="1139"/>
        <w:gridCol w:w="1276"/>
        <w:gridCol w:w="1276"/>
        <w:gridCol w:w="1417"/>
        <w:gridCol w:w="1271"/>
        <w:gridCol w:w="1218"/>
      </w:tblGrid>
      <w:tr w:rsidR="00542AB5" w:rsidRPr="003B51C5" w14:paraId="146F52DB" w14:textId="77777777" w:rsidTr="00640C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1" w:type="dxa"/>
            <w:noWrap/>
            <w:hideMark/>
          </w:tcPr>
          <w:p w14:paraId="4152DD90" w14:textId="77777777" w:rsidR="00542AB5" w:rsidRPr="003B51C5" w:rsidRDefault="00542AB5" w:rsidP="00640C2B">
            <w:pPr>
              <w:spacing w:before="0" w:after="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w:t>
            </w:r>
          </w:p>
        </w:tc>
        <w:tc>
          <w:tcPr>
            <w:tcW w:w="1139" w:type="dxa"/>
            <w:noWrap/>
            <w:hideMark/>
          </w:tcPr>
          <w:p w14:paraId="230AAB51" w14:textId="77777777" w:rsidR="00542AB5" w:rsidRPr="003B51C5" w:rsidRDefault="00542AB5" w:rsidP="00640C2B">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 xml:space="preserve"> 500 m</w:t>
            </w:r>
            <w:r w:rsidRPr="003B51C5">
              <w:rPr>
                <w:rFonts w:ascii="Calibri" w:eastAsia="Times New Roman" w:hAnsi="Calibri" w:cs="Calibri"/>
                <w:b w:val="0"/>
                <w:bCs w:val="0"/>
                <w:color w:val="000000"/>
                <w:sz w:val="22"/>
                <w:vertAlign w:val="superscript"/>
                <w:lang w:eastAsia="en-AU"/>
              </w:rPr>
              <w:t>2</w:t>
            </w:r>
            <w:r w:rsidRPr="003B51C5">
              <w:rPr>
                <w:rFonts w:ascii="Calibri" w:eastAsia="Times New Roman" w:hAnsi="Calibri" w:cs="Calibri"/>
                <w:b w:val="0"/>
                <w:bCs w:val="0"/>
                <w:color w:val="000000"/>
                <w:sz w:val="22"/>
                <w:lang w:eastAsia="en-AU"/>
              </w:rPr>
              <w:t xml:space="preserve"> </w:t>
            </w:r>
          </w:p>
        </w:tc>
        <w:tc>
          <w:tcPr>
            <w:tcW w:w="1276" w:type="dxa"/>
            <w:noWrap/>
            <w:hideMark/>
          </w:tcPr>
          <w:p w14:paraId="6B5AF945" w14:textId="77777777" w:rsidR="00542AB5" w:rsidRPr="003B51C5" w:rsidRDefault="00542AB5" w:rsidP="00640C2B">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 xml:space="preserve"> 1,000m</w:t>
            </w:r>
            <w:r w:rsidRPr="003B51C5">
              <w:rPr>
                <w:rFonts w:ascii="Calibri" w:eastAsia="Times New Roman" w:hAnsi="Calibri" w:cs="Calibri"/>
                <w:b w:val="0"/>
                <w:bCs w:val="0"/>
                <w:color w:val="000000"/>
                <w:sz w:val="22"/>
                <w:vertAlign w:val="superscript"/>
                <w:lang w:eastAsia="en-AU"/>
              </w:rPr>
              <w:t xml:space="preserve">2 </w:t>
            </w:r>
          </w:p>
        </w:tc>
        <w:tc>
          <w:tcPr>
            <w:tcW w:w="1276" w:type="dxa"/>
            <w:noWrap/>
            <w:hideMark/>
          </w:tcPr>
          <w:p w14:paraId="1C19CAC6" w14:textId="77777777" w:rsidR="00542AB5" w:rsidRPr="003B51C5" w:rsidRDefault="00542AB5" w:rsidP="00640C2B">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 xml:space="preserve"> 5,000m</w:t>
            </w:r>
            <w:r w:rsidRPr="003B51C5">
              <w:rPr>
                <w:rFonts w:ascii="Calibri" w:eastAsia="Times New Roman" w:hAnsi="Calibri" w:cs="Calibri"/>
                <w:b w:val="0"/>
                <w:bCs w:val="0"/>
                <w:color w:val="000000"/>
                <w:sz w:val="22"/>
                <w:vertAlign w:val="superscript"/>
                <w:lang w:eastAsia="en-AU"/>
              </w:rPr>
              <w:t>2</w:t>
            </w:r>
            <w:r w:rsidRPr="003B51C5">
              <w:rPr>
                <w:rFonts w:ascii="Calibri" w:eastAsia="Times New Roman" w:hAnsi="Calibri" w:cs="Calibri"/>
                <w:b w:val="0"/>
                <w:bCs w:val="0"/>
                <w:color w:val="000000"/>
                <w:sz w:val="22"/>
                <w:lang w:eastAsia="en-AU"/>
              </w:rPr>
              <w:t xml:space="preserve"> </w:t>
            </w:r>
          </w:p>
        </w:tc>
        <w:tc>
          <w:tcPr>
            <w:tcW w:w="1417" w:type="dxa"/>
            <w:noWrap/>
            <w:hideMark/>
          </w:tcPr>
          <w:p w14:paraId="2484C767" w14:textId="77777777" w:rsidR="00542AB5" w:rsidRPr="003B51C5" w:rsidRDefault="00542AB5" w:rsidP="00640C2B">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 xml:space="preserve"> 10,000m</w:t>
            </w:r>
            <w:r w:rsidRPr="003B51C5">
              <w:rPr>
                <w:rFonts w:ascii="Calibri" w:eastAsia="Times New Roman" w:hAnsi="Calibri" w:cs="Calibri"/>
                <w:b w:val="0"/>
                <w:bCs w:val="0"/>
                <w:color w:val="000000"/>
                <w:sz w:val="22"/>
                <w:vertAlign w:val="superscript"/>
                <w:lang w:eastAsia="en-AU"/>
              </w:rPr>
              <w:t>2</w:t>
            </w:r>
            <w:r w:rsidRPr="003B51C5">
              <w:rPr>
                <w:rFonts w:ascii="Calibri" w:eastAsia="Times New Roman" w:hAnsi="Calibri" w:cs="Calibri"/>
                <w:b w:val="0"/>
                <w:bCs w:val="0"/>
                <w:color w:val="000000"/>
                <w:sz w:val="22"/>
                <w:lang w:eastAsia="en-AU"/>
              </w:rPr>
              <w:t xml:space="preserve"> </w:t>
            </w:r>
          </w:p>
        </w:tc>
        <w:tc>
          <w:tcPr>
            <w:tcW w:w="1271" w:type="dxa"/>
            <w:noWrap/>
            <w:hideMark/>
          </w:tcPr>
          <w:p w14:paraId="14E27A1C" w14:textId="77777777" w:rsidR="00542AB5" w:rsidRPr="003B51C5" w:rsidRDefault="00542AB5" w:rsidP="00640C2B">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 xml:space="preserve"> 20,000m</w:t>
            </w:r>
            <w:r w:rsidRPr="003B51C5">
              <w:rPr>
                <w:rFonts w:ascii="Calibri" w:eastAsia="Times New Roman" w:hAnsi="Calibri" w:cs="Calibri"/>
                <w:b w:val="0"/>
                <w:bCs w:val="0"/>
                <w:color w:val="000000"/>
                <w:sz w:val="22"/>
                <w:vertAlign w:val="superscript"/>
                <w:lang w:eastAsia="en-AU"/>
              </w:rPr>
              <w:t>2</w:t>
            </w:r>
            <w:r w:rsidRPr="003B51C5">
              <w:rPr>
                <w:rFonts w:ascii="Calibri" w:eastAsia="Times New Roman" w:hAnsi="Calibri" w:cs="Calibri"/>
                <w:b w:val="0"/>
                <w:bCs w:val="0"/>
                <w:color w:val="000000"/>
                <w:sz w:val="22"/>
                <w:lang w:eastAsia="en-AU"/>
              </w:rPr>
              <w:t xml:space="preserve"> </w:t>
            </w:r>
          </w:p>
        </w:tc>
        <w:tc>
          <w:tcPr>
            <w:tcW w:w="1218" w:type="dxa"/>
            <w:noWrap/>
            <w:hideMark/>
          </w:tcPr>
          <w:p w14:paraId="4F7346C8" w14:textId="77777777" w:rsidR="00542AB5" w:rsidRPr="003B51C5" w:rsidRDefault="00542AB5" w:rsidP="00640C2B">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 xml:space="preserve"> 30,000m</w:t>
            </w:r>
            <w:r w:rsidRPr="003B51C5">
              <w:rPr>
                <w:rFonts w:ascii="Calibri" w:eastAsia="Times New Roman" w:hAnsi="Calibri" w:cs="Calibri"/>
                <w:b w:val="0"/>
                <w:bCs w:val="0"/>
                <w:color w:val="000000"/>
                <w:sz w:val="22"/>
                <w:vertAlign w:val="superscript"/>
                <w:lang w:eastAsia="en-AU"/>
              </w:rPr>
              <w:t>2</w:t>
            </w:r>
            <w:r w:rsidRPr="003B51C5">
              <w:rPr>
                <w:rFonts w:ascii="Calibri" w:eastAsia="Times New Roman" w:hAnsi="Calibri" w:cs="Calibri"/>
                <w:b w:val="0"/>
                <w:bCs w:val="0"/>
                <w:color w:val="000000"/>
                <w:sz w:val="22"/>
                <w:lang w:eastAsia="en-AU"/>
              </w:rPr>
              <w:t xml:space="preserve"> </w:t>
            </w:r>
          </w:p>
        </w:tc>
      </w:tr>
      <w:tr w:rsidR="00542AB5" w:rsidRPr="003B51C5" w14:paraId="447C68C3" w14:textId="77777777" w:rsidTr="00640C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91" w:type="dxa"/>
            <w:noWrap/>
            <w:hideMark/>
          </w:tcPr>
          <w:p w14:paraId="0DCA5A21" w14:textId="77777777" w:rsidR="00542AB5" w:rsidRPr="003B51C5" w:rsidRDefault="00542AB5" w:rsidP="00640C2B">
            <w:pPr>
              <w:spacing w:before="0" w:after="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2 to 4 Star</w:t>
            </w:r>
          </w:p>
        </w:tc>
        <w:tc>
          <w:tcPr>
            <w:tcW w:w="1139" w:type="dxa"/>
            <w:noWrap/>
            <w:hideMark/>
          </w:tcPr>
          <w:p w14:paraId="26F04ACE"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$20,738 </w:t>
            </w:r>
          </w:p>
        </w:tc>
        <w:tc>
          <w:tcPr>
            <w:tcW w:w="1276" w:type="dxa"/>
            <w:noWrap/>
            <w:hideMark/>
          </w:tcPr>
          <w:p w14:paraId="6B7277C2"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$41,476 </w:t>
            </w:r>
          </w:p>
        </w:tc>
        <w:tc>
          <w:tcPr>
            <w:tcW w:w="1276" w:type="dxa"/>
            <w:noWrap/>
            <w:hideMark/>
          </w:tcPr>
          <w:p w14:paraId="21692CCA"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$207,380 </w:t>
            </w:r>
          </w:p>
        </w:tc>
        <w:tc>
          <w:tcPr>
            <w:tcW w:w="1417" w:type="dxa"/>
            <w:noWrap/>
            <w:hideMark/>
          </w:tcPr>
          <w:p w14:paraId="5AE7F6A8"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$414,760 </w:t>
            </w:r>
          </w:p>
        </w:tc>
        <w:tc>
          <w:tcPr>
            <w:tcW w:w="1271" w:type="dxa"/>
            <w:noWrap/>
            <w:hideMark/>
          </w:tcPr>
          <w:p w14:paraId="0FEE6A7E"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$829,519 </w:t>
            </w:r>
          </w:p>
        </w:tc>
        <w:tc>
          <w:tcPr>
            <w:tcW w:w="1218" w:type="dxa"/>
            <w:noWrap/>
            <w:hideMark/>
          </w:tcPr>
          <w:p w14:paraId="487826FC"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$1,244,279 </w:t>
            </w:r>
          </w:p>
        </w:tc>
      </w:tr>
      <w:tr w:rsidR="00542AB5" w:rsidRPr="003B51C5" w14:paraId="100AC7F2" w14:textId="77777777" w:rsidTr="00640C2B">
        <w:trPr>
          <w:trHeight w:val="288"/>
        </w:trPr>
        <w:tc>
          <w:tcPr>
            <w:cnfStyle w:val="001000000000" w:firstRow="0" w:lastRow="0" w:firstColumn="1" w:lastColumn="0" w:oddVBand="0" w:evenVBand="0" w:oddHBand="0" w:evenHBand="0" w:firstRowFirstColumn="0" w:firstRowLastColumn="0" w:lastRowFirstColumn="0" w:lastRowLastColumn="0"/>
            <w:tcW w:w="1691" w:type="dxa"/>
            <w:noWrap/>
            <w:hideMark/>
          </w:tcPr>
          <w:p w14:paraId="73CBEB29" w14:textId="77777777" w:rsidR="00542AB5" w:rsidRPr="003B51C5" w:rsidRDefault="00542AB5" w:rsidP="00640C2B">
            <w:pPr>
              <w:spacing w:before="0" w:after="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3 to 4 Star</w:t>
            </w:r>
          </w:p>
        </w:tc>
        <w:tc>
          <w:tcPr>
            <w:tcW w:w="1139" w:type="dxa"/>
            <w:noWrap/>
            <w:hideMark/>
          </w:tcPr>
          <w:p w14:paraId="71097A6E" w14:textId="77777777" w:rsidR="00542AB5" w:rsidRPr="003B51C5" w:rsidRDefault="00542AB5" w:rsidP="00640C2B">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$8,619 </w:t>
            </w:r>
          </w:p>
        </w:tc>
        <w:tc>
          <w:tcPr>
            <w:tcW w:w="1276" w:type="dxa"/>
            <w:noWrap/>
            <w:hideMark/>
          </w:tcPr>
          <w:p w14:paraId="13AAB597" w14:textId="77777777" w:rsidR="00542AB5" w:rsidRPr="003B51C5" w:rsidRDefault="00542AB5" w:rsidP="00640C2B">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$17,239 </w:t>
            </w:r>
          </w:p>
        </w:tc>
        <w:tc>
          <w:tcPr>
            <w:tcW w:w="1276" w:type="dxa"/>
            <w:noWrap/>
            <w:hideMark/>
          </w:tcPr>
          <w:p w14:paraId="17051D6D" w14:textId="77777777" w:rsidR="00542AB5" w:rsidRPr="003B51C5" w:rsidRDefault="00542AB5" w:rsidP="00640C2B">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$86,195 </w:t>
            </w:r>
          </w:p>
        </w:tc>
        <w:tc>
          <w:tcPr>
            <w:tcW w:w="1417" w:type="dxa"/>
            <w:noWrap/>
            <w:hideMark/>
          </w:tcPr>
          <w:p w14:paraId="3A46A196" w14:textId="77777777" w:rsidR="00542AB5" w:rsidRPr="003B51C5" w:rsidRDefault="00542AB5" w:rsidP="00640C2B">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$172,389 </w:t>
            </w:r>
          </w:p>
        </w:tc>
        <w:tc>
          <w:tcPr>
            <w:tcW w:w="1271" w:type="dxa"/>
            <w:noWrap/>
            <w:hideMark/>
          </w:tcPr>
          <w:p w14:paraId="42B1B9CE" w14:textId="77777777" w:rsidR="00542AB5" w:rsidRPr="003B51C5" w:rsidRDefault="00542AB5" w:rsidP="00640C2B">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$344,779 </w:t>
            </w:r>
          </w:p>
        </w:tc>
        <w:tc>
          <w:tcPr>
            <w:tcW w:w="1218" w:type="dxa"/>
            <w:noWrap/>
            <w:hideMark/>
          </w:tcPr>
          <w:p w14:paraId="3731E429" w14:textId="77777777" w:rsidR="00542AB5" w:rsidRPr="003B51C5" w:rsidRDefault="00542AB5" w:rsidP="00640C2B">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$517,168 </w:t>
            </w:r>
          </w:p>
        </w:tc>
      </w:tr>
      <w:tr w:rsidR="00542AB5" w:rsidRPr="003B51C5" w14:paraId="79C2A9C5" w14:textId="77777777" w:rsidTr="00640C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1" w:type="dxa"/>
            <w:noWrap/>
            <w:hideMark/>
          </w:tcPr>
          <w:p w14:paraId="08A55A98" w14:textId="77777777" w:rsidR="00542AB5" w:rsidRPr="003B51C5" w:rsidRDefault="00542AB5" w:rsidP="00640C2B">
            <w:pPr>
              <w:spacing w:before="0" w:after="0"/>
              <w:rPr>
                <w:rFonts w:ascii="Calibri" w:eastAsia="Times New Roman" w:hAnsi="Calibri" w:cs="Calibri"/>
                <w:b w:val="0"/>
                <w:bCs w:val="0"/>
                <w:color w:val="000000"/>
                <w:sz w:val="22"/>
                <w:lang w:eastAsia="en-AU"/>
              </w:rPr>
            </w:pPr>
            <w:r w:rsidRPr="003B51C5">
              <w:rPr>
                <w:rFonts w:ascii="Calibri" w:eastAsia="Times New Roman" w:hAnsi="Calibri" w:cs="Calibri"/>
                <w:b w:val="0"/>
                <w:bCs w:val="0"/>
                <w:color w:val="000000"/>
                <w:sz w:val="22"/>
                <w:lang w:eastAsia="en-AU"/>
              </w:rPr>
              <w:t>4 to 5 Star</w:t>
            </w:r>
          </w:p>
        </w:tc>
        <w:tc>
          <w:tcPr>
            <w:tcW w:w="1139" w:type="dxa"/>
            <w:noWrap/>
            <w:hideMark/>
          </w:tcPr>
          <w:p w14:paraId="4A913E3A"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$8,619 </w:t>
            </w:r>
          </w:p>
        </w:tc>
        <w:tc>
          <w:tcPr>
            <w:tcW w:w="1276" w:type="dxa"/>
            <w:noWrap/>
            <w:hideMark/>
          </w:tcPr>
          <w:p w14:paraId="410D1C13"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$17,239 </w:t>
            </w:r>
          </w:p>
        </w:tc>
        <w:tc>
          <w:tcPr>
            <w:tcW w:w="1276" w:type="dxa"/>
            <w:noWrap/>
            <w:hideMark/>
          </w:tcPr>
          <w:p w14:paraId="2EFAD90C"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$86,195 </w:t>
            </w:r>
          </w:p>
        </w:tc>
        <w:tc>
          <w:tcPr>
            <w:tcW w:w="1417" w:type="dxa"/>
            <w:noWrap/>
            <w:hideMark/>
          </w:tcPr>
          <w:p w14:paraId="68657A86"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$172,389 </w:t>
            </w:r>
          </w:p>
        </w:tc>
        <w:tc>
          <w:tcPr>
            <w:tcW w:w="1271" w:type="dxa"/>
            <w:noWrap/>
            <w:hideMark/>
          </w:tcPr>
          <w:p w14:paraId="181A465E"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$344,779 </w:t>
            </w:r>
          </w:p>
        </w:tc>
        <w:tc>
          <w:tcPr>
            <w:tcW w:w="1218" w:type="dxa"/>
            <w:noWrap/>
            <w:hideMark/>
          </w:tcPr>
          <w:p w14:paraId="430A35E7" w14:textId="77777777" w:rsidR="00542AB5" w:rsidRPr="003B51C5" w:rsidRDefault="00542AB5" w:rsidP="00640C2B">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3B51C5">
              <w:rPr>
                <w:rFonts w:ascii="Calibri" w:eastAsia="Times New Roman" w:hAnsi="Calibri" w:cs="Calibri"/>
                <w:color w:val="000000"/>
                <w:sz w:val="22"/>
                <w:lang w:eastAsia="en-AU"/>
              </w:rPr>
              <w:t xml:space="preserve">$517,168 </w:t>
            </w:r>
          </w:p>
        </w:tc>
      </w:tr>
    </w:tbl>
    <w:p w14:paraId="6F417829"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17323EEA" w14:textId="20814222" w:rsidR="002652A5" w:rsidRPr="002A08A2" w:rsidRDefault="002652A5" w:rsidP="002A08A2">
      <w:pPr>
        <w:pStyle w:val="Heading2"/>
        <w:numPr>
          <w:ilvl w:val="0"/>
          <w:numId w:val="0"/>
        </w:numPr>
        <w:ind w:left="576"/>
      </w:pPr>
      <w:bookmarkStart w:id="338" w:name="_Toc162535480"/>
      <w:bookmarkStart w:id="339" w:name="_Table_44:_Figure"/>
      <w:bookmarkEnd w:id="339"/>
      <w:r w:rsidRPr="002A08A2">
        <w:t xml:space="preserve">Table </w:t>
      </w:r>
      <w:r w:rsidRPr="002A08A2">
        <w:fldChar w:fldCharType="begin"/>
      </w:r>
      <w:r w:rsidRPr="002A08A2">
        <w:instrText xml:space="preserve"> SEQ Table \* ARABIC </w:instrText>
      </w:r>
      <w:r w:rsidRPr="002A08A2">
        <w:fldChar w:fldCharType="separate"/>
      </w:r>
      <w:r w:rsidR="00D24A06" w:rsidRPr="002A08A2">
        <w:t>44</w:t>
      </w:r>
      <w:r w:rsidRPr="002A08A2">
        <w:fldChar w:fldCharType="end"/>
      </w:r>
      <w:r w:rsidRPr="002A08A2">
        <w:t>:</w:t>
      </w:r>
      <w:r w:rsidR="00350F35" w:rsidRPr="002A08A2">
        <w:t xml:space="preserve"> </w:t>
      </w:r>
      <w:r w:rsidR="00350F35" w:rsidRPr="002A08A2">
        <w:fldChar w:fldCharType="begin" w:fldLock="1"/>
      </w:r>
      <w:r w:rsidR="00350F35" w:rsidRPr="002A08A2">
        <w:instrText xml:space="preserve"> REF _Ref157680974 \h  \* MERGEFORMAT </w:instrText>
      </w:r>
      <w:r w:rsidR="00350F35" w:rsidRPr="002A08A2">
        <w:fldChar w:fldCharType="separate"/>
      </w:r>
      <w:r w:rsidR="00350F35" w:rsidRPr="002A08A2">
        <w:t>Figure 19</w:t>
      </w:r>
      <w:r w:rsidR="00350F35" w:rsidRPr="002A08A2">
        <w:fldChar w:fldCharType="end"/>
      </w:r>
      <w:r w:rsidRPr="002A08A2">
        <w:t xml:space="preserve"> - Approximate cost and benefits of scope 1 disclosure policy over 20 years for the average building (Smaller building size assumed)</w:t>
      </w:r>
      <w:bookmarkEnd w:id="338"/>
    </w:p>
    <w:tbl>
      <w:tblPr>
        <w:tblStyle w:val="PlainTable1"/>
        <w:tblW w:w="0" w:type="auto"/>
        <w:tblLook w:val="04A0" w:firstRow="1" w:lastRow="0" w:firstColumn="1" w:lastColumn="0" w:noHBand="0" w:noVBand="1"/>
      </w:tblPr>
      <w:tblGrid>
        <w:gridCol w:w="2122"/>
        <w:gridCol w:w="1417"/>
      </w:tblGrid>
      <w:tr w:rsidR="0056601B" w14:paraId="57394D7A" w14:textId="77777777" w:rsidTr="00640C2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2" w:type="dxa"/>
          </w:tcPr>
          <w:p w14:paraId="5CC27FAA" w14:textId="77777777" w:rsidR="0056601B" w:rsidRPr="009F0305" w:rsidRDefault="0056601B" w:rsidP="00640C2B">
            <w:pPr>
              <w:spacing w:before="0" w:after="160"/>
              <w:rPr>
                <w:rFonts w:asciiTheme="minorHAnsi" w:hAnsiTheme="minorHAnsi" w:cstheme="minorHAnsi"/>
                <w:lang w:val="en-GB"/>
              </w:rPr>
            </w:pPr>
            <w:r w:rsidRPr="009F0305">
              <w:rPr>
                <w:rFonts w:asciiTheme="minorHAnsi" w:hAnsiTheme="minorHAnsi" w:cstheme="minorHAnsi"/>
                <w:lang w:val="en-GB"/>
              </w:rPr>
              <w:t>Component</w:t>
            </w:r>
          </w:p>
        </w:tc>
        <w:tc>
          <w:tcPr>
            <w:tcW w:w="1417" w:type="dxa"/>
          </w:tcPr>
          <w:p w14:paraId="2CA87FBD" w14:textId="77777777" w:rsidR="0056601B" w:rsidRPr="009F0305" w:rsidRDefault="0056601B" w:rsidP="00640C2B">
            <w:pPr>
              <w:spacing w:before="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9F0305">
              <w:rPr>
                <w:rFonts w:asciiTheme="minorHAnsi" w:hAnsiTheme="minorHAnsi" w:cstheme="minorHAnsi"/>
                <w:lang w:val="en-GB"/>
              </w:rPr>
              <w:t>Cost/Benefit</w:t>
            </w:r>
          </w:p>
        </w:tc>
      </w:tr>
      <w:tr w:rsidR="0056601B" w14:paraId="7DDB539F" w14:textId="77777777" w:rsidTr="00640C2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22" w:type="dxa"/>
          </w:tcPr>
          <w:p w14:paraId="4C5E16AA" w14:textId="77777777" w:rsidR="0056601B" w:rsidRPr="009F0305" w:rsidRDefault="0056601B"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 xml:space="preserve">Bill Saving </w:t>
            </w:r>
          </w:p>
        </w:tc>
        <w:tc>
          <w:tcPr>
            <w:tcW w:w="1417" w:type="dxa"/>
          </w:tcPr>
          <w:p w14:paraId="50984D53" w14:textId="10B3DE69" w:rsidR="0056601B" w:rsidRPr="00C57563" w:rsidRDefault="00783854"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$2,678</w:t>
            </w:r>
          </w:p>
        </w:tc>
      </w:tr>
      <w:tr w:rsidR="0056601B" w14:paraId="13538794"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6223FF3C" w14:textId="77777777" w:rsidR="0056601B" w:rsidRPr="009F0305" w:rsidRDefault="0056601B"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Emission Saving</w:t>
            </w:r>
          </w:p>
        </w:tc>
        <w:tc>
          <w:tcPr>
            <w:tcW w:w="1417" w:type="dxa"/>
          </w:tcPr>
          <w:p w14:paraId="1A038009" w14:textId="2A071B13" w:rsidR="0056601B" w:rsidRPr="00C57563" w:rsidRDefault="00783854"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$1,813</w:t>
            </w:r>
          </w:p>
        </w:tc>
      </w:tr>
      <w:tr w:rsidR="0056601B" w14:paraId="0E9F9558"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84F5FC" w14:textId="77777777" w:rsidR="0056601B" w:rsidRPr="009F0305" w:rsidRDefault="0056601B" w:rsidP="00640C2B">
            <w:pPr>
              <w:spacing w:before="0" w:after="160"/>
              <w:rPr>
                <w:rFonts w:asciiTheme="minorHAnsi" w:hAnsiTheme="minorHAnsi" w:cstheme="minorHAnsi"/>
                <w:b w:val="0"/>
                <w:bCs w:val="0"/>
                <w:lang w:val="en-GB"/>
              </w:rPr>
            </w:pPr>
            <w:r>
              <w:rPr>
                <w:rFonts w:asciiTheme="minorHAnsi" w:hAnsiTheme="minorHAnsi" w:cstheme="minorHAnsi"/>
                <w:b w:val="0"/>
                <w:bCs w:val="0"/>
              </w:rPr>
              <w:t>U</w:t>
            </w:r>
            <w:r w:rsidRPr="009F0305">
              <w:rPr>
                <w:rFonts w:asciiTheme="minorHAnsi" w:hAnsiTheme="minorHAnsi" w:cstheme="minorHAnsi"/>
                <w:b w:val="0"/>
                <w:bCs w:val="0"/>
              </w:rPr>
              <w:t>pgrade costs</w:t>
            </w:r>
          </w:p>
        </w:tc>
        <w:tc>
          <w:tcPr>
            <w:tcW w:w="1417" w:type="dxa"/>
          </w:tcPr>
          <w:p w14:paraId="35DD8762" w14:textId="45A6DCE4" w:rsidR="0056601B" w:rsidRPr="00C57563" w:rsidRDefault="002652A5"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-$683</w:t>
            </w:r>
          </w:p>
        </w:tc>
      </w:tr>
      <w:tr w:rsidR="0056601B" w14:paraId="31B25949"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73800E60" w14:textId="77777777" w:rsidR="0056601B" w:rsidRPr="009F0305" w:rsidRDefault="0056601B" w:rsidP="00640C2B">
            <w:pPr>
              <w:spacing w:before="0" w:after="160"/>
              <w:rPr>
                <w:rFonts w:asciiTheme="minorHAnsi" w:hAnsiTheme="minorHAnsi" w:cstheme="minorHAnsi"/>
                <w:b w:val="0"/>
                <w:bCs w:val="0"/>
                <w:lang w:val="en-GB"/>
              </w:rPr>
            </w:pPr>
            <w:r>
              <w:rPr>
                <w:rFonts w:asciiTheme="minorHAnsi" w:hAnsiTheme="minorHAnsi" w:cstheme="minorHAnsi"/>
                <w:b w:val="0"/>
                <w:bCs w:val="0"/>
              </w:rPr>
              <w:t>P</w:t>
            </w:r>
            <w:r w:rsidRPr="009F0305">
              <w:rPr>
                <w:rFonts w:asciiTheme="minorHAnsi" w:hAnsiTheme="minorHAnsi" w:cstheme="minorHAnsi"/>
                <w:b w:val="0"/>
                <w:bCs w:val="0"/>
              </w:rPr>
              <w:t xml:space="preserve">rogram costs </w:t>
            </w:r>
          </w:p>
        </w:tc>
        <w:tc>
          <w:tcPr>
            <w:tcW w:w="1417" w:type="dxa"/>
          </w:tcPr>
          <w:p w14:paraId="12B48080" w14:textId="2C97A05F" w:rsidR="0056601B" w:rsidRPr="00C57563" w:rsidRDefault="002652A5"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-$700</w:t>
            </w:r>
          </w:p>
        </w:tc>
      </w:tr>
      <w:tr w:rsidR="0056601B" w14:paraId="25AE1DF7" w14:textId="77777777" w:rsidTr="00640C2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22" w:type="dxa"/>
          </w:tcPr>
          <w:p w14:paraId="2218147F" w14:textId="77777777" w:rsidR="0056601B" w:rsidRPr="009F0305" w:rsidRDefault="0056601B" w:rsidP="00640C2B">
            <w:pPr>
              <w:spacing w:before="0" w:after="160"/>
              <w:rPr>
                <w:rFonts w:asciiTheme="minorHAnsi" w:hAnsiTheme="minorHAnsi" w:cstheme="minorHAnsi"/>
                <w:lang w:val="en-GB"/>
              </w:rPr>
            </w:pPr>
            <w:r w:rsidRPr="009F0305">
              <w:rPr>
                <w:rFonts w:asciiTheme="minorHAnsi" w:hAnsiTheme="minorHAnsi" w:cstheme="minorHAnsi"/>
              </w:rPr>
              <w:t xml:space="preserve">Net Position </w:t>
            </w:r>
          </w:p>
        </w:tc>
        <w:tc>
          <w:tcPr>
            <w:tcW w:w="1417" w:type="dxa"/>
          </w:tcPr>
          <w:p w14:paraId="10D710D9" w14:textId="39E0C554" w:rsidR="0056601B" w:rsidRPr="00C57563" w:rsidRDefault="002652A5"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r w:rsidRPr="00C57563">
              <w:rPr>
                <w:rFonts w:asciiTheme="minorHAnsi" w:hAnsiTheme="minorHAnsi" w:cstheme="minorHAnsi"/>
                <w:b/>
                <w:lang w:val="en-GB"/>
              </w:rPr>
              <w:t>$3,109</w:t>
            </w:r>
          </w:p>
        </w:tc>
      </w:tr>
    </w:tbl>
    <w:p w14:paraId="5D2EB497"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2F68D8E9" w14:textId="10FC483F" w:rsidR="00107C2C" w:rsidRPr="002A08A2" w:rsidRDefault="00107C2C" w:rsidP="002A08A2">
      <w:pPr>
        <w:pStyle w:val="Heading2"/>
        <w:numPr>
          <w:ilvl w:val="0"/>
          <w:numId w:val="0"/>
        </w:numPr>
        <w:ind w:left="576"/>
      </w:pPr>
      <w:bookmarkStart w:id="340" w:name="_Toc162535481"/>
      <w:bookmarkStart w:id="341" w:name="_Table_45:_Figure"/>
      <w:bookmarkEnd w:id="341"/>
      <w:r w:rsidRPr="002A08A2">
        <w:t xml:space="preserve">Table </w:t>
      </w:r>
      <w:r w:rsidRPr="002A08A2">
        <w:fldChar w:fldCharType="begin"/>
      </w:r>
      <w:r w:rsidRPr="002A08A2">
        <w:instrText xml:space="preserve"> SEQ Table \* ARABIC </w:instrText>
      </w:r>
      <w:r w:rsidRPr="002A08A2">
        <w:fldChar w:fldCharType="separate"/>
      </w:r>
      <w:r w:rsidR="00D24A06" w:rsidRPr="002A08A2">
        <w:t>45</w:t>
      </w:r>
      <w:r w:rsidRPr="002A08A2">
        <w:fldChar w:fldCharType="end"/>
      </w:r>
      <w:r w:rsidRPr="002A08A2">
        <w:t xml:space="preserve">: </w:t>
      </w:r>
      <w:r w:rsidRPr="002A08A2">
        <w:fldChar w:fldCharType="begin" w:fldLock="1"/>
      </w:r>
      <w:r w:rsidRPr="002A08A2">
        <w:instrText xml:space="preserve"> REF _Ref157681203 \h  \* MERGEFORMAT </w:instrText>
      </w:r>
      <w:r w:rsidRPr="002A08A2">
        <w:fldChar w:fldCharType="separate"/>
      </w:r>
      <w:r w:rsidRPr="002A08A2">
        <w:t>Figure 20</w:t>
      </w:r>
      <w:r w:rsidRPr="002A08A2">
        <w:fldChar w:fldCharType="end"/>
      </w:r>
      <w:r w:rsidRPr="002A08A2">
        <w:t xml:space="preserve"> - Approximate cost and benefits of scope 1 disclosure policy over 20 years for the average building (Larger building size assumed)</w:t>
      </w:r>
      <w:bookmarkEnd w:id="340"/>
    </w:p>
    <w:tbl>
      <w:tblPr>
        <w:tblStyle w:val="PlainTable1"/>
        <w:tblW w:w="0" w:type="auto"/>
        <w:tblLook w:val="04A0" w:firstRow="1" w:lastRow="0" w:firstColumn="1" w:lastColumn="0" w:noHBand="0" w:noVBand="1"/>
      </w:tblPr>
      <w:tblGrid>
        <w:gridCol w:w="2122"/>
        <w:gridCol w:w="1417"/>
      </w:tblGrid>
      <w:tr w:rsidR="0056601B" w14:paraId="651D6AEF" w14:textId="77777777" w:rsidTr="00640C2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122" w:type="dxa"/>
          </w:tcPr>
          <w:p w14:paraId="0363BA9D" w14:textId="77777777" w:rsidR="0056601B" w:rsidRPr="009F0305" w:rsidRDefault="0056601B" w:rsidP="00640C2B">
            <w:pPr>
              <w:spacing w:before="0" w:after="160"/>
              <w:rPr>
                <w:rFonts w:asciiTheme="minorHAnsi" w:hAnsiTheme="minorHAnsi" w:cstheme="minorHAnsi"/>
                <w:lang w:val="en-GB"/>
              </w:rPr>
            </w:pPr>
            <w:r w:rsidRPr="009F0305">
              <w:rPr>
                <w:rFonts w:asciiTheme="minorHAnsi" w:hAnsiTheme="minorHAnsi" w:cstheme="minorHAnsi"/>
                <w:lang w:val="en-GB"/>
              </w:rPr>
              <w:t>Component</w:t>
            </w:r>
          </w:p>
        </w:tc>
        <w:tc>
          <w:tcPr>
            <w:tcW w:w="1417" w:type="dxa"/>
          </w:tcPr>
          <w:p w14:paraId="23FABC7A" w14:textId="77777777" w:rsidR="0056601B" w:rsidRPr="00C57563" w:rsidRDefault="0056601B" w:rsidP="00640C2B">
            <w:pPr>
              <w:spacing w:before="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Cost/Benefit</w:t>
            </w:r>
          </w:p>
        </w:tc>
      </w:tr>
      <w:tr w:rsidR="0056601B" w14:paraId="77C9F1AE" w14:textId="77777777" w:rsidTr="00640C2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22" w:type="dxa"/>
          </w:tcPr>
          <w:p w14:paraId="349C5221" w14:textId="77777777" w:rsidR="0056601B" w:rsidRPr="009F0305" w:rsidRDefault="0056601B"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 xml:space="preserve">Bill Saving </w:t>
            </w:r>
          </w:p>
        </w:tc>
        <w:tc>
          <w:tcPr>
            <w:tcW w:w="1417" w:type="dxa"/>
          </w:tcPr>
          <w:p w14:paraId="6C0786C4" w14:textId="0A985809" w:rsidR="0056601B" w:rsidRPr="00C57563" w:rsidRDefault="00107C2C"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$4,463</w:t>
            </w:r>
          </w:p>
        </w:tc>
      </w:tr>
      <w:tr w:rsidR="0056601B" w14:paraId="1E4E1D5F"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19499062" w14:textId="77777777" w:rsidR="0056601B" w:rsidRPr="009F0305" w:rsidRDefault="0056601B" w:rsidP="00640C2B">
            <w:pPr>
              <w:spacing w:before="0" w:after="160"/>
              <w:rPr>
                <w:rFonts w:asciiTheme="minorHAnsi" w:hAnsiTheme="minorHAnsi" w:cstheme="minorHAnsi"/>
                <w:b w:val="0"/>
                <w:bCs w:val="0"/>
                <w:lang w:val="en-GB"/>
              </w:rPr>
            </w:pPr>
            <w:r w:rsidRPr="009F0305">
              <w:rPr>
                <w:rFonts w:asciiTheme="minorHAnsi" w:hAnsiTheme="minorHAnsi" w:cstheme="minorHAnsi"/>
                <w:b w:val="0"/>
                <w:bCs w:val="0"/>
              </w:rPr>
              <w:t>Emission Saving</w:t>
            </w:r>
          </w:p>
        </w:tc>
        <w:tc>
          <w:tcPr>
            <w:tcW w:w="1417" w:type="dxa"/>
          </w:tcPr>
          <w:p w14:paraId="3634AFEE" w14:textId="63B06E35" w:rsidR="0056601B" w:rsidRPr="00C57563" w:rsidRDefault="00107C2C"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$3,022</w:t>
            </w:r>
          </w:p>
        </w:tc>
      </w:tr>
      <w:tr w:rsidR="0056601B" w14:paraId="4B843887" w14:textId="77777777" w:rsidTr="00640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C98C2C" w14:textId="77777777" w:rsidR="0056601B" w:rsidRPr="009F0305" w:rsidRDefault="0056601B" w:rsidP="00640C2B">
            <w:pPr>
              <w:spacing w:before="0" w:after="160"/>
              <w:rPr>
                <w:rFonts w:asciiTheme="minorHAnsi" w:hAnsiTheme="minorHAnsi" w:cstheme="minorHAnsi"/>
                <w:b w:val="0"/>
                <w:bCs w:val="0"/>
                <w:lang w:val="en-GB"/>
              </w:rPr>
            </w:pPr>
            <w:r>
              <w:rPr>
                <w:rFonts w:asciiTheme="minorHAnsi" w:hAnsiTheme="minorHAnsi" w:cstheme="minorHAnsi"/>
                <w:b w:val="0"/>
                <w:bCs w:val="0"/>
              </w:rPr>
              <w:t>U</w:t>
            </w:r>
            <w:r w:rsidRPr="009F0305">
              <w:rPr>
                <w:rFonts w:asciiTheme="minorHAnsi" w:hAnsiTheme="minorHAnsi" w:cstheme="minorHAnsi"/>
                <w:b w:val="0"/>
                <w:bCs w:val="0"/>
              </w:rPr>
              <w:t>pgrade costs</w:t>
            </w:r>
          </w:p>
        </w:tc>
        <w:tc>
          <w:tcPr>
            <w:tcW w:w="1417" w:type="dxa"/>
          </w:tcPr>
          <w:p w14:paraId="1013327A" w14:textId="62E4383B" w:rsidR="0056601B" w:rsidRPr="00C57563" w:rsidRDefault="00107C2C"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-$1,138</w:t>
            </w:r>
          </w:p>
        </w:tc>
      </w:tr>
      <w:tr w:rsidR="0056601B" w14:paraId="4FB2FFA7" w14:textId="77777777" w:rsidTr="00640C2B">
        <w:tc>
          <w:tcPr>
            <w:cnfStyle w:val="001000000000" w:firstRow="0" w:lastRow="0" w:firstColumn="1" w:lastColumn="0" w:oddVBand="0" w:evenVBand="0" w:oddHBand="0" w:evenHBand="0" w:firstRowFirstColumn="0" w:firstRowLastColumn="0" w:lastRowFirstColumn="0" w:lastRowLastColumn="0"/>
            <w:tcW w:w="2122" w:type="dxa"/>
          </w:tcPr>
          <w:p w14:paraId="2AFE907F" w14:textId="77777777" w:rsidR="0056601B" w:rsidRPr="009F0305" w:rsidRDefault="0056601B" w:rsidP="00640C2B">
            <w:pPr>
              <w:spacing w:before="0" w:after="160"/>
              <w:rPr>
                <w:rFonts w:asciiTheme="minorHAnsi" w:hAnsiTheme="minorHAnsi" w:cstheme="minorHAnsi"/>
                <w:b w:val="0"/>
                <w:bCs w:val="0"/>
                <w:lang w:val="en-GB"/>
              </w:rPr>
            </w:pPr>
            <w:r>
              <w:rPr>
                <w:rFonts w:asciiTheme="minorHAnsi" w:hAnsiTheme="minorHAnsi" w:cstheme="minorHAnsi"/>
                <w:b w:val="0"/>
                <w:bCs w:val="0"/>
              </w:rPr>
              <w:t>P</w:t>
            </w:r>
            <w:r w:rsidRPr="009F0305">
              <w:rPr>
                <w:rFonts w:asciiTheme="minorHAnsi" w:hAnsiTheme="minorHAnsi" w:cstheme="minorHAnsi"/>
                <w:b w:val="0"/>
                <w:bCs w:val="0"/>
              </w:rPr>
              <w:t xml:space="preserve">rogram costs </w:t>
            </w:r>
          </w:p>
        </w:tc>
        <w:tc>
          <w:tcPr>
            <w:tcW w:w="1417" w:type="dxa"/>
          </w:tcPr>
          <w:p w14:paraId="02FA198E" w14:textId="72D32437" w:rsidR="0056601B" w:rsidRPr="00C57563" w:rsidRDefault="00107C2C" w:rsidP="00640C2B">
            <w:pPr>
              <w:spacing w:before="0" w:after="1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57563">
              <w:rPr>
                <w:rFonts w:asciiTheme="minorHAnsi" w:hAnsiTheme="minorHAnsi" w:cstheme="minorHAnsi"/>
                <w:lang w:val="en-GB"/>
              </w:rPr>
              <w:t>-$1,166</w:t>
            </w:r>
          </w:p>
        </w:tc>
      </w:tr>
      <w:tr w:rsidR="0056601B" w14:paraId="7792E7CD" w14:textId="77777777" w:rsidTr="00640C2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22" w:type="dxa"/>
          </w:tcPr>
          <w:p w14:paraId="210683D0" w14:textId="77777777" w:rsidR="0056601B" w:rsidRPr="009F0305" w:rsidRDefault="0056601B" w:rsidP="00640C2B">
            <w:pPr>
              <w:spacing w:before="0" w:after="160"/>
              <w:rPr>
                <w:rFonts w:asciiTheme="minorHAnsi" w:hAnsiTheme="minorHAnsi" w:cstheme="minorHAnsi"/>
                <w:lang w:val="en-GB"/>
              </w:rPr>
            </w:pPr>
            <w:r w:rsidRPr="009F0305">
              <w:rPr>
                <w:rFonts w:asciiTheme="minorHAnsi" w:hAnsiTheme="minorHAnsi" w:cstheme="minorHAnsi"/>
              </w:rPr>
              <w:t xml:space="preserve">Net Position </w:t>
            </w:r>
          </w:p>
        </w:tc>
        <w:tc>
          <w:tcPr>
            <w:tcW w:w="1417" w:type="dxa"/>
          </w:tcPr>
          <w:p w14:paraId="11FB7A63" w14:textId="29FA9633" w:rsidR="0056601B" w:rsidRPr="00C57563" w:rsidRDefault="00107C2C" w:rsidP="00640C2B">
            <w:pPr>
              <w:spacing w:before="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r w:rsidRPr="00C57563">
              <w:rPr>
                <w:rFonts w:asciiTheme="minorHAnsi" w:hAnsiTheme="minorHAnsi" w:cstheme="minorHAnsi"/>
                <w:b/>
                <w:lang w:val="en-GB"/>
              </w:rPr>
              <w:t>$5,181</w:t>
            </w:r>
          </w:p>
        </w:tc>
      </w:tr>
    </w:tbl>
    <w:p w14:paraId="073C6EFF"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7809F4AC" w14:textId="77777777" w:rsidR="0056601B" w:rsidRDefault="0056601B" w:rsidP="00B76E63">
      <w:pPr>
        <w:spacing w:before="0" w:after="160" w:line="259" w:lineRule="auto"/>
        <w:rPr>
          <w:rFonts w:asciiTheme="minorHAnsi" w:hAnsiTheme="minorHAnsi" w:cstheme="minorHAnsi"/>
          <w:lang w:val="en-GB"/>
        </w:rPr>
      </w:pPr>
    </w:p>
    <w:p w14:paraId="52DFCA0D" w14:textId="54C57B1C" w:rsidR="008068D2" w:rsidRPr="002A08A2" w:rsidRDefault="007C7318" w:rsidP="002A08A2">
      <w:pPr>
        <w:pStyle w:val="Heading2"/>
        <w:numPr>
          <w:ilvl w:val="0"/>
          <w:numId w:val="0"/>
        </w:numPr>
        <w:ind w:left="576"/>
      </w:pPr>
      <w:r w:rsidRPr="002A08A2">
        <w:t xml:space="preserve">Description of </w:t>
      </w:r>
      <w:r w:rsidR="006A3EE5" w:rsidRPr="002A08A2">
        <w:fldChar w:fldCharType="begin" w:fldLock="1"/>
      </w:r>
      <w:r w:rsidR="006A3EE5" w:rsidRPr="002A08A2">
        <w:instrText xml:space="preserve"> REF _Ref148099500 \h  \* MERGEFORMAT </w:instrText>
      </w:r>
      <w:r w:rsidR="006A3EE5" w:rsidRPr="002A08A2">
        <w:fldChar w:fldCharType="separate"/>
      </w:r>
      <w:r w:rsidR="006A3EE5" w:rsidRPr="002A08A2">
        <w:t>Figure 22</w:t>
      </w:r>
      <w:r w:rsidR="006A3EE5" w:rsidRPr="002A08A2">
        <w:fldChar w:fldCharType="end"/>
      </w:r>
      <w:r w:rsidR="006A3EE5" w:rsidRPr="002A08A2">
        <w:t xml:space="preserve"> </w:t>
      </w:r>
      <w:r w:rsidR="00E61D0F" w:rsidRPr="002A08A2">
        <w:t xml:space="preserve">and </w:t>
      </w:r>
      <w:r w:rsidR="00E61D0F" w:rsidRPr="002A08A2">
        <w:fldChar w:fldCharType="begin" w:fldLock="1"/>
      </w:r>
      <w:r w:rsidR="00E61D0F" w:rsidRPr="002A08A2">
        <w:instrText xml:space="preserve"> REF _Ref149570878 \h </w:instrText>
      </w:r>
      <w:r w:rsidR="005438A1" w:rsidRPr="002A08A2">
        <w:instrText xml:space="preserve"> \* MERGEFORMAT </w:instrText>
      </w:r>
      <w:r w:rsidR="00E61D0F" w:rsidRPr="002A08A2">
        <w:fldChar w:fldCharType="separate"/>
      </w:r>
      <w:r w:rsidR="00E61D0F" w:rsidRPr="002A08A2">
        <w:t>Figure 2</w:t>
      </w:r>
      <w:r w:rsidR="00E61D0F" w:rsidRPr="002A08A2">
        <w:fldChar w:fldCharType="end"/>
      </w:r>
      <w:r w:rsidR="006A3EE5" w:rsidRPr="002A08A2">
        <w:t xml:space="preserve">- </w:t>
      </w:r>
      <w:r w:rsidR="008068D2" w:rsidRPr="002A08A2">
        <w:t>Roadmap principles:</w:t>
      </w:r>
    </w:p>
    <w:p w14:paraId="6E573EF8" w14:textId="77777777" w:rsidR="008068D2" w:rsidRPr="008068D2" w:rsidRDefault="008068D2" w:rsidP="008068D2">
      <w:pPr>
        <w:spacing w:before="0" w:after="160" w:line="259" w:lineRule="auto"/>
        <w:rPr>
          <w:rFonts w:asciiTheme="minorHAnsi" w:hAnsiTheme="minorHAnsi" w:cstheme="minorHAnsi"/>
          <w:lang w:val="en-GB"/>
        </w:rPr>
      </w:pPr>
      <w:r w:rsidRPr="008068D2">
        <w:rPr>
          <w:rFonts w:asciiTheme="minorHAnsi" w:hAnsiTheme="minorHAnsi" w:cstheme="minorHAnsi"/>
          <w:lang w:val="en-GB"/>
        </w:rPr>
        <w:t xml:space="preserve">1) Develop NABERS tool </w:t>
      </w:r>
      <w:proofErr w:type="gramStart"/>
      <w:r w:rsidRPr="008068D2">
        <w:rPr>
          <w:rFonts w:asciiTheme="minorHAnsi" w:hAnsiTheme="minorHAnsi" w:cstheme="minorHAnsi"/>
          <w:lang w:val="en-GB"/>
        </w:rPr>
        <w:t>-  enables</w:t>
      </w:r>
      <w:proofErr w:type="gramEnd"/>
      <w:r w:rsidRPr="008068D2">
        <w:rPr>
          <w:rFonts w:asciiTheme="minorHAnsi" w:hAnsiTheme="minorHAnsi" w:cstheme="minorHAnsi"/>
          <w:lang w:val="en-GB"/>
        </w:rPr>
        <w:t xml:space="preserve"> buildings to assess and benchmark energy efficiency</w:t>
      </w:r>
    </w:p>
    <w:p w14:paraId="24179FAA" w14:textId="77777777" w:rsidR="008068D2" w:rsidRPr="008068D2" w:rsidRDefault="008068D2" w:rsidP="008068D2">
      <w:pPr>
        <w:spacing w:before="0" w:after="160" w:line="259" w:lineRule="auto"/>
        <w:rPr>
          <w:rFonts w:asciiTheme="minorHAnsi" w:hAnsiTheme="minorHAnsi" w:cstheme="minorHAnsi"/>
          <w:lang w:val="en-GB"/>
        </w:rPr>
      </w:pPr>
      <w:r w:rsidRPr="008068D2">
        <w:rPr>
          <w:rFonts w:asciiTheme="minorHAnsi" w:hAnsiTheme="minorHAnsi" w:cstheme="minorHAnsi"/>
          <w:lang w:val="en-GB"/>
        </w:rPr>
        <w:t>2) Grow Maturity in use from market leaders - Supporting trials and refinements for market leaders with voluntary introduction of requirements</w:t>
      </w:r>
    </w:p>
    <w:p w14:paraId="39550211" w14:textId="77777777" w:rsidR="008068D2" w:rsidRPr="008068D2" w:rsidRDefault="008068D2" w:rsidP="008068D2">
      <w:pPr>
        <w:spacing w:before="0" w:after="160" w:line="259" w:lineRule="auto"/>
        <w:rPr>
          <w:rFonts w:asciiTheme="minorHAnsi" w:hAnsiTheme="minorHAnsi" w:cstheme="minorHAnsi"/>
          <w:lang w:val="en-GB"/>
        </w:rPr>
      </w:pPr>
      <w:r w:rsidRPr="008068D2">
        <w:rPr>
          <w:rFonts w:asciiTheme="minorHAnsi" w:hAnsiTheme="minorHAnsi" w:cstheme="minorHAnsi"/>
          <w:lang w:val="en-GB"/>
        </w:rPr>
        <w:t>3) Disclosure of large buildings, calibrated by sector - Mandatory disclosure requirements introduced at the highest value buildings that have greater maturity in considering energy efficiency</w:t>
      </w:r>
    </w:p>
    <w:p w14:paraId="0D3D20B1" w14:textId="77777777" w:rsidR="008068D2" w:rsidRPr="008068D2" w:rsidRDefault="008068D2" w:rsidP="008068D2">
      <w:pPr>
        <w:spacing w:before="0" w:after="160" w:line="259" w:lineRule="auto"/>
        <w:rPr>
          <w:rFonts w:asciiTheme="minorHAnsi" w:hAnsiTheme="minorHAnsi" w:cstheme="minorHAnsi"/>
          <w:lang w:val="en-GB"/>
        </w:rPr>
      </w:pPr>
      <w:r w:rsidRPr="008068D2">
        <w:rPr>
          <w:rFonts w:asciiTheme="minorHAnsi" w:hAnsiTheme="minorHAnsi" w:cstheme="minorHAnsi"/>
          <w:lang w:val="en-GB"/>
        </w:rPr>
        <w:t xml:space="preserve">4) Progressive reduction of disclosure threshold - after larger buildings have established reporting obligations gradually increase coverage through </w:t>
      </w:r>
      <w:proofErr w:type="gramStart"/>
      <w:r w:rsidRPr="008068D2">
        <w:rPr>
          <w:rFonts w:asciiTheme="minorHAnsi" w:hAnsiTheme="minorHAnsi" w:cstheme="minorHAnsi"/>
          <w:lang w:val="en-GB"/>
        </w:rPr>
        <w:t>reducing</w:t>
      </w:r>
      <w:proofErr w:type="gramEnd"/>
      <w:r w:rsidRPr="008068D2">
        <w:rPr>
          <w:rFonts w:asciiTheme="minorHAnsi" w:hAnsiTheme="minorHAnsi" w:cstheme="minorHAnsi"/>
          <w:lang w:val="en-GB"/>
        </w:rPr>
        <w:t xml:space="preserve"> he threshold to include smaller buildings</w:t>
      </w:r>
    </w:p>
    <w:p w14:paraId="7D1BE9F5" w14:textId="77777777" w:rsidR="008068D2" w:rsidRPr="008068D2" w:rsidRDefault="008068D2" w:rsidP="008068D2">
      <w:pPr>
        <w:spacing w:before="0" w:after="160" w:line="259" w:lineRule="auto"/>
        <w:rPr>
          <w:rFonts w:asciiTheme="minorHAnsi" w:hAnsiTheme="minorHAnsi" w:cstheme="minorHAnsi"/>
          <w:lang w:val="en-GB"/>
        </w:rPr>
      </w:pPr>
      <w:r w:rsidRPr="008068D2">
        <w:rPr>
          <w:rFonts w:asciiTheme="minorHAnsi" w:hAnsiTheme="minorHAnsi" w:cstheme="minorHAnsi"/>
          <w:lang w:val="en-GB"/>
        </w:rPr>
        <w:t xml:space="preserve">5) Introduction of </w:t>
      </w:r>
      <w:proofErr w:type="spellStart"/>
      <w:r w:rsidRPr="008068D2">
        <w:rPr>
          <w:rFonts w:asciiTheme="minorHAnsi" w:hAnsiTheme="minorHAnsi" w:cstheme="minorHAnsi"/>
          <w:lang w:val="en-GB"/>
        </w:rPr>
        <w:t>MEPS</w:t>
      </w:r>
      <w:proofErr w:type="spellEnd"/>
      <w:r w:rsidRPr="008068D2">
        <w:rPr>
          <w:rFonts w:asciiTheme="minorHAnsi" w:hAnsiTheme="minorHAnsi" w:cstheme="minorHAnsi"/>
          <w:lang w:val="en-GB"/>
        </w:rPr>
        <w:t xml:space="preserve"> - Whilst disclosure coverage is progressively increased, begin introducing mandatory performance requirements for larger buildings</w:t>
      </w:r>
    </w:p>
    <w:p w14:paraId="5AF60C17" w14:textId="32EB5D08" w:rsidR="008068D2" w:rsidRDefault="008068D2" w:rsidP="008068D2">
      <w:pPr>
        <w:spacing w:before="0" w:after="160" w:line="259" w:lineRule="auto"/>
        <w:rPr>
          <w:rFonts w:asciiTheme="minorHAnsi" w:hAnsiTheme="minorHAnsi" w:cstheme="minorHAnsi"/>
          <w:lang w:val="en-GB"/>
        </w:rPr>
      </w:pPr>
      <w:r w:rsidRPr="008068D2">
        <w:rPr>
          <w:rFonts w:asciiTheme="minorHAnsi" w:hAnsiTheme="minorHAnsi" w:cstheme="minorHAnsi"/>
          <w:lang w:val="en-GB"/>
        </w:rPr>
        <w:t xml:space="preserve">Roadmap should also consider the broader policy and operating context, including complementary </w:t>
      </w:r>
      <w:proofErr w:type="gramStart"/>
      <w:r w:rsidRPr="008068D2">
        <w:rPr>
          <w:rFonts w:asciiTheme="minorHAnsi" w:hAnsiTheme="minorHAnsi" w:cstheme="minorHAnsi"/>
          <w:lang w:val="en-GB"/>
        </w:rPr>
        <w:t>policies</w:t>
      </w:r>
      <w:proofErr w:type="gramEnd"/>
    </w:p>
    <w:p w14:paraId="7C224D11" w14:textId="77777777" w:rsidR="003B51C5" w:rsidRDefault="003B51C5">
      <w:pPr>
        <w:spacing w:before="0" w:after="160" w:line="259" w:lineRule="auto"/>
        <w:rPr>
          <w:rFonts w:asciiTheme="minorHAnsi" w:hAnsiTheme="minorHAnsi" w:cstheme="minorHAnsi"/>
          <w:lang w:val="en-GB"/>
        </w:rPr>
      </w:pPr>
    </w:p>
    <w:p w14:paraId="3EB8EB50" w14:textId="77777777" w:rsidR="005438A1" w:rsidRDefault="005438A1" w:rsidP="005438A1">
      <w:pPr>
        <w:pStyle w:val="BodyText"/>
        <w:rPr>
          <w:lang w:val="en-GB"/>
        </w:rPr>
      </w:pPr>
      <w:hyperlink w:anchor="_Table_of_Contents" w:history="1">
        <w:r w:rsidRPr="006B1F81">
          <w:rPr>
            <w:rStyle w:val="Hyperlink"/>
            <w:lang w:val="en-GB"/>
          </w:rPr>
          <w:t>Link to Table of Contents.</w:t>
        </w:r>
      </w:hyperlink>
      <w:r>
        <w:rPr>
          <w:lang w:val="en-GB"/>
        </w:rPr>
        <w:t xml:space="preserve"> </w:t>
      </w:r>
    </w:p>
    <w:p w14:paraId="594F9722" w14:textId="530EA785" w:rsidR="005438A1" w:rsidRPr="00E63900" w:rsidRDefault="005438A1">
      <w:pPr>
        <w:spacing w:before="0" w:after="160" w:line="259" w:lineRule="auto"/>
        <w:rPr>
          <w:rFonts w:asciiTheme="minorHAnsi" w:hAnsiTheme="minorHAnsi" w:cstheme="minorHAnsi"/>
          <w:lang w:val="en-GB"/>
        </w:rPr>
        <w:sectPr w:rsidR="005438A1" w:rsidRPr="00E63900" w:rsidSect="00A77C53">
          <w:pgSz w:w="11906" w:h="16838"/>
          <w:pgMar w:top="851" w:right="851" w:bottom="1418" w:left="851" w:header="567" w:footer="283" w:gutter="0"/>
          <w:cols w:space="708"/>
          <w:docGrid w:linePitch="360"/>
        </w:sectPr>
      </w:pPr>
    </w:p>
    <w:p w14:paraId="52211555" w14:textId="29706E98" w:rsidR="007C63D0" w:rsidRPr="00E63900" w:rsidRDefault="007C63D0">
      <w:pPr>
        <w:spacing w:before="0" w:after="160" w:line="259" w:lineRule="auto"/>
        <w:rPr>
          <w:rFonts w:asciiTheme="minorHAnsi" w:eastAsiaTheme="majorEastAsia" w:hAnsiTheme="minorHAnsi" w:cstheme="minorHAnsi"/>
          <w:b/>
          <w:color w:val="1E49E2" w:themeColor="accent1"/>
          <w:sz w:val="28"/>
          <w:szCs w:val="24"/>
          <w:lang w:val="en-GB"/>
        </w:rPr>
      </w:pPr>
    </w:p>
    <w:bookmarkEnd w:id="305"/>
    <w:bookmarkEnd w:id="306"/>
    <w:p w14:paraId="12737170" w14:textId="77777777" w:rsidR="00AB29F8" w:rsidRPr="00790A73" w:rsidRDefault="00AB29F8" w:rsidP="00AB29F8">
      <w:pPr>
        <w:pStyle w:val="Header"/>
        <w:rPr>
          <w:color w:val="auto"/>
        </w:rPr>
      </w:pPr>
      <w:r w:rsidRPr="00790A73">
        <w:rPr>
          <w:color w:val="auto"/>
        </w:rPr>
        <w:t xml:space="preserve">©2023 KPMG, an Australian </w:t>
      </w:r>
      <w:proofErr w:type="gramStart"/>
      <w:r w:rsidRPr="00790A73">
        <w:rPr>
          <w:color w:val="auto"/>
        </w:rPr>
        <w:t>partnership</w:t>
      </w:r>
      <w:proofErr w:type="gramEnd"/>
      <w:r w:rsidRPr="00790A73">
        <w:rPr>
          <w:color w:val="auto"/>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p>
    <w:p w14:paraId="71D3966C" w14:textId="77777777" w:rsidR="00AB29F8" w:rsidRDefault="00AB29F8" w:rsidP="00AB29F8">
      <w:pPr>
        <w:pStyle w:val="Header"/>
      </w:pPr>
      <w:r w:rsidRPr="00A91ADB">
        <w:rPr>
          <w:color w:val="auto"/>
        </w:rPr>
        <w:t>Liability limited by a scheme approved under Professional Standards Legislation.</w:t>
      </w:r>
    </w:p>
    <w:p w14:paraId="504B53F2" w14:textId="34F7CB3F" w:rsidR="00834C7E" w:rsidRPr="00E63900" w:rsidRDefault="00834C7E">
      <w:pPr>
        <w:spacing w:before="0" w:after="160" w:line="259" w:lineRule="auto"/>
        <w:rPr>
          <w:rFonts w:asciiTheme="minorHAnsi" w:eastAsiaTheme="majorEastAsia" w:hAnsiTheme="minorHAnsi" w:cstheme="minorHAnsi"/>
          <w:color w:val="00338D" w:themeColor="text2"/>
          <w:sz w:val="96"/>
          <w:szCs w:val="32"/>
        </w:rPr>
      </w:pPr>
    </w:p>
    <w:sectPr w:rsidR="00834C7E" w:rsidRPr="00E63900" w:rsidSect="00A77C53">
      <w:footerReference w:type="default" r:id="rId80"/>
      <w:pgSz w:w="11906" w:h="16838"/>
      <w:pgMar w:top="851" w:right="851" w:bottom="1418" w:left="851"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441B6" w14:textId="77777777" w:rsidR="00A77C53" w:rsidRDefault="00A77C53" w:rsidP="00FD0D02">
      <w:pPr>
        <w:spacing w:before="0" w:after="0"/>
      </w:pPr>
      <w:r>
        <w:separator/>
      </w:r>
    </w:p>
  </w:endnote>
  <w:endnote w:type="continuationSeparator" w:id="0">
    <w:p w14:paraId="34A21628" w14:textId="77777777" w:rsidR="00A77C53" w:rsidRDefault="00A77C53" w:rsidP="00FD0D02">
      <w:pPr>
        <w:spacing w:before="0" w:after="0"/>
      </w:pPr>
      <w:r>
        <w:continuationSeparator/>
      </w:r>
    </w:p>
  </w:endnote>
  <w:endnote w:type="continuationNotice" w:id="1">
    <w:p w14:paraId="258A606B" w14:textId="77777777" w:rsidR="00A77C53" w:rsidRDefault="00A77C5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1)">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PMG Bold">
    <w:altName w:val="Calibri"/>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ZWAdobeF">
    <w:altName w:val="Calibri"/>
    <w:charset w:val="00"/>
    <w:family w:val="auto"/>
    <w:pitch w:val="variable"/>
    <w:sig w:usb0="20002A87" w:usb1="00000000" w:usb2="00000000" w:usb3="00000000" w:csb0="000001FF" w:csb1="00000000"/>
  </w:font>
  <w:font w:name="Calibri body">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Univers LT Std 45 Light">
    <w:altName w:val="Cambria"/>
    <w:charset w:val="00"/>
    <w:family w:val="roman"/>
    <w:pitch w:val="default"/>
  </w:font>
  <w:font w:name="KPMG Extralight">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53E0" w14:textId="77777777" w:rsidR="00CE06EF" w:rsidRDefault="00CE06EF">
    <w:pPr>
      <w:pStyle w:val="Footer"/>
    </w:pPr>
  </w:p>
  <w:p w14:paraId="4468241B" w14:textId="77777777" w:rsidR="007C65E8" w:rsidRDefault="007C65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23F0" w14:textId="77777777" w:rsidR="00CE06EF" w:rsidRDefault="00CE06EF">
    <w:pPr>
      <w:pStyle w:val="Footer"/>
    </w:pPr>
  </w:p>
  <w:p w14:paraId="6A3E0795" w14:textId="77777777" w:rsidR="007C65E8" w:rsidRDefault="007C65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9C40" w14:textId="77777777" w:rsidR="00660856" w:rsidRPr="00790A73" w:rsidRDefault="00C34053" w:rsidP="000C3CB0">
    <w:pPr>
      <w:pStyle w:val="Header"/>
      <w:rPr>
        <w:color w:val="auto"/>
      </w:rPr>
    </w:pPr>
    <w:proofErr w:type="gramStart"/>
    <w:r w:rsidRPr="00790A73">
      <w:rPr>
        <w:color w:val="auto"/>
      </w:rPr>
      <w:t>KPMG  |</w:t>
    </w:r>
    <w:proofErr w:type="gramEnd"/>
    <w:r w:rsidR="000C3CB0" w:rsidRPr="00790A73">
      <w:rPr>
        <w:color w:val="auto"/>
      </w:rPr>
      <w:t xml:space="preserve"> </w:t>
    </w:r>
    <w:r w:rsidRPr="00790A73">
      <w:rPr>
        <w:color w:val="auto"/>
      </w:rPr>
      <w:t xml:space="preserve"> </w:t>
    </w:r>
  </w:p>
  <w:p w14:paraId="4D59D58E" w14:textId="5CEF7501" w:rsidR="000A26A4" w:rsidRPr="00790A73" w:rsidRDefault="00C34053" w:rsidP="000C3CB0">
    <w:pPr>
      <w:pStyle w:val="Header"/>
      <w:rPr>
        <w:color w:val="auto"/>
      </w:rPr>
    </w:pPr>
    <w:r w:rsidRPr="00790A73">
      <w:rPr>
        <w:color w:val="auto"/>
      </w:rPr>
      <w:fldChar w:fldCharType="begin"/>
    </w:r>
    <w:r w:rsidRPr="00790A73">
      <w:rPr>
        <w:color w:val="auto"/>
      </w:rPr>
      <w:instrText xml:space="preserve"> PAGE   \* MERGEFORMAT </w:instrText>
    </w:r>
    <w:r w:rsidRPr="00790A73">
      <w:rPr>
        <w:color w:val="auto"/>
      </w:rPr>
      <w:fldChar w:fldCharType="separate"/>
    </w:r>
    <w:r w:rsidRPr="00790A73">
      <w:rPr>
        <w:color w:val="auto"/>
      </w:rPr>
      <w:t>6</w:t>
    </w:r>
    <w:r w:rsidRPr="00790A73">
      <w:rPr>
        <w:color w:val="auto"/>
      </w:rPr>
      <w:fldChar w:fldCharType="end"/>
    </w:r>
  </w:p>
  <w:p w14:paraId="2B5CB53C" w14:textId="77777777" w:rsidR="00660856" w:rsidRDefault="00660856" w:rsidP="000C3CB0">
    <w:pPr>
      <w:pStyle w:val="Header"/>
    </w:pPr>
  </w:p>
  <w:p w14:paraId="7C322336" w14:textId="002EE355" w:rsidR="00C34053" w:rsidRPr="00790A73" w:rsidRDefault="00C34053" w:rsidP="00C20B62">
    <w:pPr>
      <w:pStyle w:val="Header"/>
      <w:rPr>
        <w:color w:val="auto"/>
      </w:rPr>
    </w:pPr>
    <w:r w:rsidRPr="00790A73">
      <w:rPr>
        <w:color w:val="auto"/>
      </w:rPr>
      <w:t>©202</w:t>
    </w:r>
    <w:r w:rsidR="00C22E23" w:rsidRPr="00790A73">
      <w:rPr>
        <w:color w:val="auto"/>
      </w:rPr>
      <w:t>3</w:t>
    </w:r>
    <w:r w:rsidRPr="00790A73">
      <w:rPr>
        <w:color w:val="auto"/>
      </w:rPr>
      <w:t xml:space="preserve"> KPMG, an Australian </w:t>
    </w:r>
    <w:proofErr w:type="gramStart"/>
    <w:r w:rsidRPr="00790A73">
      <w:rPr>
        <w:color w:val="auto"/>
      </w:rPr>
      <w:t>partnership</w:t>
    </w:r>
    <w:proofErr w:type="gramEnd"/>
    <w:r w:rsidRPr="00790A73">
      <w:rPr>
        <w:color w:val="auto"/>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p>
  <w:p w14:paraId="2A7DBC77" w14:textId="25DDE22B" w:rsidR="00C34053" w:rsidRDefault="00C34053" w:rsidP="00FD0D02">
    <w:pPr>
      <w:pStyle w:val="Header"/>
    </w:pPr>
    <w:r w:rsidRPr="00A91ADB">
      <w:rPr>
        <w:color w:val="auto"/>
      </w:rPr>
      <w:t>Liability limited by a scheme approved under Professional Standards Legislation.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7B255" w14:textId="77777777" w:rsidR="000A0136" w:rsidRDefault="000A0136" w:rsidP="000C3CB0">
    <w:pPr>
      <w:pStyle w:val="Header"/>
    </w:pPr>
    <w:proofErr w:type="gramStart"/>
    <w:r w:rsidRPr="00A91ADB">
      <w:rPr>
        <w:color w:val="auto"/>
      </w:rPr>
      <w:t>KPMG  |</w:t>
    </w:r>
    <w:proofErr w:type="gramEnd"/>
    <w:r w:rsidRPr="00A91ADB">
      <w:rPr>
        <w:color w:val="auto"/>
      </w:rPr>
      <w:t xml:space="preserve">  </w:t>
    </w:r>
  </w:p>
  <w:p w14:paraId="23B131E2" w14:textId="77777777" w:rsidR="000A0136" w:rsidRDefault="000A0136" w:rsidP="000C3CB0">
    <w:pPr>
      <w:pStyle w:val="Header"/>
    </w:pPr>
    <w:r w:rsidRPr="00C552AB">
      <w:rPr>
        <w:color w:val="auto"/>
      </w:rPr>
      <w:fldChar w:fldCharType="begin"/>
    </w:r>
    <w:r w:rsidRPr="00C552AB">
      <w:rPr>
        <w:color w:val="auto"/>
      </w:rPr>
      <w:instrText xml:space="preserve"> PAGE   \* MERGEFORMAT </w:instrText>
    </w:r>
    <w:r w:rsidRPr="00C552AB">
      <w:rPr>
        <w:color w:val="auto"/>
      </w:rPr>
      <w:fldChar w:fldCharType="separate"/>
    </w:r>
    <w:r w:rsidRPr="00C552AB">
      <w:rPr>
        <w:color w:val="auto"/>
      </w:rPr>
      <w:t>6</w:t>
    </w:r>
    <w:r w:rsidRPr="00C552AB">
      <w:rPr>
        <w:color w:val="auto"/>
      </w:rPr>
      <w:fldChar w:fldCharType="end"/>
    </w:r>
  </w:p>
  <w:p w14:paraId="5FD37E1F" w14:textId="77777777" w:rsidR="000A0136" w:rsidRDefault="000A0136" w:rsidP="000C3CB0">
    <w:pPr>
      <w:pStyle w:val="Header"/>
    </w:pPr>
  </w:p>
  <w:p w14:paraId="4F9A4EFE" w14:textId="77777777" w:rsidR="000A0136" w:rsidRPr="00C652C6" w:rsidRDefault="000A0136" w:rsidP="000C3CB0">
    <w:pPr>
      <w:pStyle w:val="Header"/>
      <w:rPr>
        <w:color w:val="auto"/>
      </w:rPr>
    </w:pPr>
    <w:r w:rsidRPr="00C652C6">
      <w:rPr>
        <w:color w:val="auto"/>
      </w:rPr>
      <w:t xml:space="preserve">©2023 KPMG, an Australian </w:t>
    </w:r>
    <w:proofErr w:type="gramStart"/>
    <w:r w:rsidRPr="00C652C6">
      <w:rPr>
        <w:color w:val="auto"/>
      </w:rPr>
      <w:t>partnership</w:t>
    </w:r>
    <w:proofErr w:type="gramEnd"/>
    <w:r w:rsidRPr="00C652C6">
      <w:rPr>
        <w:color w:val="auto"/>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p>
  <w:p w14:paraId="6DD5370B" w14:textId="77777777" w:rsidR="000A0136" w:rsidRPr="00C652C6" w:rsidRDefault="000A0136" w:rsidP="00FD0D02">
    <w:pPr>
      <w:pStyle w:val="Footer"/>
      <w:spacing w:after="0"/>
      <w:rPr>
        <w:b/>
        <w:bCs/>
        <w:color w:val="auto"/>
      </w:rPr>
    </w:pPr>
    <w:r w:rsidRPr="00C652C6">
      <w:rPr>
        <w:b/>
        <w:bCs/>
        <w:color w:val="auto"/>
      </w:rPr>
      <w:t>Document Classification: KPMG Confidential</w:t>
    </w:r>
  </w:p>
  <w:p w14:paraId="27AD99DB" w14:textId="77777777" w:rsidR="000A0136" w:rsidRPr="00C652C6" w:rsidRDefault="000A0136" w:rsidP="00FD0D02">
    <w:pPr>
      <w:pStyle w:val="Header"/>
      <w:rPr>
        <w:color w:val="auto"/>
      </w:rPr>
    </w:pPr>
    <w:r w:rsidRPr="00C652C6">
      <w:rPr>
        <w:color w:val="auto"/>
      </w:rPr>
      <w:t>Liability limited by a scheme approved under Professional Standards Legislation.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C47D" w14:textId="77777777" w:rsidR="00CC5950" w:rsidRPr="00A34E84" w:rsidRDefault="00CC5950" w:rsidP="00DE3531">
    <w:pPr>
      <w:pStyle w:val="TableHeading"/>
      <w:rPr>
        <w:rFonts w:ascii="KPMG Extralight" w:hAnsi="KPMG Extralight" w:cstheme="minorHAnsi"/>
        <w:sz w:val="32"/>
        <w:szCs w:val="36"/>
      </w:rPr>
    </w:pPr>
    <w:r w:rsidRPr="00A34E84">
      <w:rPr>
        <w:rFonts w:ascii="KPMG Extralight" w:hAnsi="KPMG Extralight" w:cstheme="minorHAnsi"/>
        <w:sz w:val="32"/>
        <w:szCs w:val="36"/>
      </w:rPr>
      <w:t>KPMG.com.au</w:t>
    </w:r>
  </w:p>
  <w:p w14:paraId="45D0AEE0" w14:textId="77777777" w:rsidR="00CC5950" w:rsidRDefault="00CC5950" w:rsidP="00CC5950">
    <w:pPr>
      <w:pStyle w:val="Header"/>
      <w:rPr>
        <w:sz w:val="12"/>
      </w:rPr>
    </w:pPr>
  </w:p>
  <w:p w14:paraId="71D19B71" w14:textId="77777777" w:rsidR="00CC5950" w:rsidRDefault="00CC5950" w:rsidP="00CC5950">
    <w:pPr>
      <w:pStyle w:val="Header"/>
      <w:rPr>
        <w:sz w:val="12"/>
      </w:rPr>
    </w:pPr>
    <w:r w:rsidRPr="00CC5950">
      <w:rPr>
        <w:noProof/>
      </w:rPr>
      <w:drawing>
        <wp:inline distT="0" distB="0" distL="0" distR="0" wp14:anchorId="7BE33FF9" wp14:editId="3B593342">
          <wp:extent cx="1946275" cy="36957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275" cy="369570"/>
                  </a:xfrm>
                  <a:prstGeom prst="rect">
                    <a:avLst/>
                  </a:prstGeom>
                  <a:noFill/>
                  <a:ln>
                    <a:noFill/>
                  </a:ln>
                </pic:spPr>
              </pic:pic>
            </a:graphicData>
          </a:graphic>
        </wp:inline>
      </w:drawing>
    </w:r>
  </w:p>
  <w:p w14:paraId="1145369D" w14:textId="77777777" w:rsidR="00CC5950" w:rsidRDefault="00CC5950" w:rsidP="00CC5950">
    <w:pPr>
      <w:pStyle w:val="Header"/>
      <w:rPr>
        <w:sz w:val="12"/>
      </w:rPr>
    </w:pPr>
  </w:p>
  <w:p w14:paraId="274CE28E" w14:textId="77777777" w:rsidR="00CC5950" w:rsidRDefault="00CC5950" w:rsidP="00CC5950">
    <w:pPr>
      <w:pStyle w:val="Header"/>
      <w:rPr>
        <w:sz w:val="12"/>
      </w:rPr>
    </w:pPr>
  </w:p>
  <w:p w14:paraId="4B9C19EE" w14:textId="77777777" w:rsidR="00CC5950" w:rsidRDefault="00CC5950" w:rsidP="00CC5950">
    <w:pPr>
      <w:pStyle w:val="Header"/>
      <w:rPr>
        <w:sz w:val="12"/>
      </w:rPr>
    </w:pPr>
  </w:p>
  <w:p w14:paraId="076116E0" w14:textId="77777777" w:rsidR="00AB58B9" w:rsidRPr="00C652C6" w:rsidRDefault="00AB58B9" w:rsidP="00AB58B9">
    <w:pPr>
      <w:pStyle w:val="Header"/>
      <w:rPr>
        <w:color w:val="auto"/>
        <w:sz w:val="12"/>
      </w:rPr>
    </w:pPr>
    <w:r w:rsidRPr="00C652C6">
      <w:rPr>
        <w:color w:val="auto"/>
        <w:sz w:val="12"/>
      </w:rPr>
      <w:t xml:space="preserve">©2023 KPMG, an Australian </w:t>
    </w:r>
    <w:proofErr w:type="gramStart"/>
    <w:r w:rsidRPr="00C652C6">
      <w:rPr>
        <w:color w:val="auto"/>
        <w:sz w:val="12"/>
      </w:rPr>
      <w:t>partnership</w:t>
    </w:r>
    <w:proofErr w:type="gramEnd"/>
    <w:r w:rsidRPr="00C652C6">
      <w:rPr>
        <w:color w:val="auto"/>
        <w:sz w:val="12"/>
      </w:rPr>
      <w:t xml:space="preserve">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p>
  <w:p w14:paraId="32B74939" w14:textId="77777777" w:rsidR="00AB58B9" w:rsidRPr="00C652C6" w:rsidRDefault="00AB58B9" w:rsidP="00AB58B9">
    <w:pPr>
      <w:pStyle w:val="Header"/>
      <w:rPr>
        <w:b/>
        <w:bCs/>
        <w:color w:val="auto"/>
        <w:sz w:val="12"/>
      </w:rPr>
    </w:pPr>
    <w:r w:rsidRPr="00C652C6">
      <w:rPr>
        <w:b/>
        <w:bCs/>
        <w:color w:val="auto"/>
        <w:sz w:val="12"/>
      </w:rPr>
      <w:t>Document Classification: KPMG Confidential</w:t>
    </w:r>
  </w:p>
  <w:p w14:paraId="3C80CBE0" w14:textId="77777777" w:rsidR="00AB58B9" w:rsidRPr="00AB58B9" w:rsidRDefault="00CC5950" w:rsidP="00AB58B9">
    <w:pPr>
      <w:pStyle w:val="Header"/>
      <w:rPr>
        <w:sz w:val="12"/>
      </w:rPr>
    </w:pPr>
    <w:r w:rsidRPr="00C652C6">
      <w:rPr>
        <w:color w:val="auto"/>
        <w:sz w:val="12"/>
      </w:rPr>
      <w:t>Liability limited by a scheme approved under Professional Standards Legislation.</w:t>
    </w:r>
  </w:p>
  <w:p w14:paraId="00119FD3" w14:textId="4337837A" w:rsidR="00CC5950" w:rsidRDefault="00CC5950" w:rsidP="00CC5950">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2C5FD" w14:textId="77777777" w:rsidR="00A77C53" w:rsidRDefault="00A77C53" w:rsidP="00FD0D02">
      <w:pPr>
        <w:spacing w:before="0" w:after="0"/>
      </w:pPr>
      <w:r>
        <w:separator/>
      </w:r>
    </w:p>
  </w:footnote>
  <w:footnote w:type="continuationSeparator" w:id="0">
    <w:p w14:paraId="4BED4C29" w14:textId="77777777" w:rsidR="00A77C53" w:rsidRDefault="00A77C53" w:rsidP="00FD0D02">
      <w:pPr>
        <w:spacing w:before="0" w:after="0"/>
      </w:pPr>
      <w:r>
        <w:continuationSeparator/>
      </w:r>
    </w:p>
  </w:footnote>
  <w:footnote w:type="continuationNotice" w:id="1">
    <w:p w14:paraId="46FBDB47" w14:textId="77777777" w:rsidR="00A77C53" w:rsidRDefault="00A77C53">
      <w:pPr>
        <w:spacing w:before="0" w:after="0"/>
      </w:pPr>
    </w:p>
  </w:footnote>
  <w:footnote w:id="2">
    <w:p w14:paraId="1271EE83" w14:textId="5334C408" w:rsidR="009532EF" w:rsidRPr="0067599B" w:rsidRDefault="009532EF" w:rsidP="0067599B">
      <w:pPr>
        <w:rPr>
          <w:rFonts w:asciiTheme="minorHAnsi" w:hAnsiTheme="minorHAnsi" w:cstheme="minorHAnsi"/>
          <w:color w:val="auto"/>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 w:history="1">
        <w:r w:rsidRPr="0067599B">
          <w:rPr>
            <w:rStyle w:val="Hyperlink"/>
            <w:rFonts w:asciiTheme="minorHAnsi" w:hAnsiTheme="minorHAnsi" w:cstheme="minorHAnsi"/>
            <w:sz w:val="14"/>
            <w:szCs w:val="14"/>
          </w:rPr>
          <w:t>Commercial buildings | energy.gov.au</w:t>
        </w:r>
      </w:hyperlink>
    </w:p>
  </w:footnote>
  <w:footnote w:id="3">
    <w:p w14:paraId="69D67033" w14:textId="76197B39" w:rsidR="001E1C0B" w:rsidRPr="0067599B" w:rsidRDefault="001E1C0B" w:rsidP="0067599B">
      <w:pPr>
        <w:rPr>
          <w:rFonts w:asciiTheme="minorHAnsi" w:hAnsiTheme="minorHAnsi" w:cstheme="minorHAnsi"/>
          <w:color w:val="auto"/>
          <w:sz w:val="14"/>
          <w:szCs w:val="14"/>
        </w:rPr>
      </w:pPr>
      <w:r w:rsidRPr="0067599B">
        <w:rPr>
          <w:rStyle w:val="FootnoteReference"/>
          <w:rFonts w:asciiTheme="minorHAnsi" w:hAnsiTheme="minorHAnsi" w:cstheme="minorHAnsi"/>
          <w:color w:val="auto"/>
          <w:sz w:val="14"/>
          <w:szCs w:val="14"/>
        </w:rPr>
        <w:footnoteRef/>
      </w:r>
      <w:r w:rsidRPr="0067599B">
        <w:rPr>
          <w:rFonts w:asciiTheme="minorHAnsi" w:hAnsiTheme="minorHAnsi" w:cstheme="minorHAnsi"/>
          <w:color w:val="auto"/>
          <w:sz w:val="14"/>
          <w:szCs w:val="14"/>
        </w:rPr>
        <w:t xml:space="preserve"> </w:t>
      </w:r>
      <w:hyperlink r:id="rId2" w:history="1">
        <w:proofErr w:type="spellStart"/>
        <w:r w:rsidR="00CB2CD2" w:rsidRPr="007831D7">
          <w:rPr>
            <w:rStyle w:val="Hyperlink"/>
            <w:rFonts w:asciiTheme="minorHAnsi" w:hAnsiTheme="minorHAnsi" w:cstheme="minorHAnsi"/>
            <w:sz w:val="14"/>
            <w:szCs w:val="14"/>
          </w:rPr>
          <w:t>UTNCC</w:t>
        </w:r>
        <w:proofErr w:type="spellEnd"/>
        <w:r w:rsidR="00CB2CD2" w:rsidRPr="007831D7">
          <w:rPr>
            <w:rStyle w:val="Hyperlink"/>
            <w:rFonts w:asciiTheme="minorHAnsi" w:hAnsiTheme="minorHAnsi" w:cstheme="minorHAnsi"/>
            <w:sz w:val="14"/>
            <w:szCs w:val="14"/>
          </w:rPr>
          <w:t xml:space="preserve"> </w:t>
        </w:r>
        <w:r w:rsidR="007831D7" w:rsidRPr="007831D7">
          <w:rPr>
            <w:rStyle w:val="Hyperlink"/>
            <w:rFonts w:asciiTheme="minorHAnsi" w:hAnsiTheme="minorHAnsi" w:cstheme="minorHAnsi"/>
            <w:sz w:val="14"/>
            <w:szCs w:val="14"/>
          </w:rPr>
          <w:t xml:space="preserve">– Understanding the </w:t>
        </w:r>
        <w:proofErr w:type="spellStart"/>
        <w:r w:rsidR="007831D7" w:rsidRPr="007831D7">
          <w:rPr>
            <w:rStyle w:val="Hyperlink"/>
            <w:rFonts w:asciiTheme="minorHAnsi" w:hAnsiTheme="minorHAnsi" w:cstheme="minorHAnsi"/>
            <w:sz w:val="14"/>
            <w:szCs w:val="14"/>
          </w:rPr>
          <w:t>NCC</w:t>
        </w:r>
        <w:proofErr w:type="spellEnd"/>
        <w:r w:rsidR="007831D7" w:rsidRPr="007831D7">
          <w:rPr>
            <w:rStyle w:val="Hyperlink"/>
            <w:rFonts w:asciiTheme="minorHAnsi" w:hAnsiTheme="minorHAnsi" w:cstheme="minorHAnsi"/>
            <w:sz w:val="14"/>
            <w:szCs w:val="14"/>
          </w:rPr>
          <w:t xml:space="preserve"> Building Classifications</w:t>
        </w:r>
      </w:hyperlink>
    </w:p>
  </w:footnote>
  <w:footnote w:id="4">
    <w:p w14:paraId="78CC92B7" w14:textId="17A5DDF9" w:rsidR="0092787E" w:rsidRPr="0067599B" w:rsidRDefault="0092787E" w:rsidP="0067599B">
      <w:pPr>
        <w:rPr>
          <w:rFonts w:asciiTheme="minorHAnsi" w:hAnsiTheme="minorHAnsi" w:cstheme="minorHAnsi"/>
          <w:color w:val="auto"/>
          <w:sz w:val="14"/>
          <w:szCs w:val="14"/>
        </w:rPr>
      </w:pPr>
      <w:r w:rsidRPr="0067599B">
        <w:rPr>
          <w:rStyle w:val="FootnoteReference"/>
          <w:rFonts w:asciiTheme="minorHAnsi" w:hAnsiTheme="minorHAnsi" w:cstheme="minorHAnsi"/>
          <w:color w:val="auto"/>
          <w:sz w:val="14"/>
          <w:szCs w:val="14"/>
        </w:rPr>
        <w:footnoteRef/>
      </w:r>
      <w:r w:rsidRPr="0067599B">
        <w:rPr>
          <w:rFonts w:asciiTheme="minorHAnsi" w:hAnsiTheme="minorHAnsi" w:cstheme="minorHAnsi"/>
          <w:color w:val="auto"/>
          <w:sz w:val="14"/>
          <w:szCs w:val="14"/>
        </w:rPr>
        <w:t xml:space="preserve"> </w:t>
      </w:r>
      <w:r w:rsidRPr="0067599B">
        <w:rPr>
          <w:rStyle w:val="Hyperlink"/>
          <w:rFonts w:asciiTheme="minorHAnsi" w:hAnsiTheme="minorHAnsi" w:cstheme="minorHAnsi"/>
          <w:sz w:val="14"/>
          <w:szCs w:val="14"/>
        </w:rPr>
        <w:t>Figure 1: 2020 Non-residential Building Count by Primary Purpose Type and Gross Floor Area by Space Use Type (Strategy Policy Research, 2022)</w:t>
      </w:r>
    </w:p>
  </w:footnote>
  <w:footnote w:id="5">
    <w:p w14:paraId="1CE8398A" w14:textId="352B04E2" w:rsidR="00272A00" w:rsidRPr="00041232" w:rsidRDefault="00272A00" w:rsidP="0067599B">
      <w:pPr>
        <w:rPr>
          <w:rStyle w:val="Hyperlink"/>
          <w:rFonts w:asciiTheme="minorHAnsi" w:hAnsiTheme="minorHAnsi" w:cstheme="minorHAnsi"/>
          <w:sz w:val="14"/>
          <w:szCs w:val="14"/>
        </w:rPr>
      </w:pPr>
      <w:r w:rsidRPr="00041232">
        <w:rPr>
          <w:rStyle w:val="FootnoteReference"/>
          <w:rFonts w:asciiTheme="minorHAnsi" w:hAnsiTheme="minorHAnsi" w:cstheme="minorHAnsi"/>
          <w:sz w:val="14"/>
          <w:szCs w:val="14"/>
        </w:rPr>
        <w:footnoteRef/>
      </w:r>
      <w:r w:rsidRPr="00041232">
        <w:rPr>
          <w:rStyle w:val="FootnoteReference"/>
          <w:rFonts w:asciiTheme="minorHAnsi" w:hAnsiTheme="minorHAnsi" w:cstheme="minorHAnsi"/>
          <w:sz w:val="14"/>
          <w:szCs w:val="14"/>
        </w:rPr>
        <w:t xml:space="preserve"> </w:t>
      </w:r>
      <w:hyperlink r:id="rId3" w:history="1">
        <w:r w:rsidR="00041232" w:rsidRPr="00041232">
          <w:rPr>
            <w:rStyle w:val="Hyperlink"/>
            <w:rFonts w:asciiTheme="minorHAnsi" w:hAnsiTheme="minorHAnsi" w:cstheme="minorHAnsi"/>
            <w:sz w:val="14"/>
            <w:szCs w:val="14"/>
          </w:rPr>
          <w:t>Climate Change Act 2022</w:t>
        </w:r>
        <w:r w:rsidR="00AC3D4E" w:rsidRPr="00041232">
          <w:rPr>
            <w:rStyle w:val="Hyperlink"/>
            <w:rFonts w:asciiTheme="minorHAnsi" w:hAnsiTheme="minorHAnsi" w:cstheme="minorHAnsi"/>
            <w:sz w:val="14"/>
            <w:szCs w:val="14"/>
          </w:rPr>
          <w:t xml:space="preserve"> </w:t>
        </w:r>
      </w:hyperlink>
      <w:r w:rsidRPr="00041232">
        <w:rPr>
          <w:rStyle w:val="Hyperlink"/>
          <w:rFonts w:asciiTheme="minorHAnsi" w:hAnsiTheme="minorHAnsi" w:cstheme="minorHAnsi"/>
          <w:sz w:val="14"/>
          <w:szCs w:val="14"/>
        </w:rPr>
        <w:t xml:space="preserve"> </w:t>
      </w:r>
    </w:p>
  </w:footnote>
  <w:footnote w:id="6">
    <w:p w14:paraId="30DBAF81" w14:textId="682351BB" w:rsidR="00E3781A" w:rsidRPr="00920D83" w:rsidRDefault="00E3781A" w:rsidP="00485D44">
      <w:pPr>
        <w:pStyle w:val="BodyBullet"/>
        <w:spacing w:after="0"/>
        <w:rPr>
          <w:rFonts w:eastAsiaTheme="majorEastAsia" w:cstheme="majorBidi"/>
          <w:color w:val="0E2471" w:themeColor="accent1" w:themeShade="80"/>
          <w:sz w:val="14"/>
          <w:szCs w:val="14"/>
        </w:rPr>
      </w:pPr>
      <w:r w:rsidRPr="00920D83">
        <w:rPr>
          <w:rStyle w:val="FootnoteReference"/>
          <w:sz w:val="14"/>
          <w:szCs w:val="14"/>
        </w:rPr>
        <w:footnoteRef/>
      </w:r>
      <w:r w:rsidRPr="00920D83">
        <w:rPr>
          <w:sz w:val="14"/>
          <w:szCs w:val="14"/>
        </w:rPr>
        <w:t xml:space="preserve"> </w:t>
      </w:r>
      <w:r w:rsidR="00485D44" w:rsidRPr="00920D83">
        <w:rPr>
          <w:sz w:val="14"/>
          <w:szCs w:val="14"/>
        </w:rPr>
        <w:t xml:space="preserve">Data and metrics for Australia’s building stock are extracted from the </w:t>
      </w:r>
      <w:r w:rsidR="00485D44" w:rsidRPr="00920D83">
        <w:rPr>
          <w:i/>
          <w:sz w:val="14"/>
          <w:szCs w:val="14"/>
        </w:rPr>
        <w:t xml:space="preserve">2022 Commercial Building Baseline Study </w:t>
      </w:r>
      <w:r w:rsidR="00485D44" w:rsidRPr="00920D83">
        <w:rPr>
          <w:sz w:val="14"/>
          <w:szCs w:val="14"/>
        </w:rPr>
        <w:t>(</w:t>
      </w:r>
      <w:proofErr w:type="spellStart"/>
      <w:r w:rsidR="00485D44" w:rsidRPr="00920D83">
        <w:rPr>
          <w:sz w:val="14"/>
          <w:szCs w:val="14"/>
        </w:rPr>
        <w:t>CBBS</w:t>
      </w:r>
      <w:proofErr w:type="spellEnd"/>
      <w:r w:rsidR="00485D44" w:rsidRPr="00920D83">
        <w:rPr>
          <w:sz w:val="14"/>
          <w:szCs w:val="14"/>
        </w:rPr>
        <w:t xml:space="preserve">). Further detail is provided in the </w:t>
      </w:r>
      <w:proofErr w:type="gramStart"/>
      <w:r w:rsidR="00485D44" w:rsidRPr="00920D83">
        <w:rPr>
          <w:sz w:val="14"/>
          <w:szCs w:val="14"/>
        </w:rPr>
        <w:t>Appendices</w:t>
      </w:r>
      <w:proofErr w:type="gramEnd"/>
    </w:p>
  </w:footnote>
  <w:footnote w:id="7">
    <w:p w14:paraId="131A6491" w14:textId="4CC1D1FD" w:rsidR="00862A45" w:rsidRPr="0067599B" w:rsidRDefault="00862A45">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4" w:history="1">
        <w:proofErr w:type="spellStart"/>
        <w:r w:rsidRPr="0067599B">
          <w:rPr>
            <w:rFonts w:asciiTheme="minorHAnsi" w:hAnsiTheme="minorHAnsi" w:cstheme="minorHAnsi"/>
            <w:sz w:val="14"/>
            <w:szCs w:val="14"/>
            <w:u w:val="single"/>
          </w:rPr>
          <w:t>CBBS</w:t>
        </w:r>
        <w:proofErr w:type="spellEnd"/>
        <w:r w:rsidRPr="0067599B">
          <w:rPr>
            <w:rFonts w:asciiTheme="minorHAnsi" w:hAnsiTheme="minorHAnsi" w:cstheme="minorHAnsi"/>
            <w:sz w:val="14"/>
            <w:szCs w:val="14"/>
            <w:u w:val="single"/>
          </w:rPr>
          <w:t xml:space="preserve"> 2022 Final Report (energy.gov.au)</w:t>
        </w:r>
      </w:hyperlink>
    </w:p>
  </w:footnote>
  <w:footnote w:id="8">
    <w:p w14:paraId="2A912F72" w14:textId="77777777" w:rsidR="00476266" w:rsidRPr="0067599B" w:rsidRDefault="00476266" w:rsidP="00476266">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5" w:history="1">
        <w:r w:rsidRPr="0067599B">
          <w:rPr>
            <w:rStyle w:val="Hyperlink"/>
            <w:rFonts w:asciiTheme="minorHAnsi" w:hAnsiTheme="minorHAnsi" w:cstheme="minorHAnsi"/>
            <w:sz w:val="14"/>
            <w:szCs w:val="14"/>
          </w:rPr>
          <w:t>Buildings | energy.gov.au</w:t>
        </w:r>
      </w:hyperlink>
    </w:p>
  </w:footnote>
  <w:footnote w:id="9">
    <w:p w14:paraId="5065B2CD" w14:textId="03378B6D" w:rsidR="00A9127D" w:rsidRPr="0067599B" w:rsidRDefault="00A9127D" w:rsidP="00A9127D">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6" w:history="1">
        <w:proofErr w:type="spellStart"/>
        <w:r w:rsidR="00CB54A9" w:rsidRPr="0067599B">
          <w:rPr>
            <w:rStyle w:val="Hyperlink"/>
            <w:rFonts w:asciiTheme="minorHAnsi" w:hAnsiTheme="minorHAnsi" w:cstheme="minorHAnsi"/>
            <w:sz w:val="14"/>
            <w:szCs w:val="14"/>
          </w:rPr>
          <w:t>CBBS</w:t>
        </w:r>
        <w:proofErr w:type="spellEnd"/>
        <w:r w:rsidR="00CB54A9" w:rsidRPr="0067599B">
          <w:rPr>
            <w:rStyle w:val="Hyperlink"/>
            <w:rFonts w:asciiTheme="minorHAnsi" w:hAnsiTheme="minorHAnsi" w:cstheme="minorHAnsi"/>
            <w:sz w:val="14"/>
            <w:szCs w:val="14"/>
          </w:rPr>
          <w:t xml:space="preserve"> 2022 Final Report (energy.gov.au)</w:t>
        </w:r>
      </w:hyperlink>
    </w:p>
  </w:footnote>
  <w:footnote w:id="10">
    <w:p w14:paraId="670D43A6" w14:textId="77777777" w:rsidR="00FF2EBD" w:rsidRPr="0067599B" w:rsidRDefault="00FF2EBD" w:rsidP="00FF2EBD">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7" w:history="1">
        <w:proofErr w:type="spellStart"/>
        <w:r w:rsidRPr="0067599B">
          <w:rPr>
            <w:rStyle w:val="Hyperlink"/>
            <w:rFonts w:asciiTheme="minorHAnsi" w:hAnsiTheme="minorHAnsi" w:cstheme="minorHAnsi"/>
            <w:sz w:val="14"/>
            <w:szCs w:val="14"/>
          </w:rPr>
          <w:t>CBBS</w:t>
        </w:r>
        <w:proofErr w:type="spellEnd"/>
        <w:r w:rsidRPr="0067599B">
          <w:rPr>
            <w:rStyle w:val="Hyperlink"/>
            <w:rFonts w:asciiTheme="minorHAnsi" w:hAnsiTheme="minorHAnsi" w:cstheme="minorHAnsi"/>
            <w:sz w:val="14"/>
            <w:szCs w:val="14"/>
          </w:rPr>
          <w:t xml:space="preserve"> 2022 Final Report (energy.gov.au)</w:t>
        </w:r>
      </w:hyperlink>
    </w:p>
  </w:footnote>
  <w:footnote w:id="11">
    <w:p w14:paraId="3A5437B0" w14:textId="77777777" w:rsidR="00EE7C1B" w:rsidRPr="006B4FE0" w:rsidRDefault="00EE7C1B" w:rsidP="00EE7C1B">
      <w:pPr>
        <w:pStyle w:val="FootnoteText"/>
        <w:rPr>
          <w:sz w:val="16"/>
          <w:szCs w:val="16"/>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8" w:history="1">
        <w:r w:rsidRPr="0067599B">
          <w:rPr>
            <w:rStyle w:val="Hyperlink"/>
            <w:rFonts w:asciiTheme="minorHAnsi" w:hAnsiTheme="minorHAnsi" w:cstheme="minorHAnsi"/>
            <w:sz w:val="14"/>
            <w:szCs w:val="14"/>
          </w:rPr>
          <w:t>Australian National Greenhouse Accounts Factors (dcceew.gov.au)</w:t>
        </w:r>
      </w:hyperlink>
    </w:p>
  </w:footnote>
  <w:footnote w:id="12">
    <w:p w14:paraId="56390C13" w14:textId="569A7AC1" w:rsidR="006254EF" w:rsidRDefault="006254EF">
      <w:pPr>
        <w:pStyle w:val="FootnoteText"/>
      </w:pPr>
      <w:r w:rsidRPr="006254EF">
        <w:rPr>
          <w:rStyle w:val="FootnoteReference"/>
          <w:rFonts w:asciiTheme="minorHAnsi" w:hAnsiTheme="minorHAnsi" w:cstheme="minorHAnsi"/>
          <w:sz w:val="14"/>
          <w:szCs w:val="14"/>
        </w:rPr>
        <w:footnoteRef/>
      </w:r>
      <w:r w:rsidRPr="006254EF">
        <w:rPr>
          <w:rStyle w:val="FootnoteReference"/>
          <w:rFonts w:asciiTheme="minorHAnsi" w:hAnsiTheme="minorHAnsi" w:cstheme="minorHAnsi"/>
          <w:sz w:val="14"/>
          <w:szCs w:val="14"/>
        </w:rPr>
        <w:t xml:space="preserve"> </w:t>
      </w:r>
      <w:r w:rsidRPr="001C47DD">
        <w:rPr>
          <w:rStyle w:val="FootnoteReference"/>
          <w:rFonts w:asciiTheme="minorHAnsi" w:hAnsiTheme="minorHAnsi" w:cstheme="minorHAnsi"/>
          <w:sz w:val="14"/>
          <w:szCs w:val="14"/>
        </w:rPr>
        <w:t xml:space="preserve"> </w:t>
      </w:r>
      <w:hyperlink r:id="rId9" w:history="1">
        <w:proofErr w:type="spellStart"/>
        <w:r w:rsidRPr="003A0E63">
          <w:rPr>
            <w:rStyle w:val="Hyperlink"/>
            <w:sz w:val="14"/>
            <w:szCs w:val="14"/>
          </w:rPr>
          <w:t>CBBS</w:t>
        </w:r>
        <w:proofErr w:type="spellEnd"/>
        <w:r w:rsidRPr="003A0E63">
          <w:rPr>
            <w:rStyle w:val="Hyperlink"/>
            <w:sz w:val="14"/>
            <w:szCs w:val="14"/>
          </w:rPr>
          <w:t xml:space="preserve"> 2022 Final Report (energy.gov.au)</w:t>
        </w:r>
      </w:hyperlink>
    </w:p>
  </w:footnote>
  <w:footnote w:id="13">
    <w:p w14:paraId="3A8DF087" w14:textId="7D299EEA" w:rsidR="0009790E" w:rsidRPr="0067599B" w:rsidRDefault="0009790E">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0" w:history="1">
        <w:r w:rsidRPr="0067599B">
          <w:rPr>
            <w:rStyle w:val="Hyperlink"/>
            <w:rFonts w:asciiTheme="minorHAnsi" w:hAnsiTheme="minorHAnsi" w:cstheme="minorHAnsi"/>
            <w:sz w:val="14"/>
            <w:szCs w:val="14"/>
          </w:rPr>
          <w:t>Consultation hub | National Energy Performance Strategy: consultation paper - Climate Change (dcceew.gov.au)</w:t>
        </w:r>
      </w:hyperlink>
    </w:p>
  </w:footnote>
  <w:footnote w:id="14">
    <w:p w14:paraId="6B709475" w14:textId="266C672E" w:rsidR="00816A52" w:rsidRPr="0067599B" w:rsidRDefault="00816A52">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1" w:history="1">
        <w:r w:rsidRPr="0067599B">
          <w:rPr>
            <w:rStyle w:val="Hyperlink"/>
            <w:rFonts w:asciiTheme="minorHAnsi" w:hAnsiTheme="minorHAnsi" w:cstheme="minorHAnsi"/>
            <w:sz w:val="14"/>
            <w:szCs w:val="14"/>
          </w:rPr>
          <w:t>Executive summary – Australia 2023 – Analysis - IEA</w:t>
        </w:r>
      </w:hyperlink>
    </w:p>
  </w:footnote>
  <w:footnote w:id="15">
    <w:p w14:paraId="199DE0F9" w14:textId="77777777" w:rsidR="006B5186" w:rsidRDefault="006B5186" w:rsidP="006B5186">
      <w:pPr>
        <w:pStyle w:val="FootnoteText"/>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Performance based are those that are the result of actual building energy use or emissions, attribute based is based on features use in the building (materials used, lighting, insulation etc)</w:t>
      </w:r>
    </w:p>
  </w:footnote>
  <w:footnote w:id="16">
    <w:p w14:paraId="40E5079C" w14:textId="77777777" w:rsidR="00F53005" w:rsidRPr="0067599B" w:rsidRDefault="00F53005" w:rsidP="00F53005">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2" w:anchor=":~:text=The%20Government%20has%20set%20a,when%20considering%20value%20for%20money" w:history="1">
        <w:r w:rsidRPr="0067599B">
          <w:rPr>
            <w:rStyle w:val="Hyperlink"/>
            <w:rFonts w:asciiTheme="minorHAnsi" w:hAnsiTheme="minorHAnsi" w:cstheme="minorHAnsi"/>
            <w:sz w:val="14"/>
            <w:szCs w:val="14"/>
          </w:rPr>
          <w:t>APS Net Zero Emissions by 2030 | Department of Finance</w:t>
        </w:r>
      </w:hyperlink>
    </w:p>
  </w:footnote>
  <w:footnote w:id="17">
    <w:p w14:paraId="6C42C5D9" w14:textId="7E324CEE" w:rsidR="00FC19F4" w:rsidRPr="0067599B" w:rsidRDefault="00FC19F4">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3" w:anchor="toc-anchor-energy-efficiency-in-government-operations" w:history="1">
        <w:r w:rsidRPr="0067599B">
          <w:rPr>
            <w:rStyle w:val="Hyperlink"/>
            <w:rFonts w:asciiTheme="minorHAnsi" w:hAnsiTheme="minorHAnsi" w:cstheme="minorHAnsi"/>
            <w:sz w:val="14"/>
            <w:szCs w:val="14"/>
          </w:rPr>
          <w:t>Government buildings | energy.gov.au</w:t>
        </w:r>
      </w:hyperlink>
    </w:p>
  </w:footnote>
  <w:footnote w:id="18">
    <w:p w14:paraId="57F54FC8" w14:textId="07473053" w:rsidR="006E0547" w:rsidRPr="0067599B" w:rsidRDefault="006E0547">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r w:rsidR="00AD3152" w:rsidRPr="0067599B">
        <w:rPr>
          <w:rFonts w:asciiTheme="minorHAnsi" w:hAnsiTheme="minorHAnsi" w:cstheme="minorHAnsi"/>
          <w:sz w:val="14"/>
          <w:szCs w:val="14"/>
        </w:rPr>
        <w:t>The energy intensity targets set June 2011 are: 7,500 MJ /person/ year for tenant light and power; and 400 MJ /m</w:t>
      </w:r>
      <w:r w:rsidR="00AD3152" w:rsidRPr="0067599B">
        <w:rPr>
          <w:rFonts w:asciiTheme="minorHAnsi" w:hAnsiTheme="minorHAnsi" w:cstheme="minorHAnsi"/>
          <w:sz w:val="14"/>
          <w:szCs w:val="14"/>
          <w:vertAlign w:val="superscript"/>
        </w:rPr>
        <w:t>2</w:t>
      </w:r>
      <w:r w:rsidR="00AD3152" w:rsidRPr="0067599B">
        <w:rPr>
          <w:rFonts w:asciiTheme="minorHAnsi" w:hAnsiTheme="minorHAnsi" w:cstheme="minorHAnsi"/>
          <w:sz w:val="14"/>
          <w:szCs w:val="14"/>
        </w:rPr>
        <w:t>/ year for central services.</w:t>
      </w:r>
    </w:p>
  </w:footnote>
  <w:footnote w:id="19">
    <w:p w14:paraId="0086BA65" w14:textId="7A3295E4" w:rsidR="00911955" w:rsidRPr="0067599B" w:rsidRDefault="00911955">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4" w:anchor="toc-anchor-energy-efficiency-in-government-operations" w:history="1">
        <w:r w:rsidRPr="0067599B">
          <w:rPr>
            <w:rStyle w:val="Hyperlink"/>
            <w:rFonts w:asciiTheme="minorHAnsi" w:hAnsiTheme="minorHAnsi" w:cstheme="minorHAnsi"/>
            <w:sz w:val="14"/>
            <w:szCs w:val="14"/>
          </w:rPr>
          <w:t>Government buildings | energy.gov.au</w:t>
        </w:r>
      </w:hyperlink>
    </w:p>
  </w:footnote>
  <w:footnote w:id="20">
    <w:p w14:paraId="2B225849" w14:textId="1307524A" w:rsidR="00911955" w:rsidRPr="005A6E1A" w:rsidRDefault="00911955">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5A6E1A">
        <w:rPr>
          <w:rFonts w:asciiTheme="minorHAnsi" w:hAnsiTheme="minorHAnsi" w:cstheme="minorHAnsi"/>
          <w:sz w:val="14"/>
          <w:szCs w:val="14"/>
        </w:rPr>
        <w:t xml:space="preserve"> </w:t>
      </w:r>
      <w:hyperlink r:id="rId15" w:anchor="toc-anchor-energy-efficiency-in-government-operations" w:history="1">
        <w:r w:rsidRPr="005A6E1A">
          <w:rPr>
            <w:rStyle w:val="Hyperlink"/>
            <w:rFonts w:asciiTheme="minorHAnsi" w:hAnsiTheme="minorHAnsi" w:cstheme="minorHAnsi"/>
            <w:sz w:val="14"/>
            <w:szCs w:val="14"/>
          </w:rPr>
          <w:t>Government buildings | energy.gov.au</w:t>
        </w:r>
      </w:hyperlink>
    </w:p>
  </w:footnote>
  <w:footnote w:id="21">
    <w:p w14:paraId="10C754C3" w14:textId="0FACFD88" w:rsidR="0008413A" w:rsidRPr="005A6E1A" w:rsidRDefault="0008413A" w:rsidP="0008413A">
      <w:pPr>
        <w:pStyle w:val="FootnoteText"/>
        <w:rPr>
          <w:rFonts w:asciiTheme="minorHAnsi" w:hAnsiTheme="minorHAnsi" w:cstheme="minorHAnsi"/>
          <w:sz w:val="14"/>
          <w:szCs w:val="14"/>
        </w:rPr>
      </w:pPr>
      <w:r w:rsidRPr="005A6E1A">
        <w:rPr>
          <w:rStyle w:val="FootnoteReference"/>
          <w:rFonts w:asciiTheme="minorHAnsi" w:hAnsiTheme="minorHAnsi" w:cstheme="minorHAnsi"/>
          <w:sz w:val="14"/>
          <w:szCs w:val="14"/>
        </w:rPr>
        <w:footnoteRef/>
      </w:r>
      <w:r w:rsidRPr="005A6E1A">
        <w:rPr>
          <w:rFonts w:asciiTheme="minorHAnsi" w:hAnsiTheme="minorHAnsi" w:cstheme="minorHAnsi"/>
          <w:sz w:val="14"/>
          <w:szCs w:val="14"/>
        </w:rPr>
        <w:t xml:space="preserve"> </w:t>
      </w:r>
      <w:hyperlink r:id="rId16" w:history="1">
        <w:r w:rsidRPr="005A6E1A">
          <w:rPr>
            <w:rStyle w:val="Hyperlink"/>
            <w:rFonts w:asciiTheme="minorHAnsi" w:hAnsiTheme="minorHAnsi" w:cstheme="minorHAnsi"/>
            <w:sz w:val="14"/>
            <w:szCs w:val="14"/>
          </w:rPr>
          <w:t xml:space="preserve">Decarbonising Infrastructure Delivery </w:t>
        </w:r>
        <w:proofErr w:type="gramStart"/>
        <w:r w:rsidR="005A6E1A" w:rsidRPr="005A6E1A">
          <w:rPr>
            <w:rStyle w:val="Hyperlink"/>
            <w:rFonts w:asciiTheme="minorHAnsi" w:hAnsiTheme="minorHAnsi" w:cstheme="minorHAnsi"/>
            <w:sz w:val="14"/>
            <w:szCs w:val="14"/>
          </w:rPr>
          <w:t>discussion</w:t>
        </w:r>
        <w:r w:rsidRPr="005A6E1A">
          <w:rPr>
            <w:rStyle w:val="Hyperlink"/>
            <w:rFonts w:asciiTheme="minorHAnsi" w:hAnsiTheme="minorHAnsi" w:cstheme="minorHAnsi"/>
            <w:sz w:val="14"/>
            <w:szCs w:val="14"/>
          </w:rPr>
          <w:t xml:space="preserve">  (</w:t>
        </w:r>
        <w:proofErr w:type="gramEnd"/>
        <w:r w:rsidRPr="005A6E1A">
          <w:rPr>
            <w:rStyle w:val="Hyperlink"/>
            <w:rFonts w:asciiTheme="minorHAnsi" w:hAnsiTheme="minorHAnsi" w:cstheme="minorHAnsi"/>
            <w:sz w:val="14"/>
            <w:szCs w:val="14"/>
          </w:rPr>
          <w:t>nsw.gov.au)</w:t>
        </w:r>
      </w:hyperlink>
    </w:p>
  </w:footnote>
  <w:footnote w:id="22">
    <w:p w14:paraId="0D6369CF" w14:textId="77777777" w:rsidR="00057067" w:rsidRPr="005D7242" w:rsidRDefault="00057067" w:rsidP="00057067">
      <w:pPr>
        <w:pStyle w:val="FootnoteText"/>
        <w:rPr>
          <w:sz w:val="14"/>
          <w:szCs w:val="14"/>
        </w:rPr>
      </w:pPr>
      <w:r w:rsidRPr="00121748">
        <w:rPr>
          <w:rStyle w:val="FootnoteReference"/>
          <w:rFonts w:asciiTheme="minorHAnsi" w:hAnsiTheme="minorHAnsi" w:cstheme="minorHAnsi"/>
          <w:sz w:val="14"/>
          <w:szCs w:val="14"/>
        </w:rPr>
        <w:footnoteRef/>
      </w:r>
      <w:r w:rsidRPr="005A6E1A">
        <w:rPr>
          <w:rFonts w:asciiTheme="minorHAnsi" w:hAnsiTheme="minorHAnsi" w:cstheme="minorHAnsi"/>
          <w:sz w:val="14"/>
          <w:szCs w:val="14"/>
        </w:rPr>
        <w:t xml:space="preserve"> </w:t>
      </w:r>
      <w:hyperlink r:id="rId17" w:history="1">
        <w:r w:rsidRPr="005A6E1A">
          <w:rPr>
            <w:rStyle w:val="Hyperlink"/>
            <w:rFonts w:asciiTheme="minorHAnsi" w:hAnsiTheme="minorHAnsi" w:cstheme="minorHAnsi"/>
            <w:sz w:val="14"/>
            <w:szCs w:val="14"/>
          </w:rPr>
          <w:t>Embodied Carbon &amp; Embodied Energy in Australia's Buildings (gbca-web.s3.amazonaws.com)</w:t>
        </w:r>
      </w:hyperlink>
    </w:p>
  </w:footnote>
  <w:footnote w:id="23">
    <w:p w14:paraId="3256271B" w14:textId="743EE39B" w:rsidR="004D478C" w:rsidRPr="005E764F" w:rsidRDefault="004D478C">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18" w:history="1">
        <w:r w:rsidR="0013164D" w:rsidRPr="005E764F">
          <w:rPr>
            <w:rStyle w:val="Hyperlink"/>
            <w:rFonts w:asciiTheme="minorHAnsi" w:hAnsiTheme="minorHAnsi" w:cstheme="minorHAnsi"/>
            <w:sz w:val="14"/>
            <w:szCs w:val="14"/>
          </w:rPr>
          <w:t>Sustainable Buildings SEPP | Planning (nsw.gov.au)</w:t>
        </w:r>
      </w:hyperlink>
    </w:p>
  </w:footnote>
  <w:footnote w:id="24">
    <w:p w14:paraId="64F790CF" w14:textId="50500DAE" w:rsidR="00ED2E48" w:rsidRDefault="00ED2E48">
      <w:pPr>
        <w:pStyle w:val="FootnoteText"/>
      </w:pPr>
      <w:r w:rsidRPr="005E764F">
        <w:rPr>
          <w:rStyle w:val="FootnoteReference"/>
          <w:rFonts w:asciiTheme="minorHAnsi" w:hAnsiTheme="minorHAnsi" w:cstheme="minorHAnsi"/>
          <w:sz w:val="14"/>
          <w:szCs w:val="14"/>
        </w:rPr>
        <w:footnoteRef/>
      </w:r>
      <w:r w:rsidRPr="005E764F">
        <w:rPr>
          <w:rStyle w:val="FootnoteReference"/>
          <w:rFonts w:asciiTheme="minorHAnsi" w:hAnsiTheme="minorHAnsi" w:cstheme="minorHAnsi"/>
          <w:sz w:val="14"/>
          <w:szCs w:val="14"/>
        </w:rPr>
        <w:t xml:space="preserve"> </w:t>
      </w:r>
      <w:r w:rsidRPr="005E764F">
        <w:rPr>
          <w:rStyle w:val="Hyperlink"/>
          <w:rFonts w:ascii="Calibri body" w:hAnsi="Calibri body"/>
          <w:sz w:val="14"/>
          <w:szCs w:val="14"/>
        </w:rPr>
        <w:t>Commercial Buildings Energy Consumption Baseline Study 2022</w:t>
      </w:r>
    </w:p>
  </w:footnote>
  <w:footnote w:id="25">
    <w:p w14:paraId="543D7BC7" w14:textId="2EA410E3" w:rsidR="00C22375" w:rsidRPr="005E764F" w:rsidRDefault="00C22375">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19" w:history="1">
        <w:r w:rsidRPr="005E764F">
          <w:rPr>
            <w:rStyle w:val="Hyperlink"/>
            <w:rFonts w:asciiTheme="minorHAnsi" w:hAnsiTheme="minorHAnsi" w:cstheme="minorHAnsi"/>
            <w:sz w:val="14"/>
            <w:szCs w:val="14"/>
          </w:rPr>
          <w:t>Australian Energy Update 2020 | energy.gov.au</w:t>
        </w:r>
      </w:hyperlink>
    </w:p>
  </w:footnote>
  <w:footnote w:id="26">
    <w:p w14:paraId="6CABA6D0" w14:textId="78077A3F" w:rsidR="00DB59D3" w:rsidRPr="005E764F" w:rsidRDefault="00DB59D3">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r w:rsidRPr="005E764F">
        <w:rPr>
          <w:rFonts w:asciiTheme="minorHAnsi" w:hAnsiTheme="minorHAnsi" w:cstheme="minorHAnsi"/>
          <w:sz w:val="14"/>
          <w:szCs w:val="14"/>
          <w:u w:val="single"/>
        </w:rPr>
        <w:t>NABERS &amp; CBD Assessor Events 2022, Oscar Tigwell</w:t>
      </w:r>
    </w:p>
  </w:footnote>
  <w:footnote w:id="27">
    <w:p w14:paraId="30D5633C" w14:textId="77777777" w:rsidR="00BB499E" w:rsidRDefault="00BB499E" w:rsidP="00BB499E">
      <w:pPr>
        <w:pStyle w:val="FootnoteText"/>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20" w:history="1">
        <w:proofErr w:type="spellStart"/>
        <w:r w:rsidRPr="005E764F">
          <w:rPr>
            <w:rStyle w:val="Hyperlink"/>
            <w:rFonts w:asciiTheme="minorHAnsi" w:hAnsiTheme="minorHAnsi" w:cstheme="minorHAnsi"/>
            <w:sz w:val="14"/>
            <w:szCs w:val="14"/>
          </w:rPr>
          <w:t>CBBS</w:t>
        </w:r>
        <w:proofErr w:type="spellEnd"/>
        <w:r w:rsidRPr="005E764F">
          <w:rPr>
            <w:rStyle w:val="Hyperlink"/>
            <w:rFonts w:asciiTheme="minorHAnsi" w:hAnsiTheme="minorHAnsi" w:cstheme="minorHAnsi"/>
            <w:sz w:val="14"/>
            <w:szCs w:val="14"/>
          </w:rPr>
          <w:t xml:space="preserve"> 2022 Final Report (energy.gov.au)</w:t>
        </w:r>
      </w:hyperlink>
    </w:p>
  </w:footnote>
  <w:footnote w:id="28">
    <w:p w14:paraId="104FE549" w14:textId="023E6568" w:rsidR="00924935" w:rsidRPr="005E764F" w:rsidRDefault="00924935" w:rsidP="00924935">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21" w:history="1">
        <w:r w:rsidRPr="003738D0">
          <w:rPr>
            <w:rStyle w:val="Hyperlink"/>
            <w:rFonts w:asciiTheme="minorHAnsi" w:hAnsiTheme="minorHAnsi" w:cstheme="minorHAnsi"/>
            <w:sz w:val="14"/>
            <w:szCs w:val="14"/>
          </w:rPr>
          <w:t>8</w:t>
        </w:r>
        <w:r w:rsidR="00D220CD" w:rsidRPr="003738D0">
          <w:rPr>
            <w:rStyle w:val="Hyperlink"/>
            <w:rFonts w:asciiTheme="minorHAnsi" w:hAnsiTheme="minorHAnsi" w:cstheme="minorHAnsi"/>
            <w:sz w:val="14"/>
            <w:szCs w:val="14"/>
          </w:rPr>
          <w:t xml:space="preserve"> </w:t>
        </w:r>
        <w:r w:rsidRPr="003738D0">
          <w:rPr>
            <w:rStyle w:val="Hyperlink"/>
            <w:rFonts w:asciiTheme="minorHAnsi" w:hAnsiTheme="minorHAnsi" w:cstheme="minorHAnsi"/>
            <w:sz w:val="14"/>
            <w:szCs w:val="14"/>
          </w:rPr>
          <w:t>per cent emissions direct emissions in buildings and 1</w:t>
        </w:r>
        <w:r w:rsidR="001439EA" w:rsidRPr="003738D0">
          <w:rPr>
            <w:rStyle w:val="Hyperlink"/>
            <w:rFonts w:asciiTheme="minorHAnsi" w:hAnsiTheme="minorHAnsi" w:cstheme="minorHAnsi"/>
            <w:sz w:val="14"/>
            <w:szCs w:val="14"/>
          </w:rPr>
          <w:t>8</w:t>
        </w:r>
        <w:r w:rsidR="00D220CD" w:rsidRPr="003738D0">
          <w:rPr>
            <w:rStyle w:val="Hyperlink"/>
            <w:rFonts w:asciiTheme="minorHAnsi" w:hAnsiTheme="minorHAnsi" w:cstheme="minorHAnsi"/>
            <w:sz w:val="14"/>
            <w:szCs w:val="14"/>
          </w:rPr>
          <w:t xml:space="preserve"> </w:t>
        </w:r>
        <w:r w:rsidRPr="003738D0">
          <w:rPr>
            <w:rStyle w:val="Hyperlink"/>
            <w:rFonts w:asciiTheme="minorHAnsi" w:hAnsiTheme="minorHAnsi" w:cstheme="minorHAnsi"/>
            <w:sz w:val="14"/>
            <w:szCs w:val="14"/>
          </w:rPr>
          <w:t>per cent indirect emissions</w:t>
        </w:r>
      </w:hyperlink>
      <w:r w:rsidRPr="005E764F">
        <w:rPr>
          <w:rFonts w:asciiTheme="minorHAnsi" w:hAnsiTheme="minorHAnsi" w:cstheme="minorHAnsi"/>
          <w:sz w:val="14"/>
          <w:szCs w:val="14"/>
        </w:rPr>
        <w:t xml:space="preserve"> from the production of electricity and heat used in buildings</w:t>
      </w:r>
      <w:r w:rsidR="001175AE">
        <w:rPr>
          <w:rFonts w:asciiTheme="minorHAnsi" w:hAnsiTheme="minorHAnsi" w:cstheme="minorHAnsi"/>
          <w:sz w:val="14"/>
          <w:szCs w:val="14"/>
        </w:rPr>
        <w:t>.</w:t>
      </w:r>
    </w:p>
  </w:footnote>
  <w:footnote w:id="29">
    <w:p w14:paraId="641BDE6F" w14:textId="6D92B7D3" w:rsidR="00924935" w:rsidRPr="005E764F" w:rsidRDefault="00924935" w:rsidP="00924935">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In Australia, offices account for around </w:t>
      </w:r>
      <w:hyperlink r:id="rId22" w:history="1">
        <w:r w:rsidRPr="00AF27E2">
          <w:rPr>
            <w:rStyle w:val="Hyperlink"/>
            <w:rFonts w:asciiTheme="minorHAnsi" w:hAnsiTheme="minorHAnsi" w:cstheme="minorHAnsi"/>
            <w:sz w:val="14"/>
            <w:szCs w:val="14"/>
          </w:rPr>
          <w:t>6</w:t>
        </w:r>
        <w:r w:rsidR="00AF27E2" w:rsidRPr="00AF27E2">
          <w:rPr>
            <w:rStyle w:val="Hyperlink"/>
            <w:rFonts w:asciiTheme="minorHAnsi" w:hAnsiTheme="minorHAnsi" w:cstheme="minorHAnsi"/>
            <w:sz w:val="14"/>
            <w:szCs w:val="14"/>
          </w:rPr>
          <w:t xml:space="preserve"> </w:t>
        </w:r>
        <w:r w:rsidRPr="00AF27E2">
          <w:rPr>
            <w:rStyle w:val="Hyperlink"/>
            <w:rFonts w:asciiTheme="minorHAnsi" w:hAnsiTheme="minorHAnsi" w:cstheme="minorHAnsi"/>
            <w:sz w:val="14"/>
            <w:szCs w:val="14"/>
          </w:rPr>
          <w:t>per cent of emissions</w:t>
        </w:r>
      </w:hyperlink>
      <w:r w:rsidRPr="005E764F">
        <w:rPr>
          <w:rFonts w:asciiTheme="minorHAnsi" w:hAnsiTheme="minorHAnsi" w:cstheme="minorHAnsi"/>
          <w:sz w:val="14"/>
          <w:szCs w:val="14"/>
        </w:rPr>
        <w:t xml:space="preserve"> </w:t>
      </w:r>
    </w:p>
  </w:footnote>
  <w:footnote w:id="30">
    <w:p w14:paraId="4D010113" w14:textId="4BFD50B0" w:rsidR="0036443A" w:rsidRPr="005E764F" w:rsidRDefault="0036443A">
      <w:pPr>
        <w:pStyle w:val="FootnoteText"/>
        <w:rPr>
          <w:sz w:val="18"/>
          <w:szCs w:val="18"/>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23" w:history="1">
        <w:r w:rsidR="00543879" w:rsidRPr="005E764F">
          <w:rPr>
            <w:rStyle w:val="Hyperlink"/>
            <w:rFonts w:asciiTheme="minorHAnsi" w:hAnsiTheme="minorHAnsi" w:cstheme="minorHAnsi"/>
            <w:sz w:val="14"/>
            <w:szCs w:val="14"/>
          </w:rPr>
          <w:t xml:space="preserve">Climate Change Mitigation | </w:t>
        </w:r>
        <w:proofErr w:type="spellStart"/>
        <w:r w:rsidR="00543879" w:rsidRPr="005E764F">
          <w:rPr>
            <w:rStyle w:val="Hyperlink"/>
            <w:rFonts w:asciiTheme="minorHAnsi" w:hAnsiTheme="minorHAnsi" w:cstheme="minorHAnsi"/>
            <w:sz w:val="14"/>
            <w:szCs w:val="14"/>
          </w:rPr>
          <w:t>UKGBC</w:t>
        </w:r>
        <w:proofErr w:type="spellEnd"/>
      </w:hyperlink>
    </w:p>
  </w:footnote>
  <w:footnote w:id="31">
    <w:p w14:paraId="67942639" w14:textId="77777777" w:rsidR="00210CA0" w:rsidRPr="00A53A15" w:rsidRDefault="00210CA0">
      <w:pPr>
        <w:pStyle w:val="FootnoteText"/>
        <w:rPr>
          <w:rFonts w:asciiTheme="minorHAnsi" w:hAnsiTheme="minorHAnsi" w:cstheme="minorHAnsi"/>
          <w:sz w:val="14"/>
          <w:szCs w:val="14"/>
        </w:rPr>
      </w:pPr>
      <w:r w:rsidRPr="00A53A15">
        <w:rPr>
          <w:rStyle w:val="FootnoteReference"/>
          <w:rFonts w:asciiTheme="minorHAnsi" w:hAnsiTheme="minorHAnsi" w:cstheme="minorHAnsi"/>
          <w:sz w:val="14"/>
          <w:szCs w:val="14"/>
        </w:rPr>
        <w:footnoteRef/>
      </w:r>
      <w:r w:rsidRPr="00A53A15">
        <w:rPr>
          <w:rFonts w:asciiTheme="minorHAnsi" w:hAnsiTheme="minorHAnsi" w:cstheme="minorHAnsi"/>
          <w:sz w:val="14"/>
          <w:szCs w:val="14"/>
        </w:rPr>
        <w:t xml:space="preserve"> </w:t>
      </w:r>
      <w:hyperlink r:id="rId24" w:history="1">
        <w:r w:rsidRPr="00A53A15">
          <w:rPr>
            <w:rStyle w:val="Hyperlink"/>
            <w:rFonts w:asciiTheme="minorHAnsi" w:hAnsiTheme="minorHAnsi" w:cstheme="minorHAnsi"/>
            <w:sz w:val="14"/>
            <w:szCs w:val="14"/>
          </w:rPr>
          <w:t xml:space="preserve">Important Updates for DC building owners on the DC Building Energy Performance Standards — </w:t>
        </w:r>
        <w:proofErr w:type="spellStart"/>
        <w:r w:rsidRPr="00A53A15">
          <w:rPr>
            <w:rStyle w:val="Hyperlink"/>
            <w:rFonts w:asciiTheme="minorHAnsi" w:hAnsiTheme="minorHAnsi" w:cstheme="minorHAnsi"/>
            <w:sz w:val="14"/>
            <w:szCs w:val="14"/>
          </w:rPr>
          <w:t>CEG</w:t>
        </w:r>
        <w:proofErr w:type="spellEnd"/>
        <w:r w:rsidRPr="00A53A15">
          <w:rPr>
            <w:rStyle w:val="Hyperlink"/>
            <w:rFonts w:asciiTheme="minorHAnsi" w:hAnsiTheme="minorHAnsi" w:cstheme="minorHAnsi"/>
            <w:sz w:val="14"/>
            <w:szCs w:val="14"/>
          </w:rPr>
          <w:t xml:space="preserve"> Solutions</w:t>
        </w:r>
      </w:hyperlink>
    </w:p>
  </w:footnote>
  <w:footnote w:id="32">
    <w:p w14:paraId="123C25EB" w14:textId="43DA61D2" w:rsidR="00586CB5" w:rsidRPr="00290642" w:rsidRDefault="00586CB5" w:rsidP="00586CB5">
      <w:pPr>
        <w:pStyle w:val="FootnoteText"/>
        <w:ind w:left="142" w:hanging="142"/>
        <w:rPr>
          <w:rFonts w:asciiTheme="minorHAnsi" w:hAnsiTheme="minorHAnsi" w:cstheme="minorHAnsi"/>
          <w:sz w:val="14"/>
          <w:szCs w:val="14"/>
        </w:rPr>
      </w:pPr>
      <w:r w:rsidRPr="00290642">
        <w:rPr>
          <w:rStyle w:val="FootnoteReference"/>
          <w:rFonts w:asciiTheme="minorHAnsi" w:hAnsiTheme="minorHAnsi" w:cstheme="minorHAnsi"/>
          <w:sz w:val="14"/>
          <w:szCs w:val="14"/>
        </w:rPr>
        <w:footnoteRef/>
      </w:r>
      <w:r w:rsidRPr="00290642">
        <w:rPr>
          <w:rFonts w:asciiTheme="minorHAnsi" w:hAnsiTheme="minorHAnsi" w:cstheme="minorHAnsi"/>
          <w:sz w:val="14"/>
          <w:szCs w:val="14"/>
        </w:rPr>
        <w:t xml:space="preserve"> </w:t>
      </w:r>
      <w:proofErr w:type="spellStart"/>
      <w:r w:rsidRPr="00290642">
        <w:rPr>
          <w:rFonts w:asciiTheme="minorHAnsi" w:hAnsiTheme="minorHAnsi" w:cstheme="minorHAnsi"/>
          <w:sz w:val="14"/>
          <w:szCs w:val="14"/>
          <w:u w:val="single"/>
        </w:rPr>
        <w:t>IPEEC</w:t>
      </w:r>
      <w:proofErr w:type="spellEnd"/>
      <w:r w:rsidRPr="00290642">
        <w:rPr>
          <w:rFonts w:asciiTheme="minorHAnsi" w:hAnsiTheme="minorHAnsi" w:cstheme="minorHAnsi"/>
          <w:sz w:val="14"/>
          <w:szCs w:val="14"/>
          <w:u w:val="single"/>
        </w:rPr>
        <w:t xml:space="preserve"> (2017) </w:t>
      </w:r>
      <w:hyperlink r:id="rId25" w:history="1">
        <w:r w:rsidRPr="001B5B33">
          <w:rPr>
            <w:rStyle w:val="Hyperlink"/>
            <w:rFonts w:asciiTheme="minorHAnsi" w:hAnsiTheme="minorHAnsi" w:cstheme="minorHAnsi"/>
            <w:sz w:val="14"/>
            <w:szCs w:val="14"/>
          </w:rPr>
          <w:t>Existing Building Energy Efficiency Renovation - International Review of Regulatory Policies</w:t>
        </w:r>
      </w:hyperlink>
      <w:r w:rsidRPr="00290642">
        <w:rPr>
          <w:rFonts w:asciiTheme="minorHAnsi" w:hAnsiTheme="minorHAnsi" w:cstheme="minorHAnsi"/>
          <w:sz w:val="14"/>
          <w:szCs w:val="14"/>
          <w:u w:val="single"/>
        </w:rPr>
        <w:t xml:space="preserve">. </w:t>
      </w:r>
      <w:proofErr w:type="spellStart"/>
      <w:r w:rsidRPr="001B5B33">
        <w:rPr>
          <w:rFonts w:asciiTheme="minorHAnsi" w:hAnsiTheme="minorHAnsi" w:cstheme="minorHAnsi"/>
          <w:sz w:val="14"/>
          <w:szCs w:val="14"/>
        </w:rPr>
        <w:t>IPEEC</w:t>
      </w:r>
      <w:proofErr w:type="spellEnd"/>
      <w:r w:rsidRPr="001B5B33">
        <w:rPr>
          <w:rFonts w:asciiTheme="minorHAnsi" w:hAnsiTheme="minorHAnsi" w:cstheme="minorHAnsi"/>
          <w:sz w:val="14"/>
          <w:szCs w:val="14"/>
        </w:rPr>
        <w:t xml:space="preserve"> Building Energy Efficiency </w:t>
      </w:r>
      <w:proofErr w:type="spellStart"/>
      <w:r w:rsidRPr="001B5B33">
        <w:rPr>
          <w:rFonts w:asciiTheme="minorHAnsi" w:hAnsiTheme="minorHAnsi" w:cstheme="minorHAnsi"/>
          <w:sz w:val="14"/>
          <w:szCs w:val="14"/>
        </w:rPr>
        <w:t>Taskgroup</w:t>
      </w:r>
      <w:proofErr w:type="spellEnd"/>
      <w:r w:rsidRPr="001B5B33">
        <w:rPr>
          <w:rFonts w:asciiTheme="minorHAnsi" w:hAnsiTheme="minorHAnsi" w:cstheme="minorHAnsi"/>
          <w:sz w:val="14"/>
          <w:szCs w:val="14"/>
        </w:rPr>
        <w:t>.</w:t>
      </w:r>
      <w:r w:rsidRPr="00290642">
        <w:rPr>
          <w:rFonts w:asciiTheme="minorHAnsi" w:hAnsiTheme="minorHAnsi" w:cstheme="minorHAnsi"/>
          <w:sz w:val="14"/>
          <w:szCs w:val="14"/>
          <w:u w:val="single"/>
        </w:rPr>
        <w:t xml:space="preserve"> </w:t>
      </w:r>
    </w:p>
  </w:footnote>
  <w:footnote w:id="33">
    <w:p w14:paraId="288756D2" w14:textId="6B65535E" w:rsidR="00586CB5" w:rsidRPr="00290642" w:rsidRDefault="00586CB5" w:rsidP="00586CB5">
      <w:pPr>
        <w:pStyle w:val="FootnoteText"/>
        <w:rPr>
          <w:rFonts w:asciiTheme="minorHAnsi" w:hAnsiTheme="minorHAnsi" w:cstheme="minorHAnsi"/>
          <w:sz w:val="14"/>
          <w:szCs w:val="14"/>
        </w:rPr>
      </w:pPr>
      <w:r w:rsidRPr="00290642">
        <w:rPr>
          <w:rStyle w:val="FootnoteReference"/>
          <w:rFonts w:asciiTheme="minorHAnsi" w:hAnsiTheme="minorHAnsi" w:cstheme="minorHAnsi"/>
          <w:sz w:val="14"/>
          <w:szCs w:val="14"/>
        </w:rPr>
        <w:footnoteRef/>
      </w:r>
      <w:r w:rsidRPr="00290642">
        <w:rPr>
          <w:rFonts w:asciiTheme="minorHAnsi" w:hAnsiTheme="minorHAnsi" w:cstheme="minorHAnsi"/>
          <w:sz w:val="14"/>
          <w:szCs w:val="14"/>
        </w:rPr>
        <w:t xml:space="preserve"> </w:t>
      </w:r>
      <w:hyperlink r:id="rId26" w:history="1">
        <w:r w:rsidRPr="00290642">
          <w:rPr>
            <w:rStyle w:val="Hyperlink"/>
            <w:rFonts w:asciiTheme="minorHAnsi" w:hAnsiTheme="minorHAnsi" w:cstheme="minorHAnsi"/>
            <w:sz w:val="14"/>
            <w:szCs w:val="14"/>
          </w:rPr>
          <w:t>Energy Performance Certificates for buildings: action plan (publishing.service.gov.uk)</w:t>
        </w:r>
      </w:hyperlink>
    </w:p>
  </w:footnote>
  <w:footnote w:id="34">
    <w:p w14:paraId="35E1FBDB" w14:textId="42A8DA69" w:rsidR="00C5153F" w:rsidRPr="00290642" w:rsidRDefault="00C5153F" w:rsidP="00C5153F">
      <w:pPr>
        <w:pStyle w:val="FootnoteText"/>
        <w:ind w:left="142" w:hanging="142"/>
        <w:rPr>
          <w:rFonts w:asciiTheme="minorHAnsi" w:hAnsiTheme="minorHAnsi" w:cstheme="minorHAnsi"/>
          <w:sz w:val="14"/>
          <w:szCs w:val="14"/>
        </w:rPr>
      </w:pPr>
      <w:r w:rsidRPr="00290642">
        <w:rPr>
          <w:rStyle w:val="FootnoteReference"/>
          <w:rFonts w:asciiTheme="minorHAnsi" w:hAnsiTheme="minorHAnsi" w:cstheme="minorHAnsi"/>
          <w:sz w:val="14"/>
          <w:szCs w:val="14"/>
        </w:rPr>
        <w:footnoteRef/>
      </w:r>
      <w:r w:rsidRPr="00290642">
        <w:rPr>
          <w:rFonts w:asciiTheme="minorHAnsi" w:hAnsiTheme="minorHAnsi" w:cstheme="minorHAnsi"/>
          <w:sz w:val="14"/>
          <w:szCs w:val="14"/>
        </w:rPr>
        <w:t xml:space="preserve"> </w:t>
      </w:r>
      <w:r w:rsidR="00446CFC" w:rsidRPr="00290642">
        <w:rPr>
          <w:rFonts w:asciiTheme="minorHAnsi" w:hAnsiTheme="minorHAnsi" w:cstheme="minorHAnsi"/>
          <w:sz w:val="14"/>
          <w:szCs w:val="14"/>
        </w:rPr>
        <w:t xml:space="preserve">Residential only schemes have been removed. </w:t>
      </w:r>
      <w:r w:rsidRPr="00290642">
        <w:rPr>
          <w:rFonts w:asciiTheme="minorHAnsi" w:hAnsiTheme="minorHAnsi" w:cstheme="minorHAnsi"/>
          <w:sz w:val="14"/>
          <w:szCs w:val="14"/>
        </w:rPr>
        <w:t xml:space="preserve">From </w:t>
      </w:r>
      <w:proofErr w:type="spellStart"/>
      <w:r w:rsidRPr="00290642">
        <w:rPr>
          <w:rFonts w:asciiTheme="minorHAnsi" w:hAnsiTheme="minorHAnsi" w:cstheme="minorHAnsi"/>
          <w:sz w:val="14"/>
          <w:szCs w:val="14"/>
        </w:rPr>
        <w:t>IPEEC</w:t>
      </w:r>
      <w:proofErr w:type="spellEnd"/>
      <w:r w:rsidRPr="00290642">
        <w:rPr>
          <w:rFonts w:asciiTheme="minorHAnsi" w:hAnsiTheme="minorHAnsi" w:cstheme="minorHAnsi"/>
          <w:sz w:val="14"/>
          <w:szCs w:val="14"/>
        </w:rPr>
        <w:t xml:space="preserve"> (2014). </w:t>
      </w:r>
      <w:hyperlink r:id="rId27" w:history="1">
        <w:r w:rsidRPr="00CB0B0F">
          <w:rPr>
            <w:rStyle w:val="Hyperlink"/>
            <w:rFonts w:asciiTheme="minorHAnsi" w:hAnsiTheme="minorHAnsi" w:cstheme="minorHAnsi"/>
            <w:sz w:val="14"/>
            <w:szCs w:val="14"/>
          </w:rPr>
          <w:t>Building Energy Rating Schemes – Assessing Issues and Impacts</w:t>
        </w:r>
      </w:hyperlink>
      <w:r w:rsidR="00EE6560">
        <w:rPr>
          <w:rFonts w:asciiTheme="minorHAnsi" w:hAnsiTheme="minorHAnsi" w:cstheme="minorHAnsi"/>
          <w:sz w:val="14"/>
          <w:szCs w:val="14"/>
        </w:rPr>
        <w:t xml:space="preserve"> </w:t>
      </w:r>
      <w:r w:rsidRPr="00290642">
        <w:rPr>
          <w:rStyle w:val="Hyperlink"/>
          <w:rFonts w:asciiTheme="minorHAnsi" w:hAnsiTheme="minorHAnsi" w:cstheme="minorHAnsi"/>
          <w:sz w:val="14"/>
          <w:szCs w:val="14"/>
          <w:u w:val="none"/>
        </w:rPr>
        <w:t xml:space="preserve">and </w:t>
      </w:r>
      <w:r w:rsidRPr="00290642">
        <w:rPr>
          <w:rFonts w:asciiTheme="minorHAnsi" w:hAnsiTheme="minorHAnsi" w:cstheme="minorHAnsi"/>
          <w:sz w:val="14"/>
          <w:szCs w:val="14"/>
        </w:rPr>
        <w:t xml:space="preserve">Lee, </w:t>
      </w:r>
      <w:proofErr w:type="spellStart"/>
      <w:r w:rsidRPr="00290642">
        <w:rPr>
          <w:rFonts w:asciiTheme="minorHAnsi" w:hAnsiTheme="minorHAnsi" w:cstheme="minorHAnsi"/>
          <w:sz w:val="14"/>
          <w:szCs w:val="14"/>
        </w:rPr>
        <w:t>Hyunjoo</w:t>
      </w:r>
      <w:proofErr w:type="spellEnd"/>
      <w:r w:rsidRPr="00290642">
        <w:rPr>
          <w:rFonts w:asciiTheme="minorHAnsi" w:hAnsiTheme="minorHAnsi" w:cstheme="minorHAnsi"/>
          <w:sz w:val="14"/>
          <w:szCs w:val="14"/>
        </w:rPr>
        <w:t xml:space="preserve"> &amp; Lee, Misuk &amp; Lim, Sesil. (2018). </w:t>
      </w:r>
      <w:hyperlink r:id="rId28" w:history="1">
        <w:r w:rsidRPr="00BA2E95">
          <w:rPr>
            <w:rStyle w:val="Hyperlink"/>
            <w:rFonts w:asciiTheme="minorHAnsi" w:hAnsiTheme="minorHAnsi" w:cstheme="minorHAnsi"/>
            <w:sz w:val="14"/>
            <w:szCs w:val="14"/>
          </w:rPr>
          <w:t>Do Consumers Care about the Energy Efficiency of Buildings? Understanding Residential Choice Based on Energy Performance Certificates</w:t>
        </w:r>
      </w:hyperlink>
      <w:r w:rsidRPr="00290642">
        <w:rPr>
          <w:rFonts w:asciiTheme="minorHAnsi" w:hAnsiTheme="minorHAnsi" w:cstheme="minorHAnsi"/>
          <w:sz w:val="14"/>
          <w:szCs w:val="14"/>
        </w:rPr>
        <w:t xml:space="preserve">. Sustainability. 10. 4297. 10.3390/su10114297. </w:t>
      </w:r>
    </w:p>
  </w:footnote>
  <w:footnote w:id="35">
    <w:p w14:paraId="3987D9CD" w14:textId="77777777" w:rsidR="00802666" w:rsidRPr="00290642" w:rsidRDefault="00802666" w:rsidP="00C5153F">
      <w:pPr>
        <w:pStyle w:val="FootnoteText"/>
        <w:rPr>
          <w:rFonts w:asciiTheme="minorHAnsi" w:hAnsiTheme="minorHAnsi" w:cstheme="minorHAnsi"/>
          <w:sz w:val="14"/>
          <w:szCs w:val="14"/>
        </w:rPr>
      </w:pPr>
      <w:r w:rsidRPr="00290642">
        <w:rPr>
          <w:rStyle w:val="FootnoteReference"/>
          <w:rFonts w:asciiTheme="minorHAnsi" w:hAnsiTheme="minorHAnsi" w:cstheme="minorHAnsi"/>
          <w:sz w:val="14"/>
          <w:szCs w:val="14"/>
        </w:rPr>
        <w:footnoteRef/>
      </w:r>
      <w:r w:rsidRPr="00290642">
        <w:rPr>
          <w:rFonts w:asciiTheme="minorHAnsi" w:hAnsiTheme="minorHAnsi" w:cstheme="minorHAnsi"/>
          <w:sz w:val="14"/>
          <w:szCs w:val="14"/>
        </w:rPr>
        <w:t xml:space="preserve"> </w:t>
      </w:r>
      <w:r w:rsidRPr="00290642">
        <w:rPr>
          <w:rFonts w:asciiTheme="minorHAnsi" w:eastAsia="Symbol" w:hAnsiTheme="minorHAnsi" w:cstheme="minorHAnsi"/>
          <w:color w:val="auto"/>
          <w:sz w:val="14"/>
          <w:szCs w:val="14"/>
          <w:lang w:eastAsia="en-AU"/>
        </w:rPr>
        <w:t xml:space="preserve">ENERGY STAR was introduced in 1992 by the US EPA. According to </w:t>
      </w:r>
      <w:hyperlink r:id="rId29" w:history="1">
        <w:r w:rsidRPr="00290642">
          <w:rPr>
            <w:rStyle w:val="Hyperlink"/>
            <w:rFonts w:asciiTheme="minorHAnsi" w:hAnsiTheme="minorHAnsi" w:cstheme="minorHAnsi"/>
            <w:sz w:val="14"/>
            <w:szCs w:val="14"/>
          </w:rPr>
          <w:t>ES_Government-Factsheet_121914.pdf (energystar.gov)</w:t>
        </w:r>
      </w:hyperlink>
      <w:r w:rsidRPr="00290642">
        <w:rPr>
          <w:rFonts w:asciiTheme="minorHAnsi" w:hAnsiTheme="minorHAnsi" w:cstheme="minorHAnsi"/>
          <w:sz w:val="14"/>
          <w:szCs w:val="14"/>
        </w:rPr>
        <w:t xml:space="preserve"> there are three federal policies and 14 state policies across 13 states, and 14 municipality policies that leverage the ENERGY STAR tool in the US.</w:t>
      </w:r>
    </w:p>
  </w:footnote>
  <w:footnote w:id="36">
    <w:p w14:paraId="2BBB4DC3" w14:textId="77777777" w:rsidR="00802666" w:rsidRPr="00290642" w:rsidRDefault="00802666" w:rsidP="00C5153F">
      <w:pPr>
        <w:pStyle w:val="FootnoteText"/>
        <w:rPr>
          <w:rFonts w:asciiTheme="minorHAnsi" w:hAnsiTheme="minorHAnsi" w:cstheme="minorHAnsi"/>
          <w:sz w:val="14"/>
          <w:szCs w:val="14"/>
        </w:rPr>
      </w:pPr>
      <w:r w:rsidRPr="00290642">
        <w:rPr>
          <w:rStyle w:val="FootnoteReference"/>
          <w:rFonts w:asciiTheme="minorHAnsi" w:hAnsiTheme="minorHAnsi" w:cstheme="minorHAnsi"/>
          <w:sz w:val="14"/>
          <w:szCs w:val="14"/>
        </w:rPr>
        <w:footnoteRef/>
      </w:r>
      <w:r w:rsidRPr="00290642">
        <w:rPr>
          <w:rFonts w:asciiTheme="minorHAnsi" w:hAnsiTheme="minorHAnsi" w:cstheme="minorHAnsi"/>
          <w:sz w:val="14"/>
          <w:szCs w:val="14"/>
        </w:rPr>
        <w:t xml:space="preserve"> French equivalent of an Energy Performance Certificate (EPC)</w:t>
      </w:r>
    </w:p>
  </w:footnote>
  <w:footnote w:id="37">
    <w:p w14:paraId="4BA305D6" w14:textId="410F7077" w:rsidR="00802666" w:rsidRPr="00290642" w:rsidRDefault="00802666" w:rsidP="00C5153F">
      <w:pPr>
        <w:pStyle w:val="FootnoteText"/>
        <w:rPr>
          <w:sz w:val="18"/>
          <w:szCs w:val="18"/>
        </w:rPr>
      </w:pPr>
      <w:r w:rsidRPr="00290642">
        <w:rPr>
          <w:rStyle w:val="FootnoteReference"/>
          <w:rFonts w:asciiTheme="minorHAnsi" w:hAnsiTheme="minorHAnsi" w:cstheme="minorHAnsi"/>
          <w:sz w:val="14"/>
          <w:szCs w:val="14"/>
        </w:rPr>
        <w:footnoteRef/>
      </w:r>
      <w:hyperlink r:id="rId30" w:history="1">
        <w:r w:rsidRPr="003D7533">
          <w:rPr>
            <w:rStyle w:val="Hyperlink"/>
            <w:rFonts w:asciiTheme="minorHAnsi" w:hAnsiTheme="minorHAnsi" w:cstheme="minorHAnsi"/>
            <w:sz w:val="14"/>
            <w:szCs w:val="14"/>
          </w:rPr>
          <w:t>The Green Mark Certification Scheme Explained</w:t>
        </w:r>
        <w:r w:rsidRPr="003D7533">
          <w:rPr>
            <w:rStyle w:val="Hyperlink"/>
            <w:sz w:val="14"/>
            <w:szCs w:val="14"/>
          </w:rPr>
          <w:t xml:space="preserve"> by CIM</w:t>
        </w:r>
      </w:hyperlink>
    </w:p>
  </w:footnote>
  <w:footnote w:id="38">
    <w:p w14:paraId="2112D598" w14:textId="77777777" w:rsidR="008B0046" w:rsidRPr="0020530A" w:rsidRDefault="008B0046" w:rsidP="008B0046">
      <w:pPr>
        <w:pStyle w:val="FootnoteText"/>
        <w:rPr>
          <w:rFonts w:asciiTheme="minorHAnsi" w:hAnsiTheme="minorHAnsi" w:cstheme="minorHAnsi"/>
          <w:sz w:val="16"/>
          <w:szCs w:val="16"/>
        </w:rPr>
      </w:pPr>
      <w:r w:rsidRPr="0020530A">
        <w:rPr>
          <w:rStyle w:val="FootnoteReference"/>
          <w:rFonts w:asciiTheme="minorHAnsi" w:hAnsiTheme="minorHAnsi" w:cstheme="minorHAnsi"/>
          <w:sz w:val="14"/>
          <w:szCs w:val="14"/>
        </w:rPr>
        <w:footnoteRef/>
      </w:r>
      <w:r w:rsidRPr="0020530A">
        <w:rPr>
          <w:rFonts w:asciiTheme="minorHAnsi" w:hAnsiTheme="minorHAnsi" w:cstheme="minorHAnsi"/>
          <w:sz w:val="14"/>
          <w:szCs w:val="14"/>
        </w:rPr>
        <w:t xml:space="preserve"> Originally part of Energy Performance of Buildings (Certificates and Inspections) (England and Wales) Regulations 2007 (</w:t>
      </w:r>
      <w:hyperlink r:id="rId31" w:anchor=":~:text=The%20Energy%20Performance%20of%20Buildings%20Directive%20is%20an%20EU%20measure,of%20carbon%20produced%20by%20buildings." w:history="1">
        <w:r w:rsidRPr="0020530A">
          <w:rPr>
            <w:rStyle w:val="Hyperlink"/>
            <w:rFonts w:asciiTheme="minorHAnsi" w:hAnsiTheme="minorHAnsi" w:cstheme="minorHAnsi"/>
            <w:sz w:val="14"/>
            <w:szCs w:val="14"/>
          </w:rPr>
          <w:t>Recast of the Energy Performance of Buildings Directive - GOV.UK (www.gov.uk)</w:t>
        </w:r>
      </w:hyperlink>
      <w:r w:rsidRPr="0020530A">
        <w:rPr>
          <w:rFonts w:asciiTheme="minorHAnsi" w:hAnsiTheme="minorHAnsi" w:cstheme="minorHAnsi"/>
          <w:sz w:val="14"/>
          <w:szCs w:val="14"/>
        </w:rPr>
        <w:t>)</w:t>
      </w:r>
    </w:p>
  </w:footnote>
  <w:footnote w:id="39">
    <w:p w14:paraId="6A98F8B1" w14:textId="64BECD2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2" w:history="1">
        <w:r w:rsidRPr="00DE0913">
          <w:rPr>
            <w:rStyle w:val="Hyperlink"/>
            <w:rFonts w:asciiTheme="minorHAnsi" w:hAnsiTheme="minorHAnsi" w:cstheme="minorHAnsi"/>
            <w:sz w:val="14"/>
            <w:szCs w:val="14"/>
          </w:rPr>
          <w:t xml:space="preserve">A guide to energy performance certificates for the construction, sale and let of </w:t>
        </w:r>
        <w:r w:rsidR="00AE40A7" w:rsidRPr="00DE0913">
          <w:rPr>
            <w:rStyle w:val="Hyperlink"/>
            <w:rFonts w:asciiTheme="minorHAnsi" w:hAnsiTheme="minorHAnsi" w:cstheme="minorHAnsi"/>
            <w:sz w:val="14"/>
            <w:szCs w:val="14"/>
          </w:rPr>
          <w:t>non-dwellings</w:t>
        </w:r>
        <w:r w:rsidRPr="00DE0913">
          <w:rPr>
            <w:rStyle w:val="Hyperlink"/>
            <w:rFonts w:asciiTheme="minorHAnsi" w:hAnsiTheme="minorHAnsi" w:cstheme="minorHAnsi"/>
            <w:sz w:val="14"/>
            <w:szCs w:val="14"/>
          </w:rPr>
          <w:t xml:space="preserve"> (publishing.service.gov.uk)</w:t>
        </w:r>
      </w:hyperlink>
    </w:p>
  </w:footnote>
  <w:footnote w:id="40">
    <w:p w14:paraId="09897B4A" w14:textId="4680305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r w:rsidR="007B1C91" w:rsidRPr="00DE0913">
        <w:rPr>
          <w:rFonts w:asciiTheme="minorHAnsi" w:hAnsiTheme="minorHAnsi" w:cstheme="minorHAnsi"/>
          <w:sz w:val="14"/>
          <w:szCs w:val="14"/>
        </w:rPr>
        <w:t xml:space="preserve">According to </w:t>
      </w:r>
      <w:hyperlink w:history="1">
        <w:r w:rsidR="007B1C91" w:rsidRPr="00DE0913">
          <w:rPr>
            <w:rStyle w:val="Hyperlink"/>
            <w:rFonts w:asciiTheme="minorHAnsi" w:hAnsiTheme="minorHAnsi" w:cstheme="minorHAnsi"/>
            <w:sz w:val="14"/>
            <w:szCs w:val="14"/>
          </w:rPr>
          <w:t>Buying or selling your home: Energy Performance Certificates - GOV.UK (www.gov.uk)</w:t>
        </w:r>
      </w:hyperlink>
      <w:r w:rsidR="007B1C91" w:rsidRPr="00DE0913">
        <w:rPr>
          <w:rFonts w:asciiTheme="minorHAnsi" w:hAnsiTheme="minorHAnsi" w:cstheme="minorHAnsi"/>
          <w:sz w:val="14"/>
          <w:szCs w:val="14"/>
        </w:rPr>
        <w:t xml:space="preserve"> excluded buildings include places of worship; temporary buildings that will be used for less than 2 years; industrial sites, workshops and non-residential agricultural buildings that do not use a lot of energy; some buildings that are due to be demolished; holiday accommodation that’s rented out for less than 4 months a year or is let under a licence to occupy; listed buildings - local authority conservation officer advises if the work would alter the building’s character; residential buildings intended to be used less than 4 months a year</w:t>
      </w:r>
    </w:p>
  </w:footnote>
  <w:footnote w:id="41">
    <w:p w14:paraId="7A4B8951"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3" w:history="1">
        <w:r w:rsidRPr="00DE0913">
          <w:rPr>
            <w:rStyle w:val="Hyperlink"/>
            <w:rFonts w:asciiTheme="minorHAnsi" w:hAnsiTheme="minorHAnsi" w:cstheme="minorHAnsi"/>
            <w:sz w:val="14"/>
            <w:szCs w:val="14"/>
          </w:rPr>
          <w:t>Large commercial/industrial building energy performance rating framework (energyadvicehub.org)</w:t>
        </w:r>
      </w:hyperlink>
    </w:p>
  </w:footnote>
  <w:footnote w:id="42">
    <w:p w14:paraId="3EDFD48C"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4" w:history="1">
        <w:r w:rsidRPr="00DE0913">
          <w:rPr>
            <w:rStyle w:val="Hyperlink"/>
            <w:rFonts w:asciiTheme="minorHAnsi" w:hAnsiTheme="minorHAnsi" w:cstheme="minorHAnsi"/>
            <w:sz w:val="14"/>
            <w:szCs w:val="14"/>
          </w:rPr>
          <w:t>Introducing Performance-Based Ratings in Commercial and Industrial Offices above 1,000m² in England and Wales: phase 1 of a national performance-based policy framework (cibse.org)</w:t>
        </w:r>
      </w:hyperlink>
    </w:p>
  </w:footnote>
  <w:footnote w:id="43">
    <w:p w14:paraId="2BE9DCE5" w14:textId="06D12F35"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5" w:anchor=":~:text=Article%20175%20of%20the%20Law,buildings%20subject%20to%20the%20obligation." w:history="1">
        <w:proofErr w:type="spellStart"/>
        <w:r w:rsidRPr="00DE0913">
          <w:rPr>
            <w:rStyle w:val="Hyperlink"/>
            <w:rFonts w:asciiTheme="minorHAnsi" w:hAnsiTheme="minorHAnsi" w:cstheme="minorHAnsi"/>
            <w:sz w:val="14"/>
            <w:szCs w:val="14"/>
          </w:rPr>
          <w:t>Décret</w:t>
        </w:r>
        <w:proofErr w:type="spellEnd"/>
        <w:r w:rsidRPr="00DE0913">
          <w:rPr>
            <w:rStyle w:val="Hyperlink"/>
            <w:rFonts w:asciiTheme="minorHAnsi" w:hAnsiTheme="minorHAnsi" w:cstheme="minorHAnsi"/>
            <w:sz w:val="14"/>
            <w:szCs w:val="14"/>
          </w:rPr>
          <w:t xml:space="preserve"> </w:t>
        </w:r>
        <w:proofErr w:type="spellStart"/>
        <w:r w:rsidRPr="00DE0913">
          <w:rPr>
            <w:rStyle w:val="Hyperlink"/>
            <w:rFonts w:asciiTheme="minorHAnsi" w:hAnsiTheme="minorHAnsi" w:cstheme="minorHAnsi"/>
            <w:sz w:val="14"/>
            <w:szCs w:val="14"/>
          </w:rPr>
          <w:t>Tertiaire</w:t>
        </w:r>
        <w:proofErr w:type="spellEnd"/>
        <w:r w:rsidRPr="00DE0913">
          <w:rPr>
            <w:rStyle w:val="Hyperlink"/>
            <w:rFonts w:asciiTheme="minorHAnsi" w:hAnsiTheme="minorHAnsi" w:cstheme="minorHAnsi"/>
            <w:sz w:val="14"/>
            <w:szCs w:val="14"/>
          </w:rPr>
          <w:t xml:space="preserve">: One Year </w:t>
        </w:r>
        <w:r w:rsidR="00AE40A7" w:rsidRPr="00DE0913">
          <w:rPr>
            <w:rStyle w:val="Hyperlink"/>
            <w:rFonts w:asciiTheme="minorHAnsi" w:hAnsiTheme="minorHAnsi" w:cstheme="minorHAnsi"/>
            <w:sz w:val="14"/>
            <w:szCs w:val="14"/>
          </w:rPr>
          <w:t>for</w:t>
        </w:r>
        <w:r w:rsidRPr="00DE0913">
          <w:rPr>
            <w:rStyle w:val="Hyperlink"/>
            <w:rFonts w:asciiTheme="minorHAnsi" w:hAnsiTheme="minorHAnsi" w:cstheme="minorHAnsi"/>
            <w:sz w:val="14"/>
            <w:szCs w:val="14"/>
          </w:rPr>
          <w:t xml:space="preserve"> French Building Owners to Comply | Schneider Electric (se.com)</w:t>
        </w:r>
      </w:hyperlink>
    </w:p>
  </w:footnote>
  <w:footnote w:id="44">
    <w:p w14:paraId="45CC1575"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6" w:history="1">
        <w:r w:rsidRPr="00DE0913">
          <w:rPr>
            <w:rStyle w:val="Hyperlink"/>
            <w:rFonts w:asciiTheme="minorHAnsi" w:hAnsiTheme="minorHAnsi" w:cstheme="minorHAnsi"/>
            <w:sz w:val="14"/>
            <w:szCs w:val="14"/>
          </w:rPr>
          <w:t>[ENERGY] France accelerates its energy transition on commercial and industrial buildings - BMH Avocats</w:t>
        </w:r>
      </w:hyperlink>
    </w:p>
  </w:footnote>
  <w:footnote w:id="45">
    <w:p w14:paraId="4160024B"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7" w:anchor=":~:text=The%20new%20Buildings%20Energy%20Act%20sets%20out%20requirements%20for%20the,of%20renewable%20energy%20in%20buildings.&amp;text=The%20new%20Buildings%20Energy%20Act%20was%20promulgated%20in%20the,Gazette%20on%2013%20August%202020." w:history="1">
        <w:r w:rsidRPr="00DE0913">
          <w:rPr>
            <w:rStyle w:val="Hyperlink"/>
            <w:rFonts w:asciiTheme="minorHAnsi" w:hAnsiTheme="minorHAnsi" w:cstheme="minorHAnsi"/>
            <w:sz w:val="14"/>
            <w:szCs w:val="14"/>
          </w:rPr>
          <w:t>BMI - Buildings Energy Act (bund.de)</w:t>
        </w:r>
      </w:hyperlink>
    </w:p>
  </w:footnote>
  <w:footnote w:id="46">
    <w:p w14:paraId="1B44DA74"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Uses primary energy consumption per square metre of usable floor area (kWh/m²a) as the metric to measure a building's energy efficiency.</w:t>
      </w:r>
    </w:p>
  </w:footnote>
  <w:footnote w:id="47">
    <w:p w14:paraId="3B7D5A80" w14:textId="220CB629" w:rsidR="008B0046" w:rsidRPr="00DE0913" w:rsidRDefault="008B0046" w:rsidP="008B0046">
      <w:pPr>
        <w:pStyle w:val="FootnoteText"/>
        <w:rPr>
          <w:rFonts w:asciiTheme="minorHAnsi" w:hAnsiTheme="minorHAnsi" w:cstheme="minorHAnsi"/>
          <w:i/>
          <w:sz w:val="14"/>
          <w:szCs w:val="14"/>
        </w:rPr>
      </w:pPr>
      <w:r w:rsidRPr="00DE0913">
        <w:rPr>
          <w:rStyle w:val="FootnoteReference"/>
          <w:rFonts w:asciiTheme="minorHAnsi" w:hAnsiTheme="minorHAnsi" w:cstheme="minorHAnsi"/>
          <w:i/>
          <w:sz w:val="14"/>
          <w:szCs w:val="14"/>
        </w:rPr>
        <w:footnoteRef/>
      </w:r>
      <w:r w:rsidRPr="00DE0913">
        <w:rPr>
          <w:rFonts w:asciiTheme="minorHAnsi" w:hAnsiTheme="minorHAnsi" w:cstheme="minorHAnsi"/>
          <w:i/>
          <w:sz w:val="14"/>
          <w:szCs w:val="14"/>
        </w:rPr>
        <w:t xml:space="preserve"> No specific information on </w:t>
      </w:r>
      <w:r w:rsidR="00AE40A7" w:rsidRPr="00DE0913">
        <w:rPr>
          <w:rFonts w:asciiTheme="minorHAnsi" w:hAnsiTheme="minorHAnsi" w:cstheme="minorHAnsi"/>
          <w:i/>
          <w:sz w:val="14"/>
          <w:szCs w:val="14"/>
        </w:rPr>
        <w:t>building</w:t>
      </w:r>
      <w:r w:rsidRPr="00DE0913">
        <w:rPr>
          <w:rFonts w:asciiTheme="minorHAnsi" w:hAnsiTheme="minorHAnsi" w:cstheme="minorHAnsi"/>
          <w:i/>
          <w:sz w:val="14"/>
          <w:szCs w:val="14"/>
        </w:rPr>
        <w:t xml:space="preserve"> types or sizes.</w:t>
      </w:r>
    </w:p>
  </w:footnote>
  <w:footnote w:id="48">
    <w:p w14:paraId="5305A97B"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8" w:history="1">
        <w:r w:rsidRPr="00DE0913">
          <w:rPr>
            <w:rStyle w:val="Hyperlink"/>
            <w:rFonts w:asciiTheme="minorHAnsi" w:hAnsiTheme="minorHAnsi" w:cstheme="minorHAnsi"/>
            <w:sz w:val="14"/>
            <w:szCs w:val="14"/>
          </w:rPr>
          <w:t xml:space="preserve">Building Energy Disclosure | </w:t>
        </w:r>
        <w:proofErr w:type="spellStart"/>
        <w:r w:rsidRPr="00DE0913">
          <w:rPr>
            <w:rStyle w:val="Hyperlink"/>
            <w:rFonts w:asciiTheme="minorHAnsi" w:hAnsiTheme="minorHAnsi" w:cstheme="minorHAnsi"/>
            <w:sz w:val="14"/>
            <w:szCs w:val="14"/>
          </w:rPr>
          <w:t>ACEEE</w:t>
        </w:r>
        <w:proofErr w:type="spellEnd"/>
      </w:hyperlink>
    </w:p>
  </w:footnote>
  <w:footnote w:id="49">
    <w:p w14:paraId="1B43AA61" w14:textId="77777777" w:rsidR="008B0046" w:rsidRPr="00B92EB0" w:rsidRDefault="008B0046" w:rsidP="008B0046">
      <w:pPr>
        <w:pStyle w:val="FootnoteText"/>
        <w:rPr>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39" w:history="1">
        <w:r w:rsidRPr="00DE0913">
          <w:rPr>
            <w:rStyle w:val="Hyperlink"/>
            <w:rFonts w:asciiTheme="minorHAnsi" w:hAnsiTheme="minorHAnsi" w:cstheme="minorHAnsi"/>
            <w:sz w:val="14"/>
            <w:szCs w:val="14"/>
          </w:rPr>
          <w:t>ENERGY STAR Commercial Buildings | ENERGY STAR makes it easy for consumers and businesses to save money and protect the environment.</w:t>
        </w:r>
      </w:hyperlink>
    </w:p>
  </w:footnote>
  <w:footnote w:id="50">
    <w:p w14:paraId="0DEC04C9"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40" w:history="1">
        <w:r w:rsidRPr="00DE0913">
          <w:rPr>
            <w:rStyle w:val="Hyperlink"/>
            <w:rFonts w:asciiTheme="minorHAnsi" w:hAnsiTheme="minorHAnsi" w:cstheme="minorHAnsi"/>
            <w:sz w:val="14"/>
            <w:szCs w:val="14"/>
          </w:rPr>
          <w:t>Environment | Open Data DC</w:t>
        </w:r>
      </w:hyperlink>
    </w:p>
  </w:footnote>
  <w:footnote w:id="51">
    <w:p w14:paraId="328059AE"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Covered commercial buildings is a building where the sum of non-residential, hotel, motel and dormitory floor areas exceeds 50,000 gross square feet, excluding the parking garage area. (</w:t>
      </w:r>
      <w:hyperlink r:id="rId41" w:history="1">
        <w:r w:rsidRPr="00DE0913">
          <w:rPr>
            <w:rStyle w:val="Hyperlink"/>
            <w:rFonts w:asciiTheme="minorHAnsi" w:hAnsiTheme="minorHAnsi" w:cstheme="minorHAnsi"/>
            <w:sz w:val="14"/>
            <w:szCs w:val="14"/>
          </w:rPr>
          <w:t>Clean Buildings - How to Comply - Washington State Department of Commerce</w:t>
        </w:r>
      </w:hyperlink>
      <w:r w:rsidRPr="00DE0913">
        <w:rPr>
          <w:rFonts w:asciiTheme="minorHAnsi" w:hAnsiTheme="minorHAnsi" w:cstheme="minorHAnsi"/>
          <w:sz w:val="14"/>
          <w:szCs w:val="14"/>
        </w:rPr>
        <w:t>)</w:t>
      </w:r>
    </w:p>
  </w:footnote>
  <w:footnote w:id="52">
    <w:p w14:paraId="00FD26B5"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42" w:history="1">
        <w:r w:rsidRPr="00DE0913">
          <w:rPr>
            <w:rStyle w:val="Hyperlink"/>
            <w:rFonts w:asciiTheme="minorHAnsi" w:hAnsiTheme="minorHAnsi" w:cstheme="minorHAnsi"/>
            <w:sz w:val="14"/>
            <w:szCs w:val="14"/>
          </w:rPr>
          <w:t xml:space="preserve">Building Energy Disclosure | </w:t>
        </w:r>
        <w:proofErr w:type="spellStart"/>
        <w:r w:rsidRPr="00DE0913">
          <w:rPr>
            <w:rStyle w:val="Hyperlink"/>
            <w:rFonts w:asciiTheme="minorHAnsi" w:hAnsiTheme="minorHAnsi" w:cstheme="minorHAnsi"/>
            <w:sz w:val="14"/>
            <w:szCs w:val="14"/>
          </w:rPr>
          <w:t>ACEEE</w:t>
        </w:r>
        <w:proofErr w:type="spellEnd"/>
      </w:hyperlink>
      <w:r w:rsidRPr="00DE0913">
        <w:rPr>
          <w:rFonts w:asciiTheme="minorHAnsi" w:hAnsiTheme="minorHAnsi" w:cstheme="minorHAnsi"/>
          <w:sz w:val="14"/>
          <w:szCs w:val="14"/>
        </w:rPr>
        <w:t xml:space="preserve"> </w:t>
      </w:r>
    </w:p>
  </w:footnote>
  <w:footnote w:id="53">
    <w:p w14:paraId="0AC28D9A"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43" w:anchor=":~:text=Under%20this%20groundbreaking%20law%2C%20most,coming%20into%20effect%20in%202030." w:history="1">
        <w:r w:rsidRPr="00DE0913">
          <w:rPr>
            <w:rStyle w:val="Hyperlink"/>
            <w:rFonts w:asciiTheme="minorHAnsi" w:hAnsiTheme="minorHAnsi" w:cstheme="minorHAnsi"/>
            <w:sz w:val="14"/>
            <w:szCs w:val="14"/>
          </w:rPr>
          <w:t>Local Law 97 - Sustainable Buildings (nyc.gov)</w:t>
        </w:r>
      </w:hyperlink>
    </w:p>
  </w:footnote>
  <w:footnote w:id="54">
    <w:p w14:paraId="64BF07FD"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44" w:history="1">
        <w:r w:rsidRPr="00DE0913">
          <w:rPr>
            <w:rStyle w:val="Hyperlink"/>
            <w:rFonts w:asciiTheme="minorHAnsi" w:hAnsiTheme="minorHAnsi" w:cstheme="minorHAnsi"/>
            <w:sz w:val="14"/>
            <w:szCs w:val="14"/>
          </w:rPr>
          <w:t>Building Energy Efficiency Act – Policies - IEA</w:t>
        </w:r>
      </w:hyperlink>
      <w:r w:rsidRPr="00DE0913">
        <w:rPr>
          <w:rFonts w:asciiTheme="minorHAnsi" w:hAnsiTheme="minorHAnsi" w:cstheme="minorHAnsi"/>
          <w:sz w:val="14"/>
          <w:szCs w:val="14"/>
        </w:rPr>
        <w:t xml:space="preserve">; </w:t>
      </w:r>
      <w:hyperlink r:id="rId45" w:history="1">
        <w:r w:rsidRPr="00DE0913">
          <w:rPr>
            <w:rStyle w:val="Hyperlink"/>
            <w:rFonts w:asciiTheme="minorHAnsi" w:hAnsiTheme="minorHAnsi" w:cstheme="minorHAnsi"/>
            <w:sz w:val="14"/>
            <w:szCs w:val="14"/>
          </w:rPr>
          <w:t>2016-Cover_ver5_light (mlit.go.jp)</w:t>
        </w:r>
      </w:hyperlink>
    </w:p>
  </w:footnote>
  <w:footnote w:id="55">
    <w:p w14:paraId="0FA25F59"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46" w:history="1">
        <w:r w:rsidRPr="00DE0913">
          <w:rPr>
            <w:rStyle w:val="Hyperlink"/>
            <w:rFonts w:asciiTheme="minorHAnsi" w:hAnsiTheme="minorHAnsi" w:cstheme="minorHAnsi"/>
            <w:sz w:val="14"/>
            <w:szCs w:val="14"/>
          </w:rPr>
          <w:t>Building energy efficiency act-Japan</w:t>
        </w:r>
      </w:hyperlink>
    </w:p>
  </w:footnote>
  <w:footnote w:id="56">
    <w:p w14:paraId="6330A0D0" w14:textId="77777777" w:rsidR="008B0046" w:rsidRPr="00DE0913" w:rsidRDefault="008B0046" w:rsidP="008B0046">
      <w:pPr>
        <w:pStyle w:val="FootnoteText"/>
        <w:rPr>
          <w:rFonts w:asciiTheme="minorHAnsi" w:hAnsiTheme="minorHAnsi" w:cstheme="minorHAnsi"/>
          <w:sz w:val="14"/>
          <w:szCs w:val="14"/>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47" w:history="1">
        <w:r w:rsidRPr="00DE0913">
          <w:rPr>
            <w:rStyle w:val="Hyperlink"/>
            <w:rFonts w:asciiTheme="minorHAnsi" w:hAnsiTheme="minorHAnsi" w:cstheme="minorHAnsi"/>
            <w:sz w:val="14"/>
            <w:szCs w:val="14"/>
          </w:rPr>
          <w:t xml:space="preserve">Compliance with Building Standards under the New Energy Regulations in Japan - </w:t>
        </w:r>
        <w:proofErr w:type="spellStart"/>
        <w:r w:rsidRPr="00DE0913">
          <w:rPr>
            <w:rStyle w:val="Hyperlink"/>
            <w:rFonts w:asciiTheme="minorHAnsi" w:hAnsiTheme="minorHAnsi" w:cstheme="minorHAnsi"/>
            <w:sz w:val="14"/>
            <w:szCs w:val="14"/>
          </w:rPr>
          <w:t>Lexology</w:t>
        </w:r>
        <w:proofErr w:type="spellEnd"/>
      </w:hyperlink>
    </w:p>
  </w:footnote>
  <w:footnote w:id="57">
    <w:p w14:paraId="5B963057" w14:textId="6E519ED8" w:rsidR="008B0046" w:rsidRDefault="008B0046" w:rsidP="008B0046">
      <w:pPr>
        <w:pStyle w:val="FootnoteText"/>
        <w:rPr>
          <w:sz w:val="16"/>
          <w:szCs w:val="16"/>
        </w:rPr>
      </w:pPr>
      <w:r w:rsidRPr="00DE0913">
        <w:rPr>
          <w:rStyle w:val="FootnoteReference"/>
          <w:rFonts w:asciiTheme="minorHAnsi" w:hAnsiTheme="minorHAnsi" w:cstheme="minorHAnsi"/>
          <w:sz w:val="14"/>
          <w:szCs w:val="14"/>
        </w:rPr>
        <w:footnoteRef/>
      </w:r>
      <w:r w:rsidRPr="00DE0913">
        <w:rPr>
          <w:rFonts w:asciiTheme="minorHAnsi" w:hAnsiTheme="minorHAnsi" w:cstheme="minorHAnsi"/>
          <w:sz w:val="14"/>
          <w:szCs w:val="14"/>
        </w:rPr>
        <w:t xml:space="preserve"> </w:t>
      </w:r>
      <w:hyperlink r:id="rId48" w:history="1">
        <w:r w:rsidR="008A39B8" w:rsidRPr="00B51FE7">
          <w:rPr>
            <w:rStyle w:val="Hyperlink"/>
            <w:rFonts w:asciiTheme="minorHAnsi" w:hAnsiTheme="minorHAnsi" w:cstheme="minorHAnsi"/>
            <w:sz w:val="14"/>
            <w:szCs w:val="14"/>
          </w:rPr>
          <w:t>Overview of the Act on the Improvement of Energy Consumption Performance of Buildings</w:t>
        </w:r>
      </w:hyperlink>
      <w:r w:rsidRPr="00DE0913">
        <w:rPr>
          <w:sz w:val="14"/>
          <w:szCs w:val="14"/>
        </w:rPr>
        <w:t xml:space="preserve"> </w:t>
      </w:r>
    </w:p>
  </w:footnote>
  <w:footnote w:id="58">
    <w:p w14:paraId="52896DE8" w14:textId="62F64D94" w:rsidR="005B167A" w:rsidRPr="00527DBC" w:rsidRDefault="005B167A" w:rsidP="005B167A">
      <w:pPr>
        <w:pStyle w:val="FootnoteText"/>
        <w:rPr>
          <w:rFonts w:asciiTheme="minorHAnsi" w:hAnsiTheme="minorHAnsi" w:cstheme="minorHAnsi"/>
          <w:sz w:val="14"/>
          <w:szCs w:val="14"/>
        </w:rPr>
      </w:pPr>
      <w:r w:rsidRPr="00527DBC">
        <w:rPr>
          <w:rStyle w:val="FootnoteReference"/>
          <w:rFonts w:asciiTheme="minorHAnsi" w:hAnsiTheme="minorHAnsi" w:cstheme="minorHAnsi"/>
          <w:sz w:val="14"/>
          <w:szCs w:val="14"/>
        </w:rPr>
        <w:footnoteRef/>
      </w:r>
      <w:r w:rsidR="005C006B" w:rsidRPr="005C006B">
        <w:rPr>
          <w:rStyle w:val="Hyperlink"/>
          <w:rFonts w:asciiTheme="minorHAnsi" w:hAnsiTheme="minorHAnsi" w:cstheme="minorHAnsi"/>
          <w:sz w:val="14"/>
          <w:szCs w:val="14"/>
          <w:u w:val="none"/>
        </w:rPr>
        <w:t xml:space="preserve"> </w:t>
      </w:r>
      <w:hyperlink r:id="rId49" w:history="1">
        <w:r w:rsidR="00A72B43" w:rsidRPr="003074D4">
          <w:rPr>
            <w:rStyle w:val="Hyperlink"/>
            <w:rFonts w:asciiTheme="minorHAnsi" w:hAnsiTheme="minorHAnsi" w:cstheme="minorHAnsi"/>
            <w:sz w:val="14"/>
            <w:szCs w:val="14"/>
          </w:rPr>
          <w:t xml:space="preserve">UK </w:t>
        </w:r>
        <w:r w:rsidR="00B93A0C" w:rsidRPr="003074D4">
          <w:rPr>
            <w:rStyle w:val="Hyperlink"/>
            <w:rFonts w:asciiTheme="minorHAnsi" w:hAnsiTheme="minorHAnsi" w:cstheme="minorHAnsi"/>
            <w:sz w:val="14"/>
            <w:szCs w:val="14"/>
          </w:rPr>
          <w:t xml:space="preserve">Industrial Decarbonisation Strategy </w:t>
        </w:r>
        <w:r w:rsidR="005C006B" w:rsidRPr="003074D4">
          <w:rPr>
            <w:rStyle w:val="Hyperlink"/>
            <w:rFonts w:asciiTheme="minorHAnsi" w:hAnsiTheme="minorHAnsi" w:cstheme="minorHAnsi"/>
            <w:sz w:val="14"/>
            <w:szCs w:val="14"/>
          </w:rPr>
          <w:t>2021</w:t>
        </w:r>
      </w:hyperlink>
      <w:r w:rsidRPr="00527DBC">
        <w:rPr>
          <w:rFonts w:asciiTheme="minorHAnsi" w:hAnsiTheme="minorHAnsi" w:cstheme="minorHAnsi"/>
          <w:sz w:val="14"/>
          <w:szCs w:val="14"/>
        </w:rPr>
        <w:t xml:space="preserve"> </w:t>
      </w:r>
    </w:p>
  </w:footnote>
  <w:footnote w:id="59">
    <w:p w14:paraId="7D4A4FEB" w14:textId="03283DB1" w:rsidR="005B167A" w:rsidRPr="00527DBC" w:rsidRDefault="005B167A" w:rsidP="005B167A">
      <w:pPr>
        <w:pStyle w:val="FootnoteText"/>
        <w:rPr>
          <w:rFonts w:asciiTheme="minorHAnsi" w:hAnsiTheme="minorHAnsi" w:cstheme="minorHAnsi"/>
          <w:sz w:val="14"/>
          <w:szCs w:val="14"/>
        </w:rPr>
      </w:pPr>
      <w:r w:rsidRPr="00527DBC">
        <w:rPr>
          <w:rStyle w:val="FootnoteReference"/>
          <w:rFonts w:asciiTheme="minorHAnsi" w:hAnsiTheme="minorHAnsi" w:cstheme="minorHAnsi"/>
          <w:sz w:val="14"/>
          <w:szCs w:val="14"/>
        </w:rPr>
        <w:footnoteRef/>
      </w:r>
      <w:r w:rsidR="00EC2A1E">
        <w:t xml:space="preserve"> </w:t>
      </w:r>
      <w:hyperlink r:id="rId50" w:history="1">
        <w:proofErr w:type="spellStart"/>
        <w:r w:rsidR="00EC2A1E" w:rsidRPr="00AD3598">
          <w:rPr>
            <w:rStyle w:val="Hyperlink"/>
            <w:rFonts w:asciiTheme="minorHAnsi" w:hAnsiTheme="minorHAnsi" w:cstheme="minorHAnsi"/>
            <w:sz w:val="14"/>
            <w:szCs w:val="14"/>
          </w:rPr>
          <w:t>CIBSE</w:t>
        </w:r>
        <w:proofErr w:type="spellEnd"/>
        <w:r w:rsidR="00DB688E" w:rsidRPr="00AD3598">
          <w:rPr>
            <w:rStyle w:val="Hyperlink"/>
            <w:rFonts w:asciiTheme="minorHAnsi" w:hAnsiTheme="minorHAnsi" w:cstheme="minorHAnsi"/>
            <w:sz w:val="14"/>
            <w:szCs w:val="14"/>
          </w:rPr>
          <w:t xml:space="preserve"> Closed consultation – A Performance-Based </w:t>
        </w:r>
        <w:r w:rsidR="00AD3598" w:rsidRPr="00AD3598">
          <w:rPr>
            <w:rStyle w:val="Hyperlink"/>
            <w:rFonts w:asciiTheme="minorHAnsi" w:hAnsiTheme="minorHAnsi" w:cstheme="minorHAnsi"/>
            <w:sz w:val="14"/>
            <w:szCs w:val="14"/>
          </w:rPr>
          <w:t>P</w:t>
        </w:r>
        <w:r w:rsidR="00DB688E" w:rsidRPr="00AD3598">
          <w:rPr>
            <w:rStyle w:val="Hyperlink"/>
            <w:rFonts w:asciiTheme="minorHAnsi" w:hAnsiTheme="minorHAnsi" w:cstheme="minorHAnsi"/>
            <w:sz w:val="14"/>
            <w:szCs w:val="14"/>
          </w:rPr>
          <w:t xml:space="preserve">olicy </w:t>
        </w:r>
        <w:r w:rsidR="00AD3598" w:rsidRPr="00AD3598">
          <w:rPr>
            <w:rStyle w:val="Hyperlink"/>
            <w:rFonts w:asciiTheme="minorHAnsi" w:hAnsiTheme="minorHAnsi" w:cstheme="minorHAnsi"/>
            <w:sz w:val="14"/>
            <w:szCs w:val="14"/>
          </w:rPr>
          <w:t>F</w:t>
        </w:r>
        <w:r w:rsidR="00DB688E" w:rsidRPr="00AD3598">
          <w:rPr>
            <w:rStyle w:val="Hyperlink"/>
            <w:rFonts w:asciiTheme="minorHAnsi" w:hAnsiTheme="minorHAnsi" w:cstheme="minorHAnsi"/>
            <w:sz w:val="14"/>
            <w:szCs w:val="14"/>
          </w:rPr>
          <w:t>ramework in Large Commercial and Industrial Buildings</w:t>
        </w:r>
      </w:hyperlink>
      <w:r w:rsidRPr="00527DBC">
        <w:rPr>
          <w:rFonts w:asciiTheme="minorHAnsi" w:hAnsiTheme="minorHAnsi" w:cstheme="minorHAnsi"/>
          <w:sz w:val="14"/>
          <w:szCs w:val="14"/>
        </w:rPr>
        <w:t xml:space="preserve"> </w:t>
      </w:r>
    </w:p>
  </w:footnote>
  <w:footnote w:id="60">
    <w:p w14:paraId="26E8E721" w14:textId="77777777" w:rsidR="005B167A" w:rsidRPr="00527DBC" w:rsidRDefault="005B167A" w:rsidP="005B167A">
      <w:pPr>
        <w:pStyle w:val="FootnoteText"/>
        <w:rPr>
          <w:rFonts w:asciiTheme="minorHAnsi" w:hAnsiTheme="minorHAnsi" w:cstheme="minorHAnsi"/>
          <w:sz w:val="14"/>
          <w:szCs w:val="14"/>
        </w:rPr>
      </w:pPr>
      <w:r w:rsidRPr="00527DBC">
        <w:rPr>
          <w:rStyle w:val="FootnoteReference"/>
          <w:rFonts w:asciiTheme="minorHAnsi" w:hAnsiTheme="minorHAnsi" w:cstheme="minorHAnsi"/>
          <w:sz w:val="14"/>
          <w:szCs w:val="14"/>
        </w:rPr>
        <w:footnoteRef/>
      </w:r>
      <w:r w:rsidRPr="00527DBC">
        <w:rPr>
          <w:rFonts w:asciiTheme="minorHAnsi" w:hAnsiTheme="minorHAnsi" w:cstheme="minorHAnsi"/>
          <w:sz w:val="14"/>
          <w:szCs w:val="14"/>
        </w:rPr>
        <w:t xml:space="preserve"> </w:t>
      </w:r>
      <w:hyperlink r:id="rId51" w:history="1">
        <w:r w:rsidRPr="00527DBC">
          <w:rPr>
            <w:rStyle w:val="Hyperlink"/>
            <w:rFonts w:asciiTheme="minorHAnsi" w:hAnsiTheme="minorHAnsi" w:cstheme="minorHAnsi"/>
            <w:sz w:val="14"/>
            <w:szCs w:val="14"/>
          </w:rPr>
          <w:t>HM Government – Heat and Buildings Strategy (publishing.service.gov.uk)</w:t>
        </w:r>
      </w:hyperlink>
    </w:p>
  </w:footnote>
  <w:footnote w:id="61">
    <w:p w14:paraId="4FF7A119" w14:textId="75051ECD" w:rsidR="005B167A" w:rsidRPr="00527DBC" w:rsidRDefault="005B167A" w:rsidP="005B167A">
      <w:pPr>
        <w:pStyle w:val="FootnoteText"/>
        <w:rPr>
          <w:rFonts w:asciiTheme="minorHAnsi" w:hAnsiTheme="minorHAnsi" w:cstheme="minorHAnsi"/>
          <w:sz w:val="14"/>
          <w:szCs w:val="14"/>
        </w:rPr>
      </w:pPr>
      <w:r w:rsidRPr="00527DBC">
        <w:rPr>
          <w:rStyle w:val="FootnoteReference"/>
          <w:rFonts w:asciiTheme="minorHAnsi" w:hAnsiTheme="minorHAnsi" w:cstheme="minorHAnsi"/>
          <w:sz w:val="14"/>
          <w:szCs w:val="14"/>
        </w:rPr>
        <w:footnoteRef/>
      </w:r>
      <w:r w:rsidRPr="00527DBC">
        <w:rPr>
          <w:rFonts w:asciiTheme="minorHAnsi" w:hAnsiTheme="minorHAnsi" w:cstheme="minorHAnsi"/>
          <w:sz w:val="14"/>
          <w:szCs w:val="14"/>
        </w:rPr>
        <w:t xml:space="preserve"> </w:t>
      </w:r>
      <w:hyperlink r:id="rId52" w:history="1">
        <w:r w:rsidR="0030002C" w:rsidRPr="009851E9">
          <w:rPr>
            <w:rStyle w:val="Hyperlink"/>
            <w:rFonts w:asciiTheme="minorHAnsi" w:hAnsiTheme="minorHAnsi" w:cstheme="minorHAnsi"/>
            <w:sz w:val="14"/>
            <w:szCs w:val="14"/>
          </w:rPr>
          <w:t>The Ten Point Plan for a Green Industrial Revolution</w:t>
        </w:r>
      </w:hyperlink>
      <w:r w:rsidRPr="00527DBC">
        <w:rPr>
          <w:rFonts w:asciiTheme="minorHAnsi" w:hAnsiTheme="minorHAnsi" w:cstheme="minorHAnsi"/>
          <w:sz w:val="14"/>
          <w:szCs w:val="14"/>
        </w:rPr>
        <w:t xml:space="preserve"> </w:t>
      </w:r>
    </w:p>
  </w:footnote>
  <w:footnote w:id="62">
    <w:p w14:paraId="69EC1A31" w14:textId="78B9D32F" w:rsidR="005B167A" w:rsidRPr="00527DBC" w:rsidRDefault="005B167A" w:rsidP="005B167A">
      <w:pPr>
        <w:pStyle w:val="FootnoteText"/>
        <w:rPr>
          <w:rFonts w:asciiTheme="minorHAnsi" w:hAnsiTheme="minorHAnsi" w:cstheme="minorHAnsi"/>
          <w:sz w:val="14"/>
          <w:szCs w:val="14"/>
        </w:rPr>
      </w:pPr>
      <w:r w:rsidRPr="00527DBC">
        <w:rPr>
          <w:rStyle w:val="FootnoteReference"/>
          <w:rFonts w:asciiTheme="minorHAnsi" w:hAnsiTheme="minorHAnsi" w:cstheme="minorHAnsi"/>
          <w:sz w:val="14"/>
          <w:szCs w:val="14"/>
        </w:rPr>
        <w:footnoteRef/>
      </w:r>
      <w:r w:rsidRPr="00527DBC">
        <w:rPr>
          <w:rFonts w:asciiTheme="minorHAnsi" w:hAnsiTheme="minorHAnsi" w:cstheme="minorHAnsi"/>
          <w:sz w:val="14"/>
          <w:szCs w:val="14"/>
        </w:rPr>
        <w:t xml:space="preserve"> </w:t>
      </w:r>
      <w:hyperlink r:id="rId53" w:history="1">
        <w:r w:rsidR="00442EFC" w:rsidRPr="00442EFC">
          <w:rPr>
            <w:rStyle w:val="Hyperlink"/>
            <w:rFonts w:asciiTheme="minorHAnsi" w:hAnsiTheme="minorHAnsi" w:cstheme="minorHAnsi"/>
            <w:sz w:val="14"/>
            <w:szCs w:val="14"/>
          </w:rPr>
          <w:t>The New Mandatory Energy Performance Rating Framework for Large Commercial and Industrial Buildings</w:t>
        </w:r>
      </w:hyperlink>
      <w:r w:rsidR="00F64FAF" w:rsidRPr="00527DBC">
        <w:rPr>
          <w:rFonts w:asciiTheme="minorHAnsi" w:hAnsiTheme="minorHAnsi" w:cstheme="minorHAnsi"/>
          <w:sz w:val="14"/>
          <w:szCs w:val="14"/>
        </w:rPr>
        <w:t xml:space="preserve"> </w:t>
      </w:r>
    </w:p>
  </w:footnote>
  <w:footnote w:id="63">
    <w:p w14:paraId="21B5A909" w14:textId="34820D5B" w:rsidR="005B167A" w:rsidRDefault="005B167A" w:rsidP="005B167A">
      <w:pPr>
        <w:pStyle w:val="FootnoteText"/>
      </w:pPr>
      <w:r w:rsidRPr="00527DBC">
        <w:rPr>
          <w:rStyle w:val="FootnoteReference"/>
          <w:rFonts w:asciiTheme="minorHAnsi" w:hAnsiTheme="minorHAnsi" w:cstheme="minorHAnsi"/>
          <w:sz w:val="14"/>
          <w:szCs w:val="14"/>
        </w:rPr>
        <w:footnoteRef/>
      </w:r>
      <w:r w:rsidRPr="00527DBC">
        <w:rPr>
          <w:rFonts w:asciiTheme="minorHAnsi" w:hAnsiTheme="minorHAnsi" w:cstheme="minorHAnsi"/>
          <w:sz w:val="14"/>
          <w:szCs w:val="14"/>
        </w:rPr>
        <w:t xml:space="preserve"> </w:t>
      </w:r>
      <w:hyperlink w:history="1">
        <w:r w:rsidR="00442EFC" w:rsidRPr="00446606">
          <w:rPr>
            <w:rStyle w:val="Hyperlink"/>
            <w:rFonts w:asciiTheme="minorHAnsi" w:hAnsiTheme="minorHAnsi" w:cstheme="minorHAnsi"/>
            <w:sz w:val="14"/>
            <w:szCs w:val="14"/>
          </w:rPr>
          <w:t>Clean Growth Strategy - GOV.UK (www.gov.uk)</w:t>
        </w:r>
      </w:hyperlink>
    </w:p>
  </w:footnote>
  <w:footnote w:id="64">
    <w:p w14:paraId="75311E5C" w14:textId="7DA9E8DF" w:rsidR="0083238C" w:rsidRPr="005E764F" w:rsidRDefault="0083238C" w:rsidP="0083238C">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54" w:history="1">
        <w:r w:rsidR="00880416" w:rsidRPr="002A24B2">
          <w:rPr>
            <w:rStyle w:val="Hyperlink"/>
            <w:rFonts w:asciiTheme="minorHAnsi" w:hAnsiTheme="minorHAnsi" w:cstheme="minorHAnsi"/>
            <w:sz w:val="14"/>
            <w:szCs w:val="14"/>
          </w:rPr>
          <w:t xml:space="preserve">Energy &amp; Water Reporting and Benchmarking – Large Buildings </w:t>
        </w:r>
        <w:r w:rsidR="002A24B2" w:rsidRPr="002A24B2">
          <w:rPr>
            <w:rStyle w:val="Hyperlink"/>
            <w:rFonts w:asciiTheme="minorHAnsi" w:hAnsiTheme="minorHAnsi" w:cstheme="minorHAnsi"/>
            <w:sz w:val="14"/>
            <w:szCs w:val="14"/>
          </w:rPr>
          <w:t>– City of Toronto</w:t>
        </w:r>
      </w:hyperlink>
    </w:p>
  </w:footnote>
  <w:footnote w:id="65">
    <w:p w14:paraId="7FF9D359" w14:textId="77777777" w:rsidR="003919FC" w:rsidRPr="005E764F" w:rsidRDefault="003919FC" w:rsidP="003919FC">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00FE3641" w:rsidRPr="005E764F">
        <w:rPr>
          <w:rFonts w:asciiTheme="minorHAnsi" w:hAnsiTheme="minorHAnsi" w:cstheme="minorHAnsi"/>
          <w:sz w:val="14"/>
          <w:szCs w:val="14"/>
        </w:rPr>
        <w:t xml:space="preserve"> </w:t>
      </w:r>
      <w:hyperlink r:id="rId55" w:history="1">
        <w:r w:rsidR="00FE3641" w:rsidRPr="005E764F">
          <w:rPr>
            <w:rStyle w:val="Hyperlink"/>
            <w:rFonts w:asciiTheme="minorHAnsi" w:hAnsiTheme="minorHAnsi" w:cstheme="minorHAnsi"/>
            <w:sz w:val="14"/>
            <w:szCs w:val="14"/>
          </w:rPr>
          <w:t>NABERS UK: energy efficiency rating scheme for offices launches to help businesses meet net zero – Energy Advice Hub</w:t>
        </w:r>
      </w:hyperlink>
      <w:r w:rsidR="00FE3641" w:rsidRPr="005E764F">
        <w:rPr>
          <w:rFonts w:asciiTheme="minorHAnsi" w:hAnsiTheme="minorHAnsi" w:cstheme="minorHAnsi"/>
          <w:sz w:val="14"/>
          <w:szCs w:val="14"/>
        </w:rPr>
        <w:t xml:space="preserve"> </w:t>
      </w:r>
    </w:p>
  </w:footnote>
  <w:footnote w:id="66">
    <w:p w14:paraId="52136F07" w14:textId="2941B55B" w:rsidR="00694410" w:rsidRPr="005E764F" w:rsidRDefault="00694410" w:rsidP="00694410">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56" w:history="1">
        <w:r w:rsidR="00DD1458" w:rsidRPr="00DD1458">
          <w:rPr>
            <w:rStyle w:val="Hyperlink"/>
            <w:rFonts w:asciiTheme="minorHAnsi" w:hAnsiTheme="minorHAnsi" w:cstheme="minorHAnsi"/>
            <w:sz w:val="14"/>
            <w:szCs w:val="14"/>
          </w:rPr>
          <w:t>Department for Business, Energy &amp; Industrial Strategy – Introducing a Performance-Based Policy Framework in Large Commercial and Industrial Buildings in England and Wales</w:t>
        </w:r>
      </w:hyperlink>
    </w:p>
  </w:footnote>
  <w:footnote w:id="67">
    <w:p w14:paraId="4E9739C2" w14:textId="429E74AB" w:rsidR="00694410" w:rsidRDefault="00694410" w:rsidP="00694410">
      <w:pPr>
        <w:pStyle w:val="FootnoteText"/>
      </w:pPr>
      <w:r w:rsidRPr="005E764F">
        <w:rPr>
          <w:rStyle w:val="FootnoteReference"/>
          <w:rFonts w:asciiTheme="minorHAnsi" w:hAnsiTheme="minorHAnsi" w:cstheme="minorHAnsi"/>
          <w:sz w:val="14"/>
          <w:szCs w:val="14"/>
        </w:rPr>
        <w:footnoteRef/>
      </w:r>
      <w:hyperlink r:id="rId57" w:history="1">
        <w:r w:rsidR="00C77E5C" w:rsidRPr="00C77E5C">
          <w:rPr>
            <w:rStyle w:val="Hyperlink"/>
            <w:rFonts w:asciiTheme="minorHAnsi" w:hAnsiTheme="minorHAnsi" w:cstheme="minorHAnsi"/>
            <w:sz w:val="14"/>
            <w:szCs w:val="14"/>
          </w:rPr>
          <w:t>Minimum energy standards for rented properties - an international review</w:t>
        </w:r>
      </w:hyperlink>
    </w:p>
  </w:footnote>
  <w:footnote w:id="68">
    <w:p w14:paraId="32975109" w14:textId="6A95ACC0" w:rsidR="00E24A5A" w:rsidRPr="005E764F" w:rsidRDefault="00E24A5A" w:rsidP="00E24A5A">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58" w:history="1">
        <w:r w:rsidRPr="005E764F">
          <w:rPr>
            <w:rStyle w:val="Hyperlink"/>
            <w:rFonts w:asciiTheme="minorHAnsi" w:hAnsiTheme="minorHAnsi" w:cstheme="minorHAnsi"/>
            <w:sz w:val="14"/>
            <w:szCs w:val="14"/>
          </w:rPr>
          <w:t>Considering minimum energy performance standards for Germany (raponline.org)</w:t>
        </w:r>
      </w:hyperlink>
    </w:p>
  </w:footnote>
  <w:footnote w:id="69">
    <w:p w14:paraId="4B4A6CD9" w14:textId="3AF732F3" w:rsidR="00DA3192" w:rsidRPr="003A0E63" w:rsidRDefault="00DA3192">
      <w:pPr>
        <w:pStyle w:val="FootnoteText"/>
        <w:rPr>
          <w:rStyle w:val="Hyperlink"/>
          <w:rFonts w:asciiTheme="minorHAnsi" w:hAnsiTheme="minorHAnsi" w:cstheme="minorHAnsi"/>
          <w:sz w:val="14"/>
          <w:szCs w:val="14"/>
        </w:rPr>
      </w:pPr>
      <w:r w:rsidRPr="00DA3192">
        <w:rPr>
          <w:rStyle w:val="FootnoteReference"/>
          <w:rFonts w:asciiTheme="minorHAnsi" w:hAnsiTheme="minorHAnsi" w:cstheme="minorHAnsi"/>
          <w:sz w:val="14"/>
          <w:szCs w:val="14"/>
        </w:rPr>
        <w:footnoteRef/>
      </w:r>
      <w:r w:rsidRPr="00DA3192">
        <w:rPr>
          <w:rStyle w:val="FootnoteReference"/>
          <w:rFonts w:asciiTheme="minorHAnsi" w:hAnsiTheme="minorHAnsi" w:cstheme="minorHAnsi"/>
          <w:sz w:val="14"/>
          <w:szCs w:val="14"/>
        </w:rPr>
        <w:t xml:space="preserve"> </w:t>
      </w:r>
      <w:hyperlink r:id="rId59" w:history="1">
        <w:r w:rsidRPr="003A0E63">
          <w:rPr>
            <w:rStyle w:val="Hyperlink"/>
            <w:rFonts w:asciiTheme="minorHAnsi" w:hAnsiTheme="minorHAnsi" w:cstheme="minorHAnsi"/>
            <w:sz w:val="14"/>
            <w:szCs w:val="14"/>
          </w:rPr>
          <w:t>Regulatory Assistance Project (2021) - Considering minimum energy performance standards for Germany</w:t>
        </w:r>
      </w:hyperlink>
    </w:p>
  </w:footnote>
  <w:footnote w:id="70">
    <w:p w14:paraId="1F85A3A0" w14:textId="73545674" w:rsidR="00E0152E" w:rsidRPr="005E764F" w:rsidRDefault="00E0152E" w:rsidP="00E0152E">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00143C02">
        <w:rPr>
          <w:rFonts w:asciiTheme="minorHAnsi" w:hAnsiTheme="minorHAnsi" w:cstheme="minorHAnsi"/>
          <w:sz w:val="14"/>
          <w:szCs w:val="14"/>
        </w:rPr>
        <w:t xml:space="preserve"> </w:t>
      </w:r>
      <w:hyperlink r:id="rId60" w:history="1">
        <w:r w:rsidR="00143C02" w:rsidRPr="00935237">
          <w:rPr>
            <w:rStyle w:val="Hyperlink"/>
            <w:rFonts w:asciiTheme="minorHAnsi" w:hAnsiTheme="minorHAnsi" w:cstheme="minorHAnsi"/>
            <w:sz w:val="14"/>
            <w:szCs w:val="14"/>
          </w:rPr>
          <w:t xml:space="preserve">Minimum </w:t>
        </w:r>
        <w:r w:rsidR="00935237" w:rsidRPr="00935237">
          <w:rPr>
            <w:rStyle w:val="Hyperlink"/>
            <w:rFonts w:asciiTheme="minorHAnsi" w:hAnsiTheme="minorHAnsi" w:cstheme="minorHAnsi"/>
            <w:sz w:val="14"/>
            <w:szCs w:val="14"/>
          </w:rPr>
          <w:t>energy efficiency standards in the commercial real estate sector: A critical review of policy regimes</w:t>
        </w:r>
      </w:hyperlink>
    </w:p>
  </w:footnote>
  <w:footnote w:id="71">
    <w:p w14:paraId="64E2F2D6" w14:textId="2FED5A1D" w:rsidR="00E0152E" w:rsidRPr="005E764F" w:rsidRDefault="00E0152E" w:rsidP="00E0152E">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61" w:history="1">
        <w:r w:rsidRPr="005E764F">
          <w:rPr>
            <w:rStyle w:val="Hyperlink"/>
            <w:rFonts w:asciiTheme="minorHAnsi" w:hAnsiTheme="minorHAnsi" w:cstheme="minorHAnsi"/>
            <w:sz w:val="14"/>
            <w:szCs w:val="14"/>
          </w:rPr>
          <w:t>BEET 10 Minimum Energy Standards for Rented Properties - An International Review.pdf</w:t>
        </w:r>
      </w:hyperlink>
    </w:p>
  </w:footnote>
  <w:footnote w:id="72">
    <w:p w14:paraId="2EFC35E1" w14:textId="7E49A2ED" w:rsidR="00E17B97" w:rsidRPr="005E764F" w:rsidRDefault="00E17B97">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62" w:history="1">
        <w:r w:rsidR="00D77E17" w:rsidRPr="005E764F">
          <w:rPr>
            <w:rStyle w:val="Hyperlink"/>
            <w:rFonts w:asciiTheme="minorHAnsi" w:hAnsiTheme="minorHAnsi" w:cstheme="minorHAnsi"/>
            <w:sz w:val="14"/>
            <w:szCs w:val="14"/>
          </w:rPr>
          <w:t>Phase-out regulations for fossil fuel boilers at EU and national level (oeko.de)</w:t>
        </w:r>
      </w:hyperlink>
    </w:p>
  </w:footnote>
  <w:footnote w:id="73">
    <w:p w14:paraId="3388EAEB" w14:textId="112AC830" w:rsidR="00D77E17" w:rsidRPr="005E764F" w:rsidRDefault="00D77E17">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63" w:history="1">
        <w:proofErr w:type="spellStart"/>
        <w:r w:rsidRPr="005E764F">
          <w:rPr>
            <w:rStyle w:val="Hyperlink"/>
            <w:rFonts w:asciiTheme="minorHAnsi" w:hAnsiTheme="minorHAnsi" w:cstheme="minorHAnsi"/>
            <w:sz w:val="14"/>
            <w:szCs w:val="14"/>
          </w:rPr>
          <w:t>BMWK</w:t>
        </w:r>
        <w:proofErr w:type="spellEnd"/>
        <w:r w:rsidRPr="005E764F">
          <w:rPr>
            <w:rStyle w:val="Hyperlink"/>
            <w:rFonts w:asciiTheme="minorHAnsi" w:hAnsiTheme="minorHAnsi" w:cstheme="minorHAnsi"/>
            <w:sz w:val="14"/>
            <w:szCs w:val="14"/>
          </w:rPr>
          <w:t xml:space="preserve"> - Enhancing energy efficiency in buildings</w:t>
        </w:r>
      </w:hyperlink>
    </w:p>
  </w:footnote>
  <w:footnote w:id="74">
    <w:p w14:paraId="41356EC1" w14:textId="309CFADC" w:rsidR="00D77E17" w:rsidRPr="005E764F" w:rsidRDefault="00D77E17">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64" w:history="1">
        <w:r w:rsidR="0052145C" w:rsidRPr="005E764F">
          <w:rPr>
            <w:rStyle w:val="Hyperlink"/>
            <w:rFonts w:asciiTheme="minorHAnsi" w:hAnsiTheme="minorHAnsi" w:cstheme="minorHAnsi"/>
            <w:sz w:val="14"/>
            <w:szCs w:val="14"/>
          </w:rPr>
          <w:t>3.JapansRoadmaptoCarbonNeutralityintheBuildingandHousingSectors.pdf (windows.net)</w:t>
        </w:r>
      </w:hyperlink>
    </w:p>
  </w:footnote>
  <w:footnote w:id="75">
    <w:p w14:paraId="5E99160A" w14:textId="593D9456" w:rsidR="0052145C" w:rsidRPr="005E764F" w:rsidRDefault="0052145C">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65" w:history="1">
        <w:r w:rsidRPr="005E764F">
          <w:rPr>
            <w:rStyle w:val="Hyperlink"/>
            <w:rFonts w:asciiTheme="minorHAnsi" w:hAnsiTheme="minorHAnsi" w:cstheme="minorHAnsi"/>
            <w:sz w:val="14"/>
            <w:szCs w:val="14"/>
          </w:rPr>
          <w:t>Phase-out regulations for fossil fuel boilers at EU and national level (oeko.de)</w:t>
        </w:r>
      </w:hyperlink>
    </w:p>
  </w:footnote>
  <w:footnote w:id="76">
    <w:p w14:paraId="2CD81001" w14:textId="3A42A6B9" w:rsidR="00D16019" w:rsidRPr="005E764F" w:rsidRDefault="00D16019">
      <w:pPr>
        <w:pStyle w:val="FootnoteText"/>
        <w:rPr>
          <w:rFonts w:asciiTheme="minorHAnsi" w:hAnsiTheme="minorHAnsi" w:cstheme="minorHAnsi"/>
          <w:sz w:val="14"/>
          <w:szCs w:val="14"/>
        </w:rPr>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66" w:history="1">
        <w:r w:rsidRPr="005E764F">
          <w:rPr>
            <w:rStyle w:val="Hyperlink"/>
            <w:rFonts w:asciiTheme="minorHAnsi" w:hAnsiTheme="minorHAnsi" w:cstheme="minorHAnsi"/>
            <w:sz w:val="14"/>
            <w:szCs w:val="14"/>
          </w:rPr>
          <w:t>Buying or selling your home: Energy Performance Certificates - GOV.UK (www.gov.uk)</w:t>
        </w:r>
      </w:hyperlink>
    </w:p>
  </w:footnote>
  <w:footnote w:id="77">
    <w:p w14:paraId="1A156A47" w14:textId="04AC6B07" w:rsidR="00D16019" w:rsidRPr="005E764F" w:rsidRDefault="00000000">
      <w:pPr>
        <w:pStyle w:val="FootnoteText"/>
        <w:rPr>
          <w:rFonts w:asciiTheme="minorHAnsi" w:hAnsiTheme="minorHAnsi" w:cstheme="minorHAnsi"/>
          <w:sz w:val="14"/>
          <w:szCs w:val="14"/>
        </w:rPr>
      </w:pPr>
      <w:hyperlink r:id="rId67" w:history="1">
        <w:r w:rsidR="00D16019" w:rsidRPr="00EF2D77">
          <w:rPr>
            <w:rStyle w:val="Hyperlink"/>
            <w:rFonts w:asciiTheme="minorHAnsi" w:hAnsiTheme="minorHAnsi" w:cstheme="minorHAnsi"/>
            <w:sz w:val="14"/>
            <w:szCs w:val="14"/>
            <w:vertAlign w:val="superscript"/>
          </w:rPr>
          <w:footnoteRef/>
        </w:r>
        <w:r w:rsidR="00D16019" w:rsidRPr="00EF2D77">
          <w:rPr>
            <w:rStyle w:val="Hyperlink"/>
            <w:rFonts w:asciiTheme="minorHAnsi" w:hAnsiTheme="minorHAnsi" w:cstheme="minorHAnsi"/>
            <w:sz w:val="14"/>
            <w:szCs w:val="14"/>
          </w:rPr>
          <w:t xml:space="preserve"> </w:t>
        </w:r>
        <w:r w:rsidR="00994113" w:rsidRPr="00EF2D77">
          <w:rPr>
            <w:rStyle w:val="Hyperlink"/>
            <w:rFonts w:asciiTheme="minorHAnsi" w:hAnsiTheme="minorHAnsi" w:cstheme="minorHAnsi"/>
            <w:sz w:val="14"/>
            <w:szCs w:val="14"/>
          </w:rPr>
          <w:t>Domestic private rented property:</w:t>
        </w:r>
        <w:r w:rsidR="00EF2D77" w:rsidRPr="00EF2D77">
          <w:rPr>
            <w:rStyle w:val="Hyperlink"/>
            <w:rFonts w:asciiTheme="minorHAnsi" w:hAnsiTheme="minorHAnsi" w:cstheme="minorHAnsi"/>
            <w:sz w:val="14"/>
            <w:szCs w:val="14"/>
          </w:rPr>
          <w:t xml:space="preserve"> minimum energy efficiency standard - landlord guidance</w:t>
        </w:r>
      </w:hyperlink>
    </w:p>
  </w:footnote>
  <w:footnote w:id="78">
    <w:p w14:paraId="39379FBA" w14:textId="49D40E4D" w:rsidR="00D76472" w:rsidRDefault="00D76472">
      <w:pPr>
        <w:pStyle w:val="FootnoteText"/>
      </w:pPr>
      <w:r w:rsidRPr="005E764F">
        <w:rPr>
          <w:rStyle w:val="FootnoteReference"/>
          <w:rFonts w:asciiTheme="minorHAnsi" w:hAnsiTheme="minorHAnsi" w:cstheme="minorHAnsi"/>
          <w:sz w:val="14"/>
          <w:szCs w:val="14"/>
        </w:rPr>
        <w:footnoteRef/>
      </w:r>
      <w:r w:rsidRPr="005E764F">
        <w:rPr>
          <w:rFonts w:asciiTheme="minorHAnsi" w:hAnsiTheme="minorHAnsi" w:cstheme="minorHAnsi"/>
          <w:sz w:val="14"/>
          <w:szCs w:val="14"/>
        </w:rPr>
        <w:t xml:space="preserve"> </w:t>
      </w:r>
      <w:hyperlink r:id="rId68" w:history="1">
        <w:r w:rsidRPr="005E764F">
          <w:rPr>
            <w:rStyle w:val="Hyperlink"/>
            <w:rFonts w:asciiTheme="minorHAnsi" w:hAnsiTheme="minorHAnsi" w:cstheme="minorHAnsi"/>
            <w:sz w:val="14"/>
            <w:szCs w:val="14"/>
          </w:rPr>
          <w:t>Directive 2010/31/EU of the European Parliament and of the Council of 19 May 2010 on the energy performance of buildings (europa.eu)</w:t>
        </w:r>
      </w:hyperlink>
    </w:p>
  </w:footnote>
  <w:footnote w:id="79">
    <w:p w14:paraId="0009B902" w14:textId="679F72D5" w:rsidR="00603339" w:rsidRPr="00121748" w:rsidRDefault="00603339">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69" w:history="1">
        <w:r w:rsidRPr="00121748">
          <w:rPr>
            <w:rStyle w:val="Hyperlink"/>
            <w:rFonts w:asciiTheme="minorHAnsi" w:hAnsiTheme="minorHAnsi" w:cstheme="minorHAnsi"/>
            <w:sz w:val="14"/>
            <w:szCs w:val="14"/>
          </w:rPr>
          <w:t>MEES – implementing the EPC B target by 2030 | Simmons &amp; Simmons (simmons-simmons.com)</w:t>
        </w:r>
      </w:hyperlink>
    </w:p>
  </w:footnote>
  <w:footnote w:id="80">
    <w:p w14:paraId="32D1AC09" w14:textId="77777777" w:rsidR="009A637E" w:rsidRPr="00121748" w:rsidRDefault="009A637E" w:rsidP="009A637E">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70" w:history="1">
        <w:r w:rsidRPr="00121748">
          <w:rPr>
            <w:rStyle w:val="Hyperlink"/>
            <w:rFonts w:asciiTheme="minorHAnsi" w:hAnsiTheme="minorHAnsi" w:cstheme="minorHAnsi"/>
            <w:sz w:val="14"/>
            <w:szCs w:val="14"/>
          </w:rPr>
          <w:t>MEES – implementing the EPC B target by 2030 | Simmons &amp; Simmons (simmons-simmons.com)</w:t>
        </w:r>
      </w:hyperlink>
    </w:p>
  </w:footnote>
  <w:footnote w:id="81">
    <w:p w14:paraId="10C9BD06" w14:textId="5A09A90A" w:rsidR="009102C4" w:rsidRPr="00121748" w:rsidRDefault="009102C4">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71" w:history="1">
        <w:r w:rsidRPr="00121748">
          <w:rPr>
            <w:rStyle w:val="Hyperlink"/>
            <w:rFonts w:asciiTheme="minorHAnsi" w:hAnsiTheme="minorHAnsi" w:cstheme="minorHAnsi"/>
            <w:sz w:val="14"/>
            <w:szCs w:val="14"/>
          </w:rPr>
          <w:t>Japan 2021 - Energy Policy Review (windows.net)</w:t>
        </w:r>
      </w:hyperlink>
    </w:p>
  </w:footnote>
  <w:footnote w:id="82">
    <w:p w14:paraId="5EE19AE4" w14:textId="38E9E1F2" w:rsidR="007C54FF" w:rsidRDefault="007C54FF" w:rsidP="007C54FF">
      <w:pPr>
        <w:pStyle w:val="FootnoteText"/>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r w:rsidRPr="00121748">
        <w:rPr>
          <w:rFonts w:asciiTheme="minorHAnsi" w:hAnsiTheme="minorHAnsi" w:cstheme="minorHAnsi"/>
          <w:sz w:val="14"/>
          <w:szCs w:val="14"/>
          <w:u w:val="single"/>
        </w:rPr>
        <w:t xml:space="preserve">McAllister, P. and Nase, I. (2023) Minimum energy efficiency standards in the commercial real estate sector: a critical review of policy regimes. Journal of Cleaner Production, 393.136342. ISSN 0959-6526 </w:t>
      </w:r>
      <w:proofErr w:type="spellStart"/>
      <w:r w:rsidRPr="00121748">
        <w:rPr>
          <w:rFonts w:asciiTheme="minorHAnsi" w:hAnsiTheme="minorHAnsi" w:cstheme="minorHAnsi"/>
          <w:sz w:val="14"/>
          <w:szCs w:val="14"/>
          <w:u w:val="single"/>
        </w:rPr>
        <w:t>doi</w:t>
      </w:r>
      <w:proofErr w:type="spellEnd"/>
      <w:r w:rsidRPr="00121748">
        <w:rPr>
          <w:rFonts w:asciiTheme="minorHAnsi" w:hAnsiTheme="minorHAnsi" w:cstheme="minorHAnsi"/>
          <w:sz w:val="14"/>
          <w:szCs w:val="14"/>
          <w:u w:val="single"/>
        </w:rPr>
        <w:t xml:space="preserve">: https://doi.org/10.1016/j.jclepro.2023.136342 Available at </w:t>
      </w:r>
      <w:hyperlink r:id="rId72" w:history="1">
        <w:r w:rsidRPr="00121748">
          <w:rPr>
            <w:rStyle w:val="Hyperlink"/>
            <w:rFonts w:asciiTheme="minorHAnsi" w:hAnsiTheme="minorHAnsi" w:cstheme="minorHAnsi"/>
            <w:sz w:val="14"/>
            <w:szCs w:val="14"/>
          </w:rPr>
          <w:t>https://centaur.reading.ac.uk/111089/</w:t>
        </w:r>
      </w:hyperlink>
      <w:r w:rsidRPr="00121748">
        <w:rPr>
          <w:sz w:val="18"/>
          <w:szCs w:val="18"/>
        </w:rPr>
        <w:t xml:space="preserve"> </w:t>
      </w:r>
    </w:p>
  </w:footnote>
  <w:footnote w:id="83">
    <w:p w14:paraId="55A24A9B" w14:textId="5111B4EA" w:rsidR="00FE33F6" w:rsidRPr="00121748" w:rsidRDefault="00FE33F6">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73" w:history="1">
        <w:r w:rsidRPr="00121748">
          <w:rPr>
            <w:rStyle w:val="Hyperlink"/>
            <w:rFonts w:asciiTheme="minorHAnsi" w:hAnsiTheme="minorHAnsi" w:cstheme="minorHAnsi"/>
            <w:sz w:val="14"/>
            <w:szCs w:val="14"/>
          </w:rPr>
          <w:t>Case studies: Minimum energy performance standards for European buildings (raponline.org)</w:t>
        </w:r>
      </w:hyperlink>
    </w:p>
  </w:footnote>
  <w:footnote w:id="84">
    <w:p w14:paraId="0D6D82A4" w14:textId="098652A0" w:rsidR="005C6928" w:rsidRDefault="005C6928">
      <w:pPr>
        <w:pStyle w:val="FootnoteText"/>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74" w:history="1">
        <w:r w:rsidRPr="00121748">
          <w:rPr>
            <w:rStyle w:val="Hyperlink"/>
            <w:rFonts w:asciiTheme="minorHAnsi" w:hAnsiTheme="minorHAnsi" w:cstheme="minorHAnsi"/>
            <w:sz w:val="14"/>
            <w:szCs w:val="14"/>
          </w:rPr>
          <w:t>2022 Building Energy Efficiency Standards (final version) (ca.gov)</w:t>
        </w:r>
      </w:hyperlink>
    </w:p>
  </w:footnote>
  <w:footnote w:id="85">
    <w:p w14:paraId="253BD891" w14:textId="77777777" w:rsidR="00054539" w:rsidRDefault="00054539" w:rsidP="00054539">
      <w:pPr>
        <w:pStyle w:val="FootnoteText"/>
      </w:pPr>
      <w:r w:rsidRPr="00220665">
        <w:rPr>
          <w:rStyle w:val="FootnoteReference"/>
          <w:rFonts w:asciiTheme="minorHAnsi" w:hAnsiTheme="minorHAnsi" w:cstheme="minorHAnsi"/>
          <w:sz w:val="14"/>
          <w:szCs w:val="14"/>
        </w:rPr>
        <w:footnoteRef/>
      </w:r>
      <w:r>
        <w:t xml:space="preserve"> </w:t>
      </w:r>
      <w:hyperlink r:id="rId75" w:history="1">
        <w:r w:rsidRPr="00BE6AFD">
          <w:rPr>
            <w:rStyle w:val="Hyperlink"/>
            <w:sz w:val="14"/>
            <w:szCs w:val="14"/>
          </w:rPr>
          <w:t>How Demark leads the way in decarbonising the construction industry</w:t>
        </w:r>
      </w:hyperlink>
      <w:r w:rsidRPr="00BE6AFD">
        <w:rPr>
          <w:sz w:val="14"/>
          <w:szCs w:val="14"/>
        </w:rPr>
        <w:t xml:space="preserve"> </w:t>
      </w:r>
    </w:p>
  </w:footnote>
  <w:footnote w:id="86">
    <w:p w14:paraId="540E5F6E" w14:textId="3DEE2C0E" w:rsidR="00B6529A" w:rsidRPr="001C3D7D" w:rsidRDefault="00B6529A">
      <w:pPr>
        <w:pStyle w:val="FootnoteText"/>
        <w:rPr>
          <w:rFonts w:asciiTheme="minorHAnsi" w:hAnsiTheme="minorHAnsi" w:cstheme="minorHAnsi"/>
          <w:sz w:val="14"/>
          <w:szCs w:val="14"/>
        </w:rPr>
      </w:pPr>
      <w:r w:rsidRPr="001C3D7D">
        <w:rPr>
          <w:rStyle w:val="FootnoteReference"/>
          <w:rFonts w:asciiTheme="minorHAnsi" w:hAnsiTheme="minorHAnsi" w:cstheme="minorHAnsi"/>
          <w:sz w:val="14"/>
          <w:szCs w:val="14"/>
        </w:rPr>
        <w:footnoteRef/>
      </w:r>
      <w:r w:rsidRPr="00605096">
        <w:rPr>
          <w:sz w:val="14"/>
          <w:szCs w:val="14"/>
        </w:rPr>
        <w:t xml:space="preserve"> </w:t>
      </w:r>
      <w:hyperlink r:id="rId76" w:history="1">
        <w:r w:rsidR="008923F7" w:rsidRPr="00605096">
          <w:rPr>
            <w:rStyle w:val="Hyperlink"/>
            <w:sz w:val="14"/>
            <w:szCs w:val="14"/>
          </w:rPr>
          <w:t>The impact of the Tokyo emissions trading scheme on office buildings: what factor contributed to the emission reduction? | SpringerLink</w:t>
        </w:r>
      </w:hyperlink>
    </w:p>
  </w:footnote>
  <w:footnote w:id="87">
    <w:p w14:paraId="7372D324" w14:textId="751CEB67" w:rsidR="004F5542" w:rsidRPr="00B05614" w:rsidRDefault="004F5542">
      <w:pPr>
        <w:pStyle w:val="FootnoteText"/>
        <w:rPr>
          <w:sz w:val="16"/>
          <w:szCs w:val="16"/>
        </w:rPr>
      </w:pPr>
      <w:r w:rsidRPr="001C3D7D">
        <w:rPr>
          <w:rStyle w:val="FootnoteReference"/>
          <w:rFonts w:asciiTheme="minorHAnsi" w:hAnsiTheme="minorHAnsi" w:cstheme="minorHAnsi"/>
          <w:sz w:val="14"/>
          <w:szCs w:val="14"/>
        </w:rPr>
        <w:footnoteRef/>
      </w:r>
      <w:r w:rsidRPr="001C3D7D">
        <w:rPr>
          <w:rFonts w:asciiTheme="minorHAnsi" w:hAnsiTheme="minorHAnsi" w:cstheme="minorHAnsi"/>
          <w:sz w:val="14"/>
          <w:szCs w:val="14"/>
        </w:rPr>
        <w:t xml:space="preserve"> </w:t>
      </w:r>
      <w:r w:rsidR="00AA60A3" w:rsidRPr="001C3D7D">
        <w:rPr>
          <w:rFonts w:asciiTheme="minorHAnsi" w:hAnsiTheme="minorHAnsi" w:cstheme="minorHAnsi"/>
          <w:sz w:val="14"/>
          <w:szCs w:val="14"/>
        </w:rPr>
        <w:t xml:space="preserve">KPMG (2022) Provisional agreements in EU on emissions trading, carbon border adjustments and climate funding, available at: </w:t>
      </w:r>
      <w:hyperlink r:id="rId77" w:history="1">
        <w:r w:rsidR="00AA60A3" w:rsidRPr="00605096">
          <w:rPr>
            <w:rStyle w:val="Hyperlink"/>
            <w:sz w:val="14"/>
            <w:szCs w:val="14"/>
          </w:rPr>
          <w:t>Fit for 55: Emissions Trading; Carbon Border Adjustments and Climate Funding (kpmg.com)</w:t>
        </w:r>
      </w:hyperlink>
    </w:p>
  </w:footnote>
  <w:footnote w:id="88">
    <w:p w14:paraId="5F715094" w14:textId="4C8E794F" w:rsidR="007A3FD7" w:rsidRPr="00121748" w:rsidRDefault="007A3FD7">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78" w:anchor=":~:text=Your%20voucher%20covers%20up%20to,cost%20of%20your%20chosen%20improvements." w:history="1">
        <w:r w:rsidR="00C07925" w:rsidRPr="00121748">
          <w:rPr>
            <w:rStyle w:val="Hyperlink"/>
            <w:rFonts w:asciiTheme="minorHAnsi" w:hAnsiTheme="minorHAnsi" w:cstheme="minorHAnsi"/>
            <w:sz w:val="14"/>
            <w:szCs w:val="14"/>
          </w:rPr>
          <w:t>Green Homes Grant: make energy improvements to your home (closed to new applicants) - GOV.UK (www.gov.uk)</w:t>
        </w:r>
      </w:hyperlink>
    </w:p>
  </w:footnote>
  <w:footnote w:id="89">
    <w:p w14:paraId="7F921A21" w14:textId="2E4BFDBD" w:rsidR="00071A26" w:rsidRPr="00121748" w:rsidRDefault="00071A26">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79" w:history="1">
        <w:r w:rsidRPr="00121748">
          <w:rPr>
            <w:rStyle w:val="Hyperlink"/>
            <w:rFonts w:asciiTheme="minorHAnsi" w:hAnsiTheme="minorHAnsi" w:cstheme="minorHAnsi"/>
            <w:sz w:val="14"/>
            <w:szCs w:val="14"/>
          </w:rPr>
          <w:t xml:space="preserve">What is the Federal Funding for Efficient Buildings (BEG) – </w:t>
        </w:r>
        <w:proofErr w:type="spellStart"/>
        <w:r w:rsidRPr="00121748">
          <w:rPr>
            <w:rStyle w:val="Hyperlink"/>
            <w:rFonts w:asciiTheme="minorHAnsi" w:hAnsiTheme="minorHAnsi" w:cstheme="minorHAnsi"/>
            <w:sz w:val="14"/>
            <w:szCs w:val="14"/>
          </w:rPr>
          <w:t>SENERGYS</w:t>
        </w:r>
        <w:proofErr w:type="spellEnd"/>
      </w:hyperlink>
    </w:p>
  </w:footnote>
  <w:footnote w:id="90">
    <w:p w14:paraId="07E4CB4D" w14:textId="4A82F305" w:rsidR="00BF4C04" w:rsidRPr="00121748" w:rsidRDefault="00BF4C04">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0" w:anchor=":~:text=The%20fund%20will%20help%20tackle,prices%20that%20started%20in%202021." w:history="1">
        <w:r w:rsidRPr="00121748">
          <w:rPr>
            <w:rStyle w:val="Hyperlink"/>
            <w:rFonts w:asciiTheme="minorHAnsi" w:hAnsiTheme="minorHAnsi" w:cstheme="minorHAnsi"/>
            <w:sz w:val="14"/>
            <w:szCs w:val="14"/>
          </w:rPr>
          <w:t xml:space="preserve">Fit for 55: a fund to support the most affected citizens and businesses - </w:t>
        </w:r>
        <w:proofErr w:type="spellStart"/>
        <w:r w:rsidRPr="00121748">
          <w:rPr>
            <w:rStyle w:val="Hyperlink"/>
            <w:rFonts w:asciiTheme="minorHAnsi" w:hAnsiTheme="minorHAnsi" w:cstheme="minorHAnsi"/>
            <w:sz w:val="14"/>
            <w:szCs w:val="14"/>
          </w:rPr>
          <w:t>Consilium</w:t>
        </w:r>
        <w:proofErr w:type="spellEnd"/>
        <w:r w:rsidRPr="00121748">
          <w:rPr>
            <w:rStyle w:val="Hyperlink"/>
            <w:rFonts w:asciiTheme="minorHAnsi" w:hAnsiTheme="minorHAnsi" w:cstheme="minorHAnsi"/>
            <w:sz w:val="14"/>
            <w:szCs w:val="14"/>
          </w:rPr>
          <w:t xml:space="preserve"> (europa.eu)</w:t>
        </w:r>
      </w:hyperlink>
    </w:p>
  </w:footnote>
  <w:footnote w:id="91">
    <w:p w14:paraId="76D9A2A6" w14:textId="6DF06B1E" w:rsidR="00C04CE8" w:rsidRPr="00121748" w:rsidRDefault="00C04CE8">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1" w:history="1">
        <w:r w:rsidR="00E61DBC" w:rsidRPr="00121748">
          <w:rPr>
            <w:rStyle w:val="Hyperlink"/>
            <w:rFonts w:asciiTheme="minorHAnsi" w:hAnsiTheme="minorHAnsi" w:cstheme="minorHAnsi"/>
            <w:sz w:val="14"/>
            <w:szCs w:val="14"/>
          </w:rPr>
          <w:t>Daily News 01 / 03 / 2023 (europa.eu)</w:t>
        </w:r>
      </w:hyperlink>
    </w:p>
  </w:footnote>
  <w:footnote w:id="92">
    <w:p w14:paraId="74C34026" w14:textId="2B03CB7E" w:rsidR="00B05614" w:rsidRPr="00121748" w:rsidRDefault="00B05614">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2" w:history="1">
        <w:proofErr w:type="spellStart"/>
        <w:r w:rsidRPr="00121748">
          <w:rPr>
            <w:rStyle w:val="Hyperlink"/>
            <w:rFonts w:asciiTheme="minorHAnsi" w:hAnsiTheme="minorHAnsi" w:cstheme="minorHAnsi"/>
            <w:sz w:val="14"/>
            <w:szCs w:val="14"/>
          </w:rPr>
          <w:t>BMWK</w:t>
        </w:r>
        <w:proofErr w:type="spellEnd"/>
        <w:r w:rsidRPr="00121748">
          <w:rPr>
            <w:rStyle w:val="Hyperlink"/>
            <w:rFonts w:asciiTheme="minorHAnsi" w:hAnsiTheme="minorHAnsi" w:cstheme="minorHAnsi"/>
            <w:sz w:val="14"/>
            <w:szCs w:val="14"/>
          </w:rPr>
          <w:t xml:space="preserve"> - Enhancing energy efficiency in buildings</w:t>
        </w:r>
      </w:hyperlink>
    </w:p>
  </w:footnote>
  <w:footnote w:id="93">
    <w:p w14:paraId="1197B099" w14:textId="3121A369" w:rsidR="00C44DC7" w:rsidRPr="00121748" w:rsidRDefault="00C44DC7">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3" w:history="1">
        <w:r w:rsidR="007D5EFE" w:rsidRPr="00121748">
          <w:rPr>
            <w:rStyle w:val="Hyperlink"/>
            <w:rFonts w:asciiTheme="minorHAnsi" w:hAnsiTheme="minorHAnsi" w:cstheme="minorHAnsi"/>
            <w:sz w:val="14"/>
            <w:szCs w:val="14"/>
          </w:rPr>
          <w:t>KEA - KOREA ENERGY AGENCY</w:t>
        </w:r>
      </w:hyperlink>
    </w:p>
  </w:footnote>
  <w:footnote w:id="94">
    <w:p w14:paraId="7BAFD744" w14:textId="359B71F0" w:rsidR="007D5EFE" w:rsidRPr="00121748" w:rsidRDefault="007D5EFE">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4" w:history="1">
        <w:r w:rsidRPr="00121748">
          <w:rPr>
            <w:rStyle w:val="Hyperlink"/>
            <w:rFonts w:asciiTheme="minorHAnsi" w:hAnsiTheme="minorHAnsi" w:cstheme="minorHAnsi"/>
            <w:sz w:val="14"/>
            <w:szCs w:val="14"/>
          </w:rPr>
          <w:t>Japan 2021 - Energy Policy Review (windows.net)</w:t>
        </w:r>
      </w:hyperlink>
    </w:p>
  </w:footnote>
  <w:footnote w:id="95">
    <w:p w14:paraId="69E12AEB" w14:textId="643FB917" w:rsidR="007D5EFE" w:rsidRPr="00121748" w:rsidRDefault="007D5EFE">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5" w:history="1">
        <w:r w:rsidR="00BC108C" w:rsidRPr="00121748">
          <w:rPr>
            <w:rStyle w:val="Hyperlink"/>
            <w:rFonts w:asciiTheme="minorHAnsi" w:hAnsiTheme="minorHAnsi" w:cstheme="minorHAnsi"/>
            <w:sz w:val="14"/>
            <w:szCs w:val="14"/>
          </w:rPr>
          <w:t>Historic Buildings - Building Energy Performance Standard - BEAM Helpdesk (beam-portal.org)</w:t>
        </w:r>
      </w:hyperlink>
    </w:p>
  </w:footnote>
  <w:footnote w:id="96">
    <w:p w14:paraId="27587927" w14:textId="2834FB2D" w:rsidR="002415D4" w:rsidRPr="00121748" w:rsidRDefault="002415D4">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6" w:history="1">
        <w:r w:rsidRPr="00121748">
          <w:rPr>
            <w:rStyle w:val="Hyperlink"/>
            <w:rFonts w:asciiTheme="minorHAnsi" w:hAnsiTheme="minorHAnsi" w:cstheme="minorHAnsi"/>
            <w:sz w:val="14"/>
            <w:szCs w:val="14"/>
          </w:rPr>
          <w:t xml:space="preserve">‘Fit for 55’: Council agrees on stricter rules for energy performance of buildings - </w:t>
        </w:r>
        <w:proofErr w:type="spellStart"/>
        <w:r w:rsidRPr="00121748">
          <w:rPr>
            <w:rStyle w:val="Hyperlink"/>
            <w:rFonts w:asciiTheme="minorHAnsi" w:hAnsiTheme="minorHAnsi" w:cstheme="minorHAnsi"/>
            <w:sz w:val="14"/>
            <w:szCs w:val="14"/>
          </w:rPr>
          <w:t>Consilium</w:t>
        </w:r>
        <w:proofErr w:type="spellEnd"/>
        <w:r w:rsidRPr="00121748">
          <w:rPr>
            <w:rStyle w:val="Hyperlink"/>
            <w:rFonts w:asciiTheme="minorHAnsi" w:hAnsiTheme="minorHAnsi" w:cstheme="minorHAnsi"/>
            <w:sz w:val="14"/>
            <w:szCs w:val="14"/>
          </w:rPr>
          <w:t xml:space="preserve"> (europa.eu)</w:t>
        </w:r>
      </w:hyperlink>
    </w:p>
  </w:footnote>
  <w:footnote w:id="97">
    <w:p w14:paraId="15E0E3B5" w14:textId="4C2EDF2E" w:rsidR="002415D4" w:rsidRDefault="002415D4">
      <w:pPr>
        <w:pStyle w:val="FootnoteText"/>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87" w:history="1">
        <w:r w:rsidRPr="00121748">
          <w:rPr>
            <w:rStyle w:val="Hyperlink"/>
            <w:rFonts w:asciiTheme="minorHAnsi" w:hAnsiTheme="minorHAnsi" w:cstheme="minorHAnsi"/>
            <w:sz w:val="14"/>
            <w:szCs w:val="14"/>
          </w:rPr>
          <w:t>EU Buildings Renovations: get ready for minimum energy performance standards (</w:t>
        </w:r>
        <w:proofErr w:type="spellStart"/>
        <w:r w:rsidRPr="00121748">
          <w:rPr>
            <w:rStyle w:val="Hyperlink"/>
            <w:rFonts w:asciiTheme="minorHAnsi" w:hAnsiTheme="minorHAnsi" w:cstheme="minorHAnsi"/>
            <w:sz w:val="14"/>
            <w:szCs w:val="14"/>
          </w:rPr>
          <w:t>MEPS</w:t>
        </w:r>
        <w:proofErr w:type="spellEnd"/>
        <w:r w:rsidRPr="00121748">
          <w:rPr>
            <w:rStyle w:val="Hyperlink"/>
            <w:rFonts w:asciiTheme="minorHAnsi" w:hAnsiTheme="minorHAnsi" w:cstheme="minorHAnsi"/>
            <w:sz w:val="14"/>
            <w:szCs w:val="14"/>
          </w:rPr>
          <w:t>) - Energy Post</w:t>
        </w:r>
      </w:hyperlink>
    </w:p>
  </w:footnote>
  <w:footnote w:id="98">
    <w:p w14:paraId="6CB72D21" w14:textId="6F05D384" w:rsidR="00547CBB" w:rsidRPr="00C1353E" w:rsidRDefault="00000000" w:rsidP="00547CBB">
      <w:pPr>
        <w:pStyle w:val="FootnoteText"/>
        <w:rPr>
          <w:rFonts w:asciiTheme="minorHAnsi" w:hAnsiTheme="minorHAnsi" w:cstheme="minorHAnsi"/>
          <w:sz w:val="14"/>
          <w:szCs w:val="14"/>
          <w:u w:val="single"/>
        </w:rPr>
      </w:pPr>
      <w:hyperlink r:id="rId88" w:history="1">
        <w:r w:rsidR="00547CBB" w:rsidRPr="00891D0C">
          <w:rPr>
            <w:rStyle w:val="Hyperlink"/>
            <w:rFonts w:asciiTheme="minorHAnsi" w:hAnsiTheme="minorHAnsi" w:cstheme="minorHAnsi"/>
            <w:sz w:val="14"/>
            <w:szCs w:val="14"/>
            <w:vertAlign w:val="superscript"/>
          </w:rPr>
          <w:footnoteRef/>
        </w:r>
        <w:r w:rsidR="00891D0C" w:rsidRPr="00891D0C">
          <w:rPr>
            <w:rStyle w:val="Hyperlink"/>
            <w:rFonts w:asciiTheme="minorHAnsi" w:hAnsiTheme="minorHAnsi" w:cstheme="minorHAnsi"/>
            <w:sz w:val="14"/>
            <w:szCs w:val="14"/>
          </w:rPr>
          <w:t xml:space="preserve"> </w:t>
        </w:r>
        <w:r w:rsidR="00C1353E" w:rsidRPr="00891D0C">
          <w:rPr>
            <w:rStyle w:val="Hyperlink"/>
            <w:rFonts w:asciiTheme="minorHAnsi" w:hAnsiTheme="minorHAnsi" w:cstheme="minorHAnsi"/>
            <w:sz w:val="14"/>
            <w:szCs w:val="14"/>
          </w:rPr>
          <w:t xml:space="preserve">Promoting Energy Efficiency in Buildings: Lessons Learned </w:t>
        </w:r>
        <w:proofErr w:type="gramStart"/>
        <w:r w:rsidR="00C1353E" w:rsidRPr="00891D0C">
          <w:rPr>
            <w:rStyle w:val="Hyperlink"/>
            <w:rFonts w:asciiTheme="minorHAnsi" w:hAnsiTheme="minorHAnsi" w:cstheme="minorHAnsi"/>
            <w:sz w:val="14"/>
            <w:szCs w:val="14"/>
          </w:rPr>
          <w:t>From</w:t>
        </w:r>
        <w:proofErr w:type="gramEnd"/>
        <w:r w:rsidR="00C1353E" w:rsidRPr="00891D0C">
          <w:rPr>
            <w:rStyle w:val="Hyperlink"/>
            <w:rFonts w:asciiTheme="minorHAnsi" w:hAnsiTheme="minorHAnsi" w:cstheme="minorHAnsi"/>
            <w:sz w:val="14"/>
            <w:szCs w:val="14"/>
          </w:rPr>
          <w:t xml:space="preserve"> International Experience</w:t>
        </w:r>
      </w:hyperlink>
    </w:p>
  </w:footnote>
  <w:footnote w:id="99">
    <w:p w14:paraId="5BF78A99" w14:textId="3DAB4A7C"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According to the paper, various countries have made it mandatory or created incentives for energy utilities to actively promote energy efficiency to their customers (as electricity and gas utilities are generally in a privileged position to advise their clients on energy efficiency in their homes through demand side management (DSM)</w:t>
      </w:r>
    </w:p>
  </w:footnote>
  <w:footnote w:id="100">
    <w:p w14:paraId="51F1756C" w14:textId="608916CD"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According to the paper, energy service companies (</w:t>
      </w:r>
      <w:proofErr w:type="spellStart"/>
      <w:r w:rsidRPr="00121748">
        <w:rPr>
          <w:rFonts w:asciiTheme="minorHAnsi" w:hAnsiTheme="minorHAnsi" w:cstheme="minorHAnsi"/>
          <w:sz w:val="14"/>
          <w:szCs w:val="14"/>
        </w:rPr>
        <w:t>ESCOs</w:t>
      </w:r>
      <w:proofErr w:type="spellEnd"/>
      <w:r w:rsidRPr="00121748">
        <w:rPr>
          <w:rFonts w:asciiTheme="minorHAnsi" w:hAnsiTheme="minorHAnsi" w:cstheme="minorHAnsi"/>
          <w:sz w:val="14"/>
          <w:szCs w:val="14"/>
        </w:rPr>
        <w:t>) provide consumers with energy services (heat, cooling, power, light, etc.) rather than fuels. They can help energy consumers go forward with energy efficiency investments by providing them with services and financing, and by guaranteeing results.</w:t>
      </w:r>
    </w:p>
  </w:footnote>
  <w:footnote w:id="101">
    <w:p w14:paraId="722C9D08"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Decrease is noted to be largely driven by strong domestic standards phasing out non-condensing boilers, along with the supplier obligations targeting home energy efficiency which ran from 2008-2012, high temperatures, and household appliance efficiencies) </w:t>
      </w:r>
      <w:hyperlink r:id="rId89" w:history="1">
        <w:r w:rsidRPr="00121748">
          <w:rPr>
            <w:rStyle w:val="Hyperlink"/>
            <w:rFonts w:asciiTheme="minorHAnsi" w:hAnsiTheme="minorHAnsi" w:cstheme="minorHAnsi"/>
            <w:sz w:val="14"/>
            <w:szCs w:val="14"/>
          </w:rPr>
          <w:t>Reducing UK emissions: 2020 Progress Report to Parliament - Climate Change Committee (theccc.org.uk)</w:t>
        </w:r>
      </w:hyperlink>
    </w:p>
  </w:footnote>
  <w:footnote w:id="102">
    <w:p w14:paraId="349141F4"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0" w:history="1">
        <w:r w:rsidRPr="00121748">
          <w:rPr>
            <w:rStyle w:val="Hyperlink"/>
            <w:rFonts w:asciiTheme="minorHAnsi" w:hAnsiTheme="minorHAnsi" w:cstheme="minorHAnsi"/>
            <w:sz w:val="14"/>
            <w:szCs w:val="14"/>
          </w:rPr>
          <w:t>Introducing a performance-based policy framework in large commercial and industrial buildings in England and Wales (publishing.service.gov.uk)</w:t>
        </w:r>
      </w:hyperlink>
    </w:p>
  </w:footnote>
  <w:footnote w:id="103">
    <w:p w14:paraId="439C05D5"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This scheme is not specific to buildings but pick up building </w:t>
      </w:r>
      <w:proofErr w:type="gramStart"/>
      <w:r w:rsidRPr="00121748">
        <w:rPr>
          <w:rFonts w:asciiTheme="minorHAnsi" w:hAnsiTheme="minorHAnsi" w:cstheme="minorHAnsi"/>
          <w:sz w:val="14"/>
          <w:szCs w:val="14"/>
        </w:rPr>
        <w:t>performance</w:t>
      </w:r>
      <w:proofErr w:type="gramEnd"/>
      <w:r w:rsidRPr="00121748">
        <w:rPr>
          <w:rFonts w:asciiTheme="minorHAnsi" w:hAnsiTheme="minorHAnsi" w:cstheme="minorHAnsi"/>
          <w:sz w:val="14"/>
          <w:szCs w:val="14"/>
        </w:rPr>
        <w:t xml:space="preserve"> </w:t>
      </w:r>
    </w:p>
  </w:footnote>
  <w:footnote w:id="104">
    <w:p w14:paraId="53988E33"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1" w:history="1">
        <w:r w:rsidRPr="00121748">
          <w:rPr>
            <w:rStyle w:val="Hyperlink"/>
            <w:rFonts w:asciiTheme="minorHAnsi" w:hAnsiTheme="minorHAnsi" w:cstheme="minorHAnsi"/>
            <w:sz w:val="14"/>
            <w:szCs w:val="14"/>
          </w:rPr>
          <w:t>ESOS FAQs | Frequently Asked Questions | Phase 3 - Energy Advice Hub</w:t>
        </w:r>
      </w:hyperlink>
    </w:p>
  </w:footnote>
  <w:footnote w:id="105">
    <w:p w14:paraId="1E9421DB"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2" w:history="1">
        <w:r w:rsidRPr="00121748">
          <w:rPr>
            <w:rStyle w:val="Hyperlink"/>
            <w:rFonts w:asciiTheme="minorHAnsi" w:hAnsiTheme="minorHAnsi" w:cstheme="minorHAnsi"/>
            <w:sz w:val="14"/>
            <w:szCs w:val="14"/>
          </w:rPr>
          <w:t>Monitoring energy performance improvement: insights from Dutch housing association dwellings - Buildings and Cities (journal-buildingscities.org)</w:t>
        </w:r>
      </w:hyperlink>
    </w:p>
  </w:footnote>
  <w:footnote w:id="106">
    <w:p w14:paraId="33E3948B"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3" w:history="1">
        <w:r w:rsidRPr="00121748">
          <w:rPr>
            <w:rStyle w:val="Hyperlink"/>
            <w:rFonts w:asciiTheme="minorHAnsi" w:hAnsiTheme="minorHAnsi" w:cstheme="minorHAnsi"/>
            <w:sz w:val="14"/>
            <w:szCs w:val="14"/>
          </w:rPr>
          <w:t>Cost-Benefit Study - Building Energy Performance Standard - BEAM Helpdesk (beam-portal.org)</w:t>
        </w:r>
      </w:hyperlink>
    </w:p>
  </w:footnote>
  <w:footnote w:id="107">
    <w:p w14:paraId="3CC66500"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4" w:history="1">
        <w:r w:rsidRPr="00121748">
          <w:rPr>
            <w:rStyle w:val="Hyperlink"/>
            <w:rFonts w:asciiTheme="minorHAnsi" w:hAnsiTheme="minorHAnsi" w:cstheme="minorHAnsi"/>
            <w:sz w:val="14"/>
            <w:szCs w:val="14"/>
          </w:rPr>
          <w:t>Cost-Benefit Study - Building Energy Performance Standard - BEAM Helpdesk (beam-portal.org)</w:t>
        </w:r>
      </w:hyperlink>
    </w:p>
  </w:footnote>
  <w:footnote w:id="108">
    <w:p w14:paraId="221D75F0"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5" w:history="1">
        <w:proofErr w:type="spellStart"/>
        <w:r w:rsidRPr="00121748">
          <w:rPr>
            <w:rStyle w:val="Hyperlink"/>
            <w:rFonts w:asciiTheme="minorHAnsi" w:hAnsiTheme="minorHAnsi" w:cstheme="minorHAnsi"/>
            <w:sz w:val="14"/>
            <w:szCs w:val="14"/>
          </w:rPr>
          <w:t>DataTrends</w:t>
        </w:r>
        <w:proofErr w:type="spellEnd"/>
        <w:r w:rsidRPr="00121748">
          <w:rPr>
            <w:rStyle w:val="Hyperlink"/>
            <w:rFonts w:asciiTheme="minorHAnsi" w:hAnsiTheme="minorHAnsi" w:cstheme="minorHAnsi"/>
            <w:sz w:val="14"/>
            <w:szCs w:val="14"/>
          </w:rPr>
          <w:t xml:space="preserve"> Benchmarking and Energy Savings (energystar.gov)</w:t>
        </w:r>
      </w:hyperlink>
      <w:r w:rsidRPr="00121748">
        <w:rPr>
          <w:rFonts w:asciiTheme="minorHAnsi" w:hAnsiTheme="minorHAnsi" w:cstheme="minorHAnsi"/>
          <w:sz w:val="14"/>
          <w:szCs w:val="14"/>
        </w:rPr>
        <w:t xml:space="preserve"> </w:t>
      </w:r>
    </w:p>
  </w:footnote>
  <w:footnote w:id="109">
    <w:p w14:paraId="5F422FDC"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6" w:history="1">
        <w:r w:rsidRPr="00121748">
          <w:rPr>
            <w:rStyle w:val="Hyperlink"/>
            <w:rFonts w:asciiTheme="minorHAnsi" w:hAnsiTheme="minorHAnsi" w:cstheme="minorHAnsi"/>
            <w:sz w:val="14"/>
            <w:szCs w:val="14"/>
          </w:rPr>
          <w:t>The impact of the Tokyo emissions trading scheme on office buildings: what factor contributed to the emission reduction? | SpringerLink</w:t>
        </w:r>
      </w:hyperlink>
    </w:p>
  </w:footnote>
  <w:footnote w:id="110">
    <w:p w14:paraId="0932E331"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7" w:history="1">
        <w:proofErr w:type="spellStart"/>
        <w:r w:rsidRPr="00121748">
          <w:rPr>
            <w:rStyle w:val="Hyperlink"/>
            <w:rFonts w:ascii="MS Mincho" w:eastAsia="MS Mincho" w:hAnsi="MS Mincho" w:cs="MS Mincho"/>
            <w:sz w:val="14"/>
            <w:szCs w:val="14"/>
          </w:rPr>
          <w:t>スライド</w:t>
        </w:r>
        <w:proofErr w:type="spellEnd"/>
        <w:r w:rsidRPr="00121748">
          <w:rPr>
            <w:rStyle w:val="Hyperlink"/>
            <w:rFonts w:asciiTheme="minorHAnsi" w:hAnsiTheme="minorHAnsi" w:cstheme="minorHAnsi"/>
            <w:sz w:val="14"/>
            <w:szCs w:val="14"/>
          </w:rPr>
          <w:t xml:space="preserve"> 1 (oecd.org)</w:t>
        </w:r>
      </w:hyperlink>
    </w:p>
  </w:footnote>
  <w:footnote w:id="111">
    <w:p w14:paraId="0042813B"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8" w:history="1">
        <w:r w:rsidRPr="00121748">
          <w:rPr>
            <w:rStyle w:val="Hyperlink"/>
            <w:rFonts w:asciiTheme="minorHAnsi" w:hAnsiTheme="minorHAnsi" w:cstheme="minorHAnsi"/>
            <w:sz w:val="14"/>
            <w:szCs w:val="14"/>
          </w:rPr>
          <w:t>Japan 2021 - Energy Policy Review (windows.net)</w:t>
        </w:r>
      </w:hyperlink>
    </w:p>
  </w:footnote>
  <w:footnote w:id="112">
    <w:p w14:paraId="12647147" w14:textId="77777777" w:rsidR="00547CBB" w:rsidRPr="00121748" w:rsidRDefault="00547CBB" w:rsidP="00547CBB">
      <w:pPr>
        <w:pStyle w:val="FootnoteText"/>
        <w:ind w:left="142" w:hanging="142"/>
        <w:jc w:val="both"/>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The Building Energy Efficiency Certification System (</w:t>
      </w:r>
      <w:proofErr w:type="spellStart"/>
      <w:r w:rsidRPr="00121748">
        <w:rPr>
          <w:rFonts w:asciiTheme="minorHAnsi" w:hAnsiTheme="minorHAnsi" w:cstheme="minorHAnsi"/>
          <w:sz w:val="14"/>
          <w:szCs w:val="14"/>
        </w:rPr>
        <w:t>BEECS</w:t>
      </w:r>
      <w:proofErr w:type="spellEnd"/>
      <w:r w:rsidRPr="00121748">
        <w:rPr>
          <w:rFonts w:asciiTheme="minorHAnsi" w:hAnsiTheme="minorHAnsi" w:cstheme="minorHAnsi"/>
          <w:sz w:val="14"/>
          <w:szCs w:val="14"/>
        </w:rPr>
        <w:t>) enacted in 2001 in Korea aims to promote the spread of high energy-efficient buildings by evaluating and certifying building energy performance.</w:t>
      </w:r>
    </w:p>
  </w:footnote>
  <w:footnote w:id="113">
    <w:p w14:paraId="325A7727" w14:textId="77777777" w:rsidR="00547CBB" w:rsidRPr="00A74E56" w:rsidRDefault="00547CBB" w:rsidP="00547CBB">
      <w:pPr>
        <w:pStyle w:val="FootnoteText"/>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99" w:history="1">
        <w:r w:rsidRPr="00121748">
          <w:rPr>
            <w:rStyle w:val="Hyperlink"/>
            <w:rFonts w:asciiTheme="minorHAnsi" w:hAnsiTheme="minorHAnsi" w:cstheme="minorHAnsi"/>
            <w:sz w:val="14"/>
            <w:szCs w:val="14"/>
          </w:rPr>
          <w:t>Sustainability | Free Full-Text | Analysis of a Building Energy Efficiency Certification System in Korea (mdpi.com)</w:t>
        </w:r>
      </w:hyperlink>
    </w:p>
  </w:footnote>
  <w:footnote w:id="114">
    <w:p w14:paraId="3B338810" w14:textId="07BEC327" w:rsidR="00F576A3" w:rsidRDefault="00F576A3">
      <w:pPr>
        <w:pStyle w:val="FootnoteText"/>
      </w:pPr>
      <w:r w:rsidRPr="00F576A3">
        <w:rPr>
          <w:rStyle w:val="FootnoteReference"/>
          <w:rFonts w:asciiTheme="minorHAnsi" w:hAnsiTheme="minorHAnsi" w:cstheme="minorHAnsi"/>
          <w:sz w:val="14"/>
          <w:szCs w:val="14"/>
        </w:rPr>
        <w:footnoteRef/>
      </w:r>
      <w:r>
        <w:t xml:space="preserve"> </w:t>
      </w:r>
      <w:r>
        <w:rPr>
          <w:rFonts w:asciiTheme="minorHAnsi" w:hAnsiTheme="minorHAnsi" w:cstheme="minorHAnsi"/>
          <w:sz w:val="14"/>
          <w:szCs w:val="14"/>
        </w:rPr>
        <w:t>I</w:t>
      </w:r>
      <w:r w:rsidRPr="00F11552">
        <w:rPr>
          <w:rFonts w:asciiTheme="minorHAnsi" w:hAnsiTheme="minorHAnsi" w:cstheme="minorHAnsi"/>
          <w:sz w:val="14"/>
          <w:szCs w:val="14"/>
        </w:rPr>
        <w:t xml:space="preserve">mage sourced from </w:t>
      </w:r>
      <w:hyperlink r:id="rId100" w:history="1">
        <w:proofErr w:type="spellStart"/>
        <w:r w:rsidRPr="00121748">
          <w:rPr>
            <w:rStyle w:val="Hyperlink"/>
            <w:rFonts w:asciiTheme="minorHAnsi" w:hAnsiTheme="minorHAnsi" w:cstheme="minorHAnsi"/>
            <w:sz w:val="14"/>
            <w:szCs w:val="14"/>
          </w:rPr>
          <w:t>DataTrends</w:t>
        </w:r>
        <w:proofErr w:type="spellEnd"/>
        <w:r w:rsidRPr="00121748">
          <w:rPr>
            <w:rStyle w:val="Hyperlink"/>
            <w:rFonts w:asciiTheme="minorHAnsi" w:hAnsiTheme="minorHAnsi" w:cstheme="minorHAnsi"/>
            <w:sz w:val="14"/>
            <w:szCs w:val="14"/>
          </w:rPr>
          <w:t xml:space="preserve"> Benchmarking and Energy Savings (energystar.gov)</w:t>
        </w:r>
      </w:hyperlink>
    </w:p>
  </w:footnote>
  <w:footnote w:id="115">
    <w:p w14:paraId="52C6A3B7"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1" w:history="1">
        <w:r w:rsidRPr="00121748">
          <w:rPr>
            <w:rStyle w:val="Hyperlink"/>
            <w:rFonts w:asciiTheme="minorHAnsi" w:hAnsiTheme="minorHAnsi" w:cstheme="minorHAnsi"/>
            <w:sz w:val="14"/>
            <w:szCs w:val="14"/>
          </w:rPr>
          <w:t>Energy efficiency: what you need to know - GOV.UK (www.gov.uk)</w:t>
        </w:r>
      </w:hyperlink>
    </w:p>
  </w:footnote>
  <w:footnote w:id="116">
    <w:p w14:paraId="2983948D"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2" w:history="1">
        <w:r w:rsidRPr="00121748">
          <w:rPr>
            <w:rStyle w:val="Hyperlink"/>
            <w:rFonts w:asciiTheme="minorHAnsi" w:hAnsiTheme="minorHAnsi" w:cstheme="minorHAnsi"/>
            <w:sz w:val="14"/>
            <w:szCs w:val="14"/>
          </w:rPr>
          <w:t xml:space="preserve">Implementation of the </w:t>
        </w:r>
        <w:proofErr w:type="spellStart"/>
        <w:r w:rsidRPr="00121748">
          <w:rPr>
            <w:rStyle w:val="Hyperlink"/>
            <w:rFonts w:asciiTheme="minorHAnsi" w:hAnsiTheme="minorHAnsi" w:cstheme="minorHAnsi"/>
            <w:sz w:val="14"/>
            <w:szCs w:val="14"/>
          </w:rPr>
          <w:t>EPBD</w:t>
        </w:r>
        <w:proofErr w:type="spellEnd"/>
        <w:r w:rsidRPr="00121748">
          <w:rPr>
            <w:rStyle w:val="Hyperlink"/>
            <w:rFonts w:asciiTheme="minorHAnsi" w:hAnsiTheme="minorHAnsi" w:cstheme="minorHAnsi"/>
            <w:sz w:val="14"/>
            <w:szCs w:val="14"/>
          </w:rPr>
          <w:t xml:space="preserve"> in Norway - epbd-ca.eu</w:t>
        </w:r>
      </w:hyperlink>
    </w:p>
  </w:footnote>
  <w:footnote w:id="117">
    <w:p w14:paraId="37E69C5F"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3" w:history="1">
        <w:r w:rsidRPr="00121748">
          <w:rPr>
            <w:rStyle w:val="Hyperlink"/>
            <w:rFonts w:asciiTheme="minorHAnsi" w:hAnsiTheme="minorHAnsi" w:cstheme="minorHAnsi"/>
            <w:sz w:val="14"/>
            <w:szCs w:val="14"/>
          </w:rPr>
          <w:t>Japan 2021 - Energy Policy Review (windows.net)</w:t>
        </w:r>
      </w:hyperlink>
    </w:p>
  </w:footnote>
  <w:footnote w:id="118">
    <w:p w14:paraId="2509B65D"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4" w:history="1">
        <w:r w:rsidRPr="00121748">
          <w:rPr>
            <w:rStyle w:val="Hyperlink"/>
            <w:rFonts w:asciiTheme="minorHAnsi" w:hAnsiTheme="minorHAnsi" w:cstheme="minorHAnsi"/>
            <w:sz w:val="14"/>
            <w:szCs w:val="14"/>
          </w:rPr>
          <w:t>EPA_ESsummary_23June06_FINAL.qxp (energystar.gov)</w:t>
        </w:r>
      </w:hyperlink>
    </w:p>
  </w:footnote>
  <w:footnote w:id="119">
    <w:p w14:paraId="00A5DD10"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5" w:history="1">
        <w:r w:rsidRPr="00121748">
          <w:rPr>
            <w:rStyle w:val="Hyperlink"/>
            <w:rFonts w:asciiTheme="minorHAnsi" w:hAnsiTheme="minorHAnsi" w:cstheme="minorHAnsi"/>
            <w:sz w:val="14"/>
            <w:szCs w:val="14"/>
          </w:rPr>
          <w:t>Assessing the Value of Green Buildings (corporatesustainabilitystrategies.com)</w:t>
        </w:r>
      </w:hyperlink>
      <w:r w:rsidRPr="00121748">
        <w:rPr>
          <w:rFonts w:asciiTheme="minorHAnsi" w:hAnsiTheme="minorHAnsi" w:cstheme="minorHAnsi"/>
          <w:sz w:val="14"/>
          <w:szCs w:val="14"/>
        </w:rPr>
        <w:t xml:space="preserve"> </w:t>
      </w:r>
    </w:p>
  </w:footnote>
  <w:footnote w:id="120">
    <w:p w14:paraId="761E6907"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According to </w:t>
      </w:r>
      <w:hyperlink r:id="rId106" w:anchor=":~:text=In%20the%20U.S.%2C%205.9%20million,in%20floor%20space%20since%201979.&amp;text=By%202050%2C%20commercial%20building%20floor,a%2035%25%20increase%20from%202021." w:history="1">
        <w:r w:rsidRPr="00121748">
          <w:rPr>
            <w:rStyle w:val="Hyperlink"/>
            <w:rFonts w:asciiTheme="minorHAnsi" w:hAnsiTheme="minorHAnsi" w:cstheme="minorHAnsi"/>
            <w:sz w:val="14"/>
            <w:szCs w:val="14"/>
          </w:rPr>
          <w:t xml:space="preserve">Commercial Buildings Factsheet | </w:t>
        </w:r>
        <w:proofErr w:type="spellStart"/>
        <w:r w:rsidRPr="00121748">
          <w:rPr>
            <w:rStyle w:val="Hyperlink"/>
            <w:rFonts w:asciiTheme="minorHAnsi" w:hAnsiTheme="minorHAnsi" w:cstheme="minorHAnsi"/>
            <w:sz w:val="14"/>
            <w:szCs w:val="14"/>
          </w:rPr>
          <w:t>Center</w:t>
        </w:r>
        <w:proofErr w:type="spellEnd"/>
        <w:r w:rsidRPr="00121748">
          <w:rPr>
            <w:rStyle w:val="Hyperlink"/>
            <w:rFonts w:asciiTheme="minorHAnsi" w:hAnsiTheme="minorHAnsi" w:cstheme="minorHAnsi"/>
            <w:sz w:val="14"/>
            <w:szCs w:val="14"/>
          </w:rPr>
          <w:t xml:space="preserve"> for Sustainable Systems (umich.edu)</w:t>
        </w:r>
      </w:hyperlink>
      <w:r w:rsidRPr="00121748">
        <w:rPr>
          <w:rFonts w:asciiTheme="minorHAnsi" w:hAnsiTheme="minorHAnsi" w:cstheme="minorHAnsi"/>
          <w:sz w:val="14"/>
          <w:szCs w:val="14"/>
        </w:rPr>
        <w:t xml:space="preserve"> there is 9 billion m2 of commercial building space in the US.</w:t>
      </w:r>
    </w:p>
  </w:footnote>
  <w:footnote w:id="121">
    <w:p w14:paraId="07B036EC"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7" w:history="1">
        <w:r w:rsidRPr="00121748">
          <w:rPr>
            <w:rStyle w:val="Hyperlink"/>
            <w:rFonts w:asciiTheme="minorHAnsi" w:hAnsiTheme="minorHAnsi" w:cstheme="minorHAnsi"/>
            <w:sz w:val="14"/>
            <w:szCs w:val="14"/>
          </w:rPr>
          <w:t>Assessing the Value of Green Buildings (corporatesustainabilitystrategies.com)</w:t>
        </w:r>
      </w:hyperlink>
    </w:p>
  </w:footnote>
  <w:footnote w:id="122">
    <w:p w14:paraId="1B18D322" w14:textId="77777777" w:rsidR="003563A5" w:rsidRPr="00121748" w:rsidRDefault="003563A5" w:rsidP="003563A5">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8" w:history="1">
        <w:r w:rsidRPr="00121748">
          <w:rPr>
            <w:rStyle w:val="Hyperlink"/>
            <w:rFonts w:asciiTheme="minorHAnsi" w:hAnsiTheme="minorHAnsi" w:cstheme="minorHAnsi"/>
            <w:sz w:val="14"/>
            <w:szCs w:val="14"/>
          </w:rPr>
          <w:t>ForRefOnly.pdf (dc.gov)</w:t>
        </w:r>
      </w:hyperlink>
    </w:p>
  </w:footnote>
  <w:footnote w:id="123">
    <w:p w14:paraId="071BD562"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09" w:history="1">
        <w:r w:rsidRPr="00121748">
          <w:rPr>
            <w:rStyle w:val="Hyperlink"/>
            <w:rFonts w:asciiTheme="minorHAnsi" w:hAnsiTheme="minorHAnsi" w:cstheme="minorHAnsi"/>
            <w:sz w:val="14"/>
            <w:szCs w:val="14"/>
          </w:rPr>
          <w:t>California LEED Certified State Buildings</w:t>
        </w:r>
      </w:hyperlink>
    </w:p>
  </w:footnote>
  <w:footnote w:id="124">
    <w:p w14:paraId="51D5BD7C" w14:textId="77777777" w:rsidR="00547CBB" w:rsidRPr="00121748" w:rsidRDefault="00547CBB" w:rsidP="00547CB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Assuming 1M buildings in NY city </w:t>
      </w:r>
      <w:hyperlink r:id="rId110" w:anchor=":~:text=An%20Overview%20of%20the%20Buildings%20in%20NYC&amp;text=According%20to%20one%20estimate%2C%20there,buildings%20within%20the%20city%20limits." w:history="1">
        <w:r w:rsidRPr="00121748">
          <w:rPr>
            <w:rStyle w:val="Hyperlink"/>
            <w:rFonts w:asciiTheme="minorHAnsi" w:hAnsiTheme="minorHAnsi" w:cstheme="minorHAnsi"/>
            <w:sz w:val="14"/>
            <w:szCs w:val="14"/>
          </w:rPr>
          <w:t>How Many Buildings are in New York – One Nine Elms</w:t>
        </w:r>
      </w:hyperlink>
    </w:p>
  </w:footnote>
  <w:footnote w:id="125">
    <w:p w14:paraId="0FD31052" w14:textId="77777777" w:rsidR="00547CBB" w:rsidRPr="000D2AB6" w:rsidRDefault="00547CBB" w:rsidP="00547CBB">
      <w:pPr>
        <w:pStyle w:val="FootnoteText"/>
        <w:rPr>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11" w:history="1">
        <w:r w:rsidRPr="00121748">
          <w:rPr>
            <w:rStyle w:val="Hyperlink"/>
            <w:rFonts w:asciiTheme="minorHAnsi" w:hAnsiTheme="minorHAnsi" w:cstheme="minorHAnsi"/>
            <w:sz w:val="14"/>
            <w:szCs w:val="14"/>
          </w:rPr>
          <w:t>Covered Buildings - Sustainable Buildings (nyc.gov)</w:t>
        </w:r>
      </w:hyperlink>
    </w:p>
  </w:footnote>
  <w:footnote w:id="126">
    <w:p w14:paraId="5AF1A695" w14:textId="46A1682C" w:rsidR="00605096" w:rsidRPr="00121748" w:rsidRDefault="00605096" w:rsidP="00605096">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000D2AB6" w:rsidRPr="00121748">
        <w:rPr>
          <w:rFonts w:asciiTheme="minorHAnsi" w:hAnsiTheme="minorHAnsi" w:cstheme="minorHAnsi"/>
          <w:sz w:val="14"/>
          <w:szCs w:val="14"/>
        </w:rPr>
        <w:t xml:space="preserve"> </w:t>
      </w:r>
      <w:r w:rsidRPr="00121748">
        <w:rPr>
          <w:rFonts w:asciiTheme="minorHAnsi" w:hAnsiTheme="minorHAnsi" w:cstheme="minorHAnsi"/>
          <w:sz w:val="14"/>
          <w:szCs w:val="14"/>
        </w:rPr>
        <w:t xml:space="preserve"> </w:t>
      </w:r>
      <w:hyperlink r:id="rId112" w:history="1">
        <w:r w:rsidRPr="00121748">
          <w:rPr>
            <w:rStyle w:val="Hyperlink"/>
            <w:rFonts w:asciiTheme="minorHAnsi" w:hAnsiTheme="minorHAnsi" w:cstheme="minorHAnsi"/>
            <w:sz w:val="14"/>
            <w:szCs w:val="14"/>
          </w:rPr>
          <w:t>PowerPoint Presentation (lbl.gov)</w:t>
        </w:r>
      </w:hyperlink>
    </w:p>
  </w:footnote>
  <w:footnote w:id="127">
    <w:p w14:paraId="039089FC" w14:textId="3A3C4CC8" w:rsidR="00605096" w:rsidRPr="00121748" w:rsidRDefault="00605096" w:rsidP="00605096">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000D2AB6" w:rsidRPr="00121748">
        <w:rPr>
          <w:rFonts w:asciiTheme="minorHAnsi" w:hAnsiTheme="minorHAnsi" w:cstheme="minorHAnsi"/>
          <w:sz w:val="14"/>
          <w:szCs w:val="14"/>
        </w:rPr>
        <w:t xml:space="preserve"> </w:t>
      </w:r>
      <w:r w:rsidRPr="00121748">
        <w:rPr>
          <w:rFonts w:asciiTheme="minorHAnsi" w:hAnsiTheme="minorHAnsi" w:cstheme="minorHAnsi"/>
          <w:sz w:val="14"/>
          <w:szCs w:val="14"/>
        </w:rPr>
        <w:t xml:space="preserve"> </w:t>
      </w:r>
      <w:hyperlink r:id="rId113" w:history="1">
        <w:r w:rsidRPr="00121748">
          <w:rPr>
            <w:rStyle w:val="Hyperlink"/>
            <w:rFonts w:asciiTheme="minorHAnsi" w:hAnsiTheme="minorHAnsi" w:cstheme="minorHAnsi"/>
            <w:sz w:val="14"/>
            <w:szCs w:val="14"/>
          </w:rPr>
          <w:t>Energy performance certificates in buildings and their impact on transaction prices and rents in selected EU countries (efenergia.com)</w:t>
        </w:r>
      </w:hyperlink>
    </w:p>
  </w:footnote>
  <w:footnote w:id="128">
    <w:p w14:paraId="5B0A3295" w14:textId="77777777" w:rsidR="00605096" w:rsidRPr="00121748" w:rsidRDefault="00605096" w:rsidP="00605096">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14" w:history="1">
        <w:proofErr w:type="spellStart"/>
        <w:r w:rsidRPr="00121748">
          <w:rPr>
            <w:rStyle w:val="Hyperlink"/>
            <w:rFonts w:asciiTheme="minorHAnsi" w:hAnsiTheme="minorHAnsi" w:cstheme="minorHAnsi"/>
            <w:sz w:val="14"/>
            <w:szCs w:val="14"/>
          </w:rPr>
          <w:t>DataTrends</w:t>
        </w:r>
        <w:proofErr w:type="spellEnd"/>
        <w:r w:rsidRPr="00121748">
          <w:rPr>
            <w:rStyle w:val="Hyperlink"/>
            <w:rFonts w:asciiTheme="minorHAnsi" w:hAnsiTheme="minorHAnsi" w:cstheme="minorHAnsi"/>
            <w:sz w:val="14"/>
            <w:szCs w:val="14"/>
          </w:rPr>
          <w:t xml:space="preserve"> Benchmarking and Energy Savings (energystar.gov)</w:t>
        </w:r>
      </w:hyperlink>
    </w:p>
  </w:footnote>
  <w:footnote w:id="129">
    <w:p w14:paraId="32052EE6" w14:textId="74308168" w:rsidR="007C7CE9" w:rsidRDefault="007C7CE9">
      <w:pPr>
        <w:pStyle w:val="FootnoteText"/>
      </w:pPr>
      <w:r w:rsidRPr="007C7CE9">
        <w:rPr>
          <w:rStyle w:val="FootnoteReference"/>
          <w:rFonts w:asciiTheme="minorHAnsi" w:hAnsiTheme="minorHAnsi" w:cstheme="minorHAnsi"/>
          <w:sz w:val="14"/>
          <w:szCs w:val="14"/>
        </w:rPr>
        <w:footnoteRef/>
      </w:r>
      <w:r>
        <w:t xml:space="preserve"> </w:t>
      </w:r>
      <w:r>
        <w:rPr>
          <w:rFonts w:asciiTheme="minorHAnsi" w:hAnsiTheme="minorHAnsi" w:cstheme="minorHAnsi"/>
          <w:sz w:val="14"/>
          <w:szCs w:val="14"/>
        </w:rPr>
        <w:t>Im</w:t>
      </w:r>
      <w:r w:rsidRPr="00957BD2">
        <w:rPr>
          <w:rFonts w:asciiTheme="minorHAnsi" w:hAnsiTheme="minorHAnsi" w:cstheme="minorHAnsi"/>
          <w:sz w:val="14"/>
          <w:szCs w:val="14"/>
        </w:rPr>
        <w:t xml:space="preserve">age sourced </w:t>
      </w:r>
      <w:proofErr w:type="spellStart"/>
      <w:r w:rsidRPr="00957BD2">
        <w:rPr>
          <w:rFonts w:asciiTheme="minorHAnsi" w:hAnsiTheme="minorHAnsi" w:cstheme="minorHAnsi"/>
          <w:sz w:val="14"/>
          <w:szCs w:val="14"/>
        </w:rPr>
        <w:t>from127F</w:t>
      </w:r>
      <w:proofErr w:type="spellEnd"/>
      <w:r w:rsidRPr="00957BD2">
        <w:rPr>
          <w:rFonts w:asciiTheme="minorHAnsi" w:hAnsiTheme="minorHAnsi" w:cstheme="minorHAnsi"/>
          <w:sz w:val="14"/>
          <w:szCs w:val="14"/>
        </w:rPr>
        <w:t xml:space="preserve"> </w:t>
      </w:r>
      <w:hyperlink r:id="rId115" w:history="1">
        <w:proofErr w:type="spellStart"/>
        <w:r w:rsidRPr="00121748">
          <w:rPr>
            <w:rStyle w:val="Hyperlink"/>
            <w:rFonts w:asciiTheme="minorHAnsi" w:hAnsiTheme="minorHAnsi" w:cstheme="minorHAnsi"/>
            <w:sz w:val="14"/>
            <w:szCs w:val="14"/>
          </w:rPr>
          <w:t>DataTrends</w:t>
        </w:r>
        <w:proofErr w:type="spellEnd"/>
        <w:r w:rsidRPr="00121748">
          <w:rPr>
            <w:rStyle w:val="Hyperlink"/>
            <w:rFonts w:asciiTheme="minorHAnsi" w:hAnsiTheme="minorHAnsi" w:cstheme="minorHAnsi"/>
            <w:sz w:val="14"/>
            <w:szCs w:val="14"/>
          </w:rPr>
          <w:t xml:space="preserve"> Benchmarking and Energy Savings (energystar.gov)</w:t>
        </w:r>
      </w:hyperlink>
    </w:p>
  </w:footnote>
  <w:footnote w:id="130">
    <w:p w14:paraId="7EFFFD5C" w14:textId="54675142" w:rsidR="00605096" w:rsidRPr="00121748" w:rsidRDefault="00605096" w:rsidP="00605096">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000D2AB6" w:rsidRPr="00121748">
        <w:rPr>
          <w:rFonts w:asciiTheme="minorHAnsi" w:hAnsiTheme="minorHAnsi" w:cstheme="minorHAnsi"/>
          <w:sz w:val="14"/>
          <w:szCs w:val="14"/>
        </w:rPr>
        <w:t xml:space="preserve"> </w:t>
      </w:r>
      <w:r w:rsidRPr="00121748">
        <w:rPr>
          <w:rFonts w:asciiTheme="minorHAnsi" w:hAnsiTheme="minorHAnsi" w:cstheme="minorHAnsi"/>
          <w:sz w:val="14"/>
          <w:szCs w:val="14"/>
        </w:rPr>
        <w:t xml:space="preserve"> This is a financing mechanism that enables private lenders to finance building upgrades and new construction of high-performance buildings and then receive their loan repayment through the city’s property assessment. </w:t>
      </w:r>
      <w:hyperlink r:id="rId116" w:anchor=":~:text=What%20is%20PACE%3F,through%20the%20city%27s%20property%20assessment." w:history="1">
        <w:r w:rsidRPr="00121748">
          <w:rPr>
            <w:rStyle w:val="Hyperlink"/>
            <w:rFonts w:asciiTheme="minorHAnsi" w:hAnsiTheme="minorHAnsi" w:cstheme="minorHAnsi"/>
            <w:sz w:val="14"/>
            <w:szCs w:val="14"/>
          </w:rPr>
          <w:t>DC PACE – DC Green Bank</w:t>
        </w:r>
      </w:hyperlink>
    </w:p>
  </w:footnote>
  <w:footnote w:id="131">
    <w:p w14:paraId="3DA79E2B" w14:textId="497D112B" w:rsidR="00605096" w:rsidRPr="000D2AB6" w:rsidRDefault="00605096" w:rsidP="00605096">
      <w:pPr>
        <w:pStyle w:val="FootnoteText"/>
        <w:rPr>
          <w:sz w:val="14"/>
          <w:szCs w:val="14"/>
        </w:rPr>
      </w:pPr>
      <w:r w:rsidRPr="000D2AB6">
        <w:rPr>
          <w:rStyle w:val="FootnoteReference"/>
          <w:sz w:val="14"/>
          <w:szCs w:val="14"/>
        </w:rPr>
        <w:footnoteRef/>
      </w:r>
      <w:r w:rsidR="000D2AB6" w:rsidRPr="000D2AB6">
        <w:rPr>
          <w:sz w:val="14"/>
          <w:szCs w:val="14"/>
        </w:rPr>
        <w:t xml:space="preserve"> </w:t>
      </w:r>
      <w:r w:rsidRPr="000D2AB6">
        <w:rPr>
          <w:sz w:val="14"/>
          <w:szCs w:val="14"/>
        </w:rPr>
        <w:t xml:space="preserve"> </w:t>
      </w:r>
      <w:hyperlink r:id="rId117" w:history="1">
        <w:r w:rsidRPr="000D2AB6">
          <w:rPr>
            <w:rStyle w:val="Hyperlink"/>
            <w:sz w:val="14"/>
            <w:szCs w:val="14"/>
          </w:rPr>
          <w:t>ESOS FAQs | Frequently Asked Questions | Phase 3 - Energy Advice Hub</w:t>
        </w:r>
      </w:hyperlink>
    </w:p>
  </w:footnote>
  <w:footnote w:id="132">
    <w:p w14:paraId="0694A298" w14:textId="4C6D5062" w:rsidR="00F57BDC" w:rsidRPr="00121748" w:rsidRDefault="00F57BDC">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r w:rsidR="00D825F0" w:rsidRPr="00121748">
        <w:rPr>
          <w:rFonts w:asciiTheme="minorHAnsi" w:hAnsiTheme="minorHAnsi" w:cstheme="minorHAnsi"/>
          <w:sz w:val="14"/>
          <w:szCs w:val="14"/>
        </w:rPr>
        <w:t xml:space="preserve">The example of Commonwealth Bank’s Property Sustainability Upgrade Loan with zero margin and zero fees (conditional), eligible businesses will be able to increase their Commercial Property Investment Loan by up to 20 per cent to complete property sustainability upgrades that achieve a NABERS rating improvement or reduce emissions. See </w:t>
      </w:r>
      <w:hyperlink r:id="rId118" w:history="1">
        <w:r w:rsidR="00D825F0" w:rsidRPr="00121748">
          <w:rPr>
            <w:rStyle w:val="Hyperlink"/>
            <w:rFonts w:asciiTheme="minorHAnsi" w:hAnsiTheme="minorHAnsi" w:cstheme="minorHAnsi"/>
            <w:sz w:val="14"/>
            <w:szCs w:val="14"/>
          </w:rPr>
          <w:t>Commercial Property Loans go green (commbank.com.au)</w:t>
        </w:r>
      </w:hyperlink>
    </w:p>
  </w:footnote>
  <w:footnote w:id="133">
    <w:p w14:paraId="0BB31733" w14:textId="6E3ECDE7" w:rsidR="00F57BDC" w:rsidRPr="00121748" w:rsidRDefault="00F57BDC">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UN’s New Net-Zero Banking Alliance: </w:t>
      </w:r>
      <w:hyperlink r:id="rId119" w:history="1">
        <w:r w:rsidRPr="00121748">
          <w:rPr>
            <w:rStyle w:val="Hyperlink"/>
            <w:rFonts w:asciiTheme="minorHAnsi" w:hAnsiTheme="minorHAnsi" w:cstheme="minorHAnsi"/>
            <w:sz w:val="14"/>
            <w:szCs w:val="14"/>
          </w:rPr>
          <w:t>GFANZ-Launch-press-release.pdf (unepfi.org)</w:t>
        </w:r>
      </w:hyperlink>
    </w:p>
  </w:footnote>
  <w:footnote w:id="134">
    <w:p w14:paraId="12C052F7" w14:textId="71279454" w:rsidR="00D825F0" w:rsidRPr="00121748" w:rsidRDefault="00D825F0">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20" w:history="1">
        <w:r w:rsidR="00891D0C" w:rsidRPr="007C773C">
          <w:rPr>
            <w:rStyle w:val="Hyperlink"/>
            <w:rFonts w:asciiTheme="minorHAnsi" w:hAnsiTheme="minorHAnsi" w:cstheme="minorHAnsi"/>
            <w:sz w:val="14"/>
            <w:szCs w:val="14"/>
          </w:rPr>
          <w:t>Barclays Green Home Mortgages</w:t>
        </w:r>
      </w:hyperlink>
    </w:p>
  </w:footnote>
  <w:footnote w:id="135">
    <w:p w14:paraId="40E3993E" w14:textId="4238A87D" w:rsidR="00AB1C1D" w:rsidRPr="00121748" w:rsidRDefault="00AB1C1D">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21" w:history="1">
        <w:r w:rsidR="00A52035" w:rsidRPr="00A52035">
          <w:rPr>
            <w:rStyle w:val="Hyperlink"/>
            <w:rFonts w:asciiTheme="minorHAnsi" w:hAnsiTheme="minorHAnsi" w:cstheme="minorHAnsi"/>
            <w:sz w:val="14"/>
            <w:szCs w:val="14"/>
          </w:rPr>
          <w:t>Commonwealth bank – Commercial Property Loans go Green</w:t>
        </w:r>
      </w:hyperlink>
    </w:p>
  </w:footnote>
  <w:footnote w:id="136">
    <w:p w14:paraId="5B377827" w14:textId="2ABCBAE3" w:rsidR="00AB1C1D" w:rsidRPr="00121748" w:rsidRDefault="00AB1C1D">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22" w:history="1">
        <w:r w:rsidR="00943745" w:rsidRPr="00121748">
          <w:rPr>
            <w:rStyle w:val="Hyperlink"/>
            <w:rFonts w:asciiTheme="minorHAnsi" w:hAnsiTheme="minorHAnsi" w:cstheme="minorHAnsi"/>
            <w:sz w:val="14"/>
            <w:szCs w:val="14"/>
          </w:rPr>
          <w:t>CEB approves loan increase to Netherlands National Heating Fund to achieve energy efficiency | CEB (coebank.org)</w:t>
        </w:r>
      </w:hyperlink>
    </w:p>
  </w:footnote>
  <w:footnote w:id="137">
    <w:p w14:paraId="12421202" w14:textId="293B2F04" w:rsidR="000E723B" w:rsidRPr="00121748" w:rsidRDefault="000E723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007D392A">
        <w:rPr>
          <w:rFonts w:asciiTheme="minorHAnsi" w:hAnsiTheme="minorHAnsi" w:cstheme="minorHAnsi"/>
          <w:sz w:val="14"/>
          <w:szCs w:val="14"/>
        </w:rPr>
        <w:t xml:space="preserve"> </w:t>
      </w:r>
      <w:hyperlink r:id="rId123" w:history="1">
        <w:r w:rsidR="007D392A" w:rsidRPr="00A64664">
          <w:rPr>
            <w:rStyle w:val="Hyperlink"/>
            <w:rFonts w:asciiTheme="minorHAnsi" w:hAnsiTheme="minorHAnsi" w:cstheme="minorHAnsi"/>
            <w:sz w:val="14"/>
            <w:szCs w:val="14"/>
          </w:rPr>
          <w:t>Danske Bank Group (2022) – Green Finance Framework</w:t>
        </w:r>
      </w:hyperlink>
    </w:p>
  </w:footnote>
  <w:footnote w:id="138">
    <w:p w14:paraId="235A2C34" w14:textId="7D896606" w:rsidR="00C57592" w:rsidRPr="00121748" w:rsidRDefault="00C57592">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24" w:history="1">
        <w:r w:rsidRPr="00121748">
          <w:rPr>
            <w:rStyle w:val="Hyperlink"/>
            <w:rFonts w:asciiTheme="minorHAnsi" w:hAnsiTheme="minorHAnsi" w:cstheme="minorHAnsi"/>
            <w:sz w:val="14"/>
            <w:szCs w:val="14"/>
          </w:rPr>
          <w:t>EU Buildings Renovations: get ready for minimum energy performance standards (</w:t>
        </w:r>
        <w:proofErr w:type="spellStart"/>
        <w:r w:rsidRPr="00121748">
          <w:rPr>
            <w:rStyle w:val="Hyperlink"/>
            <w:rFonts w:asciiTheme="minorHAnsi" w:hAnsiTheme="minorHAnsi" w:cstheme="minorHAnsi"/>
            <w:sz w:val="14"/>
            <w:szCs w:val="14"/>
          </w:rPr>
          <w:t>MEPS</w:t>
        </w:r>
        <w:proofErr w:type="spellEnd"/>
        <w:r w:rsidRPr="00121748">
          <w:rPr>
            <w:rStyle w:val="Hyperlink"/>
            <w:rFonts w:asciiTheme="minorHAnsi" w:hAnsiTheme="minorHAnsi" w:cstheme="minorHAnsi"/>
            <w:sz w:val="14"/>
            <w:szCs w:val="14"/>
          </w:rPr>
          <w:t>) - Energy Post</w:t>
        </w:r>
      </w:hyperlink>
    </w:p>
  </w:footnote>
  <w:footnote w:id="139">
    <w:p w14:paraId="7833556E" w14:textId="318987E1" w:rsidR="008226B6" w:rsidRPr="00121748" w:rsidRDefault="008226B6">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00B73FAB">
        <w:rPr>
          <w:rFonts w:asciiTheme="minorHAnsi" w:hAnsiTheme="minorHAnsi" w:cstheme="minorHAnsi"/>
          <w:sz w:val="14"/>
          <w:szCs w:val="14"/>
        </w:rPr>
        <w:t xml:space="preserve"> </w:t>
      </w:r>
      <w:hyperlink r:id="rId125" w:history="1">
        <w:r w:rsidR="00B73FAB" w:rsidRPr="00B73FAB">
          <w:rPr>
            <w:rStyle w:val="Hyperlink"/>
            <w:rFonts w:asciiTheme="minorHAnsi" w:hAnsiTheme="minorHAnsi" w:cstheme="minorHAnsi"/>
            <w:sz w:val="14"/>
            <w:szCs w:val="14"/>
          </w:rPr>
          <w:t>Factsheet – Overcoming Split incentives.</w:t>
        </w:r>
      </w:hyperlink>
    </w:p>
  </w:footnote>
  <w:footnote w:id="140">
    <w:p w14:paraId="48090E6C" w14:textId="555421B9" w:rsidR="008226B6" w:rsidRPr="00605096" w:rsidRDefault="008226B6">
      <w:pPr>
        <w:pStyle w:val="FootnoteText"/>
        <w:rPr>
          <w:sz w:val="14"/>
          <w:szCs w:val="14"/>
        </w:rPr>
      </w:pPr>
      <w:r w:rsidRPr="00605096">
        <w:rPr>
          <w:rStyle w:val="FootnoteReference"/>
          <w:sz w:val="14"/>
          <w:szCs w:val="14"/>
        </w:rPr>
        <w:footnoteRef/>
      </w:r>
      <w:r w:rsidRPr="00605096">
        <w:rPr>
          <w:sz w:val="14"/>
          <w:szCs w:val="14"/>
        </w:rPr>
        <w:t xml:space="preserve"> </w:t>
      </w:r>
      <w:hyperlink r:id="rId126" w:history="1">
        <w:r w:rsidR="00B13603" w:rsidRPr="00517DF8">
          <w:rPr>
            <w:rStyle w:val="Hyperlink"/>
            <w:sz w:val="14"/>
            <w:szCs w:val="14"/>
          </w:rPr>
          <w:t>Cheaper power bills, More Jobs, Less CO</w:t>
        </w:r>
        <w:r w:rsidR="00B13603" w:rsidRPr="00517DF8">
          <w:rPr>
            <w:rStyle w:val="Hyperlink"/>
            <w:sz w:val="14"/>
            <w:szCs w:val="14"/>
            <w:vertAlign w:val="subscript"/>
          </w:rPr>
          <w:t>2</w:t>
        </w:r>
        <w:r w:rsidR="00517DF8" w:rsidRPr="00517DF8">
          <w:rPr>
            <w:rStyle w:val="Hyperlink"/>
            <w:sz w:val="14"/>
            <w:szCs w:val="14"/>
          </w:rPr>
          <w:t>: How on-bill financing done right can be a quick win for British Columbi</w:t>
        </w:r>
      </w:hyperlink>
      <w:r w:rsidR="00517DF8">
        <w:rPr>
          <w:rStyle w:val="Hyperlink"/>
          <w:sz w:val="14"/>
          <w:szCs w:val="14"/>
        </w:rPr>
        <w:t>a</w:t>
      </w:r>
    </w:p>
  </w:footnote>
  <w:footnote w:id="141">
    <w:p w14:paraId="3D7655CC" w14:textId="0090381D" w:rsidR="00DB402C" w:rsidRPr="00605096" w:rsidRDefault="00DB402C">
      <w:pPr>
        <w:pStyle w:val="FootnoteText"/>
        <w:rPr>
          <w:sz w:val="14"/>
          <w:szCs w:val="14"/>
        </w:rPr>
      </w:pPr>
      <w:r w:rsidRPr="00605096">
        <w:rPr>
          <w:rStyle w:val="FootnoteReference"/>
          <w:sz w:val="14"/>
          <w:szCs w:val="14"/>
        </w:rPr>
        <w:footnoteRef/>
      </w:r>
      <w:r w:rsidR="00945F22">
        <w:rPr>
          <w:sz w:val="14"/>
          <w:szCs w:val="14"/>
        </w:rPr>
        <w:t xml:space="preserve"> </w:t>
      </w:r>
      <w:hyperlink r:id="rId127" w:history="1">
        <w:r w:rsidR="00945F22" w:rsidRPr="005A7F5C">
          <w:rPr>
            <w:rStyle w:val="Hyperlink"/>
            <w:sz w:val="14"/>
            <w:szCs w:val="14"/>
          </w:rPr>
          <w:t>On-Bill</w:t>
        </w:r>
        <w:r w:rsidR="00E05494" w:rsidRPr="005A7F5C">
          <w:rPr>
            <w:rStyle w:val="Hyperlink"/>
            <w:sz w:val="14"/>
            <w:szCs w:val="14"/>
          </w:rPr>
          <w:t xml:space="preserve"> Financing Programs to support Low-Carbon Energy</w:t>
        </w:r>
        <w:r w:rsidR="005A7F5C" w:rsidRPr="005A7F5C">
          <w:rPr>
            <w:rStyle w:val="Hyperlink"/>
            <w:sz w:val="14"/>
            <w:szCs w:val="14"/>
          </w:rPr>
          <w:t xml:space="preserve"> Technologies: An Agent-Oriented Assessment</w:t>
        </w:r>
      </w:hyperlink>
    </w:p>
  </w:footnote>
  <w:footnote w:id="142">
    <w:p w14:paraId="35419790" w14:textId="701B6AB8" w:rsidR="001D265B" w:rsidRPr="00121748" w:rsidRDefault="001D265B">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28" w:history="1">
        <w:r w:rsidRPr="00121748">
          <w:rPr>
            <w:rStyle w:val="Hyperlink"/>
            <w:rFonts w:asciiTheme="minorHAnsi" w:hAnsiTheme="minorHAnsi" w:cstheme="minorHAnsi"/>
            <w:sz w:val="14"/>
            <w:szCs w:val="14"/>
          </w:rPr>
          <w:t>Energy Performance of Buildings Directive review: how will banks be affected? | Article | ING Think</w:t>
        </w:r>
      </w:hyperlink>
    </w:p>
  </w:footnote>
  <w:footnote w:id="143">
    <w:p w14:paraId="07C3016F" w14:textId="6FAE1CA2" w:rsidR="00007D64" w:rsidRPr="00121748" w:rsidRDefault="00007D64">
      <w:pPr>
        <w:pStyle w:val="FootnoteText"/>
        <w:rPr>
          <w:rFonts w:asciiTheme="minorHAnsi" w:hAnsiTheme="minorHAnsi" w:cstheme="minorHAnsi"/>
          <w:sz w:val="14"/>
          <w:szCs w:val="14"/>
        </w:rPr>
      </w:pPr>
      <w:r w:rsidRPr="00121748">
        <w:rPr>
          <w:rStyle w:val="FootnoteReference"/>
          <w:rFonts w:asciiTheme="minorHAnsi" w:hAnsiTheme="minorHAnsi" w:cstheme="minorHAnsi"/>
          <w:sz w:val="14"/>
          <w:szCs w:val="14"/>
        </w:rPr>
        <w:footnoteRef/>
      </w:r>
      <w:r w:rsidRPr="00121748">
        <w:rPr>
          <w:rFonts w:asciiTheme="minorHAnsi" w:hAnsiTheme="minorHAnsi" w:cstheme="minorHAnsi"/>
          <w:sz w:val="14"/>
          <w:szCs w:val="14"/>
        </w:rPr>
        <w:t xml:space="preserve"> </w:t>
      </w:r>
      <w:hyperlink r:id="rId129" w:history="1">
        <w:r w:rsidRPr="00121748">
          <w:rPr>
            <w:rStyle w:val="Hyperlink"/>
            <w:rFonts w:asciiTheme="minorHAnsi" w:hAnsiTheme="minorHAnsi" w:cstheme="minorHAnsi"/>
            <w:sz w:val="14"/>
            <w:szCs w:val="14"/>
          </w:rPr>
          <w:t>Cost-Benefit Study - Building Energy Performance Standard - BEAM Helpdesk (beam-portal.org)</w:t>
        </w:r>
      </w:hyperlink>
    </w:p>
  </w:footnote>
  <w:footnote w:id="144">
    <w:p w14:paraId="2DBDF73A" w14:textId="4B192182" w:rsidR="001D265B" w:rsidRPr="00121748" w:rsidRDefault="001D265B">
      <w:pPr>
        <w:pStyle w:val="FootnoteText"/>
        <w:rPr>
          <w:sz w:val="14"/>
          <w:szCs w:val="14"/>
        </w:rPr>
      </w:pPr>
      <w:r w:rsidRPr="00605096">
        <w:rPr>
          <w:rStyle w:val="FootnoteReference"/>
          <w:sz w:val="14"/>
          <w:szCs w:val="14"/>
        </w:rPr>
        <w:footnoteRef/>
      </w:r>
      <w:r w:rsidR="00DE6DDE">
        <w:t xml:space="preserve"> </w:t>
      </w:r>
      <w:hyperlink r:id="rId130" w:history="1">
        <w:proofErr w:type="spellStart"/>
        <w:r w:rsidR="00DE6DDE" w:rsidRPr="00DE6DDE">
          <w:rPr>
            <w:rStyle w:val="Hyperlink"/>
            <w:rFonts w:asciiTheme="minorHAnsi" w:hAnsiTheme="minorHAnsi" w:cstheme="minorHAnsi"/>
            <w:sz w:val="14"/>
            <w:szCs w:val="14"/>
          </w:rPr>
          <w:t>Verplicht</w:t>
        </w:r>
        <w:proofErr w:type="spellEnd"/>
        <w:r w:rsidR="00DE6DDE" w:rsidRPr="00DE6DDE">
          <w:rPr>
            <w:rStyle w:val="Hyperlink"/>
            <w:rFonts w:asciiTheme="minorHAnsi" w:hAnsiTheme="minorHAnsi" w:cstheme="minorHAnsi"/>
            <w:sz w:val="14"/>
            <w:szCs w:val="14"/>
          </w:rPr>
          <w:t xml:space="preserve"> </w:t>
        </w:r>
        <w:proofErr w:type="spellStart"/>
        <w:r w:rsidR="00DE6DDE" w:rsidRPr="00DE6DDE">
          <w:rPr>
            <w:rStyle w:val="Hyperlink"/>
            <w:rFonts w:asciiTheme="minorHAnsi" w:hAnsiTheme="minorHAnsi" w:cstheme="minorHAnsi"/>
            <w:sz w:val="14"/>
            <w:szCs w:val="14"/>
          </w:rPr>
          <w:t>energielabel</w:t>
        </w:r>
        <w:proofErr w:type="spellEnd"/>
        <w:r w:rsidR="00DE6DDE" w:rsidRPr="00DE6DDE">
          <w:rPr>
            <w:rStyle w:val="Hyperlink"/>
            <w:rFonts w:asciiTheme="minorHAnsi" w:hAnsiTheme="minorHAnsi" w:cstheme="minorHAnsi"/>
            <w:sz w:val="14"/>
            <w:szCs w:val="14"/>
          </w:rPr>
          <w:t xml:space="preserve"> </w:t>
        </w:r>
        <w:proofErr w:type="spellStart"/>
        <w:r w:rsidR="00DE6DDE" w:rsidRPr="00DE6DDE">
          <w:rPr>
            <w:rStyle w:val="Hyperlink"/>
            <w:rFonts w:asciiTheme="minorHAnsi" w:hAnsiTheme="minorHAnsi" w:cstheme="minorHAnsi"/>
            <w:sz w:val="14"/>
            <w:szCs w:val="14"/>
          </w:rPr>
          <w:t>voor</w:t>
        </w:r>
        <w:proofErr w:type="spellEnd"/>
        <w:r w:rsidR="00DE6DDE" w:rsidRPr="00DE6DDE">
          <w:rPr>
            <w:rStyle w:val="Hyperlink"/>
            <w:rFonts w:asciiTheme="minorHAnsi" w:hAnsiTheme="minorHAnsi" w:cstheme="minorHAnsi"/>
            <w:sz w:val="14"/>
            <w:szCs w:val="14"/>
          </w:rPr>
          <w:t xml:space="preserve"> </w:t>
        </w:r>
        <w:proofErr w:type="spellStart"/>
        <w:r w:rsidR="00DE6DDE" w:rsidRPr="00DE6DDE">
          <w:rPr>
            <w:rStyle w:val="Hyperlink"/>
            <w:rFonts w:asciiTheme="minorHAnsi" w:hAnsiTheme="minorHAnsi" w:cstheme="minorHAnsi"/>
            <w:sz w:val="14"/>
            <w:szCs w:val="14"/>
          </w:rPr>
          <w:t>Kantoren</w:t>
        </w:r>
        <w:proofErr w:type="spellEnd"/>
      </w:hyperlink>
      <w:r w:rsidR="00E912DE" w:rsidRPr="00605096">
        <w:rPr>
          <w:sz w:val="14"/>
          <w:szCs w:val="14"/>
        </w:rPr>
        <w:t xml:space="preserve"> quoted in </w:t>
      </w:r>
      <w:hyperlink r:id="rId131" w:history="1">
        <w:r w:rsidR="00E912DE" w:rsidRPr="00605096">
          <w:rPr>
            <w:rStyle w:val="Hyperlink"/>
            <w:sz w:val="14"/>
            <w:szCs w:val="14"/>
          </w:rPr>
          <w:t>Case studies: Minimum energy performance standards for European buildings (raponline.org)</w:t>
        </w:r>
      </w:hyperlink>
    </w:p>
  </w:footnote>
  <w:footnote w:id="145">
    <w:p w14:paraId="2C73DE7C" w14:textId="64B5588A" w:rsidR="00E912DE" w:rsidRPr="00605096" w:rsidRDefault="00E912DE">
      <w:pPr>
        <w:pStyle w:val="FootnoteText"/>
        <w:rPr>
          <w:sz w:val="14"/>
          <w:szCs w:val="14"/>
        </w:rPr>
      </w:pPr>
      <w:r w:rsidRPr="00605096">
        <w:rPr>
          <w:rStyle w:val="FootnoteReference"/>
          <w:sz w:val="14"/>
          <w:szCs w:val="14"/>
        </w:rPr>
        <w:footnoteRef/>
      </w:r>
      <w:r w:rsidRPr="00605096">
        <w:rPr>
          <w:sz w:val="14"/>
          <w:szCs w:val="14"/>
        </w:rPr>
        <w:t xml:space="preserve"> </w:t>
      </w:r>
      <w:hyperlink r:id="rId132" w:history="1">
        <w:r w:rsidRPr="00605096">
          <w:rPr>
            <w:rStyle w:val="Hyperlink"/>
            <w:sz w:val="14"/>
            <w:szCs w:val="14"/>
          </w:rPr>
          <w:t>The split incentives energy efficiency problem: Evidence of underinvestment by landlords - ScienceDirect</w:t>
        </w:r>
      </w:hyperlink>
    </w:p>
  </w:footnote>
  <w:footnote w:id="146">
    <w:p w14:paraId="31930C98" w14:textId="43170EE0" w:rsidR="00E912DE" w:rsidRPr="0067599B" w:rsidRDefault="00E912DE">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33" w:history="1">
        <w:r w:rsidR="00531868" w:rsidRPr="0067599B">
          <w:rPr>
            <w:rStyle w:val="Hyperlink"/>
            <w:rFonts w:asciiTheme="minorHAnsi" w:hAnsiTheme="minorHAnsi" w:cstheme="minorHAnsi"/>
            <w:sz w:val="14"/>
            <w:szCs w:val="14"/>
          </w:rPr>
          <w:t>Energy regulations in France: news and implications - Longevity Partners (longevity-partners.com)</w:t>
        </w:r>
      </w:hyperlink>
      <w:r w:rsidR="00531868" w:rsidRPr="0067599B">
        <w:rPr>
          <w:rFonts w:asciiTheme="minorHAnsi" w:hAnsiTheme="minorHAnsi" w:cstheme="minorHAnsi"/>
          <w:sz w:val="14"/>
          <w:szCs w:val="14"/>
        </w:rPr>
        <w:t xml:space="preserve">; </w:t>
      </w:r>
      <w:hyperlink r:id="rId134" w:history="1">
        <w:proofErr w:type="spellStart"/>
        <w:r w:rsidR="00531868" w:rsidRPr="0067599B">
          <w:rPr>
            <w:rStyle w:val="Hyperlink"/>
            <w:rFonts w:asciiTheme="minorHAnsi" w:hAnsiTheme="minorHAnsi" w:cstheme="minorHAnsi"/>
            <w:sz w:val="14"/>
            <w:szCs w:val="14"/>
          </w:rPr>
          <w:t>Décret</w:t>
        </w:r>
        <w:proofErr w:type="spellEnd"/>
        <w:r w:rsidR="00531868" w:rsidRPr="0067599B">
          <w:rPr>
            <w:rStyle w:val="Hyperlink"/>
            <w:rFonts w:asciiTheme="minorHAnsi" w:hAnsiTheme="minorHAnsi" w:cstheme="minorHAnsi"/>
            <w:sz w:val="14"/>
            <w:szCs w:val="14"/>
          </w:rPr>
          <w:t xml:space="preserve"> </w:t>
        </w:r>
        <w:proofErr w:type="spellStart"/>
        <w:r w:rsidR="00531868" w:rsidRPr="0067599B">
          <w:rPr>
            <w:rStyle w:val="Hyperlink"/>
            <w:rFonts w:asciiTheme="minorHAnsi" w:hAnsiTheme="minorHAnsi" w:cstheme="minorHAnsi"/>
            <w:sz w:val="14"/>
            <w:szCs w:val="14"/>
          </w:rPr>
          <w:t>Tertiaire</w:t>
        </w:r>
        <w:proofErr w:type="spellEnd"/>
        <w:r w:rsidR="00531868" w:rsidRPr="0067599B">
          <w:rPr>
            <w:rStyle w:val="Hyperlink"/>
            <w:rFonts w:asciiTheme="minorHAnsi" w:hAnsiTheme="minorHAnsi" w:cstheme="minorHAnsi"/>
            <w:sz w:val="14"/>
            <w:szCs w:val="14"/>
          </w:rPr>
          <w:t>: One Year For French Building Owners to Comply | Schneider Electric (se.com)</w:t>
        </w:r>
      </w:hyperlink>
    </w:p>
  </w:footnote>
  <w:footnote w:id="147">
    <w:p w14:paraId="3962D670" w14:textId="6F7E2DBC" w:rsidR="00531868" w:rsidRPr="0067599B" w:rsidRDefault="00531868">
      <w:pPr>
        <w:pStyle w:val="FootnoteText"/>
        <w:rPr>
          <w:rFonts w:asciiTheme="minorHAnsi" w:hAnsiTheme="minorHAnsi" w:cstheme="minorHAnsi"/>
          <w:sz w:val="14"/>
          <w:szCs w:val="14"/>
        </w:rPr>
      </w:pPr>
      <w:r w:rsidRPr="0067599B">
        <w:rPr>
          <w:rStyle w:val="FootnoteReference"/>
          <w:rFonts w:asciiTheme="minorHAnsi" w:hAnsiTheme="minorHAnsi" w:cstheme="minorHAnsi"/>
          <w:sz w:val="14"/>
          <w:szCs w:val="14"/>
        </w:rPr>
        <w:footnoteRef/>
      </w:r>
      <w:r w:rsidRPr="0067599B">
        <w:rPr>
          <w:rFonts w:asciiTheme="minorHAnsi" w:hAnsiTheme="minorHAnsi" w:cstheme="minorHAnsi"/>
          <w:sz w:val="14"/>
          <w:szCs w:val="14"/>
        </w:rPr>
        <w:t xml:space="preserve"> </w:t>
      </w:r>
      <w:hyperlink r:id="rId135" w:history="1">
        <w:r w:rsidRPr="0067599B">
          <w:rPr>
            <w:rStyle w:val="Hyperlink"/>
            <w:rFonts w:asciiTheme="minorHAnsi" w:hAnsiTheme="minorHAnsi" w:cstheme="minorHAnsi"/>
            <w:sz w:val="14"/>
            <w:szCs w:val="14"/>
          </w:rPr>
          <w:t>Policy options for the split incentive: Increasing energy efficiency for low-income renters - PMC (nih.gov)</w:t>
        </w:r>
      </w:hyperlink>
    </w:p>
  </w:footnote>
  <w:footnote w:id="148">
    <w:p w14:paraId="3F23CC81" w14:textId="3451C745" w:rsidR="00F11093" w:rsidRPr="003E0E61" w:rsidRDefault="00F11093" w:rsidP="003E0E61">
      <w:pPr>
        <w:tabs>
          <w:tab w:val="left" w:pos="3840"/>
        </w:tabs>
        <w:rPr>
          <w:rFonts w:cstheme="minorHAnsi"/>
          <w:sz w:val="14"/>
          <w:szCs w:val="14"/>
          <w:shd w:val="clear" w:color="auto" w:fill="FFFFFF"/>
        </w:rPr>
      </w:pPr>
      <w:r w:rsidRPr="00837B5B">
        <w:rPr>
          <w:rStyle w:val="FootnoteReference"/>
          <w:rFonts w:asciiTheme="minorHAnsi" w:hAnsiTheme="minorHAnsi" w:cstheme="minorHAnsi"/>
          <w:sz w:val="14"/>
          <w:szCs w:val="14"/>
        </w:rPr>
        <w:footnoteRef/>
      </w:r>
      <w:r w:rsidRPr="00837B5B">
        <w:rPr>
          <w:rFonts w:asciiTheme="minorHAnsi" w:hAnsiTheme="minorHAnsi" w:cstheme="minorHAnsi"/>
          <w:sz w:val="14"/>
          <w:szCs w:val="14"/>
        </w:rPr>
        <w:t xml:space="preserve"> </w:t>
      </w:r>
      <w:hyperlink r:id="rId136" w:history="1">
        <w:proofErr w:type="spellStart"/>
        <w:r w:rsidR="003E0E61" w:rsidRPr="00F4554C">
          <w:rPr>
            <w:rStyle w:val="Hyperlink"/>
            <w:rFonts w:asciiTheme="minorHAnsi" w:hAnsiTheme="minorHAnsi" w:cstheme="minorHAnsi"/>
            <w:sz w:val="14"/>
            <w:szCs w:val="14"/>
          </w:rPr>
          <w:t>JRC</w:t>
        </w:r>
        <w:proofErr w:type="spellEnd"/>
        <w:r w:rsidR="003E0E61" w:rsidRPr="00F4554C">
          <w:rPr>
            <w:rStyle w:val="Hyperlink"/>
            <w:rFonts w:asciiTheme="minorHAnsi" w:hAnsiTheme="minorHAnsi" w:cstheme="minorHAnsi"/>
            <w:sz w:val="14"/>
            <w:szCs w:val="14"/>
          </w:rPr>
          <w:t xml:space="preserve"> Technical Reports – Overcoming the split incentive barrier in the building sector.</w:t>
        </w:r>
      </w:hyperlink>
    </w:p>
  </w:footnote>
  <w:footnote w:id="149">
    <w:p w14:paraId="16280CC0" w14:textId="589928D9" w:rsidR="00503D61" w:rsidRPr="00837B5B" w:rsidRDefault="00503D61">
      <w:pPr>
        <w:pStyle w:val="FootnoteText"/>
        <w:rPr>
          <w:rFonts w:asciiTheme="minorHAnsi" w:hAnsiTheme="minorHAnsi" w:cstheme="minorHAnsi"/>
          <w:sz w:val="14"/>
          <w:szCs w:val="14"/>
        </w:rPr>
      </w:pPr>
      <w:r w:rsidRPr="00837B5B">
        <w:rPr>
          <w:rStyle w:val="FootnoteReference"/>
          <w:rFonts w:asciiTheme="minorHAnsi" w:hAnsiTheme="minorHAnsi" w:cstheme="minorHAnsi"/>
          <w:sz w:val="14"/>
          <w:szCs w:val="14"/>
        </w:rPr>
        <w:footnoteRef/>
      </w:r>
      <w:r w:rsidRPr="00837B5B">
        <w:rPr>
          <w:rFonts w:asciiTheme="minorHAnsi" w:hAnsiTheme="minorHAnsi" w:cstheme="minorHAnsi"/>
          <w:sz w:val="14"/>
          <w:szCs w:val="14"/>
        </w:rPr>
        <w:t xml:space="preserve"> </w:t>
      </w:r>
      <w:hyperlink r:id="rId137" w:history="1">
        <w:r w:rsidR="00A0640E" w:rsidRPr="00837B5B">
          <w:rPr>
            <w:rStyle w:val="Hyperlink"/>
            <w:rFonts w:asciiTheme="minorHAnsi" w:hAnsiTheme="minorHAnsi" w:cstheme="minorHAnsi"/>
            <w:sz w:val="14"/>
            <w:szCs w:val="14"/>
          </w:rPr>
          <w:t>Clean Buildings - Early Adopter Incentive Program - Washington State Department of Commerce</w:t>
        </w:r>
      </w:hyperlink>
    </w:p>
  </w:footnote>
  <w:footnote w:id="150">
    <w:p w14:paraId="123252FE" w14:textId="77777777" w:rsidR="00C16B52" w:rsidRPr="00837B5B" w:rsidRDefault="00C16B52" w:rsidP="00C16B52">
      <w:pPr>
        <w:pStyle w:val="FootnoteText"/>
        <w:rPr>
          <w:rFonts w:asciiTheme="minorHAnsi" w:hAnsiTheme="minorHAnsi" w:cstheme="minorHAnsi"/>
          <w:sz w:val="14"/>
          <w:szCs w:val="14"/>
        </w:rPr>
      </w:pPr>
      <w:r w:rsidRPr="00837B5B">
        <w:rPr>
          <w:rStyle w:val="FootnoteReference"/>
          <w:rFonts w:asciiTheme="minorHAnsi" w:hAnsiTheme="minorHAnsi" w:cstheme="minorHAnsi"/>
          <w:sz w:val="14"/>
          <w:szCs w:val="14"/>
        </w:rPr>
        <w:footnoteRef/>
      </w:r>
      <w:r w:rsidRPr="00837B5B">
        <w:rPr>
          <w:rFonts w:asciiTheme="minorHAnsi" w:hAnsiTheme="minorHAnsi" w:cstheme="minorHAnsi"/>
          <w:sz w:val="14"/>
          <w:szCs w:val="14"/>
        </w:rPr>
        <w:t xml:space="preserve"> </w:t>
      </w:r>
      <w:hyperlink r:id="rId138" w:history="1">
        <w:r w:rsidRPr="00837B5B">
          <w:rPr>
            <w:rStyle w:val="Hyperlink"/>
            <w:rFonts w:asciiTheme="minorHAnsi" w:hAnsiTheme="minorHAnsi" w:cstheme="minorHAnsi"/>
            <w:sz w:val="14"/>
            <w:szCs w:val="14"/>
          </w:rPr>
          <w:t>SDC_ProgressReport2022_FINAL-1r.pdf</w:t>
        </w:r>
      </w:hyperlink>
    </w:p>
  </w:footnote>
  <w:footnote w:id="151">
    <w:p w14:paraId="6CD5374A" w14:textId="588A585A" w:rsidR="004D2F99" w:rsidRPr="00837B5B" w:rsidRDefault="004D2F99">
      <w:pPr>
        <w:pStyle w:val="FootnoteText"/>
        <w:rPr>
          <w:rFonts w:asciiTheme="minorHAnsi" w:hAnsiTheme="minorHAnsi" w:cstheme="minorHAnsi"/>
          <w:sz w:val="14"/>
          <w:szCs w:val="14"/>
        </w:rPr>
      </w:pPr>
      <w:r w:rsidRPr="00837B5B">
        <w:rPr>
          <w:rStyle w:val="FootnoteReference"/>
          <w:rFonts w:asciiTheme="minorHAnsi" w:hAnsiTheme="minorHAnsi" w:cstheme="minorHAnsi"/>
          <w:sz w:val="14"/>
          <w:szCs w:val="14"/>
        </w:rPr>
        <w:footnoteRef/>
      </w:r>
      <w:r w:rsidRPr="00837B5B">
        <w:rPr>
          <w:rFonts w:asciiTheme="minorHAnsi" w:hAnsiTheme="minorHAnsi" w:cstheme="minorHAnsi"/>
          <w:sz w:val="14"/>
          <w:szCs w:val="14"/>
        </w:rPr>
        <w:t xml:space="preserve"> </w:t>
      </w:r>
      <w:hyperlink r:id="rId139" w:history="1">
        <w:r w:rsidRPr="00837B5B">
          <w:rPr>
            <w:rStyle w:val="Hyperlink"/>
            <w:rFonts w:asciiTheme="minorHAnsi" w:hAnsiTheme="minorHAnsi" w:cstheme="minorHAnsi"/>
            <w:sz w:val="14"/>
            <w:szCs w:val="14"/>
          </w:rPr>
          <w:t>Clean Buildings - Early Adopter Incentive Program - Washington State Department of Commerce</w:t>
        </w:r>
      </w:hyperlink>
    </w:p>
  </w:footnote>
  <w:footnote w:id="152">
    <w:p w14:paraId="48E592E6" w14:textId="77777777" w:rsidR="00C16B52" w:rsidRPr="00837B5B" w:rsidRDefault="00C16B52" w:rsidP="00C16B52">
      <w:pPr>
        <w:pStyle w:val="FootnoteText"/>
        <w:rPr>
          <w:rFonts w:asciiTheme="minorHAnsi" w:hAnsiTheme="minorHAnsi" w:cstheme="minorHAnsi"/>
          <w:sz w:val="14"/>
          <w:szCs w:val="14"/>
        </w:rPr>
      </w:pPr>
      <w:r w:rsidRPr="00837B5B">
        <w:rPr>
          <w:rStyle w:val="FootnoteReference"/>
          <w:rFonts w:asciiTheme="minorHAnsi" w:hAnsiTheme="minorHAnsi" w:cstheme="minorHAnsi"/>
          <w:sz w:val="14"/>
          <w:szCs w:val="14"/>
        </w:rPr>
        <w:footnoteRef/>
      </w:r>
      <w:r w:rsidRPr="00837B5B">
        <w:rPr>
          <w:rFonts w:asciiTheme="minorHAnsi" w:hAnsiTheme="minorHAnsi" w:cstheme="minorHAnsi"/>
          <w:sz w:val="14"/>
          <w:szCs w:val="14"/>
        </w:rPr>
        <w:t xml:space="preserve"> </w:t>
      </w:r>
      <w:hyperlink r:id="rId140" w:history="1">
        <w:r w:rsidRPr="00837B5B">
          <w:rPr>
            <w:rStyle w:val="Hyperlink"/>
            <w:rFonts w:asciiTheme="minorHAnsi" w:hAnsiTheme="minorHAnsi" w:cstheme="minorHAnsi"/>
            <w:sz w:val="14"/>
            <w:szCs w:val="14"/>
          </w:rPr>
          <w:t>Local Law 97 of 2019 (nyc.gov)</w:t>
        </w:r>
      </w:hyperlink>
    </w:p>
  </w:footnote>
  <w:footnote w:id="153">
    <w:p w14:paraId="74533484" w14:textId="19904452" w:rsidR="00032217" w:rsidRPr="00837B5B" w:rsidRDefault="00032217">
      <w:pPr>
        <w:pStyle w:val="FootnoteText"/>
        <w:rPr>
          <w:rFonts w:asciiTheme="minorHAnsi" w:hAnsiTheme="minorHAnsi" w:cstheme="minorHAnsi"/>
          <w:sz w:val="14"/>
          <w:szCs w:val="14"/>
        </w:rPr>
      </w:pPr>
      <w:r w:rsidRPr="00837B5B">
        <w:rPr>
          <w:rStyle w:val="FootnoteReference"/>
          <w:rFonts w:asciiTheme="minorHAnsi" w:hAnsiTheme="minorHAnsi" w:cstheme="minorHAnsi"/>
          <w:sz w:val="14"/>
          <w:szCs w:val="14"/>
        </w:rPr>
        <w:footnoteRef/>
      </w:r>
      <w:r w:rsidRPr="00837B5B">
        <w:rPr>
          <w:rFonts w:asciiTheme="minorHAnsi" w:hAnsiTheme="minorHAnsi" w:cstheme="minorHAnsi"/>
          <w:sz w:val="14"/>
          <w:szCs w:val="14"/>
        </w:rPr>
        <w:t xml:space="preserve"> </w:t>
      </w:r>
      <w:hyperlink r:id="rId141" w:history="1">
        <w:r w:rsidRPr="00837B5B">
          <w:rPr>
            <w:rStyle w:val="Hyperlink"/>
            <w:rFonts w:asciiTheme="minorHAnsi" w:hAnsiTheme="minorHAnsi" w:cstheme="minorHAnsi"/>
            <w:sz w:val="14"/>
            <w:szCs w:val="14"/>
          </w:rPr>
          <w:t>Commercial Property Assessed Clean Energy (PACE) Toolkit | Department of Energy</w:t>
        </w:r>
      </w:hyperlink>
    </w:p>
  </w:footnote>
  <w:footnote w:id="154">
    <w:p w14:paraId="3097D125" w14:textId="50AA3538" w:rsidR="00DD7DF1" w:rsidRPr="008F5EBC" w:rsidRDefault="00DD7DF1">
      <w:pPr>
        <w:pStyle w:val="FootnoteText"/>
        <w:rPr>
          <w:sz w:val="14"/>
          <w:szCs w:val="14"/>
        </w:rPr>
      </w:pPr>
      <w:r w:rsidRPr="00837B5B">
        <w:rPr>
          <w:rStyle w:val="FootnoteReference"/>
          <w:rFonts w:asciiTheme="minorHAnsi" w:hAnsiTheme="minorHAnsi" w:cstheme="minorHAnsi"/>
          <w:sz w:val="14"/>
          <w:szCs w:val="14"/>
        </w:rPr>
        <w:footnoteRef/>
      </w:r>
      <w:r w:rsidRPr="00837B5B">
        <w:rPr>
          <w:rFonts w:asciiTheme="minorHAnsi" w:hAnsiTheme="minorHAnsi" w:cstheme="minorHAnsi"/>
          <w:sz w:val="14"/>
          <w:szCs w:val="14"/>
        </w:rPr>
        <w:t xml:space="preserve"> </w:t>
      </w:r>
      <w:hyperlink r:id="rId142" w:anchor=":~:text=Implementation%2C%20monitoring%20and%20reporting,-EU%20countries%20share&amp;text=The%20Commission%20monitors%20the%20progress,all%20new%20buildings%20are%20NZEBs." w:history="1">
        <w:r w:rsidRPr="00837B5B">
          <w:rPr>
            <w:rStyle w:val="Hyperlink"/>
            <w:rFonts w:asciiTheme="minorHAnsi" w:hAnsiTheme="minorHAnsi" w:cstheme="minorHAnsi"/>
            <w:sz w:val="14"/>
            <w:szCs w:val="14"/>
          </w:rPr>
          <w:t>Nearly zero-energy buildings (europa.eu)</w:t>
        </w:r>
      </w:hyperlink>
    </w:p>
  </w:footnote>
  <w:footnote w:id="155">
    <w:p w14:paraId="7AEBE703" w14:textId="39653AFB" w:rsidR="003402A7" w:rsidRPr="00902642" w:rsidRDefault="003402A7">
      <w:pPr>
        <w:pStyle w:val="FootnoteText"/>
        <w:rPr>
          <w:rFonts w:asciiTheme="minorHAnsi" w:hAnsiTheme="minorHAnsi" w:cstheme="minorHAnsi"/>
          <w:sz w:val="14"/>
          <w:szCs w:val="14"/>
        </w:rPr>
      </w:pPr>
      <w:r w:rsidRPr="00902642">
        <w:rPr>
          <w:rStyle w:val="FootnoteReference"/>
          <w:rFonts w:asciiTheme="minorHAnsi" w:hAnsiTheme="minorHAnsi" w:cstheme="minorHAnsi"/>
          <w:sz w:val="14"/>
          <w:szCs w:val="14"/>
        </w:rPr>
        <w:footnoteRef/>
      </w:r>
      <w:r w:rsidRPr="00902642">
        <w:rPr>
          <w:rFonts w:asciiTheme="minorHAnsi" w:hAnsiTheme="minorHAnsi" w:cstheme="minorHAnsi"/>
          <w:sz w:val="14"/>
          <w:szCs w:val="14"/>
        </w:rPr>
        <w:t xml:space="preserve"> </w:t>
      </w:r>
      <w:hyperlink r:id="rId143" w:anchor=":~:text=The%20Montreal%20Protocol%20sets%20binding,such%20as%20hydrochlorofluorocarbons%20(HCFCs)." w:history="1">
        <w:r w:rsidRPr="00902642">
          <w:rPr>
            <w:rStyle w:val="Hyperlink"/>
            <w:rFonts w:asciiTheme="minorHAnsi" w:hAnsiTheme="minorHAnsi" w:cstheme="minorHAnsi"/>
            <w:sz w:val="14"/>
            <w:szCs w:val="14"/>
          </w:rPr>
          <w:t>Montreal Protocol on Substances that Deplete the Ozone Layer - DCCEEW</w:t>
        </w:r>
      </w:hyperlink>
    </w:p>
  </w:footnote>
  <w:footnote w:id="156">
    <w:p w14:paraId="63E47B71" w14:textId="244D6E18" w:rsidR="003954E1" w:rsidRPr="00121748" w:rsidRDefault="003954E1" w:rsidP="003954E1">
      <w:pPr>
        <w:pStyle w:val="FootnoteText"/>
        <w:rPr>
          <w:sz w:val="16"/>
          <w:szCs w:val="16"/>
        </w:rPr>
      </w:pPr>
      <w:r w:rsidRPr="00F00D4E">
        <w:rPr>
          <w:rStyle w:val="FootnoteReference"/>
          <w:sz w:val="14"/>
          <w:szCs w:val="14"/>
        </w:rPr>
        <w:footnoteRef/>
      </w:r>
      <w:r w:rsidRPr="00F00D4E">
        <w:rPr>
          <w:sz w:val="14"/>
          <w:szCs w:val="14"/>
        </w:rPr>
        <w:t xml:space="preserve"> </w:t>
      </w:r>
      <w:hyperlink r:id="rId144" w:history="1">
        <w:r w:rsidR="00E52756" w:rsidRPr="00E52756">
          <w:rPr>
            <w:rStyle w:val="Hyperlink"/>
            <w:rFonts w:asciiTheme="minorHAnsi" w:hAnsiTheme="minorHAnsi" w:cstheme="minorHAnsi"/>
            <w:sz w:val="14"/>
            <w:szCs w:val="14"/>
          </w:rPr>
          <w:t>NSW Department of Planning – Sustainable Buildings SEPP</w:t>
        </w:r>
      </w:hyperlink>
      <w:r w:rsidR="00E52756">
        <w:rPr>
          <w:sz w:val="14"/>
          <w:szCs w:val="14"/>
        </w:rPr>
        <w:t>.</w:t>
      </w:r>
    </w:p>
  </w:footnote>
  <w:footnote w:id="157">
    <w:p w14:paraId="74CD44D6" w14:textId="699D806F" w:rsidR="0079092A" w:rsidRDefault="0079092A">
      <w:pPr>
        <w:pStyle w:val="FootnoteText"/>
      </w:pPr>
      <w:r w:rsidRPr="00E63900">
        <w:rPr>
          <w:rStyle w:val="FootnoteReference"/>
          <w:sz w:val="14"/>
          <w:szCs w:val="14"/>
        </w:rPr>
        <w:footnoteRef/>
      </w:r>
      <w:r w:rsidRPr="00E63900">
        <w:rPr>
          <w:sz w:val="14"/>
          <w:szCs w:val="14"/>
        </w:rPr>
        <w:t xml:space="preserve"> Compliance costs are on average low but are moderate for a small cohort of buildings.</w:t>
      </w:r>
    </w:p>
  </w:footnote>
  <w:footnote w:id="158">
    <w:p w14:paraId="5C0D7E8F" w14:textId="461A513E" w:rsidR="00050914" w:rsidRPr="00E63900" w:rsidRDefault="00050914">
      <w:pPr>
        <w:pStyle w:val="FootnoteText"/>
        <w:rPr>
          <w:rFonts w:asciiTheme="minorHAnsi" w:hAnsiTheme="minorHAnsi" w:cstheme="minorHAnsi"/>
        </w:rPr>
      </w:pPr>
      <w:r w:rsidRPr="00E63900">
        <w:rPr>
          <w:rStyle w:val="FootnoteReference"/>
          <w:rFonts w:asciiTheme="minorHAnsi" w:hAnsiTheme="minorHAnsi" w:cstheme="minorHAnsi"/>
          <w:sz w:val="14"/>
          <w:szCs w:val="14"/>
        </w:rPr>
        <w:footnoteRef/>
      </w:r>
      <w:r w:rsidRPr="00E63900">
        <w:rPr>
          <w:rFonts w:asciiTheme="minorHAnsi" w:hAnsiTheme="minorHAnsi" w:cstheme="minorHAnsi"/>
          <w:sz w:val="14"/>
          <w:szCs w:val="14"/>
        </w:rPr>
        <w:t xml:space="preserve"> </w:t>
      </w:r>
      <w:hyperlink r:id="rId145" w:history="1">
        <w:r w:rsidR="00535408" w:rsidRPr="00535408">
          <w:rPr>
            <w:rStyle w:val="Hyperlink"/>
            <w:rFonts w:asciiTheme="minorHAnsi" w:hAnsiTheme="minorHAnsi" w:cstheme="minorHAnsi"/>
            <w:sz w:val="14"/>
            <w:szCs w:val="14"/>
          </w:rPr>
          <w:t>Every Building Counts – Green Building Council Australia.</w:t>
        </w:r>
      </w:hyperlink>
    </w:p>
  </w:footnote>
  <w:footnote w:id="159">
    <w:p w14:paraId="43B0AAF3" w14:textId="32BA7B6E" w:rsidR="00E00C98" w:rsidRDefault="00E00C98">
      <w:pPr>
        <w:pStyle w:val="FootnoteText"/>
      </w:pPr>
      <w:r w:rsidRPr="005A6E1A">
        <w:rPr>
          <w:rStyle w:val="FootnoteReference"/>
          <w:sz w:val="14"/>
          <w:szCs w:val="14"/>
        </w:rPr>
        <w:footnoteRef/>
      </w:r>
      <w:r w:rsidRPr="005A6E1A">
        <w:rPr>
          <w:sz w:val="14"/>
          <w:szCs w:val="14"/>
        </w:rPr>
        <w:t xml:space="preserve"> </w:t>
      </w:r>
      <w:r w:rsidR="0050503F" w:rsidRPr="005A6E1A">
        <w:rPr>
          <w:sz w:val="14"/>
          <w:szCs w:val="14"/>
        </w:rPr>
        <w:t>The CIE</w:t>
      </w:r>
      <w:r w:rsidR="003E5EB3" w:rsidRPr="005A6E1A">
        <w:rPr>
          <w:sz w:val="14"/>
          <w:szCs w:val="14"/>
        </w:rPr>
        <w:t>, 2020, Indepe</w:t>
      </w:r>
      <w:r w:rsidR="00C06725" w:rsidRPr="005A6E1A">
        <w:rPr>
          <w:sz w:val="14"/>
          <w:szCs w:val="14"/>
        </w:rPr>
        <w:t>ndent review of the Commercial Buildings Disclosure Program, Final report</w:t>
      </w:r>
      <w:r w:rsidR="00315FE8">
        <w:rPr>
          <w:sz w:val="14"/>
          <w:szCs w:val="14"/>
        </w:rPr>
        <w:t>, p.</w:t>
      </w:r>
      <w:r w:rsidR="00B228AA">
        <w:rPr>
          <w:sz w:val="14"/>
          <w:szCs w:val="14"/>
        </w:rPr>
        <w:t>69.</w:t>
      </w:r>
    </w:p>
  </w:footnote>
  <w:footnote w:id="160">
    <w:p w14:paraId="4D2DB002" w14:textId="2BC2A22D" w:rsidR="00543C0A" w:rsidRPr="00E63900" w:rsidRDefault="00543C0A">
      <w:pPr>
        <w:pStyle w:val="FootnoteText"/>
        <w:rPr>
          <w:rFonts w:asciiTheme="minorHAnsi" w:hAnsiTheme="minorHAnsi" w:cstheme="minorHAnsi"/>
        </w:rPr>
      </w:pPr>
      <w:r w:rsidRPr="00E63900">
        <w:rPr>
          <w:rStyle w:val="FootnoteReference"/>
          <w:rFonts w:asciiTheme="minorHAnsi" w:hAnsiTheme="minorHAnsi" w:cstheme="minorHAnsi"/>
          <w:sz w:val="14"/>
          <w:szCs w:val="14"/>
        </w:rPr>
        <w:footnoteRef/>
      </w:r>
      <w:r w:rsidRPr="00E63900">
        <w:rPr>
          <w:rFonts w:asciiTheme="minorHAnsi" w:hAnsiTheme="minorHAnsi" w:cstheme="minorHAnsi"/>
          <w:sz w:val="14"/>
          <w:szCs w:val="14"/>
        </w:rPr>
        <w:t xml:space="preserve"> </w:t>
      </w:r>
      <w:r w:rsidR="003C477C" w:rsidRPr="00E63900">
        <w:rPr>
          <w:rFonts w:asciiTheme="minorHAnsi" w:hAnsiTheme="minorHAnsi" w:cstheme="minorHAnsi"/>
          <w:sz w:val="14"/>
          <w:szCs w:val="14"/>
        </w:rPr>
        <w:t>US EPA, 2023</w:t>
      </w:r>
      <w:r w:rsidR="004C089E" w:rsidRPr="00E63900">
        <w:rPr>
          <w:rFonts w:asciiTheme="minorHAnsi" w:hAnsiTheme="minorHAnsi" w:cstheme="minorHAnsi"/>
          <w:sz w:val="14"/>
          <w:szCs w:val="14"/>
        </w:rPr>
        <w:t xml:space="preserve">, updated estimates of the </w:t>
      </w:r>
      <w:r w:rsidR="00D54793" w:rsidRPr="00E63900">
        <w:rPr>
          <w:rFonts w:asciiTheme="minorHAnsi" w:hAnsiTheme="minorHAnsi" w:cstheme="minorHAnsi"/>
          <w:sz w:val="14"/>
          <w:szCs w:val="14"/>
        </w:rPr>
        <w:t>social</w:t>
      </w:r>
      <w:r w:rsidR="004C089E" w:rsidRPr="00E63900">
        <w:rPr>
          <w:rFonts w:asciiTheme="minorHAnsi" w:hAnsiTheme="minorHAnsi" w:cstheme="minorHAnsi"/>
          <w:sz w:val="14"/>
          <w:szCs w:val="14"/>
        </w:rPr>
        <w:t xml:space="preserve"> cost of carbon and other greenhouse gases, </w:t>
      </w:r>
      <w:r w:rsidR="0085706C" w:rsidRPr="00E63900">
        <w:rPr>
          <w:rFonts w:asciiTheme="minorHAnsi" w:hAnsiTheme="minorHAnsi" w:cstheme="minorHAnsi"/>
          <w:sz w:val="14"/>
          <w:szCs w:val="14"/>
        </w:rPr>
        <w:t>Overview of EPA external review draft of “Report on the social cost of greenhouse gases: estimates incorporating recent scientific advances</w:t>
      </w:r>
      <w:r w:rsidR="00C3293A" w:rsidRPr="00E63900">
        <w:rPr>
          <w:rFonts w:asciiTheme="minorHAnsi" w:hAnsiTheme="minorHAnsi" w:cstheme="minorHAnsi"/>
          <w:sz w:val="14"/>
          <w:szCs w:val="14"/>
        </w:rPr>
        <w:t>”.</w:t>
      </w:r>
    </w:p>
  </w:footnote>
  <w:footnote w:id="161">
    <w:p w14:paraId="05CA9EA2" w14:textId="5692F9C5" w:rsidR="00BE6628" w:rsidRPr="009E4D19" w:rsidRDefault="00BE6628">
      <w:pPr>
        <w:pStyle w:val="FootnoteText"/>
        <w:rPr>
          <w:rFonts w:asciiTheme="minorHAnsi" w:hAnsiTheme="minorHAnsi" w:cstheme="minorHAnsi"/>
          <w:sz w:val="14"/>
          <w:szCs w:val="14"/>
        </w:rPr>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w:t>
      </w:r>
      <w:hyperlink r:id="rId146" w:history="1">
        <w:r w:rsidR="00503ECA" w:rsidRPr="003F215B">
          <w:rPr>
            <w:rStyle w:val="Hyperlink"/>
            <w:rFonts w:asciiTheme="minorHAnsi" w:hAnsiTheme="minorHAnsi" w:cstheme="minorHAnsi"/>
            <w:sz w:val="14"/>
            <w:szCs w:val="14"/>
          </w:rPr>
          <w:t>IEA – Multiple Benefits of Energy Efficiency</w:t>
        </w:r>
      </w:hyperlink>
      <w:r w:rsidR="00BB22F5" w:rsidRPr="009E4D19">
        <w:rPr>
          <w:rFonts w:asciiTheme="minorHAnsi" w:hAnsiTheme="minorHAnsi" w:cstheme="minorHAnsi"/>
          <w:sz w:val="14"/>
          <w:szCs w:val="14"/>
        </w:rPr>
        <w:t xml:space="preserve"> </w:t>
      </w:r>
    </w:p>
  </w:footnote>
  <w:footnote w:id="162">
    <w:p w14:paraId="4650776A" w14:textId="6761C77A" w:rsidR="00121F61" w:rsidRDefault="00121F61">
      <w:pPr>
        <w:pStyle w:val="FootnoteText"/>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The CIE, 2020, Independent review of the Commercial Buildings Disclosure Program, Final report</w:t>
      </w:r>
      <w:r w:rsidR="00871286" w:rsidRPr="009E4D19">
        <w:rPr>
          <w:rFonts w:asciiTheme="minorHAnsi" w:hAnsiTheme="minorHAnsi" w:cstheme="minorHAnsi"/>
          <w:sz w:val="14"/>
          <w:szCs w:val="14"/>
        </w:rPr>
        <w:t>, p. 92.</w:t>
      </w:r>
    </w:p>
  </w:footnote>
  <w:footnote w:id="163">
    <w:p w14:paraId="22C77033" w14:textId="28E277F6" w:rsidR="00732C3A" w:rsidRDefault="00732C3A">
      <w:pPr>
        <w:pStyle w:val="FootnoteText"/>
      </w:pPr>
      <w:r w:rsidRPr="00732C3A">
        <w:rPr>
          <w:rStyle w:val="FootnoteReference"/>
          <w:rFonts w:asciiTheme="minorHAnsi" w:hAnsiTheme="minorHAnsi" w:cstheme="minorHAnsi"/>
          <w:sz w:val="14"/>
          <w:szCs w:val="14"/>
        </w:rPr>
        <w:footnoteRef/>
      </w:r>
      <w:r>
        <w:t xml:space="preserve"> </w:t>
      </w:r>
      <w:r w:rsidRPr="009E4D19">
        <w:rPr>
          <w:rFonts w:asciiTheme="minorHAnsi" w:hAnsiTheme="minorHAnsi" w:cstheme="minorHAnsi"/>
          <w:sz w:val="14"/>
          <w:szCs w:val="14"/>
        </w:rPr>
        <w:t>The CIE, 2023, Commercial Buildings Disclosure Program – Impacts and areas for expansion, Final report, p. 5</w:t>
      </w:r>
    </w:p>
  </w:footnote>
  <w:footnote w:id="164">
    <w:p w14:paraId="05D0ADB8" w14:textId="3DA333FE" w:rsidR="005B6B83" w:rsidRPr="009E4D19" w:rsidRDefault="005B6B83">
      <w:pPr>
        <w:pStyle w:val="FootnoteText"/>
        <w:rPr>
          <w:rFonts w:asciiTheme="minorHAnsi" w:hAnsiTheme="minorHAnsi" w:cstheme="minorHAnsi"/>
          <w:sz w:val="14"/>
          <w:szCs w:val="14"/>
        </w:rPr>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w:t>
      </w:r>
      <w:hyperlink r:id="rId147" w:anchor=":~:text=The%20Montreal%20Protocol%20sets%20binding,such%20as%20hydrochlorofluorocarbons%20(HCFCs)." w:history="1">
        <w:r w:rsidRPr="009E4D19">
          <w:rPr>
            <w:rStyle w:val="Hyperlink"/>
            <w:rFonts w:asciiTheme="minorHAnsi" w:hAnsiTheme="minorHAnsi" w:cstheme="minorHAnsi"/>
            <w:sz w:val="14"/>
            <w:szCs w:val="14"/>
          </w:rPr>
          <w:t>Montreal Protocol on Substances that Deplete the Ozone Layer - DCCEEW</w:t>
        </w:r>
      </w:hyperlink>
    </w:p>
  </w:footnote>
  <w:footnote w:id="165">
    <w:p w14:paraId="6AAD1D05" w14:textId="77777777" w:rsidR="00E4173E" w:rsidRPr="009E4D19" w:rsidRDefault="00E4173E" w:rsidP="00E4173E">
      <w:pPr>
        <w:pStyle w:val="FootnoteText"/>
        <w:rPr>
          <w:rFonts w:asciiTheme="minorHAnsi" w:hAnsiTheme="minorHAnsi" w:cstheme="minorHAnsi"/>
          <w:sz w:val="14"/>
          <w:szCs w:val="14"/>
        </w:rPr>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w:t>
      </w:r>
      <w:hyperlink r:id="rId148" w:history="1">
        <w:r w:rsidRPr="009E4D19">
          <w:rPr>
            <w:rStyle w:val="Hyperlink"/>
            <w:rFonts w:asciiTheme="minorHAnsi" w:hAnsiTheme="minorHAnsi" w:cstheme="minorHAnsi"/>
            <w:sz w:val="14"/>
            <w:szCs w:val="14"/>
          </w:rPr>
          <w:t>Government buildings | energy.gov.au</w:t>
        </w:r>
      </w:hyperlink>
    </w:p>
  </w:footnote>
  <w:footnote w:id="166">
    <w:p w14:paraId="0E3F4A25" w14:textId="77777777" w:rsidR="00E4173E" w:rsidRPr="009E4D19" w:rsidRDefault="00E4173E" w:rsidP="00E4173E">
      <w:pPr>
        <w:pStyle w:val="FootnoteText"/>
        <w:rPr>
          <w:rFonts w:asciiTheme="minorHAnsi" w:hAnsiTheme="minorHAnsi" w:cstheme="minorHAnsi"/>
          <w:sz w:val="14"/>
          <w:szCs w:val="14"/>
        </w:rPr>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w:t>
      </w:r>
      <w:hyperlink r:id="rId149" w:history="1">
        <w:r w:rsidRPr="009E4D19">
          <w:rPr>
            <w:rStyle w:val="Hyperlink"/>
            <w:rFonts w:asciiTheme="minorHAnsi" w:hAnsiTheme="minorHAnsi" w:cstheme="minorHAnsi"/>
            <w:sz w:val="14"/>
            <w:szCs w:val="14"/>
          </w:rPr>
          <w:t>Building Regulations 2018 (BR18) – Policies - IEA</w:t>
        </w:r>
      </w:hyperlink>
    </w:p>
  </w:footnote>
  <w:footnote w:id="167">
    <w:p w14:paraId="2D0C348D" w14:textId="77777777" w:rsidR="00E4173E" w:rsidRPr="009E4D19" w:rsidRDefault="00E4173E" w:rsidP="00E4173E">
      <w:pPr>
        <w:pStyle w:val="FootnoteText"/>
        <w:rPr>
          <w:rFonts w:asciiTheme="minorHAnsi" w:hAnsiTheme="minorHAnsi" w:cstheme="minorHAnsi"/>
          <w:sz w:val="14"/>
          <w:szCs w:val="14"/>
        </w:rPr>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w:t>
      </w:r>
      <w:hyperlink r:id="rId150" w:history="1">
        <w:proofErr w:type="spellStart"/>
        <w:r w:rsidRPr="009E4D19">
          <w:rPr>
            <w:rStyle w:val="Hyperlink"/>
            <w:rFonts w:asciiTheme="minorHAnsi" w:hAnsiTheme="minorHAnsi" w:cstheme="minorHAnsi"/>
            <w:sz w:val="14"/>
            <w:szCs w:val="14"/>
          </w:rPr>
          <w:t>MEEM_rapport_Energie_Climat_avec_visuel</w:t>
        </w:r>
        <w:proofErr w:type="spellEnd"/>
        <w:r w:rsidRPr="009E4D19">
          <w:rPr>
            <w:rStyle w:val="Hyperlink"/>
            <w:rFonts w:asciiTheme="minorHAnsi" w:hAnsiTheme="minorHAnsi" w:cstheme="minorHAnsi"/>
            <w:sz w:val="14"/>
            <w:szCs w:val="14"/>
          </w:rPr>
          <w:t xml:space="preserve"> (europa.eu)</w:t>
        </w:r>
      </w:hyperlink>
    </w:p>
  </w:footnote>
  <w:footnote w:id="168">
    <w:p w14:paraId="4848C729" w14:textId="77777777" w:rsidR="00E4173E" w:rsidRPr="009E4D19" w:rsidRDefault="00E4173E" w:rsidP="00E4173E">
      <w:pPr>
        <w:pStyle w:val="FootnoteText"/>
        <w:rPr>
          <w:rFonts w:asciiTheme="minorHAnsi" w:hAnsiTheme="minorHAnsi" w:cstheme="minorHAnsi"/>
          <w:sz w:val="14"/>
          <w:szCs w:val="14"/>
        </w:rPr>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w:t>
      </w:r>
      <w:hyperlink r:id="rId151" w:history="1">
        <w:r w:rsidRPr="009E4D19">
          <w:rPr>
            <w:rStyle w:val="Hyperlink"/>
            <w:rFonts w:asciiTheme="minorHAnsi" w:hAnsiTheme="minorHAnsi" w:cstheme="minorHAnsi"/>
            <w:sz w:val="14"/>
            <w:szCs w:val="14"/>
          </w:rPr>
          <w:t>Revision of the Energy Performance of Buildings Directive (europa.eu)</w:t>
        </w:r>
      </w:hyperlink>
    </w:p>
  </w:footnote>
  <w:footnote w:id="169">
    <w:p w14:paraId="2B0D43BE" w14:textId="77777777" w:rsidR="00E4173E" w:rsidRDefault="00E4173E" w:rsidP="00E4173E">
      <w:pPr>
        <w:pStyle w:val="FootnoteText"/>
      </w:pPr>
      <w:r w:rsidRPr="009E4D19">
        <w:rPr>
          <w:rStyle w:val="FootnoteReference"/>
          <w:rFonts w:asciiTheme="minorHAnsi" w:hAnsiTheme="minorHAnsi" w:cstheme="minorHAnsi"/>
          <w:sz w:val="14"/>
          <w:szCs w:val="14"/>
        </w:rPr>
        <w:footnoteRef/>
      </w:r>
      <w:r w:rsidRPr="009E4D19">
        <w:rPr>
          <w:rFonts w:asciiTheme="minorHAnsi" w:hAnsiTheme="minorHAnsi" w:cstheme="minorHAnsi"/>
          <w:sz w:val="14"/>
          <w:szCs w:val="14"/>
        </w:rPr>
        <w:t xml:space="preserve"> </w:t>
      </w:r>
      <w:hyperlink r:id="rId152" w:anchor=":~:text=The%20government%20has%20confirmed,place%2C%20as%20an%20interim%20step." w:history="1">
        <w:r w:rsidRPr="009E4D19">
          <w:rPr>
            <w:rStyle w:val="Hyperlink"/>
            <w:rFonts w:asciiTheme="minorHAnsi" w:hAnsiTheme="minorHAnsi" w:cstheme="minorHAnsi"/>
            <w:sz w:val="14"/>
            <w:szCs w:val="14"/>
          </w:rPr>
          <w:t>Minimum Energy Efficiency Standards | Commercial Buildings (energyadvicehub.org)</w:t>
        </w:r>
      </w:hyperlink>
    </w:p>
  </w:footnote>
  <w:footnote w:id="170">
    <w:p w14:paraId="13650600" w14:textId="4792AB1F" w:rsidR="00C74584" w:rsidRPr="00D421BF" w:rsidRDefault="00C74584">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53" w:history="1">
        <w:r w:rsidRPr="00D421BF">
          <w:rPr>
            <w:rStyle w:val="Hyperlink"/>
            <w:rFonts w:asciiTheme="minorHAnsi" w:hAnsiTheme="minorHAnsi" w:cstheme="minorHAnsi"/>
            <w:sz w:val="14"/>
            <w:szCs w:val="14"/>
          </w:rPr>
          <w:t>Australian National Greenhouse Accounts Factors (dcceew.gov.au)</w:t>
        </w:r>
      </w:hyperlink>
    </w:p>
  </w:footnote>
  <w:footnote w:id="171">
    <w:p w14:paraId="1ABFC383" w14:textId="77777777" w:rsidR="00B1186F" w:rsidRDefault="00B1186F" w:rsidP="00B1186F">
      <w:pPr>
        <w:pStyle w:val="FootnoteText"/>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r w:rsidRPr="00D421BF">
        <w:rPr>
          <w:rFonts w:asciiTheme="minorHAnsi" w:hAnsiTheme="minorHAnsi" w:cstheme="minorHAnsi"/>
          <w:sz w:val="14"/>
          <w:szCs w:val="14"/>
          <w:u w:val="single"/>
        </w:rPr>
        <w:t>KPMG, 2023</w:t>
      </w:r>
    </w:p>
  </w:footnote>
  <w:footnote w:id="172">
    <w:p w14:paraId="05C1C527" w14:textId="77777777" w:rsidR="00CE2B00" w:rsidRPr="00D421BF" w:rsidRDefault="00CE2B00" w:rsidP="00CE2B00">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CBD 2019 Review</w:t>
      </w:r>
    </w:p>
  </w:footnote>
  <w:footnote w:id="173">
    <w:p w14:paraId="75B52A5A" w14:textId="77777777" w:rsidR="00CE2B00" w:rsidRPr="00D421BF" w:rsidRDefault="00CE2B00" w:rsidP="00CE2B00">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Not elsewhere </w:t>
      </w:r>
      <w:proofErr w:type="gramStart"/>
      <w:r w:rsidRPr="00D421BF">
        <w:rPr>
          <w:rFonts w:asciiTheme="minorHAnsi" w:hAnsiTheme="minorHAnsi" w:cstheme="minorHAnsi"/>
          <w:sz w:val="14"/>
          <w:szCs w:val="14"/>
        </w:rPr>
        <w:t>classified</w:t>
      </w:r>
      <w:proofErr w:type="gramEnd"/>
    </w:p>
    <w:p w14:paraId="4226BFF2" w14:textId="77777777" w:rsidR="00CE2B00" w:rsidRDefault="00CE2B00" w:rsidP="00CE2B00">
      <w:pPr>
        <w:pStyle w:val="FootnoteText"/>
      </w:pPr>
      <w:r w:rsidRPr="00D421BF">
        <w:rPr>
          <w:rFonts w:asciiTheme="minorHAnsi" w:hAnsiTheme="minorHAnsi" w:cstheme="minorHAnsi"/>
          <w:sz w:val="14"/>
          <w:szCs w:val="14"/>
        </w:rPr>
        <w:t>* Spaces currently rated by NABERS</w:t>
      </w:r>
    </w:p>
  </w:footnote>
  <w:footnote w:id="174">
    <w:p w14:paraId="4E8BC27B" w14:textId="32B76CE9" w:rsidR="005B3B6F" w:rsidRPr="00D421BF" w:rsidRDefault="005B3B6F" w:rsidP="005B3B6F">
      <w:pPr>
        <w:pStyle w:val="FootnoteText"/>
        <w:rPr>
          <w:rFonts w:asciiTheme="minorHAnsi" w:hAnsiTheme="minorHAnsi" w:cstheme="minorHAnsi"/>
          <w:sz w:val="16"/>
          <w:szCs w:val="16"/>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N.H. Sandberg, I. Sartori, H. </w:t>
      </w:r>
      <w:proofErr w:type="spellStart"/>
      <w:r w:rsidRPr="00D421BF">
        <w:rPr>
          <w:rFonts w:asciiTheme="minorHAnsi" w:hAnsiTheme="minorHAnsi" w:cstheme="minorHAnsi"/>
          <w:sz w:val="14"/>
          <w:szCs w:val="14"/>
        </w:rPr>
        <w:t>Brattebø</w:t>
      </w:r>
      <w:proofErr w:type="spellEnd"/>
      <w:r w:rsidRPr="00D421BF">
        <w:rPr>
          <w:rFonts w:asciiTheme="minorHAnsi" w:hAnsiTheme="minorHAnsi" w:cstheme="minorHAnsi"/>
          <w:sz w:val="14"/>
          <w:szCs w:val="14"/>
        </w:rPr>
        <w:t xml:space="preserve">, Sensitivity analysis in long-term dynamic building stock </w:t>
      </w:r>
      <w:r w:rsidR="00D54793" w:rsidRPr="00D421BF">
        <w:rPr>
          <w:rFonts w:asciiTheme="minorHAnsi" w:hAnsiTheme="minorHAnsi" w:cstheme="minorHAnsi"/>
          <w:sz w:val="14"/>
          <w:szCs w:val="14"/>
        </w:rPr>
        <w:t>modelling</w:t>
      </w:r>
      <w:r w:rsidRPr="00D421BF">
        <w:rPr>
          <w:rFonts w:asciiTheme="minorHAnsi" w:hAnsiTheme="minorHAnsi" w:cstheme="minorHAnsi"/>
          <w:sz w:val="14"/>
          <w:szCs w:val="14"/>
        </w:rPr>
        <w:t xml:space="preserve">-Exploring the importance of uncertainty of input </w:t>
      </w:r>
      <w:r w:rsidR="00D54793" w:rsidRPr="00D421BF">
        <w:rPr>
          <w:rFonts w:asciiTheme="minorHAnsi" w:hAnsiTheme="minorHAnsi" w:cstheme="minorHAnsi"/>
          <w:sz w:val="14"/>
          <w:szCs w:val="14"/>
        </w:rPr>
        <w:t>parameters</w:t>
      </w:r>
      <w:r w:rsidRPr="00D421BF">
        <w:rPr>
          <w:rFonts w:asciiTheme="minorHAnsi" w:hAnsiTheme="minorHAnsi" w:cstheme="minorHAnsi"/>
          <w:sz w:val="14"/>
          <w:szCs w:val="14"/>
        </w:rPr>
        <w:t xml:space="preserve"> in Norwegian segmented dwelling stock model, Energy Build., 85 (2014), pp. 136-144 as cited in </w:t>
      </w:r>
      <w:hyperlink r:id="rId154" w:history="1">
        <w:r w:rsidRPr="00D421BF">
          <w:rPr>
            <w:rStyle w:val="Hyperlink"/>
            <w:rFonts w:asciiTheme="minorHAnsi" w:hAnsiTheme="minorHAnsi" w:cstheme="minorHAnsi"/>
            <w:sz w:val="14"/>
            <w:szCs w:val="14"/>
          </w:rPr>
          <w:t>qe-05-22-310-en-n.pdf (europa.eu)</w:t>
        </w:r>
      </w:hyperlink>
    </w:p>
  </w:footnote>
  <w:footnote w:id="175">
    <w:p w14:paraId="62B0C452" w14:textId="77777777" w:rsidR="005B3B6F" w:rsidRPr="00F85358" w:rsidRDefault="005B3B6F" w:rsidP="005B3B6F">
      <w:pPr>
        <w:pStyle w:val="FootnoteText"/>
        <w:rPr>
          <w:rFonts w:asciiTheme="minorHAnsi" w:hAnsiTheme="minorHAnsi" w:cstheme="minorHAnsi"/>
          <w:sz w:val="16"/>
          <w:szCs w:val="16"/>
        </w:rPr>
      </w:pPr>
      <w:r w:rsidRPr="00F85358">
        <w:rPr>
          <w:rStyle w:val="FootnoteReference"/>
          <w:rFonts w:asciiTheme="minorHAnsi" w:hAnsiTheme="minorHAnsi" w:cstheme="minorHAnsi"/>
          <w:sz w:val="14"/>
          <w:szCs w:val="14"/>
        </w:rPr>
        <w:footnoteRef/>
      </w:r>
      <w:r w:rsidRPr="00F85358">
        <w:rPr>
          <w:rFonts w:asciiTheme="minorHAnsi" w:hAnsiTheme="minorHAnsi" w:cstheme="minorHAnsi"/>
          <w:sz w:val="14"/>
          <w:szCs w:val="14"/>
        </w:rPr>
        <w:t xml:space="preserve"> </w:t>
      </w:r>
      <w:hyperlink r:id="rId155" w:history="1">
        <w:r w:rsidRPr="00F85358">
          <w:rPr>
            <w:rStyle w:val="Hyperlink"/>
            <w:rFonts w:asciiTheme="minorHAnsi" w:hAnsiTheme="minorHAnsi" w:cstheme="minorHAnsi"/>
            <w:sz w:val="14"/>
            <w:szCs w:val="14"/>
          </w:rPr>
          <w:t>EU Buildings Renovations: get ready for minimum energy performance standards (</w:t>
        </w:r>
        <w:proofErr w:type="spellStart"/>
        <w:r w:rsidRPr="00F85358">
          <w:rPr>
            <w:rStyle w:val="Hyperlink"/>
            <w:rFonts w:asciiTheme="minorHAnsi" w:hAnsiTheme="minorHAnsi" w:cstheme="minorHAnsi"/>
            <w:sz w:val="14"/>
            <w:szCs w:val="14"/>
          </w:rPr>
          <w:t>MEPS</w:t>
        </w:r>
        <w:proofErr w:type="spellEnd"/>
        <w:r w:rsidRPr="00F85358">
          <w:rPr>
            <w:rStyle w:val="Hyperlink"/>
            <w:rFonts w:asciiTheme="minorHAnsi" w:hAnsiTheme="minorHAnsi" w:cstheme="minorHAnsi"/>
            <w:sz w:val="14"/>
            <w:szCs w:val="14"/>
          </w:rPr>
          <w:t>) - Energy Post</w:t>
        </w:r>
      </w:hyperlink>
    </w:p>
  </w:footnote>
  <w:footnote w:id="176">
    <w:p w14:paraId="1A412B80" w14:textId="2ADDF896" w:rsidR="007D359A" w:rsidRPr="005452F5" w:rsidRDefault="007D359A">
      <w:pPr>
        <w:pStyle w:val="FootnoteText"/>
        <w:rPr>
          <w:rFonts w:asciiTheme="minorHAnsi" w:hAnsiTheme="minorHAnsi" w:cstheme="minorHAnsi"/>
          <w:sz w:val="14"/>
          <w:szCs w:val="14"/>
        </w:rPr>
      </w:pPr>
      <w:r w:rsidRPr="005452F5">
        <w:rPr>
          <w:rStyle w:val="FootnoteReference"/>
          <w:rFonts w:asciiTheme="minorHAnsi" w:hAnsiTheme="minorHAnsi" w:cstheme="minorHAnsi"/>
          <w:sz w:val="14"/>
          <w:szCs w:val="14"/>
        </w:rPr>
        <w:footnoteRef/>
      </w:r>
      <w:r w:rsidRPr="005452F5">
        <w:rPr>
          <w:rFonts w:asciiTheme="minorHAnsi" w:hAnsiTheme="minorHAnsi" w:cstheme="minorHAnsi"/>
          <w:sz w:val="14"/>
          <w:szCs w:val="14"/>
        </w:rPr>
        <w:t xml:space="preserve"> </w:t>
      </w:r>
      <w:hyperlink r:id="rId156" w:history="1">
        <w:r w:rsidRPr="005452F5">
          <w:rPr>
            <w:rStyle w:val="Hyperlink"/>
            <w:rFonts w:asciiTheme="minorHAnsi" w:hAnsiTheme="minorHAnsi" w:cstheme="minorHAnsi"/>
            <w:sz w:val="14"/>
            <w:szCs w:val="14"/>
          </w:rPr>
          <w:t>ForRefOnly.pdf (dc.gov)</w:t>
        </w:r>
      </w:hyperlink>
    </w:p>
  </w:footnote>
  <w:footnote w:id="177">
    <w:p w14:paraId="758764C2" w14:textId="6C48F82E" w:rsidR="00C43ECA" w:rsidRPr="009D4092" w:rsidRDefault="00C43ECA">
      <w:pPr>
        <w:pStyle w:val="FootnoteText"/>
        <w:rPr>
          <w:sz w:val="14"/>
          <w:szCs w:val="14"/>
        </w:rPr>
      </w:pPr>
      <w:r w:rsidRPr="005452F5">
        <w:rPr>
          <w:rStyle w:val="FootnoteReference"/>
          <w:rFonts w:asciiTheme="minorHAnsi" w:hAnsiTheme="minorHAnsi" w:cstheme="minorHAnsi"/>
          <w:sz w:val="14"/>
          <w:szCs w:val="14"/>
        </w:rPr>
        <w:footnoteRef/>
      </w:r>
      <w:r w:rsidRPr="005452F5">
        <w:rPr>
          <w:rFonts w:asciiTheme="minorHAnsi" w:hAnsiTheme="minorHAnsi" w:cstheme="minorHAnsi"/>
          <w:sz w:val="14"/>
          <w:szCs w:val="14"/>
        </w:rPr>
        <w:t xml:space="preserve"> </w:t>
      </w:r>
      <w:hyperlink r:id="rId157" w:history="1">
        <w:r w:rsidRPr="005452F5">
          <w:rPr>
            <w:rStyle w:val="Hyperlink"/>
            <w:rFonts w:asciiTheme="minorHAnsi" w:hAnsiTheme="minorHAnsi" w:cstheme="minorHAnsi"/>
            <w:sz w:val="14"/>
            <w:szCs w:val="14"/>
          </w:rPr>
          <w:t>California LEED Certified State Buildings</w:t>
        </w:r>
      </w:hyperlink>
    </w:p>
  </w:footnote>
  <w:footnote w:id="178">
    <w:p w14:paraId="18698811" w14:textId="77777777" w:rsidR="006E2239" w:rsidRPr="00F85358" w:rsidRDefault="006E2239" w:rsidP="006E2239">
      <w:pPr>
        <w:pStyle w:val="FootnoteText"/>
        <w:rPr>
          <w:rFonts w:asciiTheme="minorHAnsi" w:hAnsiTheme="minorHAnsi" w:cstheme="minorHAnsi"/>
          <w:sz w:val="16"/>
          <w:szCs w:val="16"/>
        </w:rPr>
      </w:pPr>
      <w:r w:rsidRPr="00F85358">
        <w:rPr>
          <w:rStyle w:val="FootnoteReference"/>
          <w:rFonts w:asciiTheme="minorHAnsi" w:hAnsiTheme="minorHAnsi" w:cstheme="minorHAnsi"/>
          <w:sz w:val="14"/>
          <w:szCs w:val="14"/>
        </w:rPr>
        <w:footnoteRef/>
      </w:r>
      <w:r w:rsidRPr="00F85358">
        <w:rPr>
          <w:rFonts w:asciiTheme="minorHAnsi" w:hAnsiTheme="minorHAnsi" w:cstheme="minorHAnsi"/>
          <w:sz w:val="14"/>
          <w:szCs w:val="14"/>
        </w:rPr>
        <w:t xml:space="preserve"> </w:t>
      </w:r>
      <w:hyperlink r:id="rId158" w:history="1">
        <w:r w:rsidRPr="00F85358">
          <w:rPr>
            <w:rStyle w:val="Hyperlink"/>
            <w:rFonts w:asciiTheme="minorHAnsi" w:hAnsiTheme="minorHAnsi" w:cstheme="minorHAnsi"/>
            <w:sz w:val="14"/>
            <w:szCs w:val="14"/>
          </w:rPr>
          <w:t>Global heat pump sales continue double-digit growth – Analysis - IEA</w:t>
        </w:r>
      </w:hyperlink>
    </w:p>
  </w:footnote>
  <w:footnote w:id="179">
    <w:p w14:paraId="51D98EC0" w14:textId="77777777" w:rsidR="00B151EF" w:rsidRPr="00F85358" w:rsidRDefault="00B151EF" w:rsidP="00D923E9">
      <w:pPr>
        <w:pStyle w:val="FootnoteText"/>
        <w:rPr>
          <w:rFonts w:asciiTheme="minorHAnsi" w:hAnsiTheme="minorHAnsi" w:cstheme="minorHAnsi"/>
          <w:sz w:val="14"/>
          <w:szCs w:val="14"/>
        </w:rPr>
      </w:pPr>
      <w:r w:rsidRPr="00F85358">
        <w:rPr>
          <w:rStyle w:val="FootnoteReference"/>
          <w:rFonts w:asciiTheme="minorHAnsi" w:hAnsiTheme="minorHAnsi" w:cstheme="minorHAnsi"/>
          <w:sz w:val="14"/>
          <w:szCs w:val="14"/>
        </w:rPr>
        <w:footnoteRef/>
      </w:r>
      <w:r w:rsidRPr="00F85358">
        <w:rPr>
          <w:rFonts w:asciiTheme="minorHAnsi" w:hAnsiTheme="minorHAnsi" w:cstheme="minorHAnsi"/>
          <w:sz w:val="14"/>
          <w:szCs w:val="14"/>
        </w:rPr>
        <w:t xml:space="preserve"> Originally part of Energy Performance of Buildings (Certificates and Inspections) (England and Wales) Regulations 2007 (</w:t>
      </w:r>
      <w:hyperlink r:id="rId159" w:anchor=":~:text=The%20Energy%20Performance%20of%20Buildings%20Directive%20is%20an%20EU%20measure,of%20carbon%20produced%20by%20buildings." w:history="1">
        <w:r w:rsidRPr="00F85358">
          <w:rPr>
            <w:rStyle w:val="Hyperlink"/>
            <w:rFonts w:asciiTheme="minorHAnsi" w:hAnsiTheme="minorHAnsi" w:cstheme="minorHAnsi"/>
            <w:sz w:val="14"/>
            <w:szCs w:val="14"/>
          </w:rPr>
          <w:t>Recast of the Energy Performance of Buildings Directive - GOV.UK (www.gov.uk)</w:t>
        </w:r>
      </w:hyperlink>
      <w:r w:rsidRPr="00F85358">
        <w:rPr>
          <w:rFonts w:asciiTheme="minorHAnsi" w:hAnsiTheme="minorHAnsi" w:cstheme="minorHAnsi"/>
          <w:sz w:val="14"/>
          <w:szCs w:val="14"/>
        </w:rPr>
        <w:t>)</w:t>
      </w:r>
    </w:p>
  </w:footnote>
  <w:footnote w:id="180">
    <w:p w14:paraId="22463BE3" w14:textId="77777777" w:rsidR="00B151EF" w:rsidRPr="00F85358" w:rsidRDefault="00B151EF" w:rsidP="00D923E9">
      <w:pPr>
        <w:pStyle w:val="FootnoteText"/>
        <w:rPr>
          <w:rFonts w:asciiTheme="minorHAnsi" w:hAnsiTheme="minorHAnsi" w:cstheme="minorHAnsi"/>
          <w:sz w:val="14"/>
          <w:szCs w:val="14"/>
        </w:rPr>
      </w:pPr>
      <w:r w:rsidRPr="00F85358">
        <w:rPr>
          <w:rStyle w:val="FootnoteReference"/>
          <w:rFonts w:asciiTheme="minorHAnsi" w:hAnsiTheme="minorHAnsi" w:cstheme="minorHAnsi"/>
          <w:sz w:val="14"/>
          <w:szCs w:val="14"/>
        </w:rPr>
        <w:footnoteRef/>
      </w:r>
      <w:r w:rsidRPr="00F85358">
        <w:rPr>
          <w:rFonts w:asciiTheme="minorHAnsi" w:hAnsiTheme="minorHAnsi" w:cstheme="minorHAnsi"/>
          <w:sz w:val="14"/>
          <w:szCs w:val="14"/>
        </w:rPr>
        <w:t xml:space="preserve"> </w:t>
      </w:r>
      <w:hyperlink r:id="rId160" w:history="1">
        <w:r w:rsidRPr="00F85358">
          <w:rPr>
            <w:rStyle w:val="Hyperlink"/>
            <w:rFonts w:asciiTheme="minorHAnsi" w:hAnsiTheme="minorHAnsi" w:cstheme="minorHAnsi"/>
            <w:sz w:val="14"/>
            <w:szCs w:val="14"/>
          </w:rPr>
          <w:t>Large commercial/industrial building energy performance rating framework (energyadvicehub.org)</w:t>
        </w:r>
      </w:hyperlink>
    </w:p>
  </w:footnote>
  <w:footnote w:id="181">
    <w:p w14:paraId="7B7428A9"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1" w:history="1">
        <w:r w:rsidRPr="00D421BF">
          <w:rPr>
            <w:rStyle w:val="Hyperlink"/>
            <w:rFonts w:asciiTheme="minorHAnsi" w:hAnsiTheme="minorHAnsi" w:cstheme="minorHAnsi"/>
            <w:sz w:val="14"/>
            <w:szCs w:val="14"/>
          </w:rPr>
          <w:t>Introducing a performance-based policy framework in large commercial and industrial buildings in England and Wales (publishing.service.gov.uk)</w:t>
        </w:r>
      </w:hyperlink>
    </w:p>
  </w:footnote>
  <w:footnote w:id="182">
    <w:p w14:paraId="3248DA40" w14:textId="3C16C58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2" w:history="1">
        <w:r w:rsidR="00146EA4" w:rsidRPr="00073F20">
          <w:rPr>
            <w:rStyle w:val="Hyperlink"/>
            <w:rFonts w:asciiTheme="minorHAnsi" w:hAnsiTheme="minorHAnsi" w:cstheme="minorHAnsi"/>
            <w:sz w:val="14"/>
            <w:szCs w:val="14"/>
          </w:rPr>
          <w:t>Explained: The new mandatory energy performance rating framework for large commercial and industrial buildings</w:t>
        </w:r>
      </w:hyperlink>
      <w:r w:rsidR="00146EA4">
        <w:rPr>
          <w:rFonts w:asciiTheme="minorHAnsi" w:hAnsiTheme="minorHAnsi" w:cstheme="minorHAnsi"/>
          <w:sz w:val="14"/>
          <w:szCs w:val="14"/>
        </w:rPr>
        <w:t>.</w:t>
      </w:r>
    </w:p>
  </w:footnote>
  <w:footnote w:id="183">
    <w:p w14:paraId="2FE990A8"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3" w:anchor=":~:text=Article%20175%20of%20the%20Law,buildings%20subject%20to%20the%20obligation." w:history="1">
        <w:proofErr w:type="spellStart"/>
        <w:r w:rsidRPr="00D421BF">
          <w:rPr>
            <w:rStyle w:val="Hyperlink"/>
            <w:rFonts w:asciiTheme="minorHAnsi" w:hAnsiTheme="minorHAnsi" w:cstheme="minorHAnsi"/>
            <w:sz w:val="14"/>
            <w:szCs w:val="14"/>
          </w:rPr>
          <w:t>Décret</w:t>
        </w:r>
        <w:proofErr w:type="spellEnd"/>
        <w:r w:rsidRPr="00D421BF">
          <w:rPr>
            <w:rStyle w:val="Hyperlink"/>
            <w:rFonts w:asciiTheme="minorHAnsi" w:hAnsiTheme="minorHAnsi" w:cstheme="minorHAnsi"/>
            <w:sz w:val="14"/>
            <w:szCs w:val="14"/>
          </w:rPr>
          <w:t xml:space="preserve"> </w:t>
        </w:r>
        <w:proofErr w:type="spellStart"/>
        <w:r w:rsidRPr="00D421BF">
          <w:rPr>
            <w:rStyle w:val="Hyperlink"/>
            <w:rFonts w:asciiTheme="minorHAnsi" w:hAnsiTheme="minorHAnsi" w:cstheme="minorHAnsi"/>
            <w:sz w:val="14"/>
            <w:szCs w:val="14"/>
          </w:rPr>
          <w:t>Tertiaire</w:t>
        </w:r>
        <w:proofErr w:type="spellEnd"/>
        <w:r w:rsidRPr="00D421BF">
          <w:rPr>
            <w:rStyle w:val="Hyperlink"/>
            <w:rFonts w:asciiTheme="minorHAnsi" w:hAnsiTheme="minorHAnsi" w:cstheme="minorHAnsi"/>
            <w:sz w:val="14"/>
            <w:szCs w:val="14"/>
          </w:rPr>
          <w:t xml:space="preserve">: One Year </w:t>
        </w:r>
        <w:proofErr w:type="gramStart"/>
        <w:r w:rsidRPr="00D421BF">
          <w:rPr>
            <w:rStyle w:val="Hyperlink"/>
            <w:rFonts w:asciiTheme="minorHAnsi" w:hAnsiTheme="minorHAnsi" w:cstheme="minorHAnsi"/>
            <w:sz w:val="14"/>
            <w:szCs w:val="14"/>
          </w:rPr>
          <w:t>For</w:t>
        </w:r>
        <w:proofErr w:type="gramEnd"/>
        <w:r w:rsidRPr="00D421BF">
          <w:rPr>
            <w:rStyle w:val="Hyperlink"/>
            <w:rFonts w:asciiTheme="minorHAnsi" w:hAnsiTheme="minorHAnsi" w:cstheme="minorHAnsi"/>
            <w:sz w:val="14"/>
            <w:szCs w:val="14"/>
          </w:rPr>
          <w:t xml:space="preserve"> French Building Owners to Comply | Schneider Electric (se.com)</w:t>
        </w:r>
      </w:hyperlink>
    </w:p>
  </w:footnote>
  <w:footnote w:id="184">
    <w:p w14:paraId="2E5F5AD8"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4" w:anchor=":~:text=The%20new%20Buildings%20Energy%20Act%20sets%20out%20requirements%20for%20the,of%20renewable%20energy%20in%20buildings.&amp;text=The%20new%20Buildings%20Energy%20Act%20was%20promulgated%20in%20the,Gazette%20on%2013%20August%202020." w:history="1">
        <w:r w:rsidRPr="00D421BF">
          <w:rPr>
            <w:rStyle w:val="Hyperlink"/>
            <w:rFonts w:asciiTheme="minorHAnsi" w:hAnsiTheme="minorHAnsi" w:cstheme="minorHAnsi"/>
            <w:sz w:val="14"/>
            <w:szCs w:val="14"/>
          </w:rPr>
          <w:t>BMI - Buildings Energy Act (bund.de)</w:t>
        </w:r>
      </w:hyperlink>
    </w:p>
  </w:footnote>
  <w:footnote w:id="185">
    <w:p w14:paraId="1B2CD3D5"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Uses primary energy consumption per square metre of usable floor area (kWh/m²a) as the metric to measure a building's energy efficiency.</w:t>
      </w:r>
    </w:p>
  </w:footnote>
  <w:footnote w:id="186">
    <w:p w14:paraId="21C7512C"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5" w:history="1">
        <w:r w:rsidRPr="00D421BF">
          <w:rPr>
            <w:rStyle w:val="Hyperlink"/>
            <w:rFonts w:asciiTheme="minorHAnsi" w:hAnsiTheme="minorHAnsi" w:cstheme="minorHAnsi"/>
            <w:sz w:val="14"/>
            <w:szCs w:val="14"/>
          </w:rPr>
          <w:t>Building Energy Efficiency Act – Policies - IEA</w:t>
        </w:r>
      </w:hyperlink>
      <w:r w:rsidRPr="00D421BF">
        <w:rPr>
          <w:rFonts w:asciiTheme="minorHAnsi" w:hAnsiTheme="minorHAnsi" w:cstheme="minorHAnsi"/>
          <w:sz w:val="14"/>
          <w:szCs w:val="14"/>
        </w:rPr>
        <w:t xml:space="preserve">; </w:t>
      </w:r>
      <w:hyperlink r:id="rId166" w:history="1">
        <w:r w:rsidRPr="00D421BF">
          <w:rPr>
            <w:rStyle w:val="Hyperlink"/>
            <w:rFonts w:asciiTheme="minorHAnsi" w:hAnsiTheme="minorHAnsi" w:cstheme="minorHAnsi"/>
            <w:sz w:val="14"/>
            <w:szCs w:val="14"/>
          </w:rPr>
          <w:t>2016-Cover_ver5_light (mlit.go.jp)</w:t>
        </w:r>
      </w:hyperlink>
    </w:p>
  </w:footnote>
  <w:footnote w:id="187">
    <w:p w14:paraId="7681C0B3"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7" w:history="1">
        <w:r w:rsidRPr="00D421BF">
          <w:rPr>
            <w:rStyle w:val="Hyperlink"/>
            <w:rFonts w:asciiTheme="minorHAnsi" w:hAnsiTheme="minorHAnsi" w:cstheme="minorHAnsi"/>
            <w:sz w:val="14"/>
            <w:szCs w:val="14"/>
          </w:rPr>
          <w:t xml:space="preserve">Building Energy Disclosure | </w:t>
        </w:r>
        <w:proofErr w:type="spellStart"/>
        <w:r w:rsidRPr="00D421BF">
          <w:rPr>
            <w:rStyle w:val="Hyperlink"/>
            <w:rFonts w:asciiTheme="minorHAnsi" w:hAnsiTheme="minorHAnsi" w:cstheme="minorHAnsi"/>
            <w:sz w:val="14"/>
            <w:szCs w:val="14"/>
          </w:rPr>
          <w:t>ACEEE</w:t>
        </w:r>
        <w:proofErr w:type="spellEnd"/>
      </w:hyperlink>
    </w:p>
  </w:footnote>
  <w:footnote w:id="188">
    <w:p w14:paraId="6ACA8A50" w14:textId="77777777" w:rsidR="00B151EF" w:rsidRPr="0019528D" w:rsidRDefault="00B151EF" w:rsidP="00D923E9">
      <w:pPr>
        <w:pStyle w:val="FootnoteText"/>
        <w:rPr>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8" w:history="1">
        <w:r w:rsidRPr="00D421BF">
          <w:rPr>
            <w:rStyle w:val="Hyperlink"/>
            <w:rFonts w:asciiTheme="minorHAnsi" w:hAnsiTheme="minorHAnsi" w:cstheme="minorHAnsi"/>
            <w:sz w:val="14"/>
            <w:szCs w:val="14"/>
          </w:rPr>
          <w:t>ENERGY STAR Commercial Buildings | ENERGY STAR makes it easy for consumers and businesses to save money and protect the environment.</w:t>
        </w:r>
      </w:hyperlink>
    </w:p>
  </w:footnote>
  <w:footnote w:id="189">
    <w:p w14:paraId="7728FF7E"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69" w:history="1">
        <w:r w:rsidRPr="00D421BF">
          <w:rPr>
            <w:rStyle w:val="Hyperlink"/>
            <w:rFonts w:asciiTheme="minorHAnsi" w:hAnsiTheme="minorHAnsi" w:cstheme="minorHAnsi"/>
            <w:sz w:val="14"/>
            <w:szCs w:val="14"/>
          </w:rPr>
          <w:t xml:space="preserve">Building Energy Disclosure | </w:t>
        </w:r>
        <w:proofErr w:type="spellStart"/>
        <w:r w:rsidRPr="00D421BF">
          <w:rPr>
            <w:rStyle w:val="Hyperlink"/>
            <w:rFonts w:asciiTheme="minorHAnsi" w:hAnsiTheme="minorHAnsi" w:cstheme="minorHAnsi"/>
            <w:sz w:val="14"/>
            <w:szCs w:val="14"/>
          </w:rPr>
          <w:t>ACEEE</w:t>
        </w:r>
        <w:proofErr w:type="spellEnd"/>
      </w:hyperlink>
      <w:r w:rsidRPr="00D421BF">
        <w:rPr>
          <w:rFonts w:asciiTheme="minorHAnsi" w:hAnsiTheme="minorHAnsi" w:cstheme="minorHAnsi"/>
          <w:sz w:val="14"/>
          <w:szCs w:val="14"/>
        </w:rPr>
        <w:t xml:space="preserve"> </w:t>
      </w:r>
    </w:p>
  </w:footnote>
  <w:footnote w:id="190">
    <w:p w14:paraId="7ADE7C48"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70" w:anchor=":~:text=Under%20this%20groundbreaking%20law%2C%20most,coming%20into%20effect%20in%202030." w:history="1">
        <w:r w:rsidRPr="00D421BF">
          <w:rPr>
            <w:rStyle w:val="Hyperlink"/>
            <w:rFonts w:asciiTheme="minorHAnsi" w:hAnsiTheme="minorHAnsi" w:cstheme="minorHAnsi"/>
            <w:sz w:val="14"/>
            <w:szCs w:val="14"/>
          </w:rPr>
          <w:t>Local Law 97 - Sustainable Buildings (nyc.gov)</w:t>
        </w:r>
      </w:hyperlink>
    </w:p>
  </w:footnote>
  <w:footnote w:id="191">
    <w:p w14:paraId="4452CB92" w14:textId="77777777" w:rsidR="00B151EF" w:rsidRPr="00D421BF" w:rsidRDefault="00B151EF" w:rsidP="00D923E9">
      <w:pPr>
        <w:pStyle w:val="FootnoteText"/>
        <w:rPr>
          <w:rFonts w:asciiTheme="minorHAnsi" w:hAnsiTheme="minorHAnsi" w:cstheme="minorHAnsi"/>
          <w:sz w:val="14"/>
          <w:szCs w:val="14"/>
        </w:rPr>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Assuming 1M buildings in NY city </w:t>
      </w:r>
      <w:hyperlink r:id="rId171" w:anchor=":~:text=An%20Overview%20of%20the%20Buildings%20in%20NYC&amp;text=According%20to%20one%20estimate%2C%20there,buildings%20within%20the%20city%20limits." w:history="1">
        <w:r w:rsidRPr="00D421BF">
          <w:rPr>
            <w:rStyle w:val="Hyperlink"/>
            <w:rFonts w:asciiTheme="minorHAnsi" w:hAnsiTheme="minorHAnsi" w:cstheme="minorHAnsi"/>
            <w:sz w:val="14"/>
            <w:szCs w:val="14"/>
          </w:rPr>
          <w:t>How Many Buildings are in New York – One Nine Elms</w:t>
        </w:r>
      </w:hyperlink>
    </w:p>
  </w:footnote>
  <w:footnote w:id="192">
    <w:p w14:paraId="37586BCB" w14:textId="77777777" w:rsidR="00B151EF" w:rsidRDefault="00B151EF" w:rsidP="00D923E9">
      <w:pPr>
        <w:pStyle w:val="FootnoteText"/>
      </w:pPr>
      <w:r w:rsidRPr="00D421BF">
        <w:rPr>
          <w:rStyle w:val="FootnoteReference"/>
          <w:rFonts w:asciiTheme="minorHAnsi" w:hAnsiTheme="minorHAnsi" w:cstheme="minorHAnsi"/>
          <w:sz w:val="14"/>
          <w:szCs w:val="14"/>
        </w:rPr>
        <w:footnoteRef/>
      </w:r>
      <w:r w:rsidRPr="00D421BF">
        <w:rPr>
          <w:rFonts w:asciiTheme="minorHAnsi" w:hAnsiTheme="minorHAnsi" w:cstheme="minorHAnsi"/>
          <w:sz w:val="14"/>
          <w:szCs w:val="14"/>
        </w:rPr>
        <w:t xml:space="preserve"> </w:t>
      </w:r>
      <w:hyperlink r:id="rId172" w:history="1">
        <w:r w:rsidRPr="00D421BF">
          <w:rPr>
            <w:rStyle w:val="Hyperlink"/>
            <w:rFonts w:asciiTheme="minorHAnsi" w:hAnsiTheme="minorHAnsi" w:cstheme="minorHAnsi"/>
            <w:sz w:val="14"/>
            <w:szCs w:val="14"/>
          </w:rPr>
          <w:t>Covered Buildings - Sustainable Buildings (nyc.gov)</w:t>
        </w:r>
      </w:hyperlink>
    </w:p>
  </w:footnote>
  <w:footnote w:id="193">
    <w:p w14:paraId="11197A66" w14:textId="7FE768C9" w:rsidR="001A0C6E" w:rsidRPr="008A65F7" w:rsidRDefault="001A0C6E" w:rsidP="001A0C6E">
      <w:pPr>
        <w:pStyle w:val="FootnoteText"/>
        <w:rPr>
          <w:rFonts w:asciiTheme="minorHAnsi" w:hAnsiTheme="minorHAnsi" w:cstheme="minorHAnsi"/>
          <w:sz w:val="14"/>
          <w:szCs w:val="14"/>
        </w:rPr>
      </w:pPr>
      <w:r w:rsidRPr="008A65F7">
        <w:rPr>
          <w:rStyle w:val="FootnoteReference"/>
          <w:rFonts w:asciiTheme="minorHAnsi" w:hAnsiTheme="minorHAnsi" w:cstheme="minorHAnsi"/>
          <w:sz w:val="14"/>
          <w:szCs w:val="14"/>
        </w:rPr>
        <w:footnoteRef/>
      </w:r>
      <w:r w:rsidRPr="008A65F7">
        <w:rPr>
          <w:rFonts w:asciiTheme="minorHAnsi" w:hAnsiTheme="minorHAnsi" w:cstheme="minorHAnsi"/>
          <w:sz w:val="14"/>
          <w:szCs w:val="14"/>
        </w:rPr>
        <w:t xml:space="preserve"> </w:t>
      </w:r>
      <w:hyperlink r:id="rId173" w:history="1">
        <w:r w:rsidR="006830BD" w:rsidRPr="006830BD">
          <w:rPr>
            <w:rStyle w:val="Hyperlink"/>
            <w:rFonts w:asciiTheme="minorHAnsi" w:hAnsiTheme="minorHAnsi" w:cstheme="minorHAnsi"/>
            <w:sz w:val="14"/>
            <w:szCs w:val="14"/>
          </w:rPr>
          <w:t>About Energy Star</w:t>
        </w:r>
      </w:hyperlink>
      <w:r w:rsidR="006830BD">
        <w:rPr>
          <w:rFonts w:asciiTheme="minorHAnsi" w:hAnsiTheme="minorHAnsi" w:cstheme="minorHAnsi"/>
          <w:sz w:val="14"/>
          <w:szCs w:val="14"/>
        </w:rPr>
        <w:t>.</w:t>
      </w:r>
      <w:r w:rsidRPr="008A65F7">
        <w:rPr>
          <w:rFonts w:asciiTheme="minorHAnsi" w:hAnsiTheme="minorHAnsi" w:cstheme="minorHAnsi"/>
          <w:sz w:val="14"/>
          <w:szCs w:val="14"/>
        </w:rPr>
        <w:t xml:space="preserve">  </w:t>
      </w:r>
    </w:p>
  </w:footnote>
  <w:footnote w:id="194">
    <w:p w14:paraId="197956A0" w14:textId="77777777" w:rsidR="001A0C6E" w:rsidRPr="008A65F7" w:rsidRDefault="001A0C6E" w:rsidP="001A0C6E">
      <w:pPr>
        <w:pStyle w:val="FootnoteText"/>
        <w:rPr>
          <w:rFonts w:asciiTheme="minorHAnsi" w:hAnsiTheme="minorHAnsi" w:cstheme="minorHAnsi"/>
          <w:sz w:val="14"/>
          <w:szCs w:val="14"/>
        </w:rPr>
      </w:pPr>
      <w:r w:rsidRPr="008A65F7">
        <w:rPr>
          <w:rStyle w:val="FootnoteReference"/>
          <w:rFonts w:asciiTheme="minorHAnsi" w:hAnsiTheme="minorHAnsi" w:cstheme="minorHAnsi"/>
          <w:sz w:val="14"/>
          <w:szCs w:val="14"/>
        </w:rPr>
        <w:footnoteRef/>
      </w:r>
      <w:hyperlink r:id="rId174" w:history="1">
        <w:r w:rsidRPr="008A65F7">
          <w:rPr>
            <w:rStyle w:val="Hyperlink"/>
            <w:rFonts w:asciiTheme="minorHAnsi" w:hAnsiTheme="minorHAnsi" w:cstheme="minorHAnsi"/>
            <w:sz w:val="14"/>
            <w:szCs w:val="14"/>
          </w:rPr>
          <w:t>National Awareness of ENERGY STAR for 2016 (cee1.org)</w:t>
        </w:r>
      </w:hyperlink>
    </w:p>
  </w:footnote>
  <w:footnote w:id="195">
    <w:p w14:paraId="5EFCFB1C" w14:textId="77777777" w:rsidR="001A0C6E" w:rsidRPr="008A65F7" w:rsidRDefault="001A0C6E" w:rsidP="001A0C6E">
      <w:pPr>
        <w:pStyle w:val="FootnoteText"/>
        <w:rPr>
          <w:rFonts w:asciiTheme="minorHAnsi" w:hAnsiTheme="minorHAnsi" w:cstheme="minorHAnsi"/>
          <w:sz w:val="14"/>
          <w:szCs w:val="14"/>
        </w:rPr>
      </w:pPr>
      <w:r w:rsidRPr="008A65F7">
        <w:rPr>
          <w:rStyle w:val="FootnoteReference"/>
          <w:rFonts w:asciiTheme="minorHAnsi" w:hAnsiTheme="minorHAnsi" w:cstheme="minorHAnsi"/>
          <w:sz w:val="14"/>
          <w:szCs w:val="14"/>
        </w:rPr>
        <w:footnoteRef/>
      </w:r>
      <w:r w:rsidRPr="008A65F7">
        <w:rPr>
          <w:rFonts w:asciiTheme="minorHAnsi" w:hAnsiTheme="minorHAnsi" w:cstheme="minorHAnsi"/>
          <w:sz w:val="14"/>
          <w:szCs w:val="14"/>
        </w:rPr>
        <w:t xml:space="preserve"> </w:t>
      </w:r>
      <w:hyperlink r:id="rId175" w:history="1">
        <w:r w:rsidRPr="008A65F7">
          <w:rPr>
            <w:rStyle w:val="Hyperlink"/>
            <w:rFonts w:asciiTheme="minorHAnsi" w:hAnsiTheme="minorHAnsi" w:cstheme="minorHAnsi"/>
            <w:sz w:val="14"/>
            <w:szCs w:val="14"/>
          </w:rPr>
          <w:t>ENERGY STAR International Partners | ENERGY STAR</w:t>
        </w:r>
      </w:hyperlink>
      <w:r w:rsidRPr="008A65F7">
        <w:rPr>
          <w:rFonts w:asciiTheme="minorHAnsi" w:hAnsiTheme="minorHAnsi" w:cstheme="minorHAnsi"/>
          <w:sz w:val="14"/>
          <w:szCs w:val="14"/>
        </w:rPr>
        <w:t xml:space="preserve">  </w:t>
      </w:r>
    </w:p>
  </w:footnote>
  <w:footnote w:id="196">
    <w:p w14:paraId="2A3A49D9" w14:textId="77777777" w:rsidR="001A0C6E" w:rsidRPr="008A65F7" w:rsidRDefault="001A0C6E" w:rsidP="001A0C6E">
      <w:pPr>
        <w:pStyle w:val="FootnoteText"/>
        <w:rPr>
          <w:rFonts w:asciiTheme="minorHAnsi" w:hAnsiTheme="minorHAnsi" w:cstheme="minorHAnsi"/>
          <w:sz w:val="14"/>
          <w:szCs w:val="14"/>
        </w:rPr>
      </w:pPr>
      <w:r w:rsidRPr="008A65F7">
        <w:rPr>
          <w:rStyle w:val="FootnoteReference"/>
          <w:rFonts w:asciiTheme="minorHAnsi" w:hAnsiTheme="minorHAnsi" w:cstheme="minorHAnsi"/>
          <w:sz w:val="14"/>
          <w:szCs w:val="14"/>
        </w:rPr>
        <w:footnoteRef/>
      </w:r>
      <w:r w:rsidRPr="008A65F7">
        <w:rPr>
          <w:rFonts w:asciiTheme="minorHAnsi" w:hAnsiTheme="minorHAnsi" w:cstheme="minorHAnsi"/>
          <w:sz w:val="14"/>
          <w:szCs w:val="14"/>
        </w:rPr>
        <w:t xml:space="preserve"> </w:t>
      </w:r>
      <w:hyperlink r:id="rId176" w:history="1">
        <w:r w:rsidRPr="008A65F7">
          <w:rPr>
            <w:rStyle w:val="Hyperlink"/>
            <w:rFonts w:asciiTheme="minorHAnsi" w:hAnsiTheme="minorHAnsi" w:cstheme="minorHAnsi"/>
            <w:sz w:val="14"/>
            <w:szCs w:val="14"/>
          </w:rPr>
          <w:t>Property Types Eligible to Receive a 1-100 ENERGY STAR Score | ENERGY STAR</w:t>
        </w:r>
      </w:hyperlink>
    </w:p>
  </w:footnote>
  <w:footnote w:id="197">
    <w:p w14:paraId="3841021F" w14:textId="2B7D2505" w:rsidR="00760D92" w:rsidRPr="00113CCA" w:rsidRDefault="00760D92" w:rsidP="00760D92">
      <w:pPr>
        <w:pStyle w:val="FootnoteText"/>
        <w:rPr>
          <w:sz w:val="14"/>
          <w:szCs w:val="14"/>
        </w:rPr>
      </w:pPr>
      <w:r w:rsidRPr="008A65F7">
        <w:rPr>
          <w:rStyle w:val="FootnoteReference"/>
          <w:rFonts w:asciiTheme="minorHAnsi" w:hAnsiTheme="minorHAnsi" w:cstheme="minorHAnsi"/>
          <w:sz w:val="14"/>
          <w:szCs w:val="14"/>
        </w:rPr>
        <w:footnoteRef/>
      </w:r>
      <w:r w:rsidRPr="008A65F7">
        <w:rPr>
          <w:rFonts w:asciiTheme="minorHAnsi" w:hAnsiTheme="minorHAnsi" w:cstheme="minorHAnsi"/>
          <w:sz w:val="14"/>
          <w:szCs w:val="14"/>
        </w:rPr>
        <w:t xml:space="preserve"> </w:t>
      </w:r>
      <w:hyperlink r:id="rId177" w:history="1">
        <w:r w:rsidR="00B9575F" w:rsidRPr="00B9575F">
          <w:rPr>
            <w:rStyle w:val="Hyperlink"/>
            <w:rFonts w:asciiTheme="minorHAnsi" w:hAnsiTheme="minorHAnsi" w:cstheme="minorHAnsi"/>
            <w:sz w:val="14"/>
            <w:szCs w:val="14"/>
          </w:rPr>
          <w:t>Energy Performance Certificates Across the EU</w:t>
        </w:r>
      </w:hyperlink>
    </w:p>
  </w:footnote>
  <w:footnote w:id="198">
    <w:p w14:paraId="30FB40D2" w14:textId="1E11D8B4" w:rsidR="00760D92" w:rsidRPr="00354FAF" w:rsidRDefault="00760D92" w:rsidP="00760D92">
      <w:pPr>
        <w:pStyle w:val="FootnoteText"/>
        <w:rPr>
          <w:rFonts w:asciiTheme="minorHAnsi" w:hAnsiTheme="minorHAnsi" w:cstheme="minorHAnsi"/>
          <w:sz w:val="14"/>
          <w:szCs w:val="14"/>
        </w:rPr>
      </w:pPr>
      <w:r w:rsidRPr="008A65F7">
        <w:rPr>
          <w:rStyle w:val="FootnoteReference"/>
          <w:rFonts w:asciiTheme="minorHAnsi" w:hAnsiTheme="minorHAnsi" w:cstheme="minorHAnsi"/>
          <w:sz w:val="14"/>
          <w:szCs w:val="14"/>
        </w:rPr>
        <w:footnoteRef/>
      </w:r>
      <w:r w:rsidRPr="008A65F7">
        <w:rPr>
          <w:rFonts w:asciiTheme="minorHAnsi" w:hAnsiTheme="minorHAnsi" w:cstheme="minorHAnsi"/>
          <w:sz w:val="14"/>
          <w:szCs w:val="14"/>
        </w:rPr>
        <w:t xml:space="preserve"> </w:t>
      </w:r>
      <w:hyperlink r:id="rId178" w:history="1">
        <w:r w:rsidR="00B9575F" w:rsidRPr="00B9575F">
          <w:rPr>
            <w:rStyle w:val="Hyperlink"/>
            <w:rFonts w:asciiTheme="minorHAnsi" w:hAnsiTheme="minorHAnsi" w:cstheme="minorHAnsi"/>
            <w:sz w:val="14"/>
            <w:szCs w:val="14"/>
          </w:rPr>
          <w:t>Energy Performance Certificates Across the EU</w:t>
        </w:r>
      </w:hyperlink>
    </w:p>
  </w:footnote>
  <w:footnote w:id="199">
    <w:p w14:paraId="31F27ECC" w14:textId="77777777" w:rsidR="00760D92" w:rsidRPr="00354FAF" w:rsidRDefault="00760D92" w:rsidP="00760D92">
      <w:pPr>
        <w:pStyle w:val="FootnoteText"/>
        <w:rPr>
          <w:rFonts w:asciiTheme="minorHAnsi" w:hAnsiTheme="minorHAnsi" w:cstheme="minorHAnsi"/>
          <w:sz w:val="14"/>
          <w:szCs w:val="14"/>
        </w:rPr>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w:t>
      </w:r>
      <w:hyperlink r:id="rId179" w:history="1">
        <w:r w:rsidRPr="00354FAF">
          <w:rPr>
            <w:rStyle w:val="Hyperlink"/>
            <w:rFonts w:asciiTheme="minorHAnsi" w:hAnsiTheme="minorHAnsi" w:cstheme="minorHAnsi"/>
            <w:sz w:val="14"/>
            <w:szCs w:val="14"/>
          </w:rPr>
          <w:t>Energy performance of buildings directive (europa.eu)</w:t>
        </w:r>
      </w:hyperlink>
    </w:p>
  </w:footnote>
  <w:footnote w:id="200">
    <w:p w14:paraId="3EF72F07" w14:textId="77777777" w:rsidR="00760D92" w:rsidRDefault="00760D92" w:rsidP="00760D92">
      <w:pPr>
        <w:pStyle w:val="FootnoteText"/>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w:t>
      </w:r>
      <w:hyperlink r:id="rId180" w:history="1">
        <w:proofErr w:type="spellStart"/>
        <w:r w:rsidRPr="00354FAF">
          <w:rPr>
            <w:rStyle w:val="Hyperlink"/>
            <w:rFonts w:asciiTheme="minorHAnsi" w:hAnsiTheme="minorHAnsi" w:cstheme="minorHAnsi"/>
            <w:sz w:val="14"/>
            <w:szCs w:val="14"/>
          </w:rPr>
          <w:t>EPCs</w:t>
        </w:r>
        <w:proofErr w:type="spellEnd"/>
        <w:r w:rsidRPr="00354FAF">
          <w:rPr>
            <w:rStyle w:val="Hyperlink"/>
            <w:rFonts w:asciiTheme="minorHAnsi" w:hAnsiTheme="minorHAnsi" w:cstheme="minorHAnsi"/>
            <w:sz w:val="14"/>
            <w:szCs w:val="14"/>
          </w:rPr>
          <w:t xml:space="preserve"> for Commercial Buildings: What You Need to Know for 2023 | Darwin Gray</w:t>
        </w:r>
      </w:hyperlink>
    </w:p>
  </w:footnote>
  <w:footnote w:id="201">
    <w:p w14:paraId="537B8B43" w14:textId="11BDE71B" w:rsidR="001D3B1F" w:rsidRDefault="001D3B1F">
      <w:pPr>
        <w:pStyle w:val="FootnoteText"/>
      </w:pPr>
      <w:r w:rsidRPr="001D3B1F">
        <w:rPr>
          <w:rStyle w:val="FootnoteReference"/>
          <w:rFonts w:asciiTheme="minorHAnsi" w:hAnsiTheme="minorHAnsi" w:cstheme="minorHAnsi"/>
          <w:sz w:val="14"/>
          <w:szCs w:val="14"/>
        </w:rPr>
        <w:footnoteRef/>
      </w:r>
      <w:r w:rsidRPr="001D3B1F">
        <w:rPr>
          <w:rStyle w:val="FootnoteReference"/>
          <w:rFonts w:asciiTheme="minorHAnsi" w:hAnsiTheme="minorHAnsi" w:cstheme="minorHAnsi"/>
          <w:sz w:val="14"/>
          <w:szCs w:val="14"/>
        </w:rPr>
        <w:t xml:space="preserve"> </w:t>
      </w:r>
      <w:hyperlink r:id="rId181" w:history="1">
        <w:r w:rsidR="00C2441B" w:rsidRPr="00C2441B">
          <w:rPr>
            <w:rStyle w:val="Hyperlink"/>
            <w:rFonts w:asciiTheme="minorHAnsi" w:hAnsiTheme="minorHAnsi" w:cstheme="minorHAnsi"/>
            <w:sz w:val="14"/>
            <w:szCs w:val="14"/>
          </w:rPr>
          <w:t>New Energy Efficiency Rules – the Implication for Commercial Landlords</w:t>
        </w:r>
      </w:hyperlink>
    </w:p>
  </w:footnote>
  <w:footnote w:id="202">
    <w:p w14:paraId="4317FC42" w14:textId="71D085B3" w:rsidR="00FD1157" w:rsidRPr="00354FAF" w:rsidRDefault="00FD1157">
      <w:pPr>
        <w:pStyle w:val="FootnoteText"/>
        <w:rPr>
          <w:rFonts w:asciiTheme="minorHAnsi" w:hAnsiTheme="minorHAnsi" w:cstheme="minorHAnsi"/>
          <w:sz w:val="14"/>
          <w:szCs w:val="14"/>
        </w:rPr>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From </w:t>
      </w:r>
      <w:hyperlink r:id="rId182" w:history="1">
        <w:r w:rsidRPr="00354FAF">
          <w:rPr>
            <w:rStyle w:val="Hyperlink"/>
            <w:rFonts w:asciiTheme="minorHAnsi" w:hAnsiTheme="minorHAnsi" w:cstheme="minorHAnsi"/>
            <w:sz w:val="14"/>
            <w:szCs w:val="14"/>
          </w:rPr>
          <w:t>Display energy certificate (DEC) – Find an energy certificate – GOV.UK (find-energy-certificate.service.gov.uk)</w:t>
        </w:r>
      </w:hyperlink>
    </w:p>
  </w:footnote>
  <w:footnote w:id="203">
    <w:p w14:paraId="1299E2BB" w14:textId="25C1675F" w:rsidR="007E2886" w:rsidRDefault="007E2886">
      <w:pPr>
        <w:pStyle w:val="FootnoteText"/>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w:t>
      </w:r>
      <w:hyperlink r:id="rId183" w:history="1">
        <w:r w:rsidR="00A96B21" w:rsidRPr="00354FAF">
          <w:rPr>
            <w:rStyle w:val="Hyperlink"/>
            <w:rFonts w:asciiTheme="minorHAnsi" w:hAnsiTheme="minorHAnsi" w:cstheme="minorHAnsi"/>
            <w:sz w:val="14"/>
            <w:szCs w:val="14"/>
          </w:rPr>
          <w:t>EPC regulations for commercial property | Harper James</w:t>
        </w:r>
      </w:hyperlink>
    </w:p>
  </w:footnote>
  <w:footnote w:id="204">
    <w:p w14:paraId="56C72CF0" w14:textId="004FEA85" w:rsidR="00D67804" w:rsidRPr="00354FAF" w:rsidRDefault="00D67804">
      <w:pPr>
        <w:pStyle w:val="FootnoteText"/>
        <w:rPr>
          <w:rFonts w:asciiTheme="minorHAnsi" w:hAnsiTheme="minorHAnsi" w:cstheme="minorHAnsi"/>
          <w:sz w:val="14"/>
          <w:szCs w:val="14"/>
        </w:rPr>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w:t>
      </w:r>
      <w:hyperlink r:id="rId184" w:history="1">
        <w:r w:rsidR="00644AF1" w:rsidRPr="00644AF1">
          <w:rPr>
            <w:rStyle w:val="Hyperlink"/>
            <w:rFonts w:asciiTheme="minorHAnsi" w:hAnsiTheme="minorHAnsi" w:cstheme="minorHAnsi"/>
            <w:sz w:val="14"/>
            <w:szCs w:val="14"/>
          </w:rPr>
          <w:t>Korea’s Energy Standards &amp; Labelling.</w:t>
        </w:r>
      </w:hyperlink>
    </w:p>
  </w:footnote>
  <w:footnote w:id="205">
    <w:p w14:paraId="2F14C7AC" w14:textId="415518E3" w:rsidR="00D67804" w:rsidRDefault="00D67804">
      <w:pPr>
        <w:pStyle w:val="FootnoteText"/>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w:t>
      </w:r>
      <w:hyperlink r:id="rId185" w:history="1">
        <w:r w:rsidR="00D33FB9" w:rsidRPr="00D33FB9">
          <w:rPr>
            <w:rStyle w:val="Hyperlink"/>
            <w:rFonts w:asciiTheme="minorHAnsi" w:hAnsiTheme="minorHAnsi" w:cstheme="minorHAnsi"/>
            <w:sz w:val="14"/>
            <w:szCs w:val="14"/>
          </w:rPr>
          <w:t>Sustainable Energy Strategy for Iran.</w:t>
        </w:r>
      </w:hyperlink>
    </w:p>
  </w:footnote>
  <w:footnote w:id="206">
    <w:p w14:paraId="6C674124" w14:textId="02943A17" w:rsidR="00E92CA0" w:rsidRPr="00354FAF" w:rsidRDefault="00E92CA0">
      <w:pPr>
        <w:pStyle w:val="FootnoteText"/>
        <w:rPr>
          <w:rFonts w:asciiTheme="minorHAnsi" w:hAnsiTheme="minorHAnsi" w:cstheme="minorHAnsi"/>
          <w:sz w:val="14"/>
          <w:szCs w:val="14"/>
        </w:rPr>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w:t>
      </w:r>
      <w:r w:rsidR="0078135D" w:rsidRPr="00354FAF">
        <w:rPr>
          <w:rFonts w:asciiTheme="minorHAnsi" w:hAnsiTheme="minorHAnsi" w:cstheme="minorHAnsi"/>
          <w:sz w:val="14"/>
          <w:szCs w:val="14"/>
        </w:rPr>
        <w:t xml:space="preserve">From </w:t>
      </w:r>
      <w:hyperlink r:id="rId186" w:history="1">
        <w:r w:rsidR="0078135D" w:rsidRPr="00354FAF">
          <w:rPr>
            <w:rStyle w:val="Hyperlink"/>
            <w:rFonts w:asciiTheme="minorHAnsi" w:hAnsiTheme="minorHAnsi" w:cstheme="minorHAnsi"/>
            <w:sz w:val="14"/>
            <w:szCs w:val="14"/>
          </w:rPr>
          <w:t>bldgs_ee_rating.pdf (nyc.gov)</w:t>
        </w:r>
      </w:hyperlink>
    </w:p>
  </w:footnote>
  <w:footnote w:id="207">
    <w:p w14:paraId="77C85EA2" w14:textId="5FE668E9" w:rsidR="00451B90" w:rsidRDefault="00451B90">
      <w:pPr>
        <w:pStyle w:val="FootnoteText"/>
      </w:pPr>
      <w:r w:rsidRPr="00354FAF">
        <w:rPr>
          <w:rStyle w:val="FootnoteReference"/>
          <w:rFonts w:asciiTheme="minorHAnsi" w:hAnsiTheme="minorHAnsi" w:cstheme="minorHAnsi"/>
          <w:sz w:val="14"/>
          <w:szCs w:val="14"/>
        </w:rPr>
        <w:footnoteRef/>
      </w:r>
      <w:r w:rsidRPr="00354FAF">
        <w:rPr>
          <w:rFonts w:asciiTheme="minorHAnsi" w:hAnsiTheme="minorHAnsi" w:cstheme="minorHAnsi"/>
          <w:sz w:val="14"/>
          <w:szCs w:val="14"/>
        </w:rPr>
        <w:t xml:space="preserve"> From </w:t>
      </w:r>
      <w:hyperlink r:id="rId187" w:history="1">
        <w:r w:rsidRPr="00354FAF">
          <w:rPr>
            <w:rStyle w:val="Hyperlink"/>
            <w:rFonts w:asciiTheme="minorHAnsi" w:hAnsiTheme="minorHAnsi" w:cstheme="minorHAnsi"/>
            <w:sz w:val="14"/>
            <w:szCs w:val="14"/>
          </w:rPr>
          <w:t>Does my Building Meet the BEPS? - Building Energy Performance Standard - BEAM Helpdesk (beam-portal.org)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0390" w14:textId="77777777" w:rsidR="00CE06EF" w:rsidRDefault="00CE06EF">
    <w:pPr>
      <w:pStyle w:val="Header"/>
    </w:pPr>
  </w:p>
  <w:p w14:paraId="08C64D62" w14:textId="77777777" w:rsidR="007C65E8" w:rsidRDefault="007C65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9CF5" w14:textId="114B948C" w:rsidR="00C34053" w:rsidRDefault="00C340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CBFB" w14:textId="3E57F8DA" w:rsidR="00F07DFA" w:rsidRDefault="00F07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5EF6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CA8EFC4"/>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73A867A"/>
    <w:lvl w:ilvl="0">
      <w:start w:val="1"/>
      <w:numFmt w:val="bullet"/>
      <w:pStyle w:val="ListBullet5"/>
      <w:lvlText w:val=""/>
      <w:lvlJc w:val="left"/>
      <w:pPr>
        <w:tabs>
          <w:tab w:val="num" w:pos="1492"/>
        </w:tabs>
        <w:ind w:left="1492" w:hanging="360"/>
      </w:pPr>
      <w:rPr>
        <w:rFonts w:ascii="CG Times (W1)" w:hAnsi="CG Times (W1)" w:hint="default"/>
      </w:rPr>
    </w:lvl>
  </w:abstractNum>
  <w:abstractNum w:abstractNumId="3" w15:restartNumberingAfterBreak="0">
    <w:nsid w:val="FFFFFF81"/>
    <w:multiLevelType w:val="singleLevel"/>
    <w:tmpl w:val="FA2E54FA"/>
    <w:lvl w:ilvl="0">
      <w:start w:val="1"/>
      <w:numFmt w:val="bullet"/>
      <w:pStyle w:val="ListBullet4"/>
      <w:lvlText w:val=""/>
      <w:lvlJc w:val="left"/>
      <w:pPr>
        <w:tabs>
          <w:tab w:val="num" w:pos="1209"/>
        </w:tabs>
        <w:ind w:left="1209" w:hanging="360"/>
      </w:pPr>
      <w:rPr>
        <w:rFonts w:ascii="CG Times (W1)" w:hAnsi="CG Times (W1)" w:hint="default"/>
      </w:rPr>
    </w:lvl>
  </w:abstractNum>
  <w:abstractNum w:abstractNumId="4" w15:restartNumberingAfterBreak="0">
    <w:nsid w:val="FFFFFF83"/>
    <w:multiLevelType w:val="multilevel"/>
    <w:tmpl w:val="7BDE8CF6"/>
    <w:lvl w:ilvl="0">
      <w:start w:val="1"/>
      <w:numFmt w:val="decimal"/>
      <w:lvlText w:val="%1"/>
      <w:lvlJc w:val="left"/>
      <w:pPr>
        <w:ind w:left="432" w:hanging="432"/>
      </w:pPr>
    </w:lvl>
    <w:lvl w:ilvl="1">
      <w:start w:val="1"/>
      <w:numFmt w:val="decimal"/>
      <w:pStyle w:val="Heading1TOCNoShow"/>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13B7072"/>
    <w:multiLevelType w:val="singleLevel"/>
    <w:tmpl w:val="98BCE606"/>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6" w15:restartNumberingAfterBreak="0">
    <w:nsid w:val="01E430C0"/>
    <w:multiLevelType w:val="hybridMultilevel"/>
    <w:tmpl w:val="DDC0A4C6"/>
    <w:lvl w:ilvl="0" w:tplc="0C090003">
      <w:start w:val="1"/>
      <w:numFmt w:val="bullet"/>
      <w:lvlText w:val="o"/>
      <w:lvlJc w:val="left"/>
      <w:pPr>
        <w:ind w:left="700" w:hanging="360"/>
      </w:pPr>
      <w:rPr>
        <w:rFonts w:ascii="Courier New" w:hAnsi="Courier New" w:cs="Courier New"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7" w15:restartNumberingAfterBreak="0">
    <w:nsid w:val="05A77B66"/>
    <w:multiLevelType w:val="singleLevel"/>
    <w:tmpl w:val="9A703EE4"/>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8" w15:restartNumberingAfterBreak="0">
    <w:nsid w:val="0F6F4AFC"/>
    <w:multiLevelType w:val="singleLevel"/>
    <w:tmpl w:val="9EACCFC0"/>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9" w15:restartNumberingAfterBreak="0">
    <w:nsid w:val="134B53F8"/>
    <w:multiLevelType w:val="singleLevel"/>
    <w:tmpl w:val="64B62FA2"/>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0" w15:restartNumberingAfterBreak="0">
    <w:nsid w:val="15842295"/>
    <w:multiLevelType w:val="singleLevel"/>
    <w:tmpl w:val="5BF65FB4"/>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1" w15:restartNumberingAfterBreak="0">
    <w:nsid w:val="15DB217B"/>
    <w:multiLevelType w:val="singleLevel"/>
    <w:tmpl w:val="6504EA4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2" w15:restartNumberingAfterBreak="0">
    <w:nsid w:val="17596E5B"/>
    <w:multiLevelType w:val="singleLevel"/>
    <w:tmpl w:val="BE065D00"/>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3" w15:restartNumberingAfterBreak="0">
    <w:nsid w:val="18ED78ED"/>
    <w:multiLevelType w:val="singleLevel"/>
    <w:tmpl w:val="3B0211E6"/>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4" w15:restartNumberingAfterBreak="0">
    <w:nsid w:val="198114E2"/>
    <w:multiLevelType w:val="singleLevel"/>
    <w:tmpl w:val="CF5EC714"/>
    <w:lvl w:ilvl="0">
      <w:start w:val="1"/>
      <w:numFmt w:val="bullet"/>
      <w:lvlText w:val="•"/>
      <w:lvlJc w:val="left"/>
      <w:pPr>
        <w:tabs>
          <w:tab w:val="num" w:pos="340"/>
        </w:tabs>
        <w:ind w:left="340" w:hanging="340"/>
      </w:pPr>
      <w:rPr>
        <w:rFonts w:ascii="Calibri Light" w:hAnsi="Calibri Light" w:cs="Calibri Light" w:hint="default"/>
        <w:color w:val="auto"/>
        <w:sz w:val="24"/>
      </w:rPr>
    </w:lvl>
  </w:abstractNum>
  <w:abstractNum w:abstractNumId="15" w15:restartNumberingAfterBreak="0">
    <w:nsid w:val="1A7B22D7"/>
    <w:multiLevelType w:val="singleLevel"/>
    <w:tmpl w:val="8714B19C"/>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6" w15:restartNumberingAfterBreak="0">
    <w:nsid w:val="1CC432EC"/>
    <w:multiLevelType w:val="singleLevel"/>
    <w:tmpl w:val="A2CABE78"/>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7" w15:restartNumberingAfterBreak="0">
    <w:nsid w:val="1D894C4C"/>
    <w:multiLevelType w:val="singleLevel"/>
    <w:tmpl w:val="3A5C688A"/>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18" w15:restartNumberingAfterBreak="0">
    <w:nsid w:val="1EE1516F"/>
    <w:multiLevelType w:val="multilevel"/>
    <w:tmpl w:val="77D00AE4"/>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9" w15:restartNumberingAfterBreak="0">
    <w:nsid w:val="20D9520A"/>
    <w:multiLevelType w:val="hybridMultilevel"/>
    <w:tmpl w:val="074C46B8"/>
    <w:lvl w:ilvl="0" w:tplc="0C09000F">
      <w:start w:val="1"/>
      <w:numFmt w:val="decimal"/>
      <w:lvlText w:val="%1."/>
      <w:lvlJc w:val="left"/>
      <w:pPr>
        <w:ind w:left="720" w:hanging="360"/>
      </w:pPr>
    </w:lvl>
    <w:lvl w:ilvl="1" w:tplc="7F3EFC44">
      <w:numFmt w:val="bullet"/>
      <w:lvlText w:val="–"/>
      <w:lvlJc w:val="left"/>
      <w:pPr>
        <w:ind w:left="1440" w:hanging="360"/>
      </w:pPr>
      <w:rPr>
        <w:rFonts w:ascii="CG Times (W1)" w:eastAsiaTheme="minorHAnsi" w:hAnsi="CG Times (W1)" w:cs="CG Times (W1)" w:hint="default"/>
      </w:rPr>
    </w:lvl>
    <w:lvl w:ilvl="2" w:tplc="60226C1A">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8920DA"/>
    <w:multiLevelType w:val="singleLevel"/>
    <w:tmpl w:val="B0B4A0C0"/>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21" w15:restartNumberingAfterBreak="0">
    <w:nsid w:val="289A59F1"/>
    <w:multiLevelType w:val="hybridMultilevel"/>
    <w:tmpl w:val="90EAE0CE"/>
    <w:lvl w:ilvl="0" w:tplc="2808FF3C">
      <w:start w:val="1"/>
      <w:numFmt w:val="bullet"/>
      <w:lvlText w:val="•"/>
      <w:lvlJc w:val="left"/>
      <w:pPr>
        <w:ind w:left="720" w:hanging="360"/>
      </w:pPr>
      <w:rPr>
        <w:rFonts w:ascii="CG Times (W1)" w:hAnsi="CG Times (W1)" w:hint="default"/>
        <w:color w:val="auto"/>
        <w:sz w:val="24"/>
      </w:rPr>
    </w:lvl>
    <w:lvl w:ilvl="1" w:tplc="0C090003" w:tentative="1">
      <w:start w:val="1"/>
      <w:numFmt w:val="bullet"/>
      <w:lvlText w:val="o"/>
      <w:lvlJc w:val="left"/>
      <w:pPr>
        <w:ind w:left="1440" w:hanging="360"/>
      </w:pPr>
      <w:rPr>
        <w:rFonts w:ascii="DengXian" w:hAnsi="DengXian" w:cs="DengXian" w:hint="default"/>
      </w:rPr>
    </w:lvl>
    <w:lvl w:ilvl="2" w:tplc="0C090005" w:tentative="1">
      <w:start w:val="1"/>
      <w:numFmt w:val="bullet"/>
      <w:lvlText w:val=""/>
      <w:lvlJc w:val="left"/>
      <w:pPr>
        <w:ind w:left="2160" w:hanging="360"/>
      </w:pPr>
      <w:rPr>
        <w:rFonts w:ascii="DengXian" w:hAnsi="DengXian" w:hint="default"/>
      </w:rPr>
    </w:lvl>
    <w:lvl w:ilvl="3" w:tplc="0C090001" w:tentative="1">
      <w:start w:val="1"/>
      <w:numFmt w:val="bullet"/>
      <w:lvlText w:val=""/>
      <w:lvlJc w:val="left"/>
      <w:pPr>
        <w:ind w:left="2880" w:hanging="360"/>
      </w:pPr>
      <w:rPr>
        <w:rFonts w:ascii="CG Times (W1)" w:hAnsi="CG Times (W1)" w:hint="default"/>
      </w:rPr>
    </w:lvl>
    <w:lvl w:ilvl="4" w:tplc="0C090003" w:tentative="1">
      <w:start w:val="1"/>
      <w:numFmt w:val="bullet"/>
      <w:lvlText w:val="o"/>
      <w:lvlJc w:val="left"/>
      <w:pPr>
        <w:ind w:left="3600" w:hanging="360"/>
      </w:pPr>
      <w:rPr>
        <w:rFonts w:ascii="DengXian" w:hAnsi="DengXian" w:cs="DengXian" w:hint="default"/>
      </w:rPr>
    </w:lvl>
    <w:lvl w:ilvl="5" w:tplc="0C090005" w:tentative="1">
      <w:start w:val="1"/>
      <w:numFmt w:val="bullet"/>
      <w:lvlText w:val=""/>
      <w:lvlJc w:val="left"/>
      <w:pPr>
        <w:ind w:left="4320" w:hanging="360"/>
      </w:pPr>
      <w:rPr>
        <w:rFonts w:ascii="DengXian" w:hAnsi="DengXian" w:hint="default"/>
      </w:rPr>
    </w:lvl>
    <w:lvl w:ilvl="6" w:tplc="0C090001" w:tentative="1">
      <w:start w:val="1"/>
      <w:numFmt w:val="bullet"/>
      <w:lvlText w:val=""/>
      <w:lvlJc w:val="left"/>
      <w:pPr>
        <w:ind w:left="5040" w:hanging="360"/>
      </w:pPr>
      <w:rPr>
        <w:rFonts w:ascii="CG Times (W1)" w:hAnsi="CG Times (W1)" w:hint="default"/>
      </w:rPr>
    </w:lvl>
    <w:lvl w:ilvl="7" w:tplc="0C090003" w:tentative="1">
      <w:start w:val="1"/>
      <w:numFmt w:val="bullet"/>
      <w:lvlText w:val="o"/>
      <w:lvlJc w:val="left"/>
      <w:pPr>
        <w:ind w:left="5760" w:hanging="360"/>
      </w:pPr>
      <w:rPr>
        <w:rFonts w:ascii="DengXian" w:hAnsi="DengXian" w:cs="DengXian" w:hint="default"/>
      </w:rPr>
    </w:lvl>
    <w:lvl w:ilvl="8" w:tplc="0C090005" w:tentative="1">
      <w:start w:val="1"/>
      <w:numFmt w:val="bullet"/>
      <w:lvlText w:val=""/>
      <w:lvlJc w:val="left"/>
      <w:pPr>
        <w:ind w:left="6480" w:hanging="360"/>
      </w:pPr>
      <w:rPr>
        <w:rFonts w:ascii="DengXian" w:hAnsi="DengXian" w:hint="default"/>
      </w:rPr>
    </w:lvl>
  </w:abstractNum>
  <w:abstractNum w:abstractNumId="22" w15:restartNumberingAfterBreak="0">
    <w:nsid w:val="2AD974BB"/>
    <w:multiLevelType w:val="singleLevel"/>
    <w:tmpl w:val="D37861C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3" w15:restartNumberingAfterBreak="0">
    <w:nsid w:val="2B342722"/>
    <w:multiLevelType w:val="singleLevel"/>
    <w:tmpl w:val="65746E56"/>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24" w15:restartNumberingAfterBreak="0">
    <w:nsid w:val="2C295191"/>
    <w:multiLevelType w:val="singleLevel"/>
    <w:tmpl w:val="C7AE0CD8"/>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25" w15:restartNumberingAfterBreak="0">
    <w:nsid w:val="30D352D7"/>
    <w:multiLevelType w:val="hybridMultilevel"/>
    <w:tmpl w:val="1F8A34C8"/>
    <w:lvl w:ilvl="0" w:tplc="9CC0FEC4">
      <w:start w:val="1"/>
      <w:numFmt w:val="bullet"/>
      <w:lvlText w:val="•"/>
      <w:lvlJc w:val="left"/>
      <w:pPr>
        <w:ind w:left="720" w:hanging="360"/>
      </w:pPr>
      <w:rPr>
        <w:rFonts w:ascii="CG Times (W1)" w:hAnsi="CG Times (W1)" w:cs="CG Times (W1)" w:hint="default"/>
        <w:color w:val="auto"/>
        <w:sz w:val="24"/>
      </w:rPr>
    </w:lvl>
    <w:lvl w:ilvl="1" w:tplc="FFFFFFFF" w:tentative="1">
      <w:start w:val="1"/>
      <w:numFmt w:val="bullet"/>
      <w:lvlText w:val="o"/>
      <w:lvlJc w:val="left"/>
      <w:pPr>
        <w:ind w:left="1440" w:hanging="360"/>
      </w:pPr>
      <w:rPr>
        <w:rFonts w:ascii="DengXian" w:hAnsi="DengXian" w:cs="DengXian" w:hint="default"/>
      </w:rPr>
    </w:lvl>
    <w:lvl w:ilvl="2" w:tplc="FFFFFFFF" w:tentative="1">
      <w:start w:val="1"/>
      <w:numFmt w:val="bullet"/>
      <w:lvlText w:val=""/>
      <w:lvlJc w:val="left"/>
      <w:pPr>
        <w:ind w:left="2160" w:hanging="360"/>
      </w:pPr>
      <w:rPr>
        <w:rFonts w:ascii="DengXian" w:hAnsi="DengXian" w:hint="default"/>
      </w:rPr>
    </w:lvl>
    <w:lvl w:ilvl="3" w:tplc="FFFFFFFF" w:tentative="1">
      <w:start w:val="1"/>
      <w:numFmt w:val="bullet"/>
      <w:lvlText w:val=""/>
      <w:lvlJc w:val="left"/>
      <w:pPr>
        <w:ind w:left="2880" w:hanging="360"/>
      </w:pPr>
      <w:rPr>
        <w:rFonts w:ascii="CG Times (W1)" w:hAnsi="CG Times (W1)" w:hint="default"/>
      </w:rPr>
    </w:lvl>
    <w:lvl w:ilvl="4" w:tplc="FFFFFFFF" w:tentative="1">
      <w:start w:val="1"/>
      <w:numFmt w:val="bullet"/>
      <w:lvlText w:val="o"/>
      <w:lvlJc w:val="left"/>
      <w:pPr>
        <w:ind w:left="3600" w:hanging="360"/>
      </w:pPr>
      <w:rPr>
        <w:rFonts w:ascii="DengXian" w:hAnsi="DengXian" w:cs="DengXian" w:hint="default"/>
      </w:rPr>
    </w:lvl>
    <w:lvl w:ilvl="5" w:tplc="FFFFFFFF" w:tentative="1">
      <w:start w:val="1"/>
      <w:numFmt w:val="bullet"/>
      <w:lvlText w:val=""/>
      <w:lvlJc w:val="left"/>
      <w:pPr>
        <w:ind w:left="4320" w:hanging="360"/>
      </w:pPr>
      <w:rPr>
        <w:rFonts w:ascii="DengXian" w:hAnsi="DengXian" w:hint="default"/>
      </w:rPr>
    </w:lvl>
    <w:lvl w:ilvl="6" w:tplc="FFFFFFFF" w:tentative="1">
      <w:start w:val="1"/>
      <w:numFmt w:val="bullet"/>
      <w:lvlText w:val=""/>
      <w:lvlJc w:val="left"/>
      <w:pPr>
        <w:ind w:left="5040" w:hanging="360"/>
      </w:pPr>
      <w:rPr>
        <w:rFonts w:ascii="CG Times (W1)" w:hAnsi="CG Times (W1)" w:hint="default"/>
      </w:rPr>
    </w:lvl>
    <w:lvl w:ilvl="7" w:tplc="FFFFFFFF" w:tentative="1">
      <w:start w:val="1"/>
      <w:numFmt w:val="bullet"/>
      <w:lvlText w:val="o"/>
      <w:lvlJc w:val="left"/>
      <w:pPr>
        <w:ind w:left="5760" w:hanging="360"/>
      </w:pPr>
      <w:rPr>
        <w:rFonts w:ascii="DengXian" w:hAnsi="DengXian" w:cs="DengXian" w:hint="default"/>
      </w:rPr>
    </w:lvl>
    <w:lvl w:ilvl="8" w:tplc="FFFFFFFF" w:tentative="1">
      <w:start w:val="1"/>
      <w:numFmt w:val="bullet"/>
      <w:lvlText w:val=""/>
      <w:lvlJc w:val="left"/>
      <w:pPr>
        <w:ind w:left="6480" w:hanging="360"/>
      </w:pPr>
      <w:rPr>
        <w:rFonts w:ascii="DengXian" w:hAnsi="DengXian" w:hint="default"/>
      </w:rPr>
    </w:lvl>
  </w:abstractNum>
  <w:abstractNum w:abstractNumId="26" w15:restartNumberingAfterBreak="0">
    <w:nsid w:val="33615549"/>
    <w:multiLevelType w:val="singleLevel"/>
    <w:tmpl w:val="BF746A10"/>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27" w15:restartNumberingAfterBreak="0">
    <w:nsid w:val="349F76D0"/>
    <w:multiLevelType w:val="singleLevel"/>
    <w:tmpl w:val="8CBCAEC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8" w15:restartNumberingAfterBreak="0">
    <w:nsid w:val="3A021502"/>
    <w:multiLevelType w:val="hybridMultilevel"/>
    <w:tmpl w:val="338AB2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3C3D2668"/>
    <w:multiLevelType w:val="singleLevel"/>
    <w:tmpl w:val="BC323C8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30" w15:restartNumberingAfterBreak="0">
    <w:nsid w:val="3CA249C3"/>
    <w:multiLevelType w:val="singleLevel"/>
    <w:tmpl w:val="31A87D84"/>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31" w15:restartNumberingAfterBreak="0">
    <w:nsid w:val="3E021DE5"/>
    <w:multiLevelType w:val="multilevel"/>
    <w:tmpl w:val="18025150"/>
    <w:lvl w:ilvl="0">
      <w:start w:val="1"/>
      <w:numFmt w:val="bullet"/>
      <w:lvlText w:val="•"/>
      <w:lvlJc w:val="left"/>
      <w:pPr>
        <w:ind w:left="284" w:hanging="284"/>
      </w:pPr>
      <w:rPr>
        <w:rFonts w:ascii="CG Times (W1)" w:hAnsi="CG Times (W1)" w:hint="default"/>
        <w:color w:val="auto"/>
        <w:sz w:val="20"/>
      </w:rPr>
    </w:lvl>
    <w:lvl w:ilvl="1">
      <w:start w:val="1"/>
      <w:numFmt w:val="bullet"/>
      <w:pStyle w:val="Bullet2ndlevel"/>
      <w:lvlText w:val="‒"/>
      <w:lvlJc w:val="left"/>
      <w:pPr>
        <w:ind w:left="567" w:hanging="283"/>
      </w:pPr>
      <w:rPr>
        <w:rFonts w:ascii="CG Times (W1)" w:hAnsi="CG Times (W1)" w:hint="default"/>
        <w:sz w:val="20"/>
      </w:rPr>
    </w:lvl>
    <w:lvl w:ilvl="2">
      <w:start w:val="1"/>
      <w:numFmt w:val="bullet"/>
      <w:pStyle w:val="Bullet3rdlevel"/>
      <w:lvlText w:val="—"/>
      <w:lvlJc w:val="left"/>
      <w:pPr>
        <w:ind w:left="851" w:hanging="284"/>
      </w:pPr>
      <w:rPr>
        <w:rFonts w:ascii="CG Times (W1)" w:hAnsi="CG Times (W1)" w:hint="default"/>
        <w:sz w:val="20"/>
      </w:rPr>
    </w:lvl>
    <w:lvl w:ilvl="3">
      <w:start w:val="1"/>
      <w:numFmt w:val="bullet"/>
      <w:lvlText w:val=""/>
      <w:lvlJc w:val="left"/>
      <w:pPr>
        <w:ind w:left="2880" w:hanging="360"/>
      </w:pPr>
      <w:rPr>
        <w:rFonts w:ascii="CG Times (W1)" w:hAnsi="CG Times (W1)" w:hint="default"/>
      </w:rPr>
    </w:lvl>
    <w:lvl w:ilvl="4">
      <w:start w:val="1"/>
      <w:numFmt w:val="bullet"/>
      <w:lvlText w:val="o"/>
      <w:lvlJc w:val="left"/>
      <w:pPr>
        <w:ind w:left="3600" w:hanging="360"/>
      </w:pPr>
      <w:rPr>
        <w:rFonts w:ascii="DengXian" w:hAnsi="DengXian" w:cs="DengXian" w:hint="default"/>
      </w:rPr>
    </w:lvl>
    <w:lvl w:ilvl="5">
      <w:start w:val="1"/>
      <w:numFmt w:val="bullet"/>
      <w:lvlText w:val=""/>
      <w:lvlJc w:val="left"/>
      <w:pPr>
        <w:ind w:left="4320" w:hanging="360"/>
      </w:pPr>
      <w:rPr>
        <w:rFonts w:ascii="DengXian" w:hAnsi="DengXian" w:hint="default"/>
      </w:rPr>
    </w:lvl>
    <w:lvl w:ilvl="6">
      <w:start w:val="1"/>
      <w:numFmt w:val="bullet"/>
      <w:lvlText w:val=""/>
      <w:lvlJc w:val="left"/>
      <w:pPr>
        <w:ind w:left="5040" w:hanging="360"/>
      </w:pPr>
      <w:rPr>
        <w:rFonts w:ascii="CG Times (W1)" w:hAnsi="CG Times (W1)" w:hint="default"/>
      </w:rPr>
    </w:lvl>
    <w:lvl w:ilvl="7">
      <w:start w:val="1"/>
      <w:numFmt w:val="bullet"/>
      <w:lvlText w:val="o"/>
      <w:lvlJc w:val="left"/>
      <w:pPr>
        <w:ind w:left="5760" w:hanging="360"/>
      </w:pPr>
      <w:rPr>
        <w:rFonts w:ascii="DengXian" w:hAnsi="DengXian" w:cs="DengXian" w:hint="default"/>
      </w:rPr>
    </w:lvl>
    <w:lvl w:ilvl="8">
      <w:start w:val="1"/>
      <w:numFmt w:val="bullet"/>
      <w:lvlText w:val=""/>
      <w:lvlJc w:val="left"/>
      <w:pPr>
        <w:ind w:left="6480" w:hanging="360"/>
      </w:pPr>
      <w:rPr>
        <w:rFonts w:ascii="DengXian" w:hAnsi="DengXian" w:hint="default"/>
      </w:rPr>
    </w:lvl>
  </w:abstractNum>
  <w:abstractNum w:abstractNumId="32" w15:restartNumberingAfterBreak="0">
    <w:nsid w:val="3E341205"/>
    <w:multiLevelType w:val="singleLevel"/>
    <w:tmpl w:val="33F6B05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33" w15:restartNumberingAfterBreak="0">
    <w:nsid w:val="3E99298D"/>
    <w:multiLevelType w:val="hybridMultilevel"/>
    <w:tmpl w:val="C30AF628"/>
    <w:lvl w:ilvl="0" w:tplc="9CC0FEC4">
      <w:start w:val="1"/>
      <w:numFmt w:val="bullet"/>
      <w:lvlText w:val="•"/>
      <w:lvlJc w:val="left"/>
      <w:pPr>
        <w:ind w:left="720" w:hanging="360"/>
      </w:pPr>
      <w:rPr>
        <w:rFonts w:ascii="CG Times (W1)" w:hAnsi="CG Times (W1)" w:cs="CG Times (W1)" w:hint="default"/>
        <w:color w:val="auto"/>
        <w:sz w:val="24"/>
      </w:rPr>
    </w:lvl>
    <w:lvl w:ilvl="1" w:tplc="FFFFFFFF" w:tentative="1">
      <w:start w:val="1"/>
      <w:numFmt w:val="bullet"/>
      <w:lvlText w:val="o"/>
      <w:lvlJc w:val="left"/>
      <w:pPr>
        <w:ind w:left="1440" w:hanging="360"/>
      </w:pPr>
      <w:rPr>
        <w:rFonts w:ascii="DengXian" w:hAnsi="DengXian" w:cs="DengXian" w:hint="default"/>
      </w:rPr>
    </w:lvl>
    <w:lvl w:ilvl="2" w:tplc="FFFFFFFF" w:tentative="1">
      <w:start w:val="1"/>
      <w:numFmt w:val="bullet"/>
      <w:lvlText w:val=""/>
      <w:lvlJc w:val="left"/>
      <w:pPr>
        <w:ind w:left="2160" w:hanging="360"/>
      </w:pPr>
      <w:rPr>
        <w:rFonts w:ascii="DengXian" w:hAnsi="DengXian" w:hint="default"/>
      </w:rPr>
    </w:lvl>
    <w:lvl w:ilvl="3" w:tplc="FFFFFFFF" w:tentative="1">
      <w:start w:val="1"/>
      <w:numFmt w:val="bullet"/>
      <w:lvlText w:val=""/>
      <w:lvlJc w:val="left"/>
      <w:pPr>
        <w:ind w:left="2880" w:hanging="360"/>
      </w:pPr>
      <w:rPr>
        <w:rFonts w:ascii="CG Times (W1)" w:hAnsi="CG Times (W1)" w:hint="default"/>
      </w:rPr>
    </w:lvl>
    <w:lvl w:ilvl="4" w:tplc="FFFFFFFF" w:tentative="1">
      <w:start w:val="1"/>
      <w:numFmt w:val="bullet"/>
      <w:lvlText w:val="o"/>
      <w:lvlJc w:val="left"/>
      <w:pPr>
        <w:ind w:left="3600" w:hanging="360"/>
      </w:pPr>
      <w:rPr>
        <w:rFonts w:ascii="DengXian" w:hAnsi="DengXian" w:cs="DengXian" w:hint="default"/>
      </w:rPr>
    </w:lvl>
    <w:lvl w:ilvl="5" w:tplc="FFFFFFFF" w:tentative="1">
      <w:start w:val="1"/>
      <w:numFmt w:val="bullet"/>
      <w:lvlText w:val=""/>
      <w:lvlJc w:val="left"/>
      <w:pPr>
        <w:ind w:left="4320" w:hanging="360"/>
      </w:pPr>
      <w:rPr>
        <w:rFonts w:ascii="DengXian" w:hAnsi="DengXian" w:hint="default"/>
      </w:rPr>
    </w:lvl>
    <w:lvl w:ilvl="6" w:tplc="FFFFFFFF" w:tentative="1">
      <w:start w:val="1"/>
      <w:numFmt w:val="bullet"/>
      <w:lvlText w:val=""/>
      <w:lvlJc w:val="left"/>
      <w:pPr>
        <w:ind w:left="5040" w:hanging="360"/>
      </w:pPr>
      <w:rPr>
        <w:rFonts w:ascii="CG Times (W1)" w:hAnsi="CG Times (W1)" w:hint="default"/>
      </w:rPr>
    </w:lvl>
    <w:lvl w:ilvl="7" w:tplc="FFFFFFFF" w:tentative="1">
      <w:start w:val="1"/>
      <w:numFmt w:val="bullet"/>
      <w:lvlText w:val="o"/>
      <w:lvlJc w:val="left"/>
      <w:pPr>
        <w:ind w:left="5760" w:hanging="360"/>
      </w:pPr>
      <w:rPr>
        <w:rFonts w:ascii="DengXian" w:hAnsi="DengXian" w:cs="DengXian" w:hint="default"/>
      </w:rPr>
    </w:lvl>
    <w:lvl w:ilvl="8" w:tplc="FFFFFFFF" w:tentative="1">
      <w:start w:val="1"/>
      <w:numFmt w:val="bullet"/>
      <w:lvlText w:val=""/>
      <w:lvlJc w:val="left"/>
      <w:pPr>
        <w:ind w:left="6480" w:hanging="360"/>
      </w:pPr>
      <w:rPr>
        <w:rFonts w:ascii="DengXian" w:hAnsi="DengXian" w:hint="default"/>
      </w:rPr>
    </w:lvl>
  </w:abstractNum>
  <w:abstractNum w:abstractNumId="34" w15:restartNumberingAfterBreak="0">
    <w:nsid w:val="41DE2BA7"/>
    <w:multiLevelType w:val="hybridMultilevel"/>
    <w:tmpl w:val="E05813E0"/>
    <w:lvl w:ilvl="0" w:tplc="2808FF3C">
      <w:start w:val="1"/>
      <w:numFmt w:val="bullet"/>
      <w:lvlText w:val="•"/>
      <w:lvlJc w:val="left"/>
      <w:pPr>
        <w:ind w:left="720" w:hanging="360"/>
      </w:pPr>
      <w:rPr>
        <w:rFonts w:ascii="CG Times (W1)" w:hAnsi="CG Times (W1)" w:cs="CG Times (W1)" w:hint="default"/>
        <w:color w:val="auto"/>
        <w:sz w:val="24"/>
      </w:rPr>
    </w:lvl>
    <w:lvl w:ilvl="1" w:tplc="0C090003">
      <w:start w:val="1"/>
      <w:numFmt w:val="bullet"/>
      <w:lvlText w:val="o"/>
      <w:lvlJc w:val="left"/>
      <w:pPr>
        <w:ind w:left="1440" w:hanging="360"/>
      </w:pPr>
      <w:rPr>
        <w:rFonts w:ascii="DengXian" w:hAnsi="DengXian" w:cs="DengXian" w:hint="default"/>
      </w:rPr>
    </w:lvl>
    <w:lvl w:ilvl="2" w:tplc="0C090005">
      <w:start w:val="1"/>
      <w:numFmt w:val="bullet"/>
      <w:lvlText w:val=""/>
      <w:lvlJc w:val="left"/>
      <w:pPr>
        <w:ind w:left="2160" w:hanging="360"/>
      </w:pPr>
      <w:rPr>
        <w:rFonts w:ascii="DengXian" w:hAnsi="DengXian" w:hint="default"/>
      </w:rPr>
    </w:lvl>
    <w:lvl w:ilvl="3" w:tplc="0C090001">
      <w:start w:val="1"/>
      <w:numFmt w:val="bullet"/>
      <w:lvlText w:val=""/>
      <w:lvlJc w:val="left"/>
      <w:pPr>
        <w:ind w:left="2880" w:hanging="360"/>
      </w:pPr>
      <w:rPr>
        <w:rFonts w:ascii="CG Times (W1)" w:hAnsi="CG Times (W1)" w:hint="default"/>
      </w:rPr>
    </w:lvl>
    <w:lvl w:ilvl="4" w:tplc="0C090003">
      <w:start w:val="1"/>
      <w:numFmt w:val="bullet"/>
      <w:lvlText w:val="o"/>
      <w:lvlJc w:val="left"/>
      <w:pPr>
        <w:ind w:left="3600" w:hanging="360"/>
      </w:pPr>
      <w:rPr>
        <w:rFonts w:ascii="DengXian" w:hAnsi="DengXian" w:cs="DengXian" w:hint="default"/>
      </w:rPr>
    </w:lvl>
    <w:lvl w:ilvl="5" w:tplc="0C090005">
      <w:start w:val="1"/>
      <w:numFmt w:val="bullet"/>
      <w:lvlText w:val=""/>
      <w:lvlJc w:val="left"/>
      <w:pPr>
        <w:ind w:left="4320" w:hanging="360"/>
      </w:pPr>
      <w:rPr>
        <w:rFonts w:ascii="DengXian" w:hAnsi="DengXian" w:hint="default"/>
      </w:rPr>
    </w:lvl>
    <w:lvl w:ilvl="6" w:tplc="0C090001">
      <w:start w:val="1"/>
      <w:numFmt w:val="bullet"/>
      <w:lvlText w:val=""/>
      <w:lvlJc w:val="left"/>
      <w:pPr>
        <w:ind w:left="5040" w:hanging="360"/>
      </w:pPr>
      <w:rPr>
        <w:rFonts w:ascii="CG Times (W1)" w:hAnsi="CG Times (W1)" w:hint="default"/>
      </w:rPr>
    </w:lvl>
    <w:lvl w:ilvl="7" w:tplc="0C090003">
      <w:start w:val="1"/>
      <w:numFmt w:val="bullet"/>
      <w:lvlText w:val="o"/>
      <w:lvlJc w:val="left"/>
      <w:pPr>
        <w:ind w:left="5760" w:hanging="360"/>
      </w:pPr>
      <w:rPr>
        <w:rFonts w:ascii="DengXian" w:hAnsi="DengXian" w:cs="DengXian" w:hint="default"/>
      </w:rPr>
    </w:lvl>
    <w:lvl w:ilvl="8" w:tplc="0C090005">
      <w:start w:val="1"/>
      <w:numFmt w:val="bullet"/>
      <w:lvlText w:val=""/>
      <w:lvlJc w:val="left"/>
      <w:pPr>
        <w:ind w:left="6480" w:hanging="360"/>
      </w:pPr>
      <w:rPr>
        <w:rFonts w:ascii="DengXian" w:hAnsi="DengXian" w:hint="default"/>
      </w:rPr>
    </w:lvl>
  </w:abstractNum>
  <w:abstractNum w:abstractNumId="35" w15:restartNumberingAfterBreak="0">
    <w:nsid w:val="43C404C6"/>
    <w:multiLevelType w:val="singleLevel"/>
    <w:tmpl w:val="6FAC9DF4"/>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36" w15:restartNumberingAfterBreak="0">
    <w:nsid w:val="4502149D"/>
    <w:multiLevelType w:val="singleLevel"/>
    <w:tmpl w:val="69D8E32A"/>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37" w15:restartNumberingAfterBreak="0">
    <w:nsid w:val="45C01E18"/>
    <w:multiLevelType w:val="hybridMultilevel"/>
    <w:tmpl w:val="7DB64F58"/>
    <w:lvl w:ilvl="0" w:tplc="2808FF3C">
      <w:start w:val="1"/>
      <w:numFmt w:val="bullet"/>
      <w:lvlText w:val="•"/>
      <w:lvlJc w:val="left"/>
      <w:pPr>
        <w:ind w:left="720" w:hanging="360"/>
      </w:pPr>
      <w:rPr>
        <w:rFonts w:ascii="CG Times (W1)" w:hAnsi="CG Times (W1)" w:cs="CG Times (W1)" w:hint="default"/>
        <w:color w:val="auto"/>
        <w:sz w:val="24"/>
      </w:rPr>
    </w:lvl>
    <w:lvl w:ilvl="1" w:tplc="0C090003">
      <w:start w:val="1"/>
      <w:numFmt w:val="bullet"/>
      <w:lvlText w:val="o"/>
      <w:lvlJc w:val="left"/>
      <w:pPr>
        <w:ind w:left="1440" w:hanging="360"/>
      </w:pPr>
      <w:rPr>
        <w:rFonts w:ascii="DengXian" w:hAnsi="DengXian" w:cs="DengXian" w:hint="default"/>
      </w:rPr>
    </w:lvl>
    <w:lvl w:ilvl="2" w:tplc="0C090005">
      <w:start w:val="1"/>
      <w:numFmt w:val="bullet"/>
      <w:lvlText w:val=""/>
      <w:lvlJc w:val="left"/>
      <w:pPr>
        <w:ind w:left="2160" w:hanging="360"/>
      </w:pPr>
      <w:rPr>
        <w:rFonts w:ascii="DengXian" w:hAnsi="DengXian" w:hint="default"/>
      </w:rPr>
    </w:lvl>
    <w:lvl w:ilvl="3" w:tplc="0C090001">
      <w:start w:val="1"/>
      <w:numFmt w:val="bullet"/>
      <w:lvlText w:val=""/>
      <w:lvlJc w:val="left"/>
      <w:pPr>
        <w:ind w:left="2880" w:hanging="360"/>
      </w:pPr>
      <w:rPr>
        <w:rFonts w:ascii="CG Times (W1)" w:hAnsi="CG Times (W1)" w:hint="default"/>
      </w:rPr>
    </w:lvl>
    <w:lvl w:ilvl="4" w:tplc="0C090003">
      <w:start w:val="1"/>
      <w:numFmt w:val="bullet"/>
      <w:lvlText w:val="o"/>
      <w:lvlJc w:val="left"/>
      <w:pPr>
        <w:ind w:left="3600" w:hanging="360"/>
      </w:pPr>
      <w:rPr>
        <w:rFonts w:ascii="DengXian" w:hAnsi="DengXian" w:cs="DengXian" w:hint="default"/>
      </w:rPr>
    </w:lvl>
    <w:lvl w:ilvl="5" w:tplc="0C090005">
      <w:start w:val="1"/>
      <w:numFmt w:val="bullet"/>
      <w:lvlText w:val=""/>
      <w:lvlJc w:val="left"/>
      <w:pPr>
        <w:ind w:left="4320" w:hanging="360"/>
      </w:pPr>
      <w:rPr>
        <w:rFonts w:ascii="DengXian" w:hAnsi="DengXian" w:hint="default"/>
      </w:rPr>
    </w:lvl>
    <w:lvl w:ilvl="6" w:tplc="0C090001">
      <w:start w:val="1"/>
      <w:numFmt w:val="bullet"/>
      <w:lvlText w:val=""/>
      <w:lvlJc w:val="left"/>
      <w:pPr>
        <w:ind w:left="5040" w:hanging="360"/>
      </w:pPr>
      <w:rPr>
        <w:rFonts w:ascii="CG Times (W1)" w:hAnsi="CG Times (W1)" w:hint="default"/>
      </w:rPr>
    </w:lvl>
    <w:lvl w:ilvl="7" w:tplc="0C090003">
      <w:start w:val="1"/>
      <w:numFmt w:val="bullet"/>
      <w:lvlText w:val="o"/>
      <w:lvlJc w:val="left"/>
      <w:pPr>
        <w:ind w:left="5760" w:hanging="360"/>
      </w:pPr>
      <w:rPr>
        <w:rFonts w:ascii="DengXian" w:hAnsi="DengXian" w:cs="DengXian" w:hint="default"/>
      </w:rPr>
    </w:lvl>
    <w:lvl w:ilvl="8" w:tplc="0C090005">
      <w:start w:val="1"/>
      <w:numFmt w:val="bullet"/>
      <w:lvlText w:val=""/>
      <w:lvlJc w:val="left"/>
      <w:pPr>
        <w:ind w:left="6480" w:hanging="360"/>
      </w:pPr>
      <w:rPr>
        <w:rFonts w:ascii="DengXian" w:hAnsi="DengXian" w:hint="default"/>
      </w:rPr>
    </w:lvl>
  </w:abstractNum>
  <w:abstractNum w:abstractNumId="38" w15:restartNumberingAfterBreak="0">
    <w:nsid w:val="45C15349"/>
    <w:multiLevelType w:val="singleLevel"/>
    <w:tmpl w:val="10EA3C52"/>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39" w15:restartNumberingAfterBreak="0">
    <w:nsid w:val="469C096E"/>
    <w:multiLevelType w:val="singleLevel"/>
    <w:tmpl w:val="F892BB0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40" w15:restartNumberingAfterBreak="0">
    <w:nsid w:val="47A536A3"/>
    <w:multiLevelType w:val="singleLevel"/>
    <w:tmpl w:val="EF7ABECC"/>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41" w15:restartNumberingAfterBreak="0">
    <w:nsid w:val="484F3D64"/>
    <w:multiLevelType w:val="singleLevel"/>
    <w:tmpl w:val="67C09DF6"/>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42" w15:restartNumberingAfterBreak="0">
    <w:nsid w:val="4B802F26"/>
    <w:multiLevelType w:val="singleLevel"/>
    <w:tmpl w:val="F292901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4D184915"/>
    <w:multiLevelType w:val="singleLevel"/>
    <w:tmpl w:val="698463BC"/>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44" w15:restartNumberingAfterBreak="0">
    <w:nsid w:val="4E0975E5"/>
    <w:multiLevelType w:val="multilevel"/>
    <w:tmpl w:val="EECA54AC"/>
    <w:styleLink w:val="Bullets"/>
    <w:lvl w:ilvl="0">
      <w:start w:val="1"/>
      <w:numFmt w:val="decimal"/>
      <w:lvlText w:val="%1"/>
      <w:lvlJc w:val="left"/>
      <w:pPr>
        <w:tabs>
          <w:tab w:val="num" w:pos="340"/>
        </w:tabs>
        <w:ind w:left="340" w:hanging="340"/>
      </w:pPr>
      <w:rPr>
        <w:rFonts w:ascii="CG Times (W1)" w:hAnsi="CG Times (W1)" w:cs="CG Times (W1)"/>
      </w:rPr>
    </w:lvl>
    <w:lvl w:ilvl="1">
      <w:start w:val="1"/>
      <w:numFmt w:val="lowerLetter"/>
      <w:lvlText w:val="•"/>
      <w:lvlJc w:val="left"/>
      <w:pPr>
        <w:tabs>
          <w:tab w:val="num" w:pos="680"/>
        </w:tabs>
        <w:ind w:left="680" w:hanging="340"/>
      </w:pPr>
      <w:rPr>
        <w:rFonts w:ascii="CG Times (W1)" w:hAnsi="CG Times (W1)" w:cs="CG Times (W1)"/>
        <w:sz w:val="24"/>
      </w:rPr>
    </w:lvl>
    <w:lvl w:ilvl="2">
      <w:start w:val="1"/>
      <w:numFmt w:val="lowerRoman"/>
      <w:lvlText w:val="-"/>
      <w:lvlJc w:val="left"/>
      <w:pPr>
        <w:tabs>
          <w:tab w:val="num" w:pos="1020"/>
        </w:tabs>
        <w:ind w:left="1020" w:hanging="340"/>
      </w:pPr>
      <w:rPr>
        <w:rFonts w:ascii="CG Times (W1)" w:hAnsi="CG Times (W1)"/>
      </w:rPr>
    </w:lvl>
    <w:lvl w:ilvl="3">
      <w:start w:val="1"/>
      <w:numFmt w:val="decimal"/>
      <w:lvlText w:val="•"/>
      <w:lvlJc w:val="left"/>
      <w:pPr>
        <w:tabs>
          <w:tab w:val="num" w:pos="1361"/>
        </w:tabs>
        <w:ind w:left="1361" w:hanging="341"/>
      </w:pPr>
      <w:rPr>
        <w:rFonts w:ascii="CG Times (W1)" w:hAnsi="CG Times (W1)" w:cs="CG Times (W1)"/>
      </w:rPr>
    </w:lvl>
    <w:lvl w:ilvl="4">
      <w:start w:val="1"/>
      <w:numFmt w:val="lowerLetter"/>
      <w:lvlText w:val="-"/>
      <w:lvlJc w:val="left"/>
      <w:pPr>
        <w:tabs>
          <w:tab w:val="num" w:pos="1701"/>
        </w:tabs>
        <w:ind w:left="1701" w:hanging="340"/>
      </w:pPr>
      <w:rPr>
        <w:rFonts w:ascii="CG Times (W1)" w:hAnsi="CG Times (W1)"/>
      </w:rPr>
    </w:lvl>
    <w:lvl w:ilvl="5">
      <w:start w:val="1"/>
      <w:numFmt w:val="lowerRoman"/>
      <w:lvlText w:val="•"/>
      <w:lvlJc w:val="left"/>
      <w:pPr>
        <w:tabs>
          <w:tab w:val="num" w:pos="2041"/>
        </w:tabs>
        <w:ind w:left="2041" w:hanging="340"/>
      </w:pPr>
      <w:rPr>
        <w:rFonts w:ascii="CG Times (W1)" w:hAnsi="CG Times (W1)" w:cs="CG Times (W1)"/>
      </w:rPr>
    </w:lvl>
    <w:lvl w:ilvl="6">
      <w:start w:val="1"/>
      <w:numFmt w:val="decimal"/>
      <w:lvlText w:val="-"/>
      <w:lvlJc w:val="left"/>
      <w:pPr>
        <w:tabs>
          <w:tab w:val="num" w:pos="2381"/>
        </w:tabs>
        <w:ind w:left="2381" w:hanging="340"/>
      </w:pPr>
      <w:rPr>
        <w:rFonts w:ascii="CG Times (W1)" w:hAnsi="CG Times (W1)"/>
      </w:rPr>
    </w:lvl>
    <w:lvl w:ilvl="7">
      <w:start w:val="1"/>
      <w:numFmt w:val="lowerLetter"/>
      <w:lvlText w:val="•"/>
      <w:lvlJc w:val="left"/>
      <w:pPr>
        <w:tabs>
          <w:tab w:val="num" w:pos="2721"/>
        </w:tabs>
        <w:ind w:left="2721" w:hanging="340"/>
      </w:pPr>
      <w:rPr>
        <w:rFonts w:ascii="CG Times (W1)" w:hAnsi="CG Times (W1)" w:cs="CG Times (W1)"/>
      </w:rPr>
    </w:lvl>
    <w:lvl w:ilvl="8">
      <w:start w:val="1"/>
      <w:numFmt w:val="lowerRoman"/>
      <w:lvlText w:val="-"/>
      <w:lvlJc w:val="left"/>
      <w:pPr>
        <w:tabs>
          <w:tab w:val="num" w:pos="3061"/>
        </w:tabs>
        <w:ind w:left="3061" w:hanging="340"/>
      </w:pPr>
      <w:rPr>
        <w:rFonts w:ascii="CG Times (W1)" w:hAnsi="CG Times (W1)"/>
      </w:rPr>
    </w:lvl>
  </w:abstractNum>
  <w:abstractNum w:abstractNumId="45" w15:restartNumberingAfterBreak="0">
    <w:nsid w:val="4EE16483"/>
    <w:multiLevelType w:val="singleLevel"/>
    <w:tmpl w:val="E022313A"/>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46" w15:restartNumberingAfterBreak="0">
    <w:nsid w:val="4F1067E8"/>
    <w:multiLevelType w:val="singleLevel"/>
    <w:tmpl w:val="D272E79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7" w15:restartNumberingAfterBreak="0">
    <w:nsid w:val="513054BD"/>
    <w:multiLevelType w:val="singleLevel"/>
    <w:tmpl w:val="6A2C9CC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48" w15:restartNumberingAfterBreak="0">
    <w:nsid w:val="523865D8"/>
    <w:multiLevelType w:val="singleLevel"/>
    <w:tmpl w:val="0F6A9694"/>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49" w15:restartNumberingAfterBreak="0">
    <w:nsid w:val="549B786B"/>
    <w:multiLevelType w:val="singleLevel"/>
    <w:tmpl w:val="9D0A0EEA"/>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50" w15:restartNumberingAfterBreak="0">
    <w:nsid w:val="55816D98"/>
    <w:multiLevelType w:val="multilevel"/>
    <w:tmpl w:val="42F8B466"/>
    <w:lvl w:ilvl="0">
      <w:start w:val="1"/>
      <w:numFmt w:val="decimal"/>
      <w:pStyle w:val="Heading1"/>
      <w:lvlText w:val="%1"/>
      <w:lvlJc w:val="left"/>
      <w:pPr>
        <w:ind w:left="432" w:hanging="432"/>
      </w:pPr>
      <w:rPr>
        <w:rFonts w:ascii="KPMG Bold" w:hAnsi="KPMG Bold"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56AA003E"/>
    <w:multiLevelType w:val="singleLevel"/>
    <w:tmpl w:val="B23C3E26"/>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52" w15:restartNumberingAfterBreak="0">
    <w:nsid w:val="5716264D"/>
    <w:multiLevelType w:val="hybridMultilevel"/>
    <w:tmpl w:val="2686338C"/>
    <w:lvl w:ilvl="0" w:tplc="2808FF3C">
      <w:start w:val="1"/>
      <w:numFmt w:val="bullet"/>
      <w:lvlText w:val="•"/>
      <w:lvlJc w:val="left"/>
      <w:pPr>
        <w:ind w:left="720" w:hanging="360"/>
      </w:pPr>
      <w:rPr>
        <w:rFonts w:ascii="CG Times (W1)" w:hAnsi="CG Times (W1)" w:cs="CG Times (W1)" w:hint="default"/>
        <w:color w:val="auto"/>
        <w:sz w:val="24"/>
      </w:rPr>
    </w:lvl>
    <w:lvl w:ilvl="1" w:tplc="0C090003">
      <w:start w:val="1"/>
      <w:numFmt w:val="bullet"/>
      <w:lvlText w:val="o"/>
      <w:lvlJc w:val="left"/>
      <w:pPr>
        <w:ind w:left="1440" w:hanging="360"/>
      </w:pPr>
      <w:rPr>
        <w:rFonts w:ascii="DengXian" w:hAnsi="DengXian" w:cs="DengXian" w:hint="default"/>
      </w:rPr>
    </w:lvl>
    <w:lvl w:ilvl="2" w:tplc="0C090005">
      <w:start w:val="1"/>
      <w:numFmt w:val="bullet"/>
      <w:lvlText w:val=""/>
      <w:lvlJc w:val="left"/>
      <w:pPr>
        <w:ind w:left="2160" w:hanging="360"/>
      </w:pPr>
      <w:rPr>
        <w:rFonts w:ascii="DengXian" w:hAnsi="DengXian" w:hint="default"/>
      </w:rPr>
    </w:lvl>
    <w:lvl w:ilvl="3" w:tplc="0C090001">
      <w:start w:val="1"/>
      <w:numFmt w:val="bullet"/>
      <w:lvlText w:val=""/>
      <w:lvlJc w:val="left"/>
      <w:pPr>
        <w:ind w:left="2880" w:hanging="360"/>
      </w:pPr>
      <w:rPr>
        <w:rFonts w:ascii="CG Times (W1)" w:hAnsi="CG Times (W1)" w:hint="default"/>
      </w:rPr>
    </w:lvl>
    <w:lvl w:ilvl="4" w:tplc="0C090003">
      <w:start w:val="1"/>
      <w:numFmt w:val="bullet"/>
      <w:lvlText w:val="o"/>
      <w:lvlJc w:val="left"/>
      <w:pPr>
        <w:ind w:left="3600" w:hanging="360"/>
      </w:pPr>
      <w:rPr>
        <w:rFonts w:ascii="DengXian" w:hAnsi="DengXian" w:cs="DengXian" w:hint="default"/>
      </w:rPr>
    </w:lvl>
    <w:lvl w:ilvl="5" w:tplc="0C090005">
      <w:start w:val="1"/>
      <w:numFmt w:val="bullet"/>
      <w:lvlText w:val=""/>
      <w:lvlJc w:val="left"/>
      <w:pPr>
        <w:ind w:left="4320" w:hanging="360"/>
      </w:pPr>
      <w:rPr>
        <w:rFonts w:ascii="DengXian" w:hAnsi="DengXian" w:hint="default"/>
      </w:rPr>
    </w:lvl>
    <w:lvl w:ilvl="6" w:tplc="0C090001">
      <w:start w:val="1"/>
      <w:numFmt w:val="bullet"/>
      <w:lvlText w:val=""/>
      <w:lvlJc w:val="left"/>
      <w:pPr>
        <w:ind w:left="5040" w:hanging="360"/>
      </w:pPr>
      <w:rPr>
        <w:rFonts w:ascii="CG Times (W1)" w:hAnsi="CG Times (W1)" w:hint="default"/>
      </w:rPr>
    </w:lvl>
    <w:lvl w:ilvl="7" w:tplc="0C090003">
      <w:start w:val="1"/>
      <w:numFmt w:val="bullet"/>
      <w:lvlText w:val="o"/>
      <w:lvlJc w:val="left"/>
      <w:pPr>
        <w:ind w:left="5760" w:hanging="360"/>
      </w:pPr>
      <w:rPr>
        <w:rFonts w:ascii="DengXian" w:hAnsi="DengXian" w:cs="DengXian" w:hint="default"/>
      </w:rPr>
    </w:lvl>
    <w:lvl w:ilvl="8" w:tplc="0C090005">
      <w:start w:val="1"/>
      <w:numFmt w:val="bullet"/>
      <w:lvlText w:val=""/>
      <w:lvlJc w:val="left"/>
      <w:pPr>
        <w:ind w:left="6480" w:hanging="360"/>
      </w:pPr>
      <w:rPr>
        <w:rFonts w:ascii="DengXian" w:hAnsi="DengXian" w:hint="default"/>
      </w:rPr>
    </w:lvl>
  </w:abstractNum>
  <w:abstractNum w:abstractNumId="53" w15:restartNumberingAfterBreak="0">
    <w:nsid w:val="5C0333C2"/>
    <w:multiLevelType w:val="singleLevel"/>
    <w:tmpl w:val="739C8574"/>
    <w:lvl w:ilvl="0">
      <w:start w:val="1"/>
      <w:numFmt w:val="bullet"/>
      <w:lvlText w:val="•"/>
      <w:lvlJc w:val="left"/>
      <w:pPr>
        <w:tabs>
          <w:tab w:val="num" w:pos="340"/>
        </w:tabs>
        <w:ind w:left="340" w:hanging="340"/>
      </w:pPr>
      <w:rPr>
        <w:rFonts w:ascii="Calibri Light" w:hAnsi="Calibri Light" w:cs="Calibri Light" w:hint="default"/>
        <w:color w:val="auto"/>
        <w:sz w:val="24"/>
      </w:rPr>
    </w:lvl>
  </w:abstractNum>
  <w:abstractNum w:abstractNumId="54" w15:restartNumberingAfterBreak="0">
    <w:nsid w:val="5D555E52"/>
    <w:multiLevelType w:val="singleLevel"/>
    <w:tmpl w:val="2612D94A"/>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55" w15:restartNumberingAfterBreak="0">
    <w:nsid w:val="602D647D"/>
    <w:multiLevelType w:val="singleLevel"/>
    <w:tmpl w:val="FDEABDA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56" w15:restartNumberingAfterBreak="0">
    <w:nsid w:val="61856474"/>
    <w:multiLevelType w:val="hybridMultilevel"/>
    <w:tmpl w:val="90FEE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3F9125F"/>
    <w:multiLevelType w:val="singleLevel"/>
    <w:tmpl w:val="1940063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58" w15:restartNumberingAfterBreak="0">
    <w:nsid w:val="676A2AF1"/>
    <w:multiLevelType w:val="hybridMultilevel"/>
    <w:tmpl w:val="502870DE"/>
    <w:lvl w:ilvl="0" w:tplc="2808FF3C">
      <w:start w:val="1"/>
      <w:numFmt w:val="bullet"/>
      <w:lvlText w:val="•"/>
      <w:lvlJc w:val="left"/>
      <w:pPr>
        <w:ind w:left="720" w:hanging="360"/>
      </w:pPr>
      <w:rPr>
        <w:rFonts w:ascii="CG Times (W1)" w:hAnsi="CG Times (W1)" w:cs="CG Times (W1)" w:hint="default"/>
        <w:color w:val="auto"/>
        <w:sz w:val="24"/>
      </w:rPr>
    </w:lvl>
    <w:lvl w:ilvl="1" w:tplc="0C090003">
      <w:start w:val="1"/>
      <w:numFmt w:val="bullet"/>
      <w:lvlText w:val="o"/>
      <w:lvlJc w:val="left"/>
      <w:pPr>
        <w:ind w:left="1440" w:hanging="360"/>
      </w:pPr>
      <w:rPr>
        <w:rFonts w:ascii="DengXian" w:hAnsi="DengXian" w:cs="DengXian" w:hint="default"/>
      </w:rPr>
    </w:lvl>
    <w:lvl w:ilvl="2" w:tplc="0C090005">
      <w:start w:val="1"/>
      <w:numFmt w:val="bullet"/>
      <w:lvlText w:val=""/>
      <w:lvlJc w:val="left"/>
      <w:pPr>
        <w:ind w:left="2160" w:hanging="360"/>
      </w:pPr>
      <w:rPr>
        <w:rFonts w:ascii="DengXian" w:hAnsi="DengXian" w:hint="default"/>
      </w:rPr>
    </w:lvl>
    <w:lvl w:ilvl="3" w:tplc="0C090001">
      <w:start w:val="1"/>
      <w:numFmt w:val="bullet"/>
      <w:lvlText w:val=""/>
      <w:lvlJc w:val="left"/>
      <w:pPr>
        <w:ind w:left="2880" w:hanging="360"/>
      </w:pPr>
      <w:rPr>
        <w:rFonts w:ascii="CG Times (W1)" w:hAnsi="CG Times (W1)" w:hint="default"/>
      </w:rPr>
    </w:lvl>
    <w:lvl w:ilvl="4" w:tplc="0C090003">
      <w:start w:val="1"/>
      <w:numFmt w:val="bullet"/>
      <w:lvlText w:val="o"/>
      <w:lvlJc w:val="left"/>
      <w:pPr>
        <w:ind w:left="3600" w:hanging="360"/>
      </w:pPr>
      <w:rPr>
        <w:rFonts w:ascii="DengXian" w:hAnsi="DengXian" w:cs="DengXian" w:hint="default"/>
      </w:rPr>
    </w:lvl>
    <w:lvl w:ilvl="5" w:tplc="0C090005">
      <w:start w:val="1"/>
      <w:numFmt w:val="bullet"/>
      <w:lvlText w:val=""/>
      <w:lvlJc w:val="left"/>
      <w:pPr>
        <w:ind w:left="4320" w:hanging="360"/>
      </w:pPr>
      <w:rPr>
        <w:rFonts w:ascii="DengXian" w:hAnsi="DengXian" w:hint="default"/>
      </w:rPr>
    </w:lvl>
    <w:lvl w:ilvl="6" w:tplc="0C090001">
      <w:start w:val="1"/>
      <w:numFmt w:val="bullet"/>
      <w:lvlText w:val=""/>
      <w:lvlJc w:val="left"/>
      <w:pPr>
        <w:ind w:left="5040" w:hanging="360"/>
      </w:pPr>
      <w:rPr>
        <w:rFonts w:ascii="CG Times (W1)" w:hAnsi="CG Times (W1)" w:hint="default"/>
      </w:rPr>
    </w:lvl>
    <w:lvl w:ilvl="7" w:tplc="0C090003">
      <w:start w:val="1"/>
      <w:numFmt w:val="bullet"/>
      <w:lvlText w:val="o"/>
      <w:lvlJc w:val="left"/>
      <w:pPr>
        <w:ind w:left="5760" w:hanging="360"/>
      </w:pPr>
      <w:rPr>
        <w:rFonts w:ascii="DengXian" w:hAnsi="DengXian" w:cs="DengXian" w:hint="default"/>
      </w:rPr>
    </w:lvl>
    <w:lvl w:ilvl="8" w:tplc="0C090005">
      <w:start w:val="1"/>
      <w:numFmt w:val="bullet"/>
      <w:lvlText w:val=""/>
      <w:lvlJc w:val="left"/>
      <w:pPr>
        <w:ind w:left="6480" w:hanging="360"/>
      </w:pPr>
      <w:rPr>
        <w:rFonts w:ascii="DengXian" w:hAnsi="DengXian" w:hint="default"/>
      </w:rPr>
    </w:lvl>
  </w:abstractNum>
  <w:abstractNum w:abstractNumId="59" w15:restartNumberingAfterBreak="0">
    <w:nsid w:val="6D244FBB"/>
    <w:multiLevelType w:val="multilevel"/>
    <w:tmpl w:val="107CE504"/>
    <w:lvl w:ilvl="0">
      <w:start w:val="1"/>
      <w:numFmt w:val="decimal"/>
      <w:pStyle w:val="ListNumber"/>
      <w:lvlText w:val="%1."/>
      <w:lvlJc w:val="left"/>
      <w:pPr>
        <w:tabs>
          <w:tab w:val="num" w:pos="284"/>
        </w:tabs>
        <w:ind w:left="284" w:hanging="284"/>
      </w:pPr>
      <w:rPr>
        <w:rFonts w:ascii="CG Times (W1)" w:hAnsi="CG Times (W1)" w:cs="CG Times (W1)" w:hint="default"/>
        <w:sz w:val="20"/>
      </w:rPr>
    </w:lvl>
    <w:lvl w:ilvl="1">
      <w:start w:val="1"/>
      <w:numFmt w:val="decimal"/>
      <w:pStyle w:val="ListNumber2"/>
      <w:lvlText w:val="%1.%2."/>
      <w:lvlJc w:val="left"/>
      <w:pPr>
        <w:tabs>
          <w:tab w:val="num" w:pos="567"/>
        </w:tabs>
        <w:ind w:left="851" w:hanging="567"/>
      </w:pPr>
      <w:rPr>
        <w:rFonts w:ascii="CG Times (W1)" w:hAnsi="CG Times (W1)" w:cs="CG Times (W1)" w:hint="default"/>
        <w:sz w:val="20"/>
      </w:rPr>
    </w:lvl>
    <w:lvl w:ilvl="2">
      <w:start w:val="1"/>
      <w:numFmt w:val="decimal"/>
      <w:pStyle w:val="ListNumber3"/>
      <w:lvlText w:val="%1.%2.%3"/>
      <w:lvlJc w:val="left"/>
      <w:pPr>
        <w:tabs>
          <w:tab w:val="num" w:pos="1134"/>
        </w:tabs>
        <w:ind w:left="1418" w:hanging="567"/>
      </w:pPr>
      <w:rPr>
        <w:rFonts w:ascii="CG Times (W1)" w:hAnsi="CG Times (W1)" w:hint="default"/>
        <w:sz w:val="20"/>
      </w:rPr>
    </w:lvl>
    <w:lvl w:ilvl="3">
      <w:start w:val="1"/>
      <w:numFmt w:val="decimal"/>
      <w:lvlText w:val="%4—"/>
      <w:lvlJc w:val="left"/>
      <w:pPr>
        <w:tabs>
          <w:tab w:val="num" w:pos="1361"/>
        </w:tabs>
        <w:ind w:left="1361" w:hanging="341"/>
      </w:pPr>
      <w:rPr>
        <w:rFonts w:ascii="CG Times (W1)" w:hAnsi="CG Times (W1)" w:cs="CG Times (W1)" w:hint="default"/>
      </w:rPr>
    </w:lvl>
    <w:lvl w:ilvl="4">
      <w:start w:val="1"/>
      <w:numFmt w:val="lowerLetter"/>
      <w:lvlText w:val="-"/>
      <w:lvlJc w:val="left"/>
      <w:pPr>
        <w:tabs>
          <w:tab w:val="num" w:pos="1701"/>
        </w:tabs>
        <w:ind w:left="1701" w:hanging="340"/>
      </w:pPr>
      <w:rPr>
        <w:rFonts w:ascii="CG Times (W1)" w:hAnsi="CG Times (W1)" w:hint="default"/>
      </w:rPr>
    </w:lvl>
    <w:lvl w:ilvl="5">
      <w:start w:val="1"/>
      <w:numFmt w:val="lowerRoman"/>
      <w:lvlText w:val="—"/>
      <w:lvlJc w:val="left"/>
      <w:pPr>
        <w:tabs>
          <w:tab w:val="num" w:pos="2041"/>
        </w:tabs>
        <w:ind w:left="2041" w:hanging="340"/>
      </w:pPr>
      <w:rPr>
        <w:rFonts w:ascii="CG Times (W1)" w:hAnsi="CG Times (W1)" w:cs="CG Times (W1)" w:hint="default"/>
      </w:rPr>
    </w:lvl>
    <w:lvl w:ilvl="6">
      <w:start w:val="1"/>
      <w:numFmt w:val="decimal"/>
      <w:lvlText w:val="-"/>
      <w:lvlJc w:val="left"/>
      <w:pPr>
        <w:tabs>
          <w:tab w:val="num" w:pos="2381"/>
        </w:tabs>
        <w:ind w:left="2381" w:hanging="340"/>
      </w:pPr>
      <w:rPr>
        <w:rFonts w:ascii="CG Times (W1)" w:hAnsi="CG Times (W1)" w:hint="default"/>
      </w:rPr>
    </w:lvl>
    <w:lvl w:ilvl="7">
      <w:start w:val="1"/>
      <w:numFmt w:val="lowerLetter"/>
      <w:lvlText w:val="—"/>
      <w:lvlJc w:val="left"/>
      <w:pPr>
        <w:tabs>
          <w:tab w:val="num" w:pos="2721"/>
        </w:tabs>
        <w:ind w:left="2721" w:hanging="340"/>
      </w:pPr>
      <w:rPr>
        <w:rFonts w:ascii="CG Times (W1)" w:hAnsi="CG Times (W1)" w:cs="CG Times (W1)" w:hint="default"/>
      </w:rPr>
    </w:lvl>
    <w:lvl w:ilvl="8">
      <w:start w:val="1"/>
      <w:numFmt w:val="lowerRoman"/>
      <w:lvlText w:val="-"/>
      <w:lvlJc w:val="left"/>
      <w:pPr>
        <w:tabs>
          <w:tab w:val="num" w:pos="3061"/>
        </w:tabs>
        <w:ind w:left="3061" w:hanging="340"/>
      </w:pPr>
      <w:rPr>
        <w:rFonts w:ascii="CG Times (W1)" w:hAnsi="CG Times (W1)" w:hint="default"/>
      </w:rPr>
    </w:lvl>
  </w:abstractNum>
  <w:abstractNum w:abstractNumId="60" w15:restartNumberingAfterBreak="0">
    <w:nsid w:val="75CA2114"/>
    <w:multiLevelType w:val="hybridMultilevel"/>
    <w:tmpl w:val="4BA09AE4"/>
    <w:lvl w:ilvl="0" w:tplc="9CC0FEC4">
      <w:start w:val="1"/>
      <w:numFmt w:val="bullet"/>
      <w:lvlText w:val="•"/>
      <w:lvlJc w:val="left"/>
      <w:pPr>
        <w:ind w:left="720" w:hanging="360"/>
      </w:pPr>
      <w:rPr>
        <w:rFonts w:ascii="CG Times (W1)" w:hAnsi="CG Times (W1)" w:cs="CG Times (W1)" w:hint="default"/>
        <w:color w:val="auto"/>
        <w:sz w:val="24"/>
      </w:rPr>
    </w:lvl>
    <w:lvl w:ilvl="1" w:tplc="0C090003" w:tentative="1">
      <w:start w:val="1"/>
      <w:numFmt w:val="bullet"/>
      <w:lvlText w:val="o"/>
      <w:lvlJc w:val="left"/>
      <w:pPr>
        <w:ind w:left="1440" w:hanging="360"/>
      </w:pPr>
      <w:rPr>
        <w:rFonts w:ascii="DengXian" w:hAnsi="DengXian" w:cs="DengXian" w:hint="default"/>
      </w:rPr>
    </w:lvl>
    <w:lvl w:ilvl="2" w:tplc="0C090005" w:tentative="1">
      <w:start w:val="1"/>
      <w:numFmt w:val="bullet"/>
      <w:lvlText w:val=""/>
      <w:lvlJc w:val="left"/>
      <w:pPr>
        <w:ind w:left="2160" w:hanging="360"/>
      </w:pPr>
      <w:rPr>
        <w:rFonts w:ascii="DengXian" w:hAnsi="DengXian" w:hint="default"/>
      </w:rPr>
    </w:lvl>
    <w:lvl w:ilvl="3" w:tplc="0C090001" w:tentative="1">
      <w:start w:val="1"/>
      <w:numFmt w:val="bullet"/>
      <w:lvlText w:val=""/>
      <w:lvlJc w:val="left"/>
      <w:pPr>
        <w:ind w:left="2880" w:hanging="360"/>
      </w:pPr>
      <w:rPr>
        <w:rFonts w:ascii="CG Times (W1)" w:hAnsi="CG Times (W1)" w:hint="default"/>
      </w:rPr>
    </w:lvl>
    <w:lvl w:ilvl="4" w:tplc="0C090003" w:tentative="1">
      <w:start w:val="1"/>
      <w:numFmt w:val="bullet"/>
      <w:lvlText w:val="o"/>
      <w:lvlJc w:val="left"/>
      <w:pPr>
        <w:ind w:left="3600" w:hanging="360"/>
      </w:pPr>
      <w:rPr>
        <w:rFonts w:ascii="DengXian" w:hAnsi="DengXian" w:cs="DengXian" w:hint="default"/>
      </w:rPr>
    </w:lvl>
    <w:lvl w:ilvl="5" w:tplc="0C090005" w:tentative="1">
      <w:start w:val="1"/>
      <w:numFmt w:val="bullet"/>
      <w:lvlText w:val=""/>
      <w:lvlJc w:val="left"/>
      <w:pPr>
        <w:ind w:left="4320" w:hanging="360"/>
      </w:pPr>
      <w:rPr>
        <w:rFonts w:ascii="DengXian" w:hAnsi="DengXian" w:hint="default"/>
      </w:rPr>
    </w:lvl>
    <w:lvl w:ilvl="6" w:tplc="0C090001" w:tentative="1">
      <w:start w:val="1"/>
      <w:numFmt w:val="bullet"/>
      <w:lvlText w:val=""/>
      <w:lvlJc w:val="left"/>
      <w:pPr>
        <w:ind w:left="5040" w:hanging="360"/>
      </w:pPr>
      <w:rPr>
        <w:rFonts w:ascii="CG Times (W1)" w:hAnsi="CG Times (W1)" w:hint="default"/>
      </w:rPr>
    </w:lvl>
    <w:lvl w:ilvl="7" w:tplc="0C090003" w:tentative="1">
      <w:start w:val="1"/>
      <w:numFmt w:val="bullet"/>
      <w:lvlText w:val="o"/>
      <w:lvlJc w:val="left"/>
      <w:pPr>
        <w:ind w:left="5760" w:hanging="360"/>
      </w:pPr>
      <w:rPr>
        <w:rFonts w:ascii="DengXian" w:hAnsi="DengXian" w:cs="DengXian" w:hint="default"/>
      </w:rPr>
    </w:lvl>
    <w:lvl w:ilvl="8" w:tplc="0C090005" w:tentative="1">
      <w:start w:val="1"/>
      <w:numFmt w:val="bullet"/>
      <w:lvlText w:val=""/>
      <w:lvlJc w:val="left"/>
      <w:pPr>
        <w:ind w:left="6480" w:hanging="360"/>
      </w:pPr>
      <w:rPr>
        <w:rFonts w:ascii="DengXian" w:hAnsi="DengXian" w:hint="default"/>
      </w:rPr>
    </w:lvl>
  </w:abstractNum>
  <w:abstractNum w:abstractNumId="61" w15:restartNumberingAfterBreak="0">
    <w:nsid w:val="75EA5769"/>
    <w:multiLevelType w:val="singleLevel"/>
    <w:tmpl w:val="AF5A86D8"/>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62" w15:restartNumberingAfterBreak="0">
    <w:nsid w:val="775D6FDC"/>
    <w:multiLevelType w:val="singleLevel"/>
    <w:tmpl w:val="5F0CB11E"/>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63" w15:restartNumberingAfterBreak="0">
    <w:nsid w:val="79126D49"/>
    <w:multiLevelType w:val="singleLevel"/>
    <w:tmpl w:val="BE3A2F5C"/>
    <w:lvl w:ilvl="0">
      <w:start w:val="1"/>
      <w:numFmt w:val="bullet"/>
      <w:lvlText w:val="•"/>
      <w:lvlJc w:val="left"/>
      <w:pPr>
        <w:tabs>
          <w:tab w:val="num" w:pos="340"/>
        </w:tabs>
        <w:ind w:left="340" w:hanging="340"/>
      </w:pPr>
      <w:rPr>
        <w:rFonts w:ascii="CG Times (W1)" w:hAnsi="CG Times (W1)" w:cs="CG Times (W1)" w:hint="default"/>
        <w:color w:val="auto"/>
        <w:sz w:val="24"/>
      </w:rPr>
    </w:lvl>
  </w:abstractNum>
  <w:abstractNum w:abstractNumId="64" w15:restartNumberingAfterBreak="0">
    <w:nsid w:val="7A8468BE"/>
    <w:multiLevelType w:val="singleLevel"/>
    <w:tmpl w:val="6EBC81DC"/>
    <w:lvl w:ilvl="0">
      <w:start w:val="1"/>
      <w:numFmt w:val="bullet"/>
      <w:lvlText w:val="•"/>
      <w:lvlJc w:val="left"/>
      <w:pPr>
        <w:tabs>
          <w:tab w:val="num" w:pos="340"/>
        </w:tabs>
        <w:ind w:left="340" w:hanging="340"/>
      </w:pPr>
      <w:rPr>
        <w:rFonts w:ascii="Calibri Light" w:hAnsi="Calibri Light" w:cs="Calibri Light" w:hint="default"/>
        <w:color w:val="auto"/>
        <w:sz w:val="24"/>
      </w:rPr>
    </w:lvl>
  </w:abstractNum>
  <w:abstractNum w:abstractNumId="65" w15:restartNumberingAfterBreak="0">
    <w:nsid w:val="7CD6689A"/>
    <w:multiLevelType w:val="hybridMultilevel"/>
    <w:tmpl w:val="A120B4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90331098">
    <w:abstractNumId w:val="4"/>
  </w:num>
  <w:num w:numId="2" w16cid:durableId="545533890">
    <w:abstractNumId w:val="59"/>
  </w:num>
  <w:num w:numId="3" w16cid:durableId="1839035418">
    <w:abstractNumId w:val="31"/>
  </w:num>
  <w:num w:numId="4" w16cid:durableId="1590460405">
    <w:abstractNumId w:val="44"/>
  </w:num>
  <w:num w:numId="5" w16cid:durableId="961770288">
    <w:abstractNumId w:val="60"/>
  </w:num>
  <w:num w:numId="6" w16cid:durableId="1217164004">
    <w:abstractNumId w:val="35"/>
  </w:num>
  <w:num w:numId="7" w16cid:durableId="1112482707">
    <w:abstractNumId w:val="50"/>
  </w:num>
  <w:num w:numId="8" w16cid:durableId="1239511362">
    <w:abstractNumId w:val="32"/>
  </w:num>
  <w:num w:numId="9" w16cid:durableId="1775006178">
    <w:abstractNumId w:val="43"/>
  </w:num>
  <w:num w:numId="10" w16cid:durableId="2005626528">
    <w:abstractNumId w:val="45"/>
  </w:num>
  <w:num w:numId="11" w16cid:durableId="1296987137">
    <w:abstractNumId w:val="62"/>
  </w:num>
  <w:num w:numId="12" w16cid:durableId="1351877153">
    <w:abstractNumId w:val="41"/>
  </w:num>
  <w:num w:numId="13" w16cid:durableId="309361043">
    <w:abstractNumId w:val="5"/>
  </w:num>
  <w:num w:numId="14" w16cid:durableId="202250565">
    <w:abstractNumId w:val="3"/>
  </w:num>
  <w:num w:numId="15" w16cid:durableId="251596361">
    <w:abstractNumId w:val="2"/>
  </w:num>
  <w:num w:numId="16" w16cid:durableId="1074006508">
    <w:abstractNumId w:val="1"/>
  </w:num>
  <w:num w:numId="17" w16cid:durableId="1192111289">
    <w:abstractNumId w:val="0"/>
  </w:num>
  <w:num w:numId="18" w16cid:durableId="1790783395">
    <w:abstractNumId w:val="52"/>
  </w:num>
  <w:num w:numId="19" w16cid:durableId="758253076">
    <w:abstractNumId w:val="37"/>
  </w:num>
  <w:num w:numId="20" w16cid:durableId="1310208442">
    <w:abstractNumId w:val="58"/>
  </w:num>
  <w:num w:numId="21" w16cid:durableId="15817903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005586">
    <w:abstractNumId w:val="34"/>
  </w:num>
  <w:num w:numId="23" w16cid:durableId="1474985031">
    <w:abstractNumId w:val="25"/>
  </w:num>
  <w:num w:numId="24" w16cid:durableId="1183519083">
    <w:abstractNumId w:val="33"/>
  </w:num>
  <w:num w:numId="25" w16cid:durableId="3536542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7814390">
    <w:abstractNumId w:val="15"/>
  </w:num>
  <w:num w:numId="27" w16cid:durableId="1640921404">
    <w:abstractNumId w:val="36"/>
  </w:num>
  <w:num w:numId="28" w16cid:durableId="598870665">
    <w:abstractNumId w:val="19"/>
  </w:num>
  <w:num w:numId="29" w16cid:durableId="1813332069">
    <w:abstractNumId w:val="49"/>
  </w:num>
  <w:num w:numId="30" w16cid:durableId="1580749157">
    <w:abstractNumId w:val="61"/>
  </w:num>
  <w:num w:numId="31" w16cid:durableId="439574356">
    <w:abstractNumId w:val="57"/>
  </w:num>
  <w:num w:numId="32" w16cid:durableId="1075275623">
    <w:abstractNumId w:val="10"/>
  </w:num>
  <w:num w:numId="33" w16cid:durableId="1535120305">
    <w:abstractNumId w:val="39"/>
  </w:num>
  <w:num w:numId="34" w16cid:durableId="1334450335">
    <w:abstractNumId w:val="47"/>
  </w:num>
  <w:num w:numId="35" w16cid:durableId="40596549">
    <w:abstractNumId w:val="40"/>
  </w:num>
  <w:num w:numId="36" w16cid:durableId="811219126">
    <w:abstractNumId w:val="51"/>
  </w:num>
  <w:num w:numId="37" w16cid:durableId="1789547285">
    <w:abstractNumId w:val="20"/>
  </w:num>
  <w:num w:numId="38" w16cid:durableId="987052362">
    <w:abstractNumId w:val="9"/>
  </w:num>
  <w:num w:numId="39" w16cid:durableId="1590578141">
    <w:abstractNumId w:val="23"/>
  </w:num>
  <w:num w:numId="40" w16cid:durableId="170293077">
    <w:abstractNumId w:val="38"/>
  </w:num>
  <w:num w:numId="41" w16cid:durableId="784622749">
    <w:abstractNumId w:val="17"/>
  </w:num>
  <w:num w:numId="42" w16cid:durableId="1819497594">
    <w:abstractNumId w:val="63"/>
  </w:num>
  <w:num w:numId="43" w16cid:durableId="1709793107">
    <w:abstractNumId w:val="54"/>
  </w:num>
  <w:num w:numId="44" w16cid:durableId="782305925">
    <w:abstractNumId w:val="55"/>
  </w:num>
  <w:num w:numId="45" w16cid:durableId="1167984875">
    <w:abstractNumId w:val="13"/>
  </w:num>
  <w:num w:numId="46" w16cid:durableId="100878389">
    <w:abstractNumId w:val="26"/>
  </w:num>
  <w:num w:numId="47" w16cid:durableId="1324627171">
    <w:abstractNumId w:val="11"/>
  </w:num>
  <w:num w:numId="48" w16cid:durableId="1352679511">
    <w:abstractNumId w:val="12"/>
  </w:num>
  <w:num w:numId="49" w16cid:durableId="595938386">
    <w:abstractNumId w:val="29"/>
  </w:num>
  <w:num w:numId="50" w16cid:durableId="1143888405">
    <w:abstractNumId w:val="16"/>
  </w:num>
  <w:num w:numId="51" w16cid:durableId="1562324109">
    <w:abstractNumId w:val="48"/>
  </w:num>
  <w:num w:numId="52" w16cid:durableId="1543635019">
    <w:abstractNumId w:val="7"/>
  </w:num>
  <w:num w:numId="53" w16cid:durableId="423309319">
    <w:abstractNumId w:val="8"/>
  </w:num>
  <w:num w:numId="54" w16cid:durableId="512497785">
    <w:abstractNumId w:val="21"/>
  </w:num>
  <w:num w:numId="55" w16cid:durableId="923875782">
    <w:abstractNumId w:val="24"/>
  </w:num>
  <w:num w:numId="56" w16cid:durableId="1811048832">
    <w:abstractNumId w:val="30"/>
  </w:num>
  <w:num w:numId="57" w16cid:durableId="1126390335">
    <w:abstractNumId w:val="65"/>
  </w:num>
  <w:num w:numId="58" w16cid:durableId="2062316055">
    <w:abstractNumId w:val="14"/>
  </w:num>
  <w:num w:numId="59" w16cid:durableId="969478667">
    <w:abstractNumId w:val="64"/>
  </w:num>
  <w:num w:numId="60" w16cid:durableId="746346020">
    <w:abstractNumId w:val="53"/>
  </w:num>
  <w:num w:numId="61" w16cid:durableId="1296526454">
    <w:abstractNumId w:val="27"/>
  </w:num>
  <w:num w:numId="62" w16cid:durableId="693770385">
    <w:abstractNumId w:val="18"/>
  </w:num>
  <w:num w:numId="63" w16cid:durableId="1711883781">
    <w:abstractNumId w:val="30"/>
  </w:num>
  <w:num w:numId="64" w16cid:durableId="154808681">
    <w:abstractNumId w:val="46"/>
  </w:num>
  <w:num w:numId="65" w16cid:durableId="448011356">
    <w:abstractNumId w:val="22"/>
  </w:num>
  <w:num w:numId="66" w16cid:durableId="54551797">
    <w:abstractNumId w:val="42"/>
  </w:num>
  <w:num w:numId="67" w16cid:durableId="1766074930">
    <w:abstractNumId w:val="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F8A"/>
    <w:rsid w:val="00000088"/>
    <w:rsid w:val="000000B2"/>
    <w:rsid w:val="0000016F"/>
    <w:rsid w:val="00000285"/>
    <w:rsid w:val="000002B9"/>
    <w:rsid w:val="0000041D"/>
    <w:rsid w:val="0000048C"/>
    <w:rsid w:val="000004AB"/>
    <w:rsid w:val="0000053D"/>
    <w:rsid w:val="0000082B"/>
    <w:rsid w:val="00000A04"/>
    <w:rsid w:val="00000B72"/>
    <w:rsid w:val="00000D26"/>
    <w:rsid w:val="00000DFD"/>
    <w:rsid w:val="00000E1B"/>
    <w:rsid w:val="00000E88"/>
    <w:rsid w:val="00000F20"/>
    <w:rsid w:val="000010EF"/>
    <w:rsid w:val="00001200"/>
    <w:rsid w:val="0000127F"/>
    <w:rsid w:val="000012C7"/>
    <w:rsid w:val="0000150B"/>
    <w:rsid w:val="00001519"/>
    <w:rsid w:val="0000156D"/>
    <w:rsid w:val="000015EC"/>
    <w:rsid w:val="000017CA"/>
    <w:rsid w:val="00001830"/>
    <w:rsid w:val="0000196E"/>
    <w:rsid w:val="00001C47"/>
    <w:rsid w:val="00001CDE"/>
    <w:rsid w:val="00001D81"/>
    <w:rsid w:val="00001DB6"/>
    <w:rsid w:val="00001DE0"/>
    <w:rsid w:val="00001E00"/>
    <w:rsid w:val="00001E37"/>
    <w:rsid w:val="00001F02"/>
    <w:rsid w:val="00002074"/>
    <w:rsid w:val="000021C5"/>
    <w:rsid w:val="00002317"/>
    <w:rsid w:val="000023D5"/>
    <w:rsid w:val="00002604"/>
    <w:rsid w:val="0000272B"/>
    <w:rsid w:val="0000276B"/>
    <w:rsid w:val="00002799"/>
    <w:rsid w:val="000027AD"/>
    <w:rsid w:val="000028A5"/>
    <w:rsid w:val="00002944"/>
    <w:rsid w:val="00002A54"/>
    <w:rsid w:val="00002A9E"/>
    <w:rsid w:val="00002AB1"/>
    <w:rsid w:val="00002D57"/>
    <w:rsid w:val="00002DBE"/>
    <w:rsid w:val="00002F0F"/>
    <w:rsid w:val="00002F8B"/>
    <w:rsid w:val="00002FB5"/>
    <w:rsid w:val="00002FC9"/>
    <w:rsid w:val="0000305C"/>
    <w:rsid w:val="000030EE"/>
    <w:rsid w:val="00003111"/>
    <w:rsid w:val="0000324D"/>
    <w:rsid w:val="000032D0"/>
    <w:rsid w:val="0000333B"/>
    <w:rsid w:val="00003372"/>
    <w:rsid w:val="000033B7"/>
    <w:rsid w:val="0000347A"/>
    <w:rsid w:val="00003521"/>
    <w:rsid w:val="0000355E"/>
    <w:rsid w:val="000035CE"/>
    <w:rsid w:val="00003617"/>
    <w:rsid w:val="00003632"/>
    <w:rsid w:val="00003729"/>
    <w:rsid w:val="0000383C"/>
    <w:rsid w:val="000038E5"/>
    <w:rsid w:val="00003949"/>
    <w:rsid w:val="00003B3B"/>
    <w:rsid w:val="00003BB4"/>
    <w:rsid w:val="00003C34"/>
    <w:rsid w:val="00003E89"/>
    <w:rsid w:val="00003EAA"/>
    <w:rsid w:val="00003EE1"/>
    <w:rsid w:val="00003F74"/>
    <w:rsid w:val="00004052"/>
    <w:rsid w:val="000040F0"/>
    <w:rsid w:val="000041CC"/>
    <w:rsid w:val="0000434F"/>
    <w:rsid w:val="000043ED"/>
    <w:rsid w:val="000044B3"/>
    <w:rsid w:val="000044EF"/>
    <w:rsid w:val="000046F7"/>
    <w:rsid w:val="0000473B"/>
    <w:rsid w:val="00004772"/>
    <w:rsid w:val="00004774"/>
    <w:rsid w:val="0000479A"/>
    <w:rsid w:val="00004897"/>
    <w:rsid w:val="000048A1"/>
    <w:rsid w:val="00004A34"/>
    <w:rsid w:val="00004CDE"/>
    <w:rsid w:val="00004D59"/>
    <w:rsid w:val="00004FF8"/>
    <w:rsid w:val="00005082"/>
    <w:rsid w:val="000050E0"/>
    <w:rsid w:val="000050FB"/>
    <w:rsid w:val="0000515C"/>
    <w:rsid w:val="000052B6"/>
    <w:rsid w:val="00005370"/>
    <w:rsid w:val="0000538E"/>
    <w:rsid w:val="000053B7"/>
    <w:rsid w:val="000054F7"/>
    <w:rsid w:val="00005607"/>
    <w:rsid w:val="00005611"/>
    <w:rsid w:val="00005805"/>
    <w:rsid w:val="000059A1"/>
    <w:rsid w:val="00005BAE"/>
    <w:rsid w:val="00005BD5"/>
    <w:rsid w:val="00005F4C"/>
    <w:rsid w:val="00005F4E"/>
    <w:rsid w:val="00005F8A"/>
    <w:rsid w:val="00006024"/>
    <w:rsid w:val="00006136"/>
    <w:rsid w:val="00006331"/>
    <w:rsid w:val="00006620"/>
    <w:rsid w:val="0000673F"/>
    <w:rsid w:val="00006776"/>
    <w:rsid w:val="0000678B"/>
    <w:rsid w:val="00006826"/>
    <w:rsid w:val="00006831"/>
    <w:rsid w:val="000068D0"/>
    <w:rsid w:val="000068FE"/>
    <w:rsid w:val="0000691A"/>
    <w:rsid w:val="00006920"/>
    <w:rsid w:val="00006A5E"/>
    <w:rsid w:val="00006A8E"/>
    <w:rsid w:val="00006BA9"/>
    <w:rsid w:val="00006C19"/>
    <w:rsid w:val="00006C94"/>
    <w:rsid w:val="00006CEB"/>
    <w:rsid w:val="00006D18"/>
    <w:rsid w:val="00006E47"/>
    <w:rsid w:val="00006F06"/>
    <w:rsid w:val="00006F0E"/>
    <w:rsid w:val="0000709B"/>
    <w:rsid w:val="00007162"/>
    <w:rsid w:val="000071C0"/>
    <w:rsid w:val="000071F5"/>
    <w:rsid w:val="000073DC"/>
    <w:rsid w:val="000073FA"/>
    <w:rsid w:val="00007523"/>
    <w:rsid w:val="00007888"/>
    <w:rsid w:val="0000799C"/>
    <w:rsid w:val="000079CB"/>
    <w:rsid w:val="00007AD6"/>
    <w:rsid w:val="00007B7C"/>
    <w:rsid w:val="00007BB7"/>
    <w:rsid w:val="00007C10"/>
    <w:rsid w:val="00007CCC"/>
    <w:rsid w:val="00007D64"/>
    <w:rsid w:val="00007D70"/>
    <w:rsid w:val="00007E78"/>
    <w:rsid w:val="0001031A"/>
    <w:rsid w:val="0001053A"/>
    <w:rsid w:val="00010682"/>
    <w:rsid w:val="000106B3"/>
    <w:rsid w:val="000108B8"/>
    <w:rsid w:val="00010925"/>
    <w:rsid w:val="00010929"/>
    <w:rsid w:val="000109DA"/>
    <w:rsid w:val="00010A14"/>
    <w:rsid w:val="00010A29"/>
    <w:rsid w:val="00010B84"/>
    <w:rsid w:val="00010C2E"/>
    <w:rsid w:val="00010C33"/>
    <w:rsid w:val="00010E3A"/>
    <w:rsid w:val="00010E78"/>
    <w:rsid w:val="00010EC0"/>
    <w:rsid w:val="00011338"/>
    <w:rsid w:val="0001143E"/>
    <w:rsid w:val="00011472"/>
    <w:rsid w:val="0001151B"/>
    <w:rsid w:val="0001163A"/>
    <w:rsid w:val="0001168C"/>
    <w:rsid w:val="000117C8"/>
    <w:rsid w:val="000117FB"/>
    <w:rsid w:val="0001180C"/>
    <w:rsid w:val="00011819"/>
    <w:rsid w:val="000119F4"/>
    <w:rsid w:val="00011A1B"/>
    <w:rsid w:val="00011A3C"/>
    <w:rsid w:val="00011DE1"/>
    <w:rsid w:val="00011E4C"/>
    <w:rsid w:val="00012034"/>
    <w:rsid w:val="000120E7"/>
    <w:rsid w:val="000121D6"/>
    <w:rsid w:val="000121D7"/>
    <w:rsid w:val="0001225F"/>
    <w:rsid w:val="00012282"/>
    <w:rsid w:val="0001229E"/>
    <w:rsid w:val="0001239D"/>
    <w:rsid w:val="000123FD"/>
    <w:rsid w:val="0001256F"/>
    <w:rsid w:val="0001265F"/>
    <w:rsid w:val="0001271F"/>
    <w:rsid w:val="000127F9"/>
    <w:rsid w:val="00012854"/>
    <w:rsid w:val="00012A14"/>
    <w:rsid w:val="00012B17"/>
    <w:rsid w:val="00012C0B"/>
    <w:rsid w:val="00012C37"/>
    <w:rsid w:val="00012D1F"/>
    <w:rsid w:val="00012DD1"/>
    <w:rsid w:val="00012EC0"/>
    <w:rsid w:val="00012F58"/>
    <w:rsid w:val="0001310B"/>
    <w:rsid w:val="000131E7"/>
    <w:rsid w:val="000132C0"/>
    <w:rsid w:val="00013511"/>
    <w:rsid w:val="00013581"/>
    <w:rsid w:val="00013795"/>
    <w:rsid w:val="000137C2"/>
    <w:rsid w:val="00013841"/>
    <w:rsid w:val="00013889"/>
    <w:rsid w:val="00013AD8"/>
    <w:rsid w:val="00013BF0"/>
    <w:rsid w:val="00013D8D"/>
    <w:rsid w:val="00013E02"/>
    <w:rsid w:val="00013E5C"/>
    <w:rsid w:val="00013F58"/>
    <w:rsid w:val="0001400C"/>
    <w:rsid w:val="0001402E"/>
    <w:rsid w:val="00014102"/>
    <w:rsid w:val="00014125"/>
    <w:rsid w:val="000141A8"/>
    <w:rsid w:val="000142D4"/>
    <w:rsid w:val="00014341"/>
    <w:rsid w:val="000143F9"/>
    <w:rsid w:val="00014432"/>
    <w:rsid w:val="000145BB"/>
    <w:rsid w:val="000147DE"/>
    <w:rsid w:val="00014957"/>
    <w:rsid w:val="000149F4"/>
    <w:rsid w:val="00014A43"/>
    <w:rsid w:val="00014A45"/>
    <w:rsid w:val="00014B84"/>
    <w:rsid w:val="00014DF3"/>
    <w:rsid w:val="00014E65"/>
    <w:rsid w:val="00014F2C"/>
    <w:rsid w:val="00014F82"/>
    <w:rsid w:val="00014FA4"/>
    <w:rsid w:val="000151D2"/>
    <w:rsid w:val="000152B3"/>
    <w:rsid w:val="0001530C"/>
    <w:rsid w:val="00015373"/>
    <w:rsid w:val="000153E6"/>
    <w:rsid w:val="00015522"/>
    <w:rsid w:val="0001574D"/>
    <w:rsid w:val="000157F1"/>
    <w:rsid w:val="00015821"/>
    <w:rsid w:val="0001588A"/>
    <w:rsid w:val="00015894"/>
    <w:rsid w:val="000158AB"/>
    <w:rsid w:val="0001592A"/>
    <w:rsid w:val="00015997"/>
    <w:rsid w:val="00015A85"/>
    <w:rsid w:val="00015AAC"/>
    <w:rsid w:val="00015BA7"/>
    <w:rsid w:val="00015D8B"/>
    <w:rsid w:val="00015DBF"/>
    <w:rsid w:val="00015EC5"/>
    <w:rsid w:val="00015FD6"/>
    <w:rsid w:val="000160C6"/>
    <w:rsid w:val="00016392"/>
    <w:rsid w:val="0001642B"/>
    <w:rsid w:val="0001658A"/>
    <w:rsid w:val="0001658D"/>
    <w:rsid w:val="000165DB"/>
    <w:rsid w:val="0001663B"/>
    <w:rsid w:val="00016672"/>
    <w:rsid w:val="00016700"/>
    <w:rsid w:val="00016706"/>
    <w:rsid w:val="00016783"/>
    <w:rsid w:val="00016893"/>
    <w:rsid w:val="00016906"/>
    <w:rsid w:val="00016966"/>
    <w:rsid w:val="00016A0B"/>
    <w:rsid w:val="00016AA8"/>
    <w:rsid w:val="00016AF1"/>
    <w:rsid w:val="00016B94"/>
    <w:rsid w:val="00016BEE"/>
    <w:rsid w:val="00016C22"/>
    <w:rsid w:val="00016CC0"/>
    <w:rsid w:val="00016D2F"/>
    <w:rsid w:val="00016D87"/>
    <w:rsid w:val="00016E28"/>
    <w:rsid w:val="00017058"/>
    <w:rsid w:val="00017119"/>
    <w:rsid w:val="00017283"/>
    <w:rsid w:val="0001728C"/>
    <w:rsid w:val="000172F4"/>
    <w:rsid w:val="0001734C"/>
    <w:rsid w:val="00017390"/>
    <w:rsid w:val="00017474"/>
    <w:rsid w:val="0001747F"/>
    <w:rsid w:val="0001749E"/>
    <w:rsid w:val="000174AB"/>
    <w:rsid w:val="000174AF"/>
    <w:rsid w:val="000174E9"/>
    <w:rsid w:val="00017637"/>
    <w:rsid w:val="00017858"/>
    <w:rsid w:val="000179DB"/>
    <w:rsid w:val="000179EC"/>
    <w:rsid w:val="00017B9C"/>
    <w:rsid w:val="00017C33"/>
    <w:rsid w:val="00017D5D"/>
    <w:rsid w:val="00017DC5"/>
    <w:rsid w:val="00017E4F"/>
    <w:rsid w:val="00017F7F"/>
    <w:rsid w:val="00020018"/>
    <w:rsid w:val="0002012B"/>
    <w:rsid w:val="00020229"/>
    <w:rsid w:val="000202B1"/>
    <w:rsid w:val="0002041B"/>
    <w:rsid w:val="00020444"/>
    <w:rsid w:val="00020578"/>
    <w:rsid w:val="000205FF"/>
    <w:rsid w:val="00020658"/>
    <w:rsid w:val="000206A2"/>
    <w:rsid w:val="0002072C"/>
    <w:rsid w:val="00020832"/>
    <w:rsid w:val="00020835"/>
    <w:rsid w:val="00020A39"/>
    <w:rsid w:val="00020A4B"/>
    <w:rsid w:val="00020AEB"/>
    <w:rsid w:val="00020B5E"/>
    <w:rsid w:val="00020B8D"/>
    <w:rsid w:val="00020BB4"/>
    <w:rsid w:val="00020CCD"/>
    <w:rsid w:val="00020CFC"/>
    <w:rsid w:val="00020D72"/>
    <w:rsid w:val="00020E34"/>
    <w:rsid w:val="00020F47"/>
    <w:rsid w:val="0002105D"/>
    <w:rsid w:val="00021183"/>
    <w:rsid w:val="000211B2"/>
    <w:rsid w:val="000213C9"/>
    <w:rsid w:val="00021521"/>
    <w:rsid w:val="00021598"/>
    <w:rsid w:val="000215A0"/>
    <w:rsid w:val="000215B1"/>
    <w:rsid w:val="000215F2"/>
    <w:rsid w:val="00021702"/>
    <w:rsid w:val="00021793"/>
    <w:rsid w:val="00021873"/>
    <w:rsid w:val="00021895"/>
    <w:rsid w:val="000218AA"/>
    <w:rsid w:val="000218FB"/>
    <w:rsid w:val="00021A02"/>
    <w:rsid w:val="00021B64"/>
    <w:rsid w:val="00021C1C"/>
    <w:rsid w:val="00021CBC"/>
    <w:rsid w:val="00021CFE"/>
    <w:rsid w:val="00021DDD"/>
    <w:rsid w:val="00021F31"/>
    <w:rsid w:val="00021F73"/>
    <w:rsid w:val="0002200B"/>
    <w:rsid w:val="00022022"/>
    <w:rsid w:val="00022187"/>
    <w:rsid w:val="00022216"/>
    <w:rsid w:val="00022246"/>
    <w:rsid w:val="00022298"/>
    <w:rsid w:val="00022527"/>
    <w:rsid w:val="00022661"/>
    <w:rsid w:val="0002277C"/>
    <w:rsid w:val="0002285B"/>
    <w:rsid w:val="0002298E"/>
    <w:rsid w:val="00022A6F"/>
    <w:rsid w:val="00022A71"/>
    <w:rsid w:val="00022B49"/>
    <w:rsid w:val="00022CC8"/>
    <w:rsid w:val="00022D0E"/>
    <w:rsid w:val="00022D6F"/>
    <w:rsid w:val="00022DC9"/>
    <w:rsid w:val="00022DE2"/>
    <w:rsid w:val="00022E1E"/>
    <w:rsid w:val="00022E3D"/>
    <w:rsid w:val="00022E84"/>
    <w:rsid w:val="00022EC4"/>
    <w:rsid w:val="00023044"/>
    <w:rsid w:val="00023048"/>
    <w:rsid w:val="000230ED"/>
    <w:rsid w:val="00023196"/>
    <w:rsid w:val="00023229"/>
    <w:rsid w:val="000232C0"/>
    <w:rsid w:val="000232E9"/>
    <w:rsid w:val="000233E6"/>
    <w:rsid w:val="00023442"/>
    <w:rsid w:val="00023469"/>
    <w:rsid w:val="000234F5"/>
    <w:rsid w:val="000235E8"/>
    <w:rsid w:val="0002363B"/>
    <w:rsid w:val="00023717"/>
    <w:rsid w:val="0002375E"/>
    <w:rsid w:val="0002376A"/>
    <w:rsid w:val="000237AD"/>
    <w:rsid w:val="0002399C"/>
    <w:rsid w:val="000239A0"/>
    <w:rsid w:val="000239A8"/>
    <w:rsid w:val="00023A4B"/>
    <w:rsid w:val="00023A57"/>
    <w:rsid w:val="00023B2F"/>
    <w:rsid w:val="00023B7C"/>
    <w:rsid w:val="00023F39"/>
    <w:rsid w:val="00023F85"/>
    <w:rsid w:val="0002403E"/>
    <w:rsid w:val="0002405B"/>
    <w:rsid w:val="000240EF"/>
    <w:rsid w:val="000241D1"/>
    <w:rsid w:val="00024211"/>
    <w:rsid w:val="0002422B"/>
    <w:rsid w:val="00024296"/>
    <w:rsid w:val="000242BC"/>
    <w:rsid w:val="00024347"/>
    <w:rsid w:val="0002440B"/>
    <w:rsid w:val="00024411"/>
    <w:rsid w:val="00024472"/>
    <w:rsid w:val="000244C9"/>
    <w:rsid w:val="00024510"/>
    <w:rsid w:val="00024586"/>
    <w:rsid w:val="0002469F"/>
    <w:rsid w:val="00024713"/>
    <w:rsid w:val="0002472B"/>
    <w:rsid w:val="00024804"/>
    <w:rsid w:val="00024A0D"/>
    <w:rsid w:val="00024AF7"/>
    <w:rsid w:val="00024B60"/>
    <w:rsid w:val="00024BC0"/>
    <w:rsid w:val="00024BFF"/>
    <w:rsid w:val="00024C75"/>
    <w:rsid w:val="00024F26"/>
    <w:rsid w:val="00025055"/>
    <w:rsid w:val="00025105"/>
    <w:rsid w:val="00025110"/>
    <w:rsid w:val="000251B2"/>
    <w:rsid w:val="0002529A"/>
    <w:rsid w:val="000252F0"/>
    <w:rsid w:val="00025333"/>
    <w:rsid w:val="00025383"/>
    <w:rsid w:val="000253C3"/>
    <w:rsid w:val="000253E3"/>
    <w:rsid w:val="00025615"/>
    <w:rsid w:val="00025680"/>
    <w:rsid w:val="00025729"/>
    <w:rsid w:val="000259B0"/>
    <w:rsid w:val="00025A79"/>
    <w:rsid w:val="00025C13"/>
    <w:rsid w:val="00025C2D"/>
    <w:rsid w:val="00025C82"/>
    <w:rsid w:val="00025F03"/>
    <w:rsid w:val="00026005"/>
    <w:rsid w:val="00026060"/>
    <w:rsid w:val="00026074"/>
    <w:rsid w:val="0002617F"/>
    <w:rsid w:val="000261B8"/>
    <w:rsid w:val="000261DF"/>
    <w:rsid w:val="000262DC"/>
    <w:rsid w:val="0002639B"/>
    <w:rsid w:val="000263A9"/>
    <w:rsid w:val="000263D7"/>
    <w:rsid w:val="00026598"/>
    <w:rsid w:val="000265CC"/>
    <w:rsid w:val="000265E4"/>
    <w:rsid w:val="00026631"/>
    <w:rsid w:val="000266EA"/>
    <w:rsid w:val="00026737"/>
    <w:rsid w:val="000267E3"/>
    <w:rsid w:val="000267E4"/>
    <w:rsid w:val="0002683B"/>
    <w:rsid w:val="00026B57"/>
    <w:rsid w:val="00026B7E"/>
    <w:rsid w:val="00026C34"/>
    <w:rsid w:val="00026D93"/>
    <w:rsid w:val="00026D95"/>
    <w:rsid w:val="00026DC0"/>
    <w:rsid w:val="00026EE8"/>
    <w:rsid w:val="00026EE9"/>
    <w:rsid w:val="00026EEC"/>
    <w:rsid w:val="00026F04"/>
    <w:rsid w:val="00026F58"/>
    <w:rsid w:val="00026FAC"/>
    <w:rsid w:val="00027136"/>
    <w:rsid w:val="0002731B"/>
    <w:rsid w:val="00027397"/>
    <w:rsid w:val="000274FE"/>
    <w:rsid w:val="00027538"/>
    <w:rsid w:val="000276D9"/>
    <w:rsid w:val="0002775F"/>
    <w:rsid w:val="000277F0"/>
    <w:rsid w:val="0002795E"/>
    <w:rsid w:val="00027A2D"/>
    <w:rsid w:val="00027A63"/>
    <w:rsid w:val="00027A87"/>
    <w:rsid w:val="00027BDA"/>
    <w:rsid w:val="00027C4B"/>
    <w:rsid w:val="00027CE1"/>
    <w:rsid w:val="00027D30"/>
    <w:rsid w:val="00027D57"/>
    <w:rsid w:val="00027D9F"/>
    <w:rsid w:val="00027DEA"/>
    <w:rsid w:val="00027EC8"/>
    <w:rsid w:val="00027F0C"/>
    <w:rsid w:val="00027FFE"/>
    <w:rsid w:val="000300DE"/>
    <w:rsid w:val="000300F1"/>
    <w:rsid w:val="0003010F"/>
    <w:rsid w:val="000301AD"/>
    <w:rsid w:val="000301DE"/>
    <w:rsid w:val="0003025C"/>
    <w:rsid w:val="00030296"/>
    <w:rsid w:val="0003043D"/>
    <w:rsid w:val="00030728"/>
    <w:rsid w:val="000307D2"/>
    <w:rsid w:val="0003091B"/>
    <w:rsid w:val="000309A9"/>
    <w:rsid w:val="00030A59"/>
    <w:rsid w:val="00030A98"/>
    <w:rsid w:val="00030AE0"/>
    <w:rsid w:val="00030D3F"/>
    <w:rsid w:val="00030E00"/>
    <w:rsid w:val="00030F2A"/>
    <w:rsid w:val="00030F54"/>
    <w:rsid w:val="00030F6B"/>
    <w:rsid w:val="00031065"/>
    <w:rsid w:val="00031109"/>
    <w:rsid w:val="000311E6"/>
    <w:rsid w:val="00031210"/>
    <w:rsid w:val="0003132B"/>
    <w:rsid w:val="000313FF"/>
    <w:rsid w:val="0003147B"/>
    <w:rsid w:val="000316E5"/>
    <w:rsid w:val="000316F9"/>
    <w:rsid w:val="00031899"/>
    <w:rsid w:val="000318F9"/>
    <w:rsid w:val="0003190C"/>
    <w:rsid w:val="00031B5E"/>
    <w:rsid w:val="00031B7B"/>
    <w:rsid w:val="00031B99"/>
    <w:rsid w:val="00031BC4"/>
    <w:rsid w:val="00031C2D"/>
    <w:rsid w:val="00031CF9"/>
    <w:rsid w:val="00031D98"/>
    <w:rsid w:val="00031F0E"/>
    <w:rsid w:val="00031F2E"/>
    <w:rsid w:val="00031F64"/>
    <w:rsid w:val="00032053"/>
    <w:rsid w:val="000320E5"/>
    <w:rsid w:val="000321AF"/>
    <w:rsid w:val="000321F6"/>
    <w:rsid w:val="00032202"/>
    <w:rsid w:val="00032217"/>
    <w:rsid w:val="0003222D"/>
    <w:rsid w:val="00032233"/>
    <w:rsid w:val="00032251"/>
    <w:rsid w:val="00032345"/>
    <w:rsid w:val="00032482"/>
    <w:rsid w:val="00032488"/>
    <w:rsid w:val="00032521"/>
    <w:rsid w:val="0003254F"/>
    <w:rsid w:val="000325C3"/>
    <w:rsid w:val="0003260E"/>
    <w:rsid w:val="00032819"/>
    <w:rsid w:val="00032838"/>
    <w:rsid w:val="000328AE"/>
    <w:rsid w:val="0003290D"/>
    <w:rsid w:val="00032948"/>
    <w:rsid w:val="00032A06"/>
    <w:rsid w:val="00032B72"/>
    <w:rsid w:val="00032BEE"/>
    <w:rsid w:val="00032C38"/>
    <w:rsid w:val="00032C61"/>
    <w:rsid w:val="00032D2B"/>
    <w:rsid w:val="00032EAF"/>
    <w:rsid w:val="00032F3F"/>
    <w:rsid w:val="00032FFF"/>
    <w:rsid w:val="00033096"/>
    <w:rsid w:val="000330C6"/>
    <w:rsid w:val="00033152"/>
    <w:rsid w:val="0003318A"/>
    <w:rsid w:val="0003322B"/>
    <w:rsid w:val="000332E7"/>
    <w:rsid w:val="0003345D"/>
    <w:rsid w:val="00033666"/>
    <w:rsid w:val="000336FD"/>
    <w:rsid w:val="00033C25"/>
    <w:rsid w:val="00033C72"/>
    <w:rsid w:val="00033D01"/>
    <w:rsid w:val="00033DDC"/>
    <w:rsid w:val="00033DE8"/>
    <w:rsid w:val="00033E0F"/>
    <w:rsid w:val="00033E48"/>
    <w:rsid w:val="00033EA1"/>
    <w:rsid w:val="00033EC6"/>
    <w:rsid w:val="00033EFA"/>
    <w:rsid w:val="00033F0B"/>
    <w:rsid w:val="00033F33"/>
    <w:rsid w:val="00034155"/>
    <w:rsid w:val="0003415F"/>
    <w:rsid w:val="00034224"/>
    <w:rsid w:val="000342FD"/>
    <w:rsid w:val="00034308"/>
    <w:rsid w:val="00034426"/>
    <w:rsid w:val="000344EC"/>
    <w:rsid w:val="0003456F"/>
    <w:rsid w:val="00034579"/>
    <w:rsid w:val="000345B5"/>
    <w:rsid w:val="00034610"/>
    <w:rsid w:val="00034732"/>
    <w:rsid w:val="000347D8"/>
    <w:rsid w:val="00034884"/>
    <w:rsid w:val="000349A3"/>
    <w:rsid w:val="00034AA6"/>
    <w:rsid w:val="00034B74"/>
    <w:rsid w:val="00034D06"/>
    <w:rsid w:val="00034D90"/>
    <w:rsid w:val="00034DAD"/>
    <w:rsid w:val="00034DD1"/>
    <w:rsid w:val="00034DFE"/>
    <w:rsid w:val="00034EB1"/>
    <w:rsid w:val="00034EFE"/>
    <w:rsid w:val="0003516F"/>
    <w:rsid w:val="000353CA"/>
    <w:rsid w:val="0003560F"/>
    <w:rsid w:val="00035652"/>
    <w:rsid w:val="000356C5"/>
    <w:rsid w:val="000356D0"/>
    <w:rsid w:val="000356D2"/>
    <w:rsid w:val="000356D5"/>
    <w:rsid w:val="00035714"/>
    <w:rsid w:val="000357A8"/>
    <w:rsid w:val="0003583B"/>
    <w:rsid w:val="000358E1"/>
    <w:rsid w:val="000358FF"/>
    <w:rsid w:val="00035939"/>
    <w:rsid w:val="00035941"/>
    <w:rsid w:val="000359CB"/>
    <w:rsid w:val="000359F9"/>
    <w:rsid w:val="00035AC4"/>
    <w:rsid w:val="00035AE5"/>
    <w:rsid w:val="00035BD7"/>
    <w:rsid w:val="0003602A"/>
    <w:rsid w:val="00036095"/>
    <w:rsid w:val="0003611E"/>
    <w:rsid w:val="00036142"/>
    <w:rsid w:val="000361D0"/>
    <w:rsid w:val="00036229"/>
    <w:rsid w:val="000363C5"/>
    <w:rsid w:val="0003641D"/>
    <w:rsid w:val="0003643F"/>
    <w:rsid w:val="000364C0"/>
    <w:rsid w:val="00036507"/>
    <w:rsid w:val="000365C8"/>
    <w:rsid w:val="00036699"/>
    <w:rsid w:val="00036794"/>
    <w:rsid w:val="000367B4"/>
    <w:rsid w:val="00036871"/>
    <w:rsid w:val="000368AA"/>
    <w:rsid w:val="00036A82"/>
    <w:rsid w:val="00036BCA"/>
    <w:rsid w:val="00036C1A"/>
    <w:rsid w:val="00036C80"/>
    <w:rsid w:val="00036D96"/>
    <w:rsid w:val="00036DC1"/>
    <w:rsid w:val="000370D0"/>
    <w:rsid w:val="00037136"/>
    <w:rsid w:val="000372E3"/>
    <w:rsid w:val="000373C5"/>
    <w:rsid w:val="000374E2"/>
    <w:rsid w:val="0003755A"/>
    <w:rsid w:val="000375E5"/>
    <w:rsid w:val="0003779C"/>
    <w:rsid w:val="0003781F"/>
    <w:rsid w:val="00037860"/>
    <w:rsid w:val="00037864"/>
    <w:rsid w:val="00037A0B"/>
    <w:rsid w:val="00037A4C"/>
    <w:rsid w:val="00037A4F"/>
    <w:rsid w:val="00037B51"/>
    <w:rsid w:val="00037BA5"/>
    <w:rsid w:val="00037BB3"/>
    <w:rsid w:val="00037C6B"/>
    <w:rsid w:val="00037DBF"/>
    <w:rsid w:val="00037E6A"/>
    <w:rsid w:val="00037E6E"/>
    <w:rsid w:val="00037F20"/>
    <w:rsid w:val="00037F8B"/>
    <w:rsid w:val="000400A4"/>
    <w:rsid w:val="00040128"/>
    <w:rsid w:val="00040132"/>
    <w:rsid w:val="00040180"/>
    <w:rsid w:val="000402A4"/>
    <w:rsid w:val="0004031E"/>
    <w:rsid w:val="00040346"/>
    <w:rsid w:val="000403C2"/>
    <w:rsid w:val="000403FA"/>
    <w:rsid w:val="00040408"/>
    <w:rsid w:val="000404C1"/>
    <w:rsid w:val="000404F1"/>
    <w:rsid w:val="00040504"/>
    <w:rsid w:val="0004058C"/>
    <w:rsid w:val="00040867"/>
    <w:rsid w:val="00040922"/>
    <w:rsid w:val="000409DC"/>
    <w:rsid w:val="00040B39"/>
    <w:rsid w:val="00040B76"/>
    <w:rsid w:val="00040C67"/>
    <w:rsid w:val="00040C7A"/>
    <w:rsid w:val="00040D21"/>
    <w:rsid w:val="00040D2F"/>
    <w:rsid w:val="00040DF4"/>
    <w:rsid w:val="00040E20"/>
    <w:rsid w:val="00040E23"/>
    <w:rsid w:val="0004113D"/>
    <w:rsid w:val="00041225"/>
    <w:rsid w:val="00041232"/>
    <w:rsid w:val="0004123F"/>
    <w:rsid w:val="00041331"/>
    <w:rsid w:val="000413C7"/>
    <w:rsid w:val="000414C0"/>
    <w:rsid w:val="000414E5"/>
    <w:rsid w:val="00041535"/>
    <w:rsid w:val="00041560"/>
    <w:rsid w:val="000416EE"/>
    <w:rsid w:val="000417F4"/>
    <w:rsid w:val="000417F8"/>
    <w:rsid w:val="0004183A"/>
    <w:rsid w:val="00041926"/>
    <w:rsid w:val="00041938"/>
    <w:rsid w:val="000419AC"/>
    <w:rsid w:val="000419B9"/>
    <w:rsid w:val="000419BA"/>
    <w:rsid w:val="00041D7F"/>
    <w:rsid w:val="00041FC8"/>
    <w:rsid w:val="00041FD2"/>
    <w:rsid w:val="00041FE6"/>
    <w:rsid w:val="00042149"/>
    <w:rsid w:val="0004214F"/>
    <w:rsid w:val="000421B9"/>
    <w:rsid w:val="000421EC"/>
    <w:rsid w:val="000423BE"/>
    <w:rsid w:val="000423EB"/>
    <w:rsid w:val="00042407"/>
    <w:rsid w:val="00042506"/>
    <w:rsid w:val="0004253B"/>
    <w:rsid w:val="000425AE"/>
    <w:rsid w:val="00042749"/>
    <w:rsid w:val="00042857"/>
    <w:rsid w:val="000428A0"/>
    <w:rsid w:val="00042992"/>
    <w:rsid w:val="000429D3"/>
    <w:rsid w:val="00042A08"/>
    <w:rsid w:val="00042A5F"/>
    <w:rsid w:val="00042B43"/>
    <w:rsid w:val="00042B62"/>
    <w:rsid w:val="00042C09"/>
    <w:rsid w:val="00042CAE"/>
    <w:rsid w:val="00042CE7"/>
    <w:rsid w:val="00042DB9"/>
    <w:rsid w:val="00042EB6"/>
    <w:rsid w:val="00042F21"/>
    <w:rsid w:val="00042F58"/>
    <w:rsid w:val="00042F87"/>
    <w:rsid w:val="00042F9E"/>
    <w:rsid w:val="00043005"/>
    <w:rsid w:val="000430DD"/>
    <w:rsid w:val="00043129"/>
    <w:rsid w:val="00043237"/>
    <w:rsid w:val="00043275"/>
    <w:rsid w:val="000432A8"/>
    <w:rsid w:val="000432D4"/>
    <w:rsid w:val="00043351"/>
    <w:rsid w:val="00043357"/>
    <w:rsid w:val="000433CE"/>
    <w:rsid w:val="000434DF"/>
    <w:rsid w:val="0004350F"/>
    <w:rsid w:val="000435BA"/>
    <w:rsid w:val="000435CD"/>
    <w:rsid w:val="00043771"/>
    <w:rsid w:val="00043805"/>
    <w:rsid w:val="0004390A"/>
    <w:rsid w:val="00043950"/>
    <w:rsid w:val="00043AE8"/>
    <w:rsid w:val="00043B2B"/>
    <w:rsid w:val="00043B30"/>
    <w:rsid w:val="00043BFA"/>
    <w:rsid w:val="00043C41"/>
    <w:rsid w:val="00043C81"/>
    <w:rsid w:val="00043C8F"/>
    <w:rsid w:val="00043C93"/>
    <w:rsid w:val="00043D33"/>
    <w:rsid w:val="00043E66"/>
    <w:rsid w:val="00043FF5"/>
    <w:rsid w:val="00044007"/>
    <w:rsid w:val="000440B9"/>
    <w:rsid w:val="000440C5"/>
    <w:rsid w:val="000441AD"/>
    <w:rsid w:val="00044247"/>
    <w:rsid w:val="000442C7"/>
    <w:rsid w:val="000443B6"/>
    <w:rsid w:val="00044520"/>
    <w:rsid w:val="00044585"/>
    <w:rsid w:val="0004483B"/>
    <w:rsid w:val="00044956"/>
    <w:rsid w:val="000449CD"/>
    <w:rsid w:val="00044B29"/>
    <w:rsid w:val="00044B73"/>
    <w:rsid w:val="00044B88"/>
    <w:rsid w:val="00044D46"/>
    <w:rsid w:val="00044DB5"/>
    <w:rsid w:val="00044E18"/>
    <w:rsid w:val="00044F0F"/>
    <w:rsid w:val="00044F74"/>
    <w:rsid w:val="000450ED"/>
    <w:rsid w:val="000451EA"/>
    <w:rsid w:val="00045371"/>
    <w:rsid w:val="000454AD"/>
    <w:rsid w:val="000454F6"/>
    <w:rsid w:val="000454FB"/>
    <w:rsid w:val="00045645"/>
    <w:rsid w:val="00045783"/>
    <w:rsid w:val="000458A5"/>
    <w:rsid w:val="000458D6"/>
    <w:rsid w:val="000458D9"/>
    <w:rsid w:val="0004590F"/>
    <w:rsid w:val="00045951"/>
    <w:rsid w:val="00045956"/>
    <w:rsid w:val="00045A2F"/>
    <w:rsid w:val="00045BCA"/>
    <w:rsid w:val="00045C04"/>
    <w:rsid w:val="00045DC8"/>
    <w:rsid w:val="00045DF7"/>
    <w:rsid w:val="00045E08"/>
    <w:rsid w:val="00045EA5"/>
    <w:rsid w:val="00045FF8"/>
    <w:rsid w:val="0004609D"/>
    <w:rsid w:val="0004614E"/>
    <w:rsid w:val="000461C5"/>
    <w:rsid w:val="000462DF"/>
    <w:rsid w:val="00046603"/>
    <w:rsid w:val="00046734"/>
    <w:rsid w:val="00046796"/>
    <w:rsid w:val="0004680E"/>
    <w:rsid w:val="0004697B"/>
    <w:rsid w:val="00046A0C"/>
    <w:rsid w:val="00046A52"/>
    <w:rsid w:val="00046A5D"/>
    <w:rsid w:val="00046A79"/>
    <w:rsid w:val="00046A87"/>
    <w:rsid w:val="00046AAA"/>
    <w:rsid w:val="00046BB7"/>
    <w:rsid w:val="00046CD5"/>
    <w:rsid w:val="00046DDA"/>
    <w:rsid w:val="00046DDC"/>
    <w:rsid w:val="00046EFB"/>
    <w:rsid w:val="00046FA0"/>
    <w:rsid w:val="00046FFD"/>
    <w:rsid w:val="000471A2"/>
    <w:rsid w:val="000471A5"/>
    <w:rsid w:val="00047233"/>
    <w:rsid w:val="00047273"/>
    <w:rsid w:val="000472A2"/>
    <w:rsid w:val="000472FF"/>
    <w:rsid w:val="0004733D"/>
    <w:rsid w:val="00047515"/>
    <w:rsid w:val="00047523"/>
    <w:rsid w:val="00047605"/>
    <w:rsid w:val="00047649"/>
    <w:rsid w:val="00047651"/>
    <w:rsid w:val="000477E4"/>
    <w:rsid w:val="000477F6"/>
    <w:rsid w:val="00047907"/>
    <w:rsid w:val="00047A69"/>
    <w:rsid w:val="00047A71"/>
    <w:rsid w:val="00047ADA"/>
    <w:rsid w:val="00047AF6"/>
    <w:rsid w:val="00047BA0"/>
    <w:rsid w:val="00047BA3"/>
    <w:rsid w:val="00047C93"/>
    <w:rsid w:val="00047CED"/>
    <w:rsid w:val="00047D9B"/>
    <w:rsid w:val="00047D9C"/>
    <w:rsid w:val="00047E97"/>
    <w:rsid w:val="00047EC8"/>
    <w:rsid w:val="00047F43"/>
    <w:rsid w:val="00047FA3"/>
    <w:rsid w:val="00050042"/>
    <w:rsid w:val="00050235"/>
    <w:rsid w:val="0005036E"/>
    <w:rsid w:val="0005037F"/>
    <w:rsid w:val="0005038C"/>
    <w:rsid w:val="000506B1"/>
    <w:rsid w:val="00050707"/>
    <w:rsid w:val="00050860"/>
    <w:rsid w:val="00050914"/>
    <w:rsid w:val="000509A9"/>
    <w:rsid w:val="00050A05"/>
    <w:rsid w:val="00050A5C"/>
    <w:rsid w:val="00050A8B"/>
    <w:rsid w:val="00050ADA"/>
    <w:rsid w:val="00050B74"/>
    <w:rsid w:val="00050C64"/>
    <w:rsid w:val="00050DCC"/>
    <w:rsid w:val="00050E69"/>
    <w:rsid w:val="00050E71"/>
    <w:rsid w:val="00050F88"/>
    <w:rsid w:val="000510FB"/>
    <w:rsid w:val="00051132"/>
    <w:rsid w:val="000512A5"/>
    <w:rsid w:val="000513F4"/>
    <w:rsid w:val="0005142D"/>
    <w:rsid w:val="000515F3"/>
    <w:rsid w:val="00051630"/>
    <w:rsid w:val="00051638"/>
    <w:rsid w:val="00051660"/>
    <w:rsid w:val="00051729"/>
    <w:rsid w:val="00051739"/>
    <w:rsid w:val="0005178F"/>
    <w:rsid w:val="000517EB"/>
    <w:rsid w:val="0005184E"/>
    <w:rsid w:val="00051959"/>
    <w:rsid w:val="000519D0"/>
    <w:rsid w:val="00051A12"/>
    <w:rsid w:val="00051A37"/>
    <w:rsid w:val="00051B53"/>
    <w:rsid w:val="00051BFE"/>
    <w:rsid w:val="00051C1D"/>
    <w:rsid w:val="00051D36"/>
    <w:rsid w:val="00051D91"/>
    <w:rsid w:val="00051E0D"/>
    <w:rsid w:val="0005200E"/>
    <w:rsid w:val="0005207E"/>
    <w:rsid w:val="0005208C"/>
    <w:rsid w:val="0005220C"/>
    <w:rsid w:val="0005223F"/>
    <w:rsid w:val="0005239B"/>
    <w:rsid w:val="0005247C"/>
    <w:rsid w:val="00052526"/>
    <w:rsid w:val="0005258D"/>
    <w:rsid w:val="00052685"/>
    <w:rsid w:val="00052925"/>
    <w:rsid w:val="00052943"/>
    <w:rsid w:val="00052A01"/>
    <w:rsid w:val="00052C1D"/>
    <w:rsid w:val="00052CBB"/>
    <w:rsid w:val="00052DAC"/>
    <w:rsid w:val="00052DBB"/>
    <w:rsid w:val="00052E65"/>
    <w:rsid w:val="00052F8F"/>
    <w:rsid w:val="00052FB5"/>
    <w:rsid w:val="00052FEA"/>
    <w:rsid w:val="000530FF"/>
    <w:rsid w:val="000532D7"/>
    <w:rsid w:val="00053511"/>
    <w:rsid w:val="0005365B"/>
    <w:rsid w:val="00053663"/>
    <w:rsid w:val="00053677"/>
    <w:rsid w:val="000536A9"/>
    <w:rsid w:val="0005375A"/>
    <w:rsid w:val="000537DC"/>
    <w:rsid w:val="0005382C"/>
    <w:rsid w:val="00053866"/>
    <w:rsid w:val="00053B4B"/>
    <w:rsid w:val="00053B6C"/>
    <w:rsid w:val="00053C27"/>
    <w:rsid w:val="00053C45"/>
    <w:rsid w:val="00053CB7"/>
    <w:rsid w:val="00053D5D"/>
    <w:rsid w:val="00053D8E"/>
    <w:rsid w:val="00053E9C"/>
    <w:rsid w:val="00053EF2"/>
    <w:rsid w:val="00053FF4"/>
    <w:rsid w:val="0005415F"/>
    <w:rsid w:val="0005418E"/>
    <w:rsid w:val="000541CC"/>
    <w:rsid w:val="00054267"/>
    <w:rsid w:val="0005428F"/>
    <w:rsid w:val="000542E6"/>
    <w:rsid w:val="0005431A"/>
    <w:rsid w:val="0005432B"/>
    <w:rsid w:val="0005436F"/>
    <w:rsid w:val="00054379"/>
    <w:rsid w:val="000543E8"/>
    <w:rsid w:val="0005440F"/>
    <w:rsid w:val="000544F0"/>
    <w:rsid w:val="00054539"/>
    <w:rsid w:val="00054557"/>
    <w:rsid w:val="000546BB"/>
    <w:rsid w:val="0005470A"/>
    <w:rsid w:val="000547C1"/>
    <w:rsid w:val="000547EC"/>
    <w:rsid w:val="0005497F"/>
    <w:rsid w:val="000549AC"/>
    <w:rsid w:val="00054A4D"/>
    <w:rsid w:val="00054AEC"/>
    <w:rsid w:val="00054BB5"/>
    <w:rsid w:val="00054D3A"/>
    <w:rsid w:val="00054E18"/>
    <w:rsid w:val="00054F39"/>
    <w:rsid w:val="00054FC3"/>
    <w:rsid w:val="00054FE8"/>
    <w:rsid w:val="00055072"/>
    <w:rsid w:val="000550C8"/>
    <w:rsid w:val="00055173"/>
    <w:rsid w:val="000551BA"/>
    <w:rsid w:val="00055418"/>
    <w:rsid w:val="00055427"/>
    <w:rsid w:val="000554B8"/>
    <w:rsid w:val="000554E8"/>
    <w:rsid w:val="00055568"/>
    <w:rsid w:val="00055587"/>
    <w:rsid w:val="000556A1"/>
    <w:rsid w:val="000556F6"/>
    <w:rsid w:val="0005573D"/>
    <w:rsid w:val="0005576A"/>
    <w:rsid w:val="000558BD"/>
    <w:rsid w:val="00055931"/>
    <w:rsid w:val="00055959"/>
    <w:rsid w:val="000559AC"/>
    <w:rsid w:val="00055ABF"/>
    <w:rsid w:val="00055CD5"/>
    <w:rsid w:val="00055CE6"/>
    <w:rsid w:val="00055CED"/>
    <w:rsid w:val="00055F75"/>
    <w:rsid w:val="00056093"/>
    <w:rsid w:val="000560CB"/>
    <w:rsid w:val="0005612F"/>
    <w:rsid w:val="00056155"/>
    <w:rsid w:val="00056387"/>
    <w:rsid w:val="00056394"/>
    <w:rsid w:val="0005639C"/>
    <w:rsid w:val="00056457"/>
    <w:rsid w:val="0005646D"/>
    <w:rsid w:val="000564C9"/>
    <w:rsid w:val="00056535"/>
    <w:rsid w:val="0005655F"/>
    <w:rsid w:val="0005669B"/>
    <w:rsid w:val="000566FC"/>
    <w:rsid w:val="000567BD"/>
    <w:rsid w:val="000567E9"/>
    <w:rsid w:val="00056889"/>
    <w:rsid w:val="000568AF"/>
    <w:rsid w:val="0005691A"/>
    <w:rsid w:val="0005691C"/>
    <w:rsid w:val="000569A0"/>
    <w:rsid w:val="00056AD7"/>
    <w:rsid w:val="00056C16"/>
    <w:rsid w:val="00056C46"/>
    <w:rsid w:val="00056DEA"/>
    <w:rsid w:val="00056DFB"/>
    <w:rsid w:val="00056F1F"/>
    <w:rsid w:val="00056F51"/>
    <w:rsid w:val="00057067"/>
    <w:rsid w:val="00057078"/>
    <w:rsid w:val="00057118"/>
    <w:rsid w:val="0005711E"/>
    <w:rsid w:val="00057136"/>
    <w:rsid w:val="000571B3"/>
    <w:rsid w:val="00057273"/>
    <w:rsid w:val="0005727B"/>
    <w:rsid w:val="0005729D"/>
    <w:rsid w:val="00057582"/>
    <w:rsid w:val="000577BA"/>
    <w:rsid w:val="00057857"/>
    <w:rsid w:val="000578CD"/>
    <w:rsid w:val="0005797E"/>
    <w:rsid w:val="000579F9"/>
    <w:rsid w:val="00057A36"/>
    <w:rsid w:val="00057AD3"/>
    <w:rsid w:val="00057AFE"/>
    <w:rsid w:val="00057B0E"/>
    <w:rsid w:val="00057C09"/>
    <w:rsid w:val="00057C17"/>
    <w:rsid w:val="00057C45"/>
    <w:rsid w:val="00057C95"/>
    <w:rsid w:val="00057CF3"/>
    <w:rsid w:val="00057D2B"/>
    <w:rsid w:val="00057E1A"/>
    <w:rsid w:val="00057E36"/>
    <w:rsid w:val="00057E7A"/>
    <w:rsid w:val="00057F63"/>
    <w:rsid w:val="00060010"/>
    <w:rsid w:val="000600C2"/>
    <w:rsid w:val="000600DA"/>
    <w:rsid w:val="00060149"/>
    <w:rsid w:val="000602A4"/>
    <w:rsid w:val="000603C5"/>
    <w:rsid w:val="0006049F"/>
    <w:rsid w:val="000605D1"/>
    <w:rsid w:val="00060609"/>
    <w:rsid w:val="00060640"/>
    <w:rsid w:val="000606A1"/>
    <w:rsid w:val="00060757"/>
    <w:rsid w:val="000607D4"/>
    <w:rsid w:val="000608C2"/>
    <w:rsid w:val="000608C7"/>
    <w:rsid w:val="000608F5"/>
    <w:rsid w:val="0006090B"/>
    <w:rsid w:val="0006092D"/>
    <w:rsid w:val="0006093E"/>
    <w:rsid w:val="000609F1"/>
    <w:rsid w:val="00060A2B"/>
    <w:rsid w:val="00060AD9"/>
    <w:rsid w:val="00060C6B"/>
    <w:rsid w:val="00060D21"/>
    <w:rsid w:val="00060D4E"/>
    <w:rsid w:val="00060E07"/>
    <w:rsid w:val="00060E78"/>
    <w:rsid w:val="00060FA3"/>
    <w:rsid w:val="0006106E"/>
    <w:rsid w:val="00061073"/>
    <w:rsid w:val="0006110A"/>
    <w:rsid w:val="000611DC"/>
    <w:rsid w:val="000612C2"/>
    <w:rsid w:val="00061487"/>
    <w:rsid w:val="000614A1"/>
    <w:rsid w:val="000614FD"/>
    <w:rsid w:val="000615A6"/>
    <w:rsid w:val="000615FF"/>
    <w:rsid w:val="0006164E"/>
    <w:rsid w:val="00061683"/>
    <w:rsid w:val="000616C2"/>
    <w:rsid w:val="00061809"/>
    <w:rsid w:val="00061832"/>
    <w:rsid w:val="0006189B"/>
    <w:rsid w:val="00061940"/>
    <w:rsid w:val="00061975"/>
    <w:rsid w:val="000619CF"/>
    <w:rsid w:val="00061A67"/>
    <w:rsid w:val="00061A96"/>
    <w:rsid w:val="00061AF6"/>
    <w:rsid w:val="00061BBE"/>
    <w:rsid w:val="00061C87"/>
    <w:rsid w:val="00061D8C"/>
    <w:rsid w:val="00061D92"/>
    <w:rsid w:val="00061E10"/>
    <w:rsid w:val="00061E15"/>
    <w:rsid w:val="00061F1A"/>
    <w:rsid w:val="00061F89"/>
    <w:rsid w:val="00061FC4"/>
    <w:rsid w:val="00062019"/>
    <w:rsid w:val="0006209B"/>
    <w:rsid w:val="000621C5"/>
    <w:rsid w:val="00062216"/>
    <w:rsid w:val="0006233E"/>
    <w:rsid w:val="000623BA"/>
    <w:rsid w:val="00062626"/>
    <w:rsid w:val="0006263F"/>
    <w:rsid w:val="000626A1"/>
    <w:rsid w:val="000626B8"/>
    <w:rsid w:val="00062735"/>
    <w:rsid w:val="000627F3"/>
    <w:rsid w:val="000628DB"/>
    <w:rsid w:val="000629B8"/>
    <w:rsid w:val="000629BE"/>
    <w:rsid w:val="00062A65"/>
    <w:rsid w:val="00062A88"/>
    <w:rsid w:val="00062B49"/>
    <w:rsid w:val="00062BA2"/>
    <w:rsid w:val="00062C7C"/>
    <w:rsid w:val="00062CA0"/>
    <w:rsid w:val="00062CDB"/>
    <w:rsid w:val="00062E33"/>
    <w:rsid w:val="00062EC4"/>
    <w:rsid w:val="00062F6F"/>
    <w:rsid w:val="00062FC1"/>
    <w:rsid w:val="000631E7"/>
    <w:rsid w:val="000633B2"/>
    <w:rsid w:val="000633DE"/>
    <w:rsid w:val="0006340C"/>
    <w:rsid w:val="00063519"/>
    <w:rsid w:val="00063597"/>
    <w:rsid w:val="000635EC"/>
    <w:rsid w:val="00063634"/>
    <w:rsid w:val="00063748"/>
    <w:rsid w:val="000638BA"/>
    <w:rsid w:val="00063902"/>
    <w:rsid w:val="00063912"/>
    <w:rsid w:val="0006396E"/>
    <w:rsid w:val="00063A16"/>
    <w:rsid w:val="00063B2E"/>
    <w:rsid w:val="00063B4A"/>
    <w:rsid w:val="00063B6D"/>
    <w:rsid w:val="00063B92"/>
    <w:rsid w:val="00063C22"/>
    <w:rsid w:val="00063CD6"/>
    <w:rsid w:val="00063EE6"/>
    <w:rsid w:val="00063FD9"/>
    <w:rsid w:val="00064051"/>
    <w:rsid w:val="00064088"/>
    <w:rsid w:val="0006408F"/>
    <w:rsid w:val="000640CB"/>
    <w:rsid w:val="000640D3"/>
    <w:rsid w:val="00064134"/>
    <w:rsid w:val="00064156"/>
    <w:rsid w:val="0006420F"/>
    <w:rsid w:val="0006430E"/>
    <w:rsid w:val="00064324"/>
    <w:rsid w:val="0006446E"/>
    <w:rsid w:val="0006449B"/>
    <w:rsid w:val="00064517"/>
    <w:rsid w:val="00064840"/>
    <w:rsid w:val="00064909"/>
    <w:rsid w:val="0006497B"/>
    <w:rsid w:val="000649E4"/>
    <w:rsid w:val="00064A0F"/>
    <w:rsid w:val="00064A6E"/>
    <w:rsid w:val="00064A96"/>
    <w:rsid w:val="00064B4A"/>
    <w:rsid w:val="00064C4A"/>
    <w:rsid w:val="00064C64"/>
    <w:rsid w:val="00064C83"/>
    <w:rsid w:val="00064D80"/>
    <w:rsid w:val="00064FC5"/>
    <w:rsid w:val="00065058"/>
    <w:rsid w:val="000650CB"/>
    <w:rsid w:val="0006519A"/>
    <w:rsid w:val="000651DF"/>
    <w:rsid w:val="000652A6"/>
    <w:rsid w:val="00065392"/>
    <w:rsid w:val="0006539B"/>
    <w:rsid w:val="00065495"/>
    <w:rsid w:val="000654A9"/>
    <w:rsid w:val="00065541"/>
    <w:rsid w:val="000655CE"/>
    <w:rsid w:val="00065812"/>
    <w:rsid w:val="00065B83"/>
    <w:rsid w:val="00065C88"/>
    <w:rsid w:val="00065C8F"/>
    <w:rsid w:val="00065CB1"/>
    <w:rsid w:val="00065EF3"/>
    <w:rsid w:val="00065FE3"/>
    <w:rsid w:val="00066020"/>
    <w:rsid w:val="000660AD"/>
    <w:rsid w:val="00066118"/>
    <w:rsid w:val="00066180"/>
    <w:rsid w:val="00066199"/>
    <w:rsid w:val="000661B9"/>
    <w:rsid w:val="0006627F"/>
    <w:rsid w:val="000662C3"/>
    <w:rsid w:val="00066316"/>
    <w:rsid w:val="0006641D"/>
    <w:rsid w:val="000664C5"/>
    <w:rsid w:val="000664F4"/>
    <w:rsid w:val="00066503"/>
    <w:rsid w:val="000665B1"/>
    <w:rsid w:val="00066621"/>
    <w:rsid w:val="000666AA"/>
    <w:rsid w:val="000666C5"/>
    <w:rsid w:val="0006675A"/>
    <w:rsid w:val="000667F1"/>
    <w:rsid w:val="0006691C"/>
    <w:rsid w:val="000669BD"/>
    <w:rsid w:val="00066A9E"/>
    <w:rsid w:val="00066B2C"/>
    <w:rsid w:val="00066BC6"/>
    <w:rsid w:val="00066BE9"/>
    <w:rsid w:val="00066C5E"/>
    <w:rsid w:val="00066CC0"/>
    <w:rsid w:val="00066CEC"/>
    <w:rsid w:val="00066DDD"/>
    <w:rsid w:val="00066E1D"/>
    <w:rsid w:val="00066EAA"/>
    <w:rsid w:val="00066F34"/>
    <w:rsid w:val="000670B8"/>
    <w:rsid w:val="00067108"/>
    <w:rsid w:val="0006714E"/>
    <w:rsid w:val="000671E6"/>
    <w:rsid w:val="000672C1"/>
    <w:rsid w:val="0006742A"/>
    <w:rsid w:val="0006747F"/>
    <w:rsid w:val="00067526"/>
    <w:rsid w:val="00067549"/>
    <w:rsid w:val="000675C3"/>
    <w:rsid w:val="000675D4"/>
    <w:rsid w:val="000675E7"/>
    <w:rsid w:val="000675EA"/>
    <w:rsid w:val="0006767E"/>
    <w:rsid w:val="0006782E"/>
    <w:rsid w:val="00067840"/>
    <w:rsid w:val="0006785B"/>
    <w:rsid w:val="0006794F"/>
    <w:rsid w:val="000679A0"/>
    <w:rsid w:val="000679C7"/>
    <w:rsid w:val="000679F0"/>
    <w:rsid w:val="00067B15"/>
    <w:rsid w:val="00067BA8"/>
    <w:rsid w:val="00067C17"/>
    <w:rsid w:val="00067C2D"/>
    <w:rsid w:val="00067C86"/>
    <w:rsid w:val="00067CBA"/>
    <w:rsid w:val="00067D19"/>
    <w:rsid w:val="00067E8C"/>
    <w:rsid w:val="000701EC"/>
    <w:rsid w:val="000701F9"/>
    <w:rsid w:val="000702C9"/>
    <w:rsid w:val="00070600"/>
    <w:rsid w:val="0007064B"/>
    <w:rsid w:val="000706C6"/>
    <w:rsid w:val="000707A6"/>
    <w:rsid w:val="0007081C"/>
    <w:rsid w:val="0007086A"/>
    <w:rsid w:val="0007086E"/>
    <w:rsid w:val="000708B4"/>
    <w:rsid w:val="00070A3C"/>
    <w:rsid w:val="00070A58"/>
    <w:rsid w:val="00070B88"/>
    <w:rsid w:val="00070C6B"/>
    <w:rsid w:val="00070CC8"/>
    <w:rsid w:val="00070E2D"/>
    <w:rsid w:val="00070E9F"/>
    <w:rsid w:val="00070FFE"/>
    <w:rsid w:val="00071033"/>
    <w:rsid w:val="00071142"/>
    <w:rsid w:val="00071153"/>
    <w:rsid w:val="00071419"/>
    <w:rsid w:val="00071447"/>
    <w:rsid w:val="00071532"/>
    <w:rsid w:val="0007158F"/>
    <w:rsid w:val="000715F0"/>
    <w:rsid w:val="00071685"/>
    <w:rsid w:val="00071824"/>
    <w:rsid w:val="00071991"/>
    <w:rsid w:val="00071A26"/>
    <w:rsid w:val="00071AB3"/>
    <w:rsid w:val="00071B6E"/>
    <w:rsid w:val="00071CFB"/>
    <w:rsid w:val="00071F02"/>
    <w:rsid w:val="00071F20"/>
    <w:rsid w:val="00071F44"/>
    <w:rsid w:val="00072096"/>
    <w:rsid w:val="000720A8"/>
    <w:rsid w:val="00072150"/>
    <w:rsid w:val="00072156"/>
    <w:rsid w:val="0007215F"/>
    <w:rsid w:val="00072164"/>
    <w:rsid w:val="00072287"/>
    <w:rsid w:val="0007239D"/>
    <w:rsid w:val="00072475"/>
    <w:rsid w:val="00072550"/>
    <w:rsid w:val="00072593"/>
    <w:rsid w:val="000726A6"/>
    <w:rsid w:val="000726C6"/>
    <w:rsid w:val="00072783"/>
    <w:rsid w:val="000727A0"/>
    <w:rsid w:val="000729AF"/>
    <w:rsid w:val="00072A58"/>
    <w:rsid w:val="00072AEB"/>
    <w:rsid w:val="00072BA0"/>
    <w:rsid w:val="00072C0A"/>
    <w:rsid w:val="00072C80"/>
    <w:rsid w:val="00072FCC"/>
    <w:rsid w:val="00072FDE"/>
    <w:rsid w:val="0007304C"/>
    <w:rsid w:val="000730BA"/>
    <w:rsid w:val="0007313F"/>
    <w:rsid w:val="0007316D"/>
    <w:rsid w:val="0007322B"/>
    <w:rsid w:val="00073235"/>
    <w:rsid w:val="0007327F"/>
    <w:rsid w:val="000732B9"/>
    <w:rsid w:val="00073315"/>
    <w:rsid w:val="0007331F"/>
    <w:rsid w:val="00073361"/>
    <w:rsid w:val="00073527"/>
    <w:rsid w:val="00073540"/>
    <w:rsid w:val="0007363B"/>
    <w:rsid w:val="000737C4"/>
    <w:rsid w:val="00073855"/>
    <w:rsid w:val="000738B0"/>
    <w:rsid w:val="00073924"/>
    <w:rsid w:val="00073981"/>
    <w:rsid w:val="00073A8A"/>
    <w:rsid w:val="00073AA6"/>
    <w:rsid w:val="00073B54"/>
    <w:rsid w:val="00073C4D"/>
    <w:rsid w:val="00073D8E"/>
    <w:rsid w:val="00073DE0"/>
    <w:rsid w:val="00073E88"/>
    <w:rsid w:val="00073F20"/>
    <w:rsid w:val="00073F23"/>
    <w:rsid w:val="00073F45"/>
    <w:rsid w:val="00073F8C"/>
    <w:rsid w:val="000740DE"/>
    <w:rsid w:val="000742BC"/>
    <w:rsid w:val="000742CB"/>
    <w:rsid w:val="00074452"/>
    <w:rsid w:val="000744A1"/>
    <w:rsid w:val="00074602"/>
    <w:rsid w:val="00074606"/>
    <w:rsid w:val="000746C7"/>
    <w:rsid w:val="000746E6"/>
    <w:rsid w:val="0007472A"/>
    <w:rsid w:val="00074800"/>
    <w:rsid w:val="00074889"/>
    <w:rsid w:val="00074946"/>
    <w:rsid w:val="00074991"/>
    <w:rsid w:val="000749F6"/>
    <w:rsid w:val="00074B46"/>
    <w:rsid w:val="00074B52"/>
    <w:rsid w:val="00074B55"/>
    <w:rsid w:val="00074B61"/>
    <w:rsid w:val="00074C13"/>
    <w:rsid w:val="00074C56"/>
    <w:rsid w:val="00074C73"/>
    <w:rsid w:val="00074CA4"/>
    <w:rsid w:val="00074CB0"/>
    <w:rsid w:val="00074D14"/>
    <w:rsid w:val="00074D98"/>
    <w:rsid w:val="00074E6B"/>
    <w:rsid w:val="00074E85"/>
    <w:rsid w:val="00074FD9"/>
    <w:rsid w:val="00074FF5"/>
    <w:rsid w:val="0007505F"/>
    <w:rsid w:val="0007508A"/>
    <w:rsid w:val="000750A9"/>
    <w:rsid w:val="00075144"/>
    <w:rsid w:val="00075356"/>
    <w:rsid w:val="00075623"/>
    <w:rsid w:val="000757F5"/>
    <w:rsid w:val="00075805"/>
    <w:rsid w:val="000758BC"/>
    <w:rsid w:val="0007595A"/>
    <w:rsid w:val="00075B35"/>
    <w:rsid w:val="00075B91"/>
    <w:rsid w:val="00075C55"/>
    <w:rsid w:val="00075CD6"/>
    <w:rsid w:val="00075CEA"/>
    <w:rsid w:val="00075D26"/>
    <w:rsid w:val="00075D2B"/>
    <w:rsid w:val="00075DD7"/>
    <w:rsid w:val="00075E3E"/>
    <w:rsid w:val="00075E78"/>
    <w:rsid w:val="00075E87"/>
    <w:rsid w:val="00075F4F"/>
    <w:rsid w:val="0007600F"/>
    <w:rsid w:val="0007603E"/>
    <w:rsid w:val="00076079"/>
    <w:rsid w:val="0007614A"/>
    <w:rsid w:val="000761D0"/>
    <w:rsid w:val="000763A3"/>
    <w:rsid w:val="000763EC"/>
    <w:rsid w:val="0007642C"/>
    <w:rsid w:val="0007642D"/>
    <w:rsid w:val="000765BD"/>
    <w:rsid w:val="0007661F"/>
    <w:rsid w:val="000766A2"/>
    <w:rsid w:val="00076722"/>
    <w:rsid w:val="00076726"/>
    <w:rsid w:val="000767D7"/>
    <w:rsid w:val="0007697B"/>
    <w:rsid w:val="00076985"/>
    <w:rsid w:val="00076A0C"/>
    <w:rsid w:val="00076A20"/>
    <w:rsid w:val="00076B5E"/>
    <w:rsid w:val="00076BD1"/>
    <w:rsid w:val="00076E18"/>
    <w:rsid w:val="00076EF0"/>
    <w:rsid w:val="00076EFF"/>
    <w:rsid w:val="00076F80"/>
    <w:rsid w:val="00076FA0"/>
    <w:rsid w:val="00076FE9"/>
    <w:rsid w:val="00077049"/>
    <w:rsid w:val="000771E5"/>
    <w:rsid w:val="00077361"/>
    <w:rsid w:val="00077366"/>
    <w:rsid w:val="000773AF"/>
    <w:rsid w:val="000773E0"/>
    <w:rsid w:val="00077527"/>
    <w:rsid w:val="00077531"/>
    <w:rsid w:val="00077585"/>
    <w:rsid w:val="0007764A"/>
    <w:rsid w:val="00077694"/>
    <w:rsid w:val="000776D8"/>
    <w:rsid w:val="0007770B"/>
    <w:rsid w:val="00077759"/>
    <w:rsid w:val="00077774"/>
    <w:rsid w:val="000777F6"/>
    <w:rsid w:val="000777F7"/>
    <w:rsid w:val="00077977"/>
    <w:rsid w:val="00077999"/>
    <w:rsid w:val="00077A02"/>
    <w:rsid w:val="00077B8F"/>
    <w:rsid w:val="00077D78"/>
    <w:rsid w:val="00077DFE"/>
    <w:rsid w:val="00077E31"/>
    <w:rsid w:val="00077F7E"/>
    <w:rsid w:val="00080068"/>
    <w:rsid w:val="000800A9"/>
    <w:rsid w:val="00080169"/>
    <w:rsid w:val="0008035C"/>
    <w:rsid w:val="0008072B"/>
    <w:rsid w:val="0008081C"/>
    <w:rsid w:val="00080839"/>
    <w:rsid w:val="000808AA"/>
    <w:rsid w:val="000808CF"/>
    <w:rsid w:val="000809BE"/>
    <w:rsid w:val="00080B8E"/>
    <w:rsid w:val="00080D86"/>
    <w:rsid w:val="00080ED7"/>
    <w:rsid w:val="00080F7A"/>
    <w:rsid w:val="00081014"/>
    <w:rsid w:val="000810A5"/>
    <w:rsid w:val="000810CE"/>
    <w:rsid w:val="000811CF"/>
    <w:rsid w:val="000812F0"/>
    <w:rsid w:val="00081310"/>
    <w:rsid w:val="00081383"/>
    <w:rsid w:val="000813A7"/>
    <w:rsid w:val="000814E3"/>
    <w:rsid w:val="00081523"/>
    <w:rsid w:val="000815D9"/>
    <w:rsid w:val="0008186A"/>
    <w:rsid w:val="000819A7"/>
    <w:rsid w:val="00081A1A"/>
    <w:rsid w:val="00081B37"/>
    <w:rsid w:val="00081D7B"/>
    <w:rsid w:val="00081D84"/>
    <w:rsid w:val="00081E94"/>
    <w:rsid w:val="00081EC7"/>
    <w:rsid w:val="00081F78"/>
    <w:rsid w:val="000820C2"/>
    <w:rsid w:val="0008210E"/>
    <w:rsid w:val="00082158"/>
    <w:rsid w:val="00082342"/>
    <w:rsid w:val="0008234C"/>
    <w:rsid w:val="0008237C"/>
    <w:rsid w:val="000823B1"/>
    <w:rsid w:val="00082403"/>
    <w:rsid w:val="0008244A"/>
    <w:rsid w:val="000824D2"/>
    <w:rsid w:val="00082594"/>
    <w:rsid w:val="000825B2"/>
    <w:rsid w:val="000825F3"/>
    <w:rsid w:val="00082613"/>
    <w:rsid w:val="00082614"/>
    <w:rsid w:val="000826A9"/>
    <w:rsid w:val="00082706"/>
    <w:rsid w:val="0008271A"/>
    <w:rsid w:val="00082863"/>
    <w:rsid w:val="000828BE"/>
    <w:rsid w:val="000828E6"/>
    <w:rsid w:val="000828F1"/>
    <w:rsid w:val="00082AF5"/>
    <w:rsid w:val="00082DA4"/>
    <w:rsid w:val="00082EC9"/>
    <w:rsid w:val="00082F75"/>
    <w:rsid w:val="00083209"/>
    <w:rsid w:val="000833AF"/>
    <w:rsid w:val="000836F5"/>
    <w:rsid w:val="0008376B"/>
    <w:rsid w:val="000837BC"/>
    <w:rsid w:val="00083894"/>
    <w:rsid w:val="000838F0"/>
    <w:rsid w:val="0008398E"/>
    <w:rsid w:val="00083C88"/>
    <w:rsid w:val="00083D0B"/>
    <w:rsid w:val="00083D8E"/>
    <w:rsid w:val="00083E1C"/>
    <w:rsid w:val="00083EF1"/>
    <w:rsid w:val="00083F56"/>
    <w:rsid w:val="00083FED"/>
    <w:rsid w:val="00084024"/>
    <w:rsid w:val="0008407B"/>
    <w:rsid w:val="000840BA"/>
    <w:rsid w:val="0008413A"/>
    <w:rsid w:val="000841A6"/>
    <w:rsid w:val="000841AE"/>
    <w:rsid w:val="000841EC"/>
    <w:rsid w:val="00084281"/>
    <w:rsid w:val="00084306"/>
    <w:rsid w:val="0008431B"/>
    <w:rsid w:val="0008434F"/>
    <w:rsid w:val="0008436D"/>
    <w:rsid w:val="0008439C"/>
    <w:rsid w:val="000843CC"/>
    <w:rsid w:val="000843CE"/>
    <w:rsid w:val="00084415"/>
    <w:rsid w:val="00084541"/>
    <w:rsid w:val="00084689"/>
    <w:rsid w:val="0008483F"/>
    <w:rsid w:val="0008488D"/>
    <w:rsid w:val="00084980"/>
    <w:rsid w:val="00084A8D"/>
    <w:rsid w:val="00084BFF"/>
    <w:rsid w:val="00084C4F"/>
    <w:rsid w:val="00084C86"/>
    <w:rsid w:val="00084CBD"/>
    <w:rsid w:val="00084CCA"/>
    <w:rsid w:val="00084D16"/>
    <w:rsid w:val="00084FF3"/>
    <w:rsid w:val="00084FFB"/>
    <w:rsid w:val="00085068"/>
    <w:rsid w:val="000850AE"/>
    <w:rsid w:val="000850F6"/>
    <w:rsid w:val="000852BC"/>
    <w:rsid w:val="00085339"/>
    <w:rsid w:val="00085348"/>
    <w:rsid w:val="000853E6"/>
    <w:rsid w:val="00085468"/>
    <w:rsid w:val="0008550F"/>
    <w:rsid w:val="00085596"/>
    <w:rsid w:val="00085674"/>
    <w:rsid w:val="000857B4"/>
    <w:rsid w:val="000859F0"/>
    <w:rsid w:val="00085A00"/>
    <w:rsid w:val="00085C1C"/>
    <w:rsid w:val="00085C62"/>
    <w:rsid w:val="00085C85"/>
    <w:rsid w:val="00085CA2"/>
    <w:rsid w:val="00085CBF"/>
    <w:rsid w:val="00085CC9"/>
    <w:rsid w:val="00085D2F"/>
    <w:rsid w:val="00085D3C"/>
    <w:rsid w:val="00085D41"/>
    <w:rsid w:val="00085D69"/>
    <w:rsid w:val="00085E1A"/>
    <w:rsid w:val="00085E51"/>
    <w:rsid w:val="00085E5B"/>
    <w:rsid w:val="00085EF5"/>
    <w:rsid w:val="00085F03"/>
    <w:rsid w:val="00085F52"/>
    <w:rsid w:val="00085F9A"/>
    <w:rsid w:val="00085FBC"/>
    <w:rsid w:val="000862B2"/>
    <w:rsid w:val="000862B5"/>
    <w:rsid w:val="00086315"/>
    <w:rsid w:val="00086358"/>
    <w:rsid w:val="0008644D"/>
    <w:rsid w:val="00086464"/>
    <w:rsid w:val="000864A4"/>
    <w:rsid w:val="000865C1"/>
    <w:rsid w:val="00086713"/>
    <w:rsid w:val="0008673F"/>
    <w:rsid w:val="0008686E"/>
    <w:rsid w:val="000868A3"/>
    <w:rsid w:val="000869A1"/>
    <w:rsid w:val="00086AC6"/>
    <w:rsid w:val="00086BE1"/>
    <w:rsid w:val="00086C30"/>
    <w:rsid w:val="00086C6A"/>
    <w:rsid w:val="00086C8A"/>
    <w:rsid w:val="00086D99"/>
    <w:rsid w:val="00086F0C"/>
    <w:rsid w:val="00086F98"/>
    <w:rsid w:val="00087000"/>
    <w:rsid w:val="0008719B"/>
    <w:rsid w:val="00087281"/>
    <w:rsid w:val="000872AE"/>
    <w:rsid w:val="00087354"/>
    <w:rsid w:val="000873AF"/>
    <w:rsid w:val="000873F4"/>
    <w:rsid w:val="000874E7"/>
    <w:rsid w:val="000875B2"/>
    <w:rsid w:val="0008765F"/>
    <w:rsid w:val="0008766B"/>
    <w:rsid w:val="000876D0"/>
    <w:rsid w:val="0008770E"/>
    <w:rsid w:val="00087736"/>
    <w:rsid w:val="00087740"/>
    <w:rsid w:val="0008776B"/>
    <w:rsid w:val="000877C8"/>
    <w:rsid w:val="00087886"/>
    <w:rsid w:val="000878E1"/>
    <w:rsid w:val="00087908"/>
    <w:rsid w:val="0008799F"/>
    <w:rsid w:val="000879D5"/>
    <w:rsid w:val="000879DE"/>
    <w:rsid w:val="00087A24"/>
    <w:rsid w:val="00087A54"/>
    <w:rsid w:val="00087A5B"/>
    <w:rsid w:val="00087AB2"/>
    <w:rsid w:val="00087B43"/>
    <w:rsid w:val="00087B9E"/>
    <w:rsid w:val="00087BD9"/>
    <w:rsid w:val="00087BF3"/>
    <w:rsid w:val="00087C7A"/>
    <w:rsid w:val="00087D6D"/>
    <w:rsid w:val="00087D7E"/>
    <w:rsid w:val="00087D94"/>
    <w:rsid w:val="00087E67"/>
    <w:rsid w:val="00087EB2"/>
    <w:rsid w:val="00087F2F"/>
    <w:rsid w:val="0009002D"/>
    <w:rsid w:val="00090051"/>
    <w:rsid w:val="00090092"/>
    <w:rsid w:val="00090187"/>
    <w:rsid w:val="0009024D"/>
    <w:rsid w:val="00090251"/>
    <w:rsid w:val="0009030E"/>
    <w:rsid w:val="000905A1"/>
    <w:rsid w:val="0009065E"/>
    <w:rsid w:val="00090733"/>
    <w:rsid w:val="00090A7D"/>
    <w:rsid w:val="00090FDA"/>
    <w:rsid w:val="00091041"/>
    <w:rsid w:val="00091070"/>
    <w:rsid w:val="00091193"/>
    <w:rsid w:val="0009126D"/>
    <w:rsid w:val="000912BD"/>
    <w:rsid w:val="000912CF"/>
    <w:rsid w:val="000912D2"/>
    <w:rsid w:val="00091390"/>
    <w:rsid w:val="000913CB"/>
    <w:rsid w:val="000913DD"/>
    <w:rsid w:val="00091407"/>
    <w:rsid w:val="000914CD"/>
    <w:rsid w:val="0009157B"/>
    <w:rsid w:val="000915CE"/>
    <w:rsid w:val="00091613"/>
    <w:rsid w:val="0009166E"/>
    <w:rsid w:val="00091795"/>
    <w:rsid w:val="000917F1"/>
    <w:rsid w:val="00091986"/>
    <w:rsid w:val="000919D3"/>
    <w:rsid w:val="00091A39"/>
    <w:rsid w:val="00091B0B"/>
    <w:rsid w:val="00091B65"/>
    <w:rsid w:val="00091B7E"/>
    <w:rsid w:val="00091BA0"/>
    <w:rsid w:val="00091C67"/>
    <w:rsid w:val="00091C73"/>
    <w:rsid w:val="00091C83"/>
    <w:rsid w:val="00091D2B"/>
    <w:rsid w:val="00091D53"/>
    <w:rsid w:val="00091F70"/>
    <w:rsid w:val="00091F8A"/>
    <w:rsid w:val="000920A0"/>
    <w:rsid w:val="00092105"/>
    <w:rsid w:val="00092108"/>
    <w:rsid w:val="000921F2"/>
    <w:rsid w:val="0009228F"/>
    <w:rsid w:val="0009234B"/>
    <w:rsid w:val="000923BB"/>
    <w:rsid w:val="0009240C"/>
    <w:rsid w:val="00092415"/>
    <w:rsid w:val="0009244D"/>
    <w:rsid w:val="00092507"/>
    <w:rsid w:val="0009254B"/>
    <w:rsid w:val="000925C6"/>
    <w:rsid w:val="00092672"/>
    <w:rsid w:val="00092801"/>
    <w:rsid w:val="00092878"/>
    <w:rsid w:val="0009289A"/>
    <w:rsid w:val="000928F5"/>
    <w:rsid w:val="000929DA"/>
    <w:rsid w:val="00092A33"/>
    <w:rsid w:val="00092A89"/>
    <w:rsid w:val="00092AA4"/>
    <w:rsid w:val="00092B2D"/>
    <w:rsid w:val="00092BD3"/>
    <w:rsid w:val="00092C4E"/>
    <w:rsid w:val="00092CAE"/>
    <w:rsid w:val="00092D3B"/>
    <w:rsid w:val="00092D67"/>
    <w:rsid w:val="00092D73"/>
    <w:rsid w:val="00092D8F"/>
    <w:rsid w:val="00092DA5"/>
    <w:rsid w:val="00092DA6"/>
    <w:rsid w:val="00092DCF"/>
    <w:rsid w:val="000930D0"/>
    <w:rsid w:val="0009318E"/>
    <w:rsid w:val="000931AD"/>
    <w:rsid w:val="000932DD"/>
    <w:rsid w:val="000933B8"/>
    <w:rsid w:val="000933C2"/>
    <w:rsid w:val="0009348F"/>
    <w:rsid w:val="000934B3"/>
    <w:rsid w:val="00093520"/>
    <w:rsid w:val="00093648"/>
    <w:rsid w:val="00093681"/>
    <w:rsid w:val="0009387D"/>
    <w:rsid w:val="000938CC"/>
    <w:rsid w:val="000938E6"/>
    <w:rsid w:val="00093A54"/>
    <w:rsid w:val="00093A9D"/>
    <w:rsid w:val="00093C0F"/>
    <w:rsid w:val="00093D87"/>
    <w:rsid w:val="00093DDA"/>
    <w:rsid w:val="00093E73"/>
    <w:rsid w:val="00093F57"/>
    <w:rsid w:val="00093F84"/>
    <w:rsid w:val="00094116"/>
    <w:rsid w:val="0009413B"/>
    <w:rsid w:val="0009417A"/>
    <w:rsid w:val="00094187"/>
    <w:rsid w:val="0009420C"/>
    <w:rsid w:val="00094302"/>
    <w:rsid w:val="00094318"/>
    <w:rsid w:val="000943BA"/>
    <w:rsid w:val="000943E2"/>
    <w:rsid w:val="000943FD"/>
    <w:rsid w:val="000944BC"/>
    <w:rsid w:val="000945DE"/>
    <w:rsid w:val="0009472E"/>
    <w:rsid w:val="0009484A"/>
    <w:rsid w:val="0009488D"/>
    <w:rsid w:val="00094959"/>
    <w:rsid w:val="000949F2"/>
    <w:rsid w:val="00094BD7"/>
    <w:rsid w:val="00094D30"/>
    <w:rsid w:val="00094D69"/>
    <w:rsid w:val="00094E3B"/>
    <w:rsid w:val="00094E3F"/>
    <w:rsid w:val="00094E7D"/>
    <w:rsid w:val="00094EEA"/>
    <w:rsid w:val="00094F6D"/>
    <w:rsid w:val="00094F7F"/>
    <w:rsid w:val="00094FEE"/>
    <w:rsid w:val="0009500A"/>
    <w:rsid w:val="000950C8"/>
    <w:rsid w:val="000951D5"/>
    <w:rsid w:val="0009523B"/>
    <w:rsid w:val="000954CE"/>
    <w:rsid w:val="000954E4"/>
    <w:rsid w:val="00095564"/>
    <w:rsid w:val="00095595"/>
    <w:rsid w:val="00095673"/>
    <w:rsid w:val="00095754"/>
    <w:rsid w:val="0009576A"/>
    <w:rsid w:val="0009580B"/>
    <w:rsid w:val="00095856"/>
    <w:rsid w:val="000958EF"/>
    <w:rsid w:val="00095934"/>
    <w:rsid w:val="00095AFE"/>
    <w:rsid w:val="00095C1F"/>
    <w:rsid w:val="00095C86"/>
    <w:rsid w:val="00095C9D"/>
    <w:rsid w:val="00095DBB"/>
    <w:rsid w:val="00095EA1"/>
    <w:rsid w:val="00095F57"/>
    <w:rsid w:val="0009604B"/>
    <w:rsid w:val="0009610C"/>
    <w:rsid w:val="0009613C"/>
    <w:rsid w:val="0009615C"/>
    <w:rsid w:val="000961B9"/>
    <w:rsid w:val="00096229"/>
    <w:rsid w:val="00096232"/>
    <w:rsid w:val="000962A8"/>
    <w:rsid w:val="00096337"/>
    <w:rsid w:val="0009637C"/>
    <w:rsid w:val="000965A5"/>
    <w:rsid w:val="00096664"/>
    <w:rsid w:val="0009666E"/>
    <w:rsid w:val="000966CE"/>
    <w:rsid w:val="000969AF"/>
    <w:rsid w:val="000969C3"/>
    <w:rsid w:val="000969C7"/>
    <w:rsid w:val="00096A9C"/>
    <w:rsid w:val="00096BE6"/>
    <w:rsid w:val="00096DE1"/>
    <w:rsid w:val="00096DF3"/>
    <w:rsid w:val="00096E3F"/>
    <w:rsid w:val="00096E57"/>
    <w:rsid w:val="00096E72"/>
    <w:rsid w:val="00096EB7"/>
    <w:rsid w:val="00096EBE"/>
    <w:rsid w:val="00096FA7"/>
    <w:rsid w:val="000970FE"/>
    <w:rsid w:val="0009710C"/>
    <w:rsid w:val="000972C4"/>
    <w:rsid w:val="000974BE"/>
    <w:rsid w:val="0009760B"/>
    <w:rsid w:val="0009762D"/>
    <w:rsid w:val="00097652"/>
    <w:rsid w:val="00097653"/>
    <w:rsid w:val="0009766C"/>
    <w:rsid w:val="000977EC"/>
    <w:rsid w:val="0009781A"/>
    <w:rsid w:val="00097842"/>
    <w:rsid w:val="000978E2"/>
    <w:rsid w:val="0009790E"/>
    <w:rsid w:val="000979E5"/>
    <w:rsid w:val="000979E7"/>
    <w:rsid w:val="00097CFF"/>
    <w:rsid w:val="00097DA4"/>
    <w:rsid w:val="00097EC2"/>
    <w:rsid w:val="00097F42"/>
    <w:rsid w:val="00097F6E"/>
    <w:rsid w:val="00097FE4"/>
    <w:rsid w:val="000A0135"/>
    <w:rsid w:val="000A0136"/>
    <w:rsid w:val="000A0163"/>
    <w:rsid w:val="000A029A"/>
    <w:rsid w:val="000A02F2"/>
    <w:rsid w:val="000A04E3"/>
    <w:rsid w:val="000A063A"/>
    <w:rsid w:val="000A06A8"/>
    <w:rsid w:val="000A07FC"/>
    <w:rsid w:val="000A0873"/>
    <w:rsid w:val="000A09F3"/>
    <w:rsid w:val="000A0A08"/>
    <w:rsid w:val="000A0A27"/>
    <w:rsid w:val="000A0A87"/>
    <w:rsid w:val="000A0B5F"/>
    <w:rsid w:val="000A0C94"/>
    <w:rsid w:val="000A0D7B"/>
    <w:rsid w:val="000A0D7C"/>
    <w:rsid w:val="000A0D9B"/>
    <w:rsid w:val="000A0DE0"/>
    <w:rsid w:val="000A0EA9"/>
    <w:rsid w:val="000A0F28"/>
    <w:rsid w:val="000A0F8A"/>
    <w:rsid w:val="000A106E"/>
    <w:rsid w:val="000A1110"/>
    <w:rsid w:val="000A112E"/>
    <w:rsid w:val="000A11F4"/>
    <w:rsid w:val="000A124F"/>
    <w:rsid w:val="000A1321"/>
    <w:rsid w:val="000A13BC"/>
    <w:rsid w:val="000A13FA"/>
    <w:rsid w:val="000A14E4"/>
    <w:rsid w:val="000A14F4"/>
    <w:rsid w:val="000A150A"/>
    <w:rsid w:val="000A15D0"/>
    <w:rsid w:val="000A15D9"/>
    <w:rsid w:val="000A1610"/>
    <w:rsid w:val="000A171E"/>
    <w:rsid w:val="000A1894"/>
    <w:rsid w:val="000A18B9"/>
    <w:rsid w:val="000A1933"/>
    <w:rsid w:val="000A1ABF"/>
    <w:rsid w:val="000A1B16"/>
    <w:rsid w:val="000A1C43"/>
    <w:rsid w:val="000A1C9C"/>
    <w:rsid w:val="000A1E99"/>
    <w:rsid w:val="000A1EC7"/>
    <w:rsid w:val="000A2118"/>
    <w:rsid w:val="000A21BA"/>
    <w:rsid w:val="000A2311"/>
    <w:rsid w:val="000A23E9"/>
    <w:rsid w:val="000A25B4"/>
    <w:rsid w:val="000A26A4"/>
    <w:rsid w:val="000A26C0"/>
    <w:rsid w:val="000A28B5"/>
    <w:rsid w:val="000A292F"/>
    <w:rsid w:val="000A2A8E"/>
    <w:rsid w:val="000A2AC2"/>
    <w:rsid w:val="000A2B85"/>
    <w:rsid w:val="000A2CD9"/>
    <w:rsid w:val="000A2E3D"/>
    <w:rsid w:val="000A2EC7"/>
    <w:rsid w:val="000A3114"/>
    <w:rsid w:val="000A3252"/>
    <w:rsid w:val="000A3259"/>
    <w:rsid w:val="000A3340"/>
    <w:rsid w:val="000A351A"/>
    <w:rsid w:val="000A35E5"/>
    <w:rsid w:val="000A3631"/>
    <w:rsid w:val="000A376E"/>
    <w:rsid w:val="000A3848"/>
    <w:rsid w:val="000A3B8C"/>
    <w:rsid w:val="000A3C87"/>
    <w:rsid w:val="000A3CE1"/>
    <w:rsid w:val="000A3D07"/>
    <w:rsid w:val="000A3D8A"/>
    <w:rsid w:val="000A3DC6"/>
    <w:rsid w:val="000A3DD4"/>
    <w:rsid w:val="000A3E0F"/>
    <w:rsid w:val="000A3ED8"/>
    <w:rsid w:val="000A3FFF"/>
    <w:rsid w:val="000A4024"/>
    <w:rsid w:val="000A402B"/>
    <w:rsid w:val="000A409D"/>
    <w:rsid w:val="000A410A"/>
    <w:rsid w:val="000A416E"/>
    <w:rsid w:val="000A4255"/>
    <w:rsid w:val="000A4265"/>
    <w:rsid w:val="000A4284"/>
    <w:rsid w:val="000A42B0"/>
    <w:rsid w:val="000A4486"/>
    <w:rsid w:val="000A44F2"/>
    <w:rsid w:val="000A45CD"/>
    <w:rsid w:val="000A462B"/>
    <w:rsid w:val="000A46C8"/>
    <w:rsid w:val="000A46F6"/>
    <w:rsid w:val="000A474E"/>
    <w:rsid w:val="000A480E"/>
    <w:rsid w:val="000A4897"/>
    <w:rsid w:val="000A49A0"/>
    <w:rsid w:val="000A4AD1"/>
    <w:rsid w:val="000A4B7A"/>
    <w:rsid w:val="000A4B9D"/>
    <w:rsid w:val="000A4BF3"/>
    <w:rsid w:val="000A4C3E"/>
    <w:rsid w:val="000A4D40"/>
    <w:rsid w:val="000A4D93"/>
    <w:rsid w:val="000A4DDC"/>
    <w:rsid w:val="000A4DE9"/>
    <w:rsid w:val="000A4EFC"/>
    <w:rsid w:val="000A4F2B"/>
    <w:rsid w:val="000A4F41"/>
    <w:rsid w:val="000A4F6A"/>
    <w:rsid w:val="000A4F90"/>
    <w:rsid w:val="000A501A"/>
    <w:rsid w:val="000A5020"/>
    <w:rsid w:val="000A5057"/>
    <w:rsid w:val="000A510C"/>
    <w:rsid w:val="000A5139"/>
    <w:rsid w:val="000A519B"/>
    <w:rsid w:val="000A522F"/>
    <w:rsid w:val="000A5413"/>
    <w:rsid w:val="000A55A2"/>
    <w:rsid w:val="000A5674"/>
    <w:rsid w:val="000A570D"/>
    <w:rsid w:val="000A57C1"/>
    <w:rsid w:val="000A57DA"/>
    <w:rsid w:val="000A5977"/>
    <w:rsid w:val="000A5981"/>
    <w:rsid w:val="000A5B53"/>
    <w:rsid w:val="000A5C41"/>
    <w:rsid w:val="000A5CF2"/>
    <w:rsid w:val="000A5E18"/>
    <w:rsid w:val="000A5E95"/>
    <w:rsid w:val="000A5FDB"/>
    <w:rsid w:val="000A60A4"/>
    <w:rsid w:val="000A60D1"/>
    <w:rsid w:val="000A6114"/>
    <w:rsid w:val="000A623A"/>
    <w:rsid w:val="000A625B"/>
    <w:rsid w:val="000A6300"/>
    <w:rsid w:val="000A636E"/>
    <w:rsid w:val="000A63E3"/>
    <w:rsid w:val="000A6588"/>
    <w:rsid w:val="000A6598"/>
    <w:rsid w:val="000A65D4"/>
    <w:rsid w:val="000A661B"/>
    <w:rsid w:val="000A66B8"/>
    <w:rsid w:val="000A66DB"/>
    <w:rsid w:val="000A6721"/>
    <w:rsid w:val="000A672B"/>
    <w:rsid w:val="000A6880"/>
    <w:rsid w:val="000A689C"/>
    <w:rsid w:val="000A69A2"/>
    <w:rsid w:val="000A6AB9"/>
    <w:rsid w:val="000A6B0A"/>
    <w:rsid w:val="000A6CC5"/>
    <w:rsid w:val="000A6F54"/>
    <w:rsid w:val="000A6FB5"/>
    <w:rsid w:val="000A7015"/>
    <w:rsid w:val="000A70F7"/>
    <w:rsid w:val="000A718C"/>
    <w:rsid w:val="000A7388"/>
    <w:rsid w:val="000A73D8"/>
    <w:rsid w:val="000A74D7"/>
    <w:rsid w:val="000A75AA"/>
    <w:rsid w:val="000A766E"/>
    <w:rsid w:val="000A76BA"/>
    <w:rsid w:val="000A771B"/>
    <w:rsid w:val="000A775C"/>
    <w:rsid w:val="000A79E1"/>
    <w:rsid w:val="000A7B9D"/>
    <w:rsid w:val="000A7C8A"/>
    <w:rsid w:val="000A7D15"/>
    <w:rsid w:val="000A7D84"/>
    <w:rsid w:val="000B0042"/>
    <w:rsid w:val="000B013F"/>
    <w:rsid w:val="000B026A"/>
    <w:rsid w:val="000B05AC"/>
    <w:rsid w:val="000B061A"/>
    <w:rsid w:val="000B06B3"/>
    <w:rsid w:val="000B0734"/>
    <w:rsid w:val="000B089A"/>
    <w:rsid w:val="000B08C0"/>
    <w:rsid w:val="000B0AC5"/>
    <w:rsid w:val="000B0B49"/>
    <w:rsid w:val="000B0BC1"/>
    <w:rsid w:val="000B0C1E"/>
    <w:rsid w:val="000B0C23"/>
    <w:rsid w:val="000B0C59"/>
    <w:rsid w:val="000B0C7F"/>
    <w:rsid w:val="000B0D04"/>
    <w:rsid w:val="000B0E3F"/>
    <w:rsid w:val="000B0E4E"/>
    <w:rsid w:val="000B1074"/>
    <w:rsid w:val="000B1075"/>
    <w:rsid w:val="000B1079"/>
    <w:rsid w:val="000B1154"/>
    <w:rsid w:val="000B12B8"/>
    <w:rsid w:val="000B12EA"/>
    <w:rsid w:val="000B14C6"/>
    <w:rsid w:val="000B15F2"/>
    <w:rsid w:val="000B169C"/>
    <w:rsid w:val="000B16F2"/>
    <w:rsid w:val="000B175C"/>
    <w:rsid w:val="000B185E"/>
    <w:rsid w:val="000B1A2B"/>
    <w:rsid w:val="000B1AD5"/>
    <w:rsid w:val="000B1B57"/>
    <w:rsid w:val="000B1B6C"/>
    <w:rsid w:val="000B1CC7"/>
    <w:rsid w:val="000B1DE6"/>
    <w:rsid w:val="000B1EA2"/>
    <w:rsid w:val="000B1EBF"/>
    <w:rsid w:val="000B201D"/>
    <w:rsid w:val="000B208B"/>
    <w:rsid w:val="000B2298"/>
    <w:rsid w:val="000B2306"/>
    <w:rsid w:val="000B235B"/>
    <w:rsid w:val="000B2389"/>
    <w:rsid w:val="000B240E"/>
    <w:rsid w:val="000B2435"/>
    <w:rsid w:val="000B2441"/>
    <w:rsid w:val="000B246F"/>
    <w:rsid w:val="000B248D"/>
    <w:rsid w:val="000B250D"/>
    <w:rsid w:val="000B253C"/>
    <w:rsid w:val="000B260D"/>
    <w:rsid w:val="000B274A"/>
    <w:rsid w:val="000B27E2"/>
    <w:rsid w:val="000B280F"/>
    <w:rsid w:val="000B29F0"/>
    <w:rsid w:val="000B2B1F"/>
    <w:rsid w:val="000B2D97"/>
    <w:rsid w:val="000B2DFB"/>
    <w:rsid w:val="000B2EC0"/>
    <w:rsid w:val="000B2F5A"/>
    <w:rsid w:val="000B3131"/>
    <w:rsid w:val="000B313C"/>
    <w:rsid w:val="000B3150"/>
    <w:rsid w:val="000B329E"/>
    <w:rsid w:val="000B34B6"/>
    <w:rsid w:val="000B350B"/>
    <w:rsid w:val="000B35D5"/>
    <w:rsid w:val="000B367F"/>
    <w:rsid w:val="000B3695"/>
    <w:rsid w:val="000B36C1"/>
    <w:rsid w:val="000B36F6"/>
    <w:rsid w:val="000B3718"/>
    <w:rsid w:val="000B372D"/>
    <w:rsid w:val="000B3762"/>
    <w:rsid w:val="000B37DA"/>
    <w:rsid w:val="000B38C6"/>
    <w:rsid w:val="000B38DA"/>
    <w:rsid w:val="000B39DC"/>
    <w:rsid w:val="000B39F6"/>
    <w:rsid w:val="000B3AE8"/>
    <w:rsid w:val="000B3B70"/>
    <w:rsid w:val="000B3BC1"/>
    <w:rsid w:val="000B3BFE"/>
    <w:rsid w:val="000B3E41"/>
    <w:rsid w:val="000B3ECF"/>
    <w:rsid w:val="000B3EF6"/>
    <w:rsid w:val="000B3F37"/>
    <w:rsid w:val="000B40AF"/>
    <w:rsid w:val="000B40BC"/>
    <w:rsid w:val="000B4102"/>
    <w:rsid w:val="000B443B"/>
    <w:rsid w:val="000B446A"/>
    <w:rsid w:val="000B4593"/>
    <w:rsid w:val="000B4641"/>
    <w:rsid w:val="000B467D"/>
    <w:rsid w:val="000B46ED"/>
    <w:rsid w:val="000B471F"/>
    <w:rsid w:val="000B480C"/>
    <w:rsid w:val="000B484B"/>
    <w:rsid w:val="000B4A15"/>
    <w:rsid w:val="000B4A28"/>
    <w:rsid w:val="000B4A5A"/>
    <w:rsid w:val="000B4AD8"/>
    <w:rsid w:val="000B4E53"/>
    <w:rsid w:val="000B4F4A"/>
    <w:rsid w:val="000B4FCB"/>
    <w:rsid w:val="000B5001"/>
    <w:rsid w:val="000B50C8"/>
    <w:rsid w:val="000B528C"/>
    <w:rsid w:val="000B5296"/>
    <w:rsid w:val="000B5378"/>
    <w:rsid w:val="000B53B8"/>
    <w:rsid w:val="000B53D8"/>
    <w:rsid w:val="000B5432"/>
    <w:rsid w:val="000B5493"/>
    <w:rsid w:val="000B5495"/>
    <w:rsid w:val="000B54C1"/>
    <w:rsid w:val="000B5589"/>
    <w:rsid w:val="000B569A"/>
    <w:rsid w:val="000B56FC"/>
    <w:rsid w:val="000B5737"/>
    <w:rsid w:val="000B57E9"/>
    <w:rsid w:val="000B5837"/>
    <w:rsid w:val="000B5892"/>
    <w:rsid w:val="000B5A9B"/>
    <w:rsid w:val="000B5C49"/>
    <w:rsid w:val="000B5CF4"/>
    <w:rsid w:val="000B5D18"/>
    <w:rsid w:val="000B5E52"/>
    <w:rsid w:val="000B5EAB"/>
    <w:rsid w:val="000B5EF1"/>
    <w:rsid w:val="000B5EFD"/>
    <w:rsid w:val="000B6145"/>
    <w:rsid w:val="000B61B6"/>
    <w:rsid w:val="000B61E1"/>
    <w:rsid w:val="000B61FB"/>
    <w:rsid w:val="000B61FD"/>
    <w:rsid w:val="000B622D"/>
    <w:rsid w:val="000B62E1"/>
    <w:rsid w:val="000B6344"/>
    <w:rsid w:val="000B63A4"/>
    <w:rsid w:val="000B6400"/>
    <w:rsid w:val="000B64AF"/>
    <w:rsid w:val="000B65D4"/>
    <w:rsid w:val="000B66DF"/>
    <w:rsid w:val="000B673C"/>
    <w:rsid w:val="000B6752"/>
    <w:rsid w:val="000B6791"/>
    <w:rsid w:val="000B68E9"/>
    <w:rsid w:val="000B6913"/>
    <w:rsid w:val="000B6953"/>
    <w:rsid w:val="000B696E"/>
    <w:rsid w:val="000B6B4E"/>
    <w:rsid w:val="000B6B76"/>
    <w:rsid w:val="000B6BD7"/>
    <w:rsid w:val="000B6BFC"/>
    <w:rsid w:val="000B6E72"/>
    <w:rsid w:val="000B6F4C"/>
    <w:rsid w:val="000B6F96"/>
    <w:rsid w:val="000B6FDA"/>
    <w:rsid w:val="000B71E2"/>
    <w:rsid w:val="000B71F5"/>
    <w:rsid w:val="000B7268"/>
    <w:rsid w:val="000B735A"/>
    <w:rsid w:val="000B73A3"/>
    <w:rsid w:val="000B75C3"/>
    <w:rsid w:val="000B77CC"/>
    <w:rsid w:val="000B79FA"/>
    <w:rsid w:val="000B7A70"/>
    <w:rsid w:val="000B7B76"/>
    <w:rsid w:val="000B7C07"/>
    <w:rsid w:val="000B7C47"/>
    <w:rsid w:val="000B7CD3"/>
    <w:rsid w:val="000B7D52"/>
    <w:rsid w:val="000B7D84"/>
    <w:rsid w:val="000B7DF0"/>
    <w:rsid w:val="000B7EAB"/>
    <w:rsid w:val="000C004A"/>
    <w:rsid w:val="000C01F1"/>
    <w:rsid w:val="000C0227"/>
    <w:rsid w:val="000C02D5"/>
    <w:rsid w:val="000C031D"/>
    <w:rsid w:val="000C032A"/>
    <w:rsid w:val="000C038D"/>
    <w:rsid w:val="000C03D4"/>
    <w:rsid w:val="000C06A1"/>
    <w:rsid w:val="000C0792"/>
    <w:rsid w:val="000C0877"/>
    <w:rsid w:val="000C0919"/>
    <w:rsid w:val="000C0962"/>
    <w:rsid w:val="000C096F"/>
    <w:rsid w:val="000C0A17"/>
    <w:rsid w:val="000C0ADA"/>
    <w:rsid w:val="000C0B27"/>
    <w:rsid w:val="000C0C2F"/>
    <w:rsid w:val="000C0D5E"/>
    <w:rsid w:val="000C0EA4"/>
    <w:rsid w:val="000C0F3E"/>
    <w:rsid w:val="000C10E2"/>
    <w:rsid w:val="000C1117"/>
    <w:rsid w:val="000C1275"/>
    <w:rsid w:val="000C12D9"/>
    <w:rsid w:val="000C14A9"/>
    <w:rsid w:val="000C165A"/>
    <w:rsid w:val="000C16A3"/>
    <w:rsid w:val="000C17CD"/>
    <w:rsid w:val="000C1861"/>
    <w:rsid w:val="000C193F"/>
    <w:rsid w:val="000C1A7C"/>
    <w:rsid w:val="000C1AA4"/>
    <w:rsid w:val="000C1B90"/>
    <w:rsid w:val="000C1CB4"/>
    <w:rsid w:val="000C1D00"/>
    <w:rsid w:val="000C1D3B"/>
    <w:rsid w:val="000C1E31"/>
    <w:rsid w:val="000C1F32"/>
    <w:rsid w:val="000C2027"/>
    <w:rsid w:val="000C20F4"/>
    <w:rsid w:val="000C20FB"/>
    <w:rsid w:val="000C21D2"/>
    <w:rsid w:val="000C224C"/>
    <w:rsid w:val="000C2277"/>
    <w:rsid w:val="000C233F"/>
    <w:rsid w:val="000C234D"/>
    <w:rsid w:val="000C237D"/>
    <w:rsid w:val="000C238E"/>
    <w:rsid w:val="000C2423"/>
    <w:rsid w:val="000C2447"/>
    <w:rsid w:val="000C24AC"/>
    <w:rsid w:val="000C274B"/>
    <w:rsid w:val="000C27D6"/>
    <w:rsid w:val="000C27DE"/>
    <w:rsid w:val="000C27F8"/>
    <w:rsid w:val="000C2937"/>
    <w:rsid w:val="000C29B6"/>
    <w:rsid w:val="000C2B74"/>
    <w:rsid w:val="000C2B75"/>
    <w:rsid w:val="000C2C06"/>
    <w:rsid w:val="000C2E52"/>
    <w:rsid w:val="000C2EFB"/>
    <w:rsid w:val="000C2FD8"/>
    <w:rsid w:val="000C3032"/>
    <w:rsid w:val="000C3072"/>
    <w:rsid w:val="000C30FC"/>
    <w:rsid w:val="000C3148"/>
    <w:rsid w:val="000C31CD"/>
    <w:rsid w:val="000C342C"/>
    <w:rsid w:val="000C3480"/>
    <w:rsid w:val="000C34A2"/>
    <w:rsid w:val="000C34FD"/>
    <w:rsid w:val="000C3590"/>
    <w:rsid w:val="000C3668"/>
    <w:rsid w:val="000C3776"/>
    <w:rsid w:val="000C37AE"/>
    <w:rsid w:val="000C37F0"/>
    <w:rsid w:val="000C39CB"/>
    <w:rsid w:val="000C3B25"/>
    <w:rsid w:val="000C3B3B"/>
    <w:rsid w:val="000C3BC9"/>
    <w:rsid w:val="000C3CB0"/>
    <w:rsid w:val="000C3CB1"/>
    <w:rsid w:val="000C3D90"/>
    <w:rsid w:val="000C3E07"/>
    <w:rsid w:val="000C3E68"/>
    <w:rsid w:val="000C3E8B"/>
    <w:rsid w:val="000C3F81"/>
    <w:rsid w:val="000C3FF3"/>
    <w:rsid w:val="000C401D"/>
    <w:rsid w:val="000C4067"/>
    <w:rsid w:val="000C420B"/>
    <w:rsid w:val="000C428E"/>
    <w:rsid w:val="000C4348"/>
    <w:rsid w:val="000C440E"/>
    <w:rsid w:val="000C44E9"/>
    <w:rsid w:val="000C450D"/>
    <w:rsid w:val="000C4575"/>
    <w:rsid w:val="000C45E7"/>
    <w:rsid w:val="000C45EA"/>
    <w:rsid w:val="000C4851"/>
    <w:rsid w:val="000C4893"/>
    <w:rsid w:val="000C4966"/>
    <w:rsid w:val="000C4A00"/>
    <w:rsid w:val="000C4BF2"/>
    <w:rsid w:val="000C4CA6"/>
    <w:rsid w:val="000C4CC6"/>
    <w:rsid w:val="000C4CC9"/>
    <w:rsid w:val="000C4D0C"/>
    <w:rsid w:val="000C4DA7"/>
    <w:rsid w:val="000C4FD5"/>
    <w:rsid w:val="000C4FE8"/>
    <w:rsid w:val="000C5315"/>
    <w:rsid w:val="000C54A6"/>
    <w:rsid w:val="000C5587"/>
    <w:rsid w:val="000C55DB"/>
    <w:rsid w:val="000C59BD"/>
    <w:rsid w:val="000C5A2A"/>
    <w:rsid w:val="000C5C1E"/>
    <w:rsid w:val="000C5C4E"/>
    <w:rsid w:val="000C5D25"/>
    <w:rsid w:val="000C5D51"/>
    <w:rsid w:val="000C5D8C"/>
    <w:rsid w:val="000C5DAC"/>
    <w:rsid w:val="000C5DDC"/>
    <w:rsid w:val="000C5EA3"/>
    <w:rsid w:val="000C5EB3"/>
    <w:rsid w:val="000C5F92"/>
    <w:rsid w:val="000C6039"/>
    <w:rsid w:val="000C60D2"/>
    <w:rsid w:val="000C61F9"/>
    <w:rsid w:val="000C6209"/>
    <w:rsid w:val="000C6372"/>
    <w:rsid w:val="000C647A"/>
    <w:rsid w:val="000C6566"/>
    <w:rsid w:val="000C6688"/>
    <w:rsid w:val="000C668E"/>
    <w:rsid w:val="000C66C4"/>
    <w:rsid w:val="000C6701"/>
    <w:rsid w:val="000C6737"/>
    <w:rsid w:val="000C67B0"/>
    <w:rsid w:val="000C6821"/>
    <w:rsid w:val="000C69F6"/>
    <w:rsid w:val="000C6A5A"/>
    <w:rsid w:val="000C6C24"/>
    <w:rsid w:val="000C6C41"/>
    <w:rsid w:val="000C6D86"/>
    <w:rsid w:val="000C6EE3"/>
    <w:rsid w:val="000C6F4E"/>
    <w:rsid w:val="000C701F"/>
    <w:rsid w:val="000C71B2"/>
    <w:rsid w:val="000C71FB"/>
    <w:rsid w:val="000C724D"/>
    <w:rsid w:val="000C72D4"/>
    <w:rsid w:val="000C73D9"/>
    <w:rsid w:val="000C745D"/>
    <w:rsid w:val="000C74DE"/>
    <w:rsid w:val="000C7602"/>
    <w:rsid w:val="000C775F"/>
    <w:rsid w:val="000C77B5"/>
    <w:rsid w:val="000C7826"/>
    <w:rsid w:val="000C79CD"/>
    <w:rsid w:val="000C79D2"/>
    <w:rsid w:val="000C79D6"/>
    <w:rsid w:val="000C7A04"/>
    <w:rsid w:val="000C7A5F"/>
    <w:rsid w:val="000C7AB5"/>
    <w:rsid w:val="000C7B71"/>
    <w:rsid w:val="000C7CF8"/>
    <w:rsid w:val="000C7D50"/>
    <w:rsid w:val="000C7DC0"/>
    <w:rsid w:val="000C7F1F"/>
    <w:rsid w:val="000C7F72"/>
    <w:rsid w:val="000D0012"/>
    <w:rsid w:val="000D00B9"/>
    <w:rsid w:val="000D0144"/>
    <w:rsid w:val="000D02C4"/>
    <w:rsid w:val="000D0328"/>
    <w:rsid w:val="000D03AC"/>
    <w:rsid w:val="000D046D"/>
    <w:rsid w:val="000D058A"/>
    <w:rsid w:val="000D0724"/>
    <w:rsid w:val="000D0A7D"/>
    <w:rsid w:val="000D0C2F"/>
    <w:rsid w:val="000D0C5C"/>
    <w:rsid w:val="000D0CC7"/>
    <w:rsid w:val="000D0D17"/>
    <w:rsid w:val="000D0D83"/>
    <w:rsid w:val="000D0E1C"/>
    <w:rsid w:val="000D0E88"/>
    <w:rsid w:val="000D0F02"/>
    <w:rsid w:val="000D0FFF"/>
    <w:rsid w:val="000D1190"/>
    <w:rsid w:val="000D1250"/>
    <w:rsid w:val="000D125A"/>
    <w:rsid w:val="000D1357"/>
    <w:rsid w:val="000D1392"/>
    <w:rsid w:val="000D1397"/>
    <w:rsid w:val="000D13A1"/>
    <w:rsid w:val="000D1433"/>
    <w:rsid w:val="000D1465"/>
    <w:rsid w:val="000D15FA"/>
    <w:rsid w:val="000D17A9"/>
    <w:rsid w:val="000D17B3"/>
    <w:rsid w:val="000D19F2"/>
    <w:rsid w:val="000D1ACF"/>
    <w:rsid w:val="000D1CAB"/>
    <w:rsid w:val="000D1DDB"/>
    <w:rsid w:val="000D1ED9"/>
    <w:rsid w:val="000D1FF0"/>
    <w:rsid w:val="000D2287"/>
    <w:rsid w:val="000D2377"/>
    <w:rsid w:val="000D238E"/>
    <w:rsid w:val="000D23C0"/>
    <w:rsid w:val="000D245C"/>
    <w:rsid w:val="000D246E"/>
    <w:rsid w:val="000D2486"/>
    <w:rsid w:val="000D2494"/>
    <w:rsid w:val="000D2534"/>
    <w:rsid w:val="000D25AB"/>
    <w:rsid w:val="000D26A1"/>
    <w:rsid w:val="000D27C8"/>
    <w:rsid w:val="000D2828"/>
    <w:rsid w:val="000D2848"/>
    <w:rsid w:val="000D28E2"/>
    <w:rsid w:val="000D2911"/>
    <w:rsid w:val="000D293A"/>
    <w:rsid w:val="000D29A0"/>
    <w:rsid w:val="000D2A33"/>
    <w:rsid w:val="000D2A42"/>
    <w:rsid w:val="000D2AB6"/>
    <w:rsid w:val="000D2B5D"/>
    <w:rsid w:val="000D2E83"/>
    <w:rsid w:val="000D2FAD"/>
    <w:rsid w:val="000D3047"/>
    <w:rsid w:val="000D3075"/>
    <w:rsid w:val="000D30D9"/>
    <w:rsid w:val="000D31EA"/>
    <w:rsid w:val="000D32F9"/>
    <w:rsid w:val="000D3308"/>
    <w:rsid w:val="000D3451"/>
    <w:rsid w:val="000D36F7"/>
    <w:rsid w:val="000D3731"/>
    <w:rsid w:val="000D384C"/>
    <w:rsid w:val="000D3A30"/>
    <w:rsid w:val="000D3AD9"/>
    <w:rsid w:val="000D3AF1"/>
    <w:rsid w:val="000D3B0D"/>
    <w:rsid w:val="000D3B2A"/>
    <w:rsid w:val="000D3BC9"/>
    <w:rsid w:val="000D3BE5"/>
    <w:rsid w:val="000D3BF4"/>
    <w:rsid w:val="000D3CE2"/>
    <w:rsid w:val="000D3D8A"/>
    <w:rsid w:val="000D3E56"/>
    <w:rsid w:val="000D3E8C"/>
    <w:rsid w:val="000D3F4E"/>
    <w:rsid w:val="000D3FBF"/>
    <w:rsid w:val="000D4029"/>
    <w:rsid w:val="000D40D5"/>
    <w:rsid w:val="000D414C"/>
    <w:rsid w:val="000D4201"/>
    <w:rsid w:val="000D4253"/>
    <w:rsid w:val="000D42F7"/>
    <w:rsid w:val="000D43FD"/>
    <w:rsid w:val="000D4408"/>
    <w:rsid w:val="000D4464"/>
    <w:rsid w:val="000D446D"/>
    <w:rsid w:val="000D4545"/>
    <w:rsid w:val="000D47B3"/>
    <w:rsid w:val="000D48EE"/>
    <w:rsid w:val="000D490C"/>
    <w:rsid w:val="000D4987"/>
    <w:rsid w:val="000D4A4B"/>
    <w:rsid w:val="000D4ACD"/>
    <w:rsid w:val="000D4BD4"/>
    <w:rsid w:val="000D4CA6"/>
    <w:rsid w:val="000D4D72"/>
    <w:rsid w:val="000D4E70"/>
    <w:rsid w:val="000D4EAF"/>
    <w:rsid w:val="000D4FEC"/>
    <w:rsid w:val="000D5030"/>
    <w:rsid w:val="000D50D3"/>
    <w:rsid w:val="000D51E4"/>
    <w:rsid w:val="000D5280"/>
    <w:rsid w:val="000D529B"/>
    <w:rsid w:val="000D53C2"/>
    <w:rsid w:val="000D5412"/>
    <w:rsid w:val="000D55CB"/>
    <w:rsid w:val="000D561F"/>
    <w:rsid w:val="000D56A4"/>
    <w:rsid w:val="000D5767"/>
    <w:rsid w:val="000D578D"/>
    <w:rsid w:val="000D57C3"/>
    <w:rsid w:val="000D57FB"/>
    <w:rsid w:val="000D5880"/>
    <w:rsid w:val="000D58AF"/>
    <w:rsid w:val="000D58FA"/>
    <w:rsid w:val="000D590A"/>
    <w:rsid w:val="000D59A2"/>
    <w:rsid w:val="000D5A0D"/>
    <w:rsid w:val="000D5A75"/>
    <w:rsid w:val="000D5AC8"/>
    <w:rsid w:val="000D5BDB"/>
    <w:rsid w:val="000D5D60"/>
    <w:rsid w:val="000D5E2E"/>
    <w:rsid w:val="000D5E33"/>
    <w:rsid w:val="000D5FA8"/>
    <w:rsid w:val="000D6057"/>
    <w:rsid w:val="000D625F"/>
    <w:rsid w:val="000D6469"/>
    <w:rsid w:val="000D6593"/>
    <w:rsid w:val="000D668D"/>
    <w:rsid w:val="000D668E"/>
    <w:rsid w:val="000D676D"/>
    <w:rsid w:val="000D678D"/>
    <w:rsid w:val="000D67BE"/>
    <w:rsid w:val="000D6A50"/>
    <w:rsid w:val="000D6B77"/>
    <w:rsid w:val="000D6D2D"/>
    <w:rsid w:val="000D6D32"/>
    <w:rsid w:val="000D6D43"/>
    <w:rsid w:val="000D6EF3"/>
    <w:rsid w:val="000D7045"/>
    <w:rsid w:val="000D7128"/>
    <w:rsid w:val="000D72B5"/>
    <w:rsid w:val="000D736C"/>
    <w:rsid w:val="000D73D3"/>
    <w:rsid w:val="000D7635"/>
    <w:rsid w:val="000D76D0"/>
    <w:rsid w:val="000D77E0"/>
    <w:rsid w:val="000D794B"/>
    <w:rsid w:val="000D7972"/>
    <w:rsid w:val="000D797F"/>
    <w:rsid w:val="000D7A65"/>
    <w:rsid w:val="000D7A86"/>
    <w:rsid w:val="000D7BFF"/>
    <w:rsid w:val="000E0033"/>
    <w:rsid w:val="000E008D"/>
    <w:rsid w:val="000E00B1"/>
    <w:rsid w:val="000E0156"/>
    <w:rsid w:val="000E015E"/>
    <w:rsid w:val="000E029D"/>
    <w:rsid w:val="000E041E"/>
    <w:rsid w:val="000E0465"/>
    <w:rsid w:val="000E050E"/>
    <w:rsid w:val="000E0526"/>
    <w:rsid w:val="000E0618"/>
    <w:rsid w:val="000E0650"/>
    <w:rsid w:val="000E0677"/>
    <w:rsid w:val="000E0856"/>
    <w:rsid w:val="000E090A"/>
    <w:rsid w:val="000E095E"/>
    <w:rsid w:val="000E0A53"/>
    <w:rsid w:val="000E0A5F"/>
    <w:rsid w:val="000E0B41"/>
    <w:rsid w:val="000E0BFA"/>
    <w:rsid w:val="000E0C97"/>
    <w:rsid w:val="000E0DC8"/>
    <w:rsid w:val="000E0F7F"/>
    <w:rsid w:val="000E108C"/>
    <w:rsid w:val="000E10DB"/>
    <w:rsid w:val="000E10F9"/>
    <w:rsid w:val="000E112C"/>
    <w:rsid w:val="000E1130"/>
    <w:rsid w:val="000E1153"/>
    <w:rsid w:val="000E123E"/>
    <w:rsid w:val="000E1283"/>
    <w:rsid w:val="000E13AA"/>
    <w:rsid w:val="000E1415"/>
    <w:rsid w:val="000E1422"/>
    <w:rsid w:val="000E17B1"/>
    <w:rsid w:val="000E17B7"/>
    <w:rsid w:val="000E1845"/>
    <w:rsid w:val="000E19F5"/>
    <w:rsid w:val="000E1A81"/>
    <w:rsid w:val="000E1A85"/>
    <w:rsid w:val="000E1AEA"/>
    <w:rsid w:val="000E1AFB"/>
    <w:rsid w:val="000E1CF4"/>
    <w:rsid w:val="000E1D6F"/>
    <w:rsid w:val="000E1E65"/>
    <w:rsid w:val="000E1F38"/>
    <w:rsid w:val="000E2025"/>
    <w:rsid w:val="000E2105"/>
    <w:rsid w:val="000E2108"/>
    <w:rsid w:val="000E233D"/>
    <w:rsid w:val="000E2455"/>
    <w:rsid w:val="000E24B0"/>
    <w:rsid w:val="000E25B8"/>
    <w:rsid w:val="000E25C0"/>
    <w:rsid w:val="000E26F8"/>
    <w:rsid w:val="000E2710"/>
    <w:rsid w:val="000E2729"/>
    <w:rsid w:val="000E2798"/>
    <w:rsid w:val="000E2842"/>
    <w:rsid w:val="000E28DC"/>
    <w:rsid w:val="000E296F"/>
    <w:rsid w:val="000E29AB"/>
    <w:rsid w:val="000E2A2E"/>
    <w:rsid w:val="000E2A54"/>
    <w:rsid w:val="000E2AA2"/>
    <w:rsid w:val="000E2BF2"/>
    <w:rsid w:val="000E2C4A"/>
    <w:rsid w:val="000E2CB6"/>
    <w:rsid w:val="000E2CEE"/>
    <w:rsid w:val="000E2D0E"/>
    <w:rsid w:val="000E2DE9"/>
    <w:rsid w:val="000E2E78"/>
    <w:rsid w:val="000E3029"/>
    <w:rsid w:val="000E3034"/>
    <w:rsid w:val="000E30D7"/>
    <w:rsid w:val="000E3650"/>
    <w:rsid w:val="000E36F7"/>
    <w:rsid w:val="000E3856"/>
    <w:rsid w:val="000E391B"/>
    <w:rsid w:val="000E3A05"/>
    <w:rsid w:val="000E3A53"/>
    <w:rsid w:val="000E3C89"/>
    <w:rsid w:val="000E3CA1"/>
    <w:rsid w:val="000E3E00"/>
    <w:rsid w:val="000E3E2E"/>
    <w:rsid w:val="000E3EA5"/>
    <w:rsid w:val="000E3EC0"/>
    <w:rsid w:val="000E3F23"/>
    <w:rsid w:val="000E3F3A"/>
    <w:rsid w:val="000E3F6A"/>
    <w:rsid w:val="000E4041"/>
    <w:rsid w:val="000E406B"/>
    <w:rsid w:val="000E406E"/>
    <w:rsid w:val="000E4276"/>
    <w:rsid w:val="000E4317"/>
    <w:rsid w:val="000E437E"/>
    <w:rsid w:val="000E4393"/>
    <w:rsid w:val="000E44C4"/>
    <w:rsid w:val="000E45D4"/>
    <w:rsid w:val="000E4770"/>
    <w:rsid w:val="000E4777"/>
    <w:rsid w:val="000E4795"/>
    <w:rsid w:val="000E493B"/>
    <w:rsid w:val="000E4940"/>
    <w:rsid w:val="000E49C8"/>
    <w:rsid w:val="000E4ABB"/>
    <w:rsid w:val="000E4CD1"/>
    <w:rsid w:val="000E4CD7"/>
    <w:rsid w:val="000E4D3A"/>
    <w:rsid w:val="000E4EC9"/>
    <w:rsid w:val="000E4F3B"/>
    <w:rsid w:val="000E5036"/>
    <w:rsid w:val="000E522D"/>
    <w:rsid w:val="000E526F"/>
    <w:rsid w:val="000E52D7"/>
    <w:rsid w:val="000E532D"/>
    <w:rsid w:val="000E538F"/>
    <w:rsid w:val="000E53B2"/>
    <w:rsid w:val="000E5460"/>
    <w:rsid w:val="000E5517"/>
    <w:rsid w:val="000E55DF"/>
    <w:rsid w:val="000E57B6"/>
    <w:rsid w:val="000E57FD"/>
    <w:rsid w:val="000E583D"/>
    <w:rsid w:val="000E595D"/>
    <w:rsid w:val="000E5961"/>
    <w:rsid w:val="000E5969"/>
    <w:rsid w:val="000E5A13"/>
    <w:rsid w:val="000E5B07"/>
    <w:rsid w:val="000E5B12"/>
    <w:rsid w:val="000E5B2C"/>
    <w:rsid w:val="000E5B60"/>
    <w:rsid w:val="000E5BEF"/>
    <w:rsid w:val="000E5E19"/>
    <w:rsid w:val="000E5F0F"/>
    <w:rsid w:val="000E60DC"/>
    <w:rsid w:val="000E60E1"/>
    <w:rsid w:val="000E6122"/>
    <w:rsid w:val="000E6181"/>
    <w:rsid w:val="000E61A2"/>
    <w:rsid w:val="000E621F"/>
    <w:rsid w:val="000E6342"/>
    <w:rsid w:val="000E64D7"/>
    <w:rsid w:val="000E655C"/>
    <w:rsid w:val="000E664F"/>
    <w:rsid w:val="000E66C8"/>
    <w:rsid w:val="000E671F"/>
    <w:rsid w:val="000E67AD"/>
    <w:rsid w:val="000E6858"/>
    <w:rsid w:val="000E68BC"/>
    <w:rsid w:val="000E68DF"/>
    <w:rsid w:val="000E6953"/>
    <w:rsid w:val="000E6A69"/>
    <w:rsid w:val="000E6B06"/>
    <w:rsid w:val="000E6B7B"/>
    <w:rsid w:val="000E6C0C"/>
    <w:rsid w:val="000E6CB9"/>
    <w:rsid w:val="000E6CDA"/>
    <w:rsid w:val="000E6E5C"/>
    <w:rsid w:val="000E6F0B"/>
    <w:rsid w:val="000E6F9E"/>
    <w:rsid w:val="000E6FE0"/>
    <w:rsid w:val="000E7064"/>
    <w:rsid w:val="000E723B"/>
    <w:rsid w:val="000E72AA"/>
    <w:rsid w:val="000E72DC"/>
    <w:rsid w:val="000E730C"/>
    <w:rsid w:val="000E73DB"/>
    <w:rsid w:val="000E7441"/>
    <w:rsid w:val="000E75D7"/>
    <w:rsid w:val="000E7653"/>
    <w:rsid w:val="000E76A1"/>
    <w:rsid w:val="000E7B17"/>
    <w:rsid w:val="000E7BC2"/>
    <w:rsid w:val="000E7BE6"/>
    <w:rsid w:val="000E7BFF"/>
    <w:rsid w:val="000E7D5C"/>
    <w:rsid w:val="000E7D69"/>
    <w:rsid w:val="000E7E00"/>
    <w:rsid w:val="000E7E7C"/>
    <w:rsid w:val="000E7EB0"/>
    <w:rsid w:val="000F0021"/>
    <w:rsid w:val="000F01ED"/>
    <w:rsid w:val="000F02DC"/>
    <w:rsid w:val="000F031D"/>
    <w:rsid w:val="000F0348"/>
    <w:rsid w:val="000F03A1"/>
    <w:rsid w:val="000F0498"/>
    <w:rsid w:val="000F04BD"/>
    <w:rsid w:val="000F04C0"/>
    <w:rsid w:val="000F04F7"/>
    <w:rsid w:val="000F053E"/>
    <w:rsid w:val="000F0721"/>
    <w:rsid w:val="000F0883"/>
    <w:rsid w:val="000F0932"/>
    <w:rsid w:val="000F09A0"/>
    <w:rsid w:val="000F09F1"/>
    <w:rsid w:val="000F0A3D"/>
    <w:rsid w:val="000F0A59"/>
    <w:rsid w:val="000F0C0B"/>
    <w:rsid w:val="000F0C2A"/>
    <w:rsid w:val="000F0CF9"/>
    <w:rsid w:val="000F0D71"/>
    <w:rsid w:val="000F0F67"/>
    <w:rsid w:val="000F1011"/>
    <w:rsid w:val="000F120B"/>
    <w:rsid w:val="000F12BE"/>
    <w:rsid w:val="000F12CC"/>
    <w:rsid w:val="000F13AA"/>
    <w:rsid w:val="000F13D0"/>
    <w:rsid w:val="000F1481"/>
    <w:rsid w:val="000F14C0"/>
    <w:rsid w:val="000F150A"/>
    <w:rsid w:val="000F1511"/>
    <w:rsid w:val="000F15E6"/>
    <w:rsid w:val="000F1661"/>
    <w:rsid w:val="000F1669"/>
    <w:rsid w:val="000F168C"/>
    <w:rsid w:val="000F169F"/>
    <w:rsid w:val="000F180C"/>
    <w:rsid w:val="000F19E4"/>
    <w:rsid w:val="000F1A2F"/>
    <w:rsid w:val="000F1A32"/>
    <w:rsid w:val="000F1AA5"/>
    <w:rsid w:val="000F1B37"/>
    <w:rsid w:val="000F1CD7"/>
    <w:rsid w:val="000F1F19"/>
    <w:rsid w:val="000F1F3E"/>
    <w:rsid w:val="000F1F54"/>
    <w:rsid w:val="000F1FC7"/>
    <w:rsid w:val="000F2139"/>
    <w:rsid w:val="000F22B1"/>
    <w:rsid w:val="000F22EC"/>
    <w:rsid w:val="000F234B"/>
    <w:rsid w:val="000F23D5"/>
    <w:rsid w:val="000F2400"/>
    <w:rsid w:val="000F24CA"/>
    <w:rsid w:val="000F260A"/>
    <w:rsid w:val="000F265B"/>
    <w:rsid w:val="000F266A"/>
    <w:rsid w:val="000F26C2"/>
    <w:rsid w:val="000F270E"/>
    <w:rsid w:val="000F27DE"/>
    <w:rsid w:val="000F28C2"/>
    <w:rsid w:val="000F28DA"/>
    <w:rsid w:val="000F2A05"/>
    <w:rsid w:val="000F2A6B"/>
    <w:rsid w:val="000F2ACA"/>
    <w:rsid w:val="000F2AED"/>
    <w:rsid w:val="000F2CA5"/>
    <w:rsid w:val="000F2E74"/>
    <w:rsid w:val="000F2EEB"/>
    <w:rsid w:val="000F2FE8"/>
    <w:rsid w:val="000F304F"/>
    <w:rsid w:val="000F3056"/>
    <w:rsid w:val="000F31C2"/>
    <w:rsid w:val="000F3239"/>
    <w:rsid w:val="000F3351"/>
    <w:rsid w:val="000F3364"/>
    <w:rsid w:val="000F3424"/>
    <w:rsid w:val="000F345A"/>
    <w:rsid w:val="000F34E6"/>
    <w:rsid w:val="000F359C"/>
    <w:rsid w:val="000F35D7"/>
    <w:rsid w:val="000F3638"/>
    <w:rsid w:val="000F38FB"/>
    <w:rsid w:val="000F3B83"/>
    <w:rsid w:val="000F3E43"/>
    <w:rsid w:val="000F3ECB"/>
    <w:rsid w:val="000F3F2E"/>
    <w:rsid w:val="000F3F3B"/>
    <w:rsid w:val="000F4030"/>
    <w:rsid w:val="000F40C2"/>
    <w:rsid w:val="000F4105"/>
    <w:rsid w:val="000F4442"/>
    <w:rsid w:val="000F4469"/>
    <w:rsid w:val="000F4500"/>
    <w:rsid w:val="000F45DA"/>
    <w:rsid w:val="000F461B"/>
    <w:rsid w:val="000F469D"/>
    <w:rsid w:val="000F46FE"/>
    <w:rsid w:val="000F4774"/>
    <w:rsid w:val="000F47E8"/>
    <w:rsid w:val="000F4838"/>
    <w:rsid w:val="000F48A1"/>
    <w:rsid w:val="000F4955"/>
    <w:rsid w:val="000F4A58"/>
    <w:rsid w:val="000F4AC0"/>
    <w:rsid w:val="000F4B52"/>
    <w:rsid w:val="000F4BA5"/>
    <w:rsid w:val="000F4BEA"/>
    <w:rsid w:val="000F4DCB"/>
    <w:rsid w:val="000F4E11"/>
    <w:rsid w:val="000F4EA2"/>
    <w:rsid w:val="000F4ED9"/>
    <w:rsid w:val="000F4EFB"/>
    <w:rsid w:val="000F4F63"/>
    <w:rsid w:val="000F52E3"/>
    <w:rsid w:val="000F5320"/>
    <w:rsid w:val="000F5373"/>
    <w:rsid w:val="000F54FD"/>
    <w:rsid w:val="000F54FE"/>
    <w:rsid w:val="000F5517"/>
    <w:rsid w:val="000F5529"/>
    <w:rsid w:val="000F56CF"/>
    <w:rsid w:val="000F5734"/>
    <w:rsid w:val="000F57EE"/>
    <w:rsid w:val="000F5B32"/>
    <w:rsid w:val="000F5C38"/>
    <w:rsid w:val="000F5D14"/>
    <w:rsid w:val="000F5D79"/>
    <w:rsid w:val="000F5ED5"/>
    <w:rsid w:val="000F5F7B"/>
    <w:rsid w:val="000F5FA0"/>
    <w:rsid w:val="000F5FB7"/>
    <w:rsid w:val="000F5FDD"/>
    <w:rsid w:val="000F6017"/>
    <w:rsid w:val="000F62A1"/>
    <w:rsid w:val="000F62E9"/>
    <w:rsid w:val="000F633B"/>
    <w:rsid w:val="000F665E"/>
    <w:rsid w:val="000F6699"/>
    <w:rsid w:val="000F6713"/>
    <w:rsid w:val="000F6725"/>
    <w:rsid w:val="000F67BE"/>
    <w:rsid w:val="000F682A"/>
    <w:rsid w:val="000F683D"/>
    <w:rsid w:val="000F688B"/>
    <w:rsid w:val="000F6908"/>
    <w:rsid w:val="000F6940"/>
    <w:rsid w:val="000F694B"/>
    <w:rsid w:val="000F696C"/>
    <w:rsid w:val="000F6A0D"/>
    <w:rsid w:val="000F6A67"/>
    <w:rsid w:val="000F6BC3"/>
    <w:rsid w:val="000F6BFD"/>
    <w:rsid w:val="000F6C2A"/>
    <w:rsid w:val="000F6C31"/>
    <w:rsid w:val="000F6E34"/>
    <w:rsid w:val="000F7019"/>
    <w:rsid w:val="000F7064"/>
    <w:rsid w:val="000F7143"/>
    <w:rsid w:val="000F717C"/>
    <w:rsid w:val="000F7180"/>
    <w:rsid w:val="000F72E1"/>
    <w:rsid w:val="000F7304"/>
    <w:rsid w:val="000F7308"/>
    <w:rsid w:val="000F7321"/>
    <w:rsid w:val="000F738B"/>
    <w:rsid w:val="000F7431"/>
    <w:rsid w:val="000F7528"/>
    <w:rsid w:val="000F794D"/>
    <w:rsid w:val="000F795E"/>
    <w:rsid w:val="000F79B2"/>
    <w:rsid w:val="000F7BA2"/>
    <w:rsid w:val="000F7D10"/>
    <w:rsid w:val="000F7E48"/>
    <w:rsid w:val="000F7E6A"/>
    <w:rsid w:val="000F7F8E"/>
    <w:rsid w:val="000F7FF0"/>
    <w:rsid w:val="00100070"/>
    <w:rsid w:val="001000DB"/>
    <w:rsid w:val="0010030A"/>
    <w:rsid w:val="00100403"/>
    <w:rsid w:val="0010056A"/>
    <w:rsid w:val="001005C1"/>
    <w:rsid w:val="001005D5"/>
    <w:rsid w:val="0010067E"/>
    <w:rsid w:val="00100761"/>
    <w:rsid w:val="00100878"/>
    <w:rsid w:val="001008A1"/>
    <w:rsid w:val="001008F9"/>
    <w:rsid w:val="00100997"/>
    <w:rsid w:val="001009E3"/>
    <w:rsid w:val="00100AA9"/>
    <w:rsid w:val="00100B42"/>
    <w:rsid w:val="00100B83"/>
    <w:rsid w:val="00100D1D"/>
    <w:rsid w:val="00100D4E"/>
    <w:rsid w:val="00100DE2"/>
    <w:rsid w:val="00100E18"/>
    <w:rsid w:val="00100F31"/>
    <w:rsid w:val="0010101E"/>
    <w:rsid w:val="00101161"/>
    <w:rsid w:val="001011DE"/>
    <w:rsid w:val="00101383"/>
    <w:rsid w:val="00101483"/>
    <w:rsid w:val="001014D1"/>
    <w:rsid w:val="001016E1"/>
    <w:rsid w:val="001018E5"/>
    <w:rsid w:val="00101A98"/>
    <w:rsid w:val="00101B3D"/>
    <w:rsid w:val="00101C0D"/>
    <w:rsid w:val="00101C73"/>
    <w:rsid w:val="00101CDF"/>
    <w:rsid w:val="00101D40"/>
    <w:rsid w:val="00101E02"/>
    <w:rsid w:val="00101F97"/>
    <w:rsid w:val="00102000"/>
    <w:rsid w:val="0010208E"/>
    <w:rsid w:val="001021B3"/>
    <w:rsid w:val="001021EC"/>
    <w:rsid w:val="0010222A"/>
    <w:rsid w:val="0010237B"/>
    <w:rsid w:val="001023BC"/>
    <w:rsid w:val="00102496"/>
    <w:rsid w:val="001024EC"/>
    <w:rsid w:val="00102552"/>
    <w:rsid w:val="001025D6"/>
    <w:rsid w:val="0010267C"/>
    <w:rsid w:val="00102751"/>
    <w:rsid w:val="0010281B"/>
    <w:rsid w:val="0010281D"/>
    <w:rsid w:val="001028E0"/>
    <w:rsid w:val="0010291A"/>
    <w:rsid w:val="00102930"/>
    <w:rsid w:val="0010296B"/>
    <w:rsid w:val="00102976"/>
    <w:rsid w:val="00102A73"/>
    <w:rsid w:val="00102AAD"/>
    <w:rsid w:val="00102AF8"/>
    <w:rsid w:val="00102B80"/>
    <w:rsid w:val="00102BE2"/>
    <w:rsid w:val="00102CB2"/>
    <w:rsid w:val="00102D0D"/>
    <w:rsid w:val="00102D1B"/>
    <w:rsid w:val="00102D24"/>
    <w:rsid w:val="00102D5B"/>
    <w:rsid w:val="00102D66"/>
    <w:rsid w:val="00102E13"/>
    <w:rsid w:val="00102EBF"/>
    <w:rsid w:val="00103010"/>
    <w:rsid w:val="0010316C"/>
    <w:rsid w:val="0010321F"/>
    <w:rsid w:val="001033ED"/>
    <w:rsid w:val="00103413"/>
    <w:rsid w:val="00103467"/>
    <w:rsid w:val="00103498"/>
    <w:rsid w:val="00103607"/>
    <w:rsid w:val="00103608"/>
    <w:rsid w:val="00103802"/>
    <w:rsid w:val="0010385C"/>
    <w:rsid w:val="001038C9"/>
    <w:rsid w:val="001039E8"/>
    <w:rsid w:val="00103A8F"/>
    <w:rsid w:val="00103AB5"/>
    <w:rsid w:val="00103B39"/>
    <w:rsid w:val="00103BAC"/>
    <w:rsid w:val="00103BB4"/>
    <w:rsid w:val="00103BCE"/>
    <w:rsid w:val="00103C55"/>
    <w:rsid w:val="00103C83"/>
    <w:rsid w:val="00103D98"/>
    <w:rsid w:val="00103E58"/>
    <w:rsid w:val="00103E62"/>
    <w:rsid w:val="00103E83"/>
    <w:rsid w:val="00103FCD"/>
    <w:rsid w:val="00104064"/>
    <w:rsid w:val="001040CE"/>
    <w:rsid w:val="001041C7"/>
    <w:rsid w:val="001041FD"/>
    <w:rsid w:val="0010421E"/>
    <w:rsid w:val="00104245"/>
    <w:rsid w:val="00104411"/>
    <w:rsid w:val="00104412"/>
    <w:rsid w:val="0010442B"/>
    <w:rsid w:val="001044CA"/>
    <w:rsid w:val="0010453A"/>
    <w:rsid w:val="00104598"/>
    <w:rsid w:val="001045CF"/>
    <w:rsid w:val="001045F5"/>
    <w:rsid w:val="00104645"/>
    <w:rsid w:val="00104746"/>
    <w:rsid w:val="001047F9"/>
    <w:rsid w:val="00104845"/>
    <w:rsid w:val="001048C4"/>
    <w:rsid w:val="001049DA"/>
    <w:rsid w:val="00104A1F"/>
    <w:rsid w:val="00104A67"/>
    <w:rsid w:val="00104B9D"/>
    <w:rsid w:val="00104BB8"/>
    <w:rsid w:val="00104E11"/>
    <w:rsid w:val="00104E61"/>
    <w:rsid w:val="00104F76"/>
    <w:rsid w:val="001050E7"/>
    <w:rsid w:val="00105178"/>
    <w:rsid w:val="00105193"/>
    <w:rsid w:val="001052A7"/>
    <w:rsid w:val="001052DB"/>
    <w:rsid w:val="00105306"/>
    <w:rsid w:val="00105489"/>
    <w:rsid w:val="001054DA"/>
    <w:rsid w:val="001055C7"/>
    <w:rsid w:val="00105765"/>
    <w:rsid w:val="00105784"/>
    <w:rsid w:val="001057B2"/>
    <w:rsid w:val="001057D4"/>
    <w:rsid w:val="001057E0"/>
    <w:rsid w:val="0010582E"/>
    <w:rsid w:val="0010585A"/>
    <w:rsid w:val="00105870"/>
    <w:rsid w:val="00105A7D"/>
    <w:rsid w:val="00105AAF"/>
    <w:rsid w:val="00105C65"/>
    <w:rsid w:val="00105CB0"/>
    <w:rsid w:val="00105D1A"/>
    <w:rsid w:val="00105D77"/>
    <w:rsid w:val="00105E05"/>
    <w:rsid w:val="00105E44"/>
    <w:rsid w:val="00105FFD"/>
    <w:rsid w:val="001063B0"/>
    <w:rsid w:val="00106427"/>
    <w:rsid w:val="001064AC"/>
    <w:rsid w:val="00106613"/>
    <w:rsid w:val="0010663F"/>
    <w:rsid w:val="00106684"/>
    <w:rsid w:val="001066BB"/>
    <w:rsid w:val="001066CE"/>
    <w:rsid w:val="0010673F"/>
    <w:rsid w:val="0010692D"/>
    <w:rsid w:val="0010697A"/>
    <w:rsid w:val="001069F9"/>
    <w:rsid w:val="00106AE8"/>
    <w:rsid w:val="00106B16"/>
    <w:rsid w:val="00106DE7"/>
    <w:rsid w:val="00106E2F"/>
    <w:rsid w:val="00106EA3"/>
    <w:rsid w:val="00106EC9"/>
    <w:rsid w:val="00106ED2"/>
    <w:rsid w:val="00107053"/>
    <w:rsid w:val="001070C6"/>
    <w:rsid w:val="001071F9"/>
    <w:rsid w:val="0010731B"/>
    <w:rsid w:val="00107341"/>
    <w:rsid w:val="001073A8"/>
    <w:rsid w:val="00107688"/>
    <w:rsid w:val="0010784E"/>
    <w:rsid w:val="00107900"/>
    <w:rsid w:val="001079B9"/>
    <w:rsid w:val="001079C7"/>
    <w:rsid w:val="00107A80"/>
    <w:rsid w:val="00107BC2"/>
    <w:rsid w:val="00107C2C"/>
    <w:rsid w:val="00107CF9"/>
    <w:rsid w:val="00107D06"/>
    <w:rsid w:val="00107D47"/>
    <w:rsid w:val="00107E11"/>
    <w:rsid w:val="00107E2A"/>
    <w:rsid w:val="00107E38"/>
    <w:rsid w:val="00107E80"/>
    <w:rsid w:val="00107F2F"/>
    <w:rsid w:val="00107F4E"/>
    <w:rsid w:val="0011011C"/>
    <w:rsid w:val="00110165"/>
    <w:rsid w:val="001101D8"/>
    <w:rsid w:val="001102B4"/>
    <w:rsid w:val="00110367"/>
    <w:rsid w:val="001105C2"/>
    <w:rsid w:val="001106A8"/>
    <w:rsid w:val="0011081C"/>
    <w:rsid w:val="0011094C"/>
    <w:rsid w:val="00110974"/>
    <w:rsid w:val="00110A23"/>
    <w:rsid w:val="00110B03"/>
    <w:rsid w:val="00110B9C"/>
    <w:rsid w:val="00110BFA"/>
    <w:rsid w:val="00110CA2"/>
    <w:rsid w:val="00110DDA"/>
    <w:rsid w:val="00110E4E"/>
    <w:rsid w:val="00110F4F"/>
    <w:rsid w:val="0011105A"/>
    <w:rsid w:val="001111AC"/>
    <w:rsid w:val="00111273"/>
    <w:rsid w:val="001113DF"/>
    <w:rsid w:val="00111496"/>
    <w:rsid w:val="00111557"/>
    <w:rsid w:val="001115B2"/>
    <w:rsid w:val="001115F7"/>
    <w:rsid w:val="0011164D"/>
    <w:rsid w:val="00111754"/>
    <w:rsid w:val="00111788"/>
    <w:rsid w:val="001117B2"/>
    <w:rsid w:val="001117F6"/>
    <w:rsid w:val="00111827"/>
    <w:rsid w:val="00111919"/>
    <w:rsid w:val="0011199F"/>
    <w:rsid w:val="001119A7"/>
    <w:rsid w:val="00111AA9"/>
    <w:rsid w:val="00111B63"/>
    <w:rsid w:val="00111C65"/>
    <w:rsid w:val="00111DB6"/>
    <w:rsid w:val="00111E5D"/>
    <w:rsid w:val="00111E63"/>
    <w:rsid w:val="00111EA8"/>
    <w:rsid w:val="00111F0E"/>
    <w:rsid w:val="00111F63"/>
    <w:rsid w:val="001123F1"/>
    <w:rsid w:val="00112412"/>
    <w:rsid w:val="0011263C"/>
    <w:rsid w:val="001129C0"/>
    <w:rsid w:val="00112A98"/>
    <w:rsid w:val="00112C4D"/>
    <w:rsid w:val="00112C84"/>
    <w:rsid w:val="00112E1A"/>
    <w:rsid w:val="00112F0C"/>
    <w:rsid w:val="00112F12"/>
    <w:rsid w:val="00112F9A"/>
    <w:rsid w:val="00113097"/>
    <w:rsid w:val="00113190"/>
    <w:rsid w:val="001132DB"/>
    <w:rsid w:val="00113399"/>
    <w:rsid w:val="001133D4"/>
    <w:rsid w:val="00113418"/>
    <w:rsid w:val="001134E0"/>
    <w:rsid w:val="00113575"/>
    <w:rsid w:val="001135D5"/>
    <w:rsid w:val="00113607"/>
    <w:rsid w:val="001136D9"/>
    <w:rsid w:val="0011372B"/>
    <w:rsid w:val="00113890"/>
    <w:rsid w:val="0011389D"/>
    <w:rsid w:val="00113A06"/>
    <w:rsid w:val="00113ACD"/>
    <w:rsid w:val="00113B02"/>
    <w:rsid w:val="00113CCA"/>
    <w:rsid w:val="00113D29"/>
    <w:rsid w:val="00113D31"/>
    <w:rsid w:val="00113E22"/>
    <w:rsid w:val="00113F11"/>
    <w:rsid w:val="00114058"/>
    <w:rsid w:val="00114066"/>
    <w:rsid w:val="001140B1"/>
    <w:rsid w:val="00114101"/>
    <w:rsid w:val="00114130"/>
    <w:rsid w:val="001141BB"/>
    <w:rsid w:val="00114244"/>
    <w:rsid w:val="0011425E"/>
    <w:rsid w:val="001142B9"/>
    <w:rsid w:val="001142E4"/>
    <w:rsid w:val="001144C1"/>
    <w:rsid w:val="00114532"/>
    <w:rsid w:val="001146E3"/>
    <w:rsid w:val="001147B0"/>
    <w:rsid w:val="00114892"/>
    <w:rsid w:val="00114945"/>
    <w:rsid w:val="00114960"/>
    <w:rsid w:val="00114A51"/>
    <w:rsid w:val="00114B28"/>
    <w:rsid w:val="00114BC4"/>
    <w:rsid w:val="00114C06"/>
    <w:rsid w:val="00114C68"/>
    <w:rsid w:val="00114D97"/>
    <w:rsid w:val="00114E63"/>
    <w:rsid w:val="00114E70"/>
    <w:rsid w:val="0011500F"/>
    <w:rsid w:val="0011512A"/>
    <w:rsid w:val="0011513E"/>
    <w:rsid w:val="00115154"/>
    <w:rsid w:val="001151B3"/>
    <w:rsid w:val="0011523E"/>
    <w:rsid w:val="00115282"/>
    <w:rsid w:val="00115343"/>
    <w:rsid w:val="001153E0"/>
    <w:rsid w:val="00115402"/>
    <w:rsid w:val="00115483"/>
    <w:rsid w:val="00115493"/>
    <w:rsid w:val="001154D1"/>
    <w:rsid w:val="00115537"/>
    <w:rsid w:val="001155BF"/>
    <w:rsid w:val="0011565D"/>
    <w:rsid w:val="0011574B"/>
    <w:rsid w:val="00115785"/>
    <w:rsid w:val="001158BB"/>
    <w:rsid w:val="00115AA6"/>
    <w:rsid w:val="00115B8E"/>
    <w:rsid w:val="00115DD0"/>
    <w:rsid w:val="00115DD4"/>
    <w:rsid w:val="00116033"/>
    <w:rsid w:val="001161AC"/>
    <w:rsid w:val="001161F0"/>
    <w:rsid w:val="001162C7"/>
    <w:rsid w:val="001163DD"/>
    <w:rsid w:val="001163FC"/>
    <w:rsid w:val="00116470"/>
    <w:rsid w:val="0011656B"/>
    <w:rsid w:val="001166FD"/>
    <w:rsid w:val="00116700"/>
    <w:rsid w:val="0011673A"/>
    <w:rsid w:val="00116755"/>
    <w:rsid w:val="0011678C"/>
    <w:rsid w:val="001167A1"/>
    <w:rsid w:val="001167F5"/>
    <w:rsid w:val="0011680A"/>
    <w:rsid w:val="0011681D"/>
    <w:rsid w:val="00116833"/>
    <w:rsid w:val="001168A3"/>
    <w:rsid w:val="00116A51"/>
    <w:rsid w:val="00116A96"/>
    <w:rsid w:val="00116AE1"/>
    <w:rsid w:val="00116B4B"/>
    <w:rsid w:val="00116B83"/>
    <w:rsid w:val="00116C1E"/>
    <w:rsid w:val="00116D47"/>
    <w:rsid w:val="00116D83"/>
    <w:rsid w:val="00116D9A"/>
    <w:rsid w:val="00116F8E"/>
    <w:rsid w:val="00116FC2"/>
    <w:rsid w:val="00117021"/>
    <w:rsid w:val="0011705D"/>
    <w:rsid w:val="0011706C"/>
    <w:rsid w:val="00117099"/>
    <w:rsid w:val="0011714B"/>
    <w:rsid w:val="0011748F"/>
    <w:rsid w:val="001175AE"/>
    <w:rsid w:val="00117995"/>
    <w:rsid w:val="00117B0A"/>
    <w:rsid w:val="00117B0C"/>
    <w:rsid w:val="00117C22"/>
    <w:rsid w:val="00117E2C"/>
    <w:rsid w:val="00117F32"/>
    <w:rsid w:val="00120225"/>
    <w:rsid w:val="001202F5"/>
    <w:rsid w:val="001203C6"/>
    <w:rsid w:val="00120613"/>
    <w:rsid w:val="001206F2"/>
    <w:rsid w:val="0012070D"/>
    <w:rsid w:val="00120776"/>
    <w:rsid w:val="00120800"/>
    <w:rsid w:val="00120818"/>
    <w:rsid w:val="0012084E"/>
    <w:rsid w:val="00120A08"/>
    <w:rsid w:val="00120A36"/>
    <w:rsid w:val="00120B59"/>
    <w:rsid w:val="00120BCD"/>
    <w:rsid w:val="00120C1C"/>
    <w:rsid w:val="00120C74"/>
    <w:rsid w:val="00120CB8"/>
    <w:rsid w:val="00120D40"/>
    <w:rsid w:val="00120E3D"/>
    <w:rsid w:val="00120E94"/>
    <w:rsid w:val="00120F68"/>
    <w:rsid w:val="00120F9D"/>
    <w:rsid w:val="00120FCE"/>
    <w:rsid w:val="001210CF"/>
    <w:rsid w:val="001214C5"/>
    <w:rsid w:val="00121517"/>
    <w:rsid w:val="001215F7"/>
    <w:rsid w:val="001216A3"/>
    <w:rsid w:val="00121748"/>
    <w:rsid w:val="0012188B"/>
    <w:rsid w:val="0012189B"/>
    <w:rsid w:val="0012197B"/>
    <w:rsid w:val="001219E0"/>
    <w:rsid w:val="00121A44"/>
    <w:rsid w:val="00121A5D"/>
    <w:rsid w:val="00121B20"/>
    <w:rsid w:val="00121B2C"/>
    <w:rsid w:val="00121CC5"/>
    <w:rsid w:val="00121F61"/>
    <w:rsid w:val="00121F62"/>
    <w:rsid w:val="001220BA"/>
    <w:rsid w:val="00122225"/>
    <w:rsid w:val="00122273"/>
    <w:rsid w:val="001222AC"/>
    <w:rsid w:val="001222CF"/>
    <w:rsid w:val="00122349"/>
    <w:rsid w:val="001223F4"/>
    <w:rsid w:val="001224A0"/>
    <w:rsid w:val="001224EC"/>
    <w:rsid w:val="001225AC"/>
    <w:rsid w:val="0012274C"/>
    <w:rsid w:val="0012275D"/>
    <w:rsid w:val="001228AF"/>
    <w:rsid w:val="00122921"/>
    <w:rsid w:val="0012298D"/>
    <w:rsid w:val="00122A14"/>
    <w:rsid w:val="00122A6D"/>
    <w:rsid w:val="00122B65"/>
    <w:rsid w:val="00122C48"/>
    <w:rsid w:val="00122D54"/>
    <w:rsid w:val="00122D8D"/>
    <w:rsid w:val="00122DB6"/>
    <w:rsid w:val="00122DFD"/>
    <w:rsid w:val="00122E0D"/>
    <w:rsid w:val="00122E83"/>
    <w:rsid w:val="00122E98"/>
    <w:rsid w:val="00122EF9"/>
    <w:rsid w:val="00122F84"/>
    <w:rsid w:val="0012304B"/>
    <w:rsid w:val="00123059"/>
    <w:rsid w:val="001230AF"/>
    <w:rsid w:val="001230D9"/>
    <w:rsid w:val="00123221"/>
    <w:rsid w:val="0012333A"/>
    <w:rsid w:val="001233A2"/>
    <w:rsid w:val="00123453"/>
    <w:rsid w:val="001234E9"/>
    <w:rsid w:val="00123537"/>
    <w:rsid w:val="00123933"/>
    <w:rsid w:val="001239F9"/>
    <w:rsid w:val="00123B82"/>
    <w:rsid w:val="00123B9C"/>
    <w:rsid w:val="00123BA1"/>
    <w:rsid w:val="00123BEF"/>
    <w:rsid w:val="00123BF4"/>
    <w:rsid w:val="00123BF8"/>
    <w:rsid w:val="00123CC9"/>
    <w:rsid w:val="00123DF7"/>
    <w:rsid w:val="00123E3C"/>
    <w:rsid w:val="00123E54"/>
    <w:rsid w:val="00123F18"/>
    <w:rsid w:val="00124080"/>
    <w:rsid w:val="00124353"/>
    <w:rsid w:val="0012438B"/>
    <w:rsid w:val="0012448D"/>
    <w:rsid w:val="001244C8"/>
    <w:rsid w:val="0012458D"/>
    <w:rsid w:val="0012459B"/>
    <w:rsid w:val="001245B5"/>
    <w:rsid w:val="0012462D"/>
    <w:rsid w:val="0012470F"/>
    <w:rsid w:val="00124924"/>
    <w:rsid w:val="001249B4"/>
    <w:rsid w:val="001249B9"/>
    <w:rsid w:val="00124A95"/>
    <w:rsid w:val="00124AA5"/>
    <w:rsid w:val="00124CB2"/>
    <w:rsid w:val="00124F4B"/>
    <w:rsid w:val="00124FBE"/>
    <w:rsid w:val="0012500B"/>
    <w:rsid w:val="00125014"/>
    <w:rsid w:val="0012523D"/>
    <w:rsid w:val="0012533F"/>
    <w:rsid w:val="00125356"/>
    <w:rsid w:val="00125406"/>
    <w:rsid w:val="00125441"/>
    <w:rsid w:val="001254D4"/>
    <w:rsid w:val="001254EC"/>
    <w:rsid w:val="00125672"/>
    <w:rsid w:val="00125730"/>
    <w:rsid w:val="001257D6"/>
    <w:rsid w:val="00125883"/>
    <w:rsid w:val="001258CE"/>
    <w:rsid w:val="001258E7"/>
    <w:rsid w:val="00125A5E"/>
    <w:rsid w:val="00125AD8"/>
    <w:rsid w:val="00125B50"/>
    <w:rsid w:val="00125C7C"/>
    <w:rsid w:val="00125CA6"/>
    <w:rsid w:val="00125CA9"/>
    <w:rsid w:val="00125CFD"/>
    <w:rsid w:val="00125D0D"/>
    <w:rsid w:val="00125DDC"/>
    <w:rsid w:val="00125E8A"/>
    <w:rsid w:val="00125F25"/>
    <w:rsid w:val="0012611D"/>
    <w:rsid w:val="001261F9"/>
    <w:rsid w:val="00126313"/>
    <w:rsid w:val="0012633C"/>
    <w:rsid w:val="00126380"/>
    <w:rsid w:val="001263A3"/>
    <w:rsid w:val="00126490"/>
    <w:rsid w:val="00126613"/>
    <w:rsid w:val="00126619"/>
    <w:rsid w:val="00126713"/>
    <w:rsid w:val="001267C1"/>
    <w:rsid w:val="001267FC"/>
    <w:rsid w:val="00126891"/>
    <w:rsid w:val="00126899"/>
    <w:rsid w:val="00126926"/>
    <w:rsid w:val="0012698E"/>
    <w:rsid w:val="001269DE"/>
    <w:rsid w:val="00126A2D"/>
    <w:rsid w:val="00126A54"/>
    <w:rsid w:val="00126A59"/>
    <w:rsid w:val="00126AA5"/>
    <w:rsid w:val="00126B28"/>
    <w:rsid w:val="00126B8F"/>
    <w:rsid w:val="00126C67"/>
    <w:rsid w:val="00126CC4"/>
    <w:rsid w:val="00126CF6"/>
    <w:rsid w:val="00126D5B"/>
    <w:rsid w:val="00126DF2"/>
    <w:rsid w:val="00126F59"/>
    <w:rsid w:val="00127067"/>
    <w:rsid w:val="001270C6"/>
    <w:rsid w:val="0012719F"/>
    <w:rsid w:val="001272B1"/>
    <w:rsid w:val="00127351"/>
    <w:rsid w:val="00127406"/>
    <w:rsid w:val="00127591"/>
    <w:rsid w:val="00127652"/>
    <w:rsid w:val="001276AE"/>
    <w:rsid w:val="00127749"/>
    <w:rsid w:val="00127966"/>
    <w:rsid w:val="001279E7"/>
    <w:rsid w:val="001279FB"/>
    <w:rsid w:val="00127A20"/>
    <w:rsid w:val="00127A83"/>
    <w:rsid w:val="00127CB3"/>
    <w:rsid w:val="00127D85"/>
    <w:rsid w:val="00127D8B"/>
    <w:rsid w:val="00127DAB"/>
    <w:rsid w:val="00127DBC"/>
    <w:rsid w:val="00127ECF"/>
    <w:rsid w:val="00127F8A"/>
    <w:rsid w:val="00127FC0"/>
    <w:rsid w:val="001303B6"/>
    <w:rsid w:val="0013042B"/>
    <w:rsid w:val="00130576"/>
    <w:rsid w:val="001305F0"/>
    <w:rsid w:val="00130810"/>
    <w:rsid w:val="0013084F"/>
    <w:rsid w:val="00130852"/>
    <w:rsid w:val="001308C3"/>
    <w:rsid w:val="00130A14"/>
    <w:rsid w:val="00130BB0"/>
    <w:rsid w:val="00130BC1"/>
    <w:rsid w:val="00130D41"/>
    <w:rsid w:val="00130D53"/>
    <w:rsid w:val="00130E01"/>
    <w:rsid w:val="00130E13"/>
    <w:rsid w:val="00130E8A"/>
    <w:rsid w:val="00130F2B"/>
    <w:rsid w:val="00130FDD"/>
    <w:rsid w:val="00131030"/>
    <w:rsid w:val="001310D6"/>
    <w:rsid w:val="00131166"/>
    <w:rsid w:val="001314E2"/>
    <w:rsid w:val="0013158F"/>
    <w:rsid w:val="001315DE"/>
    <w:rsid w:val="0013164D"/>
    <w:rsid w:val="001316F9"/>
    <w:rsid w:val="00131727"/>
    <w:rsid w:val="00131779"/>
    <w:rsid w:val="001317BD"/>
    <w:rsid w:val="001318F2"/>
    <w:rsid w:val="0013191B"/>
    <w:rsid w:val="00131A40"/>
    <w:rsid w:val="00131B65"/>
    <w:rsid w:val="00131B77"/>
    <w:rsid w:val="00131C2F"/>
    <w:rsid w:val="00131C9A"/>
    <w:rsid w:val="00131D2D"/>
    <w:rsid w:val="00131D99"/>
    <w:rsid w:val="00131DA3"/>
    <w:rsid w:val="00131DAD"/>
    <w:rsid w:val="00131DF6"/>
    <w:rsid w:val="00131E36"/>
    <w:rsid w:val="00131F36"/>
    <w:rsid w:val="00131F5E"/>
    <w:rsid w:val="00131FC3"/>
    <w:rsid w:val="001320CC"/>
    <w:rsid w:val="001321D1"/>
    <w:rsid w:val="001322C8"/>
    <w:rsid w:val="00132330"/>
    <w:rsid w:val="001323F9"/>
    <w:rsid w:val="00132425"/>
    <w:rsid w:val="0013251E"/>
    <w:rsid w:val="00132582"/>
    <w:rsid w:val="00132778"/>
    <w:rsid w:val="00132790"/>
    <w:rsid w:val="001327EB"/>
    <w:rsid w:val="00132895"/>
    <w:rsid w:val="001328CF"/>
    <w:rsid w:val="001328D6"/>
    <w:rsid w:val="0013298D"/>
    <w:rsid w:val="001329E3"/>
    <w:rsid w:val="00132A43"/>
    <w:rsid w:val="00132AD1"/>
    <w:rsid w:val="00132B06"/>
    <w:rsid w:val="00132C83"/>
    <w:rsid w:val="00132CBD"/>
    <w:rsid w:val="00132D55"/>
    <w:rsid w:val="00132EF9"/>
    <w:rsid w:val="0013313A"/>
    <w:rsid w:val="001332AA"/>
    <w:rsid w:val="001332EE"/>
    <w:rsid w:val="00133312"/>
    <w:rsid w:val="00133336"/>
    <w:rsid w:val="0013334A"/>
    <w:rsid w:val="001333C1"/>
    <w:rsid w:val="00133411"/>
    <w:rsid w:val="0013342C"/>
    <w:rsid w:val="00133583"/>
    <w:rsid w:val="001335CB"/>
    <w:rsid w:val="00133649"/>
    <w:rsid w:val="0013365E"/>
    <w:rsid w:val="00133673"/>
    <w:rsid w:val="00133688"/>
    <w:rsid w:val="001336D3"/>
    <w:rsid w:val="001337D7"/>
    <w:rsid w:val="001338B6"/>
    <w:rsid w:val="001339BB"/>
    <w:rsid w:val="001339C5"/>
    <w:rsid w:val="00133B11"/>
    <w:rsid w:val="00133BD4"/>
    <w:rsid w:val="00133C36"/>
    <w:rsid w:val="00133CEA"/>
    <w:rsid w:val="00133D88"/>
    <w:rsid w:val="00133EA6"/>
    <w:rsid w:val="00133EB2"/>
    <w:rsid w:val="001341B4"/>
    <w:rsid w:val="001342E2"/>
    <w:rsid w:val="00134377"/>
    <w:rsid w:val="001343B9"/>
    <w:rsid w:val="00134447"/>
    <w:rsid w:val="0013447F"/>
    <w:rsid w:val="0013448F"/>
    <w:rsid w:val="001345BA"/>
    <w:rsid w:val="001345F2"/>
    <w:rsid w:val="0013461C"/>
    <w:rsid w:val="0013472D"/>
    <w:rsid w:val="001347CC"/>
    <w:rsid w:val="0013497F"/>
    <w:rsid w:val="00134A42"/>
    <w:rsid w:val="00134B5A"/>
    <w:rsid w:val="00134B5B"/>
    <w:rsid w:val="00134B7A"/>
    <w:rsid w:val="00134C46"/>
    <w:rsid w:val="00134D3F"/>
    <w:rsid w:val="00134D98"/>
    <w:rsid w:val="00134DDF"/>
    <w:rsid w:val="00134EEE"/>
    <w:rsid w:val="00134F72"/>
    <w:rsid w:val="00134F79"/>
    <w:rsid w:val="00134FAF"/>
    <w:rsid w:val="0013507D"/>
    <w:rsid w:val="0013509C"/>
    <w:rsid w:val="00135185"/>
    <w:rsid w:val="001351F3"/>
    <w:rsid w:val="00135295"/>
    <w:rsid w:val="001352A2"/>
    <w:rsid w:val="001352FA"/>
    <w:rsid w:val="00135349"/>
    <w:rsid w:val="00135369"/>
    <w:rsid w:val="00135394"/>
    <w:rsid w:val="001353BD"/>
    <w:rsid w:val="001353CD"/>
    <w:rsid w:val="0013555C"/>
    <w:rsid w:val="0013558C"/>
    <w:rsid w:val="00135597"/>
    <w:rsid w:val="00135631"/>
    <w:rsid w:val="0013565F"/>
    <w:rsid w:val="00135705"/>
    <w:rsid w:val="001357E4"/>
    <w:rsid w:val="00135856"/>
    <w:rsid w:val="0013586D"/>
    <w:rsid w:val="00135924"/>
    <w:rsid w:val="00135934"/>
    <w:rsid w:val="0013594F"/>
    <w:rsid w:val="00135A70"/>
    <w:rsid w:val="00135BF6"/>
    <w:rsid w:val="00135D4A"/>
    <w:rsid w:val="00135FC2"/>
    <w:rsid w:val="001360A1"/>
    <w:rsid w:val="001360AD"/>
    <w:rsid w:val="001360B9"/>
    <w:rsid w:val="001360FB"/>
    <w:rsid w:val="0013621F"/>
    <w:rsid w:val="001362B4"/>
    <w:rsid w:val="001362CA"/>
    <w:rsid w:val="001362ED"/>
    <w:rsid w:val="00136300"/>
    <w:rsid w:val="00136305"/>
    <w:rsid w:val="0013641B"/>
    <w:rsid w:val="00136446"/>
    <w:rsid w:val="00136516"/>
    <w:rsid w:val="001365E4"/>
    <w:rsid w:val="00136616"/>
    <w:rsid w:val="00136643"/>
    <w:rsid w:val="001366A2"/>
    <w:rsid w:val="00136854"/>
    <w:rsid w:val="00136926"/>
    <w:rsid w:val="00136961"/>
    <w:rsid w:val="00136A5E"/>
    <w:rsid w:val="00136A5F"/>
    <w:rsid w:val="00136A90"/>
    <w:rsid w:val="00136AA4"/>
    <w:rsid w:val="00136CDD"/>
    <w:rsid w:val="00136D1F"/>
    <w:rsid w:val="00136DCF"/>
    <w:rsid w:val="00136E48"/>
    <w:rsid w:val="00136E98"/>
    <w:rsid w:val="00136FB4"/>
    <w:rsid w:val="00136FFB"/>
    <w:rsid w:val="00137001"/>
    <w:rsid w:val="001371A9"/>
    <w:rsid w:val="00137265"/>
    <w:rsid w:val="00137408"/>
    <w:rsid w:val="00137435"/>
    <w:rsid w:val="0013749B"/>
    <w:rsid w:val="001374AC"/>
    <w:rsid w:val="00137596"/>
    <w:rsid w:val="0013765E"/>
    <w:rsid w:val="00137732"/>
    <w:rsid w:val="001377E2"/>
    <w:rsid w:val="001378A0"/>
    <w:rsid w:val="001378B9"/>
    <w:rsid w:val="00137961"/>
    <w:rsid w:val="001379BD"/>
    <w:rsid w:val="00137A48"/>
    <w:rsid w:val="00137B57"/>
    <w:rsid w:val="00137C0D"/>
    <w:rsid w:val="00137C5A"/>
    <w:rsid w:val="00137DE1"/>
    <w:rsid w:val="00137EB4"/>
    <w:rsid w:val="00137F26"/>
    <w:rsid w:val="00137FD0"/>
    <w:rsid w:val="00140031"/>
    <w:rsid w:val="0014005D"/>
    <w:rsid w:val="00140089"/>
    <w:rsid w:val="0014011E"/>
    <w:rsid w:val="001404B0"/>
    <w:rsid w:val="00140501"/>
    <w:rsid w:val="001405C3"/>
    <w:rsid w:val="001405C5"/>
    <w:rsid w:val="001406C3"/>
    <w:rsid w:val="00140926"/>
    <w:rsid w:val="001409C8"/>
    <w:rsid w:val="001409FE"/>
    <w:rsid w:val="00140A5A"/>
    <w:rsid w:val="00140AD6"/>
    <w:rsid w:val="00140C50"/>
    <w:rsid w:val="00140C5E"/>
    <w:rsid w:val="00140EBA"/>
    <w:rsid w:val="00140F57"/>
    <w:rsid w:val="00140F62"/>
    <w:rsid w:val="00140FC4"/>
    <w:rsid w:val="0014105B"/>
    <w:rsid w:val="00141313"/>
    <w:rsid w:val="00141346"/>
    <w:rsid w:val="00141352"/>
    <w:rsid w:val="001414CD"/>
    <w:rsid w:val="00141665"/>
    <w:rsid w:val="0014196C"/>
    <w:rsid w:val="00141B79"/>
    <w:rsid w:val="00141CC2"/>
    <w:rsid w:val="00141CE0"/>
    <w:rsid w:val="00141D0F"/>
    <w:rsid w:val="00141F06"/>
    <w:rsid w:val="00141FE4"/>
    <w:rsid w:val="00142357"/>
    <w:rsid w:val="00142397"/>
    <w:rsid w:val="0014243F"/>
    <w:rsid w:val="00142477"/>
    <w:rsid w:val="0014249C"/>
    <w:rsid w:val="0014249F"/>
    <w:rsid w:val="00142632"/>
    <w:rsid w:val="001426C1"/>
    <w:rsid w:val="0014282F"/>
    <w:rsid w:val="001428C9"/>
    <w:rsid w:val="00142947"/>
    <w:rsid w:val="0014295F"/>
    <w:rsid w:val="00142966"/>
    <w:rsid w:val="0014298C"/>
    <w:rsid w:val="00142B35"/>
    <w:rsid w:val="00142B75"/>
    <w:rsid w:val="00142BCE"/>
    <w:rsid w:val="00142CFE"/>
    <w:rsid w:val="00142E19"/>
    <w:rsid w:val="00142E69"/>
    <w:rsid w:val="00142EF2"/>
    <w:rsid w:val="00142F4E"/>
    <w:rsid w:val="00142FA6"/>
    <w:rsid w:val="00142FED"/>
    <w:rsid w:val="0014304B"/>
    <w:rsid w:val="00143150"/>
    <w:rsid w:val="00143309"/>
    <w:rsid w:val="001433BF"/>
    <w:rsid w:val="00143607"/>
    <w:rsid w:val="00143831"/>
    <w:rsid w:val="001439EA"/>
    <w:rsid w:val="00143ACF"/>
    <w:rsid w:val="00143B74"/>
    <w:rsid w:val="00143B9C"/>
    <w:rsid w:val="00143C02"/>
    <w:rsid w:val="00143C31"/>
    <w:rsid w:val="00143C4B"/>
    <w:rsid w:val="00143C60"/>
    <w:rsid w:val="00143D00"/>
    <w:rsid w:val="00143EC8"/>
    <w:rsid w:val="00143F34"/>
    <w:rsid w:val="00144280"/>
    <w:rsid w:val="001445A4"/>
    <w:rsid w:val="001445C6"/>
    <w:rsid w:val="00144678"/>
    <w:rsid w:val="001446B9"/>
    <w:rsid w:val="001446BD"/>
    <w:rsid w:val="00144793"/>
    <w:rsid w:val="001447BF"/>
    <w:rsid w:val="00144832"/>
    <w:rsid w:val="00144902"/>
    <w:rsid w:val="00144934"/>
    <w:rsid w:val="00144989"/>
    <w:rsid w:val="00144B7E"/>
    <w:rsid w:val="00144CE4"/>
    <w:rsid w:val="00144F1A"/>
    <w:rsid w:val="00144F90"/>
    <w:rsid w:val="0014506B"/>
    <w:rsid w:val="00145177"/>
    <w:rsid w:val="00145253"/>
    <w:rsid w:val="0014529A"/>
    <w:rsid w:val="001453B8"/>
    <w:rsid w:val="001454B3"/>
    <w:rsid w:val="001457A2"/>
    <w:rsid w:val="00145814"/>
    <w:rsid w:val="001458C6"/>
    <w:rsid w:val="0014593D"/>
    <w:rsid w:val="00145A7B"/>
    <w:rsid w:val="00145AD6"/>
    <w:rsid w:val="00145CF4"/>
    <w:rsid w:val="00145D35"/>
    <w:rsid w:val="00145DA4"/>
    <w:rsid w:val="00145DBC"/>
    <w:rsid w:val="00145F47"/>
    <w:rsid w:val="00145FDA"/>
    <w:rsid w:val="001460E7"/>
    <w:rsid w:val="001461AB"/>
    <w:rsid w:val="001462A0"/>
    <w:rsid w:val="001463E5"/>
    <w:rsid w:val="0014641C"/>
    <w:rsid w:val="001464FE"/>
    <w:rsid w:val="00146676"/>
    <w:rsid w:val="001466B7"/>
    <w:rsid w:val="001467EC"/>
    <w:rsid w:val="0014697B"/>
    <w:rsid w:val="00146AE8"/>
    <w:rsid w:val="00146B62"/>
    <w:rsid w:val="00146C2D"/>
    <w:rsid w:val="00146CFF"/>
    <w:rsid w:val="00146D1C"/>
    <w:rsid w:val="00146D25"/>
    <w:rsid w:val="00146D70"/>
    <w:rsid w:val="00146E7F"/>
    <w:rsid w:val="00146EA4"/>
    <w:rsid w:val="00146EBF"/>
    <w:rsid w:val="00146F32"/>
    <w:rsid w:val="00147060"/>
    <w:rsid w:val="00147158"/>
    <w:rsid w:val="00147312"/>
    <w:rsid w:val="00147338"/>
    <w:rsid w:val="0014735C"/>
    <w:rsid w:val="001473D9"/>
    <w:rsid w:val="001476EA"/>
    <w:rsid w:val="00147744"/>
    <w:rsid w:val="00147751"/>
    <w:rsid w:val="0014776A"/>
    <w:rsid w:val="001477F7"/>
    <w:rsid w:val="001479D1"/>
    <w:rsid w:val="001479EF"/>
    <w:rsid w:val="00147AE5"/>
    <w:rsid w:val="00147C8A"/>
    <w:rsid w:val="00147CA6"/>
    <w:rsid w:val="00147D30"/>
    <w:rsid w:val="0015000A"/>
    <w:rsid w:val="001500D4"/>
    <w:rsid w:val="00150120"/>
    <w:rsid w:val="0015019C"/>
    <w:rsid w:val="0015022D"/>
    <w:rsid w:val="001502F7"/>
    <w:rsid w:val="00150417"/>
    <w:rsid w:val="00150502"/>
    <w:rsid w:val="0015050C"/>
    <w:rsid w:val="001505BC"/>
    <w:rsid w:val="00150671"/>
    <w:rsid w:val="00150882"/>
    <w:rsid w:val="00150909"/>
    <w:rsid w:val="001509E7"/>
    <w:rsid w:val="00150A05"/>
    <w:rsid w:val="00150B21"/>
    <w:rsid w:val="00150B66"/>
    <w:rsid w:val="00150C8C"/>
    <w:rsid w:val="00150DA8"/>
    <w:rsid w:val="00151043"/>
    <w:rsid w:val="001510E4"/>
    <w:rsid w:val="001511D4"/>
    <w:rsid w:val="001511FD"/>
    <w:rsid w:val="00151280"/>
    <w:rsid w:val="00151370"/>
    <w:rsid w:val="001514DB"/>
    <w:rsid w:val="001514E0"/>
    <w:rsid w:val="00151552"/>
    <w:rsid w:val="001515A1"/>
    <w:rsid w:val="001516F7"/>
    <w:rsid w:val="0015173D"/>
    <w:rsid w:val="00151774"/>
    <w:rsid w:val="00151845"/>
    <w:rsid w:val="001518AC"/>
    <w:rsid w:val="0015192D"/>
    <w:rsid w:val="001519F5"/>
    <w:rsid w:val="001519FF"/>
    <w:rsid w:val="00151A85"/>
    <w:rsid w:val="00151BDE"/>
    <w:rsid w:val="00151C1C"/>
    <w:rsid w:val="00151C28"/>
    <w:rsid w:val="00151C7C"/>
    <w:rsid w:val="00151C86"/>
    <w:rsid w:val="00151DF1"/>
    <w:rsid w:val="00151EF8"/>
    <w:rsid w:val="00151F80"/>
    <w:rsid w:val="00151FD6"/>
    <w:rsid w:val="0015204C"/>
    <w:rsid w:val="001520B9"/>
    <w:rsid w:val="001520E8"/>
    <w:rsid w:val="00152159"/>
    <w:rsid w:val="00152198"/>
    <w:rsid w:val="001522A9"/>
    <w:rsid w:val="001523C7"/>
    <w:rsid w:val="00152439"/>
    <w:rsid w:val="001526A8"/>
    <w:rsid w:val="00152792"/>
    <w:rsid w:val="0015282D"/>
    <w:rsid w:val="001528B7"/>
    <w:rsid w:val="001528EE"/>
    <w:rsid w:val="00152936"/>
    <w:rsid w:val="00152941"/>
    <w:rsid w:val="00152976"/>
    <w:rsid w:val="00152A1E"/>
    <w:rsid w:val="00152D5E"/>
    <w:rsid w:val="00152DCB"/>
    <w:rsid w:val="00152E21"/>
    <w:rsid w:val="00152E22"/>
    <w:rsid w:val="00152E42"/>
    <w:rsid w:val="00152F2F"/>
    <w:rsid w:val="00152FE9"/>
    <w:rsid w:val="00153077"/>
    <w:rsid w:val="00153165"/>
    <w:rsid w:val="001531C6"/>
    <w:rsid w:val="001531F3"/>
    <w:rsid w:val="0015322F"/>
    <w:rsid w:val="001533C9"/>
    <w:rsid w:val="001533FC"/>
    <w:rsid w:val="001535A2"/>
    <w:rsid w:val="0015365F"/>
    <w:rsid w:val="0015369A"/>
    <w:rsid w:val="001536D5"/>
    <w:rsid w:val="00153777"/>
    <w:rsid w:val="00153895"/>
    <w:rsid w:val="001538B7"/>
    <w:rsid w:val="001538FF"/>
    <w:rsid w:val="0015396F"/>
    <w:rsid w:val="0015399E"/>
    <w:rsid w:val="00153A2A"/>
    <w:rsid w:val="00153AD8"/>
    <w:rsid w:val="00153D1B"/>
    <w:rsid w:val="00153DF3"/>
    <w:rsid w:val="00153E51"/>
    <w:rsid w:val="00153E66"/>
    <w:rsid w:val="00153F20"/>
    <w:rsid w:val="00153F33"/>
    <w:rsid w:val="00154068"/>
    <w:rsid w:val="0015412B"/>
    <w:rsid w:val="001541BB"/>
    <w:rsid w:val="001542A6"/>
    <w:rsid w:val="001542B3"/>
    <w:rsid w:val="0015432C"/>
    <w:rsid w:val="001543D1"/>
    <w:rsid w:val="00154480"/>
    <w:rsid w:val="00154515"/>
    <w:rsid w:val="0015456C"/>
    <w:rsid w:val="001546EC"/>
    <w:rsid w:val="0015478D"/>
    <w:rsid w:val="00154815"/>
    <w:rsid w:val="0015483D"/>
    <w:rsid w:val="0015491E"/>
    <w:rsid w:val="001549CD"/>
    <w:rsid w:val="00154AFB"/>
    <w:rsid w:val="00154AFE"/>
    <w:rsid w:val="00154B07"/>
    <w:rsid w:val="00154BA0"/>
    <w:rsid w:val="00154D3A"/>
    <w:rsid w:val="00154E65"/>
    <w:rsid w:val="00154F36"/>
    <w:rsid w:val="00154F8C"/>
    <w:rsid w:val="00155008"/>
    <w:rsid w:val="001551E1"/>
    <w:rsid w:val="00155337"/>
    <w:rsid w:val="001553CA"/>
    <w:rsid w:val="0015541E"/>
    <w:rsid w:val="0015543B"/>
    <w:rsid w:val="001554CF"/>
    <w:rsid w:val="001555DE"/>
    <w:rsid w:val="00155869"/>
    <w:rsid w:val="0015589C"/>
    <w:rsid w:val="001558B9"/>
    <w:rsid w:val="001558D2"/>
    <w:rsid w:val="00155A44"/>
    <w:rsid w:val="00155B7C"/>
    <w:rsid w:val="00155C0A"/>
    <w:rsid w:val="00155D38"/>
    <w:rsid w:val="00155DF7"/>
    <w:rsid w:val="00155E94"/>
    <w:rsid w:val="00155F37"/>
    <w:rsid w:val="00155F5F"/>
    <w:rsid w:val="00156095"/>
    <w:rsid w:val="0015616E"/>
    <w:rsid w:val="001561CB"/>
    <w:rsid w:val="001565FD"/>
    <w:rsid w:val="00156614"/>
    <w:rsid w:val="001566AD"/>
    <w:rsid w:val="0015671C"/>
    <w:rsid w:val="0015673C"/>
    <w:rsid w:val="00156907"/>
    <w:rsid w:val="00156927"/>
    <w:rsid w:val="0015696E"/>
    <w:rsid w:val="00156B5E"/>
    <w:rsid w:val="00156C9D"/>
    <w:rsid w:val="00156CC1"/>
    <w:rsid w:val="00156D64"/>
    <w:rsid w:val="00156E7A"/>
    <w:rsid w:val="00156F12"/>
    <w:rsid w:val="00156F59"/>
    <w:rsid w:val="00156FC3"/>
    <w:rsid w:val="00156FD2"/>
    <w:rsid w:val="00157053"/>
    <w:rsid w:val="001570C5"/>
    <w:rsid w:val="001570C6"/>
    <w:rsid w:val="00157114"/>
    <w:rsid w:val="00157157"/>
    <w:rsid w:val="001571A0"/>
    <w:rsid w:val="001572A2"/>
    <w:rsid w:val="001572E1"/>
    <w:rsid w:val="00157369"/>
    <w:rsid w:val="00157383"/>
    <w:rsid w:val="001573B1"/>
    <w:rsid w:val="0015742E"/>
    <w:rsid w:val="0015744A"/>
    <w:rsid w:val="001574A7"/>
    <w:rsid w:val="00157594"/>
    <w:rsid w:val="0015771A"/>
    <w:rsid w:val="001577A7"/>
    <w:rsid w:val="0015787A"/>
    <w:rsid w:val="001578B6"/>
    <w:rsid w:val="00157949"/>
    <w:rsid w:val="00157B3E"/>
    <w:rsid w:val="00157BDE"/>
    <w:rsid w:val="00157C4E"/>
    <w:rsid w:val="00157EB6"/>
    <w:rsid w:val="00157FEE"/>
    <w:rsid w:val="00160129"/>
    <w:rsid w:val="00160140"/>
    <w:rsid w:val="00160231"/>
    <w:rsid w:val="00160236"/>
    <w:rsid w:val="0016033E"/>
    <w:rsid w:val="00160433"/>
    <w:rsid w:val="0016062A"/>
    <w:rsid w:val="0016063B"/>
    <w:rsid w:val="00160669"/>
    <w:rsid w:val="0016066B"/>
    <w:rsid w:val="00160683"/>
    <w:rsid w:val="0016073B"/>
    <w:rsid w:val="001607B5"/>
    <w:rsid w:val="001607C1"/>
    <w:rsid w:val="0016083F"/>
    <w:rsid w:val="00160873"/>
    <w:rsid w:val="00160911"/>
    <w:rsid w:val="00160960"/>
    <w:rsid w:val="0016096E"/>
    <w:rsid w:val="00160A72"/>
    <w:rsid w:val="00160B45"/>
    <w:rsid w:val="00160BF9"/>
    <w:rsid w:val="00160D88"/>
    <w:rsid w:val="00160E4B"/>
    <w:rsid w:val="00160ECE"/>
    <w:rsid w:val="00160F4A"/>
    <w:rsid w:val="00160F86"/>
    <w:rsid w:val="0016100F"/>
    <w:rsid w:val="00161048"/>
    <w:rsid w:val="0016130E"/>
    <w:rsid w:val="001613A6"/>
    <w:rsid w:val="0016146A"/>
    <w:rsid w:val="001614F0"/>
    <w:rsid w:val="00161553"/>
    <w:rsid w:val="00161559"/>
    <w:rsid w:val="0016157D"/>
    <w:rsid w:val="00161644"/>
    <w:rsid w:val="001616C5"/>
    <w:rsid w:val="001617AA"/>
    <w:rsid w:val="001617FB"/>
    <w:rsid w:val="0016180F"/>
    <w:rsid w:val="0016181E"/>
    <w:rsid w:val="00161919"/>
    <w:rsid w:val="0016192E"/>
    <w:rsid w:val="0016199F"/>
    <w:rsid w:val="00161B12"/>
    <w:rsid w:val="00161B24"/>
    <w:rsid w:val="00161B37"/>
    <w:rsid w:val="00161BA5"/>
    <w:rsid w:val="00161BD5"/>
    <w:rsid w:val="00161E43"/>
    <w:rsid w:val="00161E4B"/>
    <w:rsid w:val="00161E4F"/>
    <w:rsid w:val="00161E94"/>
    <w:rsid w:val="00161ECB"/>
    <w:rsid w:val="00161FCE"/>
    <w:rsid w:val="0016202F"/>
    <w:rsid w:val="001620B5"/>
    <w:rsid w:val="0016215E"/>
    <w:rsid w:val="0016218D"/>
    <w:rsid w:val="001622F6"/>
    <w:rsid w:val="00162332"/>
    <w:rsid w:val="0016238A"/>
    <w:rsid w:val="00162456"/>
    <w:rsid w:val="001624ED"/>
    <w:rsid w:val="001625B7"/>
    <w:rsid w:val="001625C4"/>
    <w:rsid w:val="001625E8"/>
    <w:rsid w:val="0016265C"/>
    <w:rsid w:val="001626A3"/>
    <w:rsid w:val="00162840"/>
    <w:rsid w:val="00162878"/>
    <w:rsid w:val="00162A2E"/>
    <w:rsid w:val="00162A8A"/>
    <w:rsid w:val="00162B2D"/>
    <w:rsid w:val="00162BD6"/>
    <w:rsid w:val="00162E23"/>
    <w:rsid w:val="00162E70"/>
    <w:rsid w:val="00162E91"/>
    <w:rsid w:val="00162F16"/>
    <w:rsid w:val="00162FF7"/>
    <w:rsid w:val="00163023"/>
    <w:rsid w:val="00163104"/>
    <w:rsid w:val="0016310E"/>
    <w:rsid w:val="00163149"/>
    <w:rsid w:val="00163176"/>
    <w:rsid w:val="00163466"/>
    <w:rsid w:val="001634CA"/>
    <w:rsid w:val="0016355A"/>
    <w:rsid w:val="00163578"/>
    <w:rsid w:val="0016357B"/>
    <w:rsid w:val="0016369D"/>
    <w:rsid w:val="001637DF"/>
    <w:rsid w:val="00163828"/>
    <w:rsid w:val="001638D5"/>
    <w:rsid w:val="00163978"/>
    <w:rsid w:val="001639C2"/>
    <w:rsid w:val="00163A46"/>
    <w:rsid w:val="00163A55"/>
    <w:rsid w:val="00163B6E"/>
    <w:rsid w:val="00163B90"/>
    <w:rsid w:val="00163BB4"/>
    <w:rsid w:val="00163C82"/>
    <w:rsid w:val="00163D21"/>
    <w:rsid w:val="00163D9F"/>
    <w:rsid w:val="00163E45"/>
    <w:rsid w:val="001642BF"/>
    <w:rsid w:val="00164324"/>
    <w:rsid w:val="00164336"/>
    <w:rsid w:val="00164649"/>
    <w:rsid w:val="00164651"/>
    <w:rsid w:val="00164690"/>
    <w:rsid w:val="00164795"/>
    <w:rsid w:val="001648A9"/>
    <w:rsid w:val="00164A60"/>
    <w:rsid w:val="00164B71"/>
    <w:rsid w:val="00164CC6"/>
    <w:rsid w:val="0016503D"/>
    <w:rsid w:val="001650B7"/>
    <w:rsid w:val="0016514D"/>
    <w:rsid w:val="00165222"/>
    <w:rsid w:val="00165280"/>
    <w:rsid w:val="001654AA"/>
    <w:rsid w:val="001655E9"/>
    <w:rsid w:val="00165623"/>
    <w:rsid w:val="001657B3"/>
    <w:rsid w:val="001658B6"/>
    <w:rsid w:val="00165962"/>
    <w:rsid w:val="00165B6B"/>
    <w:rsid w:val="00165B88"/>
    <w:rsid w:val="00165BA3"/>
    <w:rsid w:val="00165BC6"/>
    <w:rsid w:val="00165C2B"/>
    <w:rsid w:val="00165CE9"/>
    <w:rsid w:val="00165DFA"/>
    <w:rsid w:val="00165F7F"/>
    <w:rsid w:val="0016601A"/>
    <w:rsid w:val="001662C7"/>
    <w:rsid w:val="00166364"/>
    <w:rsid w:val="001664EF"/>
    <w:rsid w:val="0016650A"/>
    <w:rsid w:val="00166526"/>
    <w:rsid w:val="00166577"/>
    <w:rsid w:val="00166627"/>
    <w:rsid w:val="0016667B"/>
    <w:rsid w:val="001666DD"/>
    <w:rsid w:val="00166741"/>
    <w:rsid w:val="0016675F"/>
    <w:rsid w:val="0016679F"/>
    <w:rsid w:val="00166821"/>
    <w:rsid w:val="00166883"/>
    <w:rsid w:val="00166920"/>
    <w:rsid w:val="00166AA3"/>
    <w:rsid w:val="00166B0F"/>
    <w:rsid w:val="00166B44"/>
    <w:rsid w:val="00166BF0"/>
    <w:rsid w:val="00166D77"/>
    <w:rsid w:val="00166F7C"/>
    <w:rsid w:val="00166F89"/>
    <w:rsid w:val="00167013"/>
    <w:rsid w:val="0016707E"/>
    <w:rsid w:val="001670C3"/>
    <w:rsid w:val="001670C6"/>
    <w:rsid w:val="001672C8"/>
    <w:rsid w:val="00167325"/>
    <w:rsid w:val="00167355"/>
    <w:rsid w:val="0016740A"/>
    <w:rsid w:val="00167433"/>
    <w:rsid w:val="001674A7"/>
    <w:rsid w:val="001674F4"/>
    <w:rsid w:val="0016755E"/>
    <w:rsid w:val="00167632"/>
    <w:rsid w:val="0016768A"/>
    <w:rsid w:val="001677A6"/>
    <w:rsid w:val="001677B9"/>
    <w:rsid w:val="0016787F"/>
    <w:rsid w:val="001678ED"/>
    <w:rsid w:val="00167927"/>
    <w:rsid w:val="0016795C"/>
    <w:rsid w:val="00167965"/>
    <w:rsid w:val="00167A6D"/>
    <w:rsid w:val="00167A8F"/>
    <w:rsid w:val="00167B04"/>
    <w:rsid w:val="00167B4B"/>
    <w:rsid w:val="00167BC7"/>
    <w:rsid w:val="00167CC4"/>
    <w:rsid w:val="00167F87"/>
    <w:rsid w:val="00167FC6"/>
    <w:rsid w:val="00167FC8"/>
    <w:rsid w:val="00167FD3"/>
    <w:rsid w:val="00167FF2"/>
    <w:rsid w:val="00170007"/>
    <w:rsid w:val="0017008C"/>
    <w:rsid w:val="001700BE"/>
    <w:rsid w:val="00170296"/>
    <w:rsid w:val="001702D4"/>
    <w:rsid w:val="001702E8"/>
    <w:rsid w:val="0017037F"/>
    <w:rsid w:val="00170559"/>
    <w:rsid w:val="00170577"/>
    <w:rsid w:val="0017058B"/>
    <w:rsid w:val="001705A6"/>
    <w:rsid w:val="001706A6"/>
    <w:rsid w:val="00170943"/>
    <w:rsid w:val="001709F8"/>
    <w:rsid w:val="00170A7F"/>
    <w:rsid w:val="00170BAA"/>
    <w:rsid w:val="00170EF5"/>
    <w:rsid w:val="00170F16"/>
    <w:rsid w:val="00170F5F"/>
    <w:rsid w:val="00171045"/>
    <w:rsid w:val="001710C7"/>
    <w:rsid w:val="001710F0"/>
    <w:rsid w:val="00171107"/>
    <w:rsid w:val="00171161"/>
    <w:rsid w:val="00171227"/>
    <w:rsid w:val="0017124A"/>
    <w:rsid w:val="0017138F"/>
    <w:rsid w:val="001713FA"/>
    <w:rsid w:val="001713FD"/>
    <w:rsid w:val="00171462"/>
    <w:rsid w:val="0017146E"/>
    <w:rsid w:val="00171516"/>
    <w:rsid w:val="001715EF"/>
    <w:rsid w:val="0017180A"/>
    <w:rsid w:val="0017188A"/>
    <w:rsid w:val="00171891"/>
    <w:rsid w:val="0017191D"/>
    <w:rsid w:val="00171987"/>
    <w:rsid w:val="00171B1B"/>
    <w:rsid w:val="00171C0A"/>
    <w:rsid w:val="00171C13"/>
    <w:rsid w:val="00171C4E"/>
    <w:rsid w:val="00171C61"/>
    <w:rsid w:val="00171C8F"/>
    <w:rsid w:val="00171CF3"/>
    <w:rsid w:val="00171D84"/>
    <w:rsid w:val="00171DBA"/>
    <w:rsid w:val="00171E9A"/>
    <w:rsid w:val="00171F55"/>
    <w:rsid w:val="00171F7D"/>
    <w:rsid w:val="00171FA7"/>
    <w:rsid w:val="001720F1"/>
    <w:rsid w:val="00172184"/>
    <w:rsid w:val="0017228A"/>
    <w:rsid w:val="00172453"/>
    <w:rsid w:val="00172495"/>
    <w:rsid w:val="00172546"/>
    <w:rsid w:val="00172674"/>
    <w:rsid w:val="001727F4"/>
    <w:rsid w:val="001729FA"/>
    <w:rsid w:val="00172AB0"/>
    <w:rsid w:val="00172AB9"/>
    <w:rsid w:val="00172BD0"/>
    <w:rsid w:val="00172CD7"/>
    <w:rsid w:val="00172D02"/>
    <w:rsid w:val="00172DE1"/>
    <w:rsid w:val="00172E5E"/>
    <w:rsid w:val="00172EF0"/>
    <w:rsid w:val="00173042"/>
    <w:rsid w:val="0017308D"/>
    <w:rsid w:val="0017318E"/>
    <w:rsid w:val="0017320A"/>
    <w:rsid w:val="00173214"/>
    <w:rsid w:val="001733F9"/>
    <w:rsid w:val="0017346A"/>
    <w:rsid w:val="001736D4"/>
    <w:rsid w:val="00173723"/>
    <w:rsid w:val="001737E7"/>
    <w:rsid w:val="0017381C"/>
    <w:rsid w:val="0017389B"/>
    <w:rsid w:val="00173A09"/>
    <w:rsid w:val="00173A84"/>
    <w:rsid w:val="00173AF5"/>
    <w:rsid w:val="00173B03"/>
    <w:rsid w:val="00173B04"/>
    <w:rsid w:val="00173BEA"/>
    <w:rsid w:val="00173CE9"/>
    <w:rsid w:val="00173DFB"/>
    <w:rsid w:val="00173DFC"/>
    <w:rsid w:val="00173F28"/>
    <w:rsid w:val="00173F6E"/>
    <w:rsid w:val="00173FAF"/>
    <w:rsid w:val="001741E3"/>
    <w:rsid w:val="001741F1"/>
    <w:rsid w:val="001741F5"/>
    <w:rsid w:val="001741F7"/>
    <w:rsid w:val="0017425E"/>
    <w:rsid w:val="00174310"/>
    <w:rsid w:val="0017463F"/>
    <w:rsid w:val="00174655"/>
    <w:rsid w:val="0017469B"/>
    <w:rsid w:val="001746B2"/>
    <w:rsid w:val="0017472D"/>
    <w:rsid w:val="0017473A"/>
    <w:rsid w:val="0017478E"/>
    <w:rsid w:val="0017479A"/>
    <w:rsid w:val="001747CB"/>
    <w:rsid w:val="00174889"/>
    <w:rsid w:val="001749AB"/>
    <w:rsid w:val="00174A6D"/>
    <w:rsid w:val="00174AAA"/>
    <w:rsid w:val="00174B80"/>
    <w:rsid w:val="00174C86"/>
    <w:rsid w:val="00174CF8"/>
    <w:rsid w:val="00174DDC"/>
    <w:rsid w:val="00174F3E"/>
    <w:rsid w:val="001750FD"/>
    <w:rsid w:val="00175177"/>
    <w:rsid w:val="00175181"/>
    <w:rsid w:val="0017520A"/>
    <w:rsid w:val="0017529C"/>
    <w:rsid w:val="001753D0"/>
    <w:rsid w:val="001753E0"/>
    <w:rsid w:val="00175429"/>
    <w:rsid w:val="00175606"/>
    <w:rsid w:val="00175687"/>
    <w:rsid w:val="001758DA"/>
    <w:rsid w:val="00175A55"/>
    <w:rsid w:val="00175BEB"/>
    <w:rsid w:val="00175C92"/>
    <w:rsid w:val="00175DBE"/>
    <w:rsid w:val="00175F37"/>
    <w:rsid w:val="001760CB"/>
    <w:rsid w:val="00176192"/>
    <w:rsid w:val="001761EB"/>
    <w:rsid w:val="001762BE"/>
    <w:rsid w:val="00176302"/>
    <w:rsid w:val="001763BE"/>
    <w:rsid w:val="0017657F"/>
    <w:rsid w:val="001765CB"/>
    <w:rsid w:val="00176600"/>
    <w:rsid w:val="00176607"/>
    <w:rsid w:val="00176863"/>
    <w:rsid w:val="001768E1"/>
    <w:rsid w:val="00176936"/>
    <w:rsid w:val="00176B28"/>
    <w:rsid w:val="00176B38"/>
    <w:rsid w:val="00176B6D"/>
    <w:rsid w:val="00176BA5"/>
    <w:rsid w:val="00176C34"/>
    <w:rsid w:val="00176C7B"/>
    <w:rsid w:val="00176D12"/>
    <w:rsid w:val="00176E1F"/>
    <w:rsid w:val="00176EF0"/>
    <w:rsid w:val="00176FF6"/>
    <w:rsid w:val="00177045"/>
    <w:rsid w:val="0017708A"/>
    <w:rsid w:val="00177098"/>
    <w:rsid w:val="00177112"/>
    <w:rsid w:val="001772A8"/>
    <w:rsid w:val="0017739D"/>
    <w:rsid w:val="001774A4"/>
    <w:rsid w:val="0017750C"/>
    <w:rsid w:val="00177558"/>
    <w:rsid w:val="00177603"/>
    <w:rsid w:val="00177608"/>
    <w:rsid w:val="00177619"/>
    <w:rsid w:val="00177839"/>
    <w:rsid w:val="00177999"/>
    <w:rsid w:val="001779E8"/>
    <w:rsid w:val="00177A8C"/>
    <w:rsid w:val="00177AD7"/>
    <w:rsid w:val="00177AE1"/>
    <w:rsid w:val="00177C3F"/>
    <w:rsid w:val="00177DC4"/>
    <w:rsid w:val="00177DF7"/>
    <w:rsid w:val="00177DFD"/>
    <w:rsid w:val="00177E4B"/>
    <w:rsid w:val="00177F35"/>
    <w:rsid w:val="00177F5E"/>
    <w:rsid w:val="00180043"/>
    <w:rsid w:val="00180144"/>
    <w:rsid w:val="0018016E"/>
    <w:rsid w:val="001801F8"/>
    <w:rsid w:val="00180261"/>
    <w:rsid w:val="001803AA"/>
    <w:rsid w:val="0018056A"/>
    <w:rsid w:val="0018058E"/>
    <w:rsid w:val="001805FD"/>
    <w:rsid w:val="0018073B"/>
    <w:rsid w:val="0018078A"/>
    <w:rsid w:val="001807D9"/>
    <w:rsid w:val="0018082F"/>
    <w:rsid w:val="001808E0"/>
    <w:rsid w:val="0018091F"/>
    <w:rsid w:val="00180B41"/>
    <w:rsid w:val="00180BA7"/>
    <w:rsid w:val="00180BE6"/>
    <w:rsid w:val="00180BE9"/>
    <w:rsid w:val="00180C2C"/>
    <w:rsid w:val="00180C85"/>
    <w:rsid w:val="00180CE0"/>
    <w:rsid w:val="00180D1A"/>
    <w:rsid w:val="00180D87"/>
    <w:rsid w:val="00180E91"/>
    <w:rsid w:val="00180ED6"/>
    <w:rsid w:val="00180F75"/>
    <w:rsid w:val="001810C5"/>
    <w:rsid w:val="00181210"/>
    <w:rsid w:val="00181271"/>
    <w:rsid w:val="001812B8"/>
    <w:rsid w:val="00181314"/>
    <w:rsid w:val="00181389"/>
    <w:rsid w:val="001815C5"/>
    <w:rsid w:val="00181712"/>
    <w:rsid w:val="00181775"/>
    <w:rsid w:val="001818EA"/>
    <w:rsid w:val="00181914"/>
    <w:rsid w:val="00181D1B"/>
    <w:rsid w:val="00181D22"/>
    <w:rsid w:val="00181D27"/>
    <w:rsid w:val="00181D43"/>
    <w:rsid w:val="00181D7F"/>
    <w:rsid w:val="00181E41"/>
    <w:rsid w:val="00181E60"/>
    <w:rsid w:val="00181F9B"/>
    <w:rsid w:val="001820D7"/>
    <w:rsid w:val="0018211C"/>
    <w:rsid w:val="00182204"/>
    <w:rsid w:val="00182368"/>
    <w:rsid w:val="001823E4"/>
    <w:rsid w:val="00182420"/>
    <w:rsid w:val="001825FA"/>
    <w:rsid w:val="00182647"/>
    <w:rsid w:val="0018277A"/>
    <w:rsid w:val="00182785"/>
    <w:rsid w:val="00182870"/>
    <w:rsid w:val="00182932"/>
    <w:rsid w:val="001829F2"/>
    <w:rsid w:val="00182A13"/>
    <w:rsid w:val="00182AB2"/>
    <w:rsid w:val="00182ACD"/>
    <w:rsid w:val="00182BA7"/>
    <w:rsid w:val="00182BB0"/>
    <w:rsid w:val="00182D66"/>
    <w:rsid w:val="00182E67"/>
    <w:rsid w:val="0018304E"/>
    <w:rsid w:val="0018320C"/>
    <w:rsid w:val="0018321B"/>
    <w:rsid w:val="00183223"/>
    <w:rsid w:val="001833E2"/>
    <w:rsid w:val="00183429"/>
    <w:rsid w:val="00183567"/>
    <w:rsid w:val="0018356C"/>
    <w:rsid w:val="00183674"/>
    <w:rsid w:val="00183681"/>
    <w:rsid w:val="00183708"/>
    <w:rsid w:val="001837D3"/>
    <w:rsid w:val="00183800"/>
    <w:rsid w:val="00183961"/>
    <w:rsid w:val="00183989"/>
    <w:rsid w:val="00183A22"/>
    <w:rsid w:val="00183A7B"/>
    <w:rsid w:val="00183D2A"/>
    <w:rsid w:val="00183F38"/>
    <w:rsid w:val="00183F53"/>
    <w:rsid w:val="00183FE9"/>
    <w:rsid w:val="00184014"/>
    <w:rsid w:val="00184097"/>
    <w:rsid w:val="001840D3"/>
    <w:rsid w:val="00184100"/>
    <w:rsid w:val="0018414F"/>
    <w:rsid w:val="00184316"/>
    <w:rsid w:val="0018437C"/>
    <w:rsid w:val="001843B0"/>
    <w:rsid w:val="0018446C"/>
    <w:rsid w:val="00184525"/>
    <w:rsid w:val="0018452A"/>
    <w:rsid w:val="001846E2"/>
    <w:rsid w:val="001846EF"/>
    <w:rsid w:val="00184766"/>
    <w:rsid w:val="001849AB"/>
    <w:rsid w:val="00184A32"/>
    <w:rsid w:val="00184A91"/>
    <w:rsid w:val="00184AB4"/>
    <w:rsid w:val="00184B11"/>
    <w:rsid w:val="00184C95"/>
    <w:rsid w:val="00184F19"/>
    <w:rsid w:val="00184F97"/>
    <w:rsid w:val="001850A2"/>
    <w:rsid w:val="001850DB"/>
    <w:rsid w:val="001850ED"/>
    <w:rsid w:val="00185250"/>
    <w:rsid w:val="0018566C"/>
    <w:rsid w:val="00185773"/>
    <w:rsid w:val="00185837"/>
    <w:rsid w:val="00185902"/>
    <w:rsid w:val="0018591C"/>
    <w:rsid w:val="0018594A"/>
    <w:rsid w:val="00185B18"/>
    <w:rsid w:val="00185BF1"/>
    <w:rsid w:val="00185C93"/>
    <w:rsid w:val="00185CEF"/>
    <w:rsid w:val="00185E2B"/>
    <w:rsid w:val="00185E7E"/>
    <w:rsid w:val="00185E84"/>
    <w:rsid w:val="00185E92"/>
    <w:rsid w:val="00185F7D"/>
    <w:rsid w:val="001861D6"/>
    <w:rsid w:val="0018623E"/>
    <w:rsid w:val="00186275"/>
    <w:rsid w:val="00186289"/>
    <w:rsid w:val="0018647D"/>
    <w:rsid w:val="00186585"/>
    <w:rsid w:val="00186649"/>
    <w:rsid w:val="001866B3"/>
    <w:rsid w:val="00186826"/>
    <w:rsid w:val="00186945"/>
    <w:rsid w:val="0018696A"/>
    <w:rsid w:val="00186A43"/>
    <w:rsid w:val="00186AD4"/>
    <w:rsid w:val="00186B00"/>
    <w:rsid w:val="00186B70"/>
    <w:rsid w:val="00186CD0"/>
    <w:rsid w:val="00186CEE"/>
    <w:rsid w:val="00186D31"/>
    <w:rsid w:val="00186DA3"/>
    <w:rsid w:val="00186DD4"/>
    <w:rsid w:val="00186DEF"/>
    <w:rsid w:val="00186DF4"/>
    <w:rsid w:val="00186E20"/>
    <w:rsid w:val="00186E83"/>
    <w:rsid w:val="00186F04"/>
    <w:rsid w:val="0018707E"/>
    <w:rsid w:val="00187171"/>
    <w:rsid w:val="001872F5"/>
    <w:rsid w:val="00187354"/>
    <w:rsid w:val="00187589"/>
    <w:rsid w:val="001875F1"/>
    <w:rsid w:val="00187657"/>
    <w:rsid w:val="00187686"/>
    <w:rsid w:val="0018776B"/>
    <w:rsid w:val="001877FD"/>
    <w:rsid w:val="00187838"/>
    <w:rsid w:val="00187A20"/>
    <w:rsid w:val="00187A6D"/>
    <w:rsid w:val="00187AB9"/>
    <w:rsid w:val="00187BFF"/>
    <w:rsid w:val="00187C2D"/>
    <w:rsid w:val="00187C3D"/>
    <w:rsid w:val="00187C52"/>
    <w:rsid w:val="00187C68"/>
    <w:rsid w:val="00187D22"/>
    <w:rsid w:val="001900F5"/>
    <w:rsid w:val="00190229"/>
    <w:rsid w:val="001902C1"/>
    <w:rsid w:val="00190397"/>
    <w:rsid w:val="001903E6"/>
    <w:rsid w:val="00190428"/>
    <w:rsid w:val="00190688"/>
    <w:rsid w:val="00190838"/>
    <w:rsid w:val="001908FD"/>
    <w:rsid w:val="00190955"/>
    <w:rsid w:val="001909A3"/>
    <w:rsid w:val="00190AA7"/>
    <w:rsid w:val="00190BF8"/>
    <w:rsid w:val="00190C37"/>
    <w:rsid w:val="00190E49"/>
    <w:rsid w:val="00190E80"/>
    <w:rsid w:val="00190E9D"/>
    <w:rsid w:val="0019111F"/>
    <w:rsid w:val="00191144"/>
    <w:rsid w:val="0019139B"/>
    <w:rsid w:val="001913E6"/>
    <w:rsid w:val="00191504"/>
    <w:rsid w:val="00191608"/>
    <w:rsid w:val="001916E1"/>
    <w:rsid w:val="0019173F"/>
    <w:rsid w:val="00191741"/>
    <w:rsid w:val="00191841"/>
    <w:rsid w:val="001918FC"/>
    <w:rsid w:val="0019193F"/>
    <w:rsid w:val="0019196D"/>
    <w:rsid w:val="00191989"/>
    <w:rsid w:val="00191AA8"/>
    <w:rsid w:val="00191B09"/>
    <w:rsid w:val="00191B3A"/>
    <w:rsid w:val="00191C9E"/>
    <w:rsid w:val="00191D60"/>
    <w:rsid w:val="00191D89"/>
    <w:rsid w:val="00191D9E"/>
    <w:rsid w:val="00191DB9"/>
    <w:rsid w:val="00191E59"/>
    <w:rsid w:val="00191EBB"/>
    <w:rsid w:val="00192087"/>
    <w:rsid w:val="001920DE"/>
    <w:rsid w:val="00192172"/>
    <w:rsid w:val="001922F6"/>
    <w:rsid w:val="00192339"/>
    <w:rsid w:val="0019236D"/>
    <w:rsid w:val="001923FA"/>
    <w:rsid w:val="00192559"/>
    <w:rsid w:val="00192827"/>
    <w:rsid w:val="00192851"/>
    <w:rsid w:val="001928C2"/>
    <w:rsid w:val="001928CD"/>
    <w:rsid w:val="00192949"/>
    <w:rsid w:val="001929EA"/>
    <w:rsid w:val="00192AA5"/>
    <w:rsid w:val="00192EC7"/>
    <w:rsid w:val="00192ED2"/>
    <w:rsid w:val="00192EDB"/>
    <w:rsid w:val="00192F22"/>
    <w:rsid w:val="00192F33"/>
    <w:rsid w:val="00192FAB"/>
    <w:rsid w:val="00193086"/>
    <w:rsid w:val="00193137"/>
    <w:rsid w:val="001931C1"/>
    <w:rsid w:val="001931F8"/>
    <w:rsid w:val="00193325"/>
    <w:rsid w:val="001935D1"/>
    <w:rsid w:val="00193983"/>
    <w:rsid w:val="001939A4"/>
    <w:rsid w:val="00193A33"/>
    <w:rsid w:val="00193B4C"/>
    <w:rsid w:val="00193DEB"/>
    <w:rsid w:val="00193E7C"/>
    <w:rsid w:val="00193EAF"/>
    <w:rsid w:val="00193F02"/>
    <w:rsid w:val="00193FA7"/>
    <w:rsid w:val="00193FF1"/>
    <w:rsid w:val="0019402B"/>
    <w:rsid w:val="00194188"/>
    <w:rsid w:val="001941FF"/>
    <w:rsid w:val="00194210"/>
    <w:rsid w:val="0019423A"/>
    <w:rsid w:val="00194326"/>
    <w:rsid w:val="001946FC"/>
    <w:rsid w:val="00194746"/>
    <w:rsid w:val="00194892"/>
    <w:rsid w:val="00194899"/>
    <w:rsid w:val="001949CE"/>
    <w:rsid w:val="00194AD2"/>
    <w:rsid w:val="00194C56"/>
    <w:rsid w:val="00194CA3"/>
    <w:rsid w:val="00194DC3"/>
    <w:rsid w:val="00194E7C"/>
    <w:rsid w:val="00194EE4"/>
    <w:rsid w:val="00194F08"/>
    <w:rsid w:val="0019513F"/>
    <w:rsid w:val="00195262"/>
    <w:rsid w:val="0019528D"/>
    <w:rsid w:val="0019533F"/>
    <w:rsid w:val="001953B4"/>
    <w:rsid w:val="00195677"/>
    <w:rsid w:val="00195855"/>
    <w:rsid w:val="00195932"/>
    <w:rsid w:val="001959F9"/>
    <w:rsid w:val="00195A32"/>
    <w:rsid w:val="00195A3A"/>
    <w:rsid w:val="00195A64"/>
    <w:rsid w:val="00195AC6"/>
    <w:rsid w:val="00195D69"/>
    <w:rsid w:val="00195DC2"/>
    <w:rsid w:val="00195E41"/>
    <w:rsid w:val="0019603F"/>
    <w:rsid w:val="001960F9"/>
    <w:rsid w:val="00196282"/>
    <w:rsid w:val="001963BE"/>
    <w:rsid w:val="00196524"/>
    <w:rsid w:val="00196612"/>
    <w:rsid w:val="00196678"/>
    <w:rsid w:val="001966C6"/>
    <w:rsid w:val="00196762"/>
    <w:rsid w:val="001967F8"/>
    <w:rsid w:val="001967FF"/>
    <w:rsid w:val="00196814"/>
    <w:rsid w:val="0019682F"/>
    <w:rsid w:val="0019683F"/>
    <w:rsid w:val="0019692B"/>
    <w:rsid w:val="00196A2F"/>
    <w:rsid w:val="00196AF4"/>
    <w:rsid w:val="00196C03"/>
    <w:rsid w:val="00196C89"/>
    <w:rsid w:val="00196DE2"/>
    <w:rsid w:val="00196EBB"/>
    <w:rsid w:val="00196FDC"/>
    <w:rsid w:val="00197182"/>
    <w:rsid w:val="001971C5"/>
    <w:rsid w:val="0019737B"/>
    <w:rsid w:val="00197384"/>
    <w:rsid w:val="001973AF"/>
    <w:rsid w:val="00197412"/>
    <w:rsid w:val="00197498"/>
    <w:rsid w:val="001974A0"/>
    <w:rsid w:val="001974FB"/>
    <w:rsid w:val="001975E6"/>
    <w:rsid w:val="001975FD"/>
    <w:rsid w:val="00197903"/>
    <w:rsid w:val="0019790E"/>
    <w:rsid w:val="00197979"/>
    <w:rsid w:val="001979AF"/>
    <w:rsid w:val="00197A9B"/>
    <w:rsid w:val="00197AD6"/>
    <w:rsid w:val="00197B7F"/>
    <w:rsid w:val="00197CE0"/>
    <w:rsid w:val="00197CE4"/>
    <w:rsid w:val="00197DF4"/>
    <w:rsid w:val="00197F99"/>
    <w:rsid w:val="00197FBF"/>
    <w:rsid w:val="001A0095"/>
    <w:rsid w:val="001A00B8"/>
    <w:rsid w:val="001A00CA"/>
    <w:rsid w:val="001A0126"/>
    <w:rsid w:val="001A0188"/>
    <w:rsid w:val="001A01AA"/>
    <w:rsid w:val="001A0244"/>
    <w:rsid w:val="001A0261"/>
    <w:rsid w:val="001A0499"/>
    <w:rsid w:val="001A05F0"/>
    <w:rsid w:val="001A0677"/>
    <w:rsid w:val="001A06E7"/>
    <w:rsid w:val="001A0828"/>
    <w:rsid w:val="001A09C8"/>
    <w:rsid w:val="001A09D9"/>
    <w:rsid w:val="001A09DE"/>
    <w:rsid w:val="001A0AEA"/>
    <w:rsid w:val="001A0AF6"/>
    <w:rsid w:val="001A0BB9"/>
    <w:rsid w:val="001A0C18"/>
    <w:rsid w:val="001A0C6E"/>
    <w:rsid w:val="001A0C8C"/>
    <w:rsid w:val="001A0CB4"/>
    <w:rsid w:val="001A0D06"/>
    <w:rsid w:val="001A0D6D"/>
    <w:rsid w:val="001A0E48"/>
    <w:rsid w:val="001A0F37"/>
    <w:rsid w:val="001A0FEC"/>
    <w:rsid w:val="001A0FEF"/>
    <w:rsid w:val="001A1074"/>
    <w:rsid w:val="001A10D0"/>
    <w:rsid w:val="001A1133"/>
    <w:rsid w:val="001A1167"/>
    <w:rsid w:val="001A117B"/>
    <w:rsid w:val="001A11F7"/>
    <w:rsid w:val="001A129F"/>
    <w:rsid w:val="001A12B1"/>
    <w:rsid w:val="001A1308"/>
    <w:rsid w:val="001A13DC"/>
    <w:rsid w:val="001A154C"/>
    <w:rsid w:val="001A15F6"/>
    <w:rsid w:val="001A179C"/>
    <w:rsid w:val="001A180E"/>
    <w:rsid w:val="001A1867"/>
    <w:rsid w:val="001A190C"/>
    <w:rsid w:val="001A197A"/>
    <w:rsid w:val="001A19B3"/>
    <w:rsid w:val="001A19CA"/>
    <w:rsid w:val="001A1A49"/>
    <w:rsid w:val="001A1A6C"/>
    <w:rsid w:val="001A1B64"/>
    <w:rsid w:val="001A1B76"/>
    <w:rsid w:val="001A1BC9"/>
    <w:rsid w:val="001A1C12"/>
    <w:rsid w:val="001A1C4A"/>
    <w:rsid w:val="001A1E1D"/>
    <w:rsid w:val="001A1E5D"/>
    <w:rsid w:val="001A1F57"/>
    <w:rsid w:val="001A1F92"/>
    <w:rsid w:val="001A1FB8"/>
    <w:rsid w:val="001A1FFC"/>
    <w:rsid w:val="001A2063"/>
    <w:rsid w:val="001A20A5"/>
    <w:rsid w:val="001A20D2"/>
    <w:rsid w:val="001A20F0"/>
    <w:rsid w:val="001A21EB"/>
    <w:rsid w:val="001A228E"/>
    <w:rsid w:val="001A22A0"/>
    <w:rsid w:val="001A23AA"/>
    <w:rsid w:val="001A2551"/>
    <w:rsid w:val="001A264C"/>
    <w:rsid w:val="001A272D"/>
    <w:rsid w:val="001A277E"/>
    <w:rsid w:val="001A27A8"/>
    <w:rsid w:val="001A2834"/>
    <w:rsid w:val="001A285F"/>
    <w:rsid w:val="001A28EA"/>
    <w:rsid w:val="001A2998"/>
    <w:rsid w:val="001A29A7"/>
    <w:rsid w:val="001A2A0F"/>
    <w:rsid w:val="001A2A25"/>
    <w:rsid w:val="001A2A2A"/>
    <w:rsid w:val="001A2B34"/>
    <w:rsid w:val="001A2BBC"/>
    <w:rsid w:val="001A2C42"/>
    <w:rsid w:val="001A2D41"/>
    <w:rsid w:val="001A2DC2"/>
    <w:rsid w:val="001A2E27"/>
    <w:rsid w:val="001A2E3E"/>
    <w:rsid w:val="001A2FBF"/>
    <w:rsid w:val="001A320E"/>
    <w:rsid w:val="001A3211"/>
    <w:rsid w:val="001A32A8"/>
    <w:rsid w:val="001A3343"/>
    <w:rsid w:val="001A340B"/>
    <w:rsid w:val="001A34C6"/>
    <w:rsid w:val="001A3560"/>
    <w:rsid w:val="001A3638"/>
    <w:rsid w:val="001A369D"/>
    <w:rsid w:val="001A36ED"/>
    <w:rsid w:val="001A3934"/>
    <w:rsid w:val="001A3A05"/>
    <w:rsid w:val="001A3A1A"/>
    <w:rsid w:val="001A3B86"/>
    <w:rsid w:val="001A3C1E"/>
    <w:rsid w:val="001A3C40"/>
    <w:rsid w:val="001A3D1D"/>
    <w:rsid w:val="001A3D29"/>
    <w:rsid w:val="001A3D73"/>
    <w:rsid w:val="001A3EDB"/>
    <w:rsid w:val="001A3F2E"/>
    <w:rsid w:val="001A4054"/>
    <w:rsid w:val="001A4069"/>
    <w:rsid w:val="001A408B"/>
    <w:rsid w:val="001A420E"/>
    <w:rsid w:val="001A42C8"/>
    <w:rsid w:val="001A4311"/>
    <w:rsid w:val="001A4377"/>
    <w:rsid w:val="001A43C4"/>
    <w:rsid w:val="001A43F6"/>
    <w:rsid w:val="001A44E7"/>
    <w:rsid w:val="001A4539"/>
    <w:rsid w:val="001A455B"/>
    <w:rsid w:val="001A45EF"/>
    <w:rsid w:val="001A4779"/>
    <w:rsid w:val="001A4805"/>
    <w:rsid w:val="001A4820"/>
    <w:rsid w:val="001A4831"/>
    <w:rsid w:val="001A48CC"/>
    <w:rsid w:val="001A4962"/>
    <w:rsid w:val="001A49D0"/>
    <w:rsid w:val="001A4A0A"/>
    <w:rsid w:val="001A4A14"/>
    <w:rsid w:val="001A4A3B"/>
    <w:rsid w:val="001A4A9A"/>
    <w:rsid w:val="001A4AEC"/>
    <w:rsid w:val="001A4BA2"/>
    <w:rsid w:val="001A4C33"/>
    <w:rsid w:val="001A4C5D"/>
    <w:rsid w:val="001A4E5B"/>
    <w:rsid w:val="001A4EBD"/>
    <w:rsid w:val="001A4EE3"/>
    <w:rsid w:val="001A4EF7"/>
    <w:rsid w:val="001A5019"/>
    <w:rsid w:val="001A50A4"/>
    <w:rsid w:val="001A51AD"/>
    <w:rsid w:val="001A5227"/>
    <w:rsid w:val="001A5243"/>
    <w:rsid w:val="001A544E"/>
    <w:rsid w:val="001A5465"/>
    <w:rsid w:val="001A549A"/>
    <w:rsid w:val="001A557C"/>
    <w:rsid w:val="001A55C5"/>
    <w:rsid w:val="001A55CD"/>
    <w:rsid w:val="001A5617"/>
    <w:rsid w:val="001A5653"/>
    <w:rsid w:val="001A565A"/>
    <w:rsid w:val="001A56C6"/>
    <w:rsid w:val="001A56EA"/>
    <w:rsid w:val="001A5733"/>
    <w:rsid w:val="001A58E6"/>
    <w:rsid w:val="001A59E5"/>
    <w:rsid w:val="001A5A03"/>
    <w:rsid w:val="001A5C35"/>
    <w:rsid w:val="001A5D39"/>
    <w:rsid w:val="001A5E0C"/>
    <w:rsid w:val="001A5EE6"/>
    <w:rsid w:val="001A5F7D"/>
    <w:rsid w:val="001A5FA4"/>
    <w:rsid w:val="001A5FDD"/>
    <w:rsid w:val="001A6022"/>
    <w:rsid w:val="001A6023"/>
    <w:rsid w:val="001A614F"/>
    <w:rsid w:val="001A63DB"/>
    <w:rsid w:val="001A652F"/>
    <w:rsid w:val="001A660C"/>
    <w:rsid w:val="001A6626"/>
    <w:rsid w:val="001A6664"/>
    <w:rsid w:val="001A66EF"/>
    <w:rsid w:val="001A6786"/>
    <w:rsid w:val="001A6815"/>
    <w:rsid w:val="001A6852"/>
    <w:rsid w:val="001A688F"/>
    <w:rsid w:val="001A69AC"/>
    <w:rsid w:val="001A6A1C"/>
    <w:rsid w:val="001A6AE9"/>
    <w:rsid w:val="001A6B4A"/>
    <w:rsid w:val="001A6D48"/>
    <w:rsid w:val="001A6D6B"/>
    <w:rsid w:val="001A6EFB"/>
    <w:rsid w:val="001A6F25"/>
    <w:rsid w:val="001A6F7B"/>
    <w:rsid w:val="001A6FFB"/>
    <w:rsid w:val="001A7037"/>
    <w:rsid w:val="001A703F"/>
    <w:rsid w:val="001A7052"/>
    <w:rsid w:val="001A70A3"/>
    <w:rsid w:val="001A72EA"/>
    <w:rsid w:val="001A72EB"/>
    <w:rsid w:val="001A739D"/>
    <w:rsid w:val="001A7477"/>
    <w:rsid w:val="001A7526"/>
    <w:rsid w:val="001A772D"/>
    <w:rsid w:val="001A78F7"/>
    <w:rsid w:val="001A792A"/>
    <w:rsid w:val="001A7961"/>
    <w:rsid w:val="001A79A0"/>
    <w:rsid w:val="001A79A7"/>
    <w:rsid w:val="001A79AD"/>
    <w:rsid w:val="001A79BA"/>
    <w:rsid w:val="001A7AB6"/>
    <w:rsid w:val="001A7ABF"/>
    <w:rsid w:val="001A7AD1"/>
    <w:rsid w:val="001A7B08"/>
    <w:rsid w:val="001A7DCD"/>
    <w:rsid w:val="001A7E70"/>
    <w:rsid w:val="001A7EBB"/>
    <w:rsid w:val="001B00AC"/>
    <w:rsid w:val="001B0136"/>
    <w:rsid w:val="001B025A"/>
    <w:rsid w:val="001B0316"/>
    <w:rsid w:val="001B035E"/>
    <w:rsid w:val="001B0372"/>
    <w:rsid w:val="001B043D"/>
    <w:rsid w:val="001B05A3"/>
    <w:rsid w:val="001B05A9"/>
    <w:rsid w:val="001B0630"/>
    <w:rsid w:val="001B06B2"/>
    <w:rsid w:val="001B0767"/>
    <w:rsid w:val="001B07A5"/>
    <w:rsid w:val="001B092E"/>
    <w:rsid w:val="001B098A"/>
    <w:rsid w:val="001B09C7"/>
    <w:rsid w:val="001B0CCD"/>
    <w:rsid w:val="001B0CE7"/>
    <w:rsid w:val="001B0D88"/>
    <w:rsid w:val="001B0E1A"/>
    <w:rsid w:val="001B0E45"/>
    <w:rsid w:val="001B0E50"/>
    <w:rsid w:val="001B0E59"/>
    <w:rsid w:val="001B0FAD"/>
    <w:rsid w:val="001B120C"/>
    <w:rsid w:val="001B13B8"/>
    <w:rsid w:val="001B13C5"/>
    <w:rsid w:val="001B1428"/>
    <w:rsid w:val="001B14EC"/>
    <w:rsid w:val="001B15C2"/>
    <w:rsid w:val="001B1633"/>
    <w:rsid w:val="001B1735"/>
    <w:rsid w:val="001B182A"/>
    <w:rsid w:val="001B1941"/>
    <w:rsid w:val="001B195B"/>
    <w:rsid w:val="001B1A31"/>
    <w:rsid w:val="001B1A78"/>
    <w:rsid w:val="001B1ADE"/>
    <w:rsid w:val="001B1B5A"/>
    <w:rsid w:val="001B1B60"/>
    <w:rsid w:val="001B1C95"/>
    <w:rsid w:val="001B1F14"/>
    <w:rsid w:val="001B1F5D"/>
    <w:rsid w:val="001B1FE8"/>
    <w:rsid w:val="001B208C"/>
    <w:rsid w:val="001B2192"/>
    <w:rsid w:val="001B2223"/>
    <w:rsid w:val="001B22E5"/>
    <w:rsid w:val="001B22F1"/>
    <w:rsid w:val="001B2323"/>
    <w:rsid w:val="001B23D8"/>
    <w:rsid w:val="001B240F"/>
    <w:rsid w:val="001B2440"/>
    <w:rsid w:val="001B24A8"/>
    <w:rsid w:val="001B24D9"/>
    <w:rsid w:val="001B2524"/>
    <w:rsid w:val="001B25D8"/>
    <w:rsid w:val="001B2694"/>
    <w:rsid w:val="001B2696"/>
    <w:rsid w:val="001B283A"/>
    <w:rsid w:val="001B2879"/>
    <w:rsid w:val="001B2899"/>
    <w:rsid w:val="001B292A"/>
    <w:rsid w:val="001B29A1"/>
    <w:rsid w:val="001B29ED"/>
    <w:rsid w:val="001B2A9C"/>
    <w:rsid w:val="001B2B12"/>
    <w:rsid w:val="001B2C3F"/>
    <w:rsid w:val="001B2C6C"/>
    <w:rsid w:val="001B2CC1"/>
    <w:rsid w:val="001B2CE9"/>
    <w:rsid w:val="001B2E0A"/>
    <w:rsid w:val="001B2E8E"/>
    <w:rsid w:val="001B304B"/>
    <w:rsid w:val="001B3050"/>
    <w:rsid w:val="001B32FC"/>
    <w:rsid w:val="001B338F"/>
    <w:rsid w:val="001B33AC"/>
    <w:rsid w:val="001B343C"/>
    <w:rsid w:val="001B345A"/>
    <w:rsid w:val="001B3490"/>
    <w:rsid w:val="001B3764"/>
    <w:rsid w:val="001B376C"/>
    <w:rsid w:val="001B37AD"/>
    <w:rsid w:val="001B37FB"/>
    <w:rsid w:val="001B38A1"/>
    <w:rsid w:val="001B3986"/>
    <w:rsid w:val="001B399A"/>
    <w:rsid w:val="001B3AEF"/>
    <w:rsid w:val="001B3B36"/>
    <w:rsid w:val="001B3C51"/>
    <w:rsid w:val="001B3CFE"/>
    <w:rsid w:val="001B3D0D"/>
    <w:rsid w:val="001B3D18"/>
    <w:rsid w:val="001B3D62"/>
    <w:rsid w:val="001B3DE0"/>
    <w:rsid w:val="001B3F53"/>
    <w:rsid w:val="001B3F81"/>
    <w:rsid w:val="001B3F8D"/>
    <w:rsid w:val="001B4130"/>
    <w:rsid w:val="001B41A9"/>
    <w:rsid w:val="001B420A"/>
    <w:rsid w:val="001B42ED"/>
    <w:rsid w:val="001B454D"/>
    <w:rsid w:val="001B466D"/>
    <w:rsid w:val="001B471A"/>
    <w:rsid w:val="001B4786"/>
    <w:rsid w:val="001B48DB"/>
    <w:rsid w:val="001B48F7"/>
    <w:rsid w:val="001B4A87"/>
    <w:rsid w:val="001B4B6C"/>
    <w:rsid w:val="001B4C8C"/>
    <w:rsid w:val="001B4CAB"/>
    <w:rsid w:val="001B4D04"/>
    <w:rsid w:val="001B4D69"/>
    <w:rsid w:val="001B4D9F"/>
    <w:rsid w:val="001B4EA6"/>
    <w:rsid w:val="001B4EC7"/>
    <w:rsid w:val="001B4F53"/>
    <w:rsid w:val="001B5072"/>
    <w:rsid w:val="001B50CC"/>
    <w:rsid w:val="001B5114"/>
    <w:rsid w:val="001B5219"/>
    <w:rsid w:val="001B5247"/>
    <w:rsid w:val="001B527D"/>
    <w:rsid w:val="001B5293"/>
    <w:rsid w:val="001B52B1"/>
    <w:rsid w:val="001B5454"/>
    <w:rsid w:val="001B55F8"/>
    <w:rsid w:val="001B5728"/>
    <w:rsid w:val="001B57F3"/>
    <w:rsid w:val="001B5819"/>
    <w:rsid w:val="001B5875"/>
    <w:rsid w:val="001B58DB"/>
    <w:rsid w:val="001B594E"/>
    <w:rsid w:val="001B595C"/>
    <w:rsid w:val="001B5A27"/>
    <w:rsid w:val="001B5A86"/>
    <w:rsid w:val="001B5B33"/>
    <w:rsid w:val="001B5B51"/>
    <w:rsid w:val="001B5C87"/>
    <w:rsid w:val="001B5D03"/>
    <w:rsid w:val="001B5D26"/>
    <w:rsid w:val="001B5DB2"/>
    <w:rsid w:val="001B5DCD"/>
    <w:rsid w:val="001B5DCF"/>
    <w:rsid w:val="001B5EA9"/>
    <w:rsid w:val="001B5EDF"/>
    <w:rsid w:val="001B5F58"/>
    <w:rsid w:val="001B6001"/>
    <w:rsid w:val="001B6007"/>
    <w:rsid w:val="001B608A"/>
    <w:rsid w:val="001B60C2"/>
    <w:rsid w:val="001B61FF"/>
    <w:rsid w:val="001B622C"/>
    <w:rsid w:val="001B626C"/>
    <w:rsid w:val="001B64CC"/>
    <w:rsid w:val="001B6500"/>
    <w:rsid w:val="001B6576"/>
    <w:rsid w:val="001B6689"/>
    <w:rsid w:val="001B668A"/>
    <w:rsid w:val="001B673E"/>
    <w:rsid w:val="001B67DE"/>
    <w:rsid w:val="001B69CA"/>
    <w:rsid w:val="001B6A55"/>
    <w:rsid w:val="001B6B1C"/>
    <w:rsid w:val="001B6B81"/>
    <w:rsid w:val="001B6BCD"/>
    <w:rsid w:val="001B6C24"/>
    <w:rsid w:val="001B6DB3"/>
    <w:rsid w:val="001B6DEE"/>
    <w:rsid w:val="001B6E51"/>
    <w:rsid w:val="001B6E72"/>
    <w:rsid w:val="001B6EEE"/>
    <w:rsid w:val="001B6F2B"/>
    <w:rsid w:val="001B6F58"/>
    <w:rsid w:val="001B6FB2"/>
    <w:rsid w:val="001B71A1"/>
    <w:rsid w:val="001B71AB"/>
    <w:rsid w:val="001B722A"/>
    <w:rsid w:val="001B724E"/>
    <w:rsid w:val="001B7286"/>
    <w:rsid w:val="001B7384"/>
    <w:rsid w:val="001B7482"/>
    <w:rsid w:val="001B7485"/>
    <w:rsid w:val="001B74B7"/>
    <w:rsid w:val="001B7546"/>
    <w:rsid w:val="001B757C"/>
    <w:rsid w:val="001B76ED"/>
    <w:rsid w:val="001B77AD"/>
    <w:rsid w:val="001B78A6"/>
    <w:rsid w:val="001B7984"/>
    <w:rsid w:val="001B79B5"/>
    <w:rsid w:val="001B79CE"/>
    <w:rsid w:val="001B7A9D"/>
    <w:rsid w:val="001B7B12"/>
    <w:rsid w:val="001B7DB2"/>
    <w:rsid w:val="001B7E36"/>
    <w:rsid w:val="001B7E3F"/>
    <w:rsid w:val="001B7E4E"/>
    <w:rsid w:val="001B7E57"/>
    <w:rsid w:val="001B7ED8"/>
    <w:rsid w:val="001B7FC5"/>
    <w:rsid w:val="001C00A7"/>
    <w:rsid w:val="001C00C0"/>
    <w:rsid w:val="001C020C"/>
    <w:rsid w:val="001C0323"/>
    <w:rsid w:val="001C033D"/>
    <w:rsid w:val="001C0390"/>
    <w:rsid w:val="001C064D"/>
    <w:rsid w:val="001C06D1"/>
    <w:rsid w:val="001C071C"/>
    <w:rsid w:val="001C0724"/>
    <w:rsid w:val="001C083A"/>
    <w:rsid w:val="001C083E"/>
    <w:rsid w:val="001C0899"/>
    <w:rsid w:val="001C08F4"/>
    <w:rsid w:val="001C0998"/>
    <w:rsid w:val="001C0B21"/>
    <w:rsid w:val="001C0B29"/>
    <w:rsid w:val="001C0B43"/>
    <w:rsid w:val="001C0BAE"/>
    <w:rsid w:val="001C0C0F"/>
    <w:rsid w:val="001C0C26"/>
    <w:rsid w:val="001C0CC4"/>
    <w:rsid w:val="001C0DFD"/>
    <w:rsid w:val="001C0DFF"/>
    <w:rsid w:val="001C0ED7"/>
    <w:rsid w:val="001C0F9A"/>
    <w:rsid w:val="001C1116"/>
    <w:rsid w:val="001C112B"/>
    <w:rsid w:val="001C122D"/>
    <w:rsid w:val="001C12A3"/>
    <w:rsid w:val="001C1397"/>
    <w:rsid w:val="001C13DD"/>
    <w:rsid w:val="001C1473"/>
    <w:rsid w:val="001C159B"/>
    <w:rsid w:val="001C1649"/>
    <w:rsid w:val="001C1732"/>
    <w:rsid w:val="001C1744"/>
    <w:rsid w:val="001C1750"/>
    <w:rsid w:val="001C1781"/>
    <w:rsid w:val="001C1B5D"/>
    <w:rsid w:val="001C1C44"/>
    <w:rsid w:val="001C1C59"/>
    <w:rsid w:val="001C1C90"/>
    <w:rsid w:val="001C1CBB"/>
    <w:rsid w:val="001C213A"/>
    <w:rsid w:val="001C2222"/>
    <w:rsid w:val="001C2273"/>
    <w:rsid w:val="001C22A6"/>
    <w:rsid w:val="001C2303"/>
    <w:rsid w:val="001C2351"/>
    <w:rsid w:val="001C2457"/>
    <w:rsid w:val="001C24D7"/>
    <w:rsid w:val="001C24DA"/>
    <w:rsid w:val="001C2503"/>
    <w:rsid w:val="001C2526"/>
    <w:rsid w:val="001C25B5"/>
    <w:rsid w:val="001C29C8"/>
    <w:rsid w:val="001C2BA8"/>
    <w:rsid w:val="001C2CD5"/>
    <w:rsid w:val="001C2D18"/>
    <w:rsid w:val="001C2D94"/>
    <w:rsid w:val="001C2E70"/>
    <w:rsid w:val="001C2EC9"/>
    <w:rsid w:val="001C3021"/>
    <w:rsid w:val="001C302B"/>
    <w:rsid w:val="001C30EA"/>
    <w:rsid w:val="001C312D"/>
    <w:rsid w:val="001C32A6"/>
    <w:rsid w:val="001C333D"/>
    <w:rsid w:val="001C3351"/>
    <w:rsid w:val="001C33F2"/>
    <w:rsid w:val="001C3420"/>
    <w:rsid w:val="001C345D"/>
    <w:rsid w:val="001C34D4"/>
    <w:rsid w:val="001C3571"/>
    <w:rsid w:val="001C35EB"/>
    <w:rsid w:val="001C375E"/>
    <w:rsid w:val="001C37DF"/>
    <w:rsid w:val="001C37EF"/>
    <w:rsid w:val="001C399B"/>
    <w:rsid w:val="001C39C7"/>
    <w:rsid w:val="001C3A5A"/>
    <w:rsid w:val="001C3AC6"/>
    <w:rsid w:val="001C3C05"/>
    <w:rsid w:val="001C3C69"/>
    <w:rsid w:val="001C3D09"/>
    <w:rsid w:val="001C3D4F"/>
    <w:rsid w:val="001C3D7D"/>
    <w:rsid w:val="001C3DD6"/>
    <w:rsid w:val="001C3F5B"/>
    <w:rsid w:val="001C4073"/>
    <w:rsid w:val="001C409B"/>
    <w:rsid w:val="001C415A"/>
    <w:rsid w:val="001C4179"/>
    <w:rsid w:val="001C420C"/>
    <w:rsid w:val="001C4271"/>
    <w:rsid w:val="001C43F3"/>
    <w:rsid w:val="001C44AD"/>
    <w:rsid w:val="001C4605"/>
    <w:rsid w:val="001C4791"/>
    <w:rsid w:val="001C47DD"/>
    <w:rsid w:val="001C481C"/>
    <w:rsid w:val="001C4969"/>
    <w:rsid w:val="001C4981"/>
    <w:rsid w:val="001C499F"/>
    <w:rsid w:val="001C4AC1"/>
    <w:rsid w:val="001C4BDB"/>
    <w:rsid w:val="001C4E8D"/>
    <w:rsid w:val="001C5060"/>
    <w:rsid w:val="001C5061"/>
    <w:rsid w:val="001C5092"/>
    <w:rsid w:val="001C50EB"/>
    <w:rsid w:val="001C5403"/>
    <w:rsid w:val="001C5452"/>
    <w:rsid w:val="001C54EA"/>
    <w:rsid w:val="001C5504"/>
    <w:rsid w:val="001C5622"/>
    <w:rsid w:val="001C5755"/>
    <w:rsid w:val="001C576A"/>
    <w:rsid w:val="001C57BB"/>
    <w:rsid w:val="001C596F"/>
    <w:rsid w:val="001C5983"/>
    <w:rsid w:val="001C5A78"/>
    <w:rsid w:val="001C5C98"/>
    <w:rsid w:val="001C5F0A"/>
    <w:rsid w:val="001C6378"/>
    <w:rsid w:val="001C6439"/>
    <w:rsid w:val="001C6482"/>
    <w:rsid w:val="001C6570"/>
    <w:rsid w:val="001C66A5"/>
    <w:rsid w:val="001C69E2"/>
    <w:rsid w:val="001C6A34"/>
    <w:rsid w:val="001C6B2D"/>
    <w:rsid w:val="001C6B4C"/>
    <w:rsid w:val="001C6BE7"/>
    <w:rsid w:val="001C6C64"/>
    <w:rsid w:val="001C6CA8"/>
    <w:rsid w:val="001C6CB0"/>
    <w:rsid w:val="001C6D45"/>
    <w:rsid w:val="001C6DB9"/>
    <w:rsid w:val="001C6E0C"/>
    <w:rsid w:val="001C6E99"/>
    <w:rsid w:val="001C6EB2"/>
    <w:rsid w:val="001C6FE7"/>
    <w:rsid w:val="001C6FED"/>
    <w:rsid w:val="001C70FB"/>
    <w:rsid w:val="001C7152"/>
    <w:rsid w:val="001C7254"/>
    <w:rsid w:val="001C728F"/>
    <w:rsid w:val="001C72BE"/>
    <w:rsid w:val="001C72C7"/>
    <w:rsid w:val="001C7365"/>
    <w:rsid w:val="001C742A"/>
    <w:rsid w:val="001C743D"/>
    <w:rsid w:val="001C7529"/>
    <w:rsid w:val="001C7540"/>
    <w:rsid w:val="001C769D"/>
    <w:rsid w:val="001C76DE"/>
    <w:rsid w:val="001C7792"/>
    <w:rsid w:val="001C77B0"/>
    <w:rsid w:val="001C77E0"/>
    <w:rsid w:val="001C7817"/>
    <w:rsid w:val="001C782B"/>
    <w:rsid w:val="001C787D"/>
    <w:rsid w:val="001C7898"/>
    <w:rsid w:val="001C78AB"/>
    <w:rsid w:val="001C78EF"/>
    <w:rsid w:val="001C7909"/>
    <w:rsid w:val="001C7A68"/>
    <w:rsid w:val="001C7AF1"/>
    <w:rsid w:val="001C7BA9"/>
    <w:rsid w:val="001C7BB9"/>
    <w:rsid w:val="001C7CE5"/>
    <w:rsid w:val="001C7DC4"/>
    <w:rsid w:val="001C7DE0"/>
    <w:rsid w:val="001C7E93"/>
    <w:rsid w:val="001D00C5"/>
    <w:rsid w:val="001D010D"/>
    <w:rsid w:val="001D019E"/>
    <w:rsid w:val="001D02B8"/>
    <w:rsid w:val="001D03A7"/>
    <w:rsid w:val="001D03EB"/>
    <w:rsid w:val="001D066A"/>
    <w:rsid w:val="001D0A79"/>
    <w:rsid w:val="001D0AA0"/>
    <w:rsid w:val="001D0B6F"/>
    <w:rsid w:val="001D0C7E"/>
    <w:rsid w:val="001D0CB3"/>
    <w:rsid w:val="001D0CCD"/>
    <w:rsid w:val="001D0CD7"/>
    <w:rsid w:val="001D0DBD"/>
    <w:rsid w:val="001D0E04"/>
    <w:rsid w:val="001D0E1D"/>
    <w:rsid w:val="001D0E51"/>
    <w:rsid w:val="001D0E95"/>
    <w:rsid w:val="001D1044"/>
    <w:rsid w:val="001D108B"/>
    <w:rsid w:val="001D1168"/>
    <w:rsid w:val="001D118C"/>
    <w:rsid w:val="001D1338"/>
    <w:rsid w:val="001D141E"/>
    <w:rsid w:val="001D143A"/>
    <w:rsid w:val="001D1461"/>
    <w:rsid w:val="001D146C"/>
    <w:rsid w:val="001D1486"/>
    <w:rsid w:val="001D14AF"/>
    <w:rsid w:val="001D14E2"/>
    <w:rsid w:val="001D1691"/>
    <w:rsid w:val="001D1944"/>
    <w:rsid w:val="001D1A36"/>
    <w:rsid w:val="001D1A7E"/>
    <w:rsid w:val="001D1BCF"/>
    <w:rsid w:val="001D1D3E"/>
    <w:rsid w:val="001D1FA4"/>
    <w:rsid w:val="001D21D2"/>
    <w:rsid w:val="001D2273"/>
    <w:rsid w:val="001D2372"/>
    <w:rsid w:val="001D23E1"/>
    <w:rsid w:val="001D255E"/>
    <w:rsid w:val="001D265B"/>
    <w:rsid w:val="001D266B"/>
    <w:rsid w:val="001D2695"/>
    <w:rsid w:val="001D274E"/>
    <w:rsid w:val="001D2783"/>
    <w:rsid w:val="001D27E3"/>
    <w:rsid w:val="001D281D"/>
    <w:rsid w:val="001D2876"/>
    <w:rsid w:val="001D2906"/>
    <w:rsid w:val="001D2ACA"/>
    <w:rsid w:val="001D2B0F"/>
    <w:rsid w:val="001D2C33"/>
    <w:rsid w:val="001D2D6B"/>
    <w:rsid w:val="001D2D89"/>
    <w:rsid w:val="001D2D98"/>
    <w:rsid w:val="001D2DB4"/>
    <w:rsid w:val="001D2E4A"/>
    <w:rsid w:val="001D2E89"/>
    <w:rsid w:val="001D2EBA"/>
    <w:rsid w:val="001D2F00"/>
    <w:rsid w:val="001D2F69"/>
    <w:rsid w:val="001D2F77"/>
    <w:rsid w:val="001D2F9F"/>
    <w:rsid w:val="001D2FC5"/>
    <w:rsid w:val="001D308F"/>
    <w:rsid w:val="001D3143"/>
    <w:rsid w:val="001D3155"/>
    <w:rsid w:val="001D325C"/>
    <w:rsid w:val="001D32B2"/>
    <w:rsid w:val="001D32D8"/>
    <w:rsid w:val="001D339F"/>
    <w:rsid w:val="001D346E"/>
    <w:rsid w:val="001D34A4"/>
    <w:rsid w:val="001D38AE"/>
    <w:rsid w:val="001D3ABA"/>
    <w:rsid w:val="001D3B18"/>
    <w:rsid w:val="001D3B1F"/>
    <w:rsid w:val="001D3C7E"/>
    <w:rsid w:val="001D3CB7"/>
    <w:rsid w:val="001D3EF3"/>
    <w:rsid w:val="001D40A6"/>
    <w:rsid w:val="001D40C2"/>
    <w:rsid w:val="001D40C4"/>
    <w:rsid w:val="001D4106"/>
    <w:rsid w:val="001D4120"/>
    <w:rsid w:val="001D432D"/>
    <w:rsid w:val="001D4361"/>
    <w:rsid w:val="001D4480"/>
    <w:rsid w:val="001D44ED"/>
    <w:rsid w:val="001D4564"/>
    <w:rsid w:val="001D4583"/>
    <w:rsid w:val="001D4611"/>
    <w:rsid w:val="001D4912"/>
    <w:rsid w:val="001D491A"/>
    <w:rsid w:val="001D49D6"/>
    <w:rsid w:val="001D4A91"/>
    <w:rsid w:val="001D4B01"/>
    <w:rsid w:val="001D4C0A"/>
    <w:rsid w:val="001D4C60"/>
    <w:rsid w:val="001D4E38"/>
    <w:rsid w:val="001D4E79"/>
    <w:rsid w:val="001D4F4C"/>
    <w:rsid w:val="001D4F62"/>
    <w:rsid w:val="001D5159"/>
    <w:rsid w:val="001D51AD"/>
    <w:rsid w:val="001D53DE"/>
    <w:rsid w:val="001D540C"/>
    <w:rsid w:val="001D542E"/>
    <w:rsid w:val="001D5501"/>
    <w:rsid w:val="001D569C"/>
    <w:rsid w:val="001D56F7"/>
    <w:rsid w:val="001D5832"/>
    <w:rsid w:val="001D584C"/>
    <w:rsid w:val="001D5A60"/>
    <w:rsid w:val="001D5AA8"/>
    <w:rsid w:val="001D5AED"/>
    <w:rsid w:val="001D5E19"/>
    <w:rsid w:val="001D5E47"/>
    <w:rsid w:val="001D5E5F"/>
    <w:rsid w:val="001D5E80"/>
    <w:rsid w:val="001D600B"/>
    <w:rsid w:val="001D6294"/>
    <w:rsid w:val="001D6339"/>
    <w:rsid w:val="001D63D3"/>
    <w:rsid w:val="001D643B"/>
    <w:rsid w:val="001D660C"/>
    <w:rsid w:val="001D670A"/>
    <w:rsid w:val="001D67C8"/>
    <w:rsid w:val="001D67C9"/>
    <w:rsid w:val="001D6832"/>
    <w:rsid w:val="001D68C7"/>
    <w:rsid w:val="001D6A75"/>
    <w:rsid w:val="001D6ABD"/>
    <w:rsid w:val="001D6B22"/>
    <w:rsid w:val="001D6B36"/>
    <w:rsid w:val="001D6BB3"/>
    <w:rsid w:val="001D6BEB"/>
    <w:rsid w:val="001D6C24"/>
    <w:rsid w:val="001D6DC3"/>
    <w:rsid w:val="001D6DDB"/>
    <w:rsid w:val="001D6E19"/>
    <w:rsid w:val="001D6E50"/>
    <w:rsid w:val="001D6E6A"/>
    <w:rsid w:val="001D6F81"/>
    <w:rsid w:val="001D6FC3"/>
    <w:rsid w:val="001D6FC9"/>
    <w:rsid w:val="001D6FCF"/>
    <w:rsid w:val="001D7029"/>
    <w:rsid w:val="001D7067"/>
    <w:rsid w:val="001D72F0"/>
    <w:rsid w:val="001D73CE"/>
    <w:rsid w:val="001D74BF"/>
    <w:rsid w:val="001D756E"/>
    <w:rsid w:val="001D76DA"/>
    <w:rsid w:val="001D781D"/>
    <w:rsid w:val="001D79E2"/>
    <w:rsid w:val="001D7C5D"/>
    <w:rsid w:val="001D7C62"/>
    <w:rsid w:val="001D7EBF"/>
    <w:rsid w:val="001D7FE2"/>
    <w:rsid w:val="001E00A0"/>
    <w:rsid w:val="001E00A5"/>
    <w:rsid w:val="001E00E5"/>
    <w:rsid w:val="001E012E"/>
    <w:rsid w:val="001E01F4"/>
    <w:rsid w:val="001E0270"/>
    <w:rsid w:val="001E0287"/>
    <w:rsid w:val="001E0330"/>
    <w:rsid w:val="001E03B4"/>
    <w:rsid w:val="001E0446"/>
    <w:rsid w:val="001E046F"/>
    <w:rsid w:val="001E049E"/>
    <w:rsid w:val="001E051F"/>
    <w:rsid w:val="001E0524"/>
    <w:rsid w:val="001E07AF"/>
    <w:rsid w:val="001E07FD"/>
    <w:rsid w:val="001E0860"/>
    <w:rsid w:val="001E0874"/>
    <w:rsid w:val="001E08EF"/>
    <w:rsid w:val="001E0A7D"/>
    <w:rsid w:val="001E0D14"/>
    <w:rsid w:val="001E0E7E"/>
    <w:rsid w:val="001E0F31"/>
    <w:rsid w:val="001E0F6A"/>
    <w:rsid w:val="001E1099"/>
    <w:rsid w:val="001E1139"/>
    <w:rsid w:val="001E1162"/>
    <w:rsid w:val="001E11EE"/>
    <w:rsid w:val="001E1247"/>
    <w:rsid w:val="001E13A7"/>
    <w:rsid w:val="001E1487"/>
    <w:rsid w:val="001E15DF"/>
    <w:rsid w:val="001E16AB"/>
    <w:rsid w:val="001E16DD"/>
    <w:rsid w:val="001E1701"/>
    <w:rsid w:val="001E17D2"/>
    <w:rsid w:val="001E1803"/>
    <w:rsid w:val="001E1814"/>
    <w:rsid w:val="001E18EE"/>
    <w:rsid w:val="001E1930"/>
    <w:rsid w:val="001E1953"/>
    <w:rsid w:val="001E1A08"/>
    <w:rsid w:val="001E1C0B"/>
    <w:rsid w:val="001E1C3A"/>
    <w:rsid w:val="001E1D42"/>
    <w:rsid w:val="001E1D9E"/>
    <w:rsid w:val="001E1EAD"/>
    <w:rsid w:val="001E2063"/>
    <w:rsid w:val="001E208E"/>
    <w:rsid w:val="001E215E"/>
    <w:rsid w:val="001E21DF"/>
    <w:rsid w:val="001E2285"/>
    <w:rsid w:val="001E2287"/>
    <w:rsid w:val="001E2294"/>
    <w:rsid w:val="001E2390"/>
    <w:rsid w:val="001E23C4"/>
    <w:rsid w:val="001E2412"/>
    <w:rsid w:val="001E2426"/>
    <w:rsid w:val="001E245E"/>
    <w:rsid w:val="001E247D"/>
    <w:rsid w:val="001E2591"/>
    <w:rsid w:val="001E2801"/>
    <w:rsid w:val="001E289F"/>
    <w:rsid w:val="001E291A"/>
    <w:rsid w:val="001E293A"/>
    <w:rsid w:val="001E294A"/>
    <w:rsid w:val="001E2AE8"/>
    <w:rsid w:val="001E2B8A"/>
    <w:rsid w:val="001E2BA0"/>
    <w:rsid w:val="001E2D5F"/>
    <w:rsid w:val="001E2DC4"/>
    <w:rsid w:val="001E2E3B"/>
    <w:rsid w:val="001E2E77"/>
    <w:rsid w:val="001E2FD0"/>
    <w:rsid w:val="001E2FF3"/>
    <w:rsid w:val="001E300A"/>
    <w:rsid w:val="001E322A"/>
    <w:rsid w:val="001E326A"/>
    <w:rsid w:val="001E32A8"/>
    <w:rsid w:val="001E32E4"/>
    <w:rsid w:val="001E343E"/>
    <w:rsid w:val="001E3464"/>
    <w:rsid w:val="001E3512"/>
    <w:rsid w:val="001E36FF"/>
    <w:rsid w:val="001E3799"/>
    <w:rsid w:val="001E38B5"/>
    <w:rsid w:val="001E3924"/>
    <w:rsid w:val="001E3976"/>
    <w:rsid w:val="001E3A05"/>
    <w:rsid w:val="001E3B88"/>
    <w:rsid w:val="001E3C9B"/>
    <w:rsid w:val="001E3D38"/>
    <w:rsid w:val="001E3DD2"/>
    <w:rsid w:val="001E3E31"/>
    <w:rsid w:val="001E3FBA"/>
    <w:rsid w:val="001E40E9"/>
    <w:rsid w:val="001E418C"/>
    <w:rsid w:val="001E421E"/>
    <w:rsid w:val="001E4233"/>
    <w:rsid w:val="001E4312"/>
    <w:rsid w:val="001E4369"/>
    <w:rsid w:val="001E4398"/>
    <w:rsid w:val="001E43B1"/>
    <w:rsid w:val="001E4439"/>
    <w:rsid w:val="001E443B"/>
    <w:rsid w:val="001E4457"/>
    <w:rsid w:val="001E44F3"/>
    <w:rsid w:val="001E4522"/>
    <w:rsid w:val="001E45AB"/>
    <w:rsid w:val="001E45E2"/>
    <w:rsid w:val="001E4629"/>
    <w:rsid w:val="001E471E"/>
    <w:rsid w:val="001E485D"/>
    <w:rsid w:val="001E48B5"/>
    <w:rsid w:val="001E48F7"/>
    <w:rsid w:val="001E4A43"/>
    <w:rsid w:val="001E4C00"/>
    <w:rsid w:val="001E4E19"/>
    <w:rsid w:val="001E4EA9"/>
    <w:rsid w:val="001E4F2E"/>
    <w:rsid w:val="001E4F7A"/>
    <w:rsid w:val="001E50ED"/>
    <w:rsid w:val="001E5115"/>
    <w:rsid w:val="001E531D"/>
    <w:rsid w:val="001E538F"/>
    <w:rsid w:val="001E543A"/>
    <w:rsid w:val="001E54A4"/>
    <w:rsid w:val="001E5604"/>
    <w:rsid w:val="001E569C"/>
    <w:rsid w:val="001E56A6"/>
    <w:rsid w:val="001E5983"/>
    <w:rsid w:val="001E5987"/>
    <w:rsid w:val="001E5B0D"/>
    <w:rsid w:val="001E5B45"/>
    <w:rsid w:val="001E5C7B"/>
    <w:rsid w:val="001E5D4B"/>
    <w:rsid w:val="001E5D93"/>
    <w:rsid w:val="001E5EB0"/>
    <w:rsid w:val="001E5F4E"/>
    <w:rsid w:val="001E6073"/>
    <w:rsid w:val="001E6124"/>
    <w:rsid w:val="001E629A"/>
    <w:rsid w:val="001E6305"/>
    <w:rsid w:val="001E6401"/>
    <w:rsid w:val="001E64C8"/>
    <w:rsid w:val="001E64DB"/>
    <w:rsid w:val="001E65B9"/>
    <w:rsid w:val="001E665D"/>
    <w:rsid w:val="001E675A"/>
    <w:rsid w:val="001E6866"/>
    <w:rsid w:val="001E692F"/>
    <w:rsid w:val="001E69C1"/>
    <w:rsid w:val="001E69D2"/>
    <w:rsid w:val="001E6A9F"/>
    <w:rsid w:val="001E6B21"/>
    <w:rsid w:val="001E6B30"/>
    <w:rsid w:val="001E6B7B"/>
    <w:rsid w:val="001E6BBE"/>
    <w:rsid w:val="001E6BCF"/>
    <w:rsid w:val="001E6C98"/>
    <w:rsid w:val="001E6D52"/>
    <w:rsid w:val="001E6DB8"/>
    <w:rsid w:val="001E6E34"/>
    <w:rsid w:val="001E6ECB"/>
    <w:rsid w:val="001E6ECD"/>
    <w:rsid w:val="001E6F50"/>
    <w:rsid w:val="001E7033"/>
    <w:rsid w:val="001E7090"/>
    <w:rsid w:val="001E709E"/>
    <w:rsid w:val="001E72CA"/>
    <w:rsid w:val="001E731E"/>
    <w:rsid w:val="001E7356"/>
    <w:rsid w:val="001E74DB"/>
    <w:rsid w:val="001E7588"/>
    <w:rsid w:val="001E7596"/>
    <w:rsid w:val="001E7697"/>
    <w:rsid w:val="001E776C"/>
    <w:rsid w:val="001E7890"/>
    <w:rsid w:val="001E78E1"/>
    <w:rsid w:val="001E7BA0"/>
    <w:rsid w:val="001E7C9C"/>
    <w:rsid w:val="001E7D19"/>
    <w:rsid w:val="001E7D75"/>
    <w:rsid w:val="001E7E65"/>
    <w:rsid w:val="001E7E6E"/>
    <w:rsid w:val="001E7F00"/>
    <w:rsid w:val="001E7F1A"/>
    <w:rsid w:val="001E7F7C"/>
    <w:rsid w:val="001F009B"/>
    <w:rsid w:val="001F00E9"/>
    <w:rsid w:val="001F029C"/>
    <w:rsid w:val="001F035A"/>
    <w:rsid w:val="001F0445"/>
    <w:rsid w:val="001F04BF"/>
    <w:rsid w:val="001F04C1"/>
    <w:rsid w:val="001F064D"/>
    <w:rsid w:val="001F084B"/>
    <w:rsid w:val="001F094F"/>
    <w:rsid w:val="001F0AAE"/>
    <w:rsid w:val="001F0B8A"/>
    <w:rsid w:val="001F0C76"/>
    <w:rsid w:val="001F0C9C"/>
    <w:rsid w:val="001F0D5E"/>
    <w:rsid w:val="001F0EFA"/>
    <w:rsid w:val="001F0F28"/>
    <w:rsid w:val="001F1254"/>
    <w:rsid w:val="001F1292"/>
    <w:rsid w:val="001F134D"/>
    <w:rsid w:val="001F13BE"/>
    <w:rsid w:val="001F13F8"/>
    <w:rsid w:val="001F145B"/>
    <w:rsid w:val="001F1515"/>
    <w:rsid w:val="001F1699"/>
    <w:rsid w:val="001F16AA"/>
    <w:rsid w:val="001F16F2"/>
    <w:rsid w:val="001F16F9"/>
    <w:rsid w:val="001F1703"/>
    <w:rsid w:val="001F176B"/>
    <w:rsid w:val="001F1852"/>
    <w:rsid w:val="001F185A"/>
    <w:rsid w:val="001F195B"/>
    <w:rsid w:val="001F1BDC"/>
    <w:rsid w:val="001F1C94"/>
    <w:rsid w:val="001F1CE9"/>
    <w:rsid w:val="001F1DDE"/>
    <w:rsid w:val="001F1E20"/>
    <w:rsid w:val="001F1E4D"/>
    <w:rsid w:val="001F1E6D"/>
    <w:rsid w:val="001F1F31"/>
    <w:rsid w:val="001F1F94"/>
    <w:rsid w:val="001F2023"/>
    <w:rsid w:val="001F224D"/>
    <w:rsid w:val="001F230B"/>
    <w:rsid w:val="001F2399"/>
    <w:rsid w:val="001F23EC"/>
    <w:rsid w:val="001F24B3"/>
    <w:rsid w:val="001F24E1"/>
    <w:rsid w:val="001F2518"/>
    <w:rsid w:val="001F25B4"/>
    <w:rsid w:val="001F25CC"/>
    <w:rsid w:val="001F261B"/>
    <w:rsid w:val="001F267C"/>
    <w:rsid w:val="001F2819"/>
    <w:rsid w:val="001F28D0"/>
    <w:rsid w:val="001F2969"/>
    <w:rsid w:val="001F2BFF"/>
    <w:rsid w:val="001F2C6B"/>
    <w:rsid w:val="001F2C76"/>
    <w:rsid w:val="001F2EC7"/>
    <w:rsid w:val="001F2F0D"/>
    <w:rsid w:val="001F2F82"/>
    <w:rsid w:val="001F2F85"/>
    <w:rsid w:val="001F3049"/>
    <w:rsid w:val="001F3079"/>
    <w:rsid w:val="001F3223"/>
    <w:rsid w:val="001F32D3"/>
    <w:rsid w:val="001F32F5"/>
    <w:rsid w:val="001F336A"/>
    <w:rsid w:val="001F342D"/>
    <w:rsid w:val="001F343C"/>
    <w:rsid w:val="001F343E"/>
    <w:rsid w:val="001F3761"/>
    <w:rsid w:val="001F3772"/>
    <w:rsid w:val="001F37B7"/>
    <w:rsid w:val="001F37CF"/>
    <w:rsid w:val="001F3863"/>
    <w:rsid w:val="001F38E8"/>
    <w:rsid w:val="001F3940"/>
    <w:rsid w:val="001F3A51"/>
    <w:rsid w:val="001F3AD0"/>
    <w:rsid w:val="001F3CFF"/>
    <w:rsid w:val="001F3F02"/>
    <w:rsid w:val="001F3F25"/>
    <w:rsid w:val="001F41A2"/>
    <w:rsid w:val="001F43A3"/>
    <w:rsid w:val="001F43FD"/>
    <w:rsid w:val="001F449E"/>
    <w:rsid w:val="001F44D1"/>
    <w:rsid w:val="001F4584"/>
    <w:rsid w:val="001F4639"/>
    <w:rsid w:val="001F4770"/>
    <w:rsid w:val="001F4786"/>
    <w:rsid w:val="001F48E3"/>
    <w:rsid w:val="001F494D"/>
    <w:rsid w:val="001F4965"/>
    <w:rsid w:val="001F497A"/>
    <w:rsid w:val="001F49C2"/>
    <w:rsid w:val="001F4B39"/>
    <w:rsid w:val="001F4BC6"/>
    <w:rsid w:val="001F4D66"/>
    <w:rsid w:val="001F4D84"/>
    <w:rsid w:val="001F4D8B"/>
    <w:rsid w:val="001F4D96"/>
    <w:rsid w:val="001F4DC7"/>
    <w:rsid w:val="001F4FAF"/>
    <w:rsid w:val="001F4FD2"/>
    <w:rsid w:val="001F503A"/>
    <w:rsid w:val="001F51C5"/>
    <w:rsid w:val="001F51CB"/>
    <w:rsid w:val="001F52F4"/>
    <w:rsid w:val="001F5307"/>
    <w:rsid w:val="001F537C"/>
    <w:rsid w:val="001F5483"/>
    <w:rsid w:val="001F548D"/>
    <w:rsid w:val="001F5596"/>
    <w:rsid w:val="001F55A0"/>
    <w:rsid w:val="001F55EC"/>
    <w:rsid w:val="001F567A"/>
    <w:rsid w:val="001F57FF"/>
    <w:rsid w:val="001F581C"/>
    <w:rsid w:val="001F582F"/>
    <w:rsid w:val="001F5866"/>
    <w:rsid w:val="001F58A0"/>
    <w:rsid w:val="001F598E"/>
    <w:rsid w:val="001F5994"/>
    <w:rsid w:val="001F59EA"/>
    <w:rsid w:val="001F5A12"/>
    <w:rsid w:val="001F5A64"/>
    <w:rsid w:val="001F5DE2"/>
    <w:rsid w:val="001F5EFD"/>
    <w:rsid w:val="001F5F0C"/>
    <w:rsid w:val="001F5F78"/>
    <w:rsid w:val="001F5F80"/>
    <w:rsid w:val="001F5F90"/>
    <w:rsid w:val="001F5FBC"/>
    <w:rsid w:val="001F6042"/>
    <w:rsid w:val="001F6073"/>
    <w:rsid w:val="001F6076"/>
    <w:rsid w:val="001F6116"/>
    <w:rsid w:val="001F6121"/>
    <w:rsid w:val="001F61B1"/>
    <w:rsid w:val="001F61B5"/>
    <w:rsid w:val="001F62BF"/>
    <w:rsid w:val="001F6326"/>
    <w:rsid w:val="001F641C"/>
    <w:rsid w:val="001F64F4"/>
    <w:rsid w:val="001F6627"/>
    <w:rsid w:val="001F668A"/>
    <w:rsid w:val="001F66D8"/>
    <w:rsid w:val="001F67C8"/>
    <w:rsid w:val="001F680A"/>
    <w:rsid w:val="001F6872"/>
    <w:rsid w:val="001F68C6"/>
    <w:rsid w:val="001F69C4"/>
    <w:rsid w:val="001F69FE"/>
    <w:rsid w:val="001F6A55"/>
    <w:rsid w:val="001F6AEA"/>
    <w:rsid w:val="001F6C11"/>
    <w:rsid w:val="001F6C7A"/>
    <w:rsid w:val="001F6D13"/>
    <w:rsid w:val="001F6DE4"/>
    <w:rsid w:val="001F6E3C"/>
    <w:rsid w:val="001F6EE7"/>
    <w:rsid w:val="001F6F13"/>
    <w:rsid w:val="001F6F5F"/>
    <w:rsid w:val="001F6F79"/>
    <w:rsid w:val="001F7099"/>
    <w:rsid w:val="001F7115"/>
    <w:rsid w:val="001F712B"/>
    <w:rsid w:val="001F719D"/>
    <w:rsid w:val="001F71AD"/>
    <w:rsid w:val="001F721E"/>
    <w:rsid w:val="001F721F"/>
    <w:rsid w:val="001F7236"/>
    <w:rsid w:val="001F740A"/>
    <w:rsid w:val="001F74D6"/>
    <w:rsid w:val="001F7502"/>
    <w:rsid w:val="001F7548"/>
    <w:rsid w:val="001F7627"/>
    <w:rsid w:val="001F7682"/>
    <w:rsid w:val="001F770B"/>
    <w:rsid w:val="001F771C"/>
    <w:rsid w:val="001F7860"/>
    <w:rsid w:val="001F787D"/>
    <w:rsid w:val="001F797E"/>
    <w:rsid w:val="001F7984"/>
    <w:rsid w:val="001F7B14"/>
    <w:rsid w:val="001F7B54"/>
    <w:rsid w:val="001F7D72"/>
    <w:rsid w:val="001F7EC9"/>
    <w:rsid w:val="001F7FB7"/>
    <w:rsid w:val="00200287"/>
    <w:rsid w:val="002004A7"/>
    <w:rsid w:val="002004E3"/>
    <w:rsid w:val="0020056A"/>
    <w:rsid w:val="0020058D"/>
    <w:rsid w:val="002005F1"/>
    <w:rsid w:val="0020073F"/>
    <w:rsid w:val="00200885"/>
    <w:rsid w:val="002008E3"/>
    <w:rsid w:val="00200AE6"/>
    <w:rsid w:val="00200B0D"/>
    <w:rsid w:val="00200B18"/>
    <w:rsid w:val="00200BA7"/>
    <w:rsid w:val="00200BE6"/>
    <w:rsid w:val="00200CAF"/>
    <w:rsid w:val="00200CD8"/>
    <w:rsid w:val="00200D92"/>
    <w:rsid w:val="00200E1F"/>
    <w:rsid w:val="00200E8F"/>
    <w:rsid w:val="00200E9E"/>
    <w:rsid w:val="00200EE9"/>
    <w:rsid w:val="002010D8"/>
    <w:rsid w:val="002010DC"/>
    <w:rsid w:val="00201192"/>
    <w:rsid w:val="00201247"/>
    <w:rsid w:val="00201262"/>
    <w:rsid w:val="002013A8"/>
    <w:rsid w:val="002013F4"/>
    <w:rsid w:val="00201403"/>
    <w:rsid w:val="00201432"/>
    <w:rsid w:val="00201528"/>
    <w:rsid w:val="00201651"/>
    <w:rsid w:val="002018A2"/>
    <w:rsid w:val="002018AE"/>
    <w:rsid w:val="002018E7"/>
    <w:rsid w:val="002018FA"/>
    <w:rsid w:val="00201909"/>
    <w:rsid w:val="00201924"/>
    <w:rsid w:val="00201945"/>
    <w:rsid w:val="00201A08"/>
    <w:rsid w:val="00201B05"/>
    <w:rsid w:val="00201EAA"/>
    <w:rsid w:val="00201EF2"/>
    <w:rsid w:val="00201F7E"/>
    <w:rsid w:val="0020206B"/>
    <w:rsid w:val="00202168"/>
    <w:rsid w:val="00202244"/>
    <w:rsid w:val="0020240A"/>
    <w:rsid w:val="0020251A"/>
    <w:rsid w:val="00202529"/>
    <w:rsid w:val="00202812"/>
    <w:rsid w:val="0020282B"/>
    <w:rsid w:val="0020284B"/>
    <w:rsid w:val="00202876"/>
    <w:rsid w:val="002028FD"/>
    <w:rsid w:val="00202902"/>
    <w:rsid w:val="0020292A"/>
    <w:rsid w:val="00202988"/>
    <w:rsid w:val="00202A0B"/>
    <w:rsid w:val="00202A1F"/>
    <w:rsid w:val="00202A3A"/>
    <w:rsid w:val="00202A81"/>
    <w:rsid w:val="00202B91"/>
    <w:rsid w:val="00202BDA"/>
    <w:rsid w:val="00202C43"/>
    <w:rsid w:val="00202D49"/>
    <w:rsid w:val="00202E2D"/>
    <w:rsid w:val="00202EF8"/>
    <w:rsid w:val="00202F95"/>
    <w:rsid w:val="00203077"/>
    <w:rsid w:val="00203081"/>
    <w:rsid w:val="002030C4"/>
    <w:rsid w:val="0020315B"/>
    <w:rsid w:val="002031EB"/>
    <w:rsid w:val="0020326C"/>
    <w:rsid w:val="002033B4"/>
    <w:rsid w:val="00203566"/>
    <w:rsid w:val="0020366A"/>
    <w:rsid w:val="0020385B"/>
    <w:rsid w:val="00203874"/>
    <w:rsid w:val="002038CC"/>
    <w:rsid w:val="002038E2"/>
    <w:rsid w:val="002038FF"/>
    <w:rsid w:val="00203984"/>
    <w:rsid w:val="00203A2A"/>
    <w:rsid w:val="00203ABE"/>
    <w:rsid w:val="00203B79"/>
    <w:rsid w:val="00203C3B"/>
    <w:rsid w:val="00203D8E"/>
    <w:rsid w:val="00203E0C"/>
    <w:rsid w:val="00203E1D"/>
    <w:rsid w:val="00204013"/>
    <w:rsid w:val="002040A5"/>
    <w:rsid w:val="0020410D"/>
    <w:rsid w:val="00204235"/>
    <w:rsid w:val="00204254"/>
    <w:rsid w:val="002042AF"/>
    <w:rsid w:val="002042D4"/>
    <w:rsid w:val="00204412"/>
    <w:rsid w:val="00204426"/>
    <w:rsid w:val="00204478"/>
    <w:rsid w:val="00204523"/>
    <w:rsid w:val="00204552"/>
    <w:rsid w:val="00204605"/>
    <w:rsid w:val="00204659"/>
    <w:rsid w:val="00204741"/>
    <w:rsid w:val="002047C9"/>
    <w:rsid w:val="002047E8"/>
    <w:rsid w:val="002047F9"/>
    <w:rsid w:val="00204843"/>
    <w:rsid w:val="00204907"/>
    <w:rsid w:val="00204A53"/>
    <w:rsid w:val="00204A9C"/>
    <w:rsid w:val="00204AC4"/>
    <w:rsid w:val="00204B86"/>
    <w:rsid w:val="00204DF1"/>
    <w:rsid w:val="00204F03"/>
    <w:rsid w:val="00204F9D"/>
    <w:rsid w:val="00205066"/>
    <w:rsid w:val="002050CF"/>
    <w:rsid w:val="002051E0"/>
    <w:rsid w:val="002051E1"/>
    <w:rsid w:val="00205200"/>
    <w:rsid w:val="00205301"/>
    <w:rsid w:val="0020530A"/>
    <w:rsid w:val="00205324"/>
    <w:rsid w:val="00205427"/>
    <w:rsid w:val="002054A3"/>
    <w:rsid w:val="00205596"/>
    <w:rsid w:val="002055E8"/>
    <w:rsid w:val="0020583B"/>
    <w:rsid w:val="002058F5"/>
    <w:rsid w:val="00205974"/>
    <w:rsid w:val="0020599A"/>
    <w:rsid w:val="00205B25"/>
    <w:rsid w:val="00205B56"/>
    <w:rsid w:val="00205BFB"/>
    <w:rsid w:val="00205C3F"/>
    <w:rsid w:val="00205D91"/>
    <w:rsid w:val="00205F09"/>
    <w:rsid w:val="00205FCC"/>
    <w:rsid w:val="002061DF"/>
    <w:rsid w:val="00206241"/>
    <w:rsid w:val="00206289"/>
    <w:rsid w:val="0020628C"/>
    <w:rsid w:val="002062EB"/>
    <w:rsid w:val="0020631E"/>
    <w:rsid w:val="0020636B"/>
    <w:rsid w:val="002063B3"/>
    <w:rsid w:val="002063CE"/>
    <w:rsid w:val="00206511"/>
    <w:rsid w:val="0020654F"/>
    <w:rsid w:val="002065D3"/>
    <w:rsid w:val="00206635"/>
    <w:rsid w:val="00206774"/>
    <w:rsid w:val="00206944"/>
    <w:rsid w:val="002069CA"/>
    <w:rsid w:val="00206AFB"/>
    <w:rsid w:val="00206BE4"/>
    <w:rsid w:val="00206C3B"/>
    <w:rsid w:val="00206C7B"/>
    <w:rsid w:val="00206D01"/>
    <w:rsid w:val="00206D1D"/>
    <w:rsid w:val="00206DBB"/>
    <w:rsid w:val="00206E6E"/>
    <w:rsid w:val="00206F45"/>
    <w:rsid w:val="00206F67"/>
    <w:rsid w:val="00207033"/>
    <w:rsid w:val="00207072"/>
    <w:rsid w:val="00207096"/>
    <w:rsid w:val="00207150"/>
    <w:rsid w:val="002071A7"/>
    <w:rsid w:val="002071B6"/>
    <w:rsid w:val="0020720E"/>
    <w:rsid w:val="002072BA"/>
    <w:rsid w:val="002072F8"/>
    <w:rsid w:val="002073E2"/>
    <w:rsid w:val="002073FE"/>
    <w:rsid w:val="002075E6"/>
    <w:rsid w:val="00207636"/>
    <w:rsid w:val="00207697"/>
    <w:rsid w:val="00207775"/>
    <w:rsid w:val="002077F0"/>
    <w:rsid w:val="00207945"/>
    <w:rsid w:val="0020796B"/>
    <w:rsid w:val="002079BE"/>
    <w:rsid w:val="002079CE"/>
    <w:rsid w:val="00207AF5"/>
    <w:rsid w:val="00207B96"/>
    <w:rsid w:val="00207D2E"/>
    <w:rsid w:val="00207F11"/>
    <w:rsid w:val="00207FEB"/>
    <w:rsid w:val="0021004D"/>
    <w:rsid w:val="002100EA"/>
    <w:rsid w:val="00210103"/>
    <w:rsid w:val="00210119"/>
    <w:rsid w:val="00210144"/>
    <w:rsid w:val="002101C5"/>
    <w:rsid w:val="0021021D"/>
    <w:rsid w:val="002103EF"/>
    <w:rsid w:val="0021046A"/>
    <w:rsid w:val="002104A7"/>
    <w:rsid w:val="00210539"/>
    <w:rsid w:val="00210870"/>
    <w:rsid w:val="0021093D"/>
    <w:rsid w:val="002109A8"/>
    <w:rsid w:val="00210A3F"/>
    <w:rsid w:val="00210B02"/>
    <w:rsid w:val="00210C01"/>
    <w:rsid w:val="00210CA0"/>
    <w:rsid w:val="00210D95"/>
    <w:rsid w:val="002110B4"/>
    <w:rsid w:val="0021110D"/>
    <w:rsid w:val="002111F2"/>
    <w:rsid w:val="00211208"/>
    <w:rsid w:val="0021121D"/>
    <w:rsid w:val="00211339"/>
    <w:rsid w:val="002113E6"/>
    <w:rsid w:val="00211412"/>
    <w:rsid w:val="00211485"/>
    <w:rsid w:val="002114A6"/>
    <w:rsid w:val="002114C3"/>
    <w:rsid w:val="002114E0"/>
    <w:rsid w:val="00211737"/>
    <w:rsid w:val="00211765"/>
    <w:rsid w:val="002118A9"/>
    <w:rsid w:val="00211923"/>
    <w:rsid w:val="00211BC9"/>
    <w:rsid w:val="00211D37"/>
    <w:rsid w:val="00211D86"/>
    <w:rsid w:val="00211E05"/>
    <w:rsid w:val="00211ECB"/>
    <w:rsid w:val="00211F23"/>
    <w:rsid w:val="00211F85"/>
    <w:rsid w:val="002120E0"/>
    <w:rsid w:val="00212203"/>
    <w:rsid w:val="002122AC"/>
    <w:rsid w:val="00212311"/>
    <w:rsid w:val="00212380"/>
    <w:rsid w:val="002123B5"/>
    <w:rsid w:val="002124B1"/>
    <w:rsid w:val="00212556"/>
    <w:rsid w:val="00212628"/>
    <w:rsid w:val="002126EC"/>
    <w:rsid w:val="0021278B"/>
    <w:rsid w:val="0021282A"/>
    <w:rsid w:val="00212924"/>
    <w:rsid w:val="00212A11"/>
    <w:rsid w:val="00212B5E"/>
    <w:rsid w:val="00212BE3"/>
    <w:rsid w:val="00212CCC"/>
    <w:rsid w:val="00212E80"/>
    <w:rsid w:val="00212EBD"/>
    <w:rsid w:val="00212FC0"/>
    <w:rsid w:val="002130EE"/>
    <w:rsid w:val="00213225"/>
    <w:rsid w:val="00213227"/>
    <w:rsid w:val="002132C6"/>
    <w:rsid w:val="002136EF"/>
    <w:rsid w:val="0021371D"/>
    <w:rsid w:val="00213732"/>
    <w:rsid w:val="002138B5"/>
    <w:rsid w:val="00213908"/>
    <w:rsid w:val="0021390F"/>
    <w:rsid w:val="00213919"/>
    <w:rsid w:val="0021391C"/>
    <w:rsid w:val="00213A4D"/>
    <w:rsid w:val="00213AAF"/>
    <w:rsid w:val="00213B0E"/>
    <w:rsid w:val="00213BE2"/>
    <w:rsid w:val="00213C0C"/>
    <w:rsid w:val="00213E2D"/>
    <w:rsid w:val="00213F45"/>
    <w:rsid w:val="00214082"/>
    <w:rsid w:val="002141FC"/>
    <w:rsid w:val="00214281"/>
    <w:rsid w:val="002142DA"/>
    <w:rsid w:val="002142F2"/>
    <w:rsid w:val="00214352"/>
    <w:rsid w:val="002143BB"/>
    <w:rsid w:val="00214467"/>
    <w:rsid w:val="002144D8"/>
    <w:rsid w:val="00214501"/>
    <w:rsid w:val="00214571"/>
    <w:rsid w:val="0021485B"/>
    <w:rsid w:val="00214890"/>
    <w:rsid w:val="002148C5"/>
    <w:rsid w:val="0021497B"/>
    <w:rsid w:val="00214A4C"/>
    <w:rsid w:val="00214A8B"/>
    <w:rsid w:val="00214AC9"/>
    <w:rsid w:val="00214ACA"/>
    <w:rsid w:val="00214AD4"/>
    <w:rsid w:val="00214BAC"/>
    <w:rsid w:val="00214BFD"/>
    <w:rsid w:val="00214C3C"/>
    <w:rsid w:val="00214D36"/>
    <w:rsid w:val="00214D42"/>
    <w:rsid w:val="00214DAB"/>
    <w:rsid w:val="00214E86"/>
    <w:rsid w:val="00214F0D"/>
    <w:rsid w:val="00214FAE"/>
    <w:rsid w:val="00214FF3"/>
    <w:rsid w:val="00215014"/>
    <w:rsid w:val="00215046"/>
    <w:rsid w:val="0021520C"/>
    <w:rsid w:val="002152C4"/>
    <w:rsid w:val="002152E1"/>
    <w:rsid w:val="00215329"/>
    <w:rsid w:val="00215416"/>
    <w:rsid w:val="00215460"/>
    <w:rsid w:val="00215505"/>
    <w:rsid w:val="00215631"/>
    <w:rsid w:val="002156F9"/>
    <w:rsid w:val="00215995"/>
    <w:rsid w:val="002159BD"/>
    <w:rsid w:val="002159CB"/>
    <w:rsid w:val="00215A24"/>
    <w:rsid w:val="00215A39"/>
    <w:rsid w:val="00215A53"/>
    <w:rsid w:val="00215C97"/>
    <w:rsid w:val="00215E4C"/>
    <w:rsid w:val="00215F2D"/>
    <w:rsid w:val="00215FD4"/>
    <w:rsid w:val="00216107"/>
    <w:rsid w:val="002161C7"/>
    <w:rsid w:val="00216215"/>
    <w:rsid w:val="00216288"/>
    <w:rsid w:val="002162B4"/>
    <w:rsid w:val="00216305"/>
    <w:rsid w:val="002164C0"/>
    <w:rsid w:val="00216507"/>
    <w:rsid w:val="0021650D"/>
    <w:rsid w:val="00216555"/>
    <w:rsid w:val="00216580"/>
    <w:rsid w:val="002165BC"/>
    <w:rsid w:val="002165D5"/>
    <w:rsid w:val="002166C3"/>
    <w:rsid w:val="00216704"/>
    <w:rsid w:val="0021684F"/>
    <w:rsid w:val="0021688B"/>
    <w:rsid w:val="00216996"/>
    <w:rsid w:val="002169B4"/>
    <w:rsid w:val="002169BC"/>
    <w:rsid w:val="00216A19"/>
    <w:rsid w:val="00216A73"/>
    <w:rsid w:val="00216AFB"/>
    <w:rsid w:val="00216C2E"/>
    <w:rsid w:val="00216C3B"/>
    <w:rsid w:val="00216C76"/>
    <w:rsid w:val="00216CCE"/>
    <w:rsid w:val="00216D0B"/>
    <w:rsid w:val="00216DED"/>
    <w:rsid w:val="00216E38"/>
    <w:rsid w:val="00216EA8"/>
    <w:rsid w:val="00216FDC"/>
    <w:rsid w:val="00216FF4"/>
    <w:rsid w:val="00217092"/>
    <w:rsid w:val="00217099"/>
    <w:rsid w:val="002170C5"/>
    <w:rsid w:val="002170EB"/>
    <w:rsid w:val="00217139"/>
    <w:rsid w:val="0021725D"/>
    <w:rsid w:val="002172A3"/>
    <w:rsid w:val="002172F2"/>
    <w:rsid w:val="002173EE"/>
    <w:rsid w:val="00217452"/>
    <w:rsid w:val="00217460"/>
    <w:rsid w:val="00217483"/>
    <w:rsid w:val="00217492"/>
    <w:rsid w:val="00217582"/>
    <w:rsid w:val="00217590"/>
    <w:rsid w:val="002175F0"/>
    <w:rsid w:val="0021762F"/>
    <w:rsid w:val="0021773B"/>
    <w:rsid w:val="002178E6"/>
    <w:rsid w:val="00217924"/>
    <w:rsid w:val="0021795B"/>
    <w:rsid w:val="00217A26"/>
    <w:rsid w:val="00217AAD"/>
    <w:rsid w:val="00217B14"/>
    <w:rsid w:val="00217B57"/>
    <w:rsid w:val="00217CE7"/>
    <w:rsid w:val="00217E5F"/>
    <w:rsid w:val="00220287"/>
    <w:rsid w:val="002202E6"/>
    <w:rsid w:val="0022031F"/>
    <w:rsid w:val="00220484"/>
    <w:rsid w:val="0022053F"/>
    <w:rsid w:val="00220561"/>
    <w:rsid w:val="00220650"/>
    <w:rsid w:val="00220665"/>
    <w:rsid w:val="00220691"/>
    <w:rsid w:val="0022072A"/>
    <w:rsid w:val="00220765"/>
    <w:rsid w:val="002207C8"/>
    <w:rsid w:val="00220847"/>
    <w:rsid w:val="00220A96"/>
    <w:rsid w:val="00220AF6"/>
    <w:rsid w:val="00220BEA"/>
    <w:rsid w:val="00220C66"/>
    <w:rsid w:val="00220C73"/>
    <w:rsid w:val="00220C90"/>
    <w:rsid w:val="00220D5D"/>
    <w:rsid w:val="00220D71"/>
    <w:rsid w:val="00220DC3"/>
    <w:rsid w:val="00220DFF"/>
    <w:rsid w:val="00220E48"/>
    <w:rsid w:val="00220E91"/>
    <w:rsid w:val="00220ED7"/>
    <w:rsid w:val="00220FAE"/>
    <w:rsid w:val="00220FB1"/>
    <w:rsid w:val="002211F2"/>
    <w:rsid w:val="00221281"/>
    <w:rsid w:val="00221332"/>
    <w:rsid w:val="0022152B"/>
    <w:rsid w:val="00221572"/>
    <w:rsid w:val="00221731"/>
    <w:rsid w:val="00221840"/>
    <w:rsid w:val="00221854"/>
    <w:rsid w:val="00221863"/>
    <w:rsid w:val="002218B4"/>
    <w:rsid w:val="00221971"/>
    <w:rsid w:val="0022199C"/>
    <w:rsid w:val="00221B8F"/>
    <w:rsid w:val="00221C0E"/>
    <w:rsid w:val="00221C41"/>
    <w:rsid w:val="00221CCB"/>
    <w:rsid w:val="00221CF8"/>
    <w:rsid w:val="00221D0C"/>
    <w:rsid w:val="00221D25"/>
    <w:rsid w:val="00221D61"/>
    <w:rsid w:val="00221F94"/>
    <w:rsid w:val="00222146"/>
    <w:rsid w:val="00222177"/>
    <w:rsid w:val="002223DB"/>
    <w:rsid w:val="002223DE"/>
    <w:rsid w:val="0022248C"/>
    <w:rsid w:val="002224B4"/>
    <w:rsid w:val="00222704"/>
    <w:rsid w:val="00222777"/>
    <w:rsid w:val="002228B8"/>
    <w:rsid w:val="00222922"/>
    <w:rsid w:val="002229DF"/>
    <w:rsid w:val="00222AA3"/>
    <w:rsid w:val="00222C1D"/>
    <w:rsid w:val="00222C8D"/>
    <w:rsid w:val="00222D6D"/>
    <w:rsid w:val="00222EDC"/>
    <w:rsid w:val="00222FE6"/>
    <w:rsid w:val="00223009"/>
    <w:rsid w:val="00223025"/>
    <w:rsid w:val="00223177"/>
    <w:rsid w:val="00223261"/>
    <w:rsid w:val="0022328B"/>
    <w:rsid w:val="002232BB"/>
    <w:rsid w:val="00223317"/>
    <w:rsid w:val="00223440"/>
    <w:rsid w:val="00223471"/>
    <w:rsid w:val="00223497"/>
    <w:rsid w:val="0022359C"/>
    <w:rsid w:val="002235FF"/>
    <w:rsid w:val="00223658"/>
    <w:rsid w:val="0022370F"/>
    <w:rsid w:val="0022384E"/>
    <w:rsid w:val="00223A64"/>
    <w:rsid w:val="00223C14"/>
    <w:rsid w:val="00223D1F"/>
    <w:rsid w:val="00223D20"/>
    <w:rsid w:val="00223D60"/>
    <w:rsid w:val="00223DFD"/>
    <w:rsid w:val="00223F3D"/>
    <w:rsid w:val="00223FB9"/>
    <w:rsid w:val="00223FC1"/>
    <w:rsid w:val="002240AC"/>
    <w:rsid w:val="002240D0"/>
    <w:rsid w:val="002241C7"/>
    <w:rsid w:val="00224261"/>
    <w:rsid w:val="002242F4"/>
    <w:rsid w:val="00224327"/>
    <w:rsid w:val="0022438D"/>
    <w:rsid w:val="002244B4"/>
    <w:rsid w:val="00224555"/>
    <w:rsid w:val="00224621"/>
    <w:rsid w:val="00224746"/>
    <w:rsid w:val="00224949"/>
    <w:rsid w:val="00224996"/>
    <w:rsid w:val="00224A07"/>
    <w:rsid w:val="00224B0E"/>
    <w:rsid w:val="00224B6A"/>
    <w:rsid w:val="00224BD6"/>
    <w:rsid w:val="00224CA3"/>
    <w:rsid w:val="00224CB9"/>
    <w:rsid w:val="00224D1E"/>
    <w:rsid w:val="00224E3A"/>
    <w:rsid w:val="00224E44"/>
    <w:rsid w:val="00224F2A"/>
    <w:rsid w:val="00224FEC"/>
    <w:rsid w:val="0022508B"/>
    <w:rsid w:val="002250A5"/>
    <w:rsid w:val="002250F4"/>
    <w:rsid w:val="00225284"/>
    <w:rsid w:val="002253A3"/>
    <w:rsid w:val="002253BA"/>
    <w:rsid w:val="002253EF"/>
    <w:rsid w:val="00225413"/>
    <w:rsid w:val="0022546B"/>
    <w:rsid w:val="002254E6"/>
    <w:rsid w:val="00225545"/>
    <w:rsid w:val="00225615"/>
    <w:rsid w:val="00225669"/>
    <w:rsid w:val="00225807"/>
    <w:rsid w:val="0022587F"/>
    <w:rsid w:val="00225892"/>
    <w:rsid w:val="00225A1F"/>
    <w:rsid w:val="00225AC8"/>
    <w:rsid w:val="00225B26"/>
    <w:rsid w:val="00225B2D"/>
    <w:rsid w:val="00225B50"/>
    <w:rsid w:val="00225B53"/>
    <w:rsid w:val="00225B68"/>
    <w:rsid w:val="00225C98"/>
    <w:rsid w:val="00225CAA"/>
    <w:rsid w:val="00225D3E"/>
    <w:rsid w:val="00225DD8"/>
    <w:rsid w:val="00225E04"/>
    <w:rsid w:val="00225EA1"/>
    <w:rsid w:val="00225EBC"/>
    <w:rsid w:val="00225FDD"/>
    <w:rsid w:val="0022603C"/>
    <w:rsid w:val="0022621B"/>
    <w:rsid w:val="00226250"/>
    <w:rsid w:val="002262BF"/>
    <w:rsid w:val="00226321"/>
    <w:rsid w:val="00226349"/>
    <w:rsid w:val="002263C2"/>
    <w:rsid w:val="002264C4"/>
    <w:rsid w:val="00226517"/>
    <w:rsid w:val="00226737"/>
    <w:rsid w:val="00226769"/>
    <w:rsid w:val="0022681B"/>
    <w:rsid w:val="002268A4"/>
    <w:rsid w:val="00226AAE"/>
    <w:rsid w:val="00226AB0"/>
    <w:rsid w:val="00226ACE"/>
    <w:rsid w:val="00226ADE"/>
    <w:rsid w:val="00226B30"/>
    <w:rsid w:val="00226C68"/>
    <w:rsid w:val="00226CA0"/>
    <w:rsid w:val="00226E64"/>
    <w:rsid w:val="00227032"/>
    <w:rsid w:val="0022704E"/>
    <w:rsid w:val="00227230"/>
    <w:rsid w:val="00227272"/>
    <w:rsid w:val="002272E2"/>
    <w:rsid w:val="002272E8"/>
    <w:rsid w:val="00227386"/>
    <w:rsid w:val="002273B7"/>
    <w:rsid w:val="002273DF"/>
    <w:rsid w:val="002274D2"/>
    <w:rsid w:val="00227504"/>
    <w:rsid w:val="002276EB"/>
    <w:rsid w:val="0022779C"/>
    <w:rsid w:val="00227882"/>
    <w:rsid w:val="002278B4"/>
    <w:rsid w:val="00227AC6"/>
    <w:rsid w:val="00227B5A"/>
    <w:rsid w:val="00227B5C"/>
    <w:rsid w:val="00227B5F"/>
    <w:rsid w:val="00227BF4"/>
    <w:rsid w:val="00227D37"/>
    <w:rsid w:val="00227D4A"/>
    <w:rsid w:val="00227E47"/>
    <w:rsid w:val="00227EC2"/>
    <w:rsid w:val="00230000"/>
    <w:rsid w:val="0023007B"/>
    <w:rsid w:val="002300A7"/>
    <w:rsid w:val="002300DF"/>
    <w:rsid w:val="0023018D"/>
    <w:rsid w:val="0023023E"/>
    <w:rsid w:val="00230286"/>
    <w:rsid w:val="0023036C"/>
    <w:rsid w:val="0023040A"/>
    <w:rsid w:val="00230420"/>
    <w:rsid w:val="00230444"/>
    <w:rsid w:val="00230456"/>
    <w:rsid w:val="002304A9"/>
    <w:rsid w:val="00230510"/>
    <w:rsid w:val="00230540"/>
    <w:rsid w:val="002305CA"/>
    <w:rsid w:val="0023060A"/>
    <w:rsid w:val="00230695"/>
    <w:rsid w:val="00230700"/>
    <w:rsid w:val="002307B8"/>
    <w:rsid w:val="002307CC"/>
    <w:rsid w:val="002309AE"/>
    <w:rsid w:val="00230A30"/>
    <w:rsid w:val="00230A67"/>
    <w:rsid w:val="00230A82"/>
    <w:rsid w:val="00230AA4"/>
    <w:rsid w:val="00230BC9"/>
    <w:rsid w:val="00230C05"/>
    <w:rsid w:val="00230C20"/>
    <w:rsid w:val="00230C86"/>
    <w:rsid w:val="00230CF6"/>
    <w:rsid w:val="00230DDB"/>
    <w:rsid w:val="00230DE2"/>
    <w:rsid w:val="00230FD5"/>
    <w:rsid w:val="00230FDA"/>
    <w:rsid w:val="002311B8"/>
    <w:rsid w:val="00231260"/>
    <w:rsid w:val="002313F1"/>
    <w:rsid w:val="00231420"/>
    <w:rsid w:val="00231423"/>
    <w:rsid w:val="00231566"/>
    <w:rsid w:val="0023166B"/>
    <w:rsid w:val="00231680"/>
    <w:rsid w:val="00231729"/>
    <w:rsid w:val="00231741"/>
    <w:rsid w:val="0023187E"/>
    <w:rsid w:val="00231898"/>
    <w:rsid w:val="002318D1"/>
    <w:rsid w:val="00231A83"/>
    <w:rsid w:val="00231B66"/>
    <w:rsid w:val="00231B6E"/>
    <w:rsid w:val="00231D8E"/>
    <w:rsid w:val="00231E77"/>
    <w:rsid w:val="00231F78"/>
    <w:rsid w:val="0023201A"/>
    <w:rsid w:val="00232140"/>
    <w:rsid w:val="00232175"/>
    <w:rsid w:val="002321D4"/>
    <w:rsid w:val="002321E2"/>
    <w:rsid w:val="0023220A"/>
    <w:rsid w:val="00232378"/>
    <w:rsid w:val="002323AA"/>
    <w:rsid w:val="002325C6"/>
    <w:rsid w:val="0023268C"/>
    <w:rsid w:val="00232906"/>
    <w:rsid w:val="00232911"/>
    <w:rsid w:val="00232AB7"/>
    <w:rsid w:val="00232B76"/>
    <w:rsid w:val="00232BCC"/>
    <w:rsid w:val="00232CA6"/>
    <w:rsid w:val="00232D23"/>
    <w:rsid w:val="00232EA0"/>
    <w:rsid w:val="00232F91"/>
    <w:rsid w:val="00232F9D"/>
    <w:rsid w:val="00232FC7"/>
    <w:rsid w:val="00233114"/>
    <w:rsid w:val="002332AD"/>
    <w:rsid w:val="002332BD"/>
    <w:rsid w:val="002333A6"/>
    <w:rsid w:val="002334D1"/>
    <w:rsid w:val="00233599"/>
    <w:rsid w:val="002336EE"/>
    <w:rsid w:val="00233742"/>
    <w:rsid w:val="002337DC"/>
    <w:rsid w:val="00233A63"/>
    <w:rsid w:val="00233AA5"/>
    <w:rsid w:val="00233B3E"/>
    <w:rsid w:val="00233B4E"/>
    <w:rsid w:val="00233BE4"/>
    <w:rsid w:val="00233C6B"/>
    <w:rsid w:val="00233C7F"/>
    <w:rsid w:val="00233D12"/>
    <w:rsid w:val="00233D95"/>
    <w:rsid w:val="00233E66"/>
    <w:rsid w:val="00233E68"/>
    <w:rsid w:val="00233F77"/>
    <w:rsid w:val="0023405B"/>
    <w:rsid w:val="0023443C"/>
    <w:rsid w:val="0023460B"/>
    <w:rsid w:val="0023475A"/>
    <w:rsid w:val="002347DC"/>
    <w:rsid w:val="00234990"/>
    <w:rsid w:val="002349CB"/>
    <w:rsid w:val="00234AD7"/>
    <w:rsid w:val="00234BED"/>
    <w:rsid w:val="00234CCB"/>
    <w:rsid w:val="00234D01"/>
    <w:rsid w:val="00234E36"/>
    <w:rsid w:val="00234ECB"/>
    <w:rsid w:val="00234F2F"/>
    <w:rsid w:val="00234F56"/>
    <w:rsid w:val="00234F9B"/>
    <w:rsid w:val="0023505A"/>
    <w:rsid w:val="002350D6"/>
    <w:rsid w:val="00235160"/>
    <w:rsid w:val="002352A9"/>
    <w:rsid w:val="00235375"/>
    <w:rsid w:val="002353A1"/>
    <w:rsid w:val="00235404"/>
    <w:rsid w:val="0023543D"/>
    <w:rsid w:val="002356D0"/>
    <w:rsid w:val="00235753"/>
    <w:rsid w:val="00235818"/>
    <w:rsid w:val="00235863"/>
    <w:rsid w:val="00235882"/>
    <w:rsid w:val="002358F6"/>
    <w:rsid w:val="002359D3"/>
    <w:rsid w:val="00235A36"/>
    <w:rsid w:val="00235A87"/>
    <w:rsid w:val="00235B05"/>
    <w:rsid w:val="00235B37"/>
    <w:rsid w:val="00235BC6"/>
    <w:rsid w:val="00235C8D"/>
    <w:rsid w:val="00235ECB"/>
    <w:rsid w:val="002361B2"/>
    <w:rsid w:val="00236203"/>
    <w:rsid w:val="0023620C"/>
    <w:rsid w:val="00236422"/>
    <w:rsid w:val="0023645F"/>
    <w:rsid w:val="0023654B"/>
    <w:rsid w:val="002365C8"/>
    <w:rsid w:val="002366DE"/>
    <w:rsid w:val="002366F3"/>
    <w:rsid w:val="00236728"/>
    <w:rsid w:val="0023684E"/>
    <w:rsid w:val="00236883"/>
    <w:rsid w:val="00236A45"/>
    <w:rsid w:val="00236A54"/>
    <w:rsid w:val="00236AAD"/>
    <w:rsid w:val="00236B68"/>
    <w:rsid w:val="00236C5E"/>
    <w:rsid w:val="00236E19"/>
    <w:rsid w:val="00236E32"/>
    <w:rsid w:val="00236F6F"/>
    <w:rsid w:val="00236FE8"/>
    <w:rsid w:val="002370EA"/>
    <w:rsid w:val="0023712B"/>
    <w:rsid w:val="002372E9"/>
    <w:rsid w:val="00237395"/>
    <w:rsid w:val="0023745F"/>
    <w:rsid w:val="00237472"/>
    <w:rsid w:val="002374B1"/>
    <w:rsid w:val="0023759F"/>
    <w:rsid w:val="0023771B"/>
    <w:rsid w:val="00237724"/>
    <w:rsid w:val="00237731"/>
    <w:rsid w:val="00237767"/>
    <w:rsid w:val="0023783F"/>
    <w:rsid w:val="00237C46"/>
    <w:rsid w:val="00237CA4"/>
    <w:rsid w:val="00237CC7"/>
    <w:rsid w:val="00237D5C"/>
    <w:rsid w:val="00237E5F"/>
    <w:rsid w:val="00237E9E"/>
    <w:rsid w:val="0023CFF7"/>
    <w:rsid w:val="0024007E"/>
    <w:rsid w:val="00240093"/>
    <w:rsid w:val="00240177"/>
    <w:rsid w:val="0024020E"/>
    <w:rsid w:val="0024023D"/>
    <w:rsid w:val="00240363"/>
    <w:rsid w:val="00240398"/>
    <w:rsid w:val="002403BE"/>
    <w:rsid w:val="00240505"/>
    <w:rsid w:val="0024052C"/>
    <w:rsid w:val="0024069E"/>
    <w:rsid w:val="002407F2"/>
    <w:rsid w:val="0024080C"/>
    <w:rsid w:val="00240845"/>
    <w:rsid w:val="00240860"/>
    <w:rsid w:val="00240869"/>
    <w:rsid w:val="00240A32"/>
    <w:rsid w:val="00240A4B"/>
    <w:rsid w:val="00240A87"/>
    <w:rsid w:val="00240A8F"/>
    <w:rsid w:val="00240AB1"/>
    <w:rsid w:val="00240D2A"/>
    <w:rsid w:val="00240E38"/>
    <w:rsid w:val="00241160"/>
    <w:rsid w:val="0024127A"/>
    <w:rsid w:val="0024140D"/>
    <w:rsid w:val="00241458"/>
    <w:rsid w:val="002415CE"/>
    <w:rsid w:val="002415D4"/>
    <w:rsid w:val="002415EB"/>
    <w:rsid w:val="002418BC"/>
    <w:rsid w:val="00241AC1"/>
    <w:rsid w:val="00241AFE"/>
    <w:rsid w:val="00241B47"/>
    <w:rsid w:val="00241CE7"/>
    <w:rsid w:val="00241CFE"/>
    <w:rsid w:val="00241D37"/>
    <w:rsid w:val="00241E47"/>
    <w:rsid w:val="00242056"/>
    <w:rsid w:val="0024214C"/>
    <w:rsid w:val="00242221"/>
    <w:rsid w:val="00242252"/>
    <w:rsid w:val="002422DC"/>
    <w:rsid w:val="002422DF"/>
    <w:rsid w:val="00242370"/>
    <w:rsid w:val="00242388"/>
    <w:rsid w:val="0024249F"/>
    <w:rsid w:val="00242521"/>
    <w:rsid w:val="002425F3"/>
    <w:rsid w:val="002425FE"/>
    <w:rsid w:val="00242720"/>
    <w:rsid w:val="002427C5"/>
    <w:rsid w:val="00242A76"/>
    <w:rsid w:val="00242B7C"/>
    <w:rsid w:val="00242D86"/>
    <w:rsid w:val="00242E11"/>
    <w:rsid w:val="00242EFE"/>
    <w:rsid w:val="00243031"/>
    <w:rsid w:val="00243193"/>
    <w:rsid w:val="00243260"/>
    <w:rsid w:val="0024329E"/>
    <w:rsid w:val="00243391"/>
    <w:rsid w:val="00243642"/>
    <w:rsid w:val="002436D2"/>
    <w:rsid w:val="00243793"/>
    <w:rsid w:val="002437A2"/>
    <w:rsid w:val="00243927"/>
    <w:rsid w:val="00243B76"/>
    <w:rsid w:val="00243B8B"/>
    <w:rsid w:val="00243BCC"/>
    <w:rsid w:val="00243C9F"/>
    <w:rsid w:val="00243CC4"/>
    <w:rsid w:val="00243DEB"/>
    <w:rsid w:val="00243F7D"/>
    <w:rsid w:val="00243F85"/>
    <w:rsid w:val="00243FAB"/>
    <w:rsid w:val="00243FFB"/>
    <w:rsid w:val="00244165"/>
    <w:rsid w:val="0024422D"/>
    <w:rsid w:val="0024424A"/>
    <w:rsid w:val="00244341"/>
    <w:rsid w:val="00244721"/>
    <w:rsid w:val="00244889"/>
    <w:rsid w:val="002448DB"/>
    <w:rsid w:val="00244931"/>
    <w:rsid w:val="00244945"/>
    <w:rsid w:val="00244946"/>
    <w:rsid w:val="00244AFC"/>
    <w:rsid w:val="00244CB4"/>
    <w:rsid w:val="00244D3D"/>
    <w:rsid w:val="00244D4A"/>
    <w:rsid w:val="00244E3D"/>
    <w:rsid w:val="00244FA2"/>
    <w:rsid w:val="00245072"/>
    <w:rsid w:val="002450B9"/>
    <w:rsid w:val="002451BD"/>
    <w:rsid w:val="002452FE"/>
    <w:rsid w:val="0024530A"/>
    <w:rsid w:val="0024531A"/>
    <w:rsid w:val="002454CB"/>
    <w:rsid w:val="00245548"/>
    <w:rsid w:val="0024555C"/>
    <w:rsid w:val="0024557C"/>
    <w:rsid w:val="002456C7"/>
    <w:rsid w:val="0024584A"/>
    <w:rsid w:val="002458A6"/>
    <w:rsid w:val="00245915"/>
    <w:rsid w:val="00245972"/>
    <w:rsid w:val="0024599F"/>
    <w:rsid w:val="00245AC3"/>
    <w:rsid w:val="00245BD3"/>
    <w:rsid w:val="00245C61"/>
    <w:rsid w:val="00245CAE"/>
    <w:rsid w:val="00245D42"/>
    <w:rsid w:val="00245DA5"/>
    <w:rsid w:val="00245DBD"/>
    <w:rsid w:val="00245ECB"/>
    <w:rsid w:val="00246083"/>
    <w:rsid w:val="0024611A"/>
    <w:rsid w:val="0024617D"/>
    <w:rsid w:val="002461E5"/>
    <w:rsid w:val="00246275"/>
    <w:rsid w:val="002462E7"/>
    <w:rsid w:val="002462EB"/>
    <w:rsid w:val="00246326"/>
    <w:rsid w:val="00246406"/>
    <w:rsid w:val="00246469"/>
    <w:rsid w:val="002464EF"/>
    <w:rsid w:val="00246801"/>
    <w:rsid w:val="0024688F"/>
    <w:rsid w:val="00246894"/>
    <w:rsid w:val="002468D8"/>
    <w:rsid w:val="002468E6"/>
    <w:rsid w:val="00246996"/>
    <w:rsid w:val="00246B11"/>
    <w:rsid w:val="00246B96"/>
    <w:rsid w:val="00246BE9"/>
    <w:rsid w:val="00246C33"/>
    <w:rsid w:val="00246CB0"/>
    <w:rsid w:val="00246D6D"/>
    <w:rsid w:val="00246E06"/>
    <w:rsid w:val="00246E65"/>
    <w:rsid w:val="00246E86"/>
    <w:rsid w:val="00246FA3"/>
    <w:rsid w:val="00246FC1"/>
    <w:rsid w:val="00246FCC"/>
    <w:rsid w:val="00246FD9"/>
    <w:rsid w:val="00246FFF"/>
    <w:rsid w:val="00247125"/>
    <w:rsid w:val="0024717A"/>
    <w:rsid w:val="00247191"/>
    <w:rsid w:val="002471E5"/>
    <w:rsid w:val="00247397"/>
    <w:rsid w:val="002473C0"/>
    <w:rsid w:val="0024742A"/>
    <w:rsid w:val="00247507"/>
    <w:rsid w:val="0024752A"/>
    <w:rsid w:val="002475ED"/>
    <w:rsid w:val="002475F3"/>
    <w:rsid w:val="00247683"/>
    <w:rsid w:val="00247686"/>
    <w:rsid w:val="002476D2"/>
    <w:rsid w:val="002478DA"/>
    <w:rsid w:val="00247A98"/>
    <w:rsid w:val="00247AC9"/>
    <w:rsid w:val="00247B09"/>
    <w:rsid w:val="00247B2D"/>
    <w:rsid w:val="00247C0D"/>
    <w:rsid w:val="00247D74"/>
    <w:rsid w:val="00247DE3"/>
    <w:rsid w:val="00250073"/>
    <w:rsid w:val="002500EF"/>
    <w:rsid w:val="002502F0"/>
    <w:rsid w:val="0025031A"/>
    <w:rsid w:val="002503C3"/>
    <w:rsid w:val="0025044B"/>
    <w:rsid w:val="002504C1"/>
    <w:rsid w:val="0025057C"/>
    <w:rsid w:val="00250621"/>
    <w:rsid w:val="002506B0"/>
    <w:rsid w:val="002506B5"/>
    <w:rsid w:val="002506E8"/>
    <w:rsid w:val="002509C1"/>
    <w:rsid w:val="002509F2"/>
    <w:rsid w:val="00250A65"/>
    <w:rsid w:val="00250A6A"/>
    <w:rsid w:val="00250B06"/>
    <w:rsid w:val="00250C17"/>
    <w:rsid w:val="00250C77"/>
    <w:rsid w:val="00250D70"/>
    <w:rsid w:val="00250DFA"/>
    <w:rsid w:val="00250F54"/>
    <w:rsid w:val="00250FC8"/>
    <w:rsid w:val="0025115C"/>
    <w:rsid w:val="002511B4"/>
    <w:rsid w:val="002512D9"/>
    <w:rsid w:val="0025132F"/>
    <w:rsid w:val="00251333"/>
    <w:rsid w:val="0025134D"/>
    <w:rsid w:val="0025143A"/>
    <w:rsid w:val="00251586"/>
    <w:rsid w:val="002515BA"/>
    <w:rsid w:val="00251618"/>
    <w:rsid w:val="00251739"/>
    <w:rsid w:val="002517C7"/>
    <w:rsid w:val="00251C8A"/>
    <w:rsid w:val="00251CB5"/>
    <w:rsid w:val="00251CCF"/>
    <w:rsid w:val="00251CD3"/>
    <w:rsid w:val="00251ED4"/>
    <w:rsid w:val="00251EFB"/>
    <w:rsid w:val="00251F7D"/>
    <w:rsid w:val="00251F98"/>
    <w:rsid w:val="00252316"/>
    <w:rsid w:val="0025234E"/>
    <w:rsid w:val="002523B9"/>
    <w:rsid w:val="002524A2"/>
    <w:rsid w:val="0025252E"/>
    <w:rsid w:val="002525C8"/>
    <w:rsid w:val="00252710"/>
    <w:rsid w:val="002528EC"/>
    <w:rsid w:val="00252A12"/>
    <w:rsid w:val="00252BAD"/>
    <w:rsid w:val="00252E82"/>
    <w:rsid w:val="00252ED9"/>
    <w:rsid w:val="00252EFE"/>
    <w:rsid w:val="00252F76"/>
    <w:rsid w:val="00252FC1"/>
    <w:rsid w:val="0025311E"/>
    <w:rsid w:val="0025321A"/>
    <w:rsid w:val="002532F1"/>
    <w:rsid w:val="00253633"/>
    <w:rsid w:val="0025366A"/>
    <w:rsid w:val="002536B4"/>
    <w:rsid w:val="00253731"/>
    <w:rsid w:val="002537F7"/>
    <w:rsid w:val="00253943"/>
    <w:rsid w:val="002539BB"/>
    <w:rsid w:val="002539C5"/>
    <w:rsid w:val="00253A92"/>
    <w:rsid w:val="00253AB4"/>
    <w:rsid w:val="00253B03"/>
    <w:rsid w:val="00253B0A"/>
    <w:rsid w:val="00253C56"/>
    <w:rsid w:val="00253DD9"/>
    <w:rsid w:val="00253E50"/>
    <w:rsid w:val="00253F19"/>
    <w:rsid w:val="00253FC7"/>
    <w:rsid w:val="0025425F"/>
    <w:rsid w:val="00254265"/>
    <w:rsid w:val="002542D6"/>
    <w:rsid w:val="0025435C"/>
    <w:rsid w:val="002544A9"/>
    <w:rsid w:val="002545A3"/>
    <w:rsid w:val="002546B4"/>
    <w:rsid w:val="002546EF"/>
    <w:rsid w:val="0025475A"/>
    <w:rsid w:val="002548C5"/>
    <w:rsid w:val="00254923"/>
    <w:rsid w:val="00254931"/>
    <w:rsid w:val="0025495E"/>
    <w:rsid w:val="00254A1F"/>
    <w:rsid w:val="00254A61"/>
    <w:rsid w:val="00254A7C"/>
    <w:rsid w:val="00254D00"/>
    <w:rsid w:val="00254D59"/>
    <w:rsid w:val="00254D6A"/>
    <w:rsid w:val="00254D97"/>
    <w:rsid w:val="00254E21"/>
    <w:rsid w:val="00254E8A"/>
    <w:rsid w:val="00254EE8"/>
    <w:rsid w:val="00255045"/>
    <w:rsid w:val="0025508A"/>
    <w:rsid w:val="002550D4"/>
    <w:rsid w:val="00255189"/>
    <w:rsid w:val="00255435"/>
    <w:rsid w:val="00255473"/>
    <w:rsid w:val="00255575"/>
    <w:rsid w:val="00255974"/>
    <w:rsid w:val="00255ADC"/>
    <w:rsid w:val="00255B79"/>
    <w:rsid w:val="00255C83"/>
    <w:rsid w:val="00255CE4"/>
    <w:rsid w:val="00255D85"/>
    <w:rsid w:val="00255DB2"/>
    <w:rsid w:val="00255DB9"/>
    <w:rsid w:val="00255F0C"/>
    <w:rsid w:val="00255FF1"/>
    <w:rsid w:val="0025600D"/>
    <w:rsid w:val="00256218"/>
    <w:rsid w:val="00256220"/>
    <w:rsid w:val="00256348"/>
    <w:rsid w:val="0025635F"/>
    <w:rsid w:val="00256497"/>
    <w:rsid w:val="002564D8"/>
    <w:rsid w:val="002564F0"/>
    <w:rsid w:val="00256648"/>
    <w:rsid w:val="0025681B"/>
    <w:rsid w:val="002568BC"/>
    <w:rsid w:val="00256928"/>
    <w:rsid w:val="00256B82"/>
    <w:rsid w:val="00256BFB"/>
    <w:rsid w:val="00256DB9"/>
    <w:rsid w:val="00256DBC"/>
    <w:rsid w:val="00256E22"/>
    <w:rsid w:val="00256F51"/>
    <w:rsid w:val="00256F65"/>
    <w:rsid w:val="00256FDF"/>
    <w:rsid w:val="00257005"/>
    <w:rsid w:val="00257038"/>
    <w:rsid w:val="002571C4"/>
    <w:rsid w:val="00257207"/>
    <w:rsid w:val="00257216"/>
    <w:rsid w:val="0025740A"/>
    <w:rsid w:val="0025779D"/>
    <w:rsid w:val="002577F7"/>
    <w:rsid w:val="002578D0"/>
    <w:rsid w:val="002579C0"/>
    <w:rsid w:val="00257B7C"/>
    <w:rsid w:val="00257C28"/>
    <w:rsid w:val="00257F30"/>
    <w:rsid w:val="00257F67"/>
    <w:rsid w:val="0025FE3E"/>
    <w:rsid w:val="00260163"/>
    <w:rsid w:val="002602A6"/>
    <w:rsid w:val="0026035F"/>
    <w:rsid w:val="002603EF"/>
    <w:rsid w:val="00260699"/>
    <w:rsid w:val="002606F1"/>
    <w:rsid w:val="00260723"/>
    <w:rsid w:val="00260818"/>
    <w:rsid w:val="002608AC"/>
    <w:rsid w:val="002608D4"/>
    <w:rsid w:val="00260AB6"/>
    <w:rsid w:val="00260AD4"/>
    <w:rsid w:val="00260D6B"/>
    <w:rsid w:val="00260E2E"/>
    <w:rsid w:val="00261035"/>
    <w:rsid w:val="00261096"/>
    <w:rsid w:val="00261178"/>
    <w:rsid w:val="002611A5"/>
    <w:rsid w:val="00261472"/>
    <w:rsid w:val="00261482"/>
    <w:rsid w:val="002614AC"/>
    <w:rsid w:val="00261600"/>
    <w:rsid w:val="0026171F"/>
    <w:rsid w:val="002617B1"/>
    <w:rsid w:val="00261A46"/>
    <w:rsid w:val="00261BFD"/>
    <w:rsid w:val="00261C84"/>
    <w:rsid w:val="00261EC2"/>
    <w:rsid w:val="00261F6A"/>
    <w:rsid w:val="00261FD7"/>
    <w:rsid w:val="002620AC"/>
    <w:rsid w:val="00262120"/>
    <w:rsid w:val="0026216D"/>
    <w:rsid w:val="002621D5"/>
    <w:rsid w:val="002622C4"/>
    <w:rsid w:val="0026233E"/>
    <w:rsid w:val="002623A4"/>
    <w:rsid w:val="00262439"/>
    <w:rsid w:val="002624C2"/>
    <w:rsid w:val="0026253F"/>
    <w:rsid w:val="0026259E"/>
    <w:rsid w:val="002625C7"/>
    <w:rsid w:val="00262654"/>
    <w:rsid w:val="00262780"/>
    <w:rsid w:val="00262893"/>
    <w:rsid w:val="002628C5"/>
    <w:rsid w:val="002629C0"/>
    <w:rsid w:val="00262B2F"/>
    <w:rsid w:val="00262D0B"/>
    <w:rsid w:val="00262E18"/>
    <w:rsid w:val="00262E28"/>
    <w:rsid w:val="00262E45"/>
    <w:rsid w:val="00262FC2"/>
    <w:rsid w:val="002631B0"/>
    <w:rsid w:val="00263243"/>
    <w:rsid w:val="002632E9"/>
    <w:rsid w:val="00263316"/>
    <w:rsid w:val="00263323"/>
    <w:rsid w:val="002633C6"/>
    <w:rsid w:val="002633D1"/>
    <w:rsid w:val="002633D7"/>
    <w:rsid w:val="002634CF"/>
    <w:rsid w:val="00263509"/>
    <w:rsid w:val="00263533"/>
    <w:rsid w:val="0026361F"/>
    <w:rsid w:val="00263647"/>
    <w:rsid w:val="00263941"/>
    <w:rsid w:val="00263998"/>
    <w:rsid w:val="00263A31"/>
    <w:rsid w:val="00263A83"/>
    <w:rsid w:val="00263B65"/>
    <w:rsid w:val="00263D75"/>
    <w:rsid w:val="00263DDA"/>
    <w:rsid w:val="00264006"/>
    <w:rsid w:val="00264135"/>
    <w:rsid w:val="002641B8"/>
    <w:rsid w:val="00264247"/>
    <w:rsid w:val="0026434B"/>
    <w:rsid w:val="0026462A"/>
    <w:rsid w:val="002647AB"/>
    <w:rsid w:val="00264890"/>
    <w:rsid w:val="002648C0"/>
    <w:rsid w:val="00264A09"/>
    <w:rsid w:val="00264B39"/>
    <w:rsid w:val="00264C06"/>
    <w:rsid w:val="00264C9C"/>
    <w:rsid w:val="00264DAB"/>
    <w:rsid w:val="00264E0A"/>
    <w:rsid w:val="00264E72"/>
    <w:rsid w:val="00264E85"/>
    <w:rsid w:val="00264F48"/>
    <w:rsid w:val="00264F81"/>
    <w:rsid w:val="00265074"/>
    <w:rsid w:val="00265170"/>
    <w:rsid w:val="002651AD"/>
    <w:rsid w:val="0026523C"/>
    <w:rsid w:val="002652A5"/>
    <w:rsid w:val="002652D6"/>
    <w:rsid w:val="00265300"/>
    <w:rsid w:val="00265349"/>
    <w:rsid w:val="0026534E"/>
    <w:rsid w:val="0026557A"/>
    <w:rsid w:val="002655A0"/>
    <w:rsid w:val="002655B5"/>
    <w:rsid w:val="002655F5"/>
    <w:rsid w:val="002655F9"/>
    <w:rsid w:val="002655FF"/>
    <w:rsid w:val="0026561B"/>
    <w:rsid w:val="0026565F"/>
    <w:rsid w:val="0026574A"/>
    <w:rsid w:val="00265798"/>
    <w:rsid w:val="00265862"/>
    <w:rsid w:val="00265881"/>
    <w:rsid w:val="0026592E"/>
    <w:rsid w:val="002659E7"/>
    <w:rsid w:val="002659FF"/>
    <w:rsid w:val="00265A04"/>
    <w:rsid w:val="00265A50"/>
    <w:rsid w:val="00265A57"/>
    <w:rsid w:val="00265B27"/>
    <w:rsid w:val="00265BD5"/>
    <w:rsid w:val="00265CE1"/>
    <w:rsid w:val="00265CE8"/>
    <w:rsid w:val="00265D4C"/>
    <w:rsid w:val="00265D57"/>
    <w:rsid w:val="00265D6D"/>
    <w:rsid w:val="00265D8B"/>
    <w:rsid w:val="00265DAD"/>
    <w:rsid w:val="00265EBC"/>
    <w:rsid w:val="00265F7A"/>
    <w:rsid w:val="00266044"/>
    <w:rsid w:val="00266125"/>
    <w:rsid w:val="00266295"/>
    <w:rsid w:val="002662CC"/>
    <w:rsid w:val="002662E5"/>
    <w:rsid w:val="002662E7"/>
    <w:rsid w:val="00266305"/>
    <w:rsid w:val="002663B2"/>
    <w:rsid w:val="00266456"/>
    <w:rsid w:val="00266487"/>
    <w:rsid w:val="0026649F"/>
    <w:rsid w:val="002664D4"/>
    <w:rsid w:val="002664ED"/>
    <w:rsid w:val="00266625"/>
    <w:rsid w:val="002667DE"/>
    <w:rsid w:val="00266953"/>
    <w:rsid w:val="00266A5F"/>
    <w:rsid w:val="00266B19"/>
    <w:rsid w:val="00266B77"/>
    <w:rsid w:val="00266D19"/>
    <w:rsid w:val="00266FBD"/>
    <w:rsid w:val="00266FF5"/>
    <w:rsid w:val="0026705A"/>
    <w:rsid w:val="002672AB"/>
    <w:rsid w:val="0026733E"/>
    <w:rsid w:val="002673B5"/>
    <w:rsid w:val="002674D2"/>
    <w:rsid w:val="002674F7"/>
    <w:rsid w:val="00267660"/>
    <w:rsid w:val="002676D7"/>
    <w:rsid w:val="00267746"/>
    <w:rsid w:val="00267752"/>
    <w:rsid w:val="002677A4"/>
    <w:rsid w:val="002677D2"/>
    <w:rsid w:val="0026784A"/>
    <w:rsid w:val="00267891"/>
    <w:rsid w:val="00267949"/>
    <w:rsid w:val="00267972"/>
    <w:rsid w:val="002679A7"/>
    <w:rsid w:val="00267A07"/>
    <w:rsid w:val="00267A1A"/>
    <w:rsid w:val="00267A68"/>
    <w:rsid w:val="00267ADE"/>
    <w:rsid w:val="00267BFF"/>
    <w:rsid w:val="00267C07"/>
    <w:rsid w:val="00267C1F"/>
    <w:rsid w:val="00267CD0"/>
    <w:rsid w:val="00267D06"/>
    <w:rsid w:val="00267D4A"/>
    <w:rsid w:val="00267EB0"/>
    <w:rsid w:val="00267EEC"/>
    <w:rsid w:val="002700C9"/>
    <w:rsid w:val="0027025D"/>
    <w:rsid w:val="002702C2"/>
    <w:rsid w:val="0027031C"/>
    <w:rsid w:val="002703D2"/>
    <w:rsid w:val="0027063F"/>
    <w:rsid w:val="00270646"/>
    <w:rsid w:val="00270733"/>
    <w:rsid w:val="00270862"/>
    <w:rsid w:val="0027089A"/>
    <w:rsid w:val="00270963"/>
    <w:rsid w:val="002709C5"/>
    <w:rsid w:val="00270CA2"/>
    <w:rsid w:val="00270CE0"/>
    <w:rsid w:val="00270D49"/>
    <w:rsid w:val="00270DA6"/>
    <w:rsid w:val="00270DB8"/>
    <w:rsid w:val="00270EC8"/>
    <w:rsid w:val="00270EF8"/>
    <w:rsid w:val="00270F27"/>
    <w:rsid w:val="00270F55"/>
    <w:rsid w:val="00270F5C"/>
    <w:rsid w:val="0027108A"/>
    <w:rsid w:val="002710D3"/>
    <w:rsid w:val="00271116"/>
    <w:rsid w:val="0027111C"/>
    <w:rsid w:val="00271155"/>
    <w:rsid w:val="00271191"/>
    <w:rsid w:val="0027119B"/>
    <w:rsid w:val="002714AD"/>
    <w:rsid w:val="00271528"/>
    <w:rsid w:val="002715BB"/>
    <w:rsid w:val="00271618"/>
    <w:rsid w:val="00271675"/>
    <w:rsid w:val="0027180C"/>
    <w:rsid w:val="00271904"/>
    <w:rsid w:val="00271A07"/>
    <w:rsid w:val="00271B47"/>
    <w:rsid w:val="00271C17"/>
    <w:rsid w:val="00271CB2"/>
    <w:rsid w:val="00271D08"/>
    <w:rsid w:val="00271ECD"/>
    <w:rsid w:val="00271F0A"/>
    <w:rsid w:val="00271F7C"/>
    <w:rsid w:val="00271FF2"/>
    <w:rsid w:val="0027208D"/>
    <w:rsid w:val="002721E6"/>
    <w:rsid w:val="00272228"/>
    <w:rsid w:val="00272424"/>
    <w:rsid w:val="00272513"/>
    <w:rsid w:val="002725F3"/>
    <w:rsid w:val="00272601"/>
    <w:rsid w:val="00272706"/>
    <w:rsid w:val="0027283E"/>
    <w:rsid w:val="002729FC"/>
    <w:rsid w:val="00272A00"/>
    <w:rsid w:val="00272A71"/>
    <w:rsid w:val="00272AD5"/>
    <w:rsid w:val="00272AFA"/>
    <w:rsid w:val="00272B04"/>
    <w:rsid w:val="00272CDD"/>
    <w:rsid w:val="00272E1F"/>
    <w:rsid w:val="00272E2F"/>
    <w:rsid w:val="00272E4C"/>
    <w:rsid w:val="00272E62"/>
    <w:rsid w:val="00272E69"/>
    <w:rsid w:val="00272EB5"/>
    <w:rsid w:val="00272ECF"/>
    <w:rsid w:val="00272F46"/>
    <w:rsid w:val="00272F71"/>
    <w:rsid w:val="002730DE"/>
    <w:rsid w:val="0027314C"/>
    <w:rsid w:val="002731BA"/>
    <w:rsid w:val="002731FB"/>
    <w:rsid w:val="00273231"/>
    <w:rsid w:val="00273307"/>
    <w:rsid w:val="0027337D"/>
    <w:rsid w:val="0027337F"/>
    <w:rsid w:val="00273400"/>
    <w:rsid w:val="00273432"/>
    <w:rsid w:val="0027348F"/>
    <w:rsid w:val="002736A6"/>
    <w:rsid w:val="002738FC"/>
    <w:rsid w:val="00273A7C"/>
    <w:rsid w:val="00273C24"/>
    <w:rsid w:val="00273C50"/>
    <w:rsid w:val="00273D29"/>
    <w:rsid w:val="00273D97"/>
    <w:rsid w:val="00273E22"/>
    <w:rsid w:val="00273E79"/>
    <w:rsid w:val="00273E9B"/>
    <w:rsid w:val="00273ECC"/>
    <w:rsid w:val="00273FCA"/>
    <w:rsid w:val="002740A3"/>
    <w:rsid w:val="0027427B"/>
    <w:rsid w:val="002742B3"/>
    <w:rsid w:val="00274504"/>
    <w:rsid w:val="002745EE"/>
    <w:rsid w:val="0027469F"/>
    <w:rsid w:val="00274741"/>
    <w:rsid w:val="00274762"/>
    <w:rsid w:val="002748D3"/>
    <w:rsid w:val="00274921"/>
    <w:rsid w:val="002749E9"/>
    <w:rsid w:val="00274A66"/>
    <w:rsid w:val="00274B39"/>
    <w:rsid w:val="00274B91"/>
    <w:rsid w:val="00274B95"/>
    <w:rsid w:val="00274C83"/>
    <w:rsid w:val="00274C8C"/>
    <w:rsid w:val="00274E06"/>
    <w:rsid w:val="00274E2C"/>
    <w:rsid w:val="00274F6D"/>
    <w:rsid w:val="00274F8D"/>
    <w:rsid w:val="00274FEC"/>
    <w:rsid w:val="002751B5"/>
    <w:rsid w:val="00275203"/>
    <w:rsid w:val="00275284"/>
    <w:rsid w:val="002752C6"/>
    <w:rsid w:val="00275385"/>
    <w:rsid w:val="00275399"/>
    <w:rsid w:val="0027546D"/>
    <w:rsid w:val="00275577"/>
    <w:rsid w:val="002756AA"/>
    <w:rsid w:val="002756E6"/>
    <w:rsid w:val="0027574E"/>
    <w:rsid w:val="00275828"/>
    <w:rsid w:val="0027582B"/>
    <w:rsid w:val="00275844"/>
    <w:rsid w:val="00275875"/>
    <w:rsid w:val="002759DC"/>
    <w:rsid w:val="00275A1E"/>
    <w:rsid w:val="00275A39"/>
    <w:rsid w:val="00275CF4"/>
    <w:rsid w:val="00275E73"/>
    <w:rsid w:val="00275F18"/>
    <w:rsid w:val="00275F48"/>
    <w:rsid w:val="00275FF4"/>
    <w:rsid w:val="00276006"/>
    <w:rsid w:val="00276179"/>
    <w:rsid w:val="002761C8"/>
    <w:rsid w:val="0027624A"/>
    <w:rsid w:val="002762B0"/>
    <w:rsid w:val="00276363"/>
    <w:rsid w:val="00276408"/>
    <w:rsid w:val="0027648F"/>
    <w:rsid w:val="0027671C"/>
    <w:rsid w:val="0027673C"/>
    <w:rsid w:val="00276764"/>
    <w:rsid w:val="00276837"/>
    <w:rsid w:val="00276848"/>
    <w:rsid w:val="00276856"/>
    <w:rsid w:val="00276A15"/>
    <w:rsid w:val="00276B2E"/>
    <w:rsid w:val="00276C57"/>
    <w:rsid w:val="00276DF7"/>
    <w:rsid w:val="00276E92"/>
    <w:rsid w:val="00276F07"/>
    <w:rsid w:val="00276F4C"/>
    <w:rsid w:val="002770EE"/>
    <w:rsid w:val="0027719C"/>
    <w:rsid w:val="00277246"/>
    <w:rsid w:val="002772C3"/>
    <w:rsid w:val="0027730C"/>
    <w:rsid w:val="0027732A"/>
    <w:rsid w:val="00277413"/>
    <w:rsid w:val="002774EC"/>
    <w:rsid w:val="002778D1"/>
    <w:rsid w:val="002778F8"/>
    <w:rsid w:val="00277A1E"/>
    <w:rsid w:val="00277A40"/>
    <w:rsid w:val="00277AB1"/>
    <w:rsid w:val="00277BEC"/>
    <w:rsid w:val="00277DC8"/>
    <w:rsid w:val="00277DE3"/>
    <w:rsid w:val="00277F65"/>
    <w:rsid w:val="002800EC"/>
    <w:rsid w:val="00280131"/>
    <w:rsid w:val="002801F8"/>
    <w:rsid w:val="00280217"/>
    <w:rsid w:val="0028028A"/>
    <w:rsid w:val="00280388"/>
    <w:rsid w:val="0028038B"/>
    <w:rsid w:val="002804BC"/>
    <w:rsid w:val="002804CD"/>
    <w:rsid w:val="00280520"/>
    <w:rsid w:val="0028069F"/>
    <w:rsid w:val="002806A8"/>
    <w:rsid w:val="002807CC"/>
    <w:rsid w:val="002807E0"/>
    <w:rsid w:val="002807ED"/>
    <w:rsid w:val="0028086C"/>
    <w:rsid w:val="002808D8"/>
    <w:rsid w:val="00280A99"/>
    <w:rsid w:val="00280C41"/>
    <w:rsid w:val="00280D5F"/>
    <w:rsid w:val="00280DE6"/>
    <w:rsid w:val="00280E1B"/>
    <w:rsid w:val="00280EC9"/>
    <w:rsid w:val="00280F74"/>
    <w:rsid w:val="0028111A"/>
    <w:rsid w:val="00281161"/>
    <w:rsid w:val="002811CD"/>
    <w:rsid w:val="00281295"/>
    <w:rsid w:val="00281319"/>
    <w:rsid w:val="0028132C"/>
    <w:rsid w:val="002813A6"/>
    <w:rsid w:val="00281417"/>
    <w:rsid w:val="0028155D"/>
    <w:rsid w:val="00281581"/>
    <w:rsid w:val="002815E4"/>
    <w:rsid w:val="002816CC"/>
    <w:rsid w:val="002817A7"/>
    <w:rsid w:val="002817D8"/>
    <w:rsid w:val="00281852"/>
    <w:rsid w:val="002818B9"/>
    <w:rsid w:val="00281A6E"/>
    <w:rsid w:val="00281C3D"/>
    <w:rsid w:val="00281CAB"/>
    <w:rsid w:val="00281CC5"/>
    <w:rsid w:val="00281E48"/>
    <w:rsid w:val="00281E85"/>
    <w:rsid w:val="00281EA0"/>
    <w:rsid w:val="00281EDE"/>
    <w:rsid w:val="0028202A"/>
    <w:rsid w:val="00282061"/>
    <w:rsid w:val="00282068"/>
    <w:rsid w:val="0028209E"/>
    <w:rsid w:val="0028213C"/>
    <w:rsid w:val="00282327"/>
    <w:rsid w:val="002824BB"/>
    <w:rsid w:val="002824D8"/>
    <w:rsid w:val="00282589"/>
    <w:rsid w:val="0028265A"/>
    <w:rsid w:val="00282768"/>
    <w:rsid w:val="002827A4"/>
    <w:rsid w:val="002827EE"/>
    <w:rsid w:val="00282853"/>
    <w:rsid w:val="002828A7"/>
    <w:rsid w:val="00282959"/>
    <w:rsid w:val="00282B39"/>
    <w:rsid w:val="00282D74"/>
    <w:rsid w:val="00282D7C"/>
    <w:rsid w:val="00282E9D"/>
    <w:rsid w:val="002830FE"/>
    <w:rsid w:val="00283118"/>
    <w:rsid w:val="0028327D"/>
    <w:rsid w:val="00283298"/>
    <w:rsid w:val="00283336"/>
    <w:rsid w:val="00283413"/>
    <w:rsid w:val="002835BC"/>
    <w:rsid w:val="002836C9"/>
    <w:rsid w:val="002836CC"/>
    <w:rsid w:val="002836E1"/>
    <w:rsid w:val="00283728"/>
    <w:rsid w:val="00283743"/>
    <w:rsid w:val="0028379D"/>
    <w:rsid w:val="002838DA"/>
    <w:rsid w:val="00283975"/>
    <w:rsid w:val="00283CB8"/>
    <w:rsid w:val="00283E3B"/>
    <w:rsid w:val="00283F0A"/>
    <w:rsid w:val="00284030"/>
    <w:rsid w:val="002841F0"/>
    <w:rsid w:val="0028420A"/>
    <w:rsid w:val="0028421F"/>
    <w:rsid w:val="0028422B"/>
    <w:rsid w:val="00284266"/>
    <w:rsid w:val="002842AF"/>
    <w:rsid w:val="002843FE"/>
    <w:rsid w:val="00284455"/>
    <w:rsid w:val="00284482"/>
    <w:rsid w:val="0028451D"/>
    <w:rsid w:val="00284549"/>
    <w:rsid w:val="002847A9"/>
    <w:rsid w:val="00284834"/>
    <w:rsid w:val="00284874"/>
    <w:rsid w:val="00284885"/>
    <w:rsid w:val="002848C8"/>
    <w:rsid w:val="002849D4"/>
    <w:rsid w:val="00284A2A"/>
    <w:rsid w:val="00284B08"/>
    <w:rsid w:val="00284BEB"/>
    <w:rsid w:val="00284CAE"/>
    <w:rsid w:val="00284D72"/>
    <w:rsid w:val="00284DD9"/>
    <w:rsid w:val="00284E1F"/>
    <w:rsid w:val="00285163"/>
    <w:rsid w:val="0028521E"/>
    <w:rsid w:val="0028528B"/>
    <w:rsid w:val="002853C6"/>
    <w:rsid w:val="002853E3"/>
    <w:rsid w:val="0028542E"/>
    <w:rsid w:val="00285484"/>
    <w:rsid w:val="00285595"/>
    <w:rsid w:val="00285619"/>
    <w:rsid w:val="00285754"/>
    <w:rsid w:val="00285833"/>
    <w:rsid w:val="002858C7"/>
    <w:rsid w:val="002858DD"/>
    <w:rsid w:val="00285A90"/>
    <w:rsid w:val="00285C04"/>
    <w:rsid w:val="00285E2D"/>
    <w:rsid w:val="00286115"/>
    <w:rsid w:val="002861A1"/>
    <w:rsid w:val="002861C0"/>
    <w:rsid w:val="002863C9"/>
    <w:rsid w:val="0028641E"/>
    <w:rsid w:val="00286493"/>
    <w:rsid w:val="00286519"/>
    <w:rsid w:val="00286594"/>
    <w:rsid w:val="00286626"/>
    <w:rsid w:val="00286652"/>
    <w:rsid w:val="002866C1"/>
    <w:rsid w:val="0028677A"/>
    <w:rsid w:val="0028677B"/>
    <w:rsid w:val="0028687C"/>
    <w:rsid w:val="00286943"/>
    <w:rsid w:val="00286A34"/>
    <w:rsid w:val="00286AEC"/>
    <w:rsid w:val="00286B44"/>
    <w:rsid w:val="00286C02"/>
    <w:rsid w:val="00286C7A"/>
    <w:rsid w:val="00286D89"/>
    <w:rsid w:val="00286DBA"/>
    <w:rsid w:val="00286EE8"/>
    <w:rsid w:val="00286FE2"/>
    <w:rsid w:val="0028704F"/>
    <w:rsid w:val="00287092"/>
    <w:rsid w:val="0028714D"/>
    <w:rsid w:val="0028722F"/>
    <w:rsid w:val="0028727B"/>
    <w:rsid w:val="00287285"/>
    <w:rsid w:val="00287299"/>
    <w:rsid w:val="002872DD"/>
    <w:rsid w:val="0028742C"/>
    <w:rsid w:val="00287482"/>
    <w:rsid w:val="0028748D"/>
    <w:rsid w:val="00287599"/>
    <w:rsid w:val="002875BA"/>
    <w:rsid w:val="00287675"/>
    <w:rsid w:val="00287788"/>
    <w:rsid w:val="002877B1"/>
    <w:rsid w:val="00287801"/>
    <w:rsid w:val="00287804"/>
    <w:rsid w:val="00287808"/>
    <w:rsid w:val="0028793A"/>
    <w:rsid w:val="00287A8B"/>
    <w:rsid w:val="00287AE5"/>
    <w:rsid w:val="00287B3B"/>
    <w:rsid w:val="00287B59"/>
    <w:rsid w:val="00287C58"/>
    <w:rsid w:val="00287D60"/>
    <w:rsid w:val="00287D90"/>
    <w:rsid w:val="00287DE9"/>
    <w:rsid w:val="00290034"/>
    <w:rsid w:val="002900FD"/>
    <w:rsid w:val="00290108"/>
    <w:rsid w:val="0029016A"/>
    <w:rsid w:val="0029018C"/>
    <w:rsid w:val="00290202"/>
    <w:rsid w:val="00290233"/>
    <w:rsid w:val="0029037F"/>
    <w:rsid w:val="0029043E"/>
    <w:rsid w:val="0029054F"/>
    <w:rsid w:val="002905DD"/>
    <w:rsid w:val="00290642"/>
    <w:rsid w:val="0029092F"/>
    <w:rsid w:val="00290935"/>
    <w:rsid w:val="00290948"/>
    <w:rsid w:val="00290980"/>
    <w:rsid w:val="002909E3"/>
    <w:rsid w:val="00290A4B"/>
    <w:rsid w:val="00290A53"/>
    <w:rsid w:val="00290AB1"/>
    <w:rsid w:val="00290B0F"/>
    <w:rsid w:val="00290B98"/>
    <w:rsid w:val="00290E3A"/>
    <w:rsid w:val="00290F2B"/>
    <w:rsid w:val="00290F30"/>
    <w:rsid w:val="00290F67"/>
    <w:rsid w:val="002910B1"/>
    <w:rsid w:val="002910F3"/>
    <w:rsid w:val="00291156"/>
    <w:rsid w:val="002911AC"/>
    <w:rsid w:val="00291283"/>
    <w:rsid w:val="0029129C"/>
    <w:rsid w:val="002912B7"/>
    <w:rsid w:val="002912F9"/>
    <w:rsid w:val="00291337"/>
    <w:rsid w:val="002913CB"/>
    <w:rsid w:val="00291492"/>
    <w:rsid w:val="002914F8"/>
    <w:rsid w:val="0029153D"/>
    <w:rsid w:val="00291552"/>
    <w:rsid w:val="00291714"/>
    <w:rsid w:val="0029173F"/>
    <w:rsid w:val="0029186F"/>
    <w:rsid w:val="002919EE"/>
    <w:rsid w:val="00291ACB"/>
    <w:rsid w:val="00291B5C"/>
    <w:rsid w:val="00291F54"/>
    <w:rsid w:val="00291FF5"/>
    <w:rsid w:val="00292153"/>
    <w:rsid w:val="002921EC"/>
    <w:rsid w:val="0029225D"/>
    <w:rsid w:val="00292260"/>
    <w:rsid w:val="0029241D"/>
    <w:rsid w:val="00292576"/>
    <w:rsid w:val="002925BB"/>
    <w:rsid w:val="00292634"/>
    <w:rsid w:val="00292712"/>
    <w:rsid w:val="002927A7"/>
    <w:rsid w:val="002927E7"/>
    <w:rsid w:val="00292804"/>
    <w:rsid w:val="0029295B"/>
    <w:rsid w:val="00292AB2"/>
    <w:rsid w:val="00292B32"/>
    <w:rsid w:val="00292CB3"/>
    <w:rsid w:val="00292D11"/>
    <w:rsid w:val="00292D5D"/>
    <w:rsid w:val="00292D8D"/>
    <w:rsid w:val="00292EFB"/>
    <w:rsid w:val="00293024"/>
    <w:rsid w:val="0029309A"/>
    <w:rsid w:val="002930A8"/>
    <w:rsid w:val="002930C3"/>
    <w:rsid w:val="0029314A"/>
    <w:rsid w:val="0029319E"/>
    <w:rsid w:val="002931C8"/>
    <w:rsid w:val="0029322D"/>
    <w:rsid w:val="00293239"/>
    <w:rsid w:val="002932D6"/>
    <w:rsid w:val="00293330"/>
    <w:rsid w:val="0029348A"/>
    <w:rsid w:val="00293564"/>
    <w:rsid w:val="0029360B"/>
    <w:rsid w:val="002936C1"/>
    <w:rsid w:val="00293754"/>
    <w:rsid w:val="0029378D"/>
    <w:rsid w:val="00293A1B"/>
    <w:rsid w:val="00293A57"/>
    <w:rsid w:val="00293C18"/>
    <w:rsid w:val="00293C1C"/>
    <w:rsid w:val="00293CD4"/>
    <w:rsid w:val="00293D4D"/>
    <w:rsid w:val="00293D9C"/>
    <w:rsid w:val="00293DD7"/>
    <w:rsid w:val="00293EC5"/>
    <w:rsid w:val="00293EDA"/>
    <w:rsid w:val="00293F23"/>
    <w:rsid w:val="00293F6E"/>
    <w:rsid w:val="00294054"/>
    <w:rsid w:val="0029412D"/>
    <w:rsid w:val="0029414A"/>
    <w:rsid w:val="00294219"/>
    <w:rsid w:val="002945C3"/>
    <w:rsid w:val="00294739"/>
    <w:rsid w:val="002947D0"/>
    <w:rsid w:val="002947ED"/>
    <w:rsid w:val="00294964"/>
    <w:rsid w:val="0029496B"/>
    <w:rsid w:val="00294984"/>
    <w:rsid w:val="00294990"/>
    <w:rsid w:val="00294B71"/>
    <w:rsid w:val="00294E18"/>
    <w:rsid w:val="00294ECB"/>
    <w:rsid w:val="00294ED9"/>
    <w:rsid w:val="00294F2A"/>
    <w:rsid w:val="00294F7A"/>
    <w:rsid w:val="0029515E"/>
    <w:rsid w:val="002951A5"/>
    <w:rsid w:val="002951EA"/>
    <w:rsid w:val="002951FC"/>
    <w:rsid w:val="00295228"/>
    <w:rsid w:val="002952E3"/>
    <w:rsid w:val="002953FA"/>
    <w:rsid w:val="00295431"/>
    <w:rsid w:val="0029545F"/>
    <w:rsid w:val="00295490"/>
    <w:rsid w:val="002954C1"/>
    <w:rsid w:val="00295524"/>
    <w:rsid w:val="002955BB"/>
    <w:rsid w:val="00295686"/>
    <w:rsid w:val="002956DC"/>
    <w:rsid w:val="0029571A"/>
    <w:rsid w:val="002957D9"/>
    <w:rsid w:val="002957DF"/>
    <w:rsid w:val="00295835"/>
    <w:rsid w:val="002958FF"/>
    <w:rsid w:val="00295902"/>
    <w:rsid w:val="002959E9"/>
    <w:rsid w:val="002959F4"/>
    <w:rsid w:val="00295AF1"/>
    <w:rsid w:val="00295B9C"/>
    <w:rsid w:val="00295C4F"/>
    <w:rsid w:val="00295C9B"/>
    <w:rsid w:val="00295CEF"/>
    <w:rsid w:val="00295DBF"/>
    <w:rsid w:val="00295E1D"/>
    <w:rsid w:val="00295EAE"/>
    <w:rsid w:val="00295FBA"/>
    <w:rsid w:val="00296159"/>
    <w:rsid w:val="002961CA"/>
    <w:rsid w:val="00296210"/>
    <w:rsid w:val="002963A8"/>
    <w:rsid w:val="002964B7"/>
    <w:rsid w:val="002964E8"/>
    <w:rsid w:val="0029651E"/>
    <w:rsid w:val="00296569"/>
    <w:rsid w:val="002966A4"/>
    <w:rsid w:val="0029670C"/>
    <w:rsid w:val="00296775"/>
    <w:rsid w:val="00296823"/>
    <w:rsid w:val="002969EE"/>
    <w:rsid w:val="002969F0"/>
    <w:rsid w:val="00296AE1"/>
    <w:rsid w:val="00296B6D"/>
    <w:rsid w:val="00296B87"/>
    <w:rsid w:val="00296BDF"/>
    <w:rsid w:val="00296BFF"/>
    <w:rsid w:val="00296C70"/>
    <w:rsid w:val="00296CF1"/>
    <w:rsid w:val="00296D0F"/>
    <w:rsid w:val="00296DAD"/>
    <w:rsid w:val="00296E55"/>
    <w:rsid w:val="00296E71"/>
    <w:rsid w:val="00296EF0"/>
    <w:rsid w:val="00296F16"/>
    <w:rsid w:val="00297161"/>
    <w:rsid w:val="00297329"/>
    <w:rsid w:val="0029732C"/>
    <w:rsid w:val="0029732D"/>
    <w:rsid w:val="00297348"/>
    <w:rsid w:val="002973BB"/>
    <w:rsid w:val="00297447"/>
    <w:rsid w:val="0029768C"/>
    <w:rsid w:val="002977BF"/>
    <w:rsid w:val="002977D7"/>
    <w:rsid w:val="0029783B"/>
    <w:rsid w:val="002978E4"/>
    <w:rsid w:val="002979C2"/>
    <w:rsid w:val="00297A39"/>
    <w:rsid w:val="00297B44"/>
    <w:rsid w:val="00297BA8"/>
    <w:rsid w:val="00297E65"/>
    <w:rsid w:val="00297EBA"/>
    <w:rsid w:val="00297F04"/>
    <w:rsid w:val="00297F10"/>
    <w:rsid w:val="00297F34"/>
    <w:rsid w:val="00297F94"/>
    <w:rsid w:val="002A0132"/>
    <w:rsid w:val="002A01D8"/>
    <w:rsid w:val="002A0228"/>
    <w:rsid w:val="002A02B4"/>
    <w:rsid w:val="002A0345"/>
    <w:rsid w:val="002A03C1"/>
    <w:rsid w:val="002A0495"/>
    <w:rsid w:val="002A05A7"/>
    <w:rsid w:val="002A05FC"/>
    <w:rsid w:val="002A07C7"/>
    <w:rsid w:val="002A07FB"/>
    <w:rsid w:val="002A080F"/>
    <w:rsid w:val="002A0834"/>
    <w:rsid w:val="002A086E"/>
    <w:rsid w:val="002A088F"/>
    <w:rsid w:val="002A08A2"/>
    <w:rsid w:val="002A08A3"/>
    <w:rsid w:val="002A092C"/>
    <w:rsid w:val="002A0940"/>
    <w:rsid w:val="002A095C"/>
    <w:rsid w:val="002A0978"/>
    <w:rsid w:val="002A09A2"/>
    <w:rsid w:val="002A09C7"/>
    <w:rsid w:val="002A09EF"/>
    <w:rsid w:val="002A0AA3"/>
    <w:rsid w:val="002A0B8B"/>
    <w:rsid w:val="002A0C74"/>
    <w:rsid w:val="002A0C89"/>
    <w:rsid w:val="002A0CA8"/>
    <w:rsid w:val="002A0CAB"/>
    <w:rsid w:val="002A0CD0"/>
    <w:rsid w:val="002A0E2D"/>
    <w:rsid w:val="002A0EC1"/>
    <w:rsid w:val="002A0F18"/>
    <w:rsid w:val="002A0FF0"/>
    <w:rsid w:val="002A105D"/>
    <w:rsid w:val="002A1069"/>
    <w:rsid w:val="002A109C"/>
    <w:rsid w:val="002A1139"/>
    <w:rsid w:val="002A1405"/>
    <w:rsid w:val="002A14C3"/>
    <w:rsid w:val="002A152F"/>
    <w:rsid w:val="002A1538"/>
    <w:rsid w:val="002A1589"/>
    <w:rsid w:val="002A171D"/>
    <w:rsid w:val="002A189C"/>
    <w:rsid w:val="002A1931"/>
    <w:rsid w:val="002A1A86"/>
    <w:rsid w:val="002A1B9F"/>
    <w:rsid w:val="002A1BDA"/>
    <w:rsid w:val="002A1BF5"/>
    <w:rsid w:val="002A1C21"/>
    <w:rsid w:val="002A1DCC"/>
    <w:rsid w:val="002A1E25"/>
    <w:rsid w:val="002A1EB9"/>
    <w:rsid w:val="002A2047"/>
    <w:rsid w:val="002A204A"/>
    <w:rsid w:val="002A211B"/>
    <w:rsid w:val="002A211E"/>
    <w:rsid w:val="002A21EE"/>
    <w:rsid w:val="002A21FE"/>
    <w:rsid w:val="002A2391"/>
    <w:rsid w:val="002A23B8"/>
    <w:rsid w:val="002A2448"/>
    <w:rsid w:val="002A24B2"/>
    <w:rsid w:val="002A25F5"/>
    <w:rsid w:val="002A2628"/>
    <w:rsid w:val="002A2741"/>
    <w:rsid w:val="002A274E"/>
    <w:rsid w:val="002A27E1"/>
    <w:rsid w:val="002A29E6"/>
    <w:rsid w:val="002A2A5B"/>
    <w:rsid w:val="002A2AD9"/>
    <w:rsid w:val="002A2B2F"/>
    <w:rsid w:val="002A2BAC"/>
    <w:rsid w:val="002A2BEF"/>
    <w:rsid w:val="002A2C84"/>
    <w:rsid w:val="002A2CBB"/>
    <w:rsid w:val="002A2D24"/>
    <w:rsid w:val="002A2D3C"/>
    <w:rsid w:val="002A2D66"/>
    <w:rsid w:val="002A2DA2"/>
    <w:rsid w:val="002A3224"/>
    <w:rsid w:val="002A3398"/>
    <w:rsid w:val="002A3404"/>
    <w:rsid w:val="002A351D"/>
    <w:rsid w:val="002A3537"/>
    <w:rsid w:val="002A3542"/>
    <w:rsid w:val="002A355E"/>
    <w:rsid w:val="002A356D"/>
    <w:rsid w:val="002A35AB"/>
    <w:rsid w:val="002A35C1"/>
    <w:rsid w:val="002A36CD"/>
    <w:rsid w:val="002A383C"/>
    <w:rsid w:val="002A38AA"/>
    <w:rsid w:val="002A3907"/>
    <w:rsid w:val="002A39C0"/>
    <w:rsid w:val="002A39F2"/>
    <w:rsid w:val="002A39FE"/>
    <w:rsid w:val="002A3A4B"/>
    <w:rsid w:val="002A3B08"/>
    <w:rsid w:val="002A3BFB"/>
    <w:rsid w:val="002A3D33"/>
    <w:rsid w:val="002A3D71"/>
    <w:rsid w:val="002A3E38"/>
    <w:rsid w:val="002A3EA3"/>
    <w:rsid w:val="002A3F09"/>
    <w:rsid w:val="002A3F8C"/>
    <w:rsid w:val="002A407E"/>
    <w:rsid w:val="002A40A4"/>
    <w:rsid w:val="002A4164"/>
    <w:rsid w:val="002A42B8"/>
    <w:rsid w:val="002A42DD"/>
    <w:rsid w:val="002A4336"/>
    <w:rsid w:val="002A4388"/>
    <w:rsid w:val="002A443C"/>
    <w:rsid w:val="002A444E"/>
    <w:rsid w:val="002A44A1"/>
    <w:rsid w:val="002A4541"/>
    <w:rsid w:val="002A45BD"/>
    <w:rsid w:val="002A4604"/>
    <w:rsid w:val="002A4780"/>
    <w:rsid w:val="002A4934"/>
    <w:rsid w:val="002A4A98"/>
    <w:rsid w:val="002A4AF0"/>
    <w:rsid w:val="002A4AF1"/>
    <w:rsid w:val="002A4C33"/>
    <w:rsid w:val="002A4D1B"/>
    <w:rsid w:val="002A4D57"/>
    <w:rsid w:val="002A4F02"/>
    <w:rsid w:val="002A4F0C"/>
    <w:rsid w:val="002A4F5F"/>
    <w:rsid w:val="002A5047"/>
    <w:rsid w:val="002A50A8"/>
    <w:rsid w:val="002A50CE"/>
    <w:rsid w:val="002A51DF"/>
    <w:rsid w:val="002A51F9"/>
    <w:rsid w:val="002A529B"/>
    <w:rsid w:val="002A52E3"/>
    <w:rsid w:val="002A52F1"/>
    <w:rsid w:val="002A5436"/>
    <w:rsid w:val="002A55C2"/>
    <w:rsid w:val="002A5638"/>
    <w:rsid w:val="002A5669"/>
    <w:rsid w:val="002A56B9"/>
    <w:rsid w:val="002A56DB"/>
    <w:rsid w:val="002A5783"/>
    <w:rsid w:val="002A5A8C"/>
    <w:rsid w:val="002A5AC8"/>
    <w:rsid w:val="002A5AE1"/>
    <w:rsid w:val="002A5B0B"/>
    <w:rsid w:val="002A5B80"/>
    <w:rsid w:val="002A5C2C"/>
    <w:rsid w:val="002A5C66"/>
    <w:rsid w:val="002A5E21"/>
    <w:rsid w:val="002A5E28"/>
    <w:rsid w:val="002A5E44"/>
    <w:rsid w:val="002A5E48"/>
    <w:rsid w:val="002A5E99"/>
    <w:rsid w:val="002A5EFD"/>
    <w:rsid w:val="002A5F5B"/>
    <w:rsid w:val="002A5F6A"/>
    <w:rsid w:val="002A5FB7"/>
    <w:rsid w:val="002A5FC1"/>
    <w:rsid w:val="002A5FD9"/>
    <w:rsid w:val="002A61D3"/>
    <w:rsid w:val="002A621E"/>
    <w:rsid w:val="002A622A"/>
    <w:rsid w:val="002A636A"/>
    <w:rsid w:val="002A6495"/>
    <w:rsid w:val="002A652E"/>
    <w:rsid w:val="002A6539"/>
    <w:rsid w:val="002A662A"/>
    <w:rsid w:val="002A665E"/>
    <w:rsid w:val="002A6693"/>
    <w:rsid w:val="002A67DB"/>
    <w:rsid w:val="002A67E6"/>
    <w:rsid w:val="002A6840"/>
    <w:rsid w:val="002A6883"/>
    <w:rsid w:val="002A688B"/>
    <w:rsid w:val="002A6909"/>
    <w:rsid w:val="002A6A5A"/>
    <w:rsid w:val="002A6AF4"/>
    <w:rsid w:val="002A6B2E"/>
    <w:rsid w:val="002A6C23"/>
    <w:rsid w:val="002A6DB5"/>
    <w:rsid w:val="002A6E17"/>
    <w:rsid w:val="002A6F7B"/>
    <w:rsid w:val="002A6F7E"/>
    <w:rsid w:val="002A7013"/>
    <w:rsid w:val="002A7033"/>
    <w:rsid w:val="002A70CE"/>
    <w:rsid w:val="002A71BA"/>
    <w:rsid w:val="002A729A"/>
    <w:rsid w:val="002A7330"/>
    <w:rsid w:val="002A7375"/>
    <w:rsid w:val="002A73EE"/>
    <w:rsid w:val="002A7455"/>
    <w:rsid w:val="002A75A7"/>
    <w:rsid w:val="002A75D3"/>
    <w:rsid w:val="002A7756"/>
    <w:rsid w:val="002A77D5"/>
    <w:rsid w:val="002A7839"/>
    <w:rsid w:val="002A790F"/>
    <w:rsid w:val="002A7A6C"/>
    <w:rsid w:val="002A7B89"/>
    <w:rsid w:val="002A7B9C"/>
    <w:rsid w:val="002A7BB1"/>
    <w:rsid w:val="002A7C0F"/>
    <w:rsid w:val="002A7C69"/>
    <w:rsid w:val="002A7DAA"/>
    <w:rsid w:val="002A7E91"/>
    <w:rsid w:val="002A7F10"/>
    <w:rsid w:val="002A7F20"/>
    <w:rsid w:val="002A7FED"/>
    <w:rsid w:val="002B0135"/>
    <w:rsid w:val="002B0214"/>
    <w:rsid w:val="002B0351"/>
    <w:rsid w:val="002B0359"/>
    <w:rsid w:val="002B0533"/>
    <w:rsid w:val="002B0585"/>
    <w:rsid w:val="002B069C"/>
    <w:rsid w:val="002B0852"/>
    <w:rsid w:val="002B08C0"/>
    <w:rsid w:val="002B08CB"/>
    <w:rsid w:val="002B0A51"/>
    <w:rsid w:val="002B0B23"/>
    <w:rsid w:val="002B0B6C"/>
    <w:rsid w:val="002B0C68"/>
    <w:rsid w:val="002B0CB5"/>
    <w:rsid w:val="002B0CFD"/>
    <w:rsid w:val="002B0D41"/>
    <w:rsid w:val="002B0D95"/>
    <w:rsid w:val="002B0DC8"/>
    <w:rsid w:val="002B0DF6"/>
    <w:rsid w:val="002B0E87"/>
    <w:rsid w:val="002B0EEE"/>
    <w:rsid w:val="002B0F3A"/>
    <w:rsid w:val="002B0FF3"/>
    <w:rsid w:val="002B0FF4"/>
    <w:rsid w:val="002B101D"/>
    <w:rsid w:val="002B1181"/>
    <w:rsid w:val="002B1441"/>
    <w:rsid w:val="002B15A2"/>
    <w:rsid w:val="002B15B5"/>
    <w:rsid w:val="002B169C"/>
    <w:rsid w:val="002B16BF"/>
    <w:rsid w:val="002B16D6"/>
    <w:rsid w:val="002B1887"/>
    <w:rsid w:val="002B191B"/>
    <w:rsid w:val="002B1941"/>
    <w:rsid w:val="002B19FA"/>
    <w:rsid w:val="002B1A1E"/>
    <w:rsid w:val="002B1C73"/>
    <w:rsid w:val="002B1C95"/>
    <w:rsid w:val="002B2041"/>
    <w:rsid w:val="002B206B"/>
    <w:rsid w:val="002B207F"/>
    <w:rsid w:val="002B2206"/>
    <w:rsid w:val="002B2243"/>
    <w:rsid w:val="002B2295"/>
    <w:rsid w:val="002B22F0"/>
    <w:rsid w:val="002B26DE"/>
    <w:rsid w:val="002B26E6"/>
    <w:rsid w:val="002B2790"/>
    <w:rsid w:val="002B28EF"/>
    <w:rsid w:val="002B2935"/>
    <w:rsid w:val="002B29E3"/>
    <w:rsid w:val="002B2A14"/>
    <w:rsid w:val="002B2A34"/>
    <w:rsid w:val="002B2A4F"/>
    <w:rsid w:val="002B2AA9"/>
    <w:rsid w:val="002B2C19"/>
    <w:rsid w:val="002B2C49"/>
    <w:rsid w:val="002B2D66"/>
    <w:rsid w:val="002B2E61"/>
    <w:rsid w:val="002B30F4"/>
    <w:rsid w:val="002B319F"/>
    <w:rsid w:val="002B31AA"/>
    <w:rsid w:val="002B3246"/>
    <w:rsid w:val="002B32A6"/>
    <w:rsid w:val="002B343E"/>
    <w:rsid w:val="002B3466"/>
    <w:rsid w:val="002B3564"/>
    <w:rsid w:val="002B3604"/>
    <w:rsid w:val="002B3629"/>
    <w:rsid w:val="002B37D8"/>
    <w:rsid w:val="002B3928"/>
    <w:rsid w:val="002B3983"/>
    <w:rsid w:val="002B3999"/>
    <w:rsid w:val="002B3A04"/>
    <w:rsid w:val="002B3A1A"/>
    <w:rsid w:val="002B3A42"/>
    <w:rsid w:val="002B3B52"/>
    <w:rsid w:val="002B3BD3"/>
    <w:rsid w:val="002B3BDA"/>
    <w:rsid w:val="002B3C16"/>
    <w:rsid w:val="002B3C61"/>
    <w:rsid w:val="002B3D28"/>
    <w:rsid w:val="002B3D63"/>
    <w:rsid w:val="002B3D6E"/>
    <w:rsid w:val="002B3D85"/>
    <w:rsid w:val="002B3DBF"/>
    <w:rsid w:val="002B3DE4"/>
    <w:rsid w:val="002B3E87"/>
    <w:rsid w:val="002B3F52"/>
    <w:rsid w:val="002B3F58"/>
    <w:rsid w:val="002B4019"/>
    <w:rsid w:val="002B4027"/>
    <w:rsid w:val="002B40B3"/>
    <w:rsid w:val="002B4150"/>
    <w:rsid w:val="002B4390"/>
    <w:rsid w:val="002B441A"/>
    <w:rsid w:val="002B460B"/>
    <w:rsid w:val="002B4646"/>
    <w:rsid w:val="002B467E"/>
    <w:rsid w:val="002B46D8"/>
    <w:rsid w:val="002B476B"/>
    <w:rsid w:val="002B48AA"/>
    <w:rsid w:val="002B48EB"/>
    <w:rsid w:val="002B4924"/>
    <w:rsid w:val="002B4941"/>
    <w:rsid w:val="002B4A02"/>
    <w:rsid w:val="002B4D8E"/>
    <w:rsid w:val="002B4DAF"/>
    <w:rsid w:val="002B4E92"/>
    <w:rsid w:val="002B4EBB"/>
    <w:rsid w:val="002B51C9"/>
    <w:rsid w:val="002B522E"/>
    <w:rsid w:val="002B525F"/>
    <w:rsid w:val="002B52BB"/>
    <w:rsid w:val="002B5314"/>
    <w:rsid w:val="002B53C4"/>
    <w:rsid w:val="002B5472"/>
    <w:rsid w:val="002B54D3"/>
    <w:rsid w:val="002B5622"/>
    <w:rsid w:val="002B58E3"/>
    <w:rsid w:val="002B5943"/>
    <w:rsid w:val="002B5B11"/>
    <w:rsid w:val="002B5C54"/>
    <w:rsid w:val="002B5C9F"/>
    <w:rsid w:val="002B5D57"/>
    <w:rsid w:val="002B5FE6"/>
    <w:rsid w:val="002B600D"/>
    <w:rsid w:val="002B6041"/>
    <w:rsid w:val="002B61C3"/>
    <w:rsid w:val="002B62CB"/>
    <w:rsid w:val="002B6380"/>
    <w:rsid w:val="002B639E"/>
    <w:rsid w:val="002B6586"/>
    <w:rsid w:val="002B65D1"/>
    <w:rsid w:val="002B6646"/>
    <w:rsid w:val="002B66C0"/>
    <w:rsid w:val="002B6870"/>
    <w:rsid w:val="002B68C3"/>
    <w:rsid w:val="002B6902"/>
    <w:rsid w:val="002B6AE6"/>
    <w:rsid w:val="002B6BD2"/>
    <w:rsid w:val="002B6BDE"/>
    <w:rsid w:val="002B6CBB"/>
    <w:rsid w:val="002B6CF3"/>
    <w:rsid w:val="002B6E24"/>
    <w:rsid w:val="002B6E6F"/>
    <w:rsid w:val="002B6E7C"/>
    <w:rsid w:val="002B6F5A"/>
    <w:rsid w:val="002B6FA4"/>
    <w:rsid w:val="002B7065"/>
    <w:rsid w:val="002B70F4"/>
    <w:rsid w:val="002B7120"/>
    <w:rsid w:val="002B727A"/>
    <w:rsid w:val="002B727D"/>
    <w:rsid w:val="002B72CD"/>
    <w:rsid w:val="002B743B"/>
    <w:rsid w:val="002B7494"/>
    <w:rsid w:val="002B74FB"/>
    <w:rsid w:val="002B7508"/>
    <w:rsid w:val="002B751B"/>
    <w:rsid w:val="002B7664"/>
    <w:rsid w:val="002B76DB"/>
    <w:rsid w:val="002B7789"/>
    <w:rsid w:val="002B78FB"/>
    <w:rsid w:val="002B7952"/>
    <w:rsid w:val="002B7A5B"/>
    <w:rsid w:val="002B7A6A"/>
    <w:rsid w:val="002B7AAE"/>
    <w:rsid w:val="002B7BA0"/>
    <w:rsid w:val="002B7C68"/>
    <w:rsid w:val="002B7E4B"/>
    <w:rsid w:val="002B7E5E"/>
    <w:rsid w:val="002C0099"/>
    <w:rsid w:val="002C00D3"/>
    <w:rsid w:val="002C00E8"/>
    <w:rsid w:val="002C0244"/>
    <w:rsid w:val="002C030F"/>
    <w:rsid w:val="002C03BC"/>
    <w:rsid w:val="002C040E"/>
    <w:rsid w:val="002C042A"/>
    <w:rsid w:val="002C04F6"/>
    <w:rsid w:val="002C0526"/>
    <w:rsid w:val="002C0584"/>
    <w:rsid w:val="002C062F"/>
    <w:rsid w:val="002C0658"/>
    <w:rsid w:val="002C0659"/>
    <w:rsid w:val="002C067A"/>
    <w:rsid w:val="002C06A0"/>
    <w:rsid w:val="002C06B4"/>
    <w:rsid w:val="002C0823"/>
    <w:rsid w:val="002C08F4"/>
    <w:rsid w:val="002C0955"/>
    <w:rsid w:val="002C0965"/>
    <w:rsid w:val="002C097B"/>
    <w:rsid w:val="002C0A63"/>
    <w:rsid w:val="002C0A9E"/>
    <w:rsid w:val="002C0AAC"/>
    <w:rsid w:val="002C0B4E"/>
    <w:rsid w:val="002C0B7D"/>
    <w:rsid w:val="002C0B92"/>
    <w:rsid w:val="002C0C79"/>
    <w:rsid w:val="002C0D3C"/>
    <w:rsid w:val="002C0D56"/>
    <w:rsid w:val="002C0D5B"/>
    <w:rsid w:val="002C0D7F"/>
    <w:rsid w:val="002C0DC1"/>
    <w:rsid w:val="002C0EEB"/>
    <w:rsid w:val="002C0EF8"/>
    <w:rsid w:val="002C0F9B"/>
    <w:rsid w:val="002C1062"/>
    <w:rsid w:val="002C1188"/>
    <w:rsid w:val="002C11FF"/>
    <w:rsid w:val="002C1265"/>
    <w:rsid w:val="002C127E"/>
    <w:rsid w:val="002C12A9"/>
    <w:rsid w:val="002C1606"/>
    <w:rsid w:val="002C1716"/>
    <w:rsid w:val="002C1739"/>
    <w:rsid w:val="002C17BF"/>
    <w:rsid w:val="002C184C"/>
    <w:rsid w:val="002C18AB"/>
    <w:rsid w:val="002C1AA5"/>
    <w:rsid w:val="002C1AF3"/>
    <w:rsid w:val="002C1C1C"/>
    <w:rsid w:val="002C1C2D"/>
    <w:rsid w:val="002C1C56"/>
    <w:rsid w:val="002C1CC8"/>
    <w:rsid w:val="002C1F1D"/>
    <w:rsid w:val="002C2143"/>
    <w:rsid w:val="002C21A4"/>
    <w:rsid w:val="002C223D"/>
    <w:rsid w:val="002C2404"/>
    <w:rsid w:val="002C2430"/>
    <w:rsid w:val="002C24D4"/>
    <w:rsid w:val="002C2520"/>
    <w:rsid w:val="002C27CD"/>
    <w:rsid w:val="002C28FF"/>
    <w:rsid w:val="002C2966"/>
    <w:rsid w:val="002C2980"/>
    <w:rsid w:val="002C2B64"/>
    <w:rsid w:val="002C2B80"/>
    <w:rsid w:val="002C2BE9"/>
    <w:rsid w:val="002C2C23"/>
    <w:rsid w:val="002C2C7E"/>
    <w:rsid w:val="002C2D22"/>
    <w:rsid w:val="002C2DDA"/>
    <w:rsid w:val="002C30A4"/>
    <w:rsid w:val="002C313B"/>
    <w:rsid w:val="002C31CC"/>
    <w:rsid w:val="002C327C"/>
    <w:rsid w:val="002C32CC"/>
    <w:rsid w:val="002C3321"/>
    <w:rsid w:val="002C335D"/>
    <w:rsid w:val="002C33CC"/>
    <w:rsid w:val="002C34BF"/>
    <w:rsid w:val="002C34E3"/>
    <w:rsid w:val="002C3587"/>
    <w:rsid w:val="002C35A0"/>
    <w:rsid w:val="002C366B"/>
    <w:rsid w:val="002C369E"/>
    <w:rsid w:val="002C3787"/>
    <w:rsid w:val="002C37AD"/>
    <w:rsid w:val="002C3834"/>
    <w:rsid w:val="002C38A3"/>
    <w:rsid w:val="002C3975"/>
    <w:rsid w:val="002C3A4C"/>
    <w:rsid w:val="002C3B1D"/>
    <w:rsid w:val="002C3B5E"/>
    <w:rsid w:val="002C3DD6"/>
    <w:rsid w:val="002C3E35"/>
    <w:rsid w:val="002C3FC3"/>
    <w:rsid w:val="002C41A3"/>
    <w:rsid w:val="002C41DA"/>
    <w:rsid w:val="002C441E"/>
    <w:rsid w:val="002C447F"/>
    <w:rsid w:val="002C4644"/>
    <w:rsid w:val="002C464E"/>
    <w:rsid w:val="002C46C4"/>
    <w:rsid w:val="002C4846"/>
    <w:rsid w:val="002C4901"/>
    <w:rsid w:val="002C4933"/>
    <w:rsid w:val="002C49A6"/>
    <w:rsid w:val="002C49DF"/>
    <w:rsid w:val="002C49FB"/>
    <w:rsid w:val="002C4A9A"/>
    <w:rsid w:val="002C4B68"/>
    <w:rsid w:val="002C4C43"/>
    <w:rsid w:val="002C4C4D"/>
    <w:rsid w:val="002C4D4C"/>
    <w:rsid w:val="002C4D73"/>
    <w:rsid w:val="002C4E43"/>
    <w:rsid w:val="002C4FE7"/>
    <w:rsid w:val="002C5099"/>
    <w:rsid w:val="002C5165"/>
    <w:rsid w:val="002C5185"/>
    <w:rsid w:val="002C5208"/>
    <w:rsid w:val="002C521E"/>
    <w:rsid w:val="002C52C7"/>
    <w:rsid w:val="002C53C6"/>
    <w:rsid w:val="002C5408"/>
    <w:rsid w:val="002C585E"/>
    <w:rsid w:val="002C5884"/>
    <w:rsid w:val="002C588D"/>
    <w:rsid w:val="002C5968"/>
    <w:rsid w:val="002C5A41"/>
    <w:rsid w:val="002C5A83"/>
    <w:rsid w:val="002C5AEF"/>
    <w:rsid w:val="002C5B50"/>
    <w:rsid w:val="002C5C3C"/>
    <w:rsid w:val="002C5D62"/>
    <w:rsid w:val="002C5FAA"/>
    <w:rsid w:val="002C6088"/>
    <w:rsid w:val="002C6262"/>
    <w:rsid w:val="002C6281"/>
    <w:rsid w:val="002C63E5"/>
    <w:rsid w:val="002C63E7"/>
    <w:rsid w:val="002C6423"/>
    <w:rsid w:val="002C6600"/>
    <w:rsid w:val="002C662A"/>
    <w:rsid w:val="002C663D"/>
    <w:rsid w:val="002C669C"/>
    <w:rsid w:val="002C671B"/>
    <w:rsid w:val="002C67C3"/>
    <w:rsid w:val="002C6833"/>
    <w:rsid w:val="002C6A72"/>
    <w:rsid w:val="002C6AEB"/>
    <w:rsid w:val="002C6C76"/>
    <w:rsid w:val="002C6C83"/>
    <w:rsid w:val="002C6DAD"/>
    <w:rsid w:val="002C6DFF"/>
    <w:rsid w:val="002C6E25"/>
    <w:rsid w:val="002C6E84"/>
    <w:rsid w:val="002C7077"/>
    <w:rsid w:val="002C70D2"/>
    <w:rsid w:val="002C71D7"/>
    <w:rsid w:val="002C7264"/>
    <w:rsid w:val="002C7310"/>
    <w:rsid w:val="002C7325"/>
    <w:rsid w:val="002C73B0"/>
    <w:rsid w:val="002C7502"/>
    <w:rsid w:val="002C7541"/>
    <w:rsid w:val="002C7560"/>
    <w:rsid w:val="002C7631"/>
    <w:rsid w:val="002C767C"/>
    <w:rsid w:val="002C7711"/>
    <w:rsid w:val="002C779F"/>
    <w:rsid w:val="002C7862"/>
    <w:rsid w:val="002C7992"/>
    <w:rsid w:val="002C7A09"/>
    <w:rsid w:val="002C7A36"/>
    <w:rsid w:val="002C7B1F"/>
    <w:rsid w:val="002C7B84"/>
    <w:rsid w:val="002C7B91"/>
    <w:rsid w:val="002C7C25"/>
    <w:rsid w:val="002C7D68"/>
    <w:rsid w:val="002D0089"/>
    <w:rsid w:val="002D00C5"/>
    <w:rsid w:val="002D00C9"/>
    <w:rsid w:val="002D00DC"/>
    <w:rsid w:val="002D00EE"/>
    <w:rsid w:val="002D0152"/>
    <w:rsid w:val="002D0226"/>
    <w:rsid w:val="002D0272"/>
    <w:rsid w:val="002D02FF"/>
    <w:rsid w:val="002D0539"/>
    <w:rsid w:val="002D0551"/>
    <w:rsid w:val="002D0635"/>
    <w:rsid w:val="002D0769"/>
    <w:rsid w:val="002D077F"/>
    <w:rsid w:val="002D07FC"/>
    <w:rsid w:val="002D085A"/>
    <w:rsid w:val="002D0AC3"/>
    <w:rsid w:val="002D0AE8"/>
    <w:rsid w:val="002D0AE9"/>
    <w:rsid w:val="002D0C79"/>
    <w:rsid w:val="002D0E16"/>
    <w:rsid w:val="002D0F35"/>
    <w:rsid w:val="002D1006"/>
    <w:rsid w:val="002D1039"/>
    <w:rsid w:val="002D1044"/>
    <w:rsid w:val="002D122D"/>
    <w:rsid w:val="002D1297"/>
    <w:rsid w:val="002D1434"/>
    <w:rsid w:val="002D1488"/>
    <w:rsid w:val="002D14FC"/>
    <w:rsid w:val="002D16EF"/>
    <w:rsid w:val="002D17E0"/>
    <w:rsid w:val="002D1969"/>
    <w:rsid w:val="002D1D86"/>
    <w:rsid w:val="002D1DFA"/>
    <w:rsid w:val="002D1E6B"/>
    <w:rsid w:val="002D2007"/>
    <w:rsid w:val="002D2012"/>
    <w:rsid w:val="002D20FE"/>
    <w:rsid w:val="002D210C"/>
    <w:rsid w:val="002D2132"/>
    <w:rsid w:val="002D214B"/>
    <w:rsid w:val="002D221F"/>
    <w:rsid w:val="002D2455"/>
    <w:rsid w:val="002D2555"/>
    <w:rsid w:val="002D2575"/>
    <w:rsid w:val="002D2612"/>
    <w:rsid w:val="002D291E"/>
    <w:rsid w:val="002D29D1"/>
    <w:rsid w:val="002D2B14"/>
    <w:rsid w:val="002D2D7E"/>
    <w:rsid w:val="002D2FDC"/>
    <w:rsid w:val="002D30D3"/>
    <w:rsid w:val="002D30FB"/>
    <w:rsid w:val="002D3133"/>
    <w:rsid w:val="002D318C"/>
    <w:rsid w:val="002D3216"/>
    <w:rsid w:val="002D32A9"/>
    <w:rsid w:val="002D3409"/>
    <w:rsid w:val="002D341F"/>
    <w:rsid w:val="002D34CC"/>
    <w:rsid w:val="002D3509"/>
    <w:rsid w:val="002D3527"/>
    <w:rsid w:val="002D3632"/>
    <w:rsid w:val="002D3653"/>
    <w:rsid w:val="002D36DC"/>
    <w:rsid w:val="002D36F6"/>
    <w:rsid w:val="002D378E"/>
    <w:rsid w:val="002D37FA"/>
    <w:rsid w:val="002D38DA"/>
    <w:rsid w:val="002D394F"/>
    <w:rsid w:val="002D39DC"/>
    <w:rsid w:val="002D3A35"/>
    <w:rsid w:val="002D3B86"/>
    <w:rsid w:val="002D3B96"/>
    <w:rsid w:val="002D3C03"/>
    <w:rsid w:val="002D3DBD"/>
    <w:rsid w:val="002D3DDC"/>
    <w:rsid w:val="002D3E54"/>
    <w:rsid w:val="002D3EAE"/>
    <w:rsid w:val="002D3EE0"/>
    <w:rsid w:val="002D3F4C"/>
    <w:rsid w:val="002D3F79"/>
    <w:rsid w:val="002D4048"/>
    <w:rsid w:val="002D405E"/>
    <w:rsid w:val="002D4125"/>
    <w:rsid w:val="002D41AB"/>
    <w:rsid w:val="002D4215"/>
    <w:rsid w:val="002D4223"/>
    <w:rsid w:val="002D42F6"/>
    <w:rsid w:val="002D4345"/>
    <w:rsid w:val="002D464F"/>
    <w:rsid w:val="002D479F"/>
    <w:rsid w:val="002D47A9"/>
    <w:rsid w:val="002D47E1"/>
    <w:rsid w:val="002D48FB"/>
    <w:rsid w:val="002D4964"/>
    <w:rsid w:val="002D4B08"/>
    <w:rsid w:val="002D4BB7"/>
    <w:rsid w:val="002D4BD5"/>
    <w:rsid w:val="002D4C04"/>
    <w:rsid w:val="002D4CB3"/>
    <w:rsid w:val="002D4CD7"/>
    <w:rsid w:val="002D4CDD"/>
    <w:rsid w:val="002D4D76"/>
    <w:rsid w:val="002D4DD6"/>
    <w:rsid w:val="002D4FF7"/>
    <w:rsid w:val="002D5141"/>
    <w:rsid w:val="002D528D"/>
    <w:rsid w:val="002D5336"/>
    <w:rsid w:val="002D5476"/>
    <w:rsid w:val="002D559C"/>
    <w:rsid w:val="002D55F0"/>
    <w:rsid w:val="002D563A"/>
    <w:rsid w:val="002D5640"/>
    <w:rsid w:val="002D585C"/>
    <w:rsid w:val="002D5876"/>
    <w:rsid w:val="002D59A4"/>
    <w:rsid w:val="002D5A8A"/>
    <w:rsid w:val="002D5AF6"/>
    <w:rsid w:val="002D5C0B"/>
    <w:rsid w:val="002D5C9C"/>
    <w:rsid w:val="002D5CCD"/>
    <w:rsid w:val="002D5CF2"/>
    <w:rsid w:val="002D5EFD"/>
    <w:rsid w:val="002D5F51"/>
    <w:rsid w:val="002D5F9C"/>
    <w:rsid w:val="002D5FDF"/>
    <w:rsid w:val="002D5FE2"/>
    <w:rsid w:val="002D606B"/>
    <w:rsid w:val="002D6079"/>
    <w:rsid w:val="002D60C2"/>
    <w:rsid w:val="002D63C4"/>
    <w:rsid w:val="002D6619"/>
    <w:rsid w:val="002D6775"/>
    <w:rsid w:val="002D6847"/>
    <w:rsid w:val="002D6884"/>
    <w:rsid w:val="002D68B8"/>
    <w:rsid w:val="002D6999"/>
    <w:rsid w:val="002D69C5"/>
    <w:rsid w:val="002D6AC4"/>
    <w:rsid w:val="002D6AE0"/>
    <w:rsid w:val="002D6B36"/>
    <w:rsid w:val="002D6B4A"/>
    <w:rsid w:val="002D6BB6"/>
    <w:rsid w:val="002D6BD1"/>
    <w:rsid w:val="002D6BDF"/>
    <w:rsid w:val="002D6CD4"/>
    <w:rsid w:val="002D6CEB"/>
    <w:rsid w:val="002D6E7B"/>
    <w:rsid w:val="002D6EF8"/>
    <w:rsid w:val="002D6FD8"/>
    <w:rsid w:val="002D6FF3"/>
    <w:rsid w:val="002D7296"/>
    <w:rsid w:val="002D72D6"/>
    <w:rsid w:val="002D734B"/>
    <w:rsid w:val="002D75B6"/>
    <w:rsid w:val="002D772A"/>
    <w:rsid w:val="002D7783"/>
    <w:rsid w:val="002D77B0"/>
    <w:rsid w:val="002D77E4"/>
    <w:rsid w:val="002D7872"/>
    <w:rsid w:val="002D7915"/>
    <w:rsid w:val="002D7A98"/>
    <w:rsid w:val="002D7A9C"/>
    <w:rsid w:val="002D7B5C"/>
    <w:rsid w:val="002D7B9F"/>
    <w:rsid w:val="002D7BB5"/>
    <w:rsid w:val="002D7CC7"/>
    <w:rsid w:val="002D7D8F"/>
    <w:rsid w:val="002E00DE"/>
    <w:rsid w:val="002E015B"/>
    <w:rsid w:val="002E01F3"/>
    <w:rsid w:val="002E0381"/>
    <w:rsid w:val="002E0414"/>
    <w:rsid w:val="002E046F"/>
    <w:rsid w:val="002E04E9"/>
    <w:rsid w:val="002E0633"/>
    <w:rsid w:val="002E07FA"/>
    <w:rsid w:val="002E0831"/>
    <w:rsid w:val="002E08C2"/>
    <w:rsid w:val="002E095C"/>
    <w:rsid w:val="002E09A8"/>
    <w:rsid w:val="002E0BD7"/>
    <w:rsid w:val="002E0C8D"/>
    <w:rsid w:val="002E0E76"/>
    <w:rsid w:val="002E0EBE"/>
    <w:rsid w:val="002E0ED8"/>
    <w:rsid w:val="002E110A"/>
    <w:rsid w:val="002E111E"/>
    <w:rsid w:val="002E1241"/>
    <w:rsid w:val="002E138C"/>
    <w:rsid w:val="002E13B2"/>
    <w:rsid w:val="002E1453"/>
    <w:rsid w:val="002E1802"/>
    <w:rsid w:val="002E18DE"/>
    <w:rsid w:val="002E1988"/>
    <w:rsid w:val="002E19B3"/>
    <w:rsid w:val="002E19ED"/>
    <w:rsid w:val="002E1A90"/>
    <w:rsid w:val="002E1BCF"/>
    <w:rsid w:val="002E1CBF"/>
    <w:rsid w:val="002E1CC4"/>
    <w:rsid w:val="002E1CE6"/>
    <w:rsid w:val="002E1DAC"/>
    <w:rsid w:val="002E1EC5"/>
    <w:rsid w:val="002E21D8"/>
    <w:rsid w:val="002E2336"/>
    <w:rsid w:val="002E2488"/>
    <w:rsid w:val="002E260F"/>
    <w:rsid w:val="002E262D"/>
    <w:rsid w:val="002E276F"/>
    <w:rsid w:val="002E27ED"/>
    <w:rsid w:val="002E2830"/>
    <w:rsid w:val="002E284B"/>
    <w:rsid w:val="002E297A"/>
    <w:rsid w:val="002E29DC"/>
    <w:rsid w:val="002E2B91"/>
    <w:rsid w:val="002E2E5C"/>
    <w:rsid w:val="002E3026"/>
    <w:rsid w:val="002E309D"/>
    <w:rsid w:val="002E31B7"/>
    <w:rsid w:val="002E3326"/>
    <w:rsid w:val="002E34D6"/>
    <w:rsid w:val="002E351A"/>
    <w:rsid w:val="002E351D"/>
    <w:rsid w:val="002E357E"/>
    <w:rsid w:val="002E3583"/>
    <w:rsid w:val="002E35D5"/>
    <w:rsid w:val="002E3600"/>
    <w:rsid w:val="002E360A"/>
    <w:rsid w:val="002E3661"/>
    <w:rsid w:val="002E3690"/>
    <w:rsid w:val="002E36B6"/>
    <w:rsid w:val="002E376E"/>
    <w:rsid w:val="002E38FF"/>
    <w:rsid w:val="002E3923"/>
    <w:rsid w:val="002E3966"/>
    <w:rsid w:val="002E3ADB"/>
    <w:rsid w:val="002E3CF8"/>
    <w:rsid w:val="002E3DAD"/>
    <w:rsid w:val="002E3E80"/>
    <w:rsid w:val="002E3F2D"/>
    <w:rsid w:val="002E3F42"/>
    <w:rsid w:val="002E3F6A"/>
    <w:rsid w:val="002E4177"/>
    <w:rsid w:val="002E4197"/>
    <w:rsid w:val="002E4248"/>
    <w:rsid w:val="002E42ED"/>
    <w:rsid w:val="002E4311"/>
    <w:rsid w:val="002E4312"/>
    <w:rsid w:val="002E431D"/>
    <w:rsid w:val="002E4413"/>
    <w:rsid w:val="002E45C7"/>
    <w:rsid w:val="002E4785"/>
    <w:rsid w:val="002E47FA"/>
    <w:rsid w:val="002E4917"/>
    <w:rsid w:val="002E4959"/>
    <w:rsid w:val="002E4A2F"/>
    <w:rsid w:val="002E4AA2"/>
    <w:rsid w:val="002E4ACA"/>
    <w:rsid w:val="002E4AFF"/>
    <w:rsid w:val="002E4B6C"/>
    <w:rsid w:val="002E4C25"/>
    <w:rsid w:val="002E4C3E"/>
    <w:rsid w:val="002E4D3B"/>
    <w:rsid w:val="002E4D72"/>
    <w:rsid w:val="002E4DE0"/>
    <w:rsid w:val="002E4E5F"/>
    <w:rsid w:val="002E4F9F"/>
    <w:rsid w:val="002E4FA2"/>
    <w:rsid w:val="002E504C"/>
    <w:rsid w:val="002E514C"/>
    <w:rsid w:val="002E5230"/>
    <w:rsid w:val="002E5428"/>
    <w:rsid w:val="002E54C2"/>
    <w:rsid w:val="002E55F2"/>
    <w:rsid w:val="002E5664"/>
    <w:rsid w:val="002E566F"/>
    <w:rsid w:val="002E56D0"/>
    <w:rsid w:val="002E5715"/>
    <w:rsid w:val="002E5785"/>
    <w:rsid w:val="002E57FF"/>
    <w:rsid w:val="002E587F"/>
    <w:rsid w:val="002E5897"/>
    <w:rsid w:val="002E58DC"/>
    <w:rsid w:val="002E5929"/>
    <w:rsid w:val="002E5993"/>
    <w:rsid w:val="002E5A33"/>
    <w:rsid w:val="002E5A56"/>
    <w:rsid w:val="002E5B29"/>
    <w:rsid w:val="002E5EF0"/>
    <w:rsid w:val="002E5F17"/>
    <w:rsid w:val="002E5F7E"/>
    <w:rsid w:val="002E5FBE"/>
    <w:rsid w:val="002E5FF7"/>
    <w:rsid w:val="002E6024"/>
    <w:rsid w:val="002E6069"/>
    <w:rsid w:val="002E607A"/>
    <w:rsid w:val="002E627C"/>
    <w:rsid w:val="002E6284"/>
    <w:rsid w:val="002E62AF"/>
    <w:rsid w:val="002E636D"/>
    <w:rsid w:val="002E637A"/>
    <w:rsid w:val="002E6501"/>
    <w:rsid w:val="002E654C"/>
    <w:rsid w:val="002E68D0"/>
    <w:rsid w:val="002E68D5"/>
    <w:rsid w:val="002E69FF"/>
    <w:rsid w:val="002E6A36"/>
    <w:rsid w:val="002E6C20"/>
    <w:rsid w:val="002E6D08"/>
    <w:rsid w:val="002E6DC6"/>
    <w:rsid w:val="002E6DFD"/>
    <w:rsid w:val="002E6E34"/>
    <w:rsid w:val="002E6E9E"/>
    <w:rsid w:val="002E7056"/>
    <w:rsid w:val="002E70EE"/>
    <w:rsid w:val="002E7115"/>
    <w:rsid w:val="002E7125"/>
    <w:rsid w:val="002E718C"/>
    <w:rsid w:val="002E7313"/>
    <w:rsid w:val="002E73FD"/>
    <w:rsid w:val="002E74FE"/>
    <w:rsid w:val="002E7585"/>
    <w:rsid w:val="002E758F"/>
    <w:rsid w:val="002E7636"/>
    <w:rsid w:val="002E7734"/>
    <w:rsid w:val="002E77E4"/>
    <w:rsid w:val="002E791F"/>
    <w:rsid w:val="002E79E1"/>
    <w:rsid w:val="002E7D6C"/>
    <w:rsid w:val="002E7D9E"/>
    <w:rsid w:val="002E7F39"/>
    <w:rsid w:val="002E7F49"/>
    <w:rsid w:val="002F00F3"/>
    <w:rsid w:val="002F0155"/>
    <w:rsid w:val="002F015F"/>
    <w:rsid w:val="002F0177"/>
    <w:rsid w:val="002F01B2"/>
    <w:rsid w:val="002F0335"/>
    <w:rsid w:val="002F04DE"/>
    <w:rsid w:val="002F0572"/>
    <w:rsid w:val="002F070F"/>
    <w:rsid w:val="002F07BA"/>
    <w:rsid w:val="002F07CA"/>
    <w:rsid w:val="002F0832"/>
    <w:rsid w:val="002F085F"/>
    <w:rsid w:val="002F0881"/>
    <w:rsid w:val="002F08BE"/>
    <w:rsid w:val="002F0BB4"/>
    <w:rsid w:val="002F0F40"/>
    <w:rsid w:val="002F0FD9"/>
    <w:rsid w:val="002F1091"/>
    <w:rsid w:val="002F10D0"/>
    <w:rsid w:val="002F10E7"/>
    <w:rsid w:val="002F110D"/>
    <w:rsid w:val="002F118B"/>
    <w:rsid w:val="002F11B0"/>
    <w:rsid w:val="002F11D2"/>
    <w:rsid w:val="002F1236"/>
    <w:rsid w:val="002F125E"/>
    <w:rsid w:val="002F129C"/>
    <w:rsid w:val="002F1357"/>
    <w:rsid w:val="002F13E4"/>
    <w:rsid w:val="002F13F7"/>
    <w:rsid w:val="002F143D"/>
    <w:rsid w:val="002F1468"/>
    <w:rsid w:val="002F1580"/>
    <w:rsid w:val="002F168C"/>
    <w:rsid w:val="002F16FF"/>
    <w:rsid w:val="002F1833"/>
    <w:rsid w:val="002F1893"/>
    <w:rsid w:val="002F1917"/>
    <w:rsid w:val="002F193B"/>
    <w:rsid w:val="002F1A23"/>
    <w:rsid w:val="002F1AC2"/>
    <w:rsid w:val="002F1B95"/>
    <w:rsid w:val="002F1BD0"/>
    <w:rsid w:val="002F1C00"/>
    <w:rsid w:val="002F1C1D"/>
    <w:rsid w:val="002F1C46"/>
    <w:rsid w:val="002F1CCE"/>
    <w:rsid w:val="002F1D77"/>
    <w:rsid w:val="002F1DEC"/>
    <w:rsid w:val="002F1EB5"/>
    <w:rsid w:val="002F1F89"/>
    <w:rsid w:val="002F1FF0"/>
    <w:rsid w:val="002F207F"/>
    <w:rsid w:val="002F2110"/>
    <w:rsid w:val="002F2165"/>
    <w:rsid w:val="002F21A1"/>
    <w:rsid w:val="002F248E"/>
    <w:rsid w:val="002F2514"/>
    <w:rsid w:val="002F2544"/>
    <w:rsid w:val="002F258C"/>
    <w:rsid w:val="002F2740"/>
    <w:rsid w:val="002F279B"/>
    <w:rsid w:val="002F2811"/>
    <w:rsid w:val="002F2882"/>
    <w:rsid w:val="002F29BB"/>
    <w:rsid w:val="002F29FF"/>
    <w:rsid w:val="002F2A16"/>
    <w:rsid w:val="002F2AE7"/>
    <w:rsid w:val="002F2B20"/>
    <w:rsid w:val="002F2BB7"/>
    <w:rsid w:val="002F2BF6"/>
    <w:rsid w:val="002F2CA8"/>
    <w:rsid w:val="002F2D34"/>
    <w:rsid w:val="002F2D80"/>
    <w:rsid w:val="002F2EBC"/>
    <w:rsid w:val="002F3203"/>
    <w:rsid w:val="002F342B"/>
    <w:rsid w:val="002F361D"/>
    <w:rsid w:val="002F3640"/>
    <w:rsid w:val="002F3702"/>
    <w:rsid w:val="002F377E"/>
    <w:rsid w:val="002F37C3"/>
    <w:rsid w:val="002F3811"/>
    <w:rsid w:val="002F3824"/>
    <w:rsid w:val="002F38AF"/>
    <w:rsid w:val="002F38C2"/>
    <w:rsid w:val="002F3A42"/>
    <w:rsid w:val="002F3AB9"/>
    <w:rsid w:val="002F3CFD"/>
    <w:rsid w:val="002F3DC0"/>
    <w:rsid w:val="002F3E29"/>
    <w:rsid w:val="002F3FE9"/>
    <w:rsid w:val="002F40A1"/>
    <w:rsid w:val="002F4140"/>
    <w:rsid w:val="002F419B"/>
    <w:rsid w:val="002F41B9"/>
    <w:rsid w:val="002F4213"/>
    <w:rsid w:val="002F42D8"/>
    <w:rsid w:val="002F445B"/>
    <w:rsid w:val="002F445F"/>
    <w:rsid w:val="002F44C3"/>
    <w:rsid w:val="002F4599"/>
    <w:rsid w:val="002F469D"/>
    <w:rsid w:val="002F46A7"/>
    <w:rsid w:val="002F46BC"/>
    <w:rsid w:val="002F471D"/>
    <w:rsid w:val="002F474F"/>
    <w:rsid w:val="002F4787"/>
    <w:rsid w:val="002F480C"/>
    <w:rsid w:val="002F486D"/>
    <w:rsid w:val="002F48C0"/>
    <w:rsid w:val="002F48E7"/>
    <w:rsid w:val="002F497B"/>
    <w:rsid w:val="002F49C5"/>
    <w:rsid w:val="002F49E4"/>
    <w:rsid w:val="002F4A2F"/>
    <w:rsid w:val="002F4D0E"/>
    <w:rsid w:val="002F4DC6"/>
    <w:rsid w:val="002F4E47"/>
    <w:rsid w:val="002F4EDF"/>
    <w:rsid w:val="002F4FB0"/>
    <w:rsid w:val="002F5052"/>
    <w:rsid w:val="002F5277"/>
    <w:rsid w:val="002F5334"/>
    <w:rsid w:val="002F5385"/>
    <w:rsid w:val="002F53A0"/>
    <w:rsid w:val="002F53FD"/>
    <w:rsid w:val="002F5440"/>
    <w:rsid w:val="002F54DB"/>
    <w:rsid w:val="002F560F"/>
    <w:rsid w:val="002F5641"/>
    <w:rsid w:val="002F5687"/>
    <w:rsid w:val="002F5688"/>
    <w:rsid w:val="002F5826"/>
    <w:rsid w:val="002F5878"/>
    <w:rsid w:val="002F58A6"/>
    <w:rsid w:val="002F59A7"/>
    <w:rsid w:val="002F59BB"/>
    <w:rsid w:val="002F5A00"/>
    <w:rsid w:val="002F5B53"/>
    <w:rsid w:val="002F5B60"/>
    <w:rsid w:val="002F5C2E"/>
    <w:rsid w:val="002F5C3D"/>
    <w:rsid w:val="002F5C54"/>
    <w:rsid w:val="002F5C83"/>
    <w:rsid w:val="002F5D00"/>
    <w:rsid w:val="002F5D12"/>
    <w:rsid w:val="002F5E26"/>
    <w:rsid w:val="002F5E46"/>
    <w:rsid w:val="002F5E5C"/>
    <w:rsid w:val="002F5EE7"/>
    <w:rsid w:val="002F5F45"/>
    <w:rsid w:val="002F5FB7"/>
    <w:rsid w:val="002F61B9"/>
    <w:rsid w:val="002F62D1"/>
    <w:rsid w:val="002F6319"/>
    <w:rsid w:val="002F642D"/>
    <w:rsid w:val="002F647D"/>
    <w:rsid w:val="002F64A0"/>
    <w:rsid w:val="002F64E9"/>
    <w:rsid w:val="002F655C"/>
    <w:rsid w:val="002F656B"/>
    <w:rsid w:val="002F6573"/>
    <w:rsid w:val="002F658F"/>
    <w:rsid w:val="002F6611"/>
    <w:rsid w:val="002F66B0"/>
    <w:rsid w:val="002F66B4"/>
    <w:rsid w:val="002F66EA"/>
    <w:rsid w:val="002F6728"/>
    <w:rsid w:val="002F678F"/>
    <w:rsid w:val="002F689D"/>
    <w:rsid w:val="002F6A24"/>
    <w:rsid w:val="002F6AB3"/>
    <w:rsid w:val="002F6C96"/>
    <w:rsid w:val="002F6DF1"/>
    <w:rsid w:val="002F6E01"/>
    <w:rsid w:val="002F6E5B"/>
    <w:rsid w:val="002F6F29"/>
    <w:rsid w:val="002F7010"/>
    <w:rsid w:val="002F7071"/>
    <w:rsid w:val="002F7078"/>
    <w:rsid w:val="002F7119"/>
    <w:rsid w:val="002F7149"/>
    <w:rsid w:val="002F720C"/>
    <w:rsid w:val="002F732A"/>
    <w:rsid w:val="002F73E9"/>
    <w:rsid w:val="002F7416"/>
    <w:rsid w:val="002F7458"/>
    <w:rsid w:val="002F7611"/>
    <w:rsid w:val="002F7643"/>
    <w:rsid w:val="002F7781"/>
    <w:rsid w:val="002F78C6"/>
    <w:rsid w:val="002F78CA"/>
    <w:rsid w:val="002F792C"/>
    <w:rsid w:val="002F7B14"/>
    <w:rsid w:val="002F7B25"/>
    <w:rsid w:val="002F7C5D"/>
    <w:rsid w:val="002F7CD5"/>
    <w:rsid w:val="002F7CFC"/>
    <w:rsid w:val="002F7D00"/>
    <w:rsid w:val="002F7E5B"/>
    <w:rsid w:val="002F7E77"/>
    <w:rsid w:val="002F7F2C"/>
    <w:rsid w:val="00300020"/>
    <w:rsid w:val="0030002C"/>
    <w:rsid w:val="00300031"/>
    <w:rsid w:val="00300042"/>
    <w:rsid w:val="0030018F"/>
    <w:rsid w:val="003003DF"/>
    <w:rsid w:val="00300405"/>
    <w:rsid w:val="003004BD"/>
    <w:rsid w:val="0030055C"/>
    <w:rsid w:val="00300593"/>
    <w:rsid w:val="003005C4"/>
    <w:rsid w:val="00300711"/>
    <w:rsid w:val="00300723"/>
    <w:rsid w:val="003007A3"/>
    <w:rsid w:val="003007AB"/>
    <w:rsid w:val="0030086C"/>
    <w:rsid w:val="0030095A"/>
    <w:rsid w:val="00300A09"/>
    <w:rsid w:val="00300A33"/>
    <w:rsid w:val="00300B34"/>
    <w:rsid w:val="00300C24"/>
    <w:rsid w:val="00300C93"/>
    <w:rsid w:val="00300D70"/>
    <w:rsid w:val="00300E04"/>
    <w:rsid w:val="00300F39"/>
    <w:rsid w:val="003010D6"/>
    <w:rsid w:val="00301309"/>
    <w:rsid w:val="00301382"/>
    <w:rsid w:val="003013D5"/>
    <w:rsid w:val="00301514"/>
    <w:rsid w:val="00301633"/>
    <w:rsid w:val="0030163D"/>
    <w:rsid w:val="00301757"/>
    <w:rsid w:val="00301766"/>
    <w:rsid w:val="003017F1"/>
    <w:rsid w:val="00301810"/>
    <w:rsid w:val="00301862"/>
    <w:rsid w:val="0030198C"/>
    <w:rsid w:val="003019AC"/>
    <w:rsid w:val="003019DD"/>
    <w:rsid w:val="00301BAF"/>
    <w:rsid w:val="00301C4E"/>
    <w:rsid w:val="00301CB6"/>
    <w:rsid w:val="00301CBE"/>
    <w:rsid w:val="00301D25"/>
    <w:rsid w:val="00301E35"/>
    <w:rsid w:val="00301E38"/>
    <w:rsid w:val="00301EC5"/>
    <w:rsid w:val="00301EC8"/>
    <w:rsid w:val="00301F3C"/>
    <w:rsid w:val="00301FD1"/>
    <w:rsid w:val="00301FEA"/>
    <w:rsid w:val="00302110"/>
    <w:rsid w:val="00302180"/>
    <w:rsid w:val="003021C7"/>
    <w:rsid w:val="00302253"/>
    <w:rsid w:val="003022D0"/>
    <w:rsid w:val="003022F8"/>
    <w:rsid w:val="00302307"/>
    <w:rsid w:val="00302435"/>
    <w:rsid w:val="00302533"/>
    <w:rsid w:val="003025F2"/>
    <w:rsid w:val="00302602"/>
    <w:rsid w:val="0030276F"/>
    <w:rsid w:val="003028C3"/>
    <w:rsid w:val="00302992"/>
    <w:rsid w:val="003029BD"/>
    <w:rsid w:val="003029D0"/>
    <w:rsid w:val="00302C16"/>
    <w:rsid w:val="00302CC6"/>
    <w:rsid w:val="00302CEA"/>
    <w:rsid w:val="00302CEC"/>
    <w:rsid w:val="00302DED"/>
    <w:rsid w:val="00302EC0"/>
    <w:rsid w:val="00302EF4"/>
    <w:rsid w:val="0030302C"/>
    <w:rsid w:val="00303054"/>
    <w:rsid w:val="00303129"/>
    <w:rsid w:val="0030313B"/>
    <w:rsid w:val="003033BC"/>
    <w:rsid w:val="00303457"/>
    <w:rsid w:val="003034BE"/>
    <w:rsid w:val="0030351C"/>
    <w:rsid w:val="00303583"/>
    <w:rsid w:val="00303799"/>
    <w:rsid w:val="003037DF"/>
    <w:rsid w:val="0030399F"/>
    <w:rsid w:val="003039AE"/>
    <w:rsid w:val="00303A67"/>
    <w:rsid w:val="00303A78"/>
    <w:rsid w:val="00303A80"/>
    <w:rsid w:val="00303BE9"/>
    <w:rsid w:val="00303BF4"/>
    <w:rsid w:val="00303D2F"/>
    <w:rsid w:val="00303D8C"/>
    <w:rsid w:val="00303DC5"/>
    <w:rsid w:val="00303E47"/>
    <w:rsid w:val="00303F3E"/>
    <w:rsid w:val="00303FEC"/>
    <w:rsid w:val="0030405E"/>
    <w:rsid w:val="00304278"/>
    <w:rsid w:val="00304298"/>
    <w:rsid w:val="003042BC"/>
    <w:rsid w:val="003042F7"/>
    <w:rsid w:val="003042F8"/>
    <w:rsid w:val="00304338"/>
    <w:rsid w:val="0030437A"/>
    <w:rsid w:val="003044C4"/>
    <w:rsid w:val="00304514"/>
    <w:rsid w:val="003045AE"/>
    <w:rsid w:val="00304654"/>
    <w:rsid w:val="003047B8"/>
    <w:rsid w:val="003049FF"/>
    <w:rsid w:val="00304A34"/>
    <w:rsid w:val="00304A7A"/>
    <w:rsid w:val="00304AC4"/>
    <w:rsid w:val="00304ADB"/>
    <w:rsid w:val="00304BCC"/>
    <w:rsid w:val="00304D8D"/>
    <w:rsid w:val="00304E31"/>
    <w:rsid w:val="00304E46"/>
    <w:rsid w:val="00304FA1"/>
    <w:rsid w:val="00305011"/>
    <w:rsid w:val="0030502B"/>
    <w:rsid w:val="00305136"/>
    <w:rsid w:val="003051BD"/>
    <w:rsid w:val="0030526C"/>
    <w:rsid w:val="003052C3"/>
    <w:rsid w:val="0030535A"/>
    <w:rsid w:val="0030546B"/>
    <w:rsid w:val="00305526"/>
    <w:rsid w:val="0030554C"/>
    <w:rsid w:val="003055D5"/>
    <w:rsid w:val="00305605"/>
    <w:rsid w:val="00305629"/>
    <w:rsid w:val="003056E3"/>
    <w:rsid w:val="0030578C"/>
    <w:rsid w:val="003057BE"/>
    <w:rsid w:val="003058BB"/>
    <w:rsid w:val="0030595C"/>
    <w:rsid w:val="00305A20"/>
    <w:rsid w:val="00305CCB"/>
    <w:rsid w:val="00305D96"/>
    <w:rsid w:val="00305E2C"/>
    <w:rsid w:val="00305EC5"/>
    <w:rsid w:val="00305F7A"/>
    <w:rsid w:val="003061FE"/>
    <w:rsid w:val="00306280"/>
    <w:rsid w:val="0030634E"/>
    <w:rsid w:val="003063CB"/>
    <w:rsid w:val="00306483"/>
    <w:rsid w:val="0030654A"/>
    <w:rsid w:val="00306609"/>
    <w:rsid w:val="00306611"/>
    <w:rsid w:val="00306761"/>
    <w:rsid w:val="0030679D"/>
    <w:rsid w:val="003067C7"/>
    <w:rsid w:val="0030692C"/>
    <w:rsid w:val="003069E1"/>
    <w:rsid w:val="00306A2D"/>
    <w:rsid w:val="00306A64"/>
    <w:rsid w:val="00306C19"/>
    <w:rsid w:val="00306C2F"/>
    <w:rsid w:val="00306D96"/>
    <w:rsid w:val="00306DA2"/>
    <w:rsid w:val="00306E6A"/>
    <w:rsid w:val="00306E7E"/>
    <w:rsid w:val="00306E94"/>
    <w:rsid w:val="00306EC5"/>
    <w:rsid w:val="00306F02"/>
    <w:rsid w:val="00306FD3"/>
    <w:rsid w:val="00306FDB"/>
    <w:rsid w:val="003070BC"/>
    <w:rsid w:val="00307102"/>
    <w:rsid w:val="003071DF"/>
    <w:rsid w:val="00307286"/>
    <w:rsid w:val="0030737F"/>
    <w:rsid w:val="003074D4"/>
    <w:rsid w:val="003074FD"/>
    <w:rsid w:val="00307513"/>
    <w:rsid w:val="00307605"/>
    <w:rsid w:val="003076F8"/>
    <w:rsid w:val="00307870"/>
    <w:rsid w:val="0030792A"/>
    <w:rsid w:val="00307959"/>
    <w:rsid w:val="00307981"/>
    <w:rsid w:val="003079CE"/>
    <w:rsid w:val="00307A91"/>
    <w:rsid w:val="00307AFE"/>
    <w:rsid w:val="00307C9D"/>
    <w:rsid w:val="00307E1C"/>
    <w:rsid w:val="00307E2C"/>
    <w:rsid w:val="00307EDC"/>
    <w:rsid w:val="00307F69"/>
    <w:rsid w:val="00310013"/>
    <w:rsid w:val="00310056"/>
    <w:rsid w:val="003100D1"/>
    <w:rsid w:val="00310298"/>
    <w:rsid w:val="003102E1"/>
    <w:rsid w:val="00310346"/>
    <w:rsid w:val="0031036C"/>
    <w:rsid w:val="0031044E"/>
    <w:rsid w:val="00310541"/>
    <w:rsid w:val="003105F9"/>
    <w:rsid w:val="00310643"/>
    <w:rsid w:val="00310699"/>
    <w:rsid w:val="003106A6"/>
    <w:rsid w:val="003107BA"/>
    <w:rsid w:val="0031089A"/>
    <w:rsid w:val="003108CE"/>
    <w:rsid w:val="00310A10"/>
    <w:rsid w:val="00310B43"/>
    <w:rsid w:val="00310C28"/>
    <w:rsid w:val="00310C31"/>
    <w:rsid w:val="00310C8C"/>
    <w:rsid w:val="00310DB2"/>
    <w:rsid w:val="00310F05"/>
    <w:rsid w:val="003110AC"/>
    <w:rsid w:val="0031115D"/>
    <w:rsid w:val="00311263"/>
    <w:rsid w:val="0031127D"/>
    <w:rsid w:val="00311296"/>
    <w:rsid w:val="00311424"/>
    <w:rsid w:val="0031153F"/>
    <w:rsid w:val="0031162D"/>
    <w:rsid w:val="0031165D"/>
    <w:rsid w:val="003116DB"/>
    <w:rsid w:val="0031174D"/>
    <w:rsid w:val="003117C0"/>
    <w:rsid w:val="003117D8"/>
    <w:rsid w:val="0031180E"/>
    <w:rsid w:val="003118FD"/>
    <w:rsid w:val="00311B46"/>
    <w:rsid w:val="00311C7F"/>
    <w:rsid w:val="00311D3F"/>
    <w:rsid w:val="00311D86"/>
    <w:rsid w:val="00311DA1"/>
    <w:rsid w:val="00311E78"/>
    <w:rsid w:val="00311E87"/>
    <w:rsid w:val="0031205E"/>
    <w:rsid w:val="003120B2"/>
    <w:rsid w:val="00312144"/>
    <w:rsid w:val="00312184"/>
    <w:rsid w:val="00312190"/>
    <w:rsid w:val="0031226B"/>
    <w:rsid w:val="00312287"/>
    <w:rsid w:val="00312296"/>
    <w:rsid w:val="00312355"/>
    <w:rsid w:val="003125B5"/>
    <w:rsid w:val="00312641"/>
    <w:rsid w:val="0031273C"/>
    <w:rsid w:val="00312742"/>
    <w:rsid w:val="003127A2"/>
    <w:rsid w:val="0031282E"/>
    <w:rsid w:val="00312848"/>
    <w:rsid w:val="003128F5"/>
    <w:rsid w:val="00312A82"/>
    <w:rsid w:val="00312AD7"/>
    <w:rsid w:val="00312AF4"/>
    <w:rsid w:val="00312B77"/>
    <w:rsid w:val="00312D3D"/>
    <w:rsid w:val="00312DBF"/>
    <w:rsid w:val="00312EDD"/>
    <w:rsid w:val="00312F90"/>
    <w:rsid w:val="00313000"/>
    <w:rsid w:val="00313014"/>
    <w:rsid w:val="00313126"/>
    <w:rsid w:val="00313306"/>
    <w:rsid w:val="00313423"/>
    <w:rsid w:val="0031347E"/>
    <w:rsid w:val="003135F6"/>
    <w:rsid w:val="00313640"/>
    <w:rsid w:val="00313667"/>
    <w:rsid w:val="0031367F"/>
    <w:rsid w:val="00313814"/>
    <w:rsid w:val="0031386B"/>
    <w:rsid w:val="003138EB"/>
    <w:rsid w:val="00313900"/>
    <w:rsid w:val="00313941"/>
    <w:rsid w:val="00313A10"/>
    <w:rsid w:val="00313AE2"/>
    <w:rsid w:val="00313BE4"/>
    <w:rsid w:val="00313BEC"/>
    <w:rsid w:val="00313C04"/>
    <w:rsid w:val="00313DA0"/>
    <w:rsid w:val="00313E0E"/>
    <w:rsid w:val="00313E5E"/>
    <w:rsid w:val="00313F4D"/>
    <w:rsid w:val="00313F8A"/>
    <w:rsid w:val="00313FA5"/>
    <w:rsid w:val="00314286"/>
    <w:rsid w:val="0031429B"/>
    <w:rsid w:val="00314354"/>
    <w:rsid w:val="003144C5"/>
    <w:rsid w:val="00314531"/>
    <w:rsid w:val="003145CE"/>
    <w:rsid w:val="003146D2"/>
    <w:rsid w:val="00314734"/>
    <w:rsid w:val="0031474C"/>
    <w:rsid w:val="0031476C"/>
    <w:rsid w:val="003147CD"/>
    <w:rsid w:val="0031488E"/>
    <w:rsid w:val="003148CB"/>
    <w:rsid w:val="003148D6"/>
    <w:rsid w:val="003149EB"/>
    <w:rsid w:val="00314A7B"/>
    <w:rsid w:val="00314ABE"/>
    <w:rsid w:val="00314AF5"/>
    <w:rsid w:val="00314B7D"/>
    <w:rsid w:val="00314BDD"/>
    <w:rsid w:val="00314DC6"/>
    <w:rsid w:val="00314EA7"/>
    <w:rsid w:val="00314F7B"/>
    <w:rsid w:val="00314FC1"/>
    <w:rsid w:val="00315002"/>
    <w:rsid w:val="00315029"/>
    <w:rsid w:val="003150F2"/>
    <w:rsid w:val="00315127"/>
    <w:rsid w:val="00315273"/>
    <w:rsid w:val="003152E4"/>
    <w:rsid w:val="00315384"/>
    <w:rsid w:val="00315435"/>
    <w:rsid w:val="00315523"/>
    <w:rsid w:val="00315643"/>
    <w:rsid w:val="0031572B"/>
    <w:rsid w:val="003157C9"/>
    <w:rsid w:val="003157EB"/>
    <w:rsid w:val="003158C2"/>
    <w:rsid w:val="003158FB"/>
    <w:rsid w:val="003158FE"/>
    <w:rsid w:val="00315905"/>
    <w:rsid w:val="0031590D"/>
    <w:rsid w:val="0031593A"/>
    <w:rsid w:val="00315BAA"/>
    <w:rsid w:val="00315C08"/>
    <w:rsid w:val="00315CA4"/>
    <w:rsid w:val="00315CF0"/>
    <w:rsid w:val="00315E49"/>
    <w:rsid w:val="00315EB9"/>
    <w:rsid w:val="00315ED7"/>
    <w:rsid w:val="00315FD9"/>
    <w:rsid w:val="00315FE8"/>
    <w:rsid w:val="0031600A"/>
    <w:rsid w:val="003160E2"/>
    <w:rsid w:val="0031620E"/>
    <w:rsid w:val="00316229"/>
    <w:rsid w:val="00316278"/>
    <w:rsid w:val="003162B6"/>
    <w:rsid w:val="00316392"/>
    <w:rsid w:val="0031646E"/>
    <w:rsid w:val="003164F2"/>
    <w:rsid w:val="003166DA"/>
    <w:rsid w:val="00316700"/>
    <w:rsid w:val="003167D5"/>
    <w:rsid w:val="00316801"/>
    <w:rsid w:val="0031687E"/>
    <w:rsid w:val="00316897"/>
    <w:rsid w:val="00316B0A"/>
    <w:rsid w:val="00316B0D"/>
    <w:rsid w:val="00316B70"/>
    <w:rsid w:val="00316CDF"/>
    <w:rsid w:val="00316E0C"/>
    <w:rsid w:val="0031701D"/>
    <w:rsid w:val="0031706B"/>
    <w:rsid w:val="0031720F"/>
    <w:rsid w:val="003172FF"/>
    <w:rsid w:val="00317310"/>
    <w:rsid w:val="00317362"/>
    <w:rsid w:val="003173B9"/>
    <w:rsid w:val="003173E7"/>
    <w:rsid w:val="003174AE"/>
    <w:rsid w:val="0031750C"/>
    <w:rsid w:val="00317519"/>
    <w:rsid w:val="0031760A"/>
    <w:rsid w:val="00317611"/>
    <w:rsid w:val="003177C8"/>
    <w:rsid w:val="00317883"/>
    <w:rsid w:val="0031790B"/>
    <w:rsid w:val="00317942"/>
    <w:rsid w:val="00317985"/>
    <w:rsid w:val="00317A31"/>
    <w:rsid w:val="00317AAB"/>
    <w:rsid w:val="00317C12"/>
    <w:rsid w:val="00317C30"/>
    <w:rsid w:val="00317D57"/>
    <w:rsid w:val="00317E77"/>
    <w:rsid w:val="00317FDB"/>
    <w:rsid w:val="003183D1"/>
    <w:rsid w:val="0031D72D"/>
    <w:rsid w:val="003200A7"/>
    <w:rsid w:val="003200B4"/>
    <w:rsid w:val="003200F6"/>
    <w:rsid w:val="00320161"/>
    <w:rsid w:val="00320287"/>
    <w:rsid w:val="003202BE"/>
    <w:rsid w:val="0032031F"/>
    <w:rsid w:val="003203FD"/>
    <w:rsid w:val="003204F6"/>
    <w:rsid w:val="0032052D"/>
    <w:rsid w:val="00320574"/>
    <w:rsid w:val="003205DD"/>
    <w:rsid w:val="00320704"/>
    <w:rsid w:val="0032077D"/>
    <w:rsid w:val="003207CF"/>
    <w:rsid w:val="003207F9"/>
    <w:rsid w:val="00320942"/>
    <w:rsid w:val="00320A15"/>
    <w:rsid w:val="00320A6C"/>
    <w:rsid w:val="00320A8A"/>
    <w:rsid w:val="00320ADD"/>
    <w:rsid w:val="00320B81"/>
    <w:rsid w:val="00320C7E"/>
    <w:rsid w:val="00320D3D"/>
    <w:rsid w:val="00320E36"/>
    <w:rsid w:val="00320F7C"/>
    <w:rsid w:val="00321075"/>
    <w:rsid w:val="0032111B"/>
    <w:rsid w:val="00321321"/>
    <w:rsid w:val="003213AA"/>
    <w:rsid w:val="003213C2"/>
    <w:rsid w:val="003213C9"/>
    <w:rsid w:val="003213CC"/>
    <w:rsid w:val="003215F2"/>
    <w:rsid w:val="00321711"/>
    <w:rsid w:val="0032182B"/>
    <w:rsid w:val="00321878"/>
    <w:rsid w:val="0032198B"/>
    <w:rsid w:val="00321C95"/>
    <w:rsid w:val="00321F48"/>
    <w:rsid w:val="0032207F"/>
    <w:rsid w:val="00322157"/>
    <w:rsid w:val="003222AC"/>
    <w:rsid w:val="003222C5"/>
    <w:rsid w:val="0032232D"/>
    <w:rsid w:val="003223F1"/>
    <w:rsid w:val="003223FC"/>
    <w:rsid w:val="00322476"/>
    <w:rsid w:val="00322485"/>
    <w:rsid w:val="0032267C"/>
    <w:rsid w:val="00322680"/>
    <w:rsid w:val="00322839"/>
    <w:rsid w:val="003228ED"/>
    <w:rsid w:val="00322A1A"/>
    <w:rsid w:val="00322AA1"/>
    <w:rsid w:val="00322AA7"/>
    <w:rsid w:val="00322AB0"/>
    <w:rsid w:val="00322AB5"/>
    <w:rsid w:val="00322D27"/>
    <w:rsid w:val="00322D61"/>
    <w:rsid w:val="00322EA9"/>
    <w:rsid w:val="00323027"/>
    <w:rsid w:val="00323052"/>
    <w:rsid w:val="00323179"/>
    <w:rsid w:val="00323211"/>
    <w:rsid w:val="003233A6"/>
    <w:rsid w:val="003233ED"/>
    <w:rsid w:val="003234C9"/>
    <w:rsid w:val="003234E8"/>
    <w:rsid w:val="00323503"/>
    <w:rsid w:val="003235D2"/>
    <w:rsid w:val="003235D3"/>
    <w:rsid w:val="00323858"/>
    <w:rsid w:val="00323935"/>
    <w:rsid w:val="00323964"/>
    <w:rsid w:val="0032397F"/>
    <w:rsid w:val="00323A51"/>
    <w:rsid w:val="00323AF3"/>
    <w:rsid w:val="00323BBF"/>
    <w:rsid w:val="00323DE2"/>
    <w:rsid w:val="00323EA8"/>
    <w:rsid w:val="00323EDC"/>
    <w:rsid w:val="00323F44"/>
    <w:rsid w:val="00323FAA"/>
    <w:rsid w:val="00324038"/>
    <w:rsid w:val="0032408E"/>
    <w:rsid w:val="003240BE"/>
    <w:rsid w:val="00324180"/>
    <w:rsid w:val="003243C9"/>
    <w:rsid w:val="00324442"/>
    <w:rsid w:val="00324502"/>
    <w:rsid w:val="00324524"/>
    <w:rsid w:val="003247A5"/>
    <w:rsid w:val="003247B5"/>
    <w:rsid w:val="0032481A"/>
    <w:rsid w:val="003249A3"/>
    <w:rsid w:val="003249ED"/>
    <w:rsid w:val="00324A32"/>
    <w:rsid w:val="00324AED"/>
    <w:rsid w:val="00324C5F"/>
    <w:rsid w:val="00324C64"/>
    <w:rsid w:val="00324D7F"/>
    <w:rsid w:val="00324D9F"/>
    <w:rsid w:val="00324DA0"/>
    <w:rsid w:val="00324F18"/>
    <w:rsid w:val="00324FAA"/>
    <w:rsid w:val="003250FC"/>
    <w:rsid w:val="003251BE"/>
    <w:rsid w:val="003251FB"/>
    <w:rsid w:val="00325326"/>
    <w:rsid w:val="0032544F"/>
    <w:rsid w:val="00325456"/>
    <w:rsid w:val="0032546E"/>
    <w:rsid w:val="003254B9"/>
    <w:rsid w:val="003256A6"/>
    <w:rsid w:val="00325792"/>
    <w:rsid w:val="003257E0"/>
    <w:rsid w:val="003257F4"/>
    <w:rsid w:val="00325A7A"/>
    <w:rsid w:val="00325A85"/>
    <w:rsid w:val="00325A8A"/>
    <w:rsid w:val="00325C0F"/>
    <w:rsid w:val="00325D18"/>
    <w:rsid w:val="00325D4A"/>
    <w:rsid w:val="00325DC2"/>
    <w:rsid w:val="00325EF3"/>
    <w:rsid w:val="00325F74"/>
    <w:rsid w:val="0032600D"/>
    <w:rsid w:val="0032604B"/>
    <w:rsid w:val="003262C8"/>
    <w:rsid w:val="003262CE"/>
    <w:rsid w:val="0032633B"/>
    <w:rsid w:val="003263EB"/>
    <w:rsid w:val="00326438"/>
    <w:rsid w:val="00326626"/>
    <w:rsid w:val="00326745"/>
    <w:rsid w:val="00326764"/>
    <w:rsid w:val="0032687B"/>
    <w:rsid w:val="0032695A"/>
    <w:rsid w:val="0032695D"/>
    <w:rsid w:val="003269EC"/>
    <w:rsid w:val="00326ACD"/>
    <w:rsid w:val="00326AF5"/>
    <w:rsid w:val="00326B06"/>
    <w:rsid w:val="00326B0D"/>
    <w:rsid w:val="00326BB3"/>
    <w:rsid w:val="00326BFE"/>
    <w:rsid w:val="00326CEE"/>
    <w:rsid w:val="00326D21"/>
    <w:rsid w:val="00326DB6"/>
    <w:rsid w:val="00326DEA"/>
    <w:rsid w:val="00326E49"/>
    <w:rsid w:val="00326EFB"/>
    <w:rsid w:val="00326F66"/>
    <w:rsid w:val="00326FC7"/>
    <w:rsid w:val="00326FFA"/>
    <w:rsid w:val="0032707F"/>
    <w:rsid w:val="00327119"/>
    <w:rsid w:val="0032719A"/>
    <w:rsid w:val="0032725B"/>
    <w:rsid w:val="0032725C"/>
    <w:rsid w:val="0032748A"/>
    <w:rsid w:val="003275A4"/>
    <w:rsid w:val="003275D3"/>
    <w:rsid w:val="00327619"/>
    <w:rsid w:val="00327665"/>
    <w:rsid w:val="003277C5"/>
    <w:rsid w:val="003277D5"/>
    <w:rsid w:val="00327901"/>
    <w:rsid w:val="0032790B"/>
    <w:rsid w:val="00327C12"/>
    <w:rsid w:val="00327E6F"/>
    <w:rsid w:val="00327E84"/>
    <w:rsid w:val="0033017D"/>
    <w:rsid w:val="003301C8"/>
    <w:rsid w:val="0033026D"/>
    <w:rsid w:val="00330317"/>
    <w:rsid w:val="00330404"/>
    <w:rsid w:val="00330459"/>
    <w:rsid w:val="00330478"/>
    <w:rsid w:val="0033051B"/>
    <w:rsid w:val="0033055B"/>
    <w:rsid w:val="00330602"/>
    <w:rsid w:val="00330609"/>
    <w:rsid w:val="0033078F"/>
    <w:rsid w:val="00330937"/>
    <w:rsid w:val="003309CF"/>
    <w:rsid w:val="00330A12"/>
    <w:rsid w:val="00330AC1"/>
    <w:rsid w:val="00330AEA"/>
    <w:rsid w:val="00330B03"/>
    <w:rsid w:val="00330BDE"/>
    <w:rsid w:val="00330CCC"/>
    <w:rsid w:val="00330D40"/>
    <w:rsid w:val="00330E3F"/>
    <w:rsid w:val="00330E6A"/>
    <w:rsid w:val="00330EA6"/>
    <w:rsid w:val="00330EF4"/>
    <w:rsid w:val="0033102D"/>
    <w:rsid w:val="00331053"/>
    <w:rsid w:val="00331306"/>
    <w:rsid w:val="00331460"/>
    <w:rsid w:val="00331489"/>
    <w:rsid w:val="0033165A"/>
    <w:rsid w:val="0033170E"/>
    <w:rsid w:val="0033176C"/>
    <w:rsid w:val="00331AA4"/>
    <w:rsid w:val="00331AF7"/>
    <w:rsid w:val="00331B0C"/>
    <w:rsid w:val="00331B4D"/>
    <w:rsid w:val="00331B94"/>
    <w:rsid w:val="00331C4C"/>
    <w:rsid w:val="00331C5B"/>
    <w:rsid w:val="00331CBA"/>
    <w:rsid w:val="00331CFF"/>
    <w:rsid w:val="00331D01"/>
    <w:rsid w:val="00331D5B"/>
    <w:rsid w:val="00331DF0"/>
    <w:rsid w:val="00331EBD"/>
    <w:rsid w:val="00331FBF"/>
    <w:rsid w:val="003321C9"/>
    <w:rsid w:val="003322F3"/>
    <w:rsid w:val="00332336"/>
    <w:rsid w:val="00332348"/>
    <w:rsid w:val="0033234A"/>
    <w:rsid w:val="00332515"/>
    <w:rsid w:val="0033254A"/>
    <w:rsid w:val="00332711"/>
    <w:rsid w:val="00332811"/>
    <w:rsid w:val="0033282E"/>
    <w:rsid w:val="003328D2"/>
    <w:rsid w:val="003329E4"/>
    <w:rsid w:val="00332A02"/>
    <w:rsid w:val="00332B9D"/>
    <w:rsid w:val="00332BE0"/>
    <w:rsid w:val="00332C45"/>
    <w:rsid w:val="00332CB5"/>
    <w:rsid w:val="00332E2A"/>
    <w:rsid w:val="00332E51"/>
    <w:rsid w:val="00332E8A"/>
    <w:rsid w:val="003330D9"/>
    <w:rsid w:val="003330F1"/>
    <w:rsid w:val="00333186"/>
    <w:rsid w:val="00333230"/>
    <w:rsid w:val="00333283"/>
    <w:rsid w:val="0033328A"/>
    <w:rsid w:val="003332B4"/>
    <w:rsid w:val="0033336E"/>
    <w:rsid w:val="003333AA"/>
    <w:rsid w:val="0033340F"/>
    <w:rsid w:val="00333447"/>
    <w:rsid w:val="003335AA"/>
    <w:rsid w:val="00333692"/>
    <w:rsid w:val="003337D3"/>
    <w:rsid w:val="00333970"/>
    <w:rsid w:val="00333A32"/>
    <w:rsid w:val="00333BCA"/>
    <w:rsid w:val="00333D11"/>
    <w:rsid w:val="00333E4E"/>
    <w:rsid w:val="00333EA2"/>
    <w:rsid w:val="00333EE4"/>
    <w:rsid w:val="00333EFB"/>
    <w:rsid w:val="00333F19"/>
    <w:rsid w:val="00333F2D"/>
    <w:rsid w:val="00333FA2"/>
    <w:rsid w:val="00333FD4"/>
    <w:rsid w:val="00333FFC"/>
    <w:rsid w:val="003340E5"/>
    <w:rsid w:val="0033413E"/>
    <w:rsid w:val="003341B0"/>
    <w:rsid w:val="003341C0"/>
    <w:rsid w:val="003342D0"/>
    <w:rsid w:val="00334396"/>
    <w:rsid w:val="00334499"/>
    <w:rsid w:val="00334515"/>
    <w:rsid w:val="00334582"/>
    <w:rsid w:val="0033477B"/>
    <w:rsid w:val="00334853"/>
    <w:rsid w:val="003348B2"/>
    <w:rsid w:val="00334905"/>
    <w:rsid w:val="00334915"/>
    <w:rsid w:val="00334A18"/>
    <w:rsid w:val="00334B4F"/>
    <w:rsid w:val="00334B82"/>
    <w:rsid w:val="00334CC8"/>
    <w:rsid w:val="00334CF1"/>
    <w:rsid w:val="00334F33"/>
    <w:rsid w:val="00334F8F"/>
    <w:rsid w:val="00334FB4"/>
    <w:rsid w:val="0033501B"/>
    <w:rsid w:val="0033502E"/>
    <w:rsid w:val="003350AA"/>
    <w:rsid w:val="003351A4"/>
    <w:rsid w:val="003353F9"/>
    <w:rsid w:val="0033544A"/>
    <w:rsid w:val="00335469"/>
    <w:rsid w:val="00335541"/>
    <w:rsid w:val="003355D5"/>
    <w:rsid w:val="003359C2"/>
    <w:rsid w:val="00335A28"/>
    <w:rsid w:val="00335AB5"/>
    <w:rsid w:val="00335AD5"/>
    <w:rsid w:val="00335CA3"/>
    <w:rsid w:val="00335CD1"/>
    <w:rsid w:val="00335D0E"/>
    <w:rsid w:val="00335D47"/>
    <w:rsid w:val="00335DB4"/>
    <w:rsid w:val="00335F45"/>
    <w:rsid w:val="003362E8"/>
    <w:rsid w:val="00336371"/>
    <w:rsid w:val="003364DD"/>
    <w:rsid w:val="00336724"/>
    <w:rsid w:val="0033677F"/>
    <w:rsid w:val="00336782"/>
    <w:rsid w:val="003367BA"/>
    <w:rsid w:val="00336888"/>
    <w:rsid w:val="0033699F"/>
    <w:rsid w:val="00336AC4"/>
    <w:rsid w:val="00336BBB"/>
    <w:rsid w:val="00336CAC"/>
    <w:rsid w:val="00336D3A"/>
    <w:rsid w:val="00336D48"/>
    <w:rsid w:val="00336D84"/>
    <w:rsid w:val="00336E08"/>
    <w:rsid w:val="00336E44"/>
    <w:rsid w:val="00336ED4"/>
    <w:rsid w:val="00336F40"/>
    <w:rsid w:val="0033708B"/>
    <w:rsid w:val="003370EB"/>
    <w:rsid w:val="0033711C"/>
    <w:rsid w:val="003371A6"/>
    <w:rsid w:val="00337249"/>
    <w:rsid w:val="0033725B"/>
    <w:rsid w:val="00337405"/>
    <w:rsid w:val="00337460"/>
    <w:rsid w:val="003374F7"/>
    <w:rsid w:val="00337565"/>
    <w:rsid w:val="003375A2"/>
    <w:rsid w:val="00337602"/>
    <w:rsid w:val="0033769B"/>
    <w:rsid w:val="003377BC"/>
    <w:rsid w:val="00337867"/>
    <w:rsid w:val="0033786F"/>
    <w:rsid w:val="003379A6"/>
    <w:rsid w:val="003379DC"/>
    <w:rsid w:val="00337A1E"/>
    <w:rsid w:val="00337A47"/>
    <w:rsid w:val="00337B2B"/>
    <w:rsid w:val="00337C8A"/>
    <w:rsid w:val="00337CB1"/>
    <w:rsid w:val="00337CCF"/>
    <w:rsid w:val="00337D0E"/>
    <w:rsid w:val="00337DCC"/>
    <w:rsid w:val="00337E44"/>
    <w:rsid w:val="00337F47"/>
    <w:rsid w:val="00340070"/>
    <w:rsid w:val="003400B1"/>
    <w:rsid w:val="003401B7"/>
    <w:rsid w:val="003402A7"/>
    <w:rsid w:val="0034035B"/>
    <w:rsid w:val="00340379"/>
    <w:rsid w:val="003403D1"/>
    <w:rsid w:val="003404E3"/>
    <w:rsid w:val="003404E8"/>
    <w:rsid w:val="003405D1"/>
    <w:rsid w:val="003405EE"/>
    <w:rsid w:val="0034081D"/>
    <w:rsid w:val="00340831"/>
    <w:rsid w:val="00340851"/>
    <w:rsid w:val="003408B7"/>
    <w:rsid w:val="00340917"/>
    <w:rsid w:val="0034092B"/>
    <w:rsid w:val="0034095C"/>
    <w:rsid w:val="00340968"/>
    <w:rsid w:val="0034096B"/>
    <w:rsid w:val="00340A0B"/>
    <w:rsid w:val="00340B16"/>
    <w:rsid w:val="00340B66"/>
    <w:rsid w:val="00340BBB"/>
    <w:rsid w:val="00340BDB"/>
    <w:rsid w:val="00340CBC"/>
    <w:rsid w:val="00340D2C"/>
    <w:rsid w:val="00340EB5"/>
    <w:rsid w:val="00340EC4"/>
    <w:rsid w:val="00340F85"/>
    <w:rsid w:val="00341031"/>
    <w:rsid w:val="003410F9"/>
    <w:rsid w:val="0034128D"/>
    <w:rsid w:val="003416B3"/>
    <w:rsid w:val="003417C6"/>
    <w:rsid w:val="00341969"/>
    <w:rsid w:val="003419A8"/>
    <w:rsid w:val="003419D7"/>
    <w:rsid w:val="00341A51"/>
    <w:rsid w:val="00341ADF"/>
    <w:rsid w:val="00341B8D"/>
    <w:rsid w:val="00341D58"/>
    <w:rsid w:val="00341D7C"/>
    <w:rsid w:val="00341D81"/>
    <w:rsid w:val="00341DB3"/>
    <w:rsid w:val="00341EE7"/>
    <w:rsid w:val="003420B9"/>
    <w:rsid w:val="0034218F"/>
    <w:rsid w:val="003421EA"/>
    <w:rsid w:val="003422A7"/>
    <w:rsid w:val="0034233B"/>
    <w:rsid w:val="00342346"/>
    <w:rsid w:val="0034237B"/>
    <w:rsid w:val="0034249B"/>
    <w:rsid w:val="003424D4"/>
    <w:rsid w:val="003424EA"/>
    <w:rsid w:val="00342577"/>
    <w:rsid w:val="00342771"/>
    <w:rsid w:val="00342786"/>
    <w:rsid w:val="00342794"/>
    <w:rsid w:val="00342834"/>
    <w:rsid w:val="003429BF"/>
    <w:rsid w:val="00342A14"/>
    <w:rsid w:val="00342ABF"/>
    <w:rsid w:val="00342B3F"/>
    <w:rsid w:val="00342BEF"/>
    <w:rsid w:val="00342BF5"/>
    <w:rsid w:val="00342C13"/>
    <w:rsid w:val="00342C47"/>
    <w:rsid w:val="00342C83"/>
    <w:rsid w:val="00342CF8"/>
    <w:rsid w:val="00342D15"/>
    <w:rsid w:val="00342E59"/>
    <w:rsid w:val="00342E80"/>
    <w:rsid w:val="00342FB0"/>
    <w:rsid w:val="00342FC6"/>
    <w:rsid w:val="00343074"/>
    <w:rsid w:val="00343128"/>
    <w:rsid w:val="0034316F"/>
    <w:rsid w:val="00343287"/>
    <w:rsid w:val="003432C3"/>
    <w:rsid w:val="00343358"/>
    <w:rsid w:val="003433D1"/>
    <w:rsid w:val="00343492"/>
    <w:rsid w:val="003434D7"/>
    <w:rsid w:val="00343519"/>
    <w:rsid w:val="0034354D"/>
    <w:rsid w:val="00343730"/>
    <w:rsid w:val="00343A0F"/>
    <w:rsid w:val="00343AE6"/>
    <w:rsid w:val="00343B67"/>
    <w:rsid w:val="00343BCC"/>
    <w:rsid w:val="00343C25"/>
    <w:rsid w:val="00343C7E"/>
    <w:rsid w:val="00343CD5"/>
    <w:rsid w:val="00343CFB"/>
    <w:rsid w:val="00343D3C"/>
    <w:rsid w:val="00343D9E"/>
    <w:rsid w:val="00343DED"/>
    <w:rsid w:val="00343E28"/>
    <w:rsid w:val="00343EAE"/>
    <w:rsid w:val="00343F66"/>
    <w:rsid w:val="00344242"/>
    <w:rsid w:val="00344261"/>
    <w:rsid w:val="003442E7"/>
    <w:rsid w:val="00344379"/>
    <w:rsid w:val="00344390"/>
    <w:rsid w:val="003443AA"/>
    <w:rsid w:val="003444D6"/>
    <w:rsid w:val="00344542"/>
    <w:rsid w:val="0034454B"/>
    <w:rsid w:val="0034474F"/>
    <w:rsid w:val="00344752"/>
    <w:rsid w:val="00344774"/>
    <w:rsid w:val="00344900"/>
    <w:rsid w:val="0034497E"/>
    <w:rsid w:val="00344AE2"/>
    <w:rsid w:val="00344EA9"/>
    <w:rsid w:val="00344F2A"/>
    <w:rsid w:val="0034522C"/>
    <w:rsid w:val="0034528B"/>
    <w:rsid w:val="003453A9"/>
    <w:rsid w:val="003454BD"/>
    <w:rsid w:val="003454F9"/>
    <w:rsid w:val="0034552E"/>
    <w:rsid w:val="0034558E"/>
    <w:rsid w:val="003458E0"/>
    <w:rsid w:val="00345912"/>
    <w:rsid w:val="003459F6"/>
    <w:rsid w:val="00345AE2"/>
    <w:rsid w:val="00345CCC"/>
    <w:rsid w:val="00345DAD"/>
    <w:rsid w:val="00345DE5"/>
    <w:rsid w:val="00345E17"/>
    <w:rsid w:val="00345E68"/>
    <w:rsid w:val="00346007"/>
    <w:rsid w:val="00346121"/>
    <w:rsid w:val="003462F0"/>
    <w:rsid w:val="0034659D"/>
    <w:rsid w:val="00346607"/>
    <w:rsid w:val="0034663A"/>
    <w:rsid w:val="003466EA"/>
    <w:rsid w:val="003467A2"/>
    <w:rsid w:val="003467C0"/>
    <w:rsid w:val="00346905"/>
    <w:rsid w:val="0034696D"/>
    <w:rsid w:val="003469D2"/>
    <w:rsid w:val="003469F5"/>
    <w:rsid w:val="00346A60"/>
    <w:rsid w:val="00346AAE"/>
    <w:rsid w:val="00346B68"/>
    <w:rsid w:val="00346D3C"/>
    <w:rsid w:val="00346D88"/>
    <w:rsid w:val="00346DAB"/>
    <w:rsid w:val="00346DE9"/>
    <w:rsid w:val="00346E7C"/>
    <w:rsid w:val="00346F1E"/>
    <w:rsid w:val="00347011"/>
    <w:rsid w:val="00347019"/>
    <w:rsid w:val="00347030"/>
    <w:rsid w:val="0034717E"/>
    <w:rsid w:val="00347246"/>
    <w:rsid w:val="003472F1"/>
    <w:rsid w:val="00347372"/>
    <w:rsid w:val="0034752F"/>
    <w:rsid w:val="0034772F"/>
    <w:rsid w:val="00347773"/>
    <w:rsid w:val="0034787D"/>
    <w:rsid w:val="0034788B"/>
    <w:rsid w:val="00347956"/>
    <w:rsid w:val="00347B01"/>
    <w:rsid w:val="00347B29"/>
    <w:rsid w:val="00347B34"/>
    <w:rsid w:val="00347B6D"/>
    <w:rsid w:val="00347BC7"/>
    <w:rsid w:val="00347C12"/>
    <w:rsid w:val="00347C41"/>
    <w:rsid w:val="00347CD8"/>
    <w:rsid w:val="00347D82"/>
    <w:rsid w:val="00347D89"/>
    <w:rsid w:val="00347E77"/>
    <w:rsid w:val="00347F5B"/>
    <w:rsid w:val="00347F98"/>
    <w:rsid w:val="00350075"/>
    <w:rsid w:val="00350084"/>
    <w:rsid w:val="003500D9"/>
    <w:rsid w:val="00350106"/>
    <w:rsid w:val="00350124"/>
    <w:rsid w:val="00350137"/>
    <w:rsid w:val="00350138"/>
    <w:rsid w:val="00350322"/>
    <w:rsid w:val="0035036D"/>
    <w:rsid w:val="00350381"/>
    <w:rsid w:val="0035048D"/>
    <w:rsid w:val="003506E2"/>
    <w:rsid w:val="00350854"/>
    <w:rsid w:val="00350887"/>
    <w:rsid w:val="00350B13"/>
    <w:rsid w:val="00350B78"/>
    <w:rsid w:val="00350BCB"/>
    <w:rsid w:val="00350C3F"/>
    <w:rsid w:val="00350CB1"/>
    <w:rsid w:val="00350CEC"/>
    <w:rsid w:val="00350D96"/>
    <w:rsid w:val="00350E56"/>
    <w:rsid w:val="00350F35"/>
    <w:rsid w:val="003510D2"/>
    <w:rsid w:val="003511FB"/>
    <w:rsid w:val="00351348"/>
    <w:rsid w:val="0035138F"/>
    <w:rsid w:val="00351448"/>
    <w:rsid w:val="00351485"/>
    <w:rsid w:val="0035151A"/>
    <w:rsid w:val="003515B2"/>
    <w:rsid w:val="0035162D"/>
    <w:rsid w:val="00351664"/>
    <w:rsid w:val="003516C2"/>
    <w:rsid w:val="0035181E"/>
    <w:rsid w:val="003519F1"/>
    <w:rsid w:val="00351A31"/>
    <w:rsid w:val="00351A80"/>
    <w:rsid w:val="00351AA5"/>
    <w:rsid w:val="00351B0E"/>
    <w:rsid w:val="00351B69"/>
    <w:rsid w:val="00351B74"/>
    <w:rsid w:val="00351DC5"/>
    <w:rsid w:val="00351DFA"/>
    <w:rsid w:val="00351EE7"/>
    <w:rsid w:val="00351F6A"/>
    <w:rsid w:val="00351FCD"/>
    <w:rsid w:val="00352153"/>
    <w:rsid w:val="003521FA"/>
    <w:rsid w:val="00352276"/>
    <w:rsid w:val="0035227F"/>
    <w:rsid w:val="0035228C"/>
    <w:rsid w:val="003522F2"/>
    <w:rsid w:val="00352426"/>
    <w:rsid w:val="003525C8"/>
    <w:rsid w:val="003528BC"/>
    <w:rsid w:val="003528F5"/>
    <w:rsid w:val="0035291E"/>
    <w:rsid w:val="00352A9E"/>
    <w:rsid w:val="00352AA9"/>
    <w:rsid w:val="00352AF3"/>
    <w:rsid w:val="00352B7A"/>
    <w:rsid w:val="00352C09"/>
    <w:rsid w:val="00352C23"/>
    <w:rsid w:val="00352C7C"/>
    <w:rsid w:val="00352C87"/>
    <w:rsid w:val="00352CC9"/>
    <w:rsid w:val="00352D61"/>
    <w:rsid w:val="00352F98"/>
    <w:rsid w:val="00353210"/>
    <w:rsid w:val="003533C8"/>
    <w:rsid w:val="0035351C"/>
    <w:rsid w:val="00353583"/>
    <w:rsid w:val="00353612"/>
    <w:rsid w:val="003536B6"/>
    <w:rsid w:val="003537B1"/>
    <w:rsid w:val="003537E5"/>
    <w:rsid w:val="00353A3B"/>
    <w:rsid w:val="00353B05"/>
    <w:rsid w:val="00353BC4"/>
    <w:rsid w:val="00353C8E"/>
    <w:rsid w:val="00353D3C"/>
    <w:rsid w:val="00353DC5"/>
    <w:rsid w:val="00353EDF"/>
    <w:rsid w:val="00353EEB"/>
    <w:rsid w:val="00354099"/>
    <w:rsid w:val="003540FC"/>
    <w:rsid w:val="003541B9"/>
    <w:rsid w:val="003541F5"/>
    <w:rsid w:val="00354369"/>
    <w:rsid w:val="003543F9"/>
    <w:rsid w:val="003543FE"/>
    <w:rsid w:val="003545B8"/>
    <w:rsid w:val="0035466F"/>
    <w:rsid w:val="003546BA"/>
    <w:rsid w:val="003546FC"/>
    <w:rsid w:val="00354781"/>
    <w:rsid w:val="003547C4"/>
    <w:rsid w:val="00354814"/>
    <w:rsid w:val="0035482B"/>
    <w:rsid w:val="003548E4"/>
    <w:rsid w:val="00354977"/>
    <w:rsid w:val="00354986"/>
    <w:rsid w:val="00354A2B"/>
    <w:rsid w:val="00354B07"/>
    <w:rsid w:val="00354B9C"/>
    <w:rsid w:val="00354BA0"/>
    <w:rsid w:val="00354DCD"/>
    <w:rsid w:val="00354E39"/>
    <w:rsid w:val="00354F7C"/>
    <w:rsid w:val="00354FAF"/>
    <w:rsid w:val="0035502A"/>
    <w:rsid w:val="00355037"/>
    <w:rsid w:val="0035505F"/>
    <w:rsid w:val="00355199"/>
    <w:rsid w:val="00355222"/>
    <w:rsid w:val="003552E8"/>
    <w:rsid w:val="003553F3"/>
    <w:rsid w:val="003554DE"/>
    <w:rsid w:val="00355587"/>
    <w:rsid w:val="00355598"/>
    <w:rsid w:val="003555FF"/>
    <w:rsid w:val="00355604"/>
    <w:rsid w:val="00355659"/>
    <w:rsid w:val="00355684"/>
    <w:rsid w:val="0035572A"/>
    <w:rsid w:val="0035575C"/>
    <w:rsid w:val="0035584C"/>
    <w:rsid w:val="00355982"/>
    <w:rsid w:val="00355997"/>
    <w:rsid w:val="00355A8F"/>
    <w:rsid w:val="00355BB8"/>
    <w:rsid w:val="00355CE2"/>
    <w:rsid w:val="00355DD8"/>
    <w:rsid w:val="00355EAA"/>
    <w:rsid w:val="00355F2A"/>
    <w:rsid w:val="0035607A"/>
    <w:rsid w:val="0035607B"/>
    <w:rsid w:val="00356185"/>
    <w:rsid w:val="00356329"/>
    <w:rsid w:val="0035636A"/>
    <w:rsid w:val="003563A5"/>
    <w:rsid w:val="003563C9"/>
    <w:rsid w:val="0035646B"/>
    <w:rsid w:val="003565C9"/>
    <w:rsid w:val="0035678F"/>
    <w:rsid w:val="003567E9"/>
    <w:rsid w:val="00356836"/>
    <w:rsid w:val="003568B3"/>
    <w:rsid w:val="00356A6D"/>
    <w:rsid w:val="00356A7D"/>
    <w:rsid w:val="00356B3D"/>
    <w:rsid w:val="00356B6A"/>
    <w:rsid w:val="00356BB0"/>
    <w:rsid w:val="00356C22"/>
    <w:rsid w:val="00356CF5"/>
    <w:rsid w:val="00356D3A"/>
    <w:rsid w:val="00356D61"/>
    <w:rsid w:val="00356DB8"/>
    <w:rsid w:val="00356F08"/>
    <w:rsid w:val="00356F7B"/>
    <w:rsid w:val="00356F84"/>
    <w:rsid w:val="00357015"/>
    <w:rsid w:val="00357032"/>
    <w:rsid w:val="003570E3"/>
    <w:rsid w:val="00357187"/>
    <w:rsid w:val="0035723A"/>
    <w:rsid w:val="0035734C"/>
    <w:rsid w:val="003573C4"/>
    <w:rsid w:val="0035743D"/>
    <w:rsid w:val="0035752D"/>
    <w:rsid w:val="00357569"/>
    <w:rsid w:val="003576BE"/>
    <w:rsid w:val="003576D9"/>
    <w:rsid w:val="003576ED"/>
    <w:rsid w:val="003577D7"/>
    <w:rsid w:val="00357879"/>
    <w:rsid w:val="0035788D"/>
    <w:rsid w:val="003578C0"/>
    <w:rsid w:val="00357A49"/>
    <w:rsid w:val="00357ADA"/>
    <w:rsid w:val="00357B33"/>
    <w:rsid w:val="00357B7B"/>
    <w:rsid w:val="00357C23"/>
    <w:rsid w:val="00357D44"/>
    <w:rsid w:val="00357FB3"/>
    <w:rsid w:val="00357FC7"/>
    <w:rsid w:val="003602D1"/>
    <w:rsid w:val="00360381"/>
    <w:rsid w:val="003604B9"/>
    <w:rsid w:val="003604DF"/>
    <w:rsid w:val="003605CD"/>
    <w:rsid w:val="003605DF"/>
    <w:rsid w:val="00360639"/>
    <w:rsid w:val="003606A2"/>
    <w:rsid w:val="00360705"/>
    <w:rsid w:val="00360834"/>
    <w:rsid w:val="003608A2"/>
    <w:rsid w:val="0036091F"/>
    <w:rsid w:val="00360928"/>
    <w:rsid w:val="00360981"/>
    <w:rsid w:val="00360A96"/>
    <w:rsid w:val="00360AF6"/>
    <w:rsid w:val="00360C80"/>
    <w:rsid w:val="00360CBF"/>
    <w:rsid w:val="00360CE6"/>
    <w:rsid w:val="00360CE8"/>
    <w:rsid w:val="00360E07"/>
    <w:rsid w:val="00360E44"/>
    <w:rsid w:val="00360EC1"/>
    <w:rsid w:val="00360F1B"/>
    <w:rsid w:val="00360F74"/>
    <w:rsid w:val="0036103D"/>
    <w:rsid w:val="00361044"/>
    <w:rsid w:val="00361047"/>
    <w:rsid w:val="003611BD"/>
    <w:rsid w:val="0036120E"/>
    <w:rsid w:val="0036123C"/>
    <w:rsid w:val="0036127A"/>
    <w:rsid w:val="003612C2"/>
    <w:rsid w:val="0036131C"/>
    <w:rsid w:val="0036134D"/>
    <w:rsid w:val="00361724"/>
    <w:rsid w:val="003618CC"/>
    <w:rsid w:val="00361949"/>
    <w:rsid w:val="003619B6"/>
    <w:rsid w:val="00361A19"/>
    <w:rsid w:val="00361B1E"/>
    <w:rsid w:val="00361CD0"/>
    <w:rsid w:val="00361E32"/>
    <w:rsid w:val="00361E6F"/>
    <w:rsid w:val="00361E7D"/>
    <w:rsid w:val="00361F7D"/>
    <w:rsid w:val="00361FA9"/>
    <w:rsid w:val="00362098"/>
    <w:rsid w:val="0036227A"/>
    <w:rsid w:val="003623C2"/>
    <w:rsid w:val="0036240B"/>
    <w:rsid w:val="0036243F"/>
    <w:rsid w:val="003625B0"/>
    <w:rsid w:val="00362695"/>
    <w:rsid w:val="0036272B"/>
    <w:rsid w:val="00362765"/>
    <w:rsid w:val="0036278C"/>
    <w:rsid w:val="003627D7"/>
    <w:rsid w:val="0036283F"/>
    <w:rsid w:val="0036292D"/>
    <w:rsid w:val="00362BA9"/>
    <w:rsid w:val="00362D47"/>
    <w:rsid w:val="00362EA2"/>
    <w:rsid w:val="00362F18"/>
    <w:rsid w:val="00362F74"/>
    <w:rsid w:val="00362FDA"/>
    <w:rsid w:val="00362FF8"/>
    <w:rsid w:val="003630C1"/>
    <w:rsid w:val="00363153"/>
    <w:rsid w:val="00363183"/>
    <w:rsid w:val="003631C6"/>
    <w:rsid w:val="0036325B"/>
    <w:rsid w:val="00363321"/>
    <w:rsid w:val="00363329"/>
    <w:rsid w:val="003633BB"/>
    <w:rsid w:val="003633E6"/>
    <w:rsid w:val="00363559"/>
    <w:rsid w:val="003635ED"/>
    <w:rsid w:val="00363617"/>
    <w:rsid w:val="00363746"/>
    <w:rsid w:val="00363815"/>
    <w:rsid w:val="00363835"/>
    <w:rsid w:val="003638AA"/>
    <w:rsid w:val="003638E4"/>
    <w:rsid w:val="00363B89"/>
    <w:rsid w:val="00363BC1"/>
    <w:rsid w:val="00363C62"/>
    <w:rsid w:val="00363CA3"/>
    <w:rsid w:val="00363CF5"/>
    <w:rsid w:val="00363DE1"/>
    <w:rsid w:val="00363E39"/>
    <w:rsid w:val="00363FDE"/>
    <w:rsid w:val="003640B6"/>
    <w:rsid w:val="003640B7"/>
    <w:rsid w:val="00364376"/>
    <w:rsid w:val="0036443A"/>
    <w:rsid w:val="00364507"/>
    <w:rsid w:val="0036452E"/>
    <w:rsid w:val="00364574"/>
    <w:rsid w:val="003645A8"/>
    <w:rsid w:val="00364799"/>
    <w:rsid w:val="00364AF6"/>
    <w:rsid w:val="00364B53"/>
    <w:rsid w:val="00364B9C"/>
    <w:rsid w:val="00364BC6"/>
    <w:rsid w:val="00364BCB"/>
    <w:rsid w:val="00364CB4"/>
    <w:rsid w:val="00364CF9"/>
    <w:rsid w:val="00364EFC"/>
    <w:rsid w:val="00364F3D"/>
    <w:rsid w:val="00364FD7"/>
    <w:rsid w:val="00365142"/>
    <w:rsid w:val="00365184"/>
    <w:rsid w:val="003651DB"/>
    <w:rsid w:val="00365251"/>
    <w:rsid w:val="003652E3"/>
    <w:rsid w:val="0036534F"/>
    <w:rsid w:val="00365473"/>
    <w:rsid w:val="00365542"/>
    <w:rsid w:val="00365689"/>
    <w:rsid w:val="003656F3"/>
    <w:rsid w:val="003656F7"/>
    <w:rsid w:val="0036576A"/>
    <w:rsid w:val="003657DD"/>
    <w:rsid w:val="003659B6"/>
    <w:rsid w:val="003659BC"/>
    <w:rsid w:val="00365AD3"/>
    <w:rsid w:val="00365B51"/>
    <w:rsid w:val="00365C86"/>
    <w:rsid w:val="00365D3B"/>
    <w:rsid w:val="00365D84"/>
    <w:rsid w:val="00365DA5"/>
    <w:rsid w:val="00365DE5"/>
    <w:rsid w:val="00365E31"/>
    <w:rsid w:val="00365E9C"/>
    <w:rsid w:val="00365F06"/>
    <w:rsid w:val="00365F1A"/>
    <w:rsid w:val="00365F1E"/>
    <w:rsid w:val="00365F6B"/>
    <w:rsid w:val="00365F77"/>
    <w:rsid w:val="00365F7E"/>
    <w:rsid w:val="003660D1"/>
    <w:rsid w:val="003662BF"/>
    <w:rsid w:val="003663B1"/>
    <w:rsid w:val="003664F2"/>
    <w:rsid w:val="0036653D"/>
    <w:rsid w:val="0036656C"/>
    <w:rsid w:val="003666DA"/>
    <w:rsid w:val="00366775"/>
    <w:rsid w:val="00366855"/>
    <w:rsid w:val="003668A5"/>
    <w:rsid w:val="00366991"/>
    <w:rsid w:val="00366A43"/>
    <w:rsid w:val="00366A64"/>
    <w:rsid w:val="00366A9C"/>
    <w:rsid w:val="00366C6A"/>
    <w:rsid w:val="00366CFE"/>
    <w:rsid w:val="00367002"/>
    <w:rsid w:val="00367025"/>
    <w:rsid w:val="00367090"/>
    <w:rsid w:val="003670DD"/>
    <w:rsid w:val="003670F8"/>
    <w:rsid w:val="00367106"/>
    <w:rsid w:val="00367108"/>
    <w:rsid w:val="0036711D"/>
    <w:rsid w:val="00367141"/>
    <w:rsid w:val="00367171"/>
    <w:rsid w:val="0036721B"/>
    <w:rsid w:val="0036726A"/>
    <w:rsid w:val="003672C6"/>
    <w:rsid w:val="00367380"/>
    <w:rsid w:val="003673CE"/>
    <w:rsid w:val="003674FA"/>
    <w:rsid w:val="003676A1"/>
    <w:rsid w:val="00367706"/>
    <w:rsid w:val="00367774"/>
    <w:rsid w:val="0036788A"/>
    <w:rsid w:val="003678A4"/>
    <w:rsid w:val="0036791F"/>
    <w:rsid w:val="00367BD2"/>
    <w:rsid w:val="00367C36"/>
    <w:rsid w:val="00367C41"/>
    <w:rsid w:val="00367C94"/>
    <w:rsid w:val="00367D2D"/>
    <w:rsid w:val="00367E1A"/>
    <w:rsid w:val="00367FBE"/>
    <w:rsid w:val="0037004A"/>
    <w:rsid w:val="00370088"/>
    <w:rsid w:val="00370109"/>
    <w:rsid w:val="0037036A"/>
    <w:rsid w:val="00370447"/>
    <w:rsid w:val="003704A6"/>
    <w:rsid w:val="003704E7"/>
    <w:rsid w:val="003705B4"/>
    <w:rsid w:val="003706D3"/>
    <w:rsid w:val="003706EF"/>
    <w:rsid w:val="00370874"/>
    <w:rsid w:val="003708D7"/>
    <w:rsid w:val="00370958"/>
    <w:rsid w:val="00370A4B"/>
    <w:rsid w:val="00370AD1"/>
    <w:rsid w:val="00370B68"/>
    <w:rsid w:val="00370C05"/>
    <w:rsid w:val="00370C0E"/>
    <w:rsid w:val="00370C23"/>
    <w:rsid w:val="00370CA3"/>
    <w:rsid w:val="00370CF1"/>
    <w:rsid w:val="00370D43"/>
    <w:rsid w:val="00370D8C"/>
    <w:rsid w:val="00370DDF"/>
    <w:rsid w:val="00370E07"/>
    <w:rsid w:val="00370E4D"/>
    <w:rsid w:val="00370E75"/>
    <w:rsid w:val="00370EBF"/>
    <w:rsid w:val="003710BF"/>
    <w:rsid w:val="0037118A"/>
    <w:rsid w:val="003711CA"/>
    <w:rsid w:val="003712FE"/>
    <w:rsid w:val="0037135D"/>
    <w:rsid w:val="003714D4"/>
    <w:rsid w:val="003715F2"/>
    <w:rsid w:val="00371663"/>
    <w:rsid w:val="003716CA"/>
    <w:rsid w:val="00371944"/>
    <w:rsid w:val="003719FC"/>
    <w:rsid w:val="00371A08"/>
    <w:rsid w:val="00371A48"/>
    <w:rsid w:val="00371AA0"/>
    <w:rsid w:val="00371B77"/>
    <w:rsid w:val="00371C03"/>
    <w:rsid w:val="00371C91"/>
    <w:rsid w:val="00371CBA"/>
    <w:rsid w:val="00371D61"/>
    <w:rsid w:val="00371DBB"/>
    <w:rsid w:val="00371F6C"/>
    <w:rsid w:val="00371FC4"/>
    <w:rsid w:val="00371FE6"/>
    <w:rsid w:val="00372041"/>
    <w:rsid w:val="003724B2"/>
    <w:rsid w:val="003725A6"/>
    <w:rsid w:val="00372796"/>
    <w:rsid w:val="00372811"/>
    <w:rsid w:val="0037285C"/>
    <w:rsid w:val="00372993"/>
    <w:rsid w:val="003729BF"/>
    <w:rsid w:val="00372A17"/>
    <w:rsid w:val="00372DD6"/>
    <w:rsid w:val="00372F20"/>
    <w:rsid w:val="00372F68"/>
    <w:rsid w:val="003731F7"/>
    <w:rsid w:val="00373205"/>
    <w:rsid w:val="00373314"/>
    <w:rsid w:val="00373513"/>
    <w:rsid w:val="00373556"/>
    <w:rsid w:val="00373559"/>
    <w:rsid w:val="0037355B"/>
    <w:rsid w:val="003735C9"/>
    <w:rsid w:val="003736BA"/>
    <w:rsid w:val="0037374F"/>
    <w:rsid w:val="003737D8"/>
    <w:rsid w:val="003738D0"/>
    <w:rsid w:val="00373919"/>
    <w:rsid w:val="00373929"/>
    <w:rsid w:val="00373940"/>
    <w:rsid w:val="00373A8A"/>
    <w:rsid w:val="00373C5D"/>
    <w:rsid w:val="00373C67"/>
    <w:rsid w:val="00373D3F"/>
    <w:rsid w:val="00374024"/>
    <w:rsid w:val="00374192"/>
    <w:rsid w:val="00374282"/>
    <w:rsid w:val="003744EA"/>
    <w:rsid w:val="00374507"/>
    <w:rsid w:val="003745A0"/>
    <w:rsid w:val="0037479B"/>
    <w:rsid w:val="003748CF"/>
    <w:rsid w:val="00374936"/>
    <w:rsid w:val="0037493F"/>
    <w:rsid w:val="00374B1C"/>
    <w:rsid w:val="00374B74"/>
    <w:rsid w:val="00374C61"/>
    <w:rsid w:val="00374D47"/>
    <w:rsid w:val="00374E13"/>
    <w:rsid w:val="00374E47"/>
    <w:rsid w:val="00374E6F"/>
    <w:rsid w:val="00374F01"/>
    <w:rsid w:val="00374F28"/>
    <w:rsid w:val="00374F43"/>
    <w:rsid w:val="0037520D"/>
    <w:rsid w:val="00375392"/>
    <w:rsid w:val="00375423"/>
    <w:rsid w:val="00375437"/>
    <w:rsid w:val="00375464"/>
    <w:rsid w:val="00375468"/>
    <w:rsid w:val="00375513"/>
    <w:rsid w:val="00375521"/>
    <w:rsid w:val="00375526"/>
    <w:rsid w:val="0037553C"/>
    <w:rsid w:val="003755A3"/>
    <w:rsid w:val="003755C0"/>
    <w:rsid w:val="003756DC"/>
    <w:rsid w:val="0037583A"/>
    <w:rsid w:val="00375914"/>
    <w:rsid w:val="003759BD"/>
    <w:rsid w:val="00375A36"/>
    <w:rsid w:val="00375A38"/>
    <w:rsid w:val="00375AB3"/>
    <w:rsid w:val="00375AD3"/>
    <w:rsid w:val="00375C6D"/>
    <w:rsid w:val="00375D36"/>
    <w:rsid w:val="00375E82"/>
    <w:rsid w:val="00375F45"/>
    <w:rsid w:val="00375F89"/>
    <w:rsid w:val="0037600C"/>
    <w:rsid w:val="0037605E"/>
    <w:rsid w:val="003760D8"/>
    <w:rsid w:val="003761F2"/>
    <w:rsid w:val="003762C9"/>
    <w:rsid w:val="0037632E"/>
    <w:rsid w:val="00376381"/>
    <w:rsid w:val="003763D2"/>
    <w:rsid w:val="00376432"/>
    <w:rsid w:val="00376452"/>
    <w:rsid w:val="00376456"/>
    <w:rsid w:val="00376476"/>
    <w:rsid w:val="00376526"/>
    <w:rsid w:val="00376713"/>
    <w:rsid w:val="003767A9"/>
    <w:rsid w:val="00376961"/>
    <w:rsid w:val="00376A05"/>
    <w:rsid w:val="00376ABD"/>
    <w:rsid w:val="00376B12"/>
    <w:rsid w:val="00376B50"/>
    <w:rsid w:val="00376E3D"/>
    <w:rsid w:val="00376F3C"/>
    <w:rsid w:val="00376FE2"/>
    <w:rsid w:val="003770CC"/>
    <w:rsid w:val="0037712C"/>
    <w:rsid w:val="003771B8"/>
    <w:rsid w:val="003771F7"/>
    <w:rsid w:val="00377292"/>
    <w:rsid w:val="003772F3"/>
    <w:rsid w:val="0037733C"/>
    <w:rsid w:val="00377488"/>
    <w:rsid w:val="003774EC"/>
    <w:rsid w:val="003774FA"/>
    <w:rsid w:val="003775FC"/>
    <w:rsid w:val="00377741"/>
    <w:rsid w:val="003777CB"/>
    <w:rsid w:val="003777D8"/>
    <w:rsid w:val="00377879"/>
    <w:rsid w:val="00377893"/>
    <w:rsid w:val="00377929"/>
    <w:rsid w:val="003779FC"/>
    <w:rsid w:val="00377AA1"/>
    <w:rsid w:val="00377AE6"/>
    <w:rsid w:val="00377C7A"/>
    <w:rsid w:val="00377E51"/>
    <w:rsid w:val="00377F3B"/>
    <w:rsid w:val="00377FC3"/>
    <w:rsid w:val="0038003F"/>
    <w:rsid w:val="003802D3"/>
    <w:rsid w:val="00380306"/>
    <w:rsid w:val="00380382"/>
    <w:rsid w:val="00380555"/>
    <w:rsid w:val="0038057B"/>
    <w:rsid w:val="00380649"/>
    <w:rsid w:val="003806A5"/>
    <w:rsid w:val="003806B2"/>
    <w:rsid w:val="003807AA"/>
    <w:rsid w:val="003807E2"/>
    <w:rsid w:val="003808B7"/>
    <w:rsid w:val="003809F6"/>
    <w:rsid w:val="003809FD"/>
    <w:rsid w:val="00380B1E"/>
    <w:rsid w:val="00380B56"/>
    <w:rsid w:val="00380C90"/>
    <w:rsid w:val="00380F2F"/>
    <w:rsid w:val="00380F49"/>
    <w:rsid w:val="00380F67"/>
    <w:rsid w:val="00380F6A"/>
    <w:rsid w:val="003810D7"/>
    <w:rsid w:val="0038110E"/>
    <w:rsid w:val="0038125E"/>
    <w:rsid w:val="0038134E"/>
    <w:rsid w:val="003813E3"/>
    <w:rsid w:val="003815D5"/>
    <w:rsid w:val="003817AC"/>
    <w:rsid w:val="003818B2"/>
    <w:rsid w:val="003819A7"/>
    <w:rsid w:val="00381A7D"/>
    <w:rsid w:val="00381AA1"/>
    <w:rsid w:val="00381BF1"/>
    <w:rsid w:val="00381BF2"/>
    <w:rsid w:val="00381D93"/>
    <w:rsid w:val="00381E29"/>
    <w:rsid w:val="00381E85"/>
    <w:rsid w:val="00381EC5"/>
    <w:rsid w:val="00381F03"/>
    <w:rsid w:val="00381F55"/>
    <w:rsid w:val="00381F95"/>
    <w:rsid w:val="00381FEC"/>
    <w:rsid w:val="0038200D"/>
    <w:rsid w:val="0038201C"/>
    <w:rsid w:val="0038202A"/>
    <w:rsid w:val="0038202D"/>
    <w:rsid w:val="0038212A"/>
    <w:rsid w:val="003821C6"/>
    <w:rsid w:val="003822D4"/>
    <w:rsid w:val="003823CA"/>
    <w:rsid w:val="00382468"/>
    <w:rsid w:val="0038249D"/>
    <w:rsid w:val="003824C5"/>
    <w:rsid w:val="00382513"/>
    <w:rsid w:val="0038255F"/>
    <w:rsid w:val="0038256A"/>
    <w:rsid w:val="00382708"/>
    <w:rsid w:val="00382768"/>
    <w:rsid w:val="00382809"/>
    <w:rsid w:val="00382882"/>
    <w:rsid w:val="0038295C"/>
    <w:rsid w:val="00382963"/>
    <w:rsid w:val="00382AA2"/>
    <w:rsid w:val="00382AA4"/>
    <w:rsid w:val="00382C45"/>
    <w:rsid w:val="00382C53"/>
    <w:rsid w:val="00382D13"/>
    <w:rsid w:val="00382EB7"/>
    <w:rsid w:val="00382ECB"/>
    <w:rsid w:val="00382F29"/>
    <w:rsid w:val="00382F89"/>
    <w:rsid w:val="00382FD9"/>
    <w:rsid w:val="00382FE2"/>
    <w:rsid w:val="0038304D"/>
    <w:rsid w:val="003830A7"/>
    <w:rsid w:val="0038313A"/>
    <w:rsid w:val="003831A8"/>
    <w:rsid w:val="003831B5"/>
    <w:rsid w:val="003831F3"/>
    <w:rsid w:val="00383394"/>
    <w:rsid w:val="003833AD"/>
    <w:rsid w:val="003834E2"/>
    <w:rsid w:val="0038364C"/>
    <w:rsid w:val="00383710"/>
    <w:rsid w:val="0038389B"/>
    <w:rsid w:val="003838E6"/>
    <w:rsid w:val="00383AF7"/>
    <w:rsid w:val="00383B5F"/>
    <w:rsid w:val="00383C9B"/>
    <w:rsid w:val="003840AE"/>
    <w:rsid w:val="0038423C"/>
    <w:rsid w:val="003842DA"/>
    <w:rsid w:val="003843BA"/>
    <w:rsid w:val="00384552"/>
    <w:rsid w:val="003845F6"/>
    <w:rsid w:val="00384682"/>
    <w:rsid w:val="0038470B"/>
    <w:rsid w:val="00384758"/>
    <w:rsid w:val="003847B8"/>
    <w:rsid w:val="00384829"/>
    <w:rsid w:val="00384856"/>
    <w:rsid w:val="003848A1"/>
    <w:rsid w:val="00384931"/>
    <w:rsid w:val="003849B9"/>
    <w:rsid w:val="003849BD"/>
    <w:rsid w:val="00384A53"/>
    <w:rsid w:val="00384B55"/>
    <w:rsid w:val="00384BA2"/>
    <w:rsid w:val="00384C0C"/>
    <w:rsid w:val="00384E31"/>
    <w:rsid w:val="00384E93"/>
    <w:rsid w:val="00384F25"/>
    <w:rsid w:val="00384F8A"/>
    <w:rsid w:val="003850F6"/>
    <w:rsid w:val="003855D3"/>
    <w:rsid w:val="0038576A"/>
    <w:rsid w:val="003857CC"/>
    <w:rsid w:val="00385827"/>
    <w:rsid w:val="0038584A"/>
    <w:rsid w:val="0038594A"/>
    <w:rsid w:val="0038599A"/>
    <w:rsid w:val="00385A2D"/>
    <w:rsid w:val="00385BB2"/>
    <w:rsid w:val="00385D23"/>
    <w:rsid w:val="00385D70"/>
    <w:rsid w:val="00385D73"/>
    <w:rsid w:val="00385E0D"/>
    <w:rsid w:val="00385EB8"/>
    <w:rsid w:val="00385EF9"/>
    <w:rsid w:val="00385FF7"/>
    <w:rsid w:val="00386196"/>
    <w:rsid w:val="00386242"/>
    <w:rsid w:val="003862D1"/>
    <w:rsid w:val="00386408"/>
    <w:rsid w:val="00386451"/>
    <w:rsid w:val="00386547"/>
    <w:rsid w:val="003865C3"/>
    <w:rsid w:val="003865DF"/>
    <w:rsid w:val="003866DE"/>
    <w:rsid w:val="003867F0"/>
    <w:rsid w:val="003867F5"/>
    <w:rsid w:val="00386875"/>
    <w:rsid w:val="0038687C"/>
    <w:rsid w:val="00386985"/>
    <w:rsid w:val="0038698A"/>
    <w:rsid w:val="00386994"/>
    <w:rsid w:val="003869B8"/>
    <w:rsid w:val="00386A66"/>
    <w:rsid w:val="00386B89"/>
    <w:rsid w:val="00386C27"/>
    <w:rsid w:val="00386C2C"/>
    <w:rsid w:val="00386C92"/>
    <w:rsid w:val="00386D70"/>
    <w:rsid w:val="00386EF4"/>
    <w:rsid w:val="00386FA5"/>
    <w:rsid w:val="00387035"/>
    <w:rsid w:val="0038705F"/>
    <w:rsid w:val="0038732D"/>
    <w:rsid w:val="0038734D"/>
    <w:rsid w:val="00387375"/>
    <w:rsid w:val="003873B5"/>
    <w:rsid w:val="003873DB"/>
    <w:rsid w:val="00387408"/>
    <w:rsid w:val="0038751F"/>
    <w:rsid w:val="0038757E"/>
    <w:rsid w:val="003875FC"/>
    <w:rsid w:val="00387761"/>
    <w:rsid w:val="003877BD"/>
    <w:rsid w:val="003877D0"/>
    <w:rsid w:val="0038786A"/>
    <w:rsid w:val="00387AB0"/>
    <w:rsid w:val="00387C0B"/>
    <w:rsid w:val="00387CF1"/>
    <w:rsid w:val="00387D60"/>
    <w:rsid w:val="00387DC3"/>
    <w:rsid w:val="00387DCB"/>
    <w:rsid w:val="00387E11"/>
    <w:rsid w:val="00387EAA"/>
    <w:rsid w:val="00387F01"/>
    <w:rsid w:val="00387FE6"/>
    <w:rsid w:val="0039009F"/>
    <w:rsid w:val="003900F4"/>
    <w:rsid w:val="003901B5"/>
    <w:rsid w:val="0039025F"/>
    <w:rsid w:val="00390262"/>
    <w:rsid w:val="00390423"/>
    <w:rsid w:val="00390566"/>
    <w:rsid w:val="00390626"/>
    <w:rsid w:val="00390774"/>
    <w:rsid w:val="00390A05"/>
    <w:rsid w:val="00390A7B"/>
    <w:rsid w:val="00390A87"/>
    <w:rsid w:val="00390AA6"/>
    <w:rsid w:val="00390AB3"/>
    <w:rsid w:val="00390C59"/>
    <w:rsid w:val="00390E83"/>
    <w:rsid w:val="00390EAA"/>
    <w:rsid w:val="00390EFF"/>
    <w:rsid w:val="00391030"/>
    <w:rsid w:val="003910E0"/>
    <w:rsid w:val="0039110D"/>
    <w:rsid w:val="00391150"/>
    <w:rsid w:val="0039118E"/>
    <w:rsid w:val="00391258"/>
    <w:rsid w:val="003912FD"/>
    <w:rsid w:val="00391317"/>
    <w:rsid w:val="00391347"/>
    <w:rsid w:val="00391517"/>
    <w:rsid w:val="00391705"/>
    <w:rsid w:val="0039194A"/>
    <w:rsid w:val="0039196F"/>
    <w:rsid w:val="003919FC"/>
    <w:rsid w:val="00391A38"/>
    <w:rsid w:val="00391B38"/>
    <w:rsid w:val="00391BAE"/>
    <w:rsid w:val="00391E28"/>
    <w:rsid w:val="00391E72"/>
    <w:rsid w:val="003920A9"/>
    <w:rsid w:val="0039211B"/>
    <w:rsid w:val="00392130"/>
    <w:rsid w:val="00392467"/>
    <w:rsid w:val="00392490"/>
    <w:rsid w:val="00392522"/>
    <w:rsid w:val="00392546"/>
    <w:rsid w:val="0039265A"/>
    <w:rsid w:val="003926EC"/>
    <w:rsid w:val="003927E3"/>
    <w:rsid w:val="00392907"/>
    <w:rsid w:val="00392932"/>
    <w:rsid w:val="003929E4"/>
    <w:rsid w:val="00392B6A"/>
    <w:rsid w:val="00392BF2"/>
    <w:rsid w:val="00392C49"/>
    <w:rsid w:val="00392D2D"/>
    <w:rsid w:val="00392D66"/>
    <w:rsid w:val="00392F23"/>
    <w:rsid w:val="00392F84"/>
    <w:rsid w:val="003930AA"/>
    <w:rsid w:val="00393140"/>
    <w:rsid w:val="00393211"/>
    <w:rsid w:val="003932AA"/>
    <w:rsid w:val="003934A3"/>
    <w:rsid w:val="0039350F"/>
    <w:rsid w:val="0039372B"/>
    <w:rsid w:val="00393887"/>
    <w:rsid w:val="003938ED"/>
    <w:rsid w:val="00393AB2"/>
    <w:rsid w:val="00393B41"/>
    <w:rsid w:val="00393C2A"/>
    <w:rsid w:val="00393CE4"/>
    <w:rsid w:val="00394022"/>
    <w:rsid w:val="00394107"/>
    <w:rsid w:val="0039415B"/>
    <w:rsid w:val="00394219"/>
    <w:rsid w:val="00394271"/>
    <w:rsid w:val="003942A1"/>
    <w:rsid w:val="0039432B"/>
    <w:rsid w:val="00394470"/>
    <w:rsid w:val="003945B3"/>
    <w:rsid w:val="0039464D"/>
    <w:rsid w:val="0039470F"/>
    <w:rsid w:val="00394744"/>
    <w:rsid w:val="0039487F"/>
    <w:rsid w:val="0039491B"/>
    <w:rsid w:val="00394942"/>
    <w:rsid w:val="00394979"/>
    <w:rsid w:val="00394A23"/>
    <w:rsid w:val="00394BE4"/>
    <w:rsid w:val="00394E08"/>
    <w:rsid w:val="00394E79"/>
    <w:rsid w:val="0039525F"/>
    <w:rsid w:val="003954E1"/>
    <w:rsid w:val="00395571"/>
    <w:rsid w:val="003956D1"/>
    <w:rsid w:val="00395700"/>
    <w:rsid w:val="0039577F"/>
    <w:rsid w:val="00395780"/>
    <w:rsid w:val="003957CB"/>
    <w:rsid w:val="003957F1"/>
    <w:rsid w:val="003959A5"/>
    <w:rsid w:val="003959BB"/>
    <w:rsid w:val="00395A7E"/>
    <w:rsid w:val="00395B20"/>
    <w:rsid w:val="00395B32"/>
    <w:rsid w:val="00395EA7"/>
    <w:rsid w:val="00395EB2"/>
    <w:rsid w:val="00395ECB"/>
    <w:rsid w:val="00395F83"/>
    <w:rsid w:val="00395FD4"/>
    <w:rsid w:val="0039612C"/>
    <w:rsid w:val="00396254"/>
    <w:rsid w:val="00396340"/>
    <w:rsid w:val="0039634F"/>
    <w:rsid w:val="00396418"/>
    <w:rsid w:val="00396471"/>
    <w:rsid w:val="00396498"/>
    <w:rsid w:val="00396567"/>
    <w:rsid w:val="003965E6"/>
    <w:rsid w:val="00396613"/>
    <w:rsid w:val="00396641"/>
    <w:rsid w:val="0039673F"/>
    <w:rsid w:val="003967E3"/>
    <w:rsid w:val="00396955"/>
    <w:rsid w:val="00396A9A"/>
    <w:rsid w:val="00396BA9"/>
    <w:rsid w:val="00396BF7"/>
    <w:rsid w:val="00396C53"/>
    <w:rsid w:val="00396CD8"/>
    <w:rsid w:val="00396D80"/>
    <w:rsid w:val="00396DA0"/>
    <w:rsid w:val="00396DDF"/>
    <w:rsid w:val="00396E1B"/>
    <w:rsid w:val="00396FE9"/>
    <w:rsid w:val="00397017"/>
    <w:rsid w:val="003970AC"/>
    <w:rsid w:val="003971E1"/>
    <w:rsid w:val="00397422"/>
    <w:rsid w:val="00397487"/>
    <w:rsid w:val="003974C2"/>
    <w:rsid w:val="00397540"/>
    <w:rsid w:val="0039766B"/>
    <w:rsid w:val="003977CF"/>
    <w:rsid w:val="0039784E"/>
    <w:rsid w:val="00397854"/>
    <w:rsid w:val="00397934"/>
    <w:rsid w:val="00397963"/>
    <w:rsid w:val="00397A01"/>
    <w:rsid w:val="00397A1C"/>
    <w:rsid w:val="00397AA6"/>
    <w:rsid w:val="00397ADB"/>
    <w:rsid w:val="00397B42"/>
    <w:rsid w:val="00397B5D"/>
    <w:rsid w:val="00397C16"/>
    <w:rsid w:val="00397DC2"/>
    <w:rsid w:val="003A0003"/>
    <w:rsid w:val="003A0007"/>
    <w:rsid w:val="003A0042"/>
    <w:rsid w:val="003A0096"/>
    <w:rsid w:val="003A00A9"/>
    <w:rsid w:val="003A015E"/>
    <w:rsid w:val="003A016B"/>
    <w:rsid w:val="003A0342"/>
    <w:rsid w:val="003A03BD"/>
    <w:rsid w:val="003A03CA"/>
    <w:rsid w:val="003A03D3"/>
    <w:rsid w:val="003A0519"/>
    <w:rsid w:val="003A05F0"/>
    <w:rsid w:val="003A0678"/>
    <w:rsid w:val="003A06C7"/>
    <w:rsid w:val="003A076C"/>
    <w:rsid w:val="003A07E4"/>
    <w:rsid w:val="003A083C"/>
    <w:rsid w:val="003A0858"/>
    <w:rsid w:val="003A0865"/>
    <w:rsid w:val="003A08E7"/>
    <w:rsid w:val="003A0972"/>
    <w:rsid w:val="003A0B7F"/>
    <w:rsid w:val="003A0BE2"/>
    <w:rsid w:val="003A0CEB"/>
    <w:rsid w:val="003A0D47"/>
    <w:rsid w:val="003A0E63"/>
    <w:rsid w:val="003A1000"/>
    <w:rsid w:val="003A1030"/>
    <w:rsid w:val="003A107E"/>
    <w:rsid w:val="003A1163"/>
    <w:rsid w:val="003A12AD"/>
    <w:rsid w:val="003A12D2"/>
    <w:rsid w:val="003A13B0"/>
    <w:rsid w:val="003A1413"/>
    <w:rsid w:val="003A1439"/>
    <w:rsid w:val="003A1474"/>
    <w:rsid w:val="003A1498"/>
    <w:rsid w:val="003A14A8"/>
    <w:rsid w:val="003A1893"/>
    <w:rsid w:val="003A196B"/>
    <w:rsid w:val="003A1A4E"/>
    <w:rsid w:val="003A1AC3"/>
    <w:rsid w:val="003A1AF2"/>
    <w:rsid w:val="003A1B4C"/>
    <w:rsid w:val="003A1B50"/>
    <w:rsid w:val="003A1BEA"/>
    <w:rsid w:val="003A1C31"/>
    <w:rsid w:val="003A1D3C"/>
    <w:rsid w:val="003A1DB0"/>
    <w:rsid w:val="003A1DD6"/>
    <w:rsid w:val="003A1F65"/>
    <w:rsid w:val="003A2124"/>
    <w:rsid w:val="003A2145"/>
    <w:rsid w:val="003A2268"/>
    <w:rsid w:val="003A2299"/>
    <w:rsid w:val="003A234F"/>
    <w:rsid w:val="003A2464"/>
    <w:rsid w:val="003A24A9"/>
    <w:rsid w:val="003A24AB"/>
    <w:rsid w:val="003A278D"/>
    <w:rsid w:val="003A284A"/>
    <w:rsid w:val="003A2964"/>
    <w:rsid w:val="003A2A63"/>
    <w:rsid w:val="003A2AF0"/>
    <w:rsid w:val="003A2AF7"/>
    <w:rsid w:val="003A2B41"/>
    <w:rsid w:val="003A2C68"/>
    <w:rsid w:val="003A2CC1"/>
    <w:rsid w:val="003A2DB1"/>
    <w:rsid w:val="003A2EA0"/>
    <w:rsid w:val="003A2F1A"/>
    <w:rsid w:val="003A2FF7"/>
    <w:rsid w:val="003A303E"/>
    <w:rsid w:val="003A3077"/>
    <w:rsid w:val="003A30C5"/>
    <w:rsid w:val="003A3156"/>
    <w:rsid w:val="003A31B7"/>
    <w:rsid w:val="003A327B"/>
    <w:rsid w:val="003A3441"/>
    <w:rsid w:val="003A34C3"/>
    <w:rsid w:val="003A35D5"/>
    <w:rsid w:val="003A3698"/>
    <w:rsid w:val="003A3764"/>
    <w:rsid w:val="003A3791"/>
    <w:rsid w:val="003A37CC"/>
    <w:rsid w:val="003A380A"/>
    <w:rsid w:val="003A38F0"/>
    <w:rsid w:val="003A3910"/>
    <w:rsid w:val="003A3949"/>
    <w:rsid w:val="003A3A04"/>
    <w:rsid w:val="003A3A6C"/>
    <w:rsid w:val="003A3A74"/>
    <w:rsid w:val="003A3B5C"/>
    <w:rsid w:val="003A3B6E"/>
    <w:rsid w:val="003A3B9E"/>
    <w:rsid w:val="003A3C05"/>
    <w:rsid w:val="003A3C22"/>
    <w:rsid w:val="003A3C55"/>
    <w:rsid w:val="003A3D24"/>
    <w:rsid w:val="003A3D90"/>
    <w:rsid w:val="003A3DCB"/>
    <w:rsid w:val="003A3E22"/>
    <w:rsid w:val="003A3F8E"/>
    <w:rsid w:val="003A3FF3"/>
    <w:rsid w:val="003A3FF7"/>
    <w:rsid w:val="003A4095"/>
    <w:rsid w:val="003A4099"/>
    <w:rsid w:val="003A40AA"/>
    <w:rsid w:val="003A40D5"/>
    <w:rsid w:val="003A4174"/>
    <w:rsid w:val="003A418B"/>
    <w:rsid w:val="003A42E2"/>
    <w:rsid w:val="003A4339"/>
    <w:rsid w:val="003A4427"/>
    <w:rsid w:val="003A4434"/>
    <w:rsid w:val="003A444F"/>
    <w:rsid w:val="003A4466"/>
    <w:rsid w:val="003A44E9"/>
    <w:rsid w:val="003A4509"/>
    <w:rsid w:val="003A454F"/>
    <w:rsid w:val="003A465E"/>
    <w:rsid w:val="003A46DD"/>
    <w:rsid w:val="003A4722"/>
    <w:rsid w:val="003A4768"/>
    <w:rsid w:val="003A477D"/>
    <w:rsid w:val="003A4915"/>
    <w:rsid w:val="003A4973"/>
    <w:rsid w:val="003A4AE9"/>
    <w:rsid w:val="003A4BB7"/>
    <w:rsid w:val="003A4CC7"/>
    <w:rsid w:val="003A4CE0"/>
    <w:rsid w:val="003A4DB1"/>
    <w:rsid w:val="003A4E67"/>
    <w:rsid w:val="003A4E72"/>
    <w:rsid w:val="003A4EAA"/>
    <w:rsid w:val="003A4F3C"/>
    <w:rsid w:val="003A4FCA"/>
    <w:rsid w:val="003A4FF9"/>
    <w:rsid w:val="003A5078"/>
    <w:rsid w:val="003A50D0"/>
    <w:rsid w:val="003A52CA"/>
    <w:rsid w:val="003A52FB"/>
    <w:rsid w:val="003A552D"/>
    <w:rsid w:val="003A5542"/>
    <w:rsid w:val="003A5579"/>
    <w:rsid w:val="003A55FE"/>
    <w:rsid w:val="003A565B"/>
    <w:rsid w:val="003A5816"/>
    <w:rsid w:val="003A583C"/>
    <w:rsid w:val="003A5991"/>
    <w:rsid w:val="003A59B5"/>
    <w:rsid w:val="003A5A14"/>
    <w:rsid w:val="003A5AB1"/>
    <w:rsid w:val="003A5AE4"/>
    <w:rsid w:val="003A5B36"/>
    <w:rsid w:val="003A5B37"/>
    <w:rsid w:val="003A5C30"/>
    <w:rsid w:val="003A5D03"/>
    <w:rsid w:val="003A5D30"/>
    <w:rsid w:val="003A5DA3"/>
    <w:rsid w:val="003A5E0D"/>
    <w:rsid w:val="003A5EE1"/>
    <w:rsid w:val="003A5FD9"/>
    <w:rsid w:val="003A6079"/>
    <w:rsid w:val="003A61E1"/>
    <w:rsid w:val="003A623E"/>
    <w:rsid w:val="003A6242"/>
    <w:rsid w:val="003A6332"/>
    <w:rsid w:val="003A639E"/>
    <w:rsid w:val="003A65A6"/>
    <w:rsid w:val="003A6615"/>
    <w:rsid w:val="003A66F9"/>
    <w:rsid w:val="003A67E5"/>
    <w:rsid w:val="003A6878"/>
    <w:rsid w:val="003A6925"/>
    <w:rsid w:val="003A6954"/>
    <w:rsid w:val="003A6A46"/>
    <w:rsid w:val="003A6B8E"/>
    <w:rsid w:val="003A6CA0"/>
    <w:rsid w:val="003A6DD3"/>
    <w:rsid w:val="003A6EE5"/>
    <w:rsid w:val="003A6F7D"/>
    <w:rsid w:val="003A710C"/>
    <w:rsid w:val="003A72C6"/>
    <w:rsid w:val="003A731E"/>
    <w:rsid w:val="003A7328"/>
    <w:rsid w:val="003A7331"/>
    <w:rsid w:val="003A73E1"/>
    <w:rsid w:val="003A74A2"/>
    <w:rsid w:val="003A74A5"/>
    <w:rsid w:val="003A74B6"/>
    <w:rsid w:val="003A74EF"/>
    <w:rsid w:val="003A7504"/>
    <w:rsid w:val="003A75B3"/>
    <w:rsid w:val="003A768B"/>
    <w:rsid w:val="003A76D3"/>
    <w:rsid w:val="003A76F2"/>
    <w:rsid w:val="003A773E"/>
    <w:rsid w:val="003A775D"/>
    <w:rsid w:val="003A7948"/>
    <w:rsid w:val="003A79AE"/>
    <w:rsid w:val="003A7A21"/>
    <w:rsid w:val="003A7B3F"/>
    <w:rsid w:val="003A7B4D"/>
    <w:rsid w:val="003A7B7F"/>
    <w:rsid w:val="003A7B88"/>
    <w:rsid w:val="003A7BC9"/>
    <w:rsid w:val="003A7C0F"/>
    <w:rsid w:val="003A7CE3"/>
    <w:rsid w:val="003A7D18"/>
    <w:rsid w:val="003A7E18"/>
    <w:rsid w:val="003A7EB1"/>
    <w:rsid w:val="003A7EB4"/>
    <w:rsid w:val="003A7FCE"/>
    <w:rsid w:val="003B00C7"/>
    <w:rsid w:val="003B00CE"/>
    <w:rsid w:val="003B01C2"/>
    <w:rsid w:val="003B01E2"/>
    <w:rsid w:val="003B03CB"/>
    <w:rsid w:val="003B06AF"/>
    <w:rsid w:val="003B0706"/>
    <w:rsid w:val="003B0743"/>
    <w:rsid w:val="003B0778"/>
    <w:rsid w:val="003B0790"/>
    <w:rsid w:val="003B081C"/>
    <w:rsid w:val="003B0852"/>
    <w:rsid w:val="003B08D6"/>
    <w:rsid w:val="003B0952"/>
    <w:rsid w:val="003B09B7"/>
    <w:rsid w:val="003B09DA"/>
    <w:rsid w:val="003B0A1D"/>
    <w:rsid w:val="003B0A9B"/>
    <w:rsid w:val="003B0AB8"/>
    <w:rsid w:val="003B0C82"/>
    <w:rsid w:val="003B0D18"/>
    <w:rsid w:val="003B0D22"/>
    <w:rsid w:val="003B0D63"/>
    <w:rsid w:val="003B0DC1"/>
    <w:rsid w:val="003B0E9E"/>
    <w:rsid w:val="003B11E6"/>
    <w:rsid w:val="003B129C"/>
    <w:rsid w:val="003B133A"/>
    <w:rsid w:val="003B13C4"/>
    <w:rsid w:val="003B1619"/>
    <w:rsid w:val="003B1891"/>
    <w:rsid w:val="003B189B"/>
    <w:rsid w:val="003B18A7"/>
    <w:rsid w:val="003B1E38"/>
    <w:rsid w:val="003B1EFA"/>
    <w:rsid w:val="003B1F35"/>
    <w:rsid w:val="003B1F4E"/>
    <w:rsid w:val="003B1F6B"/>
    <w:rsid w:val="003B1FC8"/>
    <w:rsid w:val="003B1FD4"/>
    <w:rsid w:val="003B2178"/>
    <w:rsid w:val="003B2240"/>
    <w:rsid w:val="003B2254"/>
    <w:rsid w:val="003B23B9"/>
    <w:rsid w:val="003B2426"/>
    <w:rsid w:val="003B2592"/>
    <w:rsid w:val="003B2619"/>
    <w:rsid w:val="003B26C1"/>
    <w:rsid w:val="003B27D0"/>
    <w:rsid w:val="003B2878"/>
    <w:rsid w:val="003B29DB"/>
    <w:rsid w:val="003B2A47"/>
    <w:rsid w:val="003B2B5E"/>
    <w:rsid w:val="003B2BD7"/>
    <w:rsid w:val="003B2C30"/>
    <w:rsid w:val="003B2C53"/>
    <w:rsid w:val="003B2C73"/>
    <w:rsid w:val="003B2D4D"/>
    <w:rsid w:val="003B2F81"/>
    <w:rsid w:val="003B315D"/>
    <w:rsid w:val="003B32D4"/>
    <w:rsid w:val="003B32D8"/>
    <w:rsid w:val="003B347B"/>
    <w:rsid w:val="003B37C4"/>
    <w:rsid w:val="003B37FD"/>
    <w:rsid w:val="003B389C"/>
    <w:rsid w:val="003B38FB"/>
    <w:rsid w:val="003B390C"/>
    <w:rsid w:val="003B3996"/>
    <w:rsid w:val="003B39EC"/>
    <w:rsid w:val="003B3A3E"/>
    <w:rsid w:val="003B3A61"/>
    <w:rsid w:val="003B3BDF"/>
    <w:rsid w:val="003B3D76"/>
    <w:rsid w:val="003B3ED4"/>
    <w:rsid w:val="003B3F98"/>
    <w:rsid w:val="003B3F9B"/>
    <w:rsid w:val="003B4061"/>
    <w:rsid w:val="003B409E"/>
    <w:rsid w:val="003B40D5"/>
    <w:rsid w:val="003B4206"/>
    <w:rsid w:val="003B4232"/>
    <w:rsid w:val="003B43F7"/>
    <w:rsid w:val="003B4412"/>
    <w:rsid w:val="003B4430"/>
    <w:rsid w:val="003B443D"/>
    <w:rsid w:val="003B456C"/>
    <w:rsid w:val="003B4644"/>
    <w:rsid w:val="003B46F0"/>
    <w:rsid w:val="003B472B"/>
    <w:rsid w:val="003B4845"/>
    <w:rsid w:val="003B4861"/>
    <w:rsid w:val="003B4A54"/>
    <w:rsid w:val="003B4A59"/>
    <w:rsid w:val="003B4A77"/>
    <w:rsid w:val="003B4A97"/>
    <w:rsid w:val="003B4D27"/>
    <w:rsid w:val="003B4D36"/>
    <w:rsid w:val="003B4E18"/>
    <w:rsid w:val="003B4E8A"/>
    <w:rsid w:val="003B51C5"/>
    <w:rsid w:val="003B5396"/>
    <w:rsid w:val="003B54F6"/>
    <w:rsid w:val="003B5533"/>
    <w:rsid w:val="003B5571"/>
    <w:rsid w:val="003B5654"/>
    <w:rsid w:val="003B5655"/>
    <w:rsid w:val="003B56CC"/>
    <w:rsid w:val="003B58D0"/>
    <w:rsid w:val="003B5AA9"/>
    <w:rsid w:val="003B5AC3"/>
    <w:rsid w:val="003B5C42"/>
    <w:rsid w:val="003B5D74"/>
    <w:rsid w:val="003B5D98"/>
    <w:rsid w:val="003B5EFF"/>
    <w:rsid w:val="003B5F10"/>
    <w:rsid w:val="003B616D"/>
    <w:rsid w:val="003B618D"/>
    <w:rsid w:val="003B648B"/>
    <w:rsid w:val="003B670A"/>
    <w:rsid w:val="003B6754"/>
    <w:rsid w:val="003B67A1"/>
    <w:rsid w:val="003B68CC"/>
    <w:rsid w:val="003B6900"/>
    <w:rsid w:val="003B698D"/>
    <w:rsid w:val="003B69BF"/>
    <w:rsid w:val="003B6A17"/>
    <w:rsid w:val="003B6A37"/>
    <w:rsid w:val="003B6B9C"/>
    <w:rsid w:val="003B6BF7"/>
    <w:rsid w:val="003B6C16"/>
    <w:rsid w:val="003B6CC9"/>
    <w:rsid w:val="003B6D99"/>
    <w:rsid w:val="003B6F0A"/>
    <w:rsid w:val="003B706A"/>
    <w:rsid w:val="003B70B3"/>
    <w:rsid w:val="003B70C5"/>
    <w:rsid w:val="003B70ED"/>
    <w:rsid w:val="003B72C7"/>
    <w:rsid w:val="003B7331"/>
    <w:rsid w:val="003B73DE"/>
    <w:rsid w:val="003B74C7"/>
    <w:rsid w:val="003B74E0"/>
    <w:rsid w:val="003B7522"/>
    <w:rsid w:val="003B754F"/>
    <w:rsid w:val="003B75E3"/>
    <w:rsid w:val="003B7687"/>
    <w:rsid w:val="003B78B3"/>
    <w:rsid w:val="003B78B4"/>
    <w:rsid w:val="003B7903"/>
    <w:rsid w:val="003B79E8"/>
    <w:rsid w:val="003B7A2A"/>
    <w:rsid w:val="003B7BF8"/>
    <w:rsid w:val="003B7C69"/>
    <w:rsid w:val="003B7CAC"/>
    <w:rsid w:val="003B7CBD"/>
    <w:rsid w:val="003B7E2D"/>
    <w:rsid w:val="003B7E7D"/>
    <w:rsid w:val="003B7EA5"/>
    <w:rsid w:val="003B7ED5"/>
    <w:rsid w:val="003B7F85"/>
    <w:rsid w:val="003B7F8C"/>
    <w:rsid w:val="003BB314"/>
    <w:rsid w:val="003C0097"/>
    <w:rsid w:val="003C00B8"/>
    <w:rsid w:val="003C0276"/>
    <w:rsid w:val="003C02DF"/>
    <w:rsid w:val="003C046E"/>
    <w:rsid w:val="003C053C"/>
    <w:rsid w:val="003C055A"/>
    <w:rsid w:val="003C056B"/>
    <w:rsid w:val="003C08FF"/>
    <w:rsid w:val="003C0A71"/>
    <w:rsid w:val="003C0AA9"/>
    <w:rsid w:val="003C0AAE"/>
    <w:rsid w:val="003C0BA7"/>
    <w:rsid w:val="003C0C21"/>
    <w:rsid w:val="003C0C97"/>
    <w:rsid w:val="003C0D10"/>
    <w:rsid w:val="003C0D28"/>
    <w:rsid w:val="003C0DB7"/>
    <w:rsid w:val="003C0EF8"/>
    <w:rsid w:val="003C0F9A"/>
    <w:rsid w:val="003C0FB8"/>
    <w:rsid w:val="003C0FFD"/>
    <w:rsid w:val="003C1002"/>
    <w:rsid w:val="003C1045"/>
    <w:rsid w:val="003C11C1"/>
    <w:rsid w:val="003C13B7"/>
    <w:rsid w:val="003C150D"/>
    <w:rsid w:val="003C15C6"/>
    <w:rsid w:val="003C185B"/>
    <w:rsid w:val="003C18CF"/>
    <w:rsid w:val="003C18D3"/>
    <w:rsid w:val="003C1AC0"/>
    <w:rsid w:val="003C1B17"/>
    <w:rsid w:val="003C1B52"/>
    <w:rsid w:val="003C1B77"/>
    <w:rsid w:val="003C1BD5"/>
    <w:rsid w:val="003C1C92"/>
    <w:rsid w:val="003C1CF1"/>
    <w:rsid w:val="003C1CF2"/>
    <w:rsid w:val="003C1DBC"/>
    <w:rsid w:val="003C1E5F"/>
    <w:rsid w:val="003C1EAF"/>
    <w:rsid w:val="003C1F17"/>
    <w:rsid w:val="003C1FD3"/>
    <w:rsid w:val="003C1FF8"/>
    <w:rsid w:val="003C2011"/>
    <w:rsid w:val="003C20C9"/>
    <w:rsid w:val="003C2181"/>
    <w:rsid w:val="003C21E6"/>
    <w:rsid w:val="003C2313"/>
    <w:rsid w:val="003C2460"/>
    <w:rsid w:val="003C257C"/>
    <w:rsid w:val="003C2729"/>
    <w:rsid w:val="003C275C"/>
    <w:rsid w:val="003C28EE"/>
    <w:rsid w:val="003C294E"/>
    <w:rsid w:val="003C297E"/>
    <w:rsid w:val="003C29D9"/>
    <w:rsid w:val="003C2A0A"/>
    <w:rsid w:val="003C2A1E"/>
    <w:rsid w:val="003C2AB5"/>
    <w:rsid w:val="003C2B9C"/>
    <w:rsid w:val="003C2C0F"/>
    <w:rsid w:val="003C2CAC"/>
    <w:rsid w:val="003C2CCE"/>
    <w:rsid w:val="003C3008"/>
    <w:rsid w:val="003C3060"/>
    <w:rsid w:val="003C30FC"/>
    <w:rsid w:val="003C3187"/>
    <w:rsid w:val="003C3323"/>
    <w:rsid w:val="003C333A"/>
    <w:rsid w:val="003C336A"/>
    <w:rsid w:val="003C342C"/>
    <w:rsid w:val="003C34DF"/>
    <w:rsid w:val="003C3519"/>
    <w:rsid w:val="003C362A"/>
    <w:rsid w:val="003C3695"/>
    <w:rsid w:val="003C3724"/>
    <w:rsid w:val="003C3732"/>
    <w:rsid w:val="003C39C0"/>
    <w:rsid w:val="003C3A60"/>
    <w:rsid w:val="003C3B3B"/>
    <w:rsid w:val="003C3C66"/>
    <w:rsid w:val="003C3DF5"/>
    <w:rsid w:val="003C3E85"/>
    <w:rsid w:val="003C3F30"/>
    <w:rsid w:val="003C41BA"/>
    <w:rsid w:val="003C41DA"/>
    <w:rsid w:val="003C4258"/>
    <w:rsid w:val="003C42A5"/>
    <w:rsid w:val="003C43C1"/>
    <w:rsid w:val="003C445E"/>
    <w:rsid w:val="003C458B"/>
    <w:rsid w:val="003C45AB"/>
    <w:rsid w:val="003C45EF"/>
    <w:rsid w:val="003C4764"/>
    <w:rsid w:val="003C4777"/>
    <w:rsid w:val="003C477C"/>
    <w:rsid w:val="003C49DE"/>
    <w:rsid w:val="003C4A05"/>
    <w:rsid w:val="003C4A2B"/>
    <w:rsid w:val="003C4BD5"/>
    <w:rsid w:val="003C4D04"/>
    <w:rsid w:val="003C4F55"/>
    <w:rsid w:val="003C52D2"/>
    <w:rsid w:val="003C5424"/>
    <w:rsid w:val="003C5535"/>
    <w:rsid w:val="003C5549"/>
    <w:rsid w:val="003C55C8"/>
    <w:rsid w:val="003C55DB"/>
    <w:rsid w:val="003C5615"/>
    <w:rsid w:val="003C56AC"/>
    <w:rsid w:val="003C56EC"/>
    <w:rsid w:val="003C5795"/>
    <w:rsid w:val="003C595D"/>
    <w:rsid w:val="003C59F7"/>
    <w:rsid w:val="003C5A30"/>
    <w:rsid w:val="003C5CF9"/>
    <w:rsid w:val="003C5D05"/>
    <w:rsid w:val="003C5E0C"/>
    <w:rsid w:val="003C6017"/>
    <w:rsid w:val="003C601F"/>
    <w:rsid w:val="003C602F"/>
    <w:rsid w:val="003C605B"/>
    <w:rsid w:val="003C61B8"/>
    <w:rsid w:val="003C6268"/>
    <w:rsid w:val="003C639A"/>
    <w:rsid w:val="003C6513"/>
    <w:rsid w:val="003C6625"/>
    <w:rsid w:val="003C66B4"/>
    <w:rsid w:val="003C6781"/>
    <w:rsid w:val="003C67C5"/>
    <w:rsid w:val="003C6A85"/>
    <w:rsid w:val="003C6B86"/>
    <w:rsid w:val="003C6C19"/>
    <w:rsid w:val="003C6D3E"/>
    <w:rsid w:val="003C6DD8"/>
    <w:rsid w:val="003C6F8B"/>
    <w:rsid w:val="003C70F2"/>
    <w:rsid w:val="003C7188"/>
    <w:rsid w:val="003C71F2"/>
    <w:rsid w:val="003C7276"/>
    <w:rsid w:val="003C72FC"/>
    <w:rsid w:val="003C7326"/>
    <w:rsid w:val="003C737E"/>
    <w:rsid w:val="003C73A3"/>
    <w:rsid w:val="003C73A6"/>
    <w:rsid w:val="003C73A9"/>
    <w:rsid w:val="003C7822"/>
    <w:rsid w:val="003C7851"/>
    <w:rsid w:val="003C7895"/>
    <w:rsid w:val="003C78DD"/>
    <w:rsid w:val="003C7962"/>
    <w:rsid w:val="003C79B4"/>
    <w:rsid w:val="003C7AC4"/>
    <w:rsid w:val="003C7C8C"/>
    <w:rsid w:val="003C7D24"/>
    <w:rsid w:val="003C7D6D"/>
    <w:rsid w:val="003C7DCA"/>
    <w:rsid w:val="003C7EAF"/>
    <w:rsid w:val="003C7EC9"/>
    <w:rsid w:val="003C7EF6"/>
    <w:rsid w:val="003C7EF7"/>
    <w:rsid w:val="003C7F9F"/>
    <w:rsid w:val="003D0132"/>
    <w:rsid w:val="003D02EB"/>
    <w:rsid w:val="003D0387"/>
    <w:rsid w:val="003D04F0"/>
    <w:rsid w:val="003D0703"/>
    <w:rsid w:val="003D07B6"/>
    <w:rsid w:val="003D092F"/>
    <w:rsid w:val="003D093E"/>
    <w:rsid w:val="003D0A2A"/>
    <w:rsid w:val="003D0B4B"/>
    <w:rsid w:val="003D0BDA"/>
    <w:rsid w:val="003D0C21"/>
    <w:rsid w:val="003D0C32"/>
    <w:rsid w:val="003D0E22"/>
    <w:rsid w:val="003D0F5B"/>
    <w:rsid w:val="003D0FF6"/>
    <w:rsid w:val="003D1012"/>
    <w:rsid w:val="003D1019"/>
    <w:rsid w:val="003D1040"/>
    <w:rsid w:val="003D1072"/>
    <w:rsid w:val="003D1109"/>
    <w:rsid w:val="003D11C4"/>
    <w:rsid w:val="003D136D"/>
    <w:rsid w:val="003D13F9"/>
    <w:rsid w:val="003D15AF"/>
    <w:rsid w:val="003D16E3"/>
    <w:rsid w:val="003D17D5"/>
    <w:rsid w:val="003D19AD"/>
    <w:rsid w:val="003D19C9"/>
    <w:rsid w:val="003D19F0"/>
    <w:rsid w:val="003D1A1E"/>
    <w:rsid w:val="003D1A95"/>
    <w:rsid w:val="003D1B38"/>
    <w:rsid w:val="003D1CAA"/>
    <w:rsid w:val="003D1CC0"/>
    <w:rsid w:val="003D1CFF"/>
    <w:rsid w:val="003D1FD1"/>
    <w:rsid w:val="003D201D"/>
    <w:rsid w:val="003D2149"/>
    <w:rsid w:val="003D2194"/>
    <w:rsid w:val="003D21D2"/>
    <w:rsid w:val="003D226B"/>
    <w:rsid w:val="003D22E7"/>
    <w:rsid w:val="003D2304"/>
    <w:rsid w:val="003D234F"/>
    <w:rsid w:val="003D238F"/>
    <w:rsid w:val="003D23CC"/>
    <w:rsid w:val="003D2421"/>
    <w:rsid w:val="003D24D3"/>
    <w:rsid w:val="003D259D"/>
    <w:rsid w:val="003D25E9"/>
    <w:rsid w:val="003D262B"/>
    <w:rsid w:val="003D2640"/>
    <w:rsid w:val="003D2642"/>
    <w:rsid w:val="003D2705"/>
    <w:rsid w:val="003D276D"/>
    <w:rsid w:val="003D27C7"/>
    <w:rsid w:val="003D28C1"/>
    <w:rsid w:val="003D2941"/>
    <w:rsid w:val="003D2ABE"/>
    <w:rsid w:val="003D2B37"/>
    <w:rsid w:val="003D2B97"/>
    <w:rsid w:val="003D2C31"/>
    <w:rsid w:val="003D2CD2"/>
    <w:rsid w:val="003D2D79"/>
    <w:rsid w:val="003D2D9D"/>
    <w:rsid w:val="003D2E26"/>
    <w:rsid w:val="003D2E91"/>
    <w:rsid w:val="003D2F17"/>
    <w:rsid w:val="003D2F39"/>
    <w:rsid w:val="003D2F8B"/>
    <w:rsid w:val="003D2FC4"/>
    <w:rsid w:val="003D3003"/>
    <w:rsid w:val="003D3122"/>
    <w:rsid w:val="003D312D"/>
    <w:rsid w:val="003D325D"/>
    <w:rsid w:val="003D325F"/>
    <w:rsid w:val="003D3288"/>
    <w:rsid w:val="003D332D"/>
    <w:rsid w:val="003D3393"/>
    <w:rsid w:val="003D3529"/>
    <w:rsid w:val="003D3564"/>
    <w:rsid w:val="003D3585"/>
    <w:rsid w:val="003D35D6"/>
    <w:rsid w:val="003D3720"/>
    <w:rsid w:val="003D3986"/>
    <w:rsid w:val="003D3AED"/>
    <w:rsid w:val="003D3AEF"/>
    <w:rsid w:val="003D3B34"/>
    <w:rsid w:val="003D3BDC"/>
    <w:rsid w:val="003D3C14"/>
    <w:rsid w:val="003D3C2F"/>
    <w:rsid w:val="003D3D80"/>
    <w:rsid w:val="003D3ED4"/>
    <w:rsid w:val="003D3EFC"/>
    <w:rsid w:val="003D4064"/>
    <w:rsid w:val="003D406D"/>
    <w:rsid w:val="003D417E"/>
    <w:rsid w:val="003D4212"/>
    <w:rsid w:val="003D4223"/>
    <w:rsid w:val="003D4308"/>
    <w:rsid w:val="003D4365"/>
    <w:rsid w:val="003D457F"/>
    <w:rsid w:val="003D47EA"/>
    <w:rsid w:val="003D483D"/>
    <w:rsid w:val="003D484D"/>
    <w:rsid w:val="003D4881"/>
    <w:rsid w:val="003D48D0"/>
    <w:rsid w:val="003D4B1F"/>
    <w:rsid w:val="003D4C82"/>
    <w:rsid w:val="003D4CD7"/>
    <w:rsid w:val="003D4D0F"/>
    <w:rsid w:val="003D4DF3"/>
    <w:rsid w:val="003D4E59"/>
    <w:rsid w:val="003D4E71"/>
    <w:rsid w:val="003D4FFC"/>
    <w:rsid w:val="003D50EC"/>
    <w:rsid w:val="003D5142"/>
    <w:rsid w:val="003D515D"/>
    <w:rsid w:val="003D5370"/>
    <w:rsid w:val="003D5401"/>
    <w:rsid w:val="003D5416"/>
    <w:rsid w:val="003D545A"/>
    <w:rsid w:val="003D54B0"/>
    <w:rsid w:val="003D55F7"/>
    <w:rsid w:val="003D5687"/>
    <w:rsid w:val="003D56E0"/>
    <w:rsid w:val="003D572B"/>
    <w:rsid w:val="003D5796"/>
    <w:rsid w:val="003D5809"/>
    <w:rsid w:val="003D58FC"/>
    <w:rsid w:val="003D5C21"/>
    <w:rsid w:val="003D5DD1"/>
    <w:rsid w:val="003D5DEF"/>
    <w:rsid w:val="003D5E44"/>
    <w:rsid w:val="003D5E47"/>
    <w:rsid w:val="003D5E59"/>
    <w:rsid w:val="003D5F5E"/>
    <w:rsid w:val="003D606D"/>
    <w:rsid w:val="003D60AA"/>
    <w:rsid w:val="003D6173"/>
    <w:rsid w:val="003D617E"/>
    <w:rsid w:val="003D61F4"/>
    <w:rsid w:val="003D6231"/>
    <w:rsid w:val="003D6281"/>
    <w:rsid w:val="003D6326"/>
    <w:rsid w:val="003D6333"/>
    <w:rsid w:val="003D6421"/>
    <w:rsid w:val="003D6453"/>
    <w:rsid w:val="003D64FB"/>
    <w:rsid w:val="003D6598"/>
    <w:rsid w:val="003D6791"/>
    <w:rsid w:val="003D68D8"/>
    <w:rsid w:val="003D6922"/>
    <w:rsid w:val="003D6960"/>
    <w:rsid w:val="003D6A27"/>
    <w:rsid w:val="003D6A69"/>
    <w:rsid w:val="003D6CAA"/>
    <w:rsid w:val="003D6F0D"/>
    <w:rsid w:val="003D71A2"/>
    <w:rsid w:val="003D71AF"/>
    <w:rsid w:val="003D722B"/>
    <w:rsid w:val="003D72EF"/>
    <w:rsid w:val="003D737B"/>
    <w:rsid w:val="003D73BF"/>
    <w:rsid w:val="003D74E9"/>
    <w:rsid w:val="003D7533"/>
    <w:rsid w:val="003D761F"/>
    <w:rsid w:val="003D7683"/>
    <w:rsid w:val="003D782D"/>
    <w:rsid w:val="003D7830"/>
    <w:rsid w:val="003D783B"/>
    <w:rsid w:val="003D7894"/>
    <w:rsid w:val="003D7958"/>
    <w:rsid w:val="003D79B6"/>
    <w:rsid w:val="003D79ED"/>
    <w:rsid w:val="003D7A5B"/>
    <w:rsid w:val="003D7B67"/>
    <w:rsid w:val="003D7BCA"/>
    <w:rsid w:val="003D7C2D"/>
    <w:rsid w:val="003D7E83"/>
    <w:rsid w:val="003D7F45"/>
    <w:rsid w:val="003D7FCD"/>
    <w:rsid w:val="003E0130"/>
    <w:rsid w:val="003E01E7"/>
    <w:rsid w:val="003E01F9"/>
    <w:rsid w:val="003E028C"/>
    <w:rsid w:val="003E0327"/>
    <w:rsid w:val="003E0342"/>
    <w:rsid w:val="003E03F3"/>
    <w:rsid w:val="003E044B"/>
    <w:rsid w:val="003E054E"/>
    <w:rsid w:val="003E077F"/>
    <w:rsid w:val="003E083D"/>
    <w:rsid w:val="003E0841"/>
    <w:rsid w:val="003E08B9"/>
    <w:rsid w:val="003E095F"/>
    <w:rsid w:val="003E0A8A"/>
    <w:rsid w:val="003E0AB6"/>
    <w:rsid w:val="003E0AC8"/>
    <w:rsid w:val="003E0BD8"/>
    <w:rsid w:val="003E0BEF"/>
    <w:rsid w:val="003E0C56"/>
    <w:rsid w:val="003E0CDA"/>
    <w:rsid w:val="003E0D45"/>
    <w:rsid w:val="003E0D58"/>
    <w:rsid w:val="003E0E37"/>
    <w:rsid w:val="003E0E56"/>
    <w:rsid w:val="003E0E61"/>
    <w:rsid w:val="003E0F3D"/>
    <w:rsid w:val="003E0FA4"/>
    <w:rsid w:val="003E0FD1"/>
    <w:rsid w:val="003E10C3"/>
    <w:rsid w:val="003E1144"/>
    <w:rsid w:val="003E127C"/>
    <w:rsid w:val="003E13FE"/>
    <w:rsid w:val="003E1407"/>
    <w:rsid w:val="003E1414"/>
    <w:rsid w:val="003E14B2"/>
    <w:rsid w:val="003E1604"/>
    <w:rsid w:val="003E164A"/>
    <w:rsid w:val="003E164D"/>
    <w:rsid w:val="003E1818"/>
    <w:rsid w:val="003E19AD"/>
    <w:rsid w:val="003E1C75"/>
    <w:rsid w:val="003E1D53"/>
    <w:rsid w:val="003E1ED3"/>
    <w:rsid w:val="003E1ED4"/>
    <w:rsid w:val="003E1F35"/>
    <w:rsid w:val="003E208E"/>
    <w:rsid w:val="003E2171"/>
    <w:rsid w:val="003E2214"/>
    <w:rsid w:val="003E226E"/>
    <w:rsid w:val="003E2279"/>
    <w:rsid w:val="003E23F3"/>
    <w:rsid w:val="003E24D4"/>
    <w:rsid w:val="003E24E4"/>
    <w:rsid w:val="003E2543"/>
    <w:rsid w:val="003E25B8"/>
    <w:rsid w:val="003E28D9"/>
    <w:rsid w:val="003E2972"/>
    <w:rsid w:val="003E2997"/>
    <w:rsid w:val="003E29FD"/>
    <w:rsid w:val="003E2A86"/>
    <w:rsid w:val="003E2AA4"/>
    <w:rsid w:val="003E2CE0"/>
    <w:rsid w:val="003E2CE8"/>
    <w:rsid w:val="003E2D9C"/>
    <w:rsid w:val="003E3098"/>
    <w:rsid w:val="003E31B5"/>
    <w:rsid w:val="003E3304"/>
    <w:rsid w:val="003E331E"/>
    <w:rsid w:val="003E33B6"/>
    <w:rsid w:val="003E33CB"/>
    <w:rsid w:val="003E351E"/>
    <w:rsid w:val="003E3692"/>
    <w:rsid w:val="003E36ED"/>
    <w:rsid w:val="003E374B"/>
    <w:rsid w:val="003E37A3"/>
    <w:rsid w:val="003E37FB"/>
    <w:rsid w:val="003E3A81"/>
    <w:rsid w:val="003E3AC1"/>
    <w:rsid w:val="003E3B32"/>
    <w:rsid w:val="003E3B8E"/>
    <w:rsid w:val="003E3BB3"/>
    <w:rsid w:val="003E3D42"/>
    <w:rsid w:val="003E3D71"/>
    <w:rsid w:val="003E3DB3"/>
    <w:rsid w:val="003E3DBC"/>
    <w:rsid w:val="003E3DE6"/>
    <w:rsid w:val="003E3E83"/>
    <w:rsid w:val="003E3EB7"/>
    <w:rsid w:val="003E401D"/>
    <w:rsid w:val="003E40AE"/>
    <w:rsid w:val="003E4169"/>
    <w:rsid w:val="003E423F"/>
    <w:rsid w:val="003E433A"/>
    <w:rsid w:val="003E437C"/>
    <w:rsid w:val="003E43EC"/>
    <w:rsid w:val="003E444D"/>
    <w:rsid w:val="003E44B1"/>
    <w:rsid w:val="003E44FD"/>
    <w:rsid w:val="003E456C"/>
    <w:rsid w:val="003E461C"/>
    <w:rsid w:val="003E4718"/>
    <w:rsid w:val="003E4749"/>
    <w:rsid w:val="003E4771"/>
    <w:rsid w:val="003E47C6"/>
    <w:rsid w:val="003E492A"/>
    <w:rsid w:val="003E4938"/>
    <w:rsid w:val="003E4964"/>
    <w:rsid w:val="003E4B3D"/>
    <w:rsid w:val="003E4C4D"/>
    <w:rsid w:val="003E4CBC"/>
    <w:rsid w:val="003E4CF7"/>
    <w:rsid w:val="003E4D67"/>
    <w:rsid w:val="003E4E6D"/>
    <w:rsid w:val="003E4EBD"/>
    <w:rsid w:val="003E4EC6"/>
    <w:rsid w:val="003E520A"/>
    <w:rsid w:val="003E522F"/>
    <w:rsid w:val="003E5340"/>
    <w:rsid w:val="003E53E6"/>
    <w:rsid w:val="003E5432"/>
    <w:rsid w:val="003E546D"/>
    <w:rsid w:val="003E5509"/>
    <w:rsid w:val="003E55B7"/>
    <w:rsid w:val="003E5776"/>
    <w:rsid w:val="003E58D3"/>
    <w:rsid w:val="003E593A"/>
    <w:rsid w:val="003E5968"/>
    <w:rsid w:val="003E59C1"/>
    <w:rsid w:val="003E59C7"/>
    <w:rsid w:val="003E5B8C"/>
    <w:rsid w:val="003E5BA0"/>
    <w:rsid w:val="003E5C57"/>
    <w:rsid w:val="003E5E69"/>
    <w:rsid w:val="003E5EB3"/>
    <w:rsid w:val="003E5F3D"/>
    <w:rsid w:val="003E5F3E"/>
    <w:rsid w:val="003E5F51"/>
    <w:rsid w:val="003E5F96"/>
    <w:rsid w:val="003E5FDC"/>
    <w:rsid w:val="003E602A"/>
    <w:rsid w:val="003E6084"/>
    <w:rsid w:val="003E610E"/>
    <w:rsid w:val="003E622F"/>
    <w:rsid w:val="003E629C"/>
    <w:rsid w:val="003E62AE"/>
    <w:rsid w:val="003E6339"/>
    <w:rsid w:val="003E63EF"/>
    <w:rsid w:val="003E6548"/>
    <w:rsid w:val="003E6558"/>
    <w:rsid w:val="003E6685"/>
    <w:rsid w:val="003E6689"/>
    <w:rsid w:val="003E6732"/>
    <w:rsid w:val="003E6797"/>
    <w:rsid w:val="003E6817"/>
    <w:rsid w:val="003E6903"/>
    <w:rsid w:val="003E6975"/>
    <w:rsid w:val="003E6987"/>
    <w:rsid w:val="003E6B19"/>
    <w:rsid w:val="003E6B66"/>
    <w:rsid w:val="003E6C0E"/>
    <w:rsid w:val="003E6CA1"/>
    <w:rsid w:val="003E6D2C"/>
    <w:rsid w:val="003E6D61"/>
    <w:rsid w:val="003E6D72"/>
    <w:rsid w:val="003E6E37"/>
    <w:rsid w:val="003E6E5B"/>
    <w:rsid w:val="003E6EB2"/>
    <w:rsid w:val="003E6ED3"/>
    <w:rsid w:val="003E6ED6"/>
    <w:rsid w:val="003E6F44"/>
    <w:rsid w:val="003E6FA2"/>
    <w:rsid w:val="003E70E1"/>
    <w:rsid w:val="003E713A"/>
    <w:rsid w:val="003E720A"/>
    <w:rsid w:val="003E728A"/>
    <w:rsid w:val="003E7297"/>
    <w:rsid w:val="003E7329"/>
    <w:rsid w:val="003E73AC"/>
    <w:rsid w:val="003E73E3"/>
    <w:rsid w:val="003E75A4"/>
    <w:rsid w:val="003E7746"/>
    <w:rsid w:val="003E7756"/>
    <w:rsid w:val="003E77F4"/>
    <w:rsid w:val="003E78CC"/>
    <w:rsid w:val="003E79F2"/>
    <w:rsid w:val="003E7A04"/>
    <w:rsid w:val="003E7BBA"/>
    <w:rsid w:val="003E7C3C"/>
    <w:rsid w:val="003E7C65"/>
    <w:rsid w:val="003E7D1C"/>
    <w:rsid w:val="003E7D26"/>
    <w:rsid w:val="003E7DDC"/>
    <w:rsid w:val="003E7E3A"/>
    <w:rsid w:val="003E7EAF"/>
    <w:rsid w:val="003F00AF"/>
    <w:rsid w:val="003F016B"/>
    <w:rsid w:val="003F0170"/>
    <w:rsid w:val="003F02C5"/>
    <w:rsid w:val="003F03D5"/>
    <w:rsid w:val="003F041A"/>
    <w:rsid w:val="003F0459"/>
    <w:rsid w:val="003F0567"/>
    <w:rsid w:val="003F0651"/>
    <w:rsid w:val="003F070F"/>
    <w:rsid w:val="003F075B"/>
    <w:rsid w:val="003F075F"/>
    <w:rsid w:val="003F07C9"/>
    <w:rsid w:val="003F07CB"/>
    <w:rsid w:val="003F07F6"/>
    <w:rsid w:val="003F0B5E"/>
    <w:rsid w:val="003F0BB6"/>
    <w:rsid w:val="003F0BC5"/>
    <w:rsid w:val="003F0CFA"/>
    <w:rsid w:val="003F0DD2"/>
    <w:rsid w:val="003F0FA2"/>
    <w:rsid w:val="003F0FEF"/>
    <w:rsid w:val="003F0FF6"/>
    <w:rsid w:val="003F1089"/>
    <w:rsid w:val="003F1239"/>
    <w:rsid w:val="003F1247"/>
    <w:rsid w:val="003F12AB"/>
    <w:rsid w:val="003F14A0"/>
    <w:rsid w:val="003F14F8"/>
    <w:rsid w:val="003F1570"/>
    <w:rsid w:val="003F1724"/>
    <w:rsid w:val="003F182F"/>
    <w:rsid w:val="003F185C"/>
    <w:rsid w:val="003F1871"/>
    <w:rsid w:val="003F1885"/>
    <w:rsid w:val="003F18D5"/>
    <w:rsid w:val="003F1980"/>
    <w:rsid w:val="003F1B30"/>
    <w:rsid w:val="003F1BFD"/>
    <w:rsid w:val="003F1C06"/>
    <w:rsid w:val="003F1D8A"/>
    <w:rsid w:val="003F1D9C"/>
    <w:rsid w:val="003F1E33"/>
    <w:rsid w:val="003F1EA0"/>
    <w:rsid w:val="003F1EE5"/>
    <w:rsid w:val="003F200C"/>
    <w:rsid w:val="003F2047"/>
    <w:rsid w:val="003F208C"/>
    <w:rsid w:val="003F20B9"/>
    <w:rsid w:val="003F215B"/>
    <w:rsid w:val="003F224A"/>
    <w:rsid w:val="003F235A"/>
    <w:rsid w:val="003F242C"/>
    <w:rsid w:val="003F2493"/>
    <w:rsid w:val="003F24E7"/>
    <w:rsid w:val="003F24EA"/>
    <w:rsid w:val="003F2503"/>
    <w:rsid w:val="003F27D7"/>
    <w:rsid w:val="003F284D"/>
    <w:rsid w:val="003F28C1"/>
    <w:rsid w:val="003F28D4"/>
    <w:rsid w:val="003F2905"/>
    <w:rsid w:val="003F29B3"/>
    <w:rsid w:val="003F2A85"/>
    <w:rsid w:val="003F2B48"/>
    <w:rsid w:val="003F2B8B"/>
    <w:rsid w:val="003F2B9B"/>
    <w:rsid w:val="003F2BDD"/>
    <w:rsid w:val="003F2C3D"/>
    <w:rsid w:val="003F2D7E"/>
    <w:rsid w:val="003F2EA8"/>
    <w:rsid w:val="003F2EF3"/>
    <w:rsid w:val="003F2F2A"/>
    <w:rsid w:val="003F2FF4"/>
    <w:rsid w:val="003F3021"/>
    <w:rsid w:val="003F3041"/>
    <w:rsid w:val="003F32F6"/>
    <w:rsid w:val="003F3418"/>
    <w:rsid w:val="003F341D"/>
    <w:rsid w:val="003F3441"/>
    <w:rsid w:val="003F347B"/>
    <w:rsid w:val="003F3532"/>
    <w:rsid w:val="003F3555"/>
    <w:rsid w:val="003F3630"/>
    <w:rsid w:val="003F368A"/>
    <w:rsid w:val="003F369B"/>
    <w:rsid w:val="003F36AD"/>
    <w:rsid w:val="003F37F7"/>
    <w:rsid w:val="003F398D"/>
    <w:rsid w:val="003F3A3C"/>
    <w:rsid w:val="003F3A70"/>
    <w:rsid w:val="003F3AF1"/>
    <w:rsid w:val="003F3BEA"/>
    <w:rsid w:val="003F3C54"/>
    <w:rsid w:val="003F3CCC"/>
    <w:rsid w:val="003F400C"/>
    <w:rsid w:val="003F4159"/>
    <w:rsid w:val="003F41E7"/>
    <w:rsid w:val="003F4299"/>
    <w:rsid w:val="003F4542"/>
    <w:rsid w:val="003F4589"/>
    <w:rsid w:val="003F45E8"/>
    <w:rsid w:val="003F4613"/>
    <w:rsid w:val="003F461A"/>
    <w:rsid w:val="003F4715"/>
    <w:rsid w:val="003F475C"/>
    <w:rsid w:val="003F4804"/>
    <w:rsid w:val="003F485E"/>
    <w:rsid w:val="003F48C8"/>
    <w:rsid w:val="003F49CB"/>
    <w:rsid w:val="003F4A11"/>
    <w:rsid w:val="003F4A6A"/>
    <w:rsid w:val="003F4AF2"/>
    <w:rsid w:val="003F4BDD"/>
    <w:rsid w:val="003F4CC7"/>
    <w:rsid w:val="003F4CD8"/>
    <w:rsid w:val="003F4E05"/>
    <w:rsid w:val="003F4FD2"/>
    <w:rsid w:val="003F4FD7"/>
    <w:rsid w:val="003F5117"/>
    <w:rsid w:val="003F5167"/>
    <w:rsid w:val="003F51B0"/>
    <w:rsid w:val="003F51CC"/>
    <w:rsid w:val="003F51EE"/>
    <w:rsid w:val="003F522E"/>
    <w:rsid w:val="003F52CE"/>
    <w:rsid w:val="003F52D4"/>
    <w:rsid w:val="003F54A6"/>
    <w:rsid w:val="003F55B7"/>
    <w:rsid w:val="003F568B"/>
    <w:rsid w:val="003F56FC"/>
    <w:rsid w:val="003F57E0"/>
    <w:rsid w:val="003F582C"/>
    <w:rsid w:val="003F5994"/>
    <w:rsid w:val="003F59A6"/>
    <w:rsid w:val="003F5A4F"/>
    <w:rsid w:val="003F5BBF"/>
    <w:rsid w:val="003F5E8B"/>
    <w:rsid w:val="003F5F23"/>
    <w:rsid w:val="003F5FC4"/>
    <w:rsid w:val="003F60F8"/>
    <w:rsid w:val="003F611E"/>
    <w:rsid w:val="003F6171"/>
    <w:rsid w:val="003F623E"/>
    <w:rsid w:val="003F6368"/>
    <w:rsid w:val="003F637D"/>
    <w:rsid w:val="003F6455"/>
    <w:rsid w:val="003F64FD"/>
    <w:rsid w:val="003F64FF"/>
    <w:rsid w:val="003F65EC"/>
    <w:rsid w:val="003F6796"/>
    <w:rsid w:val="003F685F"/>
    <w:rsid w:val="003F68FC"/>
    <w:rsid w:val="003F69A9"/>
    <w:rsid w:val="003F6BE5"/>
    <w:rsid w:val="003F6BFA"/>
    <w:rsid w:val="003F6D55"/>
    <w:rsid w:val="003F6D6F"/>
    <w:rsid w:val="003F6DF2"/>
    <w:rsid w:val="003F6E3C"/>
    <w:rsid w:val="003F71D9"/>
    <w:rsid w:val="003F7208"/>
    <w:rsid w:val="003F7242"/>
    <w:rsid w:val="003F7375"/>
    <w:rsid w:val="003F73FA"/>
    <w:rsid w:val="003F744F"/>
    <w:rsid w:val="003F745F"/>
    <w:rsid w:val="003F758D"/>
    <w:rsid w:val="003F75F9"/>
    <w:rsid w:val="003F760E"/>
    <w:rsid w:val="003F7747"/>
    <w:rsid w:val="003F7798"/>
    <w:rsid w:val="003F7849"/>
    <w:rsid w:val="003F786B"/>
    <w:rsid w:val="003F79F8"/>
    <w:rsid w:val="003F7AE3"/>
    <w:rsid w:val="003F7B4B"/>
    <w:rsid w:val="003F7B9F"/>
    <w:rsid w:val="003F7CD1"/>
    <w:rsid w:val="003F7D56"/>
    <w:rsid w:val="003F7DE7"/>
    <w:rsid w:val="003F7EBE"/>
    <w:rsid w:val="003F7EC1"/>
    <w:rsid w:val="003F7EF6"/>
    <w:rsid w:val="003F7FAA"/>
    <w:rsid w:val="00400051"/>
    <w:rsid w:val="0040006D"/>
    <w:rsid w:val="004000E9"/>
    <w:rsid w:val="00400107"/>
    <w:rsid w:val="00400114"/>
    <w:rsid w:val="00400121"/>
    <w:rsid w:val="004001C8"/>
    <w:rsid w:val="004001D0"/>
    <w:rsid w:val="004002AC"/>
    <w:rsid w:val="004003C4"/>
    <w:rsid w:val="004003E8"/>
    <w:rsid w:val="00400479"/>
    <w:rsid w:val="0040052E"/>
    <w:rsid w:val="00400641"/>
    <w:rsid w:val="00400695"/>
    <w:rsid w:val="004007B3"/>
    <w:rsid w:val="004007CD"/>
    <w:rsid w:val="00400810"/>
    <w:rsid w:val="004008D1"/>
    <w:rsid w:val="00400930"/>
    <w:rsid w:val="004009A6"/>
    <w:rsid w:val="00400A28"/>
    <w:rsid w:val="00400A71"/>
    <w:rsid w:val="00400A9C"/>
    <w:rsid w:val="00400B30"/>
    <w:rsid w:val="00400B41"/>
    <w:rsid w:val="00400B4C"/>
    <w:rsid w:val="00400D29"/>
    <w:rsid w:val="00400E39"/>
    <w:rsid w:val="00400FFE"/>
    <w:rsid w:val="0040109E"/>
    <w:rsid w:val="0040112C"/>
    <w:rsid w:val="004011B6"/>
    <w:rsid w:val="0040122E"/>
    <w:rsid w:val="00401292"/>
    <w:rsid w:val="0040145A"/>
    <w:rsid w:val="00401484"/>
    <w:rsid w:val="0040150F"/>
    <w:rsid w:val="00401536"/>
    <w:rsid w:val="00401595"/>
    <w:rsid w:val="004015BA"/>
    <w:rsid w:val="004016F2"/>
    <w:rsid w:val="0040170A"/>
    <w:rsid w:val="0040183E"/>
    <w:rsid w:val="004018AA"/>
    <w:rsid w:val="004019B0"/>
    <w:rsid w:val="00401AB1"/>
    <w:rsid w:val="00401B26"/>
    <w:rsid w:val="00401BE0"/>
    <w:rsid w:val="00401D1F"/>
    <w:rsid w:val="00401E75"/>
    <w:rsid w:val="00402017"/>
    <w:rsid w:val="00402061"/>
    <w:rsid w:val="0040216C"/>
    <w:rsid w:val="0040219A"/>
    <w:rsid w:val="00402200"/>
    <w:rsid w:val="004022E9"/>
    <w:rsid w:val="0040253F"/>
    <w:rsid w:val="004025A5"/>
    <w:rsid w:val="00402650"/>
    <w:rsid w:val="0040266F"/>
    <w:rsid w:val="00402689"/>
    <w:rsid w:val="00402760"/>
    <w:rsid w:val="004027A9"/>
    <w:rsid w:val="004028B5"/>
    <w:rsid w:val="0040295D"/>
    <w:rsid w:val="004029AF"/>
    <w:rsid w:val="004029B1"/>
    <w:rsid w:val="00402B32"/>
    <w:rsid w:val="00402B86"/>
    <w:rsid w:val="00402C0F"/>
    <w:rsid w:val="00402C98"/>
    <w:rsid w:val="00402D6B"/>
    <w:rsid w:val="00402D9E"/>
    <w:rsid w:val="00402E00"/>
    <w:rsid w:val="00402E19"/>
    <w:rsid w:val="00402EFF"/>
    <w:rsid w:val="00402F0D"/>
    <w:rsid w:val="00402F3D"/>
    <w:rsid w:val="00403038"/>
    <w:rsid w:val="004032A5"/>
    <w:rsid w:val="00403301"/>
    <w:rsid w:val="00403360"/>
    <w:rsid w:val="004033CD"/>
    <w:rsid w:val="00403459"/>
    <w:rsid w:val="00403587"/>
    <w:rsid w:val="004036AE"/>
    <w:rsid w:val="00403813"/>
    <w:rsid w:val="00403814"/>
    <w:rsid w:val="004038C3"/>
    <w:rsid w:val="00403A3B"/>
    <w:rsid w:val="00403A7A"/>
    <w:rsid w:val="00403C30"/>
    <w:rsid w:val="00403D23"/>
    <w:rsid w:val="00403DDE"/>
    <w:rsid w:val="00403E50"/>
    <w:rsid w:val="00404021"/>
    <w:rsid w:val="0040407C"/>
    <w:rsid w:val="0040415E"/>
    <w:rsid w:val="004043BF"/>
    <w:rsid w:val="00404413"/>
    <w:rsid w:val="00404572"/>
    <w:rsid w:val="0040457F"/>
    <w:rsid w:val="00404583"/>
    <w:rsid w:val="004045C7"/>
    <w:rsid w:val="00404854"/>
    <w:rsid w:val="0040487C"/>
    <w:rsid w:val="004048AD"/>
    <w:rsid w:val="00404962"/>
    <w:rsid w:val="00404BFC"/>
    <w:rsid w:val="00404CE0"/>
    <w:rsid w:val="00404DFA"/>
    <w:rsid w:val="00404ECC"/>
    <w:rsid w:val="00404EF6"/>
    <w:rsid w:val="00404F89"/>
    <w:rsid w:val="00405115"/>
    <w:rsid w:val="004052B2"/>
    <w:rsid w:val="004052C9"/>
    <w:rsid w:val="0040531C"/>
    <w:rsid w:val="004053B2"/>
    <w:rsid w:val="00405460"/>
    <w:rsid w:val="004055E7"/>
    <w:rsid w:val="004056FE"/>
    <w:rsid w:val="00405920"/>
    <w:rsid w:val="00405988"/>
    <w:rsid w:val="004059C9"/>
    <w:rsid w:val="004059F7"/>
    <w:rsid w:val="00405ADE"/>
    <w:rsid w:val="00405BF2"/>
    <w:rsid w:val="00405D86"/>
    <w:rsid w:val="00405E91"/>
    <w:rsid w:val="00405EC5"/>
    <w:rsid w:val="00405EFA"/>
    <w:rsid w:val="00405FA9"/>
    <w:rsid w:val="0040613F"/>
    <w:rsid w:val="00406155"/>
    <w:rsid w:val="0040619A"/>
    <w:rsid w:val="0040624C"/>
    <w:rsid w:val="004062E9"/>
    <w:rsid w:val="00406311"/>
    <w:rsid w:val="00406313"/>
    <w:rsid w:val="00406320"/>
    <w:rsid w:val="004063FF"/>
    <w:rsid w:val="00406409"/>
    <w:rsid w:val="00406491"/>
    <w:rsid w:val="004064B8"/>
    <w:rsid w:val="0040650F"/>
    <w:rsid w:val="00406517"/>
    <w:rsid w:val="00406531"/>
    <w:rsid w:val="004065CA"/>
    <w:rsid w:val="0040683C"/>
    <w:rsid w:val="0040684C"/>
    <w:rsid w:val="004068BB"/>
    <w:rsid w:val="0040694F"/>
    <w:rsid w:val="00406956"/>
    <w:rsid w:val="004069A2"/>
    <w:rsid w:val="00406A1C"/>
    <w:rsid w:val="00406C50"/>
    <w:rsid w:val="00406C63"/>
    <w:rsid w:val="00406D05"/>
    <w:rsid w:val="00406D6A"/>
    <w:rsid w:val="00406DBD"/>
    <w:rsid w:val="00406E2B"/>
    <w:rsid w:val="00406EA4"/>
    <w:rsid w:val="00407077"/>
    <w:rsid w:val="004070AE"/>
    <w:rsid w:val="0040710C"/>
    <w:rsid w:val="004072C0"/>
    <w:rsid w:val="004072DE"/>
    <w:rsid w:val="004073E1"/>
    <w:rsid w:val="00407422"/>
    <w:rsid w:val="00407484"/>
    <w:rsid w:val="004075B8"/>
    <w:rsid w:val="0040775D"/>
    <w:rsid w:val="004077FE"/>
    <w:rsid w:val="0040784E"/>
    <w:rsid w:val="00407940"/>
    <w:rsid w:val="0040796D"/>
    <w:rsid w:val="004079DA"/>
    <w:rsid w:val="00407A09"/>
    <w:rsid w:val="00407B50"/>
    <w:rsid w:val="00407B91"/>
    <w:rsid w:val="00407C1C"/>
    <w:rsid w:val="00407E10"/>
    <w:rsid w:val="00407EBA"/>
    <w:rsid w:val="00407FD0"/>
    <w:rsid w:val="0041003D"/>
    <w:rsid w:val="004100D1"/>
    <w:rsid w:val="00410139"/>
    <w:rsid w:val="004101EF"/>
    <w:rsid w:val="00410211"/>
    <w:rsid w:val="004103AC"/>
    <w:rsid w:val="00410472"/>
    <w:rsid w:val="00410478"/>
    <w:rsid w:val="0041064B"/>
    <w:rsid w:val="0041064F"/>
    <w:rsid w:val="00410676"/>
    <w:rsid w:val="00410800"/>
    <w:rsid w:val="0041084B"/>
    <w:rsid w:val="0041096F"/>
    <w:rsid w:val="004109A1"/>
    <w:rsid w:val="004109DB"/>
    <w:rsid w:val="00410B28"/>
    <w:rsid w:val="00410B3A"/>
    <w:rsid w:val="00410B81"/>
    <w:rsid w:val="00410C37"/>
    <w:rsid w:val="00410C84"/>
    <w:rsid w:val="00410D22"/>
    <w:rsid w:val="00410D83"/>
    <w:rsid w:val="00410EED"/>
    <w:rsid w:val="00410FB3"/>
    <w:rsid w:val="00410FBD"/>
    <w:rsid w:val="004110E1"/>
    <w:rsid w:val="00411152"/>
    <w:rsid w:val="00411251"/>
    <w:rsid w:val="004112A6"/>
    <w:rsid w:val="00411356"/>
    <w:rsid w:val="00411425"/>
    <w:rsid w:val="00411613"/>
    <w:rsid w:val="0041173D"/>
    <w:rsid w:val="0041176F"/>
    <w:rsid w:val="00411770"/>
    <w:rsid w:val="00411773"/>
    <w:rsid w:val="004117C3"/>
    <w:rsid w:val="00411890"/>
    <w:rsid w:val="004118ED"/>
    <w:rsid w:val="004119E0"/>
    <w:rsid w:val="00411B4D"/>
    <w:rsid w:val="00411B9A"/>
    <w:rsid w:val="00411BA8"/>
    <w:rsid w:val="00411CAC"/>
    <w:rsid w:val="00411E50"/>
    <w:rsid w:val="00411E99"/>
    <w:rsid w:val="00411FBB"/>
    <w:rsid w:val="00412060"/>
    <w:rsid w:val="00412194"/>
    <w:rsid w:val="00412266"/>
    <w:rsid w:val="00412269"/>
    <w:rsid w:val="004122E6"/>
    <w:rsid w:val="004122EC"/>
    <w:rsid w:val="004123F2"/>
    <w:rsid w:val="0041242A"/>
    <w:rsid w:val="0041246C"/>
    <w:rsid w:val="00412474"/>
    <w:rsid w:val="0041253F"/>
    <w:rsid w:val="00412570"/>
    <w:rsid w:val="004125E2"/>
    <w:rsid w:val="0041260C"/>
    <w:rsid w:val="004126EE"/>
    <w:rsid w:val="00412878"/>
    <w:rsid w:val="00412A1A"/>
    <w:rsid w:val="00412A22"/>
    <w:rsid w:val="00412B5C"/>
    <w:rsid w:val="00412C72"/>
    <w:rsid w:val="00412CF2"/>
    <w:rsid w:val="00412DAF"/>
    <w:rsid w:val="00412E5A"/>
    <w:rsid w:val="00412E70"/>
    <w:rsid w:val="00412EEB"/>
    <w:rsid w:val="00412F22"/>
    <w:rsid w:val="00412F7E"/>
    <w:rsid w:val="00412F81"/>
    <w:rsid w:val="00412FB4"/>
    <w:rsid w:val="00412FC5"/>
    <w:rsid w:val="00412FCE"/>
    <w:rsid w:val="00412FE4"/>
    <w:rsid w:val="00413100"/>
    <w:rsid w:val="004131CC"/>
    <w:rsid w:val="00413319"/>
    <w:rsid w:val="00413375"/>
    <w:rsid w:val="0041341F"/>
    <w:rsid w:val="00413443"/>
    <w:rsid w:val="0041351F"/>
    <w:rsid w:val="0041352C"/>
    <w:rsid w:val="004135BB"/>
    <w:rsid w:val="004135BD"/>
    <w:rsid w:val="004135E7"/>
    <w:rsid w:val="00413689"/>
    <w:rsid w:val="00413811"/>
    <w:rsid w:val="00413889"/>
    <w:rsid w:val="00413987"/>
    <w:rsid w:val="00413B66"/>
    <w:rsid w:val="00413B73"/>
    <w:rsid w:val="00413D29"/>
    <w:rsid w:val="00413DA1"/>
    <w:rsid w:val="00413EDE"/>
    <w:rsid w:val="00413EF2"/>
    <w:rsid w:val="00413F22"/>
    <w:rsid w:val="00413FF0"/>
    <w:rsid w:val="00413FFB"/>
    <w:rsid w:val="004140AD"/>
    <w:rsid w:val="004140B1"/>
    <w:rsid w:val="00414111"/>
    <w:rsid w:val="0041429A"/>
    <w:rsid w:val="004142B5"/>
    <w:rsid w:val="004142CE"/>
    <w:rsid w:val="004142DF"/>
    <w:rsid w:val="00414513"/>
    <w:rsid w:val="00414546"/>
    <w:rsid w:val="0041459A"/>
    <w:rsid w:val="004145F8"/>
    <w:rsid w:val="0041467B"/>
    <w:rsid w:val="00414691"/>
    <w:rsid w:val="0041472C"/>
    <w:rsid w:val="00414765"/>
    <w:rsid w:val="00414918"/>
    <w:rsid w:val="00414999"/>
    <w:rsid w:val="00414A09"/>
    <w:rsid w:val="00414BD9"/>
    <w:rsid w:val="00414BF9"/>
    <w:rsid w:val="00414C69"/>
    <w:rsid w:val="00414E1B"/>
    <w:rsid w:val="00414EF6"/>
    <w:rsid w:val="00414F35"/>
    <w:rsid w:val="00414F5C"/>
    <w:rsid w:val="0041502C"/>
    <w:rsid w:val="004151B1"/>
    <w:rsid w:val="004151CF"/>
    <w:rsid w:val="004151F6"/>
    <w:rsid w:val="00415299"/>
    <w:rsid w:val="004152D9"/>
    <w:rsid w:val="00415318"/>
    <w:rsid w:val="00415378"/>
    <w:rsid w:val="004153A9"/>
    <w:rsid w:val="0041548C"/>
    <w:rsid w:val="004157EB"/>
    <w:rsid w:val="004157ED"/>
    <w:rsid w:val="004159CF"/>
    <w:rsid w:val="00415A68"/>
    <w:rsid w:val="00415C53"/>
    <w:rsid w:val="00415E2F"/>
    <w:rsid w:val="00415F27"/>
    <w:rsid w:val="00415F2F"/>
    <w:rsid w:val="00415FB6"/>
    <w:rsid w:val="00415FCD"/>
    <w:rsid w:val="0041607E"/>
    <w:rsid w:val="004160BD"/>
    <w:rsid w:val="004160C8"/>
    <w:rsid w:val="004160E2"/>
    <w:rsid w:val="004160EC"/>
    <w:rsid w:val="0041613C"/>
    <w:rsid w:val="00416142"/>
    <w:rsid w:val="00416144"/>
    <w:rsid w:val="004161DA"/>
    <w:rsid w:val="0041621E"/>
    <w:rsid w:val="004162D9"/>
    <w:rsid w:val="004162DB"/>
    <w:rsid w:val="004162E2"/>
    <w:rsid w:val="00416338"/>
    <w:rsid w:val="00416379"/>
    <w:rsid w:val="00416482"/>
    <w:rsid w:val="004164D0"/>
    <w:rsid w:val="00416609"/>
    <w:rsid w:val="0041670D"/>
    <w:rsid w:val="00416808"/>
    <w:rsid w:val="0041682F"/>
    <w:rsid w:val="00416880"/>
    <w:rsid w:val="0041689C"/>
    <w:rsid w:val="004168C2"/>
    <w:rsid w:val="00416A9B"/>
    <w:rsid w:val="00416AD1"/>
    <w:rsid w:val="00416B51"/>
    <w:rsid w:val="00416BF4"/>
    <w:rsid w:val="00416C9E"/>
    <w:rsid w:val="00416D92"/>
    <w:rsid w:val="00416DEE"/>
    <w:rsid w:val="00416E82"/>
    <w:rsid w:val="00416EE0"/>
    <w:rsid w:val="00416F4E"/>
    <w:rsid w:val="00417161"/>
    <w:rsid w:val="004171A9"/>
    <w:rsid w:val="00417253"/>
    <w:rsid w:val="00417282"/>
    <w:rsid w:val="004172C5"/>
    <w:rsid w:val="004172F8"/>
    <w:rsid w:val="00417587"/>
    <w:rsid w:val="004175BF"/>
    <w:rsid w:val="004175C6"/>
    <w:rsid w:val="00417614"/>
    <w:rsid w:val="0041765A"/>
    <w:rsid w:val="0041779C"/>
    <w:rsid w:val="004177E0"/>
    <w:rsid w:val="0041791E"/>
    <w:rsid w:val="004179FF"/>
    <w:rsid w:val="00417B35"/>
    <w:rsid w:val="00417BBC"/>
    <w:rsid w:val="00417C15"/>
    <w:rsid w:val="00417C67"/>
    <w:rsid w:val="00417D61"/>
    <w:rsid w:val="00417E11"/>
    <w:rsid w:val="00417E85"/>
    <w:rsid w:val="00417EB6"/>
    <w:rsid w:val="00417F98"/>
    <w:rsid w:val="0042000F"/>
    <w:rsid w:val="00420094"/>
    <w:rsid w:val="0042014C"/>
    <w:rsid w:val="004201A2"/>
    <w:rsid w:val="00420296"/>
    <w:rsid w:val="00420316"/>
    <w:rsid w:val="004203B7"/>
    <w:rsid w:val="00420412"/>
    <w:rsid w:val="0042047F"/>
    <w:rsid w:val="004204F3"/>
    <w:rsid w:val="004206DC"/>
    <w:rsid w:val="004207DF"/>
    <w:rsid w:val="004207F7"/>
    <w:rsid w:val="00420803"/>
    <w:rsid w:val="0042082D"/>
    <w:rsid w:val="00420876"/>
    <w:rsid w:val="004208BA"/>
    <w:rsid w:val="004208F9"/>
    <w:rsid w:val="0042090F"/>
    <w:rsid w:val="00420AC5"/>
    <w:rsid w:val="00420B2E"/>
    <w:rsid w:val="00420B34"/>
    <w:rsid w:val="00420B68"/>
    <w:rsid w:val="00420BD1"/>
    <w:rsid w:val="00420C8D"/>
    <w:rsid w:val="00420C91"/>
    <w:rsid w:val="00420D1B"/>
    <w:rsid w:val="00420D4A"/>
    <w:rsid w:val="00420D75"/>
    <w:rsid w:val="00420E2D"/>
    <w:rsid w:val="00420E83"/>
    <w:rsid w:val="00420F3E"/>
    <w:rsid w:val="0042102B"/>
    <w:rsid w:val="0042107A"/>
    <w:rsid w:val="00421126"/>
    <w:rsid w:val="004211AD"/>
    <w:rsid w:val="00421269"/>
    <w:rsid w:val="0042146F"/>
    <w:rsid w:val="0042150B"/>
    <w:rsid w:val="0042153A"/>
    <w:rsid w:val="00421674"/>
    <w:rsid w:val="004216E8"/>
    <w:rsid w:val="0042170B"/>
    <w:rsid w:val="00421798"/>
    <w:rsid w:val="00421835"/>
    <w:rsid w:val="00421954"/>
    <w:rsid w:val="00421968"/>
    <w:rsid w:val="00421A3A"/>
    <w:rsid w:val="00421A5A"/>
    <w:rsid w:val="00421A9C"/>
    <w:rsid w:val="00421C67"/>
    <w:rsid w:val="00421E8B"/>
    <w:rsid w:val="00421EDA"/>
    <w:rsid w:val="00421F89"/>
    <w:rsid w:val="00422009"/>
    <w:rsid w:val="00422019"/>
    <w:rsid w:val="004220BD"/>
    <w:rsid w:val="004221FF"/>
    <w:rsid w:val="0042228C"/>
    <w:rsid w:val="004222BD"/>
    <w:rsid w:val="004222D8"/>
    <w:rsid w:val="004224E2"/>
    <w:rsid w:val="00422569"/>
    <w:rsid w:val="00422611"/>
    <w:rsid w:val="00422910"/>
    <w:rsid w:val="0042294E"/>
    <w:rsid w:val="00422B29"/>
    <w:rsid w:val="00422BBD"/>
    <w:rsid w:val="00422C3B"/>
    <w:rsid w:val="00422C46"/>
    <w:rsid w:val="00422C98"/>
    <w:rsid w:val="00422CDD"/>
    <w:rsid w:val="00422D9E"/>
    <w:rsid w:val="00422E7C"/>
    <w:rsid w:val="00422EBB"/>
    <w:rsid w:val="00422FD7"/>
    <w:rsid w:val="00423120"/>
    <w:rsid w:val="00423244"/>
    <w:rsid w:val="004233EF"/>
    <w:rsid w:val="00423445"/>
    <w:rsid w:val="0042356D"/>
    <w:rsid w:val="00423829"/>
    <w:rsid w:val="00423838"/>
    <w:rsid w:val="0042391B"/>
    <w:rsid w:val="0042391D"/>
    <w:rsid w:val="0042395E"/>
    <w:rsid w:val="00423A41"/>
    <w:rsid w:val="00423AAE"/>
    <w:rsid w:val="00423B4D"/>
    <w:rsid w:val="00423BC5"/>
    <w:rsid w:val="00423C49"/>
    <w:rsid w:val="00423D26"/>
    <w:rsid w:val="00423D76"/>
    <w:rsid w:val="00423D90"/>
    <w:rsid w:val="00423DE6"/>
    <w:rsid w:val="00423E32"/>
    <w:rsid w:val="00423EC4"/>
    <w:rsid w:val="00423F88"/>
    <w:rsid w:val="00423FF5"/>
    <w:rsid w:val="0042415D"/>
    <w:rsid w:val="004241DE"/>
    <w:rsid w:val="0042423C"/>
    <w:rsid w:val="00424251"/>
    <w:rsid w:val="00424262"/>
    <w:rsid w:val="00424277"/>
    <w:rsid w:val="0042428D"/>
    <w:rsid w:val="0042443D"/>
    <w:rsid w:val="00424474"/>
    <w:rsid w:val="004244BC"/>
    <w:rsid w:val="0042461E"/>
    <w:rsid w:val="00424647"/>
    <w:rsid w:val="0042471F"/>
    <w:rsid w:val="0042475D"/>
    <w:rsid w:val="0042478A"/>
    <w:rsid w:val="004247A2"/>
    <w:rsid w:val="004249FC"/>
    <w:rsid w:val="00424A57"/>
    <w:rsid w:val="00424C15"/>
    <w:rsid w:val="00424CAC"/>
    <w:rsid w:val="00424E79"/>
    <w:rsid w:val="00424F01"/>
    <w:rsid w:val="00425156"/>
    <w:rsid w:val="004251A1"/>
    <w:rsid w:val="004251D2"/>
    <w:rsid w:val="004252B6"/>
    <w:rsid w:val="00425368"/>
    <w:rsid w:val="004253F9"/>
    <w:rsid w:val="004254C8"/>
    <w:rsid w:val="004254DD"/>
    <w:rsid w:val="00425514"/>
    <w:rsid w:val="00425528"/>
    <w:rsid w:val="004255CC"/>
    <w:rsid w:val="00425678"/>
    <w:rsid w:val="004257CB"/>
    <w:rsid w:val="0042592E"/>
    <w:rsid w:val="0042597F"/>
    <w:rsid w:val="00425A33"/>
    <w:rsid w:val="00425CF4"/>
    <w:rsid w:val="00425D2A"/>
    <w:rsid w:val="00425ED2"/>
    <w:rsid w:val="0042602A"/>
    <w:rsid w:val="00426085"/>
    <w:rsid w:val="004261B1"/>
    <w:rsid w:val="00426377"/>
    <w:rsid w:val="00426403"/>
    <w:rsid w:val="00426414"/>
    <w:rsid w:val="00426442"/>
    <w:rsid w:val="0042661C"/>
    <w:rsid w:val="0042663A"/>
    <w:rsid w:val="004266A4"/>
    <w:rsid w:val="004267C0"/>
    <w:rsid w:val="004267F7"/>
    <w:rsid w:val="004268A4"/>
    <w:rsid w:val="00426939"/>
    <w:rsid w:val="00426950"/>
    <w:rsid w:val="00426B2F"/>
    <w:rsid w:val="00426BCA"/>
    <w:rsid w:val="00426BDB"/>
    <w:rsid w:val="00426CDA"/>
    <w:rsid w:val="00426DF8"/>
    <w:rsid w:val="00426EE8"/>
    <w:rsid w:val="00426EFD"/>
    <w:rsid w:val="00426F0B"/>
    <w:rsid w:val="004270CC"/>
    <w:rsid w:val="0042711A"/>
    <w:rsid w:val="004271B3"/>
    <w:rsid w:val="004271F8"/>
    <w:rsid w:val="00427203"/>
    <w:rsid w:val="00427239"/>
    <w:rsid w:val="0042724C"/>
    <w:rsid w:val="00427278"/>
    <w:rsid w:val="0042732D"/>
    <w:rsid w:val="0042748B"/>
    <w:rsid w:val="004275E4"/>
    <w:rsid w:val="004275F6"/>
    <w:rsid w:val="00427675"/>
    <w:rsid w:val="0042777D"/>
    <w:rsid w:val="004277A7"/>
    <w:rsid w:val="004277BD"/>
    <w:rsid w:val="004277D5"/>
    <w:rsid w:val="00427821"/>
    <w:rsid w:val="004279A0"/>
    <w:rsid w:val="00427A03"/>
    <w:rsid w:val="00427B0C"/>
    <w:rsid w:val="00427B56"/>
    <w:rsid w:val="00427C6F"/>
    <w:rsid w:val="00427D99"/>
    <w:rsid w:val="00427E60"/>
    <w:rsid w:val="00427EA4"/>
    <w:rsid w:val="00427F98"/>
    <w:rsid w:val="00427FCB"/>
    <w:rsid w:val="0043005D"/>
    <w:rsid w:val="004303B2"/>
    <w:rsid w:val="0043045F"/>
    <w:rsid w:val="00430470"/>
    <w:rsid w:val="00430490"/>
    <w:rsid w:val="0043049D"/>
    <w:rsid w:val="004305D5"/>
    <w:rsid w:val="00430609"/>
    <w:rsid w:val="00430850"/>
    <w:rsid w:val="004308C8"/>
    <w:rsid w:val="00430A56"/>
    <w:rsid w:val="00430AF1"/>
    <w:rsid w:val="00430B28"/>
    <w:rsid w:val="00430D80"/>
    <w:rsid w:val="00430E2F"/>
    <w:rsid w:val="00430EC2"/>
    <w:rsid w:val="00431015"/>
    <w:rsid w:val="004310C9"/>
    <w:rsid w:val="004310E1"/>
    <w:rsid w:val="0043115A"/>
    <w:rsid w:val="004311BC"/>
    <w:rsid w:val="004312C2"/>
    <w:rsid w:val="0043133A"/>
    <w:rsid w:val="004313C0"/>
    <w:rsid w:val="004313E0"/>
    <w:rsid w:val="0043143E"/>
    <w:rsid w:val="00431618"/>
    <w:rsid w:val="00431638"/>
    <w:rsid w:val="0043163C"/>
    <w:rsid w:val="00431678"/>
    <w:rsid w:val="004316C8"/>
    <w:rsid w:val="00431726"/>
    <w:rsid w:val="00431A62"/>
    <w:rsid w:val="00431AAA"/>
    <w:rsid w:val="00431C00"/>
    <w:rsid w:val="00431C3C"/>
    <w:rsid w:val="00431D43"/>
    <w:rsid w:val="00431D79"/>
    <w:rsid w:val="00431D80"/>
    <w:rsid w:val="00431E2A"/>
    <w:rsid w:val="00432015"/>
    <w:rsid w:val="00432046"/>
    <w:rsid w:val="004321A4"/>
    <w:rsid w:val="004322A1"/>
    <w:rsid w:val="00432399"/>
    <w:rsid w:val="00432430"/>
    <w:rsid w:val="0043247B"/>
    <w:rsid w:val="00432585"/>
    <w:rsid w:val="00432636"/>
    <w:rsid w:val="004327D1"/>
    <w:rsid w:val="0043295C"/>
    <w:rsid w:val="004329AA"/>
    <w:rsid w:val="004329D2"/>
    <w:rsid w:val="00432AC9"/>
    <w:rsid w:val="00432B0D"/>
    <w:rsid w:val="00432B18"/>
    <w:rsid w:val="00432B2D"/>
    <w:rsid w:val="00432B33"/>
    <w:rsid w:val="00432B41"/>
    <w:rsid w:val="00432B9A"/>
    <w:rsid w:val="00432BFF"/>
    <w:rsid w:val="00432CF6"/>
    <w:rsid w:val="00432D46"/>
    <w:rsid w:val="00432DB0"/>
    <w:rsid w:val="00432E2B"/>
    <w:rsid w:val="00432E5D"/>
    <w:rsid w:val="00432E72"/>
    <w:rsid w:val="00432EB0"/>
    <w:rsid w:val="00432F56"/>
    <w:rsid w:val="00433173"/>
    <w:rsid w:val="00433180"/>
    <w:rsid w:val="004331EB"/>
    <w:rsid w:val="00433209"/>
    <w:rsid w:val="004332C7"/>
    <w:rsid w:val="004332E7"/>
    <w:rsid w:val="00433307"/>
    <w:rsid w:val="004333D5"/>
    <w:rsid w:val="004333E0"/>
    <w:rsid w:val="00433439"/>
    <w:rsid w:val="004334BA"/>
    <w:rsid w:val="00433510"/>
    <w:rsid w:val="00433763"/>
    <w:rsid w:val="004337F3"/>
    <w:rsid w:val="00433983"/>
    <w:rsid w:val="004339DA"/>
    <w:rsid w:val="00433AC0"/>
    <w:rsid w:val="00433B20"/>
    <w:rsid w:val="00433C39"/>
    <w:rsid w:val="00433C6A"/>
    <w:rsid w:val="00433D2F"/>
    <w:rsid w:val="00433F0F"/>
    <w:rsid w:val="00433F38"/>
    <w:rsid w:val="00433F51"/>
    <w:rsid w:val="00433F71"/>
    <w:rsid w:val="00433FBE"/>
    <w:rsid w:val="0043408E"/>
    <w:rsid w:val="00434152"/>
    <w:rsid w:val="0043419C"/>
    <w:rsid w:val="004342E9"/>
    <w:rsid w:val="0043437D"/>
    <w:rsid w:val="004343C3"/>
    <w:rsid w:val="0043441C"/>
    <w:rsid w:val="004344DF"/>
    <w:rsid w:val="0043452D"/>
    <w:rsid w:val="004345FA"/>
    <w:rsid w:val="00434776"/>
    <w:rsid w:val="004348CD"/>
    <w:rsid w:val="00434917"/>
    <w:rsid w:val="00434934"/>
    <w:rsid w:val="00434A53"/>
    <w:rsid w:val="00434B61"/>
    <w:rsid w:val="00434C4A"/>
    <w:rsid w:val="00434CAB"/>
    <w:rsid w:val="00434D2B"/>
    <w:rsid w:val="00434E1D"/>
    <w:rsid w:val="00434F55"/>
    <w:rsid w:val="004350A7"/>
    <w:rsid w:val="0043511C"/>
    <w:rsid w:val="0043512C"/>
    <w:rsid w:val="0043515E"/>
    <w:rsid w:val="0043521B"/>
    <w:rsid w:val="00435298"/>
    <w:rsid w:val="0043532A"/>
    <w:rsid w:val="004353B0"/>
    <w:rsid w:val="0043541C"/>
    <w:rsid w:val="0043541E"/>
    <w:rsid w:val="00435582"/>
    <w:rsid w:val="00435614"/>
    <w:rsid w:val="00435786"/>
    <w:rsid w:val="004358C8"/>
    <w:rsid w:val="0043595A"/>
    <w:rsid w:val="004359A0"/>
    <w:rsid w:val="004359A2"/>
    <w:rsid w:val="00435A18"/>
    <w:rsid w:val="00435AA4"/>
    <w:rsid w:val="00435C1C"/>
    <w:rsid w:val="00435C49"/>
    <w:rsid w:val="00435C71"/>
    <w:rsid w:val="00435DAC"/>
    <w:rsid w:val="00435F08"/>
    <w:rsid w:val="00435FF3"/>
    <w:rsid w:val="00436017"/>
    <w:rsid w:val="00436253"/>
    <w:rsid w:val="0043625C"/>
    <w:rsid w:val="0043631A"/>
    <w:rsid w:val="0043643E"/>
    <w:rsid w:val="00436446"/>
    <w:rsid w:val="0043647C"/>
    <w:rsid w:val="004366CC"/>
    <w:rsid w:val="004366E0"/>
    <w:rsid w:val="0043673B"/>
    <w:rsid w:val="004367B4"/>
    <w:rsid w:val="00436831"/>
    <w:rsid w:val="0043685B"/>
    <w:rsid w:val="00436981"/>
    <w:rsid w:val="00436B76"/>
    <w:rsid w:val="00436CC9"/>
    <w:rsid w:val="00436D66"/>
    <w:rsid w:val="00436E27"/>
    <w:rsid w:val="00436E87"/>
    <w:rsid w:val="00436EE4"/>
    <w:rsid w:val="00436F0C"/>
    <w:rsid w:val="00436F79"/>
    <w:rsid w:val="004370EF"/>
    <w:rsid w:val="0043711F"/>
    <w:rsid w:val="0043717B"/>
    <w:rsid w:val="004372BE"/>
    <w:rsid w:val="00437302"/>
    <w:rsid w:val="00437481"/>
    <w:rsid w:val="00437591"/>
    <w:rsid w:val="004375BA"/>
    <w:rsid w:val="00437607"/>
    <w:rsid w:val="00437657"/>
    <w:rsid w:val="00437675"/>
    <w:rsid w:val="004376AB"/>
    <w:rsid w:val="004376BF"/>
    <w:rsid w:val="0043771B"/>
    <w:rsid w:val="004377FB"/>
    <w:rsid w:val="004378F2"/>
    <w:rsid w:val="00437943"/>
    <w:rsid w:val="00437A0F"/>
    <w:rsid w:val="00437A48"/>
    <w:rsid w:val="00437AE9"/>
    <w:rsid w:val="00437B47"/>
    <w:rsid w:val="00437B7B"/>
    <w:rsid w:val="00437B81"/>
    <w:rsid w:val="00437BB1"/>
    <w:rsid w:val="00437BEE"/>
    <w:rsid w:val="00437C5B"/>
    <w:rsid w:val="00437C5D"/>
    <w:rsid w:val="00437CAA"/>
    <w:rsid w:val="00437D58"/>
    <w:rsid w:val="00437FAA"/>
    <w:rsid w:val="00440062"/>
    <w:rsid w:val="0044008A"/>
    <w:rsid w:val="004400AC"/>
    <w:rsid w:val="00440196"/>
    <w:rsid w:val="004401EF"/>
    <w:rsid w:val="00440289"/>
    <w:rsid w:val="00440355"/>
    <w:rsid w:val="004403E9"/>
    <w:rsid w:val="00440455"/>
    <w:rsid w:val="00440496"/>
    <w:rsid w:val="00440586"/>
    <w:rsid w:val="00440679"/>
    <w:rsid w:val="004407EA"/>
    <w:rsid w:val="004408B3"/>
    <w:rsid w:val="00440912"/>
    <w:rsid w:val="004409F8"/>
    <w:rsid w:val="00440A01"/>
    <w:rsid w:val="00440A1A"/>
    <w:rsid w:val="00440A63"/>
    <w:rsid w:val="00440B26"/>
    <w:rsid w:val="00440BE4"/>
    <w:rsid w:val="00440BF4"/>
    <w:rsid w:val="00440D36"/>
    <w:rsid w:val="00440D64"/>
    <w:rsid w:val="00440D9F"/>
    <w:rsid w:val="00440E30"/>
    <w:rsid w:val="00440E37"/>
    <w:rsid w:val="00440EA2"/>
    <w:rsid w:val="00440ECD"/>
    <w:rsid w:val="00440F9A"/>
    <w:rsid w:val="00440FF3"/>
    <w:rsid w:val="00441028"/>
    <w:rsid w:val="00441085"/>
    <w:rsid w:val="004410F4"/>
    <w:rsid w:val="00441157"/>
    <w:rsid w:val="0044117B"/>
    <w:rsid w:val="0044121F"/>
    <w:rsid w:val="0044127D"/>
    <w:rsid w:val="004414AE"/>
    <w:rsid w:val="004414CF"/>
    <w:rsid w:val="004414D1"/>
    <w:rsid w:val="004414F3"/>
    <w:rsid w:val="004415CB"/>
    <w:rsid w:val="00441613"/>
    <w:rsid w:val="004416DC"/>
    <w:rsid w:val="0044188B"/>
    <w:rsid w:val="00441940"/>
    <w:rsid w:val="00441988"/>
    <w:rsid w:val="00441A4F"/>
    <w:rsid w:val="00441B1E"/>
    <w:rsid w:val="00441B67"/>
    <w:rsid w:val="00441C40"/>
    <w:rsid w:val="00441C71"/>
    <w:rsid w:val="00441E4A"/>
    <w:rsid w:val="00441F46"/>
    <w:rsid w:val="00442066"/>
    <w:rsid w:val="0044209E"/>
    <w:rsid w:val="0044214C"/>
    <w:rsid w:val="00442174"/>
    <w:rsid w:val="00442227"/>
    <w:rsid w:val="00442228"/>
    <w:rsid w:val="004422A7"/>
    <w:rsid w:val="00442344"/>
    <w:rsid w:val="004423AC"/>
    <w:rsid w:val="00442543"/>
    <w:rsid w:val="004425A1"/>
    <w:rsid w:val="004427A1"/>
    <w:rsid w:val="004427E0"/>
    <w:rsid w:val="00442869"/>
    <w:rsid w:val="00442A85"/>
    <w:rsid w:val="00442B16"/>
    <w:rsid w:val="00442B90"/>
    <w:rsid w:val="00442BB9"/>
    <w:rsid w:val="00442BFC"/>
    <w:rsid w:val="00442CCC"/>
    <w:rsid w:val="00442CE8"/>
    <w:rsid w:val="00442CEA"/>
    <w:rsid w:val="00442D91"/>
    <w:rsid w:val="00442DC2"/>
    <w:rsid w:val="00442EDE"/>
    <w:rsid w:val="00442EFC"/>
    <w:rsid w:val="00442F09"/>
    <w:rsid w:val="00442F22"/>
    <w:rsid w:val="0044303A"/>
    <w:rsid w:val="0044309F"/>
    <w:rsid w:val="004432DF"/>
    <w:rsid w:val="004432F1"/>
    <w:rsid w:val="00443338"/>
    <w:rsid w:val="00443478"/>
    <w:rsid w:val="004435AC"/>
    <w:rsid w:val="004439D2"/>
    <w:rsid w:val="004439D9"/>
    <w:rsid w:val="00443A37"/>
    <w:rsid w:val="00443A42"/>
    <w:rsid w:val="00443A79"/>
    <w:rsid w:val="00443AB4"/>
    <w:rsid w:val="00443C39"/>
    <w:rsid w:val="00443C62"/>
    <w:rsid w:val="00443D20"/>
    <w:rsid w:val="00443D83"/>
    <w:rsid w:val="00443DAA"/>
    <w:rsid w:val="00443E23"/>
    <w:rsid w:val="00443F05"/>
    <w:rsid w:val="00444253"/>
    <w:rsid w:val="004442F1"/>
    <w:rsid w:val="0044431D"/>
    <w:rsid w:val="004444A0"/>
    <w:rsid w:val="004444FC"/>
    <w:rsid w:val="0044451E"/>
    <w:rsid w:val="004446B8"/>
    <w:rsid w:val="00444776"/>
    <w:rsid w:val="004448F6"/>
    <w:rsid w:val="0044493D"/>
    <w:rsid w:val="00444A19"/>
    <w:rsid w:val="00444A1C"/>
    <w:rsid w:val="00444A70"/>
    <w:rsid w:val="00444ABC"/>
    <w:rsid w:val="00444B53"/>
    <w:rsid w:val="00444BE8"/>
    <w:rsid w:val="00444C13"/>
    <w:rsid w:val="00444CAA"/>
    <w:rsid w:val="00444CC8"/>
    <w:rsid w:val="00444CE0"/>
    <w:rsid w:val="00444D13"/>
    <w:rsid w:val="00444D30"/>
    <w:rsid w:val="00444D45"/>
    <w:rsid w:val="00444DD2"/>
    <w:rsid w:val="00444E37"/>
    <w:rsid w:val="00444ED4"/>
    <w:rsid w:val="00444F18"/>
    <w:rsid w:val="004450DD"/>
    <w:rsid w:val="004451AF"/>
    <w:rsid w:val="004451C4"/>
    <w:rsid w:val="00445264"/>
    <w:rsid w:val="00445338"/>
    <w:rsid w:val="0044539F"/>
    <w:rsid w:val="004453A0"/>
    <w:rsid w:val="004454C0"/>
    <w:rsid w:val="00445631"/>
    <w:rsid w:val="00445716"/>
    <w:rsid w:val="0044575B"/>
    <w:rsid w:val="0044580F"/>
    <w:rsid w:val="004459B3"/>
    <w:rsid w:val="00445A41"/>
    <w:rsid w:val="00445AEB"/>
    <w:rsid w:val="00445B10"/>
    <w:rsid w:val="00445C87"/>
    <w:rsid w:val="00445CFF"/>
    <w:rsid w:val="00445DF1"/>
    <w:rsid w:val="00445E00"/>
    <w:rsid w:val="00445F1B"/>
    <w:rsid w:val="00445F39"/>
    <w:rsid w:val="0044609E"/>
    <w:rsid w:val="0044614B"/>
    <w:rsid w:val="004461AD"/>
    <w:rsid w:val="004461D7"/>
    <w:rsid w:val="004461EE"/>
    <w:rsid w:val="00446251"/>
    <w:rsid w:val="004463AB"/>
    <w:rsid w:val="00446541"/>
    <w:rsid w:val="00446642"/>
    <w:rsid w:val="00446651"/>
    <w:rsid w:val="00446915"/>
    <w:rsid w:val="0044694D"/>
    <w:rsid w:val="0044695C"/>
    <w:rsid w:val="00446A1A"/>
    <w:rsid w:val="00446A8C"/>
    <w:rsid w:val="00446B45"/>
    <w:rsid w:val="00446B69"/>
    <w:rsid w:val="00446BA9"/>
    <w:rsid w:val="00446BF7"/>
    <w:rsid w:val="00446CFC"/>
    <w:rsid w:val="00446D75"/>
    <w:rsid w:val="00446DDD"/>
    <w:rsid w:val="00446F4B"/>
    <w:rsid w:val="00447091"/>
    <w:rsid w:val="00447139"/>
    <w:rsid w:val="00447170"/>
    <w:rsid w:val="004471A8"/>
    <w:rsid w:val="004471E2"/>
    <w:rsid w:val="0044724E"/>
    <w:rsid w:val="00447295"/>
    <w:rsid w:val="0044733C"/>
    <w:rsid w:val="00447350"/>
    <w:rsid w:val="00447361"/>
    <w:rsid w:val="004473BB"/>
    <w:rsid w:val="004473BD"/>
    <w:rsid w:val="00447414"/>
    <w:rsid w:val="0044746F"/>
    <w:rsid w:val="0044754F"/>
    <w:rsid w:val="004475FD"/>
    <w:rsid w:val="00447655"/>
    <w:rsid w:val="004476B2"/>
    <w:rsid w:val="0044773C"/>
    <w:rsid w:val="0044784B"/>
    <w:rsid w:val="0044788C"/>
    <w:rsid w:val="00447951"/>
    <w:rsid w:val="004479DC"/>
    <w:rsid w:val="00447A76"/>
    <w:rsid w:val="00447B6D"/>
    <w:rsid w:val="00447BDB"/>
    <w:rsid w:val="00447BEE"/>
    <w:rsid w:val="00447CC9"/>
    <w:rsid w:val="00447D30"/>
    <w:rsid w:val="00447E59"/>
    <w:rsid w:val="00447EF0"/>
    <w:rsid w:val="0045009E"/>
    <w:rsid w:val="004500C5"/>
    <w:rsid w:val="00450125"/>
    <w:rsid w:val="00450313"/>
    <w:rsid w:val="00450359"/>
    <w:rsid w:val="004503B4"/>
    <w:rsid w:val="00450463"/>
    <w:rsid w:val="004504FD"/>
    <w:rsid w:val="004505A1"/>
    <w:rsid w:val="00450630"/>
    <w:rsid w:val="00450966"/>
    <w:rsid w:val="0045097C"/>
    <w:rsid w:val="004509BB"/>
    <w:rsid w:val="00450ABA"/>
    <w:rsid w:val="00450CE7"/>
    <w:rsid w:val="00450E04"/>
    <w:rsid w:val="00450E39"/>
    <w:rsid w:val="00450FD9"/>
    <w:rsid w:val="00450FEC"/>
    <w:rsid w:val="004510E2"/>
    <w:rsid w:val="00451304"/>
    <w:rsid w:val="004513CA"/>
    <w:rsid w:val="004513CC"/>
    <w:rsid w:val="0045140D"/>
    <w:rsid w:val="0045142F"/>
    <w:rsid w:val="00451454"/>
    <w:rsid w:val="00451575"/>
    <w:rsid w:val="004515DA"/>
    <w:rsid w:val="00451645"/>
    <w:rsid w:val="0045167E"/>
    <w:rsid w:val="0045180C"/>
    <w:rsid w:val="00451817"/>
    <w:rsid w:val="00451841"/>
    <w:rsid w:val="00451855"/>
    <w:rsid w:val="00451987"/>
    <w:rsid w:val="0045199A"/>
    <w:rsid w:val="004519C3"/>
    <w:rsid w:val="00451A9F"/>
    <w:rsid w:val="00451AE9"/>
    <w:rsid w:val="00451B90"/>
    <w:rsid w:val="00451BAF"/>
    <w:rsid w:val="00451C27"/>
    <w:rsid w:val="00451C8F"/>
    <w:rsid w:val="00451D4F"/>
    <w:rsid w:val="00451D8B"/>
    <w:rsid w:val="00451DB4"/>
    <w:rsid w:val="00451F60"/>
    <w:rsid w:val="00451FA4"/>
    <w:rsid w:val="0045200D"/>
    <w:rsid w:val="0045207E"/>
    <w:rsid w:val="004521FD"/>
    <w:rsid w:val="0045235A"/>
    <w:rsid w:val="00452409"/>
    <w:rsid w:val="004524E4"/>
    <w:rsid w:val="00452634"/>
    <w:rsid w:val="00452643"/>
    <w:rsid w:val="00452707"/>
    <w:rsid w:val="00452724"/>
    <w:rsid w:val="004528D5"/>
    <w:rsid w:val="0045292C"/>
    <w:rsid w:val="004529CE"/>
    <w:rsid w:val="00452B1B"/>
    <w:rsid w:val="00452B4D"/>
    <w:rsid w:val="00452C5B"/>
    <w:rsid w:val="00452DC1"/>
    <w:rsid w:val="00452DCD"/>
    <w:rsid w:val="00452E31"/>
    <w:rsid w:val="00452EE0"/>
    <w:rsid w:val="00452F67"/>
    <w:rsid w:val="00452FC7"/>
    <w:rsid w:val="00453058"/>
    <w:rsid w:val="0045305E"/>
    <w:rsid w:val="00453197"/>
    <w:rsid w:val="00453199"/>
    <w:rsid w:val="00453273"/>
    <w:rsid w:val="0045331A"/>
    <w:rsid w:val="00453354"/>
    <w:rsid w:val="004534DA"/>
    <w:rsid w:val="0045358C"/>
    <w:rsid w:val="004535AA"/>
    <w:rsid w:val="0045366A"/>
    <w:rsid w:val="00453673"/>
    <w:rsid w:val="004536C2"/>
    <w:rsid w:val="004536F0"/>
    <w:rsid w:val="004537C3"/>
    <w:rsid w:val="00453833"/>
    <w:rsid w:val="00453977"/>
    <w:rsid w:val="00453996"/>
    <w:rsid w:val="00453A5B"/>
    <w:rsid w:val="00453B5D"/>
    <w:rsid w:val="00453C16"/>
    <w:rsid w:val="00453C3D"/>
    <w:rsid w:val="00453D67"/>
    <w:rsid w:val="00453D9C"/>
    <w:rsid w:val="00453DBF"/>
    <w:rsid w:val="00453E31"/>
    <w:rsid w:val="00453F12"/>
    <w:rsid w:val="00453F7C"/>
    <w:rsid w:val="0045401F"/>
    <w:rsid w:val="004540C9"/>
    <w:rsid w:val="004540EB"/>
    <w:rsid w:val="00454114"/>
    <w:rsid w:val="0045411A"/>
    <w:rsid w:val="00454124"/>
    <w:rsid w:val="00454159"/>
    <w:rsid w:val="004541E6"/>
    <w:rsid w:val="004542C0"/>
    <w:rsid w:val="004543E9"/>
    <w:rsid w:val="0045440B"/>
    <w:rsid w:val="004545C5"/>
    <w:rsid w:val="0045478C"/>
    <w:rsid w:val="004548E5"/>
    <w:rsid w:val="0045495C"/>
    <w:rsid w:val="00454977"/>
    <w:rsid w:val="004549C7"/>
    <w:rsid w:val="00454D2E"/>
    <w:rsid w:val="00454D9F"/>
    <w:rsid w:val="00454DF3"/>
    <w:rsid w:val="00454E0C"/>
    <w:rsid w:val="00454F5F"/>
    <w:rsid w:val="0045520A"/>
    <w:rsid w:val="00455229"/>
    <w:rsid w:val="00455265"/>
    <w:rsid w:val="0045555B"/>
    <w:rsid w:val="00455570"/>
    <w:rsid w:val="00455715"/>
    <w:rsid w:val="0045571E"/>
    <w:rsid w:val="00455765"/>
    <w:rsid w:val="004557B7"/>
    <w:rsid w:val="00455906"/>
    <w:rsid w:val="00455B13"/>
    <w:rsid w:val="00455B81"/>
    <w:rsid w:val="00455BEB"/>
    <w:rsid w:val="00455CE0"/>
    <w:rsid w:val="00455D06"/>
    <w:rsid w:val="00455D12"/>
    <w:rsid w:val="00455D3C"/>
    <w:rsid w:val="00455E09"/>
    <w:rsid w:val="00455EB4"/>
    <w:rsid w:val="00455EE4"/>
    <w:rsid w:val="00455F59"/>
    <w:rsid w:val="00456242"/>
    <w:rsid w:val="004562CA"/>
    <w:rsid w:val="00456364"/>
    <w:rsid w:val="004563CC"/>
    <w:rsid w:val="004564B2"/>
    <w:rsid w:val="00456507"/>
    <w:rsid w:val="004565EA"/>
    <w:rsid w:val="004566B1"/>
    <w:rsid w:val="004566B4"/>
    <w:rsid w:val="004567D1"/>
    <w:rsid w:val="004567F2"/>
    <w:rsid w:val="0045682B"/>
    <w:rsid w:val="00456891"/>
    <w:rsid w:val="004568DD"/>
    <w:rsid w:val="00456949"/>
    <w:rsid w:val="00456988"/>
    <w:rsid w:val="00456A6A"/>
    <w:rsid w:val="00456BBF"/>
    <w:rsid w:val="00456BEE"/>
    <w:rsid w:val="00456C57"/>
    <w:rsid w:val="00456C6B"/>
    <w:rsid w:val="00456CC8"/>
    <w:rsid w:val="00456CDF"/>
    <w:rsid w:val="00456DBC"/>
    <w:rsid w:val="00456DD2"/>
    <w:rsid w:val="00456DF5"/>
    <w:rsid w:val="00456E48"/>
    <w:rsid w:val="00456EEE"/>
    <w:rsid w:val="00456F6B"/>
    <w:rsid w:val="00456F72"/>
    <w:rsid w:val="00457054"/>
    <w:rsid w:val="0045726A"/>
    <w:rsid w:val="004572A5"/>
    <w:rsid w:val="004572AD"/>
    <w:rsid w:val="004572D1"/>
    <w:rsid w:val="0045730F"/>
    <w:rsid w:val="00457360"/>
    <w:rsid w:val="00457378"/>
    <w:rsid w:val="00457566"/>
    <w:rsid w:val="00457575"/>
    <w:rsid w:val="004575E8"/>
    <w:rsid w:val="00457757"/>
    <w:rsid w:val="0045792D"/>
    <w:rsid w:val="00457A06"/>
    <w:rsid w:val="00457A25"/>
    <w:rsid w:val="00457A3B"/>
    <w:rsid w:val="00457BF3"/>
    <w:rsid w:val="00457D5F"/>
    <w:rsid w:val="00460095"/>
    <w:rsid w:val="004600B8"/>
    <w:rsid w:val="004601F4"/>
    <w:rsid w:val="004601FE"/>
    <w:rsid w:val="0046026D"/>
    <w:rsid w:val="00460273"/>
    <w:rsid w:val="0046038E"/>
    <w:rsid w:val="004603A7"/>
    <w:rsid w:val="004604C0"/>
    <w:rsid w:val="004605B1"/>
    <w:rsid w:val="004608DA"/>
    <w:rsid w:val="00460A94"/>
    <w:rsid w:val="00460AEB"/>
    <w:rsid w:val="00460E14"/>
    <w:rsid w:val="00460F00"/>
    <w:rsid w:val="00460F0C"/>
    <w:rsid w:val="00460F69"/>
    <w:rsid w:val="00460F74"/>
    <w:rsid w:val="00461294"/>
    <w:rsid w:val="00461354"/>
    <w:rsid w:val="0046158F"/>
    <w:rsid w:val="00461639"/>
    <w:rsid w:val="00461657"/>
    <w:rsid w:val="00461715"/>
    <w:rsid w:val="004617B8"/>
    <w:rsid w:val="00461887"/>
    <w:rsid w:val="004618A8"/>
    <w:rsid w:val="004618AC"/>
    <w:rsid w:val="0046190E"/>
    <w:rsid w:val="00461962"/>
    <w:rsid w:val="00461ACF"/>
    <w:rsid w:val="00461AF8"/>
    <w:rsid w:val="00461B05"/>
    <w:rsid w:val="00461C3F"/>
    <w:rsid w:val="00461C70"/>
    <w:rsid w:val="00461CEF"/>
    <w:rsid w:val="00461E02"/>
    <w:rsid w:val="00461E74"/>
    <w:rsid w:val="00461FF4"/>
    <w:rsid w:val="00462083"/>
    <w:rsid w:val="00462150"/>
    <w:rsid w:val="0046239E"/>
    <w:rsid w:val="0046243C"/>
    <w:rsid w:val="00462451"/>
    <w:rsid w:val="0046251C"/>
    <w:rsid w:val="00462545"/>
    <w:rsid w:val="0046254E"/>
    <w:rsid w:val="0046257C"/>
    <w:rsid w:val="0046260F"/>
    <w:rsid w:val="004626B4"/>
    <w:rsid w:val="004626CF"/>
    <w:rsid w:val="004627C4"/>
    <w:rsid w:val="0046284B"/>
    <w:rsid w:val="00462854"/>
    <w:rsid w:val="0046293D"/>
    <w:rsid w:val="004629BD"/>
    <w:rsid w:val="00462A4B"/>
    <w:rsid w:val="00462A75"/>
    <w:rsid w:val="00462C0F"/>
    <w:rsid w:val="00462D02"/>
    <w:rsid w:val="00462DBB"/>
    <w:rsid w:val="00462E29"/>
    <w:rsid w:val="00462EB6"/>
    <w:rsid w:val="00463005"/>
    <w:rsid w:val="0046300C"/>
    <w:rsid w:val="0046307A"/>
    <w:rsid w:val="004630D7"/>
    <w:rsid w:val="00463246"/>
    <w:rsid w:val="004632BF"/>
    <w:rsid w:val="00463369"/>
    <w:rsid w:val="0046346D"/>
    <w:rsid w:val="00463506"/>
    <w:rsid w:val="00463542"/>
    <w:rsid w:val="00463544"/>
    <w:rsid w:val="004635C7"/>
    <w:rsid w:val="00463615"/>
    <w:rsid w:val="00463654"/>
    <w:rsid w:val="0046373E"/>
    <w:rsid w:val="00463755"/>
    <w:rsid w:val="004637C1"/>
    <w:rsid w:val="00463826"/>
    <w:rsid w:val="0046387C"/>
    <w:rsid w:val="00463916"/>
    <w:rsid w:val="00463933"/>
    <w:rsid w:val="00463ABD"/>
    <w:rsid w:val="00463AF2"/>
    <w:rsid w:val="00463CF9"/>
    <w:rsid w:val="00463DF9"/>
    <w:rsid w:val="00463E1E"/>
    <w:rsid w:val="0046404B"/>
    <w:rsid w:val="004640E7"/>
    <w:rsid w:val="004641EF"/>
    <w:rsid w:val="00464243"/>
    <w:rsid w:val="00464392"/>
    <w:rsid w:val="004643A8"/>
    <w:rsid w:val="00464423"/>
    <w:rsid w:val="00464458"/>
    <w:rsid w:val="004644BA"/>
    <w:rsid w:val="0046460C"/>
    <w:rsid w:val="00464612"/>
    <w:rsid w:val="00464683"/>
    <w:rsid w:val="004647BE"/>
    <w:rsid w:val="00464929"/>
    <w:rsid w:val="00464AB5"/>
    <w:rsid w:val="00464BC8"/>
    <w:rsid w:val="00464D9B"/>
    <w:rsid w:val="00464E2C"/>
    <w:rsid w:val="00464E44"/>
    <w:rsid w:val="004651B2"/>
    <w:rsid w:val="004652ED"/>
    <w:rsid w:val="004653C8"/>
    <w:rsid w:val="00465474"/>
    <w:rsid w:val="004654A6"/>
    <w:rsid w:val="004654F6"/>
    <w:rsid w:val="004655E1"/>
    <w:rsid w:val="0046564A"/>
    <w:rsid w:val="0046570F"/>
    <w:rsid w:val="004657D7"/>
    <w:rsid w:val="004658D5"/>
    <w:rsid w:val="004658E9"/>
    <w:rsid w:val="0046597A"/>
    <w:rsid w:val="00465A4D"/>
    <w:rsid w:val="00465A53"/>
    <w:rsid w:val="00465A80"/>
    <w:rsid w:val="00465B63"/>
    <w:rsid w:val="00465B86"/>
    <w:rsid w:val="00465C2E"/>
    <w:rsid w:val="00465CD8"/>
    <w:rsid w:val="00465DB7"/>
    <w:rsid w:val="00465DCE"/>
    <w:rsid w:val="00465F46"/>
    <w:rsid w:val="00465F57"/>
    <w:rsid w:val="004661F6"/>
    <w:rsid w:val="00466214"/>
    <w:rsid w:val="0046635F"/>
    <w:rsid w:val="0046642E"/>
    <w:rsid w:val="004664AD"/>
    <w:rsid w:val="00466534"/>
    <w:rsid w:val="0046654D"/>
    <w:rsid w:val="0046663A"/>
    <w:rsid w:val="004667B3"/>
    <w:rsid w:val="004667E9"/>
    <w:rsid w:val="0046681B"/>
    <w:rsid w:val="00466825"/>
    <w:rsid w:val="004668D5"/>
    <w:rsid w:val="004669DB"/>
    <w:rsid w:val="00466C4B"/>
    <w:rsid w:val="00466CE1"/>
    <w:rsid w:val="00466D63"/>
    <w:rsid w:val="00466DB7"/>
    <w:rsid w:val="00466E2E"/>
    <w:rsid w:val="00466E6E"/>
    <w:rsid w:val="00466E7B"/>
    <w:rsid w:val="0046704B"/>
    <w:rsid w:val="0046708A"/>
    <w:rsid w:val="00467316"/>
    <w:rsid w:val="00467324"/>
    <w:rsid w:val="004673C0"/>
    <w:rsid w:val="00467531"/>
    <w:rsid w:val="00467626"/>
    <w:rsid w:val="00467629"/>
    <w:rsid w:val="00467797"/>
    <w:rsid w:val="004679B8"/>
    <w:rsid w:val="00467C3B"/>
    <w:rsid w:val="00467DD0"/>
    <w:rsid w:val="00467E40"/>
    <w:rsid w:val="00467EF4"/>
    <w:rsid w:val="00467FCD"/>
    <w:rsid w:val="0047000D"/>
    <w:rsid w:val="00470210"/>
    <w:rsid w:val="004703F8"/>
    <w:rsid w:val="004705B0"/>
    <w:rsid w:val="00470613"/>
    <w:rsid w:val="00470645"/>
    <w:rsid w:val="004707C1"/>
    <w:rsid w:val="004708D0"/>
    <w:rsid w:val="00470A2B"/>
    <w:rsid w:val="00470A36"/>
    <w:rsid w:val="00470B78"/>
    <w:rsid w:val="00470C35"/>
    <w:rsid w:val="00470C40"/>
    <w:rsid w:val="00470D95"/>
    <w:rsid w:val="00470E5F"/>
    <w:rsid w:val="00470ECB"/>
    <w:rsid w:val="00470F27"/>
    <w:rsid w:val="00470F48"/>
    <w:rsid w:val="00471000"/>
    <w:rsid w:val="00471236"/>
    <w:rsid w:val="0047123A"/>
    <w:rsid w:val="0047129F"/>
    <w:rsid w:val="004712A8"/>
    <w:rsid w:val="0047131F"/>
    <w:rsid w:val="0047134A"/>
    <w:rsid w:val="004713A1"/>
    <w:rsid w:val="004713C1"/>
    <w:rsid w:val="004714E5"/>
    <w:rsid w:val="00471547"/>
    <w:rsid w:val="0047164A"/>
    <w:rsid w:val="00471652"/>
    <w:rsid w:val="00471663"/>
    <w:rsid w:val="00471781"/>
    <w:rsid w:val="004717EB"/>
    <w:rsid w:val="0047192B"/>
    <w:rsid w:val="004719A0"/>
    <w:rsid w:val="004719FF"/>
    <w:rsid w:val="00471A23"/>
    <w:rsid w:val="00471A81"/>
    <w:rsid w:val="00471A8A"/>
    <w:rsid w:val="00471BB2"/>
    <w:rsid w:val="00471C2B"/>
    <w:rsid w:val="00471C5C"/>
    <w:rsid w:val="00471D30"/>
    <w:rsid w:val="00471E8D"/>
    <w:rsid w:val="00471EA5"/>
    <w:rsid w:val="00471F00"/>
    <w:rsid w:val="00471F82"/>
    <w:rsid w:val="00471FB2"/>
    <w:rsid w:val="00472010"/>
    <w:rsid w:val="004720C5"/>
    <w:rsid w:val="00472141"/>
    <w:rsid w:val="00472188"/>
    <w:rsid w:val="00472289"/>
    <w:rsid w:val="004722EE"/>
    <w:rsid w:val="00472356"/>
    <w:rsid w:val="004723AE"/>
    <w:rsid w:val="004723D1"/>
    <w:rsid w:val="004723D7"/>
    <w:rsid w:val="00472450"/>
    <w:rsid w:val="004724CC"/>
    <w:rsid w:val="004724D4"/>
    <w:rsid w:val="004724DA"/>
    <w:rsid w:val="0047260D"/>
    <w:rsid w:val="0047280A"/>
    <w:rsid w:val="0047297E"/>
    <w:rsid w:val="0047299D"/>
    <w:rsid w:val="00472A50"/>
    <w:rsid w:val="00472AF9"/>
    <w:rsid w:val="00472B61"/>
    <w:rsid w:val="00472C19"/>
    <w:rsid w:val="00472D0A"/>
    <w:rsid w:val="00472D24"/>
    <w:rsid w:val="00472D5C"/>
    <w:rsid w:val="00472E23"/>
    <w:rsid w:val="00472F5C"/>
    <w:rsid w:val="00472F8C"/>
    <w:rsid w:val="0047300D"/>
    <w:rsid w:val="0047314B"/>
    <w:rsid w:val="00473239"/>
    <w:rsid w:val="00473461"/>
    <w:rsid w:val="004734AA"/>
    <w:rsid w:val="00473504"/>
    <w:rsid w:val="0047351B"/>
    <w:rsid w:val="00473567"/>
    <w:rsid w:val="0047358C"/>
    <w:rsid w:val="004735CC"/>
    <w:rsid w:val="004737E9"/>
    <w:rsid w:val="0047381E"/>
    <w:rsid w:val="0047387A"/>
    <w:rsid w:val="00473896"/>
    <w:rsid w:val="004738F2"/>
    <w:rsid w:val="00473AA8"/>
    <w:rsid w:val="00473AF5"/>
    <w:rsid w:val="00473B50"/>
    <w:rsid w:val="00473C99"/>
    <w:rsid w:val="00473DB6"/>
    <w:rsid w:val="00473E64"/>
    <w:rsid w:val="00473E78"/>
    <w:rsid w:val="00473F33"/>
    <w:rsid w:val="00474079"/>
    <w:rsid w:val="00474136"/>
    <w:rsid w:val="00474158"/>
    <w:rsid w:val="004741AC"/>
    <w:rsid w:val="0047428C"/>
    <w:rsid w:val="00474299"/>
    <w:rsid w:val="004742D0"/>
    <w:rsid w:val="00474364"/>
    <w:rsid w:val="004743CC"/>
    <w:rsid w:val="00474419"/>
    <w:rsid w:val="004745C2"/>
    <w:rsid w:val="00474714"/>
    <w:rsid w:val="00474775"/>
    <w:rsid w:val="004747A9"/>
    <w:rsid w:val="004747CA"/>
    <w:rsid w:val="00474918"/>
    <w:rsid w:val="0047491B"/>
    <w:rsid w:val="004749CD"/>
    <w:rsid w:val="00474AA9"/>
    <w:rsid w:val="00474AEE"/>
    <w:rsid w:val="00474C32"/>
    <w:rsid w:val="00474C50"/>
    <w:rsid w:val="00474CF6"/>
    <w:rsid w:val="00474D56"/>
    <w:rsid w:val="00474DB3"/>
    <w:rsid w:val="00474DBF"/>
    <w:rsid w:val="00474DD6"/>
    <w:rsid w:val="0047508B"/>
    <w:rsid w:val="00475145"/>
    <w:rsid w:val="00475192"/>
    <w:rsid w:val="0047520A"/>
    <w:rsid w:val="00475369"/>
    <w:rsid w:val="00475629"/>
    <w:rsid w:val="004756B8"/>
    <w:rsid w:val="004757C4"/>
    <w:rsid w:val="004757FB"/>
    <w:rsid w:val="00475B19"/>
    <w:rsid w:val="00475B1E"/>
    <w:rsid w:val="00475B23"/>
    <w:rsid w:val="00475BC3"/>
    <w:rsid w:val="00475D40"/>
    <w:rsid w:val="00475D8C"/>
    <w:rsid w:val="00475E12"/>
    <w:rsid w:val="00475E8E"/>
    <w:rsid w:val="00475F10"/>
    <w:rsid w:val="0047613C"/>
    <w:rsid w:val="004761BD"/>
    <w:rsid w:val="00476266"/>
    <w:rsid w:val="0047684C"/>
    <w:rsid w:val="0047697C"/>
    <w:rsid w:val="004769CB"/>
    <w:rsid w:val="004769F8"/>
    <w:rsid w:val="00476A0C"/>
    <w:rsid w:val="00476B20"/>
    <w:rsid w:val="00476DD5"/>
    <w:rsid w:val="00476EF0"/>
    <w:rsid w:val="0047703C"/>
    <w:rsid w:val="0047704F"/>
    <w:rsid w:val="004771A7"/>
    <w:rsid w:val="00477232"/>
    <w:rsid w:val="0047728B"/>
    <w:rsid w:val="00477295"/>
    <w:rsid w:val="0047736C"/>
    <w:rsid w:val="0047741E"/>
    <w:rsid w:val="00477422"/>
    <w:rsid w:val="00477485"/>
    <w:rsid w:val="00477721"/>
    <w:rsid w:val="0047776A"/>
    <w:rsid w:val="004777F1"/>
    <w:rsid w:val="00477834"/>
    <w:rsid w:val="004778A4"/>
    <w:rsid w:val="00477AB7"/>
    <w:rsid w:val="00477C20"/>
    <w:rsid w:val="00477C6A"/>
    <w:rsid w:val="00477D5C"/>
    <w:rsid w:val="00477E3F"/>
    <w:rsid w:val="00477ECB"/>
    <w:rsid w:val="00477F39"/>
    <w:rsid w:val="0047802A"/>
    <w:rsid w:val="0048011E"/>
    <w:rsid w:val="00480240"/>
    <w:rsid w:val="004805C5"/>
    <w:rsid w:val="0048065D"/>
    <w:rsid w:val="0048067B"/>
    <w:rsid w:val="00480898"/>
    <w:rsid w:val="004808BD"/>
    <w:rsid w:val="0048093B"/>
    <w:rsid w:val="00480986"/>
    <w:rsid w:val="004809BD"/>
    <w:rsid w:val="00480A41"/>
    <w:rsid w:val="00480B32"/>
    <w:rsid w:val="00480B35"/>
    <w:rsid w:val="00480B77"/>
    <w:rsid w:val="00480C08"/>
    <w:rsid w:val="00480E57"/>
    <w:rsid w:val="00480EF4"/>
    <w:rsid w:val="00480F0A"/>
    <w:rsid w:val="00480F31"/>
    <w:rsid w:val="00480F32"/>
    <w:rsid w:val="00480FAC"/>
    <w:rsid w:val="00481046"/>
    <w:rsid w:val="0048120C"/>
    <w:rsid w:val="004812BC"/>
    <w:rsid w:val="004813A9"/>
    <w:rsid w:val="0048151D"/>
    <w:rsid w:val="00481595"/>
    <w:rsid w:val="004815EE"/>
    <w:rsid w:val="00481645"/>
    <w:rsid w:val="0048166C"/>
    <w:rsid w:val="004816D6"/>
    <w:rsid w:val="0048188B"/>
    <w:rsid w:val="00481912"/>
    <w:rsid w:val="00481A73"/>
    <w:rsid w:val="00481C0C"/>
    <w:rsid w:val="00481C7D"/>
    <w:rsid w:val="00481D78"/>
    <w:rsid w:val="00481E4F"/>
    <w:rsid w:val="0048207F"/>
    <w:rsid w:val="0048210B"/>
    <w:rsid w:val="0048215D"/>
    <w:rsid w:val="0048216D"/>
    <w:rsid w:val="00482189"/>
    <w:rsid w:val="004821F0"/>
    <w:rsid w:val="0048222D"/>
    <w:rsid w:val="004822D7"/>
    <w:rsid w:val="00482333"/>
    <w:rsid w:val="0048238B"/>
    <w:rsid w:val="004823A6"/>
    <w:rsid w:val="004823C5"/>
    <w:rsid w:val="00482406"/>
    <w:rsid w:val="00482523"/>
    <w:rsid w:val="0048259D"/>
    <w:rsid w:val="00482781"/>
    <w:rsid w:val="004827C5"/>
    <w:rsid w:val="004827DE"/>
    <w:rsid w:val="00482889"/>
    <w:rsid w:val="00482974"/>
    <w:rsid w:val="00482AF3"/>
    <w:rsid w:val="00482C0E"/>
    <w:rsid w:val="00482EDD"/>
    <w:rsid w:val="00482F6A"/>
    <w:rsid w:val="00483023"/>
    <w:rsid w:val="00483090"/>
    <w:rsid w:val="004830B8"/>
    <w:rsid w:val="004831E2"/>
    <w:rsid w:val="004832D8"/>
    <w:rsid w:val="0048337A"/>
    <w:rsid w:val="004833BA"/>
    <w:rsid w:val="004835CA"/>
    <w:rsid w:val="004835FB"/>
    <w:rsid w:val="00483704"/>
    <w:rsid w:val="0048371F"/>
    <w:rsid w:val="00483742"/>
    <w:rsid w:val="004837C4"/>
    <w:rsid w:val="0048396A"/>
    <w:rsid w:val="00483A17"/>
    <w:rsid w:val="00483AB9"/>
    <w:rsid w:val="00483BE9"/>
    <w:rsid w:val="00483BFD"/>
    <w:rsid w:val="00483C8E"/>
    <w:rsid w:val="00483D0F"/>
    <w:rsid w:val="00483D3B"/>
    <w:rsid w:val="00483DAD"/>
    <w:rsid w:val="00483F18"/>
    <w:rsid w:val="00483F22"/>
    <w:rsid w:val="00483F36"/>
    <w:rsid w:val="00483FD5"/>
    <w:rsid w:val="00484010"/>
    <w:rsid w:val="004840AD"/>
    <w:rsid w:val="004840CF"/>
    <w:rsid w:val="0048423F"/>
    <w:rsid w:val="0048424C"/>
    <w:rsid w:val="0048429F"/>
    <w:rsid w:val="00484329"/>
    <w:rsid w:val="00484335"/>
    <w:rsid w:val="00484410"/>
    <w:rsid w:val="00484534"/>
    <w:rsid w:val="00484584"/>
    <w:rsid w:val="00484627"/>
    <w:rsid w:val="004846F1"/>
    <w:rsid w:val="00484711"/>
    <w:rsid w:val="004848A7"/>
    <w:rsid w:val="004848E8"/>
    <w:rsid w:val="00484922"/>
    <w:rsid w:val="00484B82"/>
    <w:rsid w:val="00484C06"/>
    <w:rsid w:val="00484DBC"/>
    <w:rsid w:val="00484DC7"/>
    <w:rsid w:val="00484DE8"/>
    <w:rsid w:val="00484E58"/>
    <w:rsid w:val="00484F67"/>
    <w:rsid w:val="00485047"/>
    <w:rsid w:val="004850F3"/>
    <w:rsid w:val="00485168"/>
    <w:rsid w:val="004852AA"/>
    <w:rsid w:val="004852C2"/>
    <w:rsid w:val="004852F5"/>
    <w:rsid w:val="0048534E"/>
    <w:rsid w:val="004853A9"/>
    <w:rsid w:val="004855B8"/>
    <w:rsid w:val="004856E9"/>
    <w:rsid w:val="004857BF"/>
    <w:rsid w:val="004857FD"/>
    <w:rsid w:val="0048584D"/>
    <w:rsid w:val="0048586D"/>
    <w:rsid w:val="00485890"/>
    <w:rsid w:val="004858C9"/>
    <w:rsid w:val="004858F7"/>
    <w:rsid w:val="0048595E"/>
    <w:rsid w:val="00485A3D"/>
    <w:rsid w:val="00485B56"/>
    <w:rsid w:val="00485B93"/>
    <w:rsid w:val="00485C21"/>
    <w:rsid w:val="00485D21"/>
    <w:rsid w:val="00485D44"/>
    <w:rsid w:val="00485E45"/>
    <w:rsid w:val="00485F01"/>
    <w:rsid w:val="00486078"/>
    <w:rsid w:val="00486080"/>
    <w:rsid w:val="00486138"/>
    <w:rsid w:val="00486249"/>
    <w:rsid w:val="00486269"/>
    <w:rsid w:val="00486323"/>
    <w:rsid w:val="004864BA"/>
    <w:rsid w:val="0048668A"/>
    <w:rsid w:val="0048668C"/>
    <w:rsid w:val="0048668F"/>
    <w:rsid w:val="00486764"/>
    <w:rsid w:val="0048689B"/>
    <w:rsid w:val="004868E7"/>
    <w:rsid w:val="0048699A"/>
    <w:rsid w:val="004869AC"/>
    <w:rsid w:val="00486BC0"/>
    <w:rsid w:val="00486D6F"/>
    <w:rsid w:val="00486D94"/>
    <w:rsid w:val="00486EE4"/>
    <w:rsid w:val="00486F5A"/>
    <w:rsid w:val="00486F8E"/>
    <w:rsid w:val="00486FD4"/>
    <w:rsid w:val="00486FF0"/>
    <w:rsid w:val="00487032"/>
    <w:rsid w:val="0048705E"/>
    <w:rsid w:val="0048707B"/>
    <w:rsid w:val="004870FB"/>
    <w:rsid w:val="00487110"/>
    <w:rsid w:val="004871C3"/>
    <w:rsid w:val="0048721A"/>
    <w:rsid w:val="0048725B"/>
    <w:rsid w:val="004872E3"/>
    <w:rsid w:val="00487357"/>
    <w:rsid w:val="00487388"/>
    <w:rsid w:val="004873E5"/>
    <w:rsid w:val="004873F0"/>
    <w:rsid w:val="00487592"/>
    <w:rsid w:val="004875E4"/>
    <w:rsid w:val="00487679"/>
    <w:rsid w:val="00487698"/>
    <w:rsid w:val="0048769A"/>
    <w:rsid w:val="004879D8"/>
    <w:rsid w:val="00487A00"/>
    <w:rsid w:val="00487A82"/>
    <w:rsid w:val="00487AFF"/>
    <w:rsid w:val="00487B58"/>
    <w:rsid w:val="00487C03"/>
    <w:rsid w:val="00487C7A"/>
    <w:rsid w:val="00487FE0"/>
    <w:rsid w:val="004900DF"/>
    <w:rsid w:val="0049024F"/>
    <w:rsid w:val="004903B6"/>
    <w:rsid w:val="00490445"/>
    <w:rsid w:val="0049056C"/>
    <w:rsid w:val="00490A6C"/>
    <w:rsid w:val="00490C57"/>
    <w:rsid w:val="00490C6B"/>
    <w:rsid w:val="00490E38"/>
    <w:rsid w:val="00490EB4"/>
    <w:rsid w:val="00490F33"/>
    <w:rsid w:val="004910BB"/>
    <w:rsid w:val="004911F6"/>
    <w:rsid w:val="0049126F"/>
    <w:rsid w:val="00491280"/>
    <w:rsid w:val="00491289"/>
    <w:rsid w:val="0049138D"/>
    <w:rsid w:val="004913AA"/>
    <w:rsid w:val="004913C3"/>
    <w:rsid w:val="00491497"/>
    <w:rsid w:val="00491555"/>
    <w:rsid w:val="00491570"/>
    <w:rsid w:val="00491585"/>
    <w:rsid w:val="00491788"/>
    <w:rsid w:val="004917AD"/>
    <w:rsid w:val="00491862"/>
    <w:rsid w:val="004918CF"/>
    <w:rsid w:val="004918D7"/>
    <w:rsid w:val="00491973"/>
    <w:rsid w:val="00491998"/>
    <w:rsid w:val="00491A2C"/>
    <w:rsid w:val="00491B07"/>
    <w:rsid w:val="00491B1C"/>
    <w:rsid w:val="00491B27"/>
    <w:rsid w:val="00491B7F"/>
    <w:rsid w:val="00491C7C"/>
    <w:rsid w:val="00491C95"/>
    <w:rsid w:val="00491F1E"/>
    <w:rsid w:val="00491FC2"/>
    <w:rsid w:val="0049213B"/>
    <w:rsid w:val="004921FD"/>
    <w:rsid w:val="00492256"/>
    <w:rsid w:val="004922F3"/>
    <w:rsid w:val="004923A9"/>
    <w:rsid w:val="004924D6"/>
    <w:rsid w:val="004926ED"/>
    <w:rsid w:val="00492712"/>
    <w:rsid w:val="004927AE"/>
    <w:rsid w:val="004927FE"/>
    <w:rsid w:val="0049286B"/>
    <w:rsid w:val="0049293D"/>
    <w:rsid w:val="004929F6"/>
    <w:rsid w:val="00492AD0"/>
    <w:rsid w:val="00492BB4"/>
    <w:rsid w:val="00492D89"/>
    <w:rsid w:val="00492DBB"/>
    <w:rsid w:val="00492E93"/>
    <w:rsid w:val="00492ED0"/>
    <w:rsid w:val="00492F18"/>
    <w:rsid w:val="00492F7B"/>
    <w:rsid w:val="00493033"/>
    <w:rsid w:val="0049319C"/>
    <w:rsid w:val="00493226"/>
    <w:rsid w:val="00493246"/>
    <w:rsid w:val="00493267"/>
    <w:rsid w:val="0049327F"/>
    <w:rsid w:val="004932C1"/>
    <w:rsid w:val="004932DA"/>
    <w:rsid w:val="00493407"/>
    <w:rsid w:val="004934BF"/>
    <w:rsid w:val="00493541"/>
    <w:rsid w:val="0049354D"/>
    <w:rsid w:val="004935E8"/>
    <w:rsid w:val="004935FF"/>
    <w:rsid w:val="004938A5"/>
    <w:rsid w:val="00493960"/>
    <w:rsid w:val="004939C3"/>
    <w:rsid w:val="00493AF5"/>
    <w:rsid w:val="00493B69"/>
    <w:rsid w:val="00493C0F"/>
    <w:rsid w:val="00493CA4"/>
    <w:rsid w:val="00493CDA"/>
    <w:rsid w:val="00493D21"/>
    <w:rsid w:val="00493E01"/>
    <w:rsid w:val="00493F6C"/>
    <w:rsid w:val="00493F7E"/>
    <w:rsid w:val="00493FBB"/>
    <w:rsid w:val="00494084"/>
    <w:rsid w:val="0049412D"/>
    <w:rsid w:val="00494278"/>
    <w:rsid w:val="00494307"/>
    <w:rsid w:val="00494495"/>
    <w:rsid w:val="00494510"/>
    <w:rsid w:val="0049453E"/>
    <w:rsid w:val="00494800"/>
    <w:rsid w:val="004948B7"/>
    <w:rsid w:val="004949D1"/>
    <w:rsid w:val="004949E4"/>
    <w:rsid w:val="004949EA"/>
    <w:rsid w:val="004949ED"/>
    <w:rsid w:val="00494A35"/>
    <w:rsid w:val="00494BD1"/>
    <w:rsid w:val="00494CC3"/>
    <w:rsid w:val="00494D37"/>
    <w:rsid w:val="00494D8A"/>
    <w:rsid w:val="00494E14"/>
    <w:rsid w:val="00494E44"/>
    <w:rsid w:val="00494E5A"/>
    <w:rsid w:val="00494EDD"/>
    <w:rsid w:val="00495229"/>
    <w:rsid w:val="00495466"/>
    <w:rsid w:val="004954CD"/>
    <w:rsid w:val="0049566D"/>
    <w:rsid w:val="004957A5"/>
    <w:rsid w:val="00495826"/>
    <w:rsid w:val="00495942"/>
    <w:rsid w:val="0049599D"/>
    <w:rsid w:val="00495A40"/>
    <w:rsid w:val="00495AED"/>
    <w:rsid w:val="00495B24"/>
    <w:rsid w:val="00495C68"/>
    <w:rsid w:val="00495D0A"/>
    <w:rsid w:val="00495D57"/>
    <w:rsid w:val="00495D5F"/>
    <w:rsid w:val="00495ED7"/>
    <w:rsid w:val="00495F85"/>
    <w:rsid w:val="00495F89"/>
    <w:rsid w:val="00496089"/>
    <w:rsid w:val="0049608A"/>
    <w:rsid w:val="004960B0"/>
    <w:rsid w:val="004962CE"/>
    <w:rsid w:val="00496364"/>
    <w:rsid w:val="00496458"/>
    <w:rsid w:val="004964F6"/>
    <w:rsid w:val="004965CB"/>
    <w:rsid w:val="00496650"/>
    <w:rsid w:val="004967E3"/>
    <w:rsid w:val="00496902"/>
    <w:rsid w:val="004969B9"/>
    <w:rsid w:val="00496B0C"/>
    <w:rsid w:val="00496C87"/>
    <w:rsid w:val="00496CFB"/>
    <w:rsid w:val="00496D7A"/>
    <w:rsid w:val="00496E81"/>
    <w:rsid w:val="00496F00"/>
    <w:rsid w:val="00497073"/>
    <w:rsid w:val="004971DA"/>
    <w:rsid w:val="00497260"/>
    <w:rsid w:val="004972E3"/>
    <w:rsid w:val="00497326"/>
    <w:rsid w:val="004973EF"/>
    <w:rsid w:val="0049745C"/>
    <w:rsid w:val="0049754F"/>
    <w:rsid w:val="00497568"/>
    <w:rsid w:val="00497624"/>
    <w:rsid w:val="004976FB"/>
    <w:rsid w:val="0049773A"/>
    <w:rsid w:val="004977B3"/>
    <w:rsid w:val="0049783F"/>
    <w:rsid w:val="00497891"/>
    <w:rsid w:val="004978C2"/>
    <w:rsid w:val="0049791D"/>
    <w:rsid w:val="00497A0F"/>
    <w:rsid w:val="00497B5E"/>
    <w:rsid w:val="00497C3F"/>
    <w:rsid w:val="00497C53"/>
    <w:rsid w:val="00497C88"/>
    <w:rsid w:val="00497CE2"/>
    <w:rsid w:val="00497DD1"/>
    <w:rsid w:val="00497E60"/>
    <w:rsid w:val="00497EEA"/>
    <w:rsid w:val="004A00E2"/>
    <w:rsid w:val="004A01E0"/>
    <w:rsid w:val="004A01E2"/>
    <w:rsid w:val="004A029B"/>
    <w:rsid w:val="004A02CB"/>
    <w:rsid w:val="004A0411"/>
    <w:rsid w:val="004A04E1"/>
    <w:rsid w:val="004A0522"/>
    <w:rsid w:val="004A053A"/>
    <w:rsid w:val="004A05A5"/>
    <w:rsid w:val="004A05DD"/>
    <w:rsid w:val="004A064E"/>
    <w:rsid w:val="004A08F6"/>
    <w:rsid w:val="004A0913"/>
    <w:rsid w:val="004A0B2E"/>
    <w:rsid w:val="004A0C47"/>
    <w:rsid w:val="004A0CFD"/>
    <w:rsid w:val="004A0D04"/>
    <w:rsid w:val="004A0D24"/>
    <w:rsid w:val="004A0D65"/>
    <w:rsid w:val="004A0D87"/>
    <w:rsid w:val="004A0DFA"/>
    <w:rsid w:val="004A0E45"/>
    <w:rsid w:val="004A1004"/>
    <w:rsid w:val="004A1036"/>
    <w:rsid w:val="004A10C8"/>
    <w:rsid w:val="004A111C"/>
    <w:rsid w:val="004A121F"/>
    <w:rsid w:val="004A1325"/>
    <w:rsid w:val="004A14B5"/>
    <w:rsid w:val="004A1529"/>
    <w:rsid w:val="004A15DE"/>
    <w:rsid w:val="004A1638"/>
    <w:rsid w:val="004A1723"/>
    <w:rsid w:val="004A1726"/>
    <w:rsid w:val="004A189C"/>
    <w:rsid w:val="004A1A8B"/>
    <w:rsid w:val="004A1AAA"/>
    <w:rsid w:val="004A1ACF"/>
    <w:rsid w:val="004A1B52"/>
    <w:rsid w:val="004A1B9D"/>
    <w:rsid w:val="004A1E34"/>
    <w:rsid w:val="004A1EDE"/>
    <w:rsid w:val="004A1EE9"/>
    <w:rsid w:val="004A1F2E"/>
    <w:rsid w:val="004A1FE2"/>
    <w:rsid w:val="004A2049"/>
    <w:rsid w:val="004A2080"/>
    <w:rsid w:val="004A2448"/>
    <w:rsid w:val="004A2494"/>
    <w:rsid w:val="004A24CA"/>
    <w:rsid w:val="004A2600"/>
    <w:rsid w:val="004A2628"/>
    <w:rsid w:val="004A2928"/>
    <w:rsid w:val="004A2931"/>
    <w:rsid w:val="004A2967"/>
    <w:rsid w:val="004A2A2B"/>
    <w:rsid w:val="004A2B69"/>
    <w:rsid w:val="004A2BEB"/>
    <w:rsid w:val="004A2C39"/>
    <w:rsid w:val="004A2CD6"/>
    <w:rsid w:val="004A2E49"/>
    <w:rsid w:val="004A2E86"/>
    <w:rsid w:val="004A2F20"/>
    <w:rsid w:val="004A2FA5"/>
    <w:rsid w:val="004A2FCD"/>
    <w:rsid w:val="004A3057"/>
    <w:rsid w:val="004A31BF"/>
    <w:rsid w:val="004A31F5"/>
    <w:rsid w:val="004A34BA"/>
    <w:rsid w:val="004A358C"/>
    <w:rsid w:val="004A3655"/>
    <w:rsid w:val="004A372A"/>
    <w:rsid w:val="004A3738"/>
    <w:rsid w:val="004A3739"/>
    <w:rsid w:val="004A3753"/>
    <w:rsid w:val="004A3755"/>
    <w:rsid w:val="004A3795"/>
    <w:rsid w:val="004A37B0"/>
    <w:rsid w:val="004A38FA"/>
    <w:rsid w:val="004A3A9F"/>
    <w:rsid w:val="004A3B1D"/>
    <w:rsid w:val="004A3B2E"/>
    <w:rsid w:val="004A3B30"/>
    <w:rsid w:val="004A3B70"/>
    <w:rsid w:val="004A3C94"/>
    <w:rsid w:val="004A3CBC"/>
    <w:rsid w:val="004A3D01"/>
    <w:rsid w:val="004A3F01"/>
    <w:rsid w:val="004A40A5"/>
    <w:rsid w:val="004A40BF"/>
    <w:rsid w:val="004A41E2"/>
    <w:rsid w:val="004A425F"/>
    <w:rsid w:val="004A4401"/>
    <w:rsid w:val="004A4402"/>
    <w:rsid w:val="004A45ED"/>
    <w:rsid w:val="004A463E"/>
    <w:rsid w:val="004A46A8"/>
    <w:rsid w:val="004A4706"/>
    <w:rsid w:val="004A4771"/>
    <w:rsid w:val="004A47B2"/>
    <w:rsid w:val="004A4884"/>
    <w:rsid w:val="004A499E"/>
    <w:rsid w:val="004A49AC"/>
    <w:rsid w:val="004A4A2E"/>
    <w:rsid w:val="004A4AF7"/>
    <w:rsid w:val="004A4C6D"/>
    <w:rsid w:val="004A4CA5"/>
    <w:rsid w:val="004A4CD9"/>
    <w:rsid w:val="004A4D02"/>
    <w:rsid w:val="004A4F64"/>
    <w:rsid w:val="004A4F8A"/>
    <w:rsid w:val="004A501B"/>
    <w:rsid w:val="004A5047"/>
    <w:rsid w:val="004A5108"/>
    <w:rsid w:val="004A5153"/>
    <w:rsid w:val="004A5188"/>
    <w:rsid w:val="004A52DE"/>
    <w:rsid w:val="004A5376"/>
    <w:rsid w:val="004A5398"/>
    <w:rsid w:val="004A53EF"/>
    <w:rsid w:val="004A547B"/>
    <w:rsid w:val="004A5595"/>
    <w:rsid w:val="004A55BC"/>
    <w:rsid w:val="004A5740"/>
    <w:rsid w:val="004A58EA"/>
    <w:rsid w:val="004A5A43"/>
    <w:rsid w:val="004A5A76"/>
    <w:rsid w:val="004A5B6D"/>
    <w:rsid w:val="004A5C0B"/>
    <w:rsid w:val="004A5D8D"/>
    <w:rsid w:val="004A5EC0"/>
    <w:rsid w:val="004A5EC1"/>
    <w:rsid w:val="004A5ECA"/>
    <w:rsid w:val="004A600C"/>
    <w:rsid w:val="004A604A"/>
    <w:rsid w:val="004A60EC"/>
    <w:rsid w:val="004A629D"/>
    <w:rsid w:val="004A6369"/>
    <w:rsid w:val="004A63A3"/>
    <w:rsid w:val="004A6434"/>
    <w:rsid w:val="004A6503"/>
    <w:rsid w:val="004A6519"/>
    <w:rsid w:val="004A651B"/>
    <w:rsid w:val="004A65BF"/>
    <w:rsid w:val="004A6687"/>
    <w:rsid w:val="004A6831"/>
    <w:rsid w:val="004A694C"/>
    <w:rsid w:val="004A69C1"/>
    <w:rsid w:val="004A69F1"/>
    <w:rsid w:val="004A6A1D"/>
    <w:rsid w:val="004A6A48"/>
    <w:rsid w:val="004A6A99"/>
    <w:rsid w:val="004A6AEB"/>
    <w:rsid w:val="004A6B4F"/>
    <w:rsid w:val="004A6CA3"/>
    <w:rsid w:val="004A6CEF"/>
    <w:rsid w:val="004A6CF2"/>
    <w:rsid w:val="004A6D92"/>
    <w:rsid w:val="004A6F14"/>
    <w:rsid w:val="004A6F23"/>
    <w:rsid w:val="004A6F2E"/>
    <w:rsid w:val="004A6F5F"/>
    <w:rsid w:val="004A6F81"/>
    <w:rsid w:val="004A6FF1"/>
    <w:rsid w:val="004A7081"/>
    <w:rsid w:val="004A7138"/>
    <w:rsid w:val="004A714A"/>
    <w:rsid w:val="004A717F"/>
    <w:rsid w:val="004A7224"/>
    <w:rsid w:val="004A72A9"/>
    <w:rsid w:val="004A72BE"/>
    <w:rsid w:val="004A72CC"/>
    <w:rsid w:val="004A730B"/>
    <w:rsid w:val="004A7368"/>
    <w:rsid w:val="004A74F0"/>
    <w:rsid w:val="004A77A7"/>
    <w:rsid w:val="004A77A8"/>
    <w:rsid w:val="004A789C"/>
    <w:rsid w:val="004A79E0"/>
    <w:rsid w:val="004A7A89"/>
    <w:rsid w:val="004A7BAA"/>
    <w:rsid w:val="004A7BE8"/>
    <w:rsid w:val="004A7C2B"/>
    <w:rsid w:val="004A7C79"/>
    <w:rsid w:val="004A7D20"/>
    <w:rsid w:val="004A7D29"/>
    <w:rsid w:val="004A7D98"/>
    <w:rsid w:val="004A7EDD"/>
    <w:rsid w:val="004A7FAA"/>
    <w:rsid w:val="004B00E3"/>
    <w:rsid w:val="004B011E"/>
    <w:rsid w:val="004B01B3"/>
    <w:rsid w:val="004B0389"/>
    <w:rsid w:val="004B0397"/>
    <w:rsid w:val="004B03A3"/>
    <w:rsid w:val="004B0423"/>
    <w:rsid w:val="004B0460"/>
    <w:rsid w:val="004B049F"/>
    <w:rsid w:val="004B05C3"/>
    <w:rsid w:val="004B065B"/>
    <w:rsid w:val="004B06BB"/>
    <w:rsid w:val="004B078D"/>
    <w:rsid w:val="004B07AF"/>
    <w:rsid w:val="004B0AB1"/>
    <w:rsid w:val="004B0C5F"/>
    <w:rsid w:val="004B0CC8"/>
    <w:rsid w:val="004B0CED"/>
    <w:rsid w:val="004B0CEF"/>
    <w:rsid w:val="004B0E43"/>
    <w:rsid w:val="004B0F0F"/>
    <w:rsid w:val="004B1011"/>
    <w:rsid w:val="004B1072"/>
    <w:rsid w:val="004B10E0"/>
    <w:rsid w:val="004B11DE"/>
    <w:rsid w:val="004B1207"/>
    <w:rsid w:val="004B121A"/>
    <w:rsid w:val="004B123E"/>
    <w:rsid w:val="004B12FF"/>
    <w:rsid w:val="004B13A3"/>
    <w:rsid w:val="004B1436"/>
    <w:rsid w:val="004B15F9"/>
    <w:rsid w:val="004B1655"/>
    <w:rsid w:val="004B169D"/>
    <w:rsid w:val="004B16D4"/>
    <w:rsid w:val="004B1741"/>
    <w:rsid w:val="004B195C"/>
    <w:rsid w:val="004B1A4B"/>
    <w:rsid w:val="004B1B01"/>
    <w:rsid w:val="004B1B64"/>
    <w:rsid w:val="004B1B84"/>
    <w:rsid w:val="004B1B9D"/>
    <w:rsid w:val="004B1CD4"/>
    <w:rsid w:val="004B1E98"/>
    <w:rsid w:val="004B1ED3"/>
    <w:rsid w:val="004B1FF1"/>
    <w:rsid w:val="004B21FD"/>
    <w:rsid w:val="004B2244"/>
    <w:rsid w:val="004B229D"/>
    <w:rsid w:val="004B2479"/>
    <w:rsid w:val="004B2560"/>
    <w:rsid w:val="004B260E"/>
    <w:rsid w:val="004B28C7"/>
    <w:rsid w:val="004B2992"/>
    <w:rsid w:val="004B29E1"/>
    <w:rsid w:val="004B2A7F"/>
    <w:rsid w:val="004B2ACB"/>
    <w:rsid w:val="004B2AFC"/>
    <w:rsid w:val="004B2C91"/>
    <w:rsid w:val="004B2CC9"/>
    <w:rsid w:val="004B2CF0"/>
    <w:rsid w:val="004B2D78"/>
    <w:rsid w:val="004B2DAD"/>
    <w:rsid w:val="004B2DEC"/>
    <w:rsid w:val="004B2F86"/>
    <w:rsid w:val="004B314E"/>
    <w:rsid w:val="004B319D"/>
    <w:rsid w:val="004B31A9"/>
    <w:rsid w:val="004B32A0"/>
    <w:rsid w:val="004B32CC"/>
    <w:rsid w:val="004B3303"/>
    <w:rsid w:val="004B3378"/>
    <w:rsid w:val="004B3541"/>
    <w:rsid w:val="004B35A1"/>
    <w:rsid w:val="004B36A3"/>
    <w:rsid w:val="004B37C8"/>
    <w:rsid w:val="004B37E7"/>
    <w:rsid w:val="004B3865"/>
    <w:rsid w:val="004B3933"/>
    <w:rsid w:val="004B3940"/>
    <w:rsid w:val="004B3B3D"/>
    <w:rsid w:val="004B3BA5"/>
    <w:rsid w:val="004B3D1A"/>
    <w:rsid w:val="004B3E6E"/>
    <w:rsid w:val="004B400F"/>
    <w:rsid w:val="004B401E"/>
    <w:rsid w:val="004B4070"/>
    <w:rsid w:val="004B40F9"/>
    <w:rsid w:val="004B420E"/>
    <w:rsid w:val="004B4353"/>
    <w:rsid w:val="004B4384"/>
    <w:rsid w:val="004B43DC"/>
    <w:rsid w:val="004B4480"/>
    <w:rsid w:val="004B4551"/>
    <w:rsid w:val="004B47BA"/>
    <w:rsid w:val="004B47BD"/>
    <w:rsid w:val="004B4868"/>
    <w:rsid w:val="004B4915"/>
    <w:rsid w:val="004B4953"/>
    <w:rsid w:val="004B49DA"/>
    <w:rsid w:val="004B4A97"/>
    <w:rsid w:val="004B4AD8"/>
    <w:rsid w:val="004B4CCC"/>
    <w:rsid w:val="004B4D39"/>
    <w:rsid w:val="004B4D95"/>
    <w:rsid w:val="004B4DE5"/>
    <w:rsid w:val="004B4E0B"/>
    <w:rsid w:val="004B4E41"/>
    <w:rsid w:val="004B4F4D"/>
    <w:rsid w:val="004B4FED"/>
    <w:rsid w:val="004B50D9"/>
    <w:rsid w:val="004B50F1"/>
    <w:rsid w:val="004B5139"/>
    <w:rsid w:val="004B5168"/>
    <w:rsid w:val="004B5181"/>
    <w:rsid w:val="004B51EB"/>
    <w:rsid w:val="004B520A"/>
    <w:rsid w:val="004B5246"/>
    <w:rsid w:val="004B52BD"/>
    <w:rsid w:val="004B52EA"/>
    <w:rsid w:val="004B546E"/>
    <w:rsid w:val="004B56C3"/>
    <w:rsid w:val="004B57F6"/>
    <w:rsid w:val="004B5961"/>
    <w:rsid w:val="004B5967"/>
    <w:rsid w:val="004B59A5"/>
    <w:rsid w:val="004B59B7"/>
    <w:rsid w:val="004B5A33"/>
    <w:rsid w:val="004B5C7F"/>
    <w:rsid w:val="004B5E62"/>
    <w:rsid w:val="004B5F33"/>
    <w:rsid w:val="004B5FB0"/>
    <w:rsid w:val="004B607B"/>
    <w:rsid w:val="004B61A0"/>
    <w:rsid w:val="004B63AC"/>
    <w:rsid w:val="004B63BE"/>
    <w:rsid w:val="004B6449"/>
    <w:rsid w:val="004B6496"/>
    <w:rsid w:val="004B6550"/>
    <w:rsid w:val="004B65B5"/>
    <w:rsid w:val="004B65B7"/>
    <w:rsid w:val="004B65BE"/>
    <w:rsid w:val="004B69AC"/>
    <w:rsid w:val="004B69CA"/>
    <w:rsid w:val="004B6B85"/>
    <w:rsid w:val="004B6BDE"/>
    <w:rsid w:val="004B6C3F"/>
    <w:rsid w:val="004B6D59"/>
    <w:rsid w:val="004B6DDC"/>
    <w:rsid w:val="004B6F08"/>
    <w:rsid w:val="004B6F1F"/>
    <w:rsid w:val="004B6FD2"/>
    <w:rsid w:val="004B70FE"/>
    <w:rsid w:val="004B71E4"/>
    <w:rsid w:val="004B72CD"/>
    <w:rsid w:val="004B7312"/>
    <w:rsid w:val="004B757C"/>
    <w:rsid w:val="004B75E7"/>
    <w:rsid w:val="004B768D"/>
    <w:rsid w:val="004B7730"/>
    <w:rsid w:val="004B7769"/>
    <w:rsid w:val="004B7811"/>
    <w:rsid w:val="004B78D4"/>
    <w:rsid w:val="004B7A37"/>
    <w:rsid w:val="004B7A73"/>
    <w:rsid w:val="004B7A92"/>
    <w:rsid w:val="004B7B3B"/>
    <w:rsid w:val="004B7BD4"/>
    <w:rsid w:val="004B7BF1"/>
    <w:rsid w:val="004B7C3F"/>
    <w:rsid w:val="004B7D61"/>
    <w:rsid w:val="004B7D9A"/>
    <w:rsid w:val="004B7DA2"/>
    <w:rsid w:val="004B7DD6"/>
    <w:rsid w:val="004B7E48"/>
    <w:rsid w:val="004B7E72"/>
    <w:rsid w:val="004B7EF8"/>
    <w:rsid w:val="004C0278"/>
    <w:rsid w:val="004C029D"/>
    <w:rsid w:val="004C037C"/>
    <w:rsid w:val="004C047C"/>
    <w:rsid w:val="004C04D1"/>
    <w:rsid w:val="004C050B"/>
    <w:rsid w:val="004C055A"/>
    <w:rsid w:val="004C0614"/>
    <w:rsid w:val="004C0656"/>
    <w:rsid w:val="004C0794"/>
    <w:rsid w:val="004C07F8"/>
    <w:rsid w:val="004C089E"/>
    <w:rsid w:val="004C09B4"/>
    <w:rsid w:val="004C09CB"/>
    <w:rsid w:val="004C0A2A"/>
    <w:rsid w:val="004C0A4A"/>
    <w:rsid w:val="004C0AFB"/>
    <w:rsid w:val="004C0C45"/>
    <w:rsid w:val="004C0CA1"/>
    <w:rsid w:val="004C0D59"/>
    <w:rsid w:val="004C0DF8"/>
    <w:rsid w:val="004C0E21"/>
    <w:rsid w:val="004C0EB5"/>
    <w:rsid w:val="004C0F03"/>
    <w:rsid w:val="004C0F66"/>
    <w:rsid w:val="004C0FA3"/>
    <w:rsid w:val="004C0FA4"/>
    <w:rsid w:val="004C0FFC"/>
    <w:rsid w:val="004C10C5"/>
    <w:rsid w:val="004C1174"/>
    <w:rsid w:val="004C12A8"/>
    <w:rsid w:val="004C1372"/>
    <w:rsid w:val="004C144F"/>
    <w:rsid w:val="004C146F"/>
    <w:rsid w:val="004C1477"/>
    <w:rsid w:val="004C14C6"/>
    <w:rsid w:val="004C15B7"/>
    <w:rsid w:val="004C161E"/>
    <w:rsid w:val="004C1656"/>
    <w:rsid w:val="004C16D0"/>
    <w:rsid w:val="004C170A"/>
    <w:rsid w:val="004C196E"/>
    <w:rsid w:val="004C1A36"/>
    <w:rsid w:val="004C1A5C"/>
    <w:rsid w:val="004C1A96"/>
    <w:rsid w:val="004C1AAA"/>
    <w:rsid w:val="004C1AE3"/>
    <w:rsid w:val="004C1B5E"/>
    <w:rsid w:val="004C1CBA"/>
    <w:rsid w:val="004C1D2E"/>
    <w:rsid w:val="004C1F79"/>
    <w:rsid w:val="004C206B"/>
    <w:rsid w:val="004C20D5"/>
    <w:rsid w:val="004C2154"/>
    <w:rsid w:val="004C21EA"/>
    <w:rsid w:val="004C2366"/>
    <w:rsid w:val="004C2374"/>
    <w:rsid w:val="004C246A"/>
    <w:rsid w:val="004C2494"/>
    <w:rsid w:val="004C24D7"/>
    <w:rsid w:val="004C262A"/>
    <w:rsid w:val="004C2747"/>
    <w:rsid w:val="004C27ED"/>
    <w:rsid w:val="004C281C"/>
    <w:rsid w:val="004C2897"/>
    <w:rsid w:val="004C2916"/>
    <w:rsid w:val="004C2A11"/>
    <w:rsid w:val="004C2B14"/>
    <w:rsid w:val="004C2BA7"/>
    <w:rsid w:val="004C2D8D"/>
    <w:rsid w:val="004C2E9F"/>
    <w:rsid w:val="004C2EBA"/>
    <w:rsid w:val="004C2F1B"/>
    <w:rsid w:val="004C2F58"/>
    <w:rsid w:val="004C2FA5"/>
    <w:rsid w:val="004C2FAA"/>
    <w:rsid w:val="004C3055"/>
    <w:rsid w:val="004C31EF"/>
    <w:rsid w:val="004C3231"/>
    <w:rsid w:val="004C3369"/>
    <w:rsid w:val="004C3522"/>
    <w:rsid w:val="004C3527"/>
    <w:rsid w:val="004C3762"/>
    <w:rsid w:val="004C3806"/>
    <w:rsid w:val="004C38AD"/>
    <w:rsid w:val="004C3B15"/>
    <w:rsid w:val="004C3C3D"/>
    <w:rsid w:val="004C3DB1"/>
    <w:rsid w:val="004C3E60"/>
    <w:rsid w:val="004C3E65"/>
    <w:rsid w:val="004C3E69"/>
    <w:rsid w:val="004C3E70"/>
    <w:rsid w:val="004C3F01"/>
    <w:rsid w:val="004C3F08"/>
    <w:rsid w:val="004C419B"/>
    <w:rsid w:val="004C42BC"/>
    <w:rsid w:val="004C44DF"/>
    <w:rsid w:val="004C48F3"/>
    <w:rsid w:val="004C4950"/>
    <w:rsid w:val="004C4991"/>
    <w:rsid w:val="004C49AA"/>
    <w:rsid w:val="004C4A12"/>
    <w:rsid w:val="004C4B04"/>
    <w:rsid w:val="004C4B0C"/>
    <w:rsid w:val="004C4B4F"/>
    <w:rsid w:val="004C4E2F"/>
    <w:rsid w:val="004C51CD"/>
    <w:rsid w:val="004C523A"/>
    <w:rsid w:val="004C525F"/>
    <w:rsid w:val="004C5463"/>
    <w:rsid w:val="004C5488"/>
    <w:rsid w:val="004C54E3"/>
    <w:rsid w:val="004C55A1"/>
    <w:rsid w:val="004C55EB"/>
    <w:rsid w:val="004C5654"/>
    <w:rsid w:val="004C57F2"/>
    <w:rsid w:val="004C57FE"/>
    <w:rsid w:val="004C5934"/>
    <w:rsid w:val="004C5C44"/>
    <w:rsid w:val="004C5CAA"/>
    <w:rsid w:val="004C5DB7"/>
    <w:rsid w:val="004C5DDA"/>
    <w:rsid w:val="004C5DEB"/>
    <w:rsid w:val="004C5E3D"/>
    <w:rsid w:val="004C5EA6"/>
    <w:rsid w:val="004C5EC9"/>
    <w:rsid w:val="004C5F8D"/>
    <w:rsid w:val="004C5F95"/>
    <w:rsid w:val="004C5F9C"/>
    <w:rsid w:val="004C6045"/>
    <w:rsid w:val="004C6100"/>
    <w:rsid w:val="004C62A8"/>
    <w:rsid w:val="004C62E6"/>
    <w:rsid w:val="004C6486"/>
    <w:rsid w:val="004C6517"/>
    <w:rsid w:val="004C6551"/>
    <w:rsid w:val="004C669D"/>
    <w:rsid w:val="004C6974"/>
    <w:rsid w:val="004C69C2"/>
    <w:rsid w:val="004C6A0C"/>
    <w:rsid w:val="004C6A4E"/>
    <w:rsid w:val="004C6B3A"/>
    <w:rsid w:val="004C6BC7"/>
    <w:rsid w:val="004C6D5A"/>
    <w:rsid w:val="004C6EA3"/>
    <w:rsid w:val="004C6EB5"/>
    <w:rsid w:val="004C6F14"/>
    <w:rsid w:val="004C6F9A"/>
    <w:rsid w:val="004C6FCB"/>
    <w:rsid w:val="004C70C2"/>
    <w:rsid w:val="004C711C"/>
    <w:rsid w:val="004C71E6"/>
    <w:rsid w:val="004C722E"/>
    <w:rsid w:val="004C742C"/>
    <w:rsid w:val="004C7542"/>
    <w:rsid w:val="004C757E"/>
    <w:rsid w:val="004C773A"/>
    <w:rsid w:val="004C7766"/>
    <w:rsid w:val="004C77DB"/>
    <w:rsid w:val="004C785E"/>
    <w:rsid w:val="004C78EB"/>
    <w:rsid w:val="004C79B3"/>
    <w:rsid w:val="004C7A32"/>
    <w:rsid w:val="004C7B48"/>
    <w:rsid w:val="004C7BCC"/>
    <w:rsid w:val="004C7C02"/>
    <w:rsid w:val="004C7C0D"/>
    <w:rsid w:val="004C7C1F"/>
    <w:rsid w:val="004C7C50"/>
    <w:rsid w:val="004C7CA9"/>
    <w:rsid w:val="004C7CE6"/>
    <w:rsid w:val="004C7E66"/>
    <w:rsid w:val="004C7FCA"/>
    <w:rsid w:val="004D0024"/>
    <w:rsid w:val="004D0137"/>
    <w:rsid w:val="004D02AB"/>
    <w:rsid w:val="004D040D"/>
    <w:rsid w:val="004D052B"/>
    <w:rsid w:val="004D07EB"/>
    <w:rsid w:val="004D0805"/>
    <w:rsid w:val="004D08C6"/>
    <w:rsid w:val="004D08E9"/>
    <w:rsid w:val="004D094E"/>
    <w:rsid w:val="004D099A"/>
    <w:rsid w:val="004D09A2"/>
    <w:rsid w:val="004D0A32"/>
    <w:rsid w:val="004D0A96"/>
    <w:rsid w:val="004D0AA2"/>
    <w:rsid w:val="004D0B7E"/>
    <w:rsid w:val="004D0B9E"/>
    <w:rsid w:val="004D0D1F"/>
    <w:rsid w:val="004D0EDB"/>
    <w:rsid w:val="004D0EFE"/>
    <w:rsid w:val="004D0F75"/>
    <w:rsid w:val="004D108A"/>
    <w:rsid w:val="004D10C4"/>
    <w:rsid w:val="004D10C8"/>
    <w:rsid w:val="004D1228"/>
    <w:rsid w:val="004D1264"/>
    <w:rsid w:val="004D126A"/>
    <w:rsid w:val="004D127D"/>
    <w:rsid w:val="004D131E"/>
    <w:rsid w:val="004D1358"/>
    <w:rsid w:val="004D1587"/>
    <w:rsid w:val="004D15E9"/>
    <w:rsid w:val="004D16CF"/>
    <w:rsid w:val="004D1729"/>
    <w:rsid w:val="004D1749"/>
    <w:rsid w:val="004D176B"/>
    <w:rsid w:val="004D17C4"/>
    <w:rsid w:val="004D182F"/>
    <w:rsid w:val="004D185B"/>
    <w:rsid w:val="004D18EA"/>
    <w:rsid w:val="004D1981"/>
    <w:rsid w:val="004D19E6"/>
    <w:rsid w:val="004D1A47"/>
    <w:rsid w:val="004D1A74"/>
    <w:rsid w:val="004D1B0E"/>
    <w:rsid w:val="004D1BF0"/>
    <w:rsid w:val="004D1C53"/>
    <w:rsid w:val="004D1D3C"/>
    <w:rsid w:val="004D1D7C"/>
    <w:rsid w:val="004D1DCC"/>
    <w:rsid w:val="004D1E22"/>
    <w:rsid w:val="004D1E67"/>
    <w:rsid w:val="004D1EEF"/>
    <w:rsid w:val="004D202D"/>
    <w:rsid w:val="004D2038"/>
    <w:rsid w:val="004D20A4"/>
    <w:rsid w:val="004D2239"/>
    <w:rsid w:val="004D227B"/>
    <w:rsid w:val="004D2283"/>
    <w:rsid w:val="004D228E"/>
    <w:rsid w:val="004D232A"/>
    <w:rsid w:val="004D23EF"/>
    <w:rsid w:val="004D248D"/>
    <w:rsid w:val="004D260D"/>
    <w:rsid w:val="004D261F"/>
    <w:rsid w:val="004D2682"/>
    <w:rsid w:val="004D26CD"/>
    <w:rsid w:val="004D2734"/>
    <w:rsid w:val="004D27AD"/>
    <w:rsid w:val="004D27B5"/>
    <w:rsid w:val="004D294F"/>
    <w:rsid w:val="004D29D8"/>
    <w:rsid w:val="004D2A28"/>
    <w:rsid w:val="004D2AF0"/>
    <w:rsid w:val="004D2D3F"/>
    <w:rsid w:val="004D2E2E"/>
    <w:rsid w:val="004D2E9C"/>
    <w:rsid w:val="004D2EFB"/>
    <w:rsid w:val="004D2F8F"/>
    <w:rsid w:val="004D2F99"/>
    <w:rsid w:val="004D2FE8"/>
    <w:rsid w:val="004D3019"/>
    <w:rsid w:val="004D312E"/>
    <w:rsid w:val="004D3194"/>
    <w:rsid w:val="004D3234"/>
    <w:rsid w:val="004D3272"/>
    <w:rsid w:val="004D331B"/>
    <w:rsid w:val="004D344D"/>
    <w:rsid w:val="004D3571"/>
    <w:rsid w:val="004D3589"/>
    <w:rsid w:val="004D36AC"/>
    <w:rsid w:val="004D3751"/>
    <w:rsid w:val="004D3785"/>
    <w:rsid w:val="004D3803"/>
    <w:rsid w:val="004D38F7"/>
    <w:rsid w:val="004D3B9A"/>
    <w:rsid w:val="004D3C32"/>
    <w:rsid w:val="004D3DCD"/>
    <w:rsid w:val="004D3DE4"/>
    <w:rsid w:val="004D3F4A"/>
    <w:rsid w:val="004D4172"/>
    <w:rsid w:val="004D4208"/>
    <w:rsid w:val="004D422D"/>
    <w:rsid w:val="004D423D"/>
    <w:rsid w:val="004D4260"/>
    <w:rsid w:val="004D42D0"/>
    <w:rsid w:val="004D4369"/>
    <w:rsid w:val="004D43CB"/>
    <w:rsid w:val="004D43DF"/>
    <w:rsid w:val="004D4430"/>
    <w:rsid w:val="004D4484"/>
    <w:rsid w:val="004D44EF"/>
    <w:rsid w:val="004D453F"/>
    <w:rsid w:val="004D455B"/>
    <w:rsid w:val="004D45FD"/>
    <w:rsid w:val="004D4610"/>
    <w:rsid w:val="004D469E"/>
    <w:rsid w:val="004D46B0"/>
    <w:rsid w:val="004D478C"/>
    <w:rsid w:val="004D47B8"/>
    <w:rsid w:val="004D47E7"/>
    <w:rsid w:val="004D49BA"/>
    <w:rsid w:val="004D4AFD"/>
    <w:rsid w:val="004D4C0A"/>
    <w:rsid w:val="004D4D4F"/>
    <w:rsid w:val="004D4E4D"/>
    <w:rsid w:val="004D4EA2"/>
    <w:rsid w:val="004D4F19"/>
    <w:rsid w:val="004D5049"/>
    <w:rsid w:val="004D5174"/>
    <w:rsid w:val="004D51C0"/>
    <w:rsid w:val="004D51D6"/>
    <w:rsid w:val="004D5207"/>
    <w:rsid w:val="004D5244"/>
    <w:rsid w:val="004D5273"/>
    <w:rsid w:val="004D529E"/>
    <w:rsid w:val="004D574F"/>
    <w:rsid w:val="004D5775"/>
    <w:rsid w:val="004D58D2"/>
    <w:rsid w:val="004D58E3"/>
    <w:rsid w:val="004D591D"/>
    <w:rsid w:val="004D5960"/>
    <w:rsid w:val="004D59CD"/>
    <w:rsid w:val="004D5AD9"/>
    <w:rsid w:val="004D5B1F"/>
    <w:rsid w:val="004D5BE1"/>
    <w:rsid w:val="004D5C1E"/>
    <w:rsid w:val="004D5CB6"/>
    <w:rsid w:val="004D5CCF"/>
    <w:rsid w:val="004D5CFD"/>
    <w:rsid w:val="004D5DA3"/>
    <w:rsid w:val="004D5DB2"/>
    <w:rsid w:val="004D5DC6"/>
    <w:rsid w:val="004D5E9B"/>
    <w:rsid w:val="004D60A2"/>
    <w:rsid w:val="004D60D4"/>
    <w:rsid w:val="004D61D3"/>
    <w:rsid w:val="004D61E2"/>
    <w:rsid w:val="004D66FB"/>
    <w:rsid w:val="004D670B"/>
    <w:rsid w:val="004D6729"/>
    <w:rsid w:val="004D6754"/>
    <w:rsid w:val="004D67CD"/>
    <w:rsid w:val="004D6811"/>
    <w:rsid w:val="004D6821"/>
    <w:rsid w:val="004D6862"/>
    <w:rsid w:val="004D697C"/>
    <w:rsid w:val="004D69FB"/>
    <w:rsid w:val="004D6A6E"/>
    <w:rsid w:val="004D6A6F"/>
    <w:rsid w:val="004D6BFC"/>
    <w:rsid w:val="004D6E46"/>
    <w:rsid w:val="004D6FF5"/>
    <w:rsid w:val="004D7082"/>
    <w:rsid w:val="004D70F4"/>
    <w:rsid w:val="004D7114"/>
    <w:rsid w:val="004D71A2"/>
    <w:rsid w:val="004D7254"/>
    <w:rsid w:val="004D73A9"/>
    <w:rsid w:val="004D747E"/>
    <w:rsid w:val="004D7504"/>
    <w:rsid w:val="004D7524"/>
    <w:rsid w:val="004D75A7"/>
    <w:rsid w:val="004D768C"/>
    <w:rsid w:val="004D78D3"/>
    <w:rsid w:val="004D790E"/>
    <w:rsid w:val="004D79FA"/>
    <w:rsid w:val="004D7AF1"/>
    <w:rsid w:val="004D7AFA"/>
    <w:rsid w:val="004D7BB9"/>
    <w:rsid w:val="004D7BC3"/>
    <w:rsid w:val="004D7BFD"/>
    <w:rsid w:val="004D7D51"/>
    <w:rsid w:val="004D7F87"/>
    <w:rsid w:val="004E0059"/>
    <w:rsid w:val="004E0177"/>
    <w:rsid w:val="004E023B"/>
    <w:rsid w:val="004E02A0"/>
    <w:rsid w:val="004E02DA"/>
    <w:rsid w:val="004E030B"/>
    <w:rsid w:val="004E03AD"/>
    <w:rsid w:val="004E049C"/>
    <w:rsid w:val="004E053B"/>
    <w:rsid w:val="004E05F0"/>
    <w:rsid w:val="004E070F"/>
    <w:rsid w:val="004E097E"/>
    <w:rsid w:val="004E09B6"/>
    <w:rsid w:val="004E0A55"/>
    <w:rsid w:val="004E0B1A"/>
    <w:rsid w:val="004E0B59"/>
    <w:rsid w:val="004E0B91"/>
    <w:rsid w:val="004E0D87"/>
    <w:rsid w:val="004E0E19"/>
    <w:rsid w:val="004E0E3E"/>
    <w:rsid w:val="004E0EFE"/>
    <w:rsid w:val="004E0F74"/>
    <w:rsid w:val="004E100D"/>
    <w:rsid w:val="004E10A3"/>
    <w:rsid w:val="004E122A"/>
    <w:rsid w:val="004E13C5"/>
    <w:rsid w:val="004E13D6"/>
    <w:rsid w:val="004E1481"/>
    <w:rsid w:val="004E14D8"/>
    <w:rsid w:val="004E1562"/>
    <w:rsid w:val="004E16C3"/>
    <w:rsid w:val="004E17FB"/>
    <w:rsid w:val="004E1971"/>
    <w:rsid w:val="004E1A6A"/>
    <w:rsid w:val="004E1A97"/>
    <w:rsid w:val="004E1B7B"/>
    <w:rsid w:val="004E1C5E"/>
    <w:rsid w:val="004E1CA1"/>
    <w:rsid w:val="004E1D56"/>
    <w:rsid w:val="004E1DCA"/>
    <w:rsid w:val="004E1EAE"/>
    <w:rsid w:val="004E1ECD"/>
    <w:rsid w:val="004E1F18"/>
    <w:rsid w:val="004E1F3A"/>
    <w:rsid w:val="004E1FB6"/>
    <w:rsid w:val="004E1FCA"/>
    <w:rsid w:val="004E2180"/>
    <w:rsid w:val="004E2261"/>
    <w:rsid w:val="004E2311"/>
    <w:rsid w:val="004E2343"/>
    <w:rsid w:val="004E2396"/>
    <w:rsid w:val="004E241B"/>
    <w:rsid w:val="004E241E"/>
    <w:rsid w:val="004E2533"/>
    <w:rsid w:val="004E25C0"/>
    <w:rsid w:val="004E2624"/>
    <w:rsid w:val="004E27D1"/>
    <w:rsid w:val="004E2821"/>
    <w:rsid w:val="004E28E2"/>
    <w:rsid w:val="004E294A"/>
    <w:rsid w:val="004E2998"/>
    <w:rsid w:val="004E29D2"/>
    <w:rsid w:val="004E29EC"/>
    <w:rsid w:val="004E2A4F"/>
    <w:rsid w:val="004E2A6C"/>
    <w:rsid w:val="004E2B0B"/>
    <w:rsid w:val="004E2B5A"/>
    <w:rsid w:val="004E2B95"/>
    <w:rsid w:val="004E2BA3"/>
    <w:rsid w:val="004E2E1E"/>
    <w:rsid w:val="004E2EC0"/>
    <w:rsid w:val="004E2EEB"/>
    <w:rsid w:val="004E2EFE"/>
    <w:rsid w:val="004E2F24"/>
    <w:rsid w:val="004E2F7A"/>
    <w:rsid w:val="004E2F99"/>
    <w:rsid w:val="004E2FBF"/>
    <w:rsid w:val="004E30B4"/>
    <w:rsid w:val="004E30E9"/>
    <w:rsid w:val="004E310D"/>
    <w:rsid w:val="004E3148"/>
    <w:rsid w:val="004E32C5"/>
    <w:rsid w:val="004E331D"/>
    <w:rsid w:val="004E33C6"/>
    <w:rsid w:val="004E33E4"/>
    <w:rsid w:val="004E34DA"/>
    <w:rsid w:val="004E34F8"/>
    <w:rsid w:val="004E355C"/>
    <w:rsid w:val="004E37BD"/>
    <w:rsid w:val="004E37C1"/>
    <w:rsid w:val="004E38D0"/>
    <w:rsid w:val="004E3937"/>
    <w:rsid w:val="004E398A"/>
    <w:rsid w:val="004E39AF"/>
    <w:rsid w:val="004E39B6"/>
    <w:rsid w:val="004E3A99"/>
    <w:rsid w:val="004E3A9C"/>
    <w:rsid w:val="004E3B86"/>
    <w:rsid w:val="004E3BC9"/>
    <w:rsid w:val="004E3C15"/>
    <w:rsid w:val="004E3D13"/>
    <w:rsid w:val="004E3D6C"/>
    <w:rsid w:val="004E3DEF"/>
    <w:rsid w:val="004E402C"/>
    <w:rsid w:val="004E4071"/>
    <w:rsid w:val="004E40C2"/>
    <w:rsid w:val="004E427C"/>
    <w:rsid w:val="004E4570"/>
    <w:rsid w:val="004E45D2"/>
    <w:rsid w:val="004E468B"/>
    <w:rsid w:val="004E46B5"/>
    <w:rsid w:val="004E46BB"/>
    <w:rsid w:val="004E4733"/>
    <w:rsid w:val="004E4766"/>
    <w:rsid w:val="004E484B"/>
    <w:rsid w:val="004E4900"/>
    <w:rsid w:val="004E49F8"/>
    <w:rsid w:val="004E4AB4"/>
    <w:rsid w:val="004E4AD8"/>
    <w:rsid w:val="004E4BE3"/>
    <w:rsid w:val="004E4D07"/>
    <w:rsid w:val="004E4D2D"/>
    <w:rsid w:val="004E4FB3"/>
    <w:rsid w:val="004E5030"/>
    <w:rsid w:val="004E508B"/>
    <w:rsid w:val="004E510C"/>
    <w:rsid w:val="004E51B9"/>
    <w:rsid w:val="004E5252"/>
    <w:rsid w:val="004E535E"/>
    <w:rsid w:val="004E545A"/>
    <w:rsid w:val="004E5553"/>
    <w:rsid w:val="004E55D1"/>
    <w:rsid w:val="004E56EF"/>
    <w:rsid w:val="004E58E1"/>
    <w:rsid w:val="004E59E3"/>
    <w:rsid w:val="004E5A2B"/>
    <w:rsid w:val="004E5AC4"/>
    <w:rsid w:val="004E5B16"/>
    <w:rsid w:val="004E5B65"/>
    <w:rsid w:val="004E5BAD"/>
    <w:rsid w:val="004E5C56"/>
    <w:rsid w:val="004E5CF1"/>
    <w:rsid w:val="004E5D77"/>
    <w:rsid w:val="004E603F"/>
    <w:rsid w:val="004E6124"/>
    <w:rsid w:val="004E61CB"/>
    <w:rsid w:val="004E61E3"/>
    <w:rsid w:val="004E6237"/>
    <w:rsid w:val="004E62B9"/>
    <w:rsid w:val="004E6342"/>
    <w:rsid w:val="004E63F7"/>
    <w:rsid w:val="004E6403"/>
    <w:rsid w:val="004E675E"/>
    <w:rsid w:val="004E6819"/>
    <w:rsid w:val="004E6849"/>
    <w:rsid w:val="004E6972"/>
    <w:rsid w:val="004E6B4B"/>
    <w:rsid w:val="004E6B7D"/>
    <w:rsid w:val="004E6E09"/>
    <w:rsid w:val="004E6E46"/>
    <w:rsid w:val="004E6F8F"/>
    <w:rsid w:val="004E6FA3"/>
    <w:rsid w:val="004E6FB8"/>
    <w:rsid w:val="004E6FE4"/>
    <w:rsid w:val="004E7032"/>
    <w:rsid w:val="004E70C6"/>
    <w:rsid w:val="004E723A"/>
    <w:rsid w:val="004E724D"/>
    <w:rsid w:val="004E7264"/>
    <w:rsid w:val="004E72CD"/>
    <w:rsid w:val="004E731F"/>
    <w:rsid w:val="004E733A"/>
    <w:rsid w:val="004E7676"/>
    <w:rsid w:val="004E775E"/>
    <w:rsid w:val="004E7786"/>
    <w:rsid w:val="004E77BF"/>
    <w:rsid w:val="004E77FB"/>
    <w:rsid w:val="004E79A4"/>
    <w:rsid w:val="004E79C6"/>
    <w:rsid w:val="004E7A7C"/>
    <w:rsid w:val="004E7BBD"/>
    <w:rsid w:val="004E7C58"/>
    <w:rsid w:val="004E7C73"/>
    <w:rsid w:val="004E7CA7"/>
    <w:rsid w:val="004E7D42"/>
    <w:rsid w:val="004E7D8C"/>
    <w:rsid w:val="004E7E9B"/>
    <w:rsid w:val="004E7ED5"/>
    <w:rsid w:val="004E7ED8"/>
    <w:rsid w:val="004E7FD7"/>
    <w:rsid w:val="004F0077"/>
    <w:rsid w:val="004F00D8"/>
    <w:rsid w:val="004F013A"/>
    <w:rsid w:val="004F01FB"/>
    <w:rsid w:val="004F0346"/>
    <w:rsid w:val="004F044A"/>
    <w:rsid w:val="004F0535"/>
    <w:rsid w:val="004F05AF"/>
    <w:rsid w:val="004F0602"/>
    <w:rsid w:val="004F067A"/>
    <w:rsid w:val="004F0869"/>
    <w:rsid w:val="004F09D9"/>
    <w:rsid w:val="004F0A4C"/>
    <w:rsid w:val="004F0AF8"/>
    <w:rsid w:val="004F0AFD"/>
    <w:rsid w:val="004F0C27"/>
    <w:rsid w:val="004F0C36"/>
    <w:rsid w:val="004F0C91"/>
    <w:rsid w:val="004F0DB5"/>
    <w:rsid w:val="004F0EF5"/>
    <w:rsid w:val="004F0F06"/>
    <w:rsid w:val="004F0F45"/>
    <w:rsid w:val="004F0F85"/>
    <w:rsid w:val="004F1073"/>
    <w:rsid w:val="004F1142"/>
    <w:rsid w:val="004F1147"/>
    <w:rsid w:val="004F11B9"/>
    <w:rsid w:val="004F1324"/>
    <w:rsid w:val="004F1396"/>
    <w:rsid w:val="004F1461"/>
    <w:rsid w:val="004F1466"/>
    <w:rsid w:val="004F14D6"/>
    <w:rsid w:val="004F1592"/>
    <w:rsid w:val="004F17FE"/>
    <w:rsid w:val="004F193A"/>
    <w:rsid w:val="004F1AF8"/>
    <w:rsid w:val="004F1C9C"/>
    <w:rsid w:val="004F1CEC"/>
    <w:rsid w:val="004F1DD0"/>
    <w:rsid w:val="004F1E9D"/>
    <w:rsid w:val="004F1EAB"/>
    <w:rsid w:val="004F1EEA"/>
    <w:rsid w:val="004F1F96"/>
    <w:rsid w:val="004F1FEF"/>
    <w:rsid w:val="004F2049"/>
    <w:rsid w:val="004F212B"/>
    <w:rsid w:val="004F21FC"/>
    <w:rsid w:val="004F229E"/>
    <w:rsid w:val="004F2345"/>
    <w:rsid w:val="004F23D1"/>
    <w:rsid w:val="004F2400"/>
    <w:rsid w:val="004F24C8"/>
    <w:rsid w:val="004F2626"/>
    <w:rsid w:val="004F265F"/>
    <w:rsid w:val="004F2843"/>
    <w:rsid w:val="004F288B"/>
    <w:rsid w:val="004F2967"/>
    <w:rsid w:val="004F297B"/>
    <w:rsid w:val="004F299E"/>
    <w:rsid w:val="004F2AC6"/>
    <w:rsid w:val="004F2C03"/>
    <w:rsid w:val="004F2CD9"/>
    <w:rsid w:val="004F2E4B"/>
    <w:rsid w:val="004F2E55"/>
    <w:rsid w:val="004F2E6E"/>
    <w:rsid w:val="004F2F50"/>
    <w:rsid w:val="004F2FA4"/>
    <w:rsid w:val="004F2FA9"/>
    <w:rsid w:val="004F31CA"/>
    <w:rsid w:val="004F3233"/>
    <w:rsid w:val="004F3252"/>
    <w:rsid w:val="004F338F"/>
    <w:rsid w:val="004F34B3"/>
    <w:rsid w:val="004F34FC"/>
    <w:rsid w:val="004F365B"/>
    <w:rsid w:val="004F36BF"/>
    <w:rsid w:val="004F3731"/>
    <w:rsid w:val="004F3755"/>
    <w:rsid w:val="004F38F7"/>
    <w:rsid w:val="004F39AA"/>
    <w:rsid w:val="004F3C8F"/>
    <w:rsid w:val="004F3D14"/>
    <w:rsid w:val="004F3E5E"/>
    <w:rsid w:val="004F3F91"/>
    <w:rsid w:val="004F40C2"/>
    <w:rsid w:val="004F40DB"/>
    <w:rsid w:val="004F411B"/>
    <w:rsid w:val="004F412F"/>
    <w:rsid w:val="004F4184"/>
    <w:rsid w:val="004F41D2"/>
    <w:rsid w:val="004F424B"/>
    <w:rsid w:val="004F42AB"/>
    <w:rsid w:val="004F42BF"/>
    <w:rsid w:val="004F42C9"/>
    <w:rsid w:val="004F441D"/>
    <w:rsid w:val="004F4464"/>
    <w:rsid w:val="004F44C1"/>
    <w:rsid w:val="004F4594"/>
    <w:rsid w:val="004F463C"/>
    <w:rsid w:val="004F46C7"/>
    <w:rsid w:val="004F4762"/>
    <w:rsid w:val="004F4763"/>
    <w:rsid w:val="004F48AF"/>
    <w:rsid w:val="004F4918"/>
    <w:rsid w:val="004F4954"/>
    <w:rsid w:val="004F4967"/>
    <w:rsid w:val="004F49CB"/>
    <w:rsid w:val="004F4C0B"/>
    <w:rsid w:val="004F4D4C"/>
    <w:rsid w:val="004F4E46"/>
    <w:rsid w:val="004F4F8A"/>
    <w:rsid w:val="004F504A"/>
    <w:rsid w:val="004F5065"/>
    <w:rsid w:val="004F5089"/>
    <w:rsid w:val="004F509F"/>
    <w:rsid w:val="004F514C"/>
    <w:rsid w:val="004F5164"/>
    <w:rsid w:val="004F517F"/>
    <w:rsid w:val="004F5398"/>
    <w:rsid w:val="004F54D3"/>
    <w:rsid w:val="004F54FC"/>
    <w:rsid w:val="004F5536"/>
    <w:rsid w:val="004F5542"/>
    <w:rsid w:val="004F55CE"/>
    <w:rsid w:val="004F5651"/>
    <w:rsid w:val="004F56D5"/>
    <w:rsid w:val="004F5708"/>
    <w:rsid w:val="004F57EB"/>
    <w:rsid w:val="004F5880"/>
    <w:rsid w:val="004F588F"/>
    <w:rsid w:val="004F596B"/>
    <w:rsid w:val="004F5A14"/>
    <w:rsid w:val="004F5A9E"/>
    <w:rsid w:val="004F5B3E"/>
    <w:rsid w:val="004F5B6B"/>
    <w:rsid w:val="004F5BBF"/>
    <w:rsid w:val="004F5C1E"/>
    <w:rsid w:val="004F5C28"/>
    <w:rsid w:val="004F5C38"/>
    <w:rsid w:val="004F5D2B"/>
    <w:rsid w:val="004F5DC0"/>
    <w:rsid w:val="004F5E3E"/>
    <w:rsid w:val="004F5FF2"/>
    <w:rsid w:val="004F6317"/>
    <w:rsid w:val="004F63AE"/>
    <w:rsid w:val="004F63D1"/>
    <w:rsid w:val="004F63E7"/>
    <w:rsid w:val="004F6455"/>
    <w:rsid w:val="004F6505"/>
    <w:rsid w:val="004F65A0"/>
    <w:rsid w:val="004F6987"/>
    <w:rsid w:val="004F69CB"/>
    <w:rsid w:val="004F69D7"/>
    <w:rsid w:val="004F6C51"/>
    <w:rsid w:val="004F6CFC"/>
    <w:rsid w:val="004F6D18"/>
    <w:rsid w:val="004F6E15"/>
    <w:rsid w:val="004F7137"/>
    <w:rsid w:val="004F71AA"/>
    <w:rsid w:val="004F71AE"/>
    <w:rsid w:val="004F7211"/>
    <w:rsid w:val="004F72C4"/>
    <w:rsid w:val="004F72F8"/>
    <w:rsid w:val="004F738D"/>
    <w:rsid w:val="004F73F1"/>
    <w:rsid w:val="004F7411"/>
    <w:rsid w:val="004F744D"/>
    <w:rsid w:val="004F7453"/>
    <w:rsid w:val="004F74AB"/>
    <w:rsid w:val="004F7513"/>
    <w:rsid w:val="004F7549"/>
    <w:rsid w:val="004F75FF"/>
    <w:rsid w:val="004F765B"/>
    <w:rsid w:val="004F7903"/>
    <w:rsid w:val="004F79DD"/>
    <w:rsid w:val="004F7A96"/>
    <w:rsid w:val="004F7A9E"/>
    <w:rsid w:val="004F7AEE"/>
    <w:rsid w:val="004F7B86"/>
    <w:rsid w:val="004F7BEB"/>
    <w:rsid w:val="004F7CA8"/>
    <w:rsid w:val="004F7CF0"/>
    <w:rsid w:val="004F7D27"/>
    <w:rsid w:val="004F7D7D"/>
    <w:rsid w:val="004F7D8E"/>
    <w:rsid w:val="004F7DAB"/>
    <w:rsid w:val="00500007"/>
    <w:rsid w:val="005001AC"/>
    <w:rsid w:val="005001BC"/>
    <w:rsid w:val="0050024D"/>
    <w:rsid w:val="005002A3"/>
    <w:rsid w:val="0050031C"/>
    <w:rsid w:val="0050035F"/>
    <w:rsid w:val="00500402"/>
    <w:rsid w:val="00500433"/>
    <w:rsid w:val="005004AF"/>
    <w:rsid w:val="005004F0"/>
    <w:rsid w:val="0050059B"/>
    <w:rsid w:val="005005F7"/>
    <w:rsid w:val="00500638"/>
    <w:rsid w:val="00500647"/>
    <w:rsid w:val="0050069D"/>
    <w:rsid w:val="0050074C"/>
    <w:rsid w:val="00500812"/>
    <w:rsid w:val="0050084B"/>
    <w:rsid w:val="005008E4"/>
    <w:rsid w:val="005009FC"/>
    <w:rsid w:val="00500A58"/>
    <w:rsid w:val="00500B00"/>
    <w:rsid w:val="00500C01"/>
    <w:rsid w:val="00500CB3"/>
    <w:rsid w:val="00500CDC"/>
    <w:rsid w:val="00500ECA"/>
    <w:rsid w:val="00500EE4"/>
    <w:rsid w:val="00500F26"/>
    <w:rsid w:val="00500F96"/>
    <w:rsid w:val="0050101B"/>
    <w:rsid w:val="005010C0"/>
    <w:rsid w:val="00501149"/>
    <w:rsid w:val="0050116B"/>
    <w:rsid w:val="00501276"/>
    <w:rsid w:val="00501335"/>
    <w:rsid w:val="005013D7"/>
    <w:rsid w:val="0050151C"/>
    <w:rsid w:val="00501639"/>
    <w:rsid w:val="005016F0"/>
    <w:rsid w:val="00501831"/>
    <w:rsid w:val="0050188B"/>
    <w:rsid w:val="005018C6"/>
    <w:rsid w:val="005019BF"/>
    <w:rsid w:val="00501A36"/>
    <w:rsid w:val="00501B43"/>
    <w:rsid w:val="00501C0E"/>
    <w:rsid w:val="00501C10"/>
    <w:rsid w:val="00501C1C"/>
    <w:rsid w:val="00501C59"/>
    <w:rsid w:val="00501CB3"/>
    <w:rsid w:val="00501D2E"/>
    <w:rsid w:val="00501DCD"/>
    <w:rsid w:val="00501F0A"/>
    <w:rsid w:val="00501F74"/>
    <w:rsid w:val="00501FA3"/>
    <w:rsid w:val="0050202F"/>
    <w:rsid w:val="00502077"/>
    <w:rsid w:val="0050212A"/>
    <w:rsid w:val="00502501"/>
    <w:rsid w:val="00502525"/>
    <w:rsid w:val="0050255B"/>
    <w:rsid w:val="005026F3"/>
    <w:rsid w:val="0050273F"/>
    <w:rsid w:val="00502818"/>
    <w:rsid w:val="0050293E"/>
    <w:rsid w:val="005029DD"/>
    <w:rsid w:val="00502A50"/>
    <w:rsid w:val="00502B44"/>
    <w:rsid w:val="00502B84"/>
    <w:rsid w:val="00502C29"/>
    <w:rsid w:val="00502D61"/>
    <w:rsid w:val="00502DA2"/>
    <w:rsid w:val="00502DCA"/>
    <w:rsid w:val="00502E61"/>
    <w:rsid w:val="00502E62"/>
    <w:rsid w:val="00502E64"/>
    <w:rsid w:val="00502E66"/>
    <w:rsid w:val="00502FDA"/>
    <w:rsid w:val="005030F2"/>
    <w:rsid w:val="00503195"/>
    <w:rsid w:val="00503238"/>
    <w:rsid w:val="00503268"/>
    <w:rsid w:val="0050328B"/>
    <w:rsid w:val="00503354"/>
    <w:rsid w:val="00503383"/>
    <w:rsid w:val="005033BF"/>
    <w:rsid w:val="00503545"/>
    <w:rsid w:val="005035BA"/>
    <w:rsid w:val="00503674"/>
    <w:rsid w:val="00503751"/>
    <w:rsid w:val="005038B2"/>
    <w:rsid w:val="00503957"/>
    <w:rsid w:val="0050399D"/>
    <w:rsid w:val="005039B8"/>
    <w:rsid w:val="005039DE"/>
    <w:rsid w:val="00503A25"/>
    <w:rsid w:val="00503B80"/>
    <w:rsid w:val="00503B82"/>
    <w:rsid w:val="00503C27"/>
    <w:rsid w:val="00503CA8"/>
    <w:rsid w:val="00503D61"/>
    <w:rsid w:val="00503D93"/>
    <w:rsid w:val="00503E31"/>
    <w:rsid w:val="00503ECA"/>
    <w:rsid w:val="0050404D"/>
    <w:rsid w:val="00504066"/>
    <w:rsid w:val="00504070"/>
    <w:rsid w:val="005040EA"/>
    <w:rsid w:val="00504174"/>
    <w:rsid w:val="005041E5"/>
    <w:rsid w:val="0050430B"/>
    <w:rsid w:val="00504321"/>
    <w:rsid w:val="00504359"/>
    <w:rsid w:val="0050438D"/>
    <w:rsid w:val="00504423"/>
    <w:rsid w:val="00504455"/>
    <w:rsid w:val="0050447A"/>
    <w:rsid w:val="0050453B"/>
    <w:rsid w:val="005045E0"/>
    <w:rsid w:val="0050462A"/>
    <w:rsid w:val="0050472B"/>
    <w:rsid w:val="005047CD"/>
    <w:rsid w:val="0050480F"/>
    <w:rsid w:val="00504826"/>
    <w:rsid w:val="00504837"/>
    <w:rsid w:val="00504900"/>
    <w:rsid w:val="0050494D"/>
    <w:rsid w:val="00504AEB"/>
    <w:rsid w:val="00504B2B"/>
    <w:rsid w:val="00504BC0"/>
    <w:rsid w:val="00504BC6"/>
    <w:rsid w:val="00504BF0"/>
    <w:rsid w:val="00504DBE"/>
    <w:rsid w:val="00504DD9"/>
    <w:rsid w:val="00504E09"/>
    <w:rsid w:val="00504E55"/>
    <w:rsid w:val="00504ED4"/>
    <w:rsid w:val="00504F67"/>
    <w:rsid w:val="00504F76"/>
    <w:rsid w:val="00504F94"/>
    <w:rsid w:val="00504F9D"/>
    <w:rsid w:val="0050503F"/>
    <w:rsid w:val="00505054"/>
    <w:rsid w:val="00505164"/>
    <w:rsid w:val="005052EB"/>
    <w:rsid w:val="00505373"/>
    <w:rsid w:val="00505393"/>
    <w:rsid w:val="00505455"/>
    <w:rsid w:val="00505463"/>
    <w:rsid w:val="0050557D"/>
    <w:rsid w:val="00505590"/>
    <w:rsid w:val="005056BE"/>
    <w:rsid w:val="005056FB"/>
    <w:rsid w:val="005058BF"/>
    <w:rsid w:val="00505ADC"/>
    <w:rsid w:val="00505AED"/>
    <w:rsid w:val="00505BE7"/>
    <w:rsid w:val="00505BEF"/>
    <w:rsid w:val="00505C25"/>
    <w:rsid w:val="00505C6D"/>
    <w:rsid w:val="00505D61"/>
    <w:rsid w:val="0050610D"/>
    <w:rsid w:val="005063A6"/>
    <w:rsid w:val="005063FA"/>
    <w:rsid w:val="00506456"/>
    <w:rsid w:val="00506471"/>
    <w:rsid w:val="00506481"/>
    <w:rsid w:val="0050649E"/>
    <w:rsid w:val="005064D5"/>
    <w:rsid w:val="00506636"/>
    <w:rsid w:val="005066A6"/>
    <w:rsid w:val="005066B7"/>
    <w:rsid w:val="005066DC"/>
    <w:rsid w:val="00506787"/>
    <w:rsid w:val="00506808"/>
    <w:rsid w:val="0050689B"/>
    <w:rsid w:val="005068FB"/>
    <w:rsid w:val="00506A06"/>
    <w:rsid w:val="00506A55"/>
    <w:rsid w:val="00506ABC"/>
    <w:rsid w:val="00506B52"/>
    <w:rsid w:val="00506B91"/>
    <w:rsid w:val="00506D41"/>
    <w:rsid w:val="00506E96"/>
    <w:rsid w:val="00506EC6"/>
    <w:rsid w:val="00506ED1"/>
    <w:rsid w:val="00506F27"/>
    <w:rsid w:val="00506F34"/>
    <w:rsid w:val="00506F7B"/>
    <w:rsid w:val="00506FCB"/>
    <w:rsid w:val="005070A5"/>
    <w:rsid w:val="005070C8"/>
    <w:rsid w:val="00507106"/>
    <w:rsid w:val="005072E5"/>
    <w:rsid w:val="00507432"/>
    <w:rsid w:val="00507508"/>
    <w:rsid w:val="0050781E"/>
    <w:rsid w:val="00507829"/>
    <w:rsid w:val="005078A9"/>
    <w:rsid w:val="0050794C"/>
    <w:rsid w:val="005079A1"/>
    <w:rsid w:val="00507A17"/>
    <w:rsid w:val="00507AB9"/>
    <w:rsid w:val="00507B51"/>
    <w:rsid w:val="00507CDC"/>
    <w:rsid w:val="00507D4D"/>
    <w:rsid w:val="00507E31"/>
    <w:rsid w:val="00507E75"/>
    <w:rsid w:val="00507ED1"/>
    <w:rsid w:val="00510053"/>
    <w:rsid w:val="0051011A"/>
    <w:rsid w:val="00510186"/>
    <w:rsid w:val="0051018C"/>
    <w:rsid w:val="00510198"/>
    <w:rsid w:val="00510353"/>
    <w:rsid w:val="005103B8"/>
    <w:rsid w:val="00510488"/>
    <w:rsid w:val="00510491"/>
    <w:rsid w:val="005104D7"/>
    <w:rsid w:val="005105BA"/>
    <w:rsid w:val="00510667"/>
    <w:rsid w:val="005107C6"/>
    <w:rsid w:val="005108A0"/>
    <w:rsid w:val="005108FD"/>
    <w:rsid w:val="00510954"/>
    <w:rsid w:val="00510AAE"/>
    <w:rsid w:val="00510AEF"/>
    <w:rsid w:val="00510B37"/>
    <w:rsid w:val="00510BCD"/>
    <w:rsid w:val="00510D4F"/>
    <w:rsid w:val="00510D9A"/>
    <w:rsid w:val="00510F46"/>
    <w:rsid w:val="005110AE"/>
    <w:rsid w:val="00511102"/>
    <w:rsid w:val="005112A8"/>
    <w:rsid w:val="005112B9"/>
    <w:rsid w:val="005112CC"/>
    <w:rsid w:val="0051138E"/>
    <w:rsid w:val="005113A2"/>
    <w:rsid w:val="005113F4"/>
    <w:rsid w:val="00511469"/>
    <w:rsid w:val="0051151F"/>
    <w:rsid w:val="0051165B"/>
    <w:rsid w:val="005116E6"/>
    <w:rsid w:val="0051171C"/>
    <w:rsid w:val="00511759"/>
    <w:rsid w:val="005119CD"/>
    <w:rsid w:val="00511C75"/>
    <w:rsid w:val="00511D71"/>
    <w:rsid w:val="00511DBC"/>
    <w:rsid w:val="00511E0A"/>
    <w:rsid w:val="00511E63"/>
    <w:rsid w:val="00511F24"/>
    <w:rsid w:val="0051200E"/>
    <w:rsid w:val="00512044"/>
    <w:rsid w:val="00512090"/>
    <w:rsid w:val="005123C2"/>
    <w:rsid w:val="00512445"/>
    <w:rsid w:val="005125D1"/>
    <w:rsid w:val="00512673"/>
    <w:rsid w:val="005126C5"/>
    <w:rsid w:val="005126D1"/>
    <w:rsid w:val="0051276E"/>
    <w:rsid w:val="0051285A"/>
    <w:rsid w:val="005129AF"/>
    <w:rsid w:val="00512BB6"/>
    <w:rsid w:val="00513069"/>
    <w:rsid w:val="0051308B"/>
    <w:rsid w:val="00513273"/>
    <w:rsid w:val="0051350E"/>
    <w:rsid w:val="00513592"/>
    <w:rsid w:val="005135D9"/>
    <w:rsid w:val="00513698"/>
    <w:rsid w:val="00513754"/>
    <w:rsid w:val="005138C3"/>
    <w:rsid w:val="005139E0"/>
    <w:rsid w:val="005139FF"/>
    <w:rsid w:val="00513ABA"/>
    <w:rsid w:val="00513ADB"/>
    <w:rsid w:val="00513B41"/>
    <w:rsid w:val="00513B4D"/>
    <w:rsid w:val="00513BB8"/>
    <w:rsid w:val="00513D60"/>
    <w:rsid w:val="00513FF1"/>
    <w:rsid w:val="005141DE"/>
    <w:rsid w:val="00514272"/>
    <w:rsid w:val="005143D2"/>
    <w:rsid w:val="00514476"/>
    <w:rsid w:val="0051448D"/>
    <w:rsid w:val="005144B6"/>
    <w:rsid w:val="005145FC"/>
    <w:rsid w:val="00514652"/>
    <w:rsid w:val="00514655"/>
    <w:rsid w:val="0051466C"/>
    <w:rsid w:val="005146A7"/>
    <w:rsid w:val="00514705"/>
    <w:rsid w:val="0051470F"/>
    <w:rsid w:val="005148D9"/>
    <w:rsid w:val="00514A4C"/>
    <w:rsid w:val="00514A6A"/>
    <w:rsid w:val="00514AAD"/>
    <w:rsid w:val="00514AC1"/>
    <w:rsid w:val="00514B2C"/>
    <w:rsid w:val="00514B7D"/>
    <w:rsid w:val="00514E56"/>
    <w:rsid w:val="00514EBB"/>
    <w:rsid w:val="00514EC0"/>
    <w:rsid w:val="00514ECB"/>
    <w:rsid w:val="00514F05"/>
    <w:rsid w:val="0051514C"/>
    <w:rsid w:val="00515155"/>
    <w:rsid w:val="00515178"/>
    <w:rsid w:val="0051542A"/>
    <w:rsid w:val="005156AF"/>
    <w:rsid w:val="005156CC"/>
    <w:rsid w:val="00515786"/>
    <w:rsid w:val="00515957"/>
    <w:rsid w:val="0051598C"/>
    <w:rsid w:val="0051599A"/>
    <w:rsid w:val="005159BC"/>
    <w:rsid w:val="00515A18"/>
    <w:rsid w:val="00515B12"/>
    <w:rsid w:val="00515E05"/>
    <w:rsid w:val="00515E6D"/>
    <w:rsid w:val="00515EA2"/>
    <w:rsid w:val="00515FE8"/>
    <w:rsid w:val="00516065"/>
    <w:rsid w:val="005160FE"/>
    <w:rsid w:val="00516145"/>
    <w:rsid w:val="005161FE"/>
    <w:rsid w:val="00516201"/>
    <w:rsid w:val="0051622F"/>
    <w:rsid w:val="00516274"/>
    <w:rsid w:val="0051628C"/>
    <w:rsid w:val="005163CC"/>
    <w:rsid w:val="00516407"/>
    <w:rsid w:val="0051640C"/>
    <w:rsid w:val="00516473"/>
    <w:rsid w:val="00516513"/>
    <w:rsid w:val="005165CA"/>
    <w:rsid w:val="005165EC"/>
    <w:rsid w:val="005165F3"/>
    <w:rsid w:val="0051664C"/>
    <w:rsid w:val="00516702"/>
    <w:rsid w:val="0051673E"/>
    <w:rsid w:val="0051678F"/>
    <w:rsid w:val="00516949"/>
    <w:rsid w:val="00516999"/>
    <w:rsid w:val="005169F0"/>
    <w:rsid w:val="00516E73"/>
    <w:rsid w:val="00517011"/>
    <w:rsid w:val="005170C8"/>
    <w:rsid w:val="005170DA"/>
    <w:rsid w:val="005170EA"/>
    <w:rsid w:val="0051720B"/>
    <w:rsid w:val="0051725E"/>
    <w:rsid w:val="00517264"/>
    <w:rsid w:val="005173F9"/>
    <w:rsid w:val="00517403"/>
    <w:rsid w:val="005175D2"/>
    <w:rsid w:val="00517672"/>
    <w:rsid w:val="005176A0"/>
    <w:rsid w:val="005177B1"/>
    <w:rsid w:val="00517C62"/>
    <w:rsid w:val="00517C8D"/>
    <w:rsid w:val="00517CFB"/>
    <w:rsid w:val="00517DF8"/>
    <w:rsid w:val="00517E8A"/>
    <w:rsid w:val="00517ECD"/>
    <w:rsid w:val="00517F6B"/>
    <w:rsid w:val="0052004D"/>
    <w:rsid w:val="005201CA"/>
    <w:rsid w:val="0052025C"/>
    <w:rsid w:val="005202E7"/>
    <w:rsid w:val="00520323"/>
    <w:rsid w:val="005203E5"/>
    <w:rsid w:val="0052042C"/>
    <w:rsid w:val="0052048E"/>
    <w:rsid w:val="0052049D"/>
    <w:rsid w:val="00520546"/>
    <w:rsid w:val="00520674"/>
    <w:rsid w:val="005206E5"/>
    <w:rsid w:val="005207ED"/>
    <w:rsid w:val="0052082F"/>
    <w:rsid w:val="0052096E"/>
    <w:rsid w:val="005209D2"/>
    <w:rsid w:val="005209DD"/>
    <w:rsid w:val="00520A76"/>
    <w:rsid w:val="00520BB2"/>
    <w:rsid w:val="00520C19"/>
    <w:rsid w:val="00520D7F"/>
    <w:rsid w:val="00520DC9"/>
    <w:rsid w:val="00520E98"/>
    <w:rsid w:val="00520F7A"/>
    <w:rsid w:val="00520FAE"/>
    <w:rsid w:val="005212E6"/>
    <w:rsid w:val="00521364"/>
    <w:rsid w:val="0052145C"/>
    <w:rsid w:val="0052150D"/>
    <w:rsid w:val="00521593"/>
    <w:rsid w:val="005216F5"/>
    <w:rsid w:val="00521781"/>
    <w:rsid w:val="00521804"/>
    <w:rsid w:val="0052181B"/>
    <w:rsid w:val="00521872"/>
    <w:rsid w:val="00521874"/>
    <w:rsid w:val="005219B6"/>
    <w:rsid w:val="00521A84"/>
    <w:rsid w:val="00521A93"/>
    <w:rsid w:val="00521B6C"/>
    <w:rsid w:val="00521B70"/>
    <w:rsid w:val="005221B2"/>
    <w:rsid w:val="00522233"/>
    <w:rsid w:val="0052225D"/>
    <w:rsid w:val="0052226C"/>
    <w:rsid w:val="00522294"/>
    <w:rsid w:val="00522427"/>
    <w:rsid w:val="005224A9"/>
    <w:rsid w:val="005224F1"/>
    <w:rsid w:val="00522580"/>
    <w:rsid w:val="005225BF"/>
    <w:rsid w:val="00522820"/>
    <w:rsid w:val="005228F7"/>
    <w:rsid w:val="005228FD"/>
    <w:rsid w:val="00522A0E"/>
    <w:rsid w:val="00522A6B"/>
    <w:rsid w:val="00522B72"/>
    <w:rsid w:val="00522B8C"/>
    <w:rsid w:val="00522BD3"/>
    <w:rsid w:val="00522BDB"/>
    <w:rsid w:val="00522C6D"/>
    <w:rsid w:val="00522DCA"/>
    <w:rsid w:val="00522DEB"/>
    <w:rsid w:val="00522E03"/>
    <w:rsid w:val="00522E17"/>
    <w:rsid w:val="00522E2B"/>
    <w:rsid w:val="00522EA5"/>
    <w:rsid w:val="00522F3E"/>
    <w:rsid w:val="00523152"/>
    <w:rsid w:val="00523186"/>
    <w:rsid w:val="005231CA"/>
    <w:rsid w:val="005231D6"/>
    <w:rsid w:val="0052330F"/>
    <w:rsid w:val="0052332B"/>
    <w:rsid w:val="00523369"/>
    <w:rsid w:val="00523491"/>
    <w:rsid w:val="005234D7"/>
    <w:rsid w:val="00523579"/>
    <w:rsid w:val="00523729"/>
    <w:rsid w:val="00523771"/>
    <w:rsid w:val="00523831"/>
    <w:rsid w:val="00523850"/>
    <w:rsid w:val="0052387A"/>
    <w:rsid w:val="00523882"/>
    <w:rsid w:val="0052391C"/>
    <w:rsid w:val="005239EA"/>
    <w:rsid w:val="00523B75"/>
    <w:rsid w:val="00523C7F"/>
    <w:rsid w:val="00523D95"/>
    <w:rsid w:val="00523F72"/>
    <w:rsid w:val="00523FB3"/>
    <w:rsid w:val="00524150"/>
    <w:rsid w:val="00524163"/>
    <w:rsid w:val="005242B8"/>
    <w:rsid w:val="0052435F"/>
    <w:rsid w:val="005243C1"/>
    <w:rsid w:val="0052442B"/>
    <w:rsid w:val="00524536"/>
    <w:rsid w:val="00524593"/>
    <w:rsid w:val="005245D2"/>
    <w:rsid w:val="00524611"/>
    <w:rsid w:val="005247E8"/>
    <w:rsid w:val="00524834"/>
    <w:rsid w:val="005249CD"/>
    <w:rsid w:val="00524A5D"/>
    <w:rsid w:val="00524A63"/>
    <w:rsid w:val="00524AB7"/>
    <w:rsid w:val="00524AE9"/>
    <w:rsid w:val="00524B5F"/>
    <w:rsid w:val="00524C2B"/>
    <w:rsid w:val="00524C7F"/>
    <w:rsid w:val="00524CAF"/>
    <w:rsid w:val="00524D18"/>
    <w:rsid w:val="00524E35"/>
    <w:rsid w:val="00524EF8"/>
    <w:rsid w:val="00524FA6"/>
    <w:rsid w:val="00524FB0"/>
    <w:rsid w:val="0052521D"/>
    <w:rsid w:val="00525233"/>
    <w:rsid w:val="0052524B"/>
    <w:rsid w:val="00525320"/>
    <w:rsid w:val="0052534E"/>
    <w:rsid w:val="0052540E"/>
    <w:rsid w:val="005254C9"/>
    <w:rsid w:val="005255F3"/>
    <w:rsid w:val="00525621"/>
    <w:rsid w:val="005256E8"/>
    <w:rsid w:val="00525746"/>
    <w:rsid w:val="00525940"/>
    <w:rsid w:val="00525A40"/>
    <w:rsid w:val="00525AC5"/>
    <w:rsid w:val="00525B29"/>
    <w:rsid w:val="00525B2E"/>
    <w:rsid w:val="00525D53"/>
    <w:rsid w:val="00525DAE"/>
    <w:rsid w:val="00525E85"/>
    <w:rsid w:val="00525F01"/>
    <w:rsid w:val="00525F20"/>
    <w:rsid w:val="00525FA2"/>
    <w:rsid w:val="00526040"/>
    <w:rsid w:val="0052627B"/>
    <w:rsid w:val="0052627E"/>
    <w:rsid w:val="005263CB"/>
    <w:rsid w:val="00526495"/>
    <w:rsid w:val="00526527"/>
    <w:rsid w:val="005266CB"/>
    <w:rsid w:val="00526779"/>
    <w:rsid w:val="00526808"/>
    <w:rsid w:val="0052685B"/>
    <w:rsid w:val="005268B6"/>
    <w:rsid w:val="005268E8"/>
    <w:rsid w:val="0052692E"/>
    <w:rsid w:val="0052694F"/>
    <w:rsid w:val="00526977"/>
    <w:rsid w:val="00526B87"/>
    <w:rsid w:val="00526C02"/>
    <w:rsid w:val="00526D64"/>
    <w:rsid w:val="00526DA8"/>
    <w:rsid w:val="00526DE7"/>
    <w:rsid w:val="00526E0E"/>
    <w:rsid w:val="00526E14"/>
    <w:rsid w:val="00526EFA"/>
    <w:rsid w:val="00526FA1"/>
    <w:rsid w:val="0052700D"/>
    <w:rsid w:val="005270F2"/>
    <w:rsid w:val="0052712B"/>
    <w:rsid w:val="0052720C"/>
    <w:rsid w:val="00527228"/>
    <w:rsid w:val="00527241"/>
    <w:rsid w:val="005273B5"/>
    <w:rsid w:val="0052760B"/>
    <w:rsid w:val="005276A4"/>
    <w:rsid w:val="00527718"/>
    <w:rsid w:val="00527815"/>
    <w:rsid w:val="00527863"/>
    <w:rsid w:val="00527A75"/>
    <w:rsid w:val="00527AA7"/>
    <w:rsid w:val="00527B01"/>
    <w:rsid w:val="00527B1F"/>
    <w:rsid w:val="00527C39"/>
    <w:rsid w:val="00527C92"/>
    <w:rsid w:val="00527CD6"/>
    <w:rsid w:val="00527DBC"/>
    <w:rsid w:val="00527DE0"/>
    <w:rsid w:val="00527E47"/>
    <w:rsid w:val="00527E86"/>
    <w:rsid w:val="00530006"/>
    <w:rsid w:val="0053012D"/>
    <w:rsid w:val="0053016C"/>
    <w:rsid w:val="005301D4"/>
    <w:rsid w:val="0053038C"/>
    <w:rsid w:val="00530410"/>
    <w:rsid w:val="005305E3"/>
    <w:rsid w:val="0053067F"/>
    <w:rsid w:val="00530815"/>
    <w:rsid w:val="00530838"/>
    <w:rsid w:val="00530853"/>
    <w:rsid w:val="005308F7"/>
    <w:rsid w:val="00530908"/>
    <w:rsid w:val="00530915"/>
    <w:rsid w:val="00530962"/>
    <w:rsid w:val="00530A7F"/>
    <w:rsid w:val="00530B31"/>
    <w:rsid w:val="00530B3C"/>
    <w:rsid w:val="00530BA3"/>
    <w:rsid w:val="00530CF6"/>
    <w:rsid w:val="00530E0A"/>
    <w:rsid w:val="00530F4B"/>
    <w:rsid w:val="00530F71"/>
    <w:rsid w:val="00530FBF"/>
    <w:rsid w:val="00530FE0"/>
    <w:rsid w:val="0053107E"/>
    <w:rsid w:val="005310D7"/>
    <w:rsid w:val="00531521"/>
    <w:rsid w:val="005315AB"/>
    <w:rsid w:val="005315D3"/>
    <w:rsid w:val="005317CE"/>
    <w:rsid w:val="005317E6"/>
    <w:rsid w:val="00531839"/>
    <w:rsid w:val="00531855"/>
    <w:rsid w:val="00531868"/>
    <w:rsid w:val="005318DE"/>
    <w:rsid w:val="005318E2"/>
    <w:rsid w:val="005318FF"/>
    <w:rsid w:val="005319D5"/>
    <w:rsid w:val="00531AA7"/>
    <w:rsid w:val="00531B09"/>
    <w:rsid w:val="00531B0A"/>
    <w:rsid w:val="00531B6D"/>
    <w:rsid w:val="00531C5F"/>
    <w:rsid w:val="00531D3C"/>
    <w:rsid w:val="00531E3D"/>
    <w:rsid w:val="00532053"/>
    <w:rsid w:val="00532076"/>
    <w:rsid w:val="005321B5"/>
    <w:rsid w:val="0053225A"/>
    <w:rsid w:val="005323AD"/>
    <w:rsid w:val="005323C8"/>
    <w:rsid w:val="00532522"/>
    <w:rsid w:val="00532526"/>
    <w:rsid w:val="0053256E"/>
    <w:rsid w:val="0053261A"/>
    <w:rsid w:val="00532708"/>
    <w:rsid w:val="00532767"/>
    <w:rsid w:val="0053281F"/>
    <w:rsid w:val="0053283B"/>
    <w:rsid w:val="00532857"/>
    <w:rsid w:val="00532887"/>
    <w:rsid w:val="00532953"/>
    <w:rsid w:val="00532981"/>
    <w:rsid w:val="00532B08"/>
    <w:rsid w:val="00532B2D"/>
    <w:rsid w:val="00532B46"/>
    <w:rsid w:val="00532C42"/>
    <w:rsid w:val="00532D66"/>
    <w:rsid w:val="00532D74"/>
    <w:rsid w:val="00532E81"/>
    <w:rsid w:val="00532EA4"/>
    <w:rsid w:val="00532EE8"/>
    <w:rsid w:val="00532F42"/>
    <w:rsid w:val="00533025"/>
    <w:rsid w:val="0053313E"/>
    <w:rsid w:val="00533150"/>
    <w:rsid w:val="00533165"/>
    <w:rsid w:val="005331B0"/>
    <w:rsid w:val="005331EB"/>
    <w:rsid w:val="00533222"/>
    <w:rsid w:val="0053331D"/>
    <w:rsid w:val="005334CC"/>
    <w:rsid w:val="00533585"/>
    <w:rsid w:val="005335F6"/>
    <w:rsid w:val="00533944"/>
    <w:rsid w:val="00533987"/>
    <w:rsid w:val="005339BD"/>
    <w:rsid w:val="005339FE"/>
    <w:rsid w:val="00533B59"/>
    <w:rsid w:val="00533B75"/>
    <w:rsid w:val="00533C60"/>
    <w:rsid w:val="00533CBE"/>
    <w:rsid w:val="00533D03"/>
    <w:rsid w:val="00533D3B"/>
    <w:rsid w:val="00533DFE"/>
    <w:rsid w:val="00533F27"/>
    <w:rsid w:val="00533F94"/>
    <w:rsid w:val="005341B2"/>
    <w:rsid w:val="00534269"/>
    <w:rsid w:val="005343F9"/>
    <w:rsid w:val="00534518"/>
    <w:rsid w:val="00534689"/>
    <w:rsid w:val="005346D7"/>
    <w:rsid w:val="0053471B"/>
    <w:rsid w:val="00534909"/>
    <w:rsid w:val="00534950"/>
    <w:rsid w:val="00534A2B"/>
    <w:rsid w:val="00534A37"/>
    <w:rsid w:val="00534BCF"/>
    <w:rsid w:val="00534C22"/>
    <w:rsid w:val="00534D60"/>
    <w:rsid w:val="00534FBF"/>
    <w:rsid w:val="00534FEE"/>
    <w:rsid w:val="005350E2"/>
    <w:rsid w:val="00535135"/>
    <w:rsid w:val="00535201"/>
    <w:rsid w:val="00535214"/>
    <w:rsid w:val="00535323"/>
    <w:rsid w:val="0053533D"/>
    <w:rsid w:val="00535408"/>
    <w:rsid w:val="0053560C"/>
    <w:rsid w:val="00535679"/>
    <w:rsid w:val="005356E0"/>
    <w:rsid w:val="005358D7"/>
    <w:rsid w:val="00535A5D"/>
    <w:rsid w:val="00535A63"/>
    <w:rsid w:val="00535A82"/>
    <w:rsid w:val="00535B75"/>
    <w:rsid w:val="00535C3B"/>
    <w:rsid w:val="00535CCD"/>
    <w:rsid w:val="00535D56"/>
    <w:rsid w:val="00535F16"/>
    <w:rsid w:val="0053605E"/>
    <w:rsid w:val="00536065"/>
    <w:rsid w:val="00536162"/>
    <w:rsid w:val="00536247"/>
    <w:rsid w:val="00536570"/>
    <w:rsid w:val="00536575"/>
    <w:rsid w:val="005367F5"/>
    <w:rsid w:val="00536925"/>
    <w:rsid w:val="005369C2"/>
    <w:rsid w:val="00536A4A"/>
    <w:rsid w:val="00536A5D"/>
    <w:rsid w:val="00536B14"/>
    <w:rsid w:val="00536B25"/>
    <w:rsid w:val="00536B71"/>
    <w:rsid w:val="00536BC2"/>
    <w:rsid w:val="00536CC7"/>
    <w:rsid w:val="00536DC0"/>
    <w:rsid w:val="00536E43"/>
    <w:rsid w:val="00536EA0"/>
    <w:rsid w:val="005370AE"/>
    <w:rsid w:val="005371B0"/>
    <w:rsid w:val="005371B5"/>
    <w:rsid w:val="00537233"/>
    <w:rsid w:val="00537269"/>
    <w:rsid w:val="005372BA"/>
    <w:rsid w:val="00537354"/>
    <w:rsid w:val="0053744E"/>
    <w:rsid w:val="005374B7"/>
    <w:rsid w:val="00537556"/>
    <w:rsid w:val="0053756F"/>
    <w:rsid w:val="005375EF"/>
    <w:rsid w:val="005377FA"/>
    <w:rsid w:val="00537993"/>
    <w:rsid w:val="00537999"/>
    <w:rsid w:val="00537CCA"/>
    <w:rsid w:val="00537D74"/>
    <w:rsid w:val="00537DA8"/>
    <w:rsid w:val="00537E01"/>
    <w:rsid w:val="00537E74"/>
    <w:rsid w:val="00537EE6"/>
    <w:rsid w:val="00537EFC"/>
    <w:rsid w:val="0054000A"/>
    <w:rsid w:val="0054000C"/>
    <w:rsid w:val="0054003E"/>
    <w:rsid w:val="00540117"/>
    <w:rsid w:val="005401D1"/>
    <w:rsid w:val="0054021F"/>
    <w:rsid w:val="005402B5"/>
    <w:rsid w:val="005402D4"/>
    <w:rsid w:val="005404EE"/>
    <w:rsid w:val="00540505"/>
    <w:rsid w:val="0054056C"/>
    <w:rsid w:val="00540684"/>
    <w:rsid w:val="005406C2"/>
    <w:rsid w:val="00540739"/>
    <w:rsid w:val="0054074A"/>
    <w:rsid w:val="005407D7"/>
    <w:rsid w:val="005407F1"/>
    <w:rsid w:val="0054082A"/>
    <w:rsid w:val="005408C5"/>
    <w:rsid w:val="005409F9"/>
    <w:rsid w:val="00540B49"/>
    <w:rsid w:val="00540BDF"/>
    <w:rsid w:val="00540C72"/>
    <w:rsid w:val="00540CE3"/>
    <w:rsid w:val="00540D15"/>
    <w:rsid w:val="00540D61"/>
    <w:rsid w:val="00540F44"/>
    <w:rsid w:val="0054109F"/>
    <w:rsid w:val="005410BF"/>
    <w:rsid w:val="005410D1"/>
    <w:rsid w:val="00541153"/>
    <w:rsid w:val="00541158"/>
    <w:rsid w:val="00541680"/>
    <w:rsid w:val="00541739"/>
    <w:rsid w:val="0054182F"/>
    <w:rsid w:val="00541905"/>
    <w:rsid w:val="005419B7"/>
    <w:rsid w:val="005419DF"/>
    <w:rsid w:val="00541AEC"/>
    <w:rsid w:val="00541B0A"/>
    <w:rsid w:val="00541B6F"/>
    <w:rsid w:val="00541B9B"/>
    <w:rsid w:val="00541BB1"/>
    <w:rsid w:val="00541C15"/>
    <w:rsid w:val="00541CB3"/>
    <w:rsid w:val="00541E8C"/>
    <w:rsid w:val="00541EDD"/>
    <w:rsid w:val="00541F51"/>
    <w:rsid w:val="00541F6D"/>
    <w:rsid w:val="00541FAD"/>
    <w:rsid w:val="00542042"/>
    <w:rsid w:val="00542053"/>
    <w:rsid w:val="0054219B"/>
    <w:rsid w:val="005422FF"/>
    <w:rsid w:val="005423F6"/>
    <w:rsid w:val="00542595"/>
    <w:rsid w:val="005425B7"/>
    <w:rsid w:val="0054277B"/>
    <w:rsid w:val="005427F1"/>
    <w:rsid w:val="00542969"/>
    <w:rsid w:val="00542988"/>
    <w:rsid w:val="00542AB5"/>
    <w:rsid w:val="00542B16"/>
    <w:rsid w:val="00542B71"/>
    <w:rsid w:val="00542C83"/>
    <w:rsid w:val="00542CE5"/>
    <w:rsid w:val="00542D4A"/>
    <w:rsid w:val="00542D5E"/>
    <w:rsid w:val="00542D77"/>
    <w:rsid w:val="00542DE9"/>
    <w:rsid w:val="00542EE6"/>
    <w:rsid w:val="00542F2F"/>
    <w:rsid w:val="0054300C"/>
    <w:rsid w:val="0054301E"/>
    <w:rsid w:val="00543038"/>
    <w:rsid w:val="00543071"/>
    <w:rsid w:val="005432D0"/>
    <w:rsid w:val="0054336B"/>
    <w:rsid w:val="00543599"/>
    <w:rsid w:val="0054360A"/>
    <w:rsid w:val="0054365B"/>
    <w:rsid w:val="00543691"/>
    <w:rsid w:val="00543771"/>
    <w:rsid w:val="0054378B"/>
    <w:rsid w:val="00543879"/>
    <w:rsid w:val="005438A1"/>
    <w:rsid w:val="00543960"/>
    <w:rsid w:val="00543A3B"/>
    <w:rsid w:val="00543A97"/>
    <w:rsid w:val="00543ACE"/>
    <w:rsid w:val="00543ADF"/>
    <w:rsid w:val="00543C0A"/>
    <w:rsid w:val="00543C41"/>
    <w:rsid w:val="00543C7A"/>
    <w:rsid w:val="00543CA1"/>
    <w:rsid w:val="00543D2C"/>
    <w:rsid w:val="00543D30"/>
    <w:rsid w:val="00543D38"/>
    <w:rsid w:val="00543D5F"/>
    <w:rsid w:val="00543E79"/>
    <w:rsid w:val="00543FF4"/>
    <w:rsid w:val="005440BD"/>
    <w:rsid w:val="0054411B"/>
    <w:rsid w:val="00544373"/>
    <w:rsid w:val="00544484"/>
    <w:rsid w:val="005445F0"/>
    <w:rsid w:val="005446F8"/>
    <w:rsid w:val="005447CD"/>
    <w:rsid w:val="0054480B"/>
    <w:rsid w:val="0054484A"/>
    <w:rsid w:val="005449A6"/>
    <w:rsid w:val="00544B12"/>
    <w:rsid w:val="00544B9D"/>
    <w:rsid w:val="00544BDA"/>
    <w:rsid w:val="00544C3D"/>
    <w:rsid w:val="00544D23"/>
    <w:rsid w:val="00544DC7"/>
    <w:rsid w:val="00544E33"/>
    <w:rsid w:val="00544EA8"/>
    <w:rsid w:val="00544F1E"/>
    <w:rsid w:val="00544F7C"/>
    <w:rsid w:val="0054528A"/>
    <w:rsid w:val="005452F5"/>
    <w:rsid w:val="00545316"/>
    <w:rsid w:val="00545342"/>
    <w:rsid w:val="00545389"/>
    <w:rsid w:val="00545433"/>
    <w:rsid w:val="0054546A"/>
    <w:rsid w:val="00545573"/>
    <w:rsid w:val="005456C4"/>
    <w:rsid w:val="00545718"/>
    <w:rsid w:val="005457CB"/>
    <w:rsid w:val="00545853"/>
    <w:rsid w:val="00545912"/>
    <w:rsid w:val="00545AAA"/>
    <w:rsid w:val="00545B33"/>
    <w:rsid w:val="00545B9D"/>
    <w:rsid w:val="00545C4D"/>
    <w:rsid w:val="00545CF5"/>
    <w:rsid w:val="00545DE6"/>
    <w:rsid w:val="00545E0F"/>
    <w:rsid w:val="00545EF4"/>
    <w:rsid w:val="00545F0A"/>
    <w:rsid w:val="00545F5C"/>
    <w:rsid w:val="005460E2"/>
    <w:rsid w:val="005462BA"/>
    <w:rsid w:val="0054646A"/>
    <w:rsid w:val="00546647"/>
    <w:rsid w:val="005466A4"/>
    <w:rsid w:val="005466B7"/>
    <w:rsid w:val="00546728"/>
    <w:rsid w:val="00546797"/>
    <w:rsid w:val="005467A8"/>
    <w:rsid w:val="00546828"/>
    <w:rsid w:val="00546975"/>
    <w:rsid w:val="00546A89"/>
    <w:rsid w:val="00546B36"/>
    <w:rsid w:val="00546B95"/>
    <w:rsid w:val="00546C34"/>
    <w:rsid w:val="00546D82"/>
    <w:rsid w:val="00546DF1"/>
    <w:rsid w:val="00546FCE"/>
    <w:rsid w:val="00547136"/>
    <w:rsid w:val="005471A0"/>
    <w:rsid w:val="00547245"/>
    <w:rsid w:val="005472A7"/>
    <w:rsid w:val="0054749F"/>
    <w:rsid w:val="00547523"/>
    <w:rsid w:val="0054753E"/>
    <w:rsid w:val="005475EC"/>
    <w:rsid w:val="00547601"/>
    <w:rsid w:val="0054760A"/>
    <w:rsid w:val="0054776E"/>
    <w:rsid w:val="005477A1"/>
    <w:rsid w:val="005477D6"/>
    <w:rsid w:val="0054784B"/>
    <w:rsid w:val="00547854"/>
    <w:rsid w:val="00547976"/>
    <w:rsid w:val="00547989"/>
    <w:rsid w:val="005479CA"/>
    <w:rsid w:val="00547C5F"/>
    <w:rsid w:val="00547CBB"/>
    <w:rsid w:val="00547D61"/>
    <w:rsid w:val="00547E7F"/>
    <w:rsid w:val="00547EB7"/>
    <w:rsid w:val="00547F88"/>
    <w:rsid w:val="00547FE2"/>
    <w:rsid w:val="00550055"/>
    <w:rsid w:val="00550279"/>
    <w:rsid w:val="005502EC"/>
    <w:rsid w:val="005503A1"/>
    <w:rsid w:val="00550427"/>
    <w:rsid w:val="00550482"/>
    <w:rsid w:val="005504DD"/>
    <w:rsid w:val="00550523"/>
    <w:rsid w:val="00550530"/>
    <w:rsid w:val="005506AF"/>
    <w:rsid w:val="005506B1"/>
    <w:rsid w:val="00550786"/>
    <w:rsid w:val="005507EB"/>
    <w:rsid w:val="00550833"/>
    <w:rsid w:val="0055086A"/>
    <w:rsid w:val="005508C9"/>
    <w:rsid w:val="005509C3"/>
    <w:rsid w:val="005509F1"/>
    <w:rsid w:val="00550A07"/>
    <w:rsid w:val="00550A76"/>
    <w:rsid w:val="00550A99"/>
    <w:rsid w:val="00550A9C"/>
    <w:rsid w:val="00550ABC"/>
    <w:rsid w:val="00550ADD"/>
    <w:rsid w:val="00550AED"/>
    <w:rsid w:val="00550AF2"/>
    <w:rsid w:val="00550C0C"/>
    <w:rsid w:val="00550CA2"/>
    <w:rsid w:val="00550CE7"/>
    <w:rsid w:val="00550E92"/>
    <w:rsid w:val="00550EFE"/>
    <w:rsid w:val="00550F40"/>
    <w:rsid w:val="00550F60"/>
    <w:rsid w:val="00550FCC"/>
    <w:rsid w:val="00550FDA"/>
    <w:rsid w:val="00550FEC"/>
    <w:rsid w:val="00551026"/>
    <w:rsid w:val="005510C3"/>
    <w:rsid w:val="005510D8"/>
    <w:rsid w:val="005510DA"/>
    <w:rsid w:val="005510E7"/>
    <w:rsid w:val="0055110B"/>
    <w:rsid w:val="00551192"/>
    <w:rsid w:val="0055119A"/>
    <w:rsid w:val="0055120D"/>
    <w:rsid w:val="005512BA"/>
    <w:rsid w:val="0055131A"/>
    <w:rsid w:val="00551396"/>
    <w:rsid w:val="005513F5"/>
    <w:rsid w:val="00551516"/>
    <w:rsid w:val="00551533"/>
    <w:rsid w:val="005515DF"/>
    <w:rsid w:val="0055166E"/>
    <w:rsid w:val="00551689"/>
    <w:rsid w:val="0055168E"/>
    <w:rsid w:val="005516B9"/>
    <w:rsid w:val="0055174F"/>
    <w:rsid w:val="005517F5"/>
    <w:rsid w:val="00551876"/>
    <w:rsid w:val="005518AE"/>
    <w:rsid w:val="005519FC"/>
    <w:rsid w:val="00551A78"/>
    <w:rsid w:val="00551AB4"/>
    <w:rsid w:val="00551AC5"/>
    <w:rsid w:val="00551AEB"/>
    <w:rsid w:val="00551B40"/>
    <w:rsid w:val="00551B44"/>
    <w:rsid w:val="00551B76"/>
    <w:rsid w:val="00551C26"/>
    <w:rsid w:val="00551D90"/>
    <w:rsid w:val="00551DFC"/>
    <w:rsid w:val="00551E46"/>
    <w:rsid w:val="00551ED8"/>
    <w:rsid w:val="00551FA0"/>
    <w:rsid w:val="00552052"/>
    <w:rsid w:val="005520DD"/>
    <w:rsid w:val="0055210D"/>
    <w:rsid w:val="005521A4"/>
    <w:rsid w:val="0055237F"/>
    <w:rsid w:val="005523CD"/>
    <w:rsid w:val="00552471"/>
    <w:rsid w:val="0055263B"/>
    <w:rsid w:val="00552649"/>
    <w:rsid w:val="0055267D"/>
    <w:rsid w:val="0055273C"/>
    <w:rsid w:val="00552752"/>
    <w:rsid w:val="0055278A"/>
    <w:rsid w:val="005527C4"/>
    <w:rsid w:val="005527E9"/>
    <w:rsid w:val="005529B1"/>
    <w:rsid w:val="00552BC8"/>
    <w:rsid w:val="00552BF5"/>
    <w:rsid w:val="00552CD6"/>
    <w:rsid w:val="00552CE3"/>
    <w:rsid w:val="00552E16"/>
    <w:rsid w:val="00552EE9"/>
    <w:rsid w:val="00552F41"/>
    <w:rsid w:val="00553062"/>
    <w:rsid w:val="0055308B"/>
    <w:rsid w:val="005530B6"/>
    <w:rsid w:val="00553111"/>
    <w:rsid w:val="005531DF"/>
    <w:rsid w:val="00553221"/>
    <w:rsid w:val="00553268"/>
    <w:rsid w:val="005532F0"/>
    <w:rsid w:val="005533DD"/>
    <w:rsid w:val="005534E3"/>
    <w:rsid w:val="005534FC"/>
    <w:rsid w:val="005535E2"/>
    <w:rsid w:val="00553607"/>
    <w:rsid w:val="00553744"/>
    <w:rsid w:val="005537B6"/>
    <w:rsid w:val="005537C9"/>
    <w:rsid w:val="005537F2"/>
    <w:rsid w:val="0055385C"/>
    <w:rsid w:val="00553A64"/>
    <w:rsid w:val="00553A9E"/>
    <w:rsid w:val="00553AF6"/>
    <w:rsid w:val="00553D04"/>
    <w:rsid w:val="00553F90"/>
    <w:rsid w:val="00554040"/>
    <w:rsid w:val="00554075"/>
    <w:rsid w:val="0055429A"/>
    <w:rsid w:val="005542EB"/>
    <w:rsid w:val="0055438B"/>
    <w:rsid w:val="0055438D"/>
    <w:rsid w:val="00554415"/>
    <w:rsid w:val="0055443B"/>
    <w:rsid w:val="00554506"/>
    <w:rsid w:val="00554537"/>
    <w:rsid w:val="00554645"/>
    <w:rsid w:val="00554665"/>
    <w:rsid w:val="00554866"/>
    <w:rsid w:val="00554A25"/>
    <w:rsid w:val="00554A40"/>
    <w:rsid w:val="00554B19"/>
    <w:rsid w:val="00554B4E"/>
    <w:rsid w:val="00554B94"/>
    <w:rsid w:val="00554BBD"/>
    <w:rsid w:val="00554BC6"/>
    <w:rsid w:val="00554D57"/>
    <w:rsid w:val="00554E3A"/>
    <w:rsid w:val="00554E62"/>
    <w:rsid w:val="00554F13"/>
    <w:rsid w:val="00554FA8"/>
    <w:rsid w:val="0055505C"/>
    <w:rsid w:val="005550A7"/>
    <w:rsid w:val="00555178"/>
    <w:rsid w:val="0055519C"/>
    <w:rsid w:val="00555271"/>
    <w:rsid w:val="00555273"/>
    <w:rsid w:val="0055527F"/>
    <w:rsid w:val="0055530E"/>
    <w:rsid w:val="00555331"/>
    <w:rsid w:val="0055539B"/>
    <w:rsid w:val="005554DB"/>
    <w:rsid w:val="0055559C"/>
    <w:rsid w:val="005555F3"/>
    <w:rsid w:val="00555656"/>
    <w:rsid w:val="00555800"/>
    <w:rsid w:val="005559CE"/>
    <w:rsid w:val="005559DC"/>
    <w:rsid w:val="00555AB3"/>
    <w:rsid w:val="00555B03"/>
    <w:rsid w:val="00555B0B"/>
    <w:rsid w:val="00555BB5"/>
    <w:rsid w:val="00555D6B"/>
    <w:rsid w:val="00555E36"/>
    <w:rsid w:val="00555EC2"/>
    <w:rsid w:val="00555EDE"/>
    <w:rsid w:val="00555FE4"/>
    <w:rsid w:val="00556063"/>
    <w:rsid w:val="00556074"/>
    <w:rsid w:val="00556080"/>
    <w:rsid w:val="0055609E"/>
    <w:rsid w:val="00556195"/>
    <w:rsid w:val="00556199"/>
    <w:rsid w:val="0055623A"/>
    <w:rsid w:val="00556293"/>
    <w:rsid w:val="00556449"/>
    <w:rsid w:val="005564BA"/>
    <w:rsid w:val="005565C3"/>
    <w:rsid w:val="005565EB"/>
    <w:rsid w:val="0055663E"/>
    <w:rsid w:val="005566D4"/>
    <w:rsid w:val="0055673E"/>
    <w:rsid w:val="00556898"/>
    <w:rsid w:val="00556A7E"/>
    <w:rsid w:val="00556AEE"/>
    <w:rsid w:val="00556B30"/>
    <w:rsid w:val="00556CB7"/>
    <w:rsid w:val="00556D03"/>
    <w:rsid w:val="00556EC8"/>
    <w:rsid w:val="00556EED"/>
    <w:rsid w:val="00556F19"/>
    <w:rsid w:val="00556F88"/>
    <w:rsid w:val="00556FBF"/>
    <w:rsid w:val="0055703F"/>
    <w:rsid w:val="0055706C"/>
    <w:rsid w:val="00557131"/>
    <w:rsid w:val="00557147"/>
    <w:rsid w:val="005571B8"/>
    <w:rsid w:val="00557262"/>
    <w:rsid w:val="00557272"/>
    <w:rsid w:val="0055732E"/>
    <w:rsid w:val="00557374"/>
    <w:rsid w:val="005573F3"/>
    <w:rsid w:val="0055741D"/>
    <w:rsid w:val="0055746A"/>
    <w:rsid w:val="005574E4"/>
    <w:rsid w:val="00557561"/>
    <w:rsid w:val="00557727"/>
    <w:rsid w:val="005577ED"/>
    <w:rsid w:val="00557879"/>
    <w:rsid w:val="005578EB"/>
    <w:rsid w:val="005578F0"/>
    <w:rsid w:val="005579E6"/>
    <w:rsid w:val="00557A57"/>
    <w:rsid w:val="00557B1D"/>
    <w:rsid w:val="00557B3D"/>
    <w:rsid w:val="00557BA1"/>
    <w:rsid w:val="00557CDA"/>
    <w:rsid w:val="00557D81"/>
    <w:rsid w:val="00557DA8"/>
    <w:rsid w:val="00557DAE"/>
    <w:rsid w:val="00557EE6"/>
    <w:rsid w:val="00557F3B"/>
    <w:rsid w:val="00557F6A"/>
    <w:rsid w:val="00557FA8"/>
    <w:rsid w:val="00557FBD"/>
    <w:rsid w:val="005601D6"/>
    <w:rsid w:val="00560207"/>
    <w:rsid w:val="0056032B"/>
    <w:rsid w:val="00560416"/>
    <w:rsid w:val="0056045F"/>
    <w:rsid w:val="005604EC"/>
    <w:rsid w:val="00560502"/>
    <w:rsid w:val="005605F9"/>
    <w:rsid w:val="0056065C"/>
    <w:rsid w:val="005606DC"/>
    <w:rsid w:val="00560751"/>
    <w:rsid w:val="0056077A"/>
    <w:rsid w:val="005608A0"/>
    <w:rsid w:val="0056096E"/>
    <w:rsid w:val="00560CB3"/>
    <w:rsid w:val="00560DA1"/>
    <w:rsid w:val="0056101A"/>
    <w:rsid w:val="00561230"/>
    <w:rsid w:val="00561246"/>
    <w:rsid w:val="0056124C"/>
    <w:rsid w:val="005613E9"/>
    <w:rsid w:val="0056154D"/>
    <w:rsid w:val="0056158A"/>
    <w:rsid w:val="00561720"/>
    <w:rsid w:val="0056175A"/>
    <w:rsid w:val="0056181E"/>
    <w:rsid w:val="005618E9"/>
    <w:rsid w:val="00561AC1"/>
    <w:rsid w:val="00561B04"/>
    <w:rsid w:val="00561BFE"/>
    <w:rsid w:val="00561C0C"/>
    <w:rsid w:val="00561DCC"/>
    <w:rsid w:val="00561DF0"/>
    <w:rsid w:val="00561EBC"/>
    <w:rsid w:val="00562057"/>
    <w:rsid w:val="00562065"/>
    <w:rsid w:val="00562070"/>
    <w:rsid w:val="0056228B"/>
    <w:rsid w:val="005623EF"/>
    <w:rsid w:val="00562515"/>
    <w:rsid w:val="00562645"/>
    <w:rsid w:val="00562713"/>
    <w:rsid w:val="0056283E"/>
    <w:rsid w:val="0056295C"/>
    <w:rsid w:val="005629AA"/>
    <w:rsid w:val="00562A1C"/>
    <w:rsid w:val="00562A53"/>
    <w:rsid w:val="00562B64"/>
    <w:rsid w:val="00562B9E"/>
    <w:rsid w:val="00562D42"/>
    <w:rsid w:val="00562D7D"/>
    <w:rsid w:val="00562DC1"/>
    <w:rsid w:val="00562DC9"/>
    <w:rsid w:val="00562EFF"/>
    <w:rsid w:val="00562FFC"/>
    <w:rsid w:val="00563086"/>
    <w:rsid w:val="005630CB"/>
    <w:rsid w:val="005630EC"/>
    <w:rsid w:val="005631D1"/>
    <w:rsid w:val="0056320C"/>
    <w:rsid w:val="00563220"/>
    <w:rsid w:val="00563272"/>
    <w:rsid w:val="005632BB"/>
    <w:rsid w:val="00563417"/>
    <w:rsid w:val="00563423"/>
    <w:rsid w:val="0056369E"/>
    <w:rsid w:val="0056372F"/>
    <w:rsid w:val="0056387A"/>
    <w:rsid w:val="005639C4"/>
    <w:rsid w:val="005639E7"/>
    <w:rsid w:val="00563A44"/>
    <w:rsid w:val="00563ACD"/>
    <w:rsid w:val="00563AD8"/>
    <w:rsid w:val="00563C07"/>
    <w:rsid w:val="00563C8C"/>
    <w:rsid w:val="00563CE1"/>
    <w:rsid w:val="00563D70"/>
    <w:rsid w:val="00563D98"/>
    <w:rsid w:val="00563DA5"/>
    <w:rsid w:val="00563EAE"/>
    <w:rsid w:val="00563ED3"/>
    <w:rsid w:val="00563F0F"/>
    <w:rsid w:val="00563FE2"/>
    <w:rsid w:val="00564028"/>
    <w:rsid w:val="005640E9"/>
    <w:rsid w:val="005641E9"/>
    <w:rsid w:val="005642BD"/>
    <w:rsid w:val="00564306"/>
    <w:rsid w:val="0056452C"/>
    <w:rsid w:val="0056457C"/>
    <w:rsid w:val="0056459C"/>
    <w:rsid w:val="005645BC"/>
    <w:rsid w:val="00564882"/>
    <w:rsid w:val="00564A49"/>
    <w:rsid w:val="00564AC5"/>
    <w:rsid w:val="00564BA3"/>
    <w:rsid w:val="00564D7B"/>
    <w:rsid w:val="00564D90"/>
    <w:rsid w:val="00564E55"/>
    <w:rsid w:val="00564E63"/>
    <w:rsid w:val="00564EB8"/>
    <w:rsid w:val="00564ED1"/>
    <w:rsid w:val="00564EE8"/>
    <w:rsid w:val="00564FBF"/>
    <w:rsid w:val="00565011"/>
    <w:rsid w:val="00565054"/>
    <w:rsid w:val="00565149"/>
    <w:rsid w:val="005651B2"/>
    <w:rsid w:val="005651CF"/>
    <w:rsid w:val="00565260"/>
    <w:rsid w:val="005652A2"/>
    <w:rsid w:val="005652A8"/>
    <w:rsid w:val="00565323"/>
    <w:rsid w:val="0056547C"/>
    <w:rsid w:val="0056548D"/>
    <w:rsid w:val="005655B9"/>
    <w:rsid w:val="00565666"/>
    <w:rsid w:val="005656A5"/>
    <w:rsid w:val="00565794"/>
    <w:rsid w:val="005657B2"/>
    <w:rsid w:val="00565816"/>
    <w:rsid w:val="005658A5"/>
    <w:rsid w:val="005658D8"/>
    <w:rsid w:val="00565AF6"/>
    <w:rsid w:val="00565BDE"/>
    <w:rsid w:val="00565C76"/>
    <w:rsid w:val="00565C91"/>
    <w:rsid w:val="00565CED"/>
    <w:rsid w:val="00565D94"/>
    <w:rsid w:val="0056601B"/>
    <w:rsid w:val="0056602D"/>
    <w:rsid w:val="0056607F"/>
    <w:rsid w:val="005660C0"/>
    <w:rsid w:val="005660CB"/>
    <w:rsid w:val="0056629B"/>
    <w:rsid w:val="005662FC"/>
    <w:rsid w:val="00566305"/>
    <w:rsid w:val="0056637F"/>
    <w:rsid w:val="0056640C"/>
    <w:rsid w:val="00566420"/>
    <w:rsid w:val="00566494"/>
    <w:rsid w:val="00566650"/>
    <w:rsid w:val="00566750"/>
    <w:rsid w:val="005667B0"/>
    <w:rsid w:val="005667DA"/>
    <w:rsid w:val="00566884"/>
    <w:rsid w:val="00566B43"/>
    <w:rsid w:val="00566B48"/>
    <w:rsid w:val="00566C02"/>
    <w:rsid w:val="00566C20"/>
    <w:rsid w:val="00566C3C"/>
    <w:rsid w:val="00566C6A"/>
    <w:rsid w:val="00566D36"/>
    <w:rsid w:val="00566DCC"/>
    <w:rsid w:val="00566E87"/>
    <w:rsid w:val="00566EA8"/>
    <w:rsid w:val="00566ED9"/>
    <w:rsid w:val="00566F45"/>
    <w:rsid w:val="0056714C"/>
    <w:rsid w:val="005671BB"/>
    <w:rsid w:val="005671E7"/>
    <w:rsid w:val="00567300"/>
    <w:rsid w:val="0056736C"/>
    <w:rsid w:val="00567384"/>
    <w:rsid w:val="0056758A"/>
    <w:rsid w:val="005676B6"/>
    <w:rsid w:val="005676F2"/>
    <w:rsid w:val="005677CF"/>
    <w:rsid w:val="00567801"/>
    <w:rsid w:val="00567895"/>
    <w:rsid w:val="005679C3"/>
    <w:rsid w:val="00567AC0"/>
    <w:rsid w:val="00567B88"/>
    <w:rsid w:val="00567DA4"/>
    <w:rsid w:val="00567DC5"/>
    <w:rsid w:val="00567E51"/>
    <w:rsid w:val="00567ED6"/>
    <w:rsid w:val="00570052"/>
    <w:rsid w:val="005700A1"/>
    <w:rsid w:val="005701F1"/>
    <w:rsid w:val="0057047F"/>
    <w:rsid w:val="0057049D"/>
    <w:rsid w:val="005704BF"/>
    <w:rsid w:val="00570520"/>
    <w:rsid w:val="005705D4"/>
    <w:rsid w:val="00570616"/>
    <w:rsid w:val="00570771"/>
    <w:rsid w:val="005707A9"/>
    <w:rsid w:val="0057081B"/>
    <w:rsid w:val="0057084E"/>
    <w:rsid w:val="00570A3F"/>
    <w:rsid w:val="00570D3C"/>
    <w:rsid w:val="00570E4B"/>
    <w:rsid w:val="00570FB6"/>
    <w:rsid w:val="00571043"/>
    <w:rsid w:val="00571281"/>
    <w:rsid w:val="00571287"/>
    <w:rsid w:val="005712AD"/>
    <w:rsid w:val="00571340"/>
    <w:rsid w:val="00571345"/>
    <w:rsid w:val="005713E5"/>
    <w:rsid w:val="0057147A"/>
    <w:rsid w:val="00571495"/>
    <w:rsid w:val="005714AE"/>
    <w:rsid w:val="005715E2"/>
    <w:rsid w:val="00571604"/>
    <w:rsid w:val="00571632"/>
    <w:rsid w:val="005717D5"/>
    <w:rsid w:val="0057188E"/>
    <w:rsid w:val="00571961"/>
    <w:rsid w:val="00571B35"/>
    <w:rsid w:val="00571B3D"/>
    <w:rsid w:val="00571B58"/>
    <w:rsid w:val="00571BEE"/>
    <w:rsid w:val="00571C93"/>
    <w:rsid w:val="00571CEF"/>
    <w:rsid w:val="00571D68"/>
    <w:rsid w:val="00571D90"/>
    <w:rsid w:val="005720CC"/>
    <w:rsid w:val="00572115"/>
    <w:rsid w:val="0057211E"/>
    <w:rsid w:val="0057226F"/>
    <w:rsid w:val="0057229E"/>
    <w:rsid w:val="0057237D"/>
    <w:rsid w:val="00572499"/>
    <w:rsid w:val="005724BF"/>
    <w:rsid w:val="00572549"/>
    <w:rsid w:val="00572573"/>
    <w:rsid w:val="005726BC"/>
    <w:rsid w:val="00572836"/>
    <w:rsid w:val="0057287C"/>
    <w:rsid w:val="0057299C"/>
    <w:rsid w:val="005729FF"/>
    <w:rsid w:val="00572AD1"/>
    <w:rsid w:val="00572AD2"/>
    <w:rsid w:val="00572B67"/>
    <w:rsid w:val="00572CA3"/>
    <w:rsid w:val="00572CDB"/>
    <w:rsid w:val="00572CE8"/>
    <w:rsid w:val="00572D59"/>
    <w:rsid w:val="00572DAE"/>
    <w:rsid w:val="00572E18"/>
    <w:rsid w:val="00572E75"/>
    <w:rsid w:val="00572EB6"/>
    <w:rsid w:val="005731BD"/>
    <w:rsid w:val="005731CE"/>
    <w:rsid w:val="005733DB"/>
    <w:rsid w:val="00573400"/>
    <w:rsid w:val="0057348F"/>
    <w:rsid w:val="00573548"/>
    <w:rsid w:val="005735C1"/>
    <w:rsid w:val="0057370B"/>
    <w:rsid w:val="00573894"/>
    <w:rsid w:val="005739B0"/>
    <w:rsid w:val="00573A00"/>
    <w:rsid w:val="00573AEB"/>
    <w:rsid w:val="00573C02"/>
    <w:rsid w:val="00573C4E"/>
    <w:rsid w:val="00573C96"/>
    <w:rsid w:val="00573F38"/>
    <w:rsid w:val="00573F58"/>
    <w:rsid w:val="00573FB9"/>
    <w:rsid w:val="005740C2"/>
    <w:rsid w:val="00574140"/>
    <w:rsid w:val="0057424A"/>
    <w:rsid w:val="0057428E"/>
    <w:rsid w:val="00574570"/>
    <w:rsid w:val="005746DC"/>
    <w:rsid w:val="005748B9"/>
    <w:rsid w:val="005749A1"/>
    <w:rsid w:val="005749F4"/>
    <w:rsid w:val="00574B73"/>
    <w:rsid w:val="00574C5A"/>
    <w:rsid w:val="00574DB4"/>
    <w:rsid w:val="00574E5B"/>
    <w:rsid w:val="00574E88"/>
    <w:rsid w:val="00574F5E"/>
    <w:rsid w:val="00574FA2"/>
    <w:rsid w:val="00575100"/>
    <w:rsid w:val="00575111"/>
    <w:rsid w:val="005751DD"/>
    <w:rsid w:val="00575259"/>
    <w:rsid w:val="00575332"/>
    <w:rsid w:val="0057543E"/>
    <w:rsid w:val="00575497"/>
    <w:rsid w:val="005755C1"/>
    <w:rsid w:val="005756A7"/>
    <w:rsid w:val="0057571F"/>
    <w:rsid w:val="0057572A"/>
    <w:rsid w:val="005757F8"/>
    <w:rsid w:val="00575863"/>
    <w:rsid w:val="00575918"/>
    <w:rsid w:val="00575921"/>
    <w:rsid w:val="00575B4D"/>
    <w:rsid w:val="00575C0C"/>
    <w:rsid w:val="00575FB1"/>
    <w:rsid w:val="005760E4"/>
    <w:rsid w:val="00576194"/>
    <w:rsid w:val="0057625E"/>
    <w:rsid w:val="005764C8"/>
    <w:rsid w:val="00576576"/>
    <w:rsid w:val="00576733"/>
    <w:rsid w:val="005767CF"/>
    <w:rsid w:val="00576887"/>
    <w:rsid w:val="00576A22"/>
    <w:rsid w:val="00576B28"/>
    <w:rsid w:val="00576C0F"/>
    <w:rsid w:val="00576C2A"/>
    <w:rsid w:val="00576E76"/>
    <w:rsid w:val="00577037"/>
    <w:rsid w:val="005770DE"/>
    <w:rsid w:val="00577120"/>
    <w:rsid w:val="00577138"/>
    <w:rsid w:val="005772F7"/>
    <w:rsid w:val="0057736A"/>
    <w:rsid w:val="005773AD"/>
    <w:rsid w:val="005773B0"/>
    <w:rsid w:val="00577455"/>
    <w:rsid w:val="00577464"/>
    <w:rsid w:val="005774B2"/>
    <w:rsid w:val="00577510"/>
    <w:rsid w:val="00577531"/>
    <w:rsid w:val="005775A0"/>
    <w:rsid w:val="005775BC"/>
    <w:rsid w:val="0057761C"/>
    <w:rsid w:val="0057767D"/>
    <w:rsid w:val="005776AE"/>
    <w:rsid w:val="005776DA"/>
    <w:rsid w:val="005777B9"/>
    <w:rsid w:val="005777E8"/>
    <w:rsid w:val="00577B48"/>
    <w:rsid w:val="00577B4F"/>
    <w:rsid w:val="00577BD1"/>
    <w:rsid w:val="00577D02"/>
    <w:rsid w:val="00577F76"/>
    <w:rsid w:val="00580071"/>
    <w:rsid w:val="005800CD"/>
    <w:rsid w:val="00580168"/>
    <w:rsid w:val="005801ED"/>
    <w:rsid w:val="005802AA"/>
    <w:rsid w:val="00580374"/>
    <w:rsid w:val="005803F6"/>
    <w:rsid w:val="00580515"/>
    <w:rsid w:val="00580723"/>
    <w:rsid w:val="00580737"/>
    <w:rsid w:val="0058078C"/>
    <w:rsid w:val="005807D6"/>
    <w:rsid w:val="005808CF"/>
    <w:rsid w:val="00580A68"/>
    <w:rsid w:val="00580ACB"/>
    <w:rsid w:val="00580AD4"/>
    <w:rsid w:val="00580C19"/>
    <w:rsid w:val="00580C48"/>
    <w:rsid w:val="00580C58"/>
    <w:rsid w:val="00580C60"/>
    <w:rsid w:val="00580C77"/>
    <w:rsid w:val="00580D34"/>
    <w:rsid w:val="00580D54"/>
    <w:rsid w:val="00580D84"/>
    <w:rsid w:val="00581004"/>
    <w:rsid w:val="0058103E"/>
    <w:rsid w:val="00581091"/>
    <w:rsid w:val="005811A2"/>
    <w:rsid w:val="005811FC"/>
    <w:rsid w:val="0058129A"/>
    <w:rsid w:val="005812BB"/>
    <w:rsid w:val="00581323"/>
    <w:rsid w:val="005813B3"/>
    <w:rsid w:val="0058147B"/>
    <w:rsid w:val="00581532"/>
    <w:rsid w:val="00581574"/>
    <w:rsid w:val="005815AE"/>
    <w:rsid w:val="005815D7"/>
    <w:rsid w:val="00581762"/>
    <w:rsid w:val="005817EA"/>
    <w:rsid w:val="0058192E"/>
    <w:rsid w:val="00581A3B"/>
    <w:rsid w:val="00581A8D"/>
    <w:rsid w:val="00581A92"/>
    <w:rsid w:val="00581BD6"/>
    <w:rsid w:val="00581C60"/>
    <w:rsid w:val="00581D59"/>
    <w:rsid w:val="00581D78"/>
    <w:rsid w:val="00581D9C"/>
    <w:rsid w:val="00581DEA"/>
    <w:rsid w:val="00581E72"/>
    <w:rsid w:val="00581EEB"/>
    <w:rsid w:val="00581FD1"/>
    <w:rsid w:val="00581FDB"/>
    <w:rsid w:val="00581FE3"/>
    <w:rsid w:val="00582018"/>
    <w:rsid w:val="00582069"/>
    <w:rsid w:val="005820A0"/>
    <w:rsid w:val="005821A4"/>
    <w:rsid w:val="005821C5"/>
    <w:rsid w:val="00582473"/>
    <w:rsid w:val="00582577"/>
    <w:rsid w:val="005825E2"/>
    <w:rsid w:val="005826D5"/>
    <w:rsid w:val="0058272B"/>
    <w:rsid w:val="005827CE"/>
    <w:rsid w:val="00582871"/>
    <w:rsid w:val="00582872"/>
    <w:rsid w:val="005828AE"/>
    <w:rsid w:val="005828E3"/>
    <w:rsid w:val="00582907"/>
    <w:rsid w:val="00582A7F"/>
    <w:rsid w:val="00582ACD"/>
    <w:rsid w:val="00582E3A"/>
    <w:rsid w:val="00582E56"/>
    <w:rsid w:val="00582FBF"/>
    <w:rsid w:val="00582FC8"/>
    <w:rsid w:val="00583136"/>
    <w:rsid w:val="00583140"/>
    <w:rsid w:val="0058315C"/>
    <w:rsid w:val="005831B4"/>
    <w:rsid w:val="005831E9"/>
    <w:rsid w:val="00583255"/>
    <w:rsid w:val="0058325B"/>
    <w:rsid w:val="0058330D"/>
    <w:rsid w:val="00583353"/>
    <w:rsid w:val="00583391"/>
    <w:rsid w:val="005834ED"/>
    <w:rsid w:val="0058350A"/>
    <w:rsid w:val="0058368E"/>
    <w:rsid w:val="005836C3"/>
    <w:rsid w:val="005836DA"/>
    <w:rsid w:val="00583769"/>
    <w:rsid w:val="00583787"/>
    <w:rsid w:val="0058380E"/>
    <w:rsid w:val="0058386C"/>
    <w:rsid w:val="005838A2"/>
    <w:rsid w:val="00583961"/>
    <w:rsid w:val="00583988"/>
    <w:rsid w:val="005839A3"/>
    <w:rsid w:val="005839B6"/>
    <w:rsid w:val="005839E5"/>
    <w:rsid w:val="005839E7"/>
    <w:rsid w:val="00583A75"/>
    <w:rsid w:val="00583D17"/>
    <w:rsid w:val="00583DDF"/>
    <w:rsid w:val="00583E9B"/>
    <w:rsid w:val="00583FEA"/>
    <w:rsid w:val="005840A2"/>
    <w:rsid w:val="005840AD"/>
    <w:rsid w:val="005841C0"/>
    <w:rsid w:val="0058421E"/>
    <w:rsid w:val="00584258"/>
    <w:rsid w:val="0058425A"/>
    <w:rsid w:val="00584400"/>
    <w:rsid w:val="00584441"/>
    <w:rsid w:val="00584687"/>
    <w:rsid w:val="00584699"/>
    <w:rsid w:val="00584789"/>
    <w:rsid w:val="0058481D"/>
    <w:rsid w:val="00584870"/>
    <w:rsid w:val="00584883"/>
    <w:rsid w:val="005848B1"/>
    <w:rsid w:val="00584905"/>
    <w:rsid w:val="00584983"/>
    <w:rsid w:val="005849CF"/>
    <w:rsid w:val="00584A3A"/>
    <w:rsid w:val="00584AE9"/>
    <w:rsid w:val="00584B12"/>
    <w:rsid w:val="00584B4E"/>
    <w:rsid w:val="00584BF4"/>
    <w:rsid w:val="00584CC0"/>
    <w:rsid w:val="00584DFA"/>
    <w:rsid w:val="00584EDD"/>
    <w:rsid w:val="00584F0A"/>
    <w:rsid w:val="00584F0D"/>
    <w:rsid w:val="00584F22"/>
    <w:rsid w:val="00584F59"/>
    <w:rsid w:val="00584FD7"/>
    <w:rsid w:val="00585086"/>
    <w:rsid w:val="00585128"/>
    <w:rsid w:val="00585198"/>
    <w:rsid w:val="00585223"/>
    <w:rsid w:val="00585232"/>
    <w:rsid w:val="0058525E"/>
    <w:rsid w:val="0058528B"/>
    <w:rsid w:val="00585311"/>
    <w:rsid w:val="00585323"/>
    <w:rsid w:val="00585324"/>
    <w:rsid w:val="00585441"/>
    <w:rsid w:val="005854A6"/>
    <w:rsid w:val="005854D3"/>
    <w:rsid w:val="00585524"/>
    <w:rsid w:val="00585576"/>
    <w:rsid w:val="00585619"/>
    <w:rsid w:val="0058564D"/>
    <w:rsid w:val="00585671"/>
    <w:rsid w:val="005857E0"/>
    <w:rsid w:val="005858EB"/>
    <w:rsid w:val="0058596A"/>
    <w:rsid w:val="00585A92"/>
    <w:rsid w:val="00585AC5"/>
    <w:rsid w:val="00585AE9"/>
    <w:rsid w:val="00585B58"/>
    <w:rsid w:val="00585E25"/>
    <w:rsid w:val="00585E4F"/>
    <w:rsid w:val="00585F39"/>
    <w:rsid w:val="00585FC8"/>
    <w:rsid w:val="00585FF4"/>
    <w:rsid w:val="00585FF8"/>
    <w:rsid w:val="005860EB"/>
    <w:rsid w:val="005862BC"/>
    <w:rsid w:val="005863B1"/>
    <w:rsid w:val="005863B2"/>
    <w:rsid w:val="0058640A"/>
    <w:rsid w:val="0058640C"/>
    <w:rsid w:val="005864BA"/>
    <w:rsid w:val="00586517"/>
    <w:rsid w:val="005865BB"/>
    <w:rsid w:val="00586621"/>
    <w:rsid w:val="00586708"/>
    <w:rsid w:val="00586797"/>
    <w:rsid w:val="005867A3"/>
    <w:rsid w:val="00586805"/>
    <w:rsid w:val="00586943"/>
    <w:rsid w:val="005869D5"/>
    <w:rsid w:val="005869F6"/>
    <w:rsid w:val="00586A16"/>
    <w:rsid w:val="00586AB0"/>
    <w:rsid w:val="00586AED"/>
    <w:rsid w:val="00586B9D"/>
    <w:rsid w:val="00586C46"/>
    <w:rsid w:val="00586CB5"/>
    <w:rsid w:val="00586D30"/>
    <w:rsid w:val="00586D72"/>
    <w:rsid w:val="00586E85"/>
    <w:rsid w:val="00586FBB"/>
    <w:rsid w:val="00586FDC"/>
    <w:rsid w:val="0058716A"/>
    <w:rsid w:val="00587313"/>
    <w:rsid w:val="005873C7"/>
    <w:rsid w:val="00587594"/>
    <w:rsid w:val="00587812"/>
    <w:rsid w:val="00587821"/>
    <w:rsid w:val="0058789B"/>
    <w:rsid w:val="00587935"/>
    <w:rsid w:val="00587A43"/>
    <w:rsid w:val="00587BE2"/>
    <w:rsid w:val="00587D72"/>
    <w:rsid w:val="00587E47"/>
    <w:rsid w:val="0058A957"/>
    <w:rsid w:val="00590060"/>
    <w:rsid w:val="00590071"/>
    <w:rsid w:val="00590086"/>
    <w:rsid w:val="005901E2"/>
    <w:rsid w:val="00590315"/>
    <w:rsid w:val="005903A2"/>
    <w:rsid w:val="005903B6"/>
    <w:rsid w:val="0059041A"/>
    <w:rsid w:val="00590424"/>
    <w:rsid w:val="00590428"/>
    <w:rsid w:val="005904CA"/>
    <w:rsid w:val="00590594"/>
    <w:rsid w:val="00590605"/>
    <w:rsid w:val="0059060C"/>
    <w:rsid w:val="00590774"/>
    <w:rsid w:val="005907D7"/>
    <w:rsid w:val="00590806"/>
    <w:rsid w:val="005908F7"/>
    <w:rsid w:val="00590925"/>
    <w:rsid w:val="00590954"/>
    <w:rsid w:val="00590B05"/>
    <w:rsid w:val="00590D05"/>
    <w:rsid w:val="00590DCC"/>
    <w:rsid w:val="00590E46"/>
    <w:rsid w:val="00590E97"/>
    <w:rsid w:val="00590FE4"/>
    <w:rsid w:val="00591123"/>
    <w:rsid w:val="00591160"/>
    <w:rsid w:val="00591240"/>
    <w:rsid w:val="00591248"/>
    <w:rsid w:val="005912EC"/>
    <w:rsid w:val="00591332"/>
    <w:rsid w:val="00591403"/>
    <w:rsid w:val="00591438"/>
    <w:rsid w:val="00591443"/>
    <w:rsid w:val="0059145C"/>
    <w:rsid w:val="00591496"/>
    <w:rsid w:val="005914B1"/>
    <w:rsid w:val="00591605"/>
    <w:rsid w:val="00591664"/>
    <w:rsid w:val="005916CB"/>
    <w:rsid w:val="00591758"/>
    <w:rsid w:val="00591775"/>
    <w:rsid w:val="005918BD"/>
    <w:rsid w:val="005918CD"/>
    <w:rsid w:val="00591AFD"/>
    <w:rsid w:val="00591C06"/>
    <w:rsid w:val="00591C1E"/>
    <w:rsid w:val="00591C44"/>
    <w:rsid w:val="00591CCB"/>
    <w:rsid w:val="00591D35"/>
    <w:rsid w:val="00591DD0"/>
    <w:rsid w:val="00591E26"/>
    <w:rsid w:val="00591E93"/>
    <w:rsid w:val="00591FFC"/>
    <w:rsid w:val="0059213C"/>
    <w:rsid w:val="00592165"/>
    <w:rsid w:val="0059217D"/>
    <w:rsid w:val="005922D0"/>
    <w:rsid w:val="00592390"/>
    <w:rsid w:val="005923FD"/>
    <w:rsid w:val="00592427"/>
    <w:rsid w:val="0059245F"/>
    <w:rsid w:val="005924C5"/>
    <w:rsid w:val="005924D1"/>
    <w:rsid w:val="005924F0"/>
    <w:rsid w:val="0059252F"/>
    <w:rsid w:val="00592559"/>
    <w:rsid w:val="0059258D"/>
    <w:rsid w:val="00592716"/>
    <w:rsid w:val="005928D6"/>
    <w:rsid w:val="00592901"/>
    <w:rsid w:val="00592932"/>
    <w:rsid w:val="00592BCC"/>
    <w:rsid w:val="00592C6B"/>
    <w:rsid w:val="00592D72"/>
    <w:rsid w:val="00592DBB"/>
    <w:rsid w:val="00592DFD"/>
    <w:rsid w:val="00593114"/>
    <w:rsid w:val="005931A5"/>
    <w:rsid w:val="00593291"/>
    <w:rsid w:val="00593293"/>
    <w:rsid w:val="00593426"/>
    <w:rsid w:val="0059346A"/>
    <w:rsid w:val="00593509"/>
    <w:rsid w:val="00593653"/>
    <w:rsid w:val="00593774"/>
    <w:rsid w:val="005937B4"/>
    <w:rsid w:val="00593831"/>
    <w:rsid w:val="00593913"/>
    <w:rsid w:val="005939C7"/>
    <w:rsid w:val="00593A6D"/>
    <w:rsid w:val="00593ADB"/>
    <w:rsid w:val="00593BAC"/>
    <w:rsid w:val="00593BF4"/>
    <w:rsid w:val="00593F95"/>
    <w:rsid w:val="005940AD"/>
    <w:rsid w:val="005940D6"/>
    <w:rsid w:val="00594167"/>
    <w:rsid w:val="005941D4"/>
    <w:rsid w:val="005942CF"/>
    <w:rsid w:val="005942ED"/>
    <w:rsid w:val="00594341"/>
    <w:rsid w:val="00594406"/>
    <w:rsid w:val="0059454A"/>
    <w:rsid w:val="00594771"/>
    <w:rsid w:val="00594829"/>
    <w:rsid w:val="005948F3"/>
    <w:rsid w:val="005949A0"/>
    <w:rsid w:val="00594AD9"/>
    <w:rsid w:val="00594B04"/>
    <w:rsid w:val="00594B0B"/>
    <w:rsid w:val="00594B34"/>
    <w:rsid w:val="00594B5C"/>
    <w:rsid w:val="00594BFF"/>
    <w:rsid w:val="00594E58"/>
    <w:rsid w:val="00595028"/>
    <w:rsid w:val="0059505E"/>
    <w:rsid w:val="005951BE"/>
    <w:rsid w:val="00595393"/>
    <w:rsid w:val="00595461"/>
    <w:rsid w:val="005954E7"/>
    <w:rsid w:val="005957AC"/>
    <w:rsid w:val="005957D8"/>
    <w:rsid w:val="0059587B"/>
    <w:rsid w:val="005959A2"/>
    <w:rsid w:val="00595A3C"/>
    <w:rsid w:val="00595C1A"/>
    <w:rsid w:val="00595C23"/>
    <w:rsid w:val="00595DF0"/>
    <w:rsid w:val="00595DF9"/>
    <w:rsid w:val="00595E44"/>
    <w:rsid w:val="00595ED6"/>
    <w:rsid w:val="00595FB3"/>
    <w:rsid w:val="00595FD7"/>
    <w:rsid w:val="00595FE9"/>
    <w:rsid w:val="0059622C"/>
    <w:rsid w:val="00596260"/>
    <w:rsid w:val="00596282"/>
    <w:rsid w:val="0059638A"/>
    <w:rsid w:val="0059656A"/>
    <w:rsid w:val="005965C9"/>
    <w:rsid w:val="00596634"/>
    <w:rsid w:val="00596637"/>
    <w:rsid w:val="00596685"/>
    <w:rsid w:val="005966BE"/>
    <w:rsid w:val="00596703"/>
    <w:rsid w:val="0059671E"/>
    <w:rsid w:val="00596BE1"/>
    <w:rsid w:val="00596CCF"/>
    <w:rsid w:val="00596CD1"/>
    <w:rsid w:val="00596D6E"/>
    <w:rsid w:val="00596DA2"/>
    <w:rsid w:val="00596E9B"/>
    <w:rsid w:val="00596F39"/>
    <w:rsid w:val="005970DF"/>
    <w:rsid w:val="005971CF"/>
    <w:rsid w:val="0059721B"/>
    <w:rsid w:val="00597231"/>
    <w:rsid w:val="00597250"/>
    <w:rsid w:val="00597424"/>
    <w:rsid w:val="00597736"/>
    <w:rsid w:val="00597773"/>
    <w:rsid w:val="005977CE"/>
    <w:rsid w:val="005977D8"/>
    <w:rsid w:val="00597846"/>
    <w:rsid w:val="00597868"/>
    <w:rsid w:val="00597875"/>
    <w:rsid w:val="005979A0"/>
    <w:rsid w:val="005979F9"/>
    <w:rsid w:val="00597A94"/>
    <w:rsid w:val="00597C2D"/>
    <w:rsid w:val="00597DC5"/>
    <w:rsid w:val="00597F24"/>
    <w:rsid w:val="005A00E0"/>
    <w:rsid w:val="005A01B6"/>
    <w:rsid w:val="005A01EA"/>
    <w:rsid w:val="005A0255"/>
    <w:rsid w:val="005A025D"/>
    <w:rsid w:val="005A02B4"/>
    <w:rsid w:val="005A03C4"/>
    <w:rsid w:val="005A0545"/>
    <w:rsid w:val="005A07C1"/>
    <w:rsid w:val="005A08F1"/>
    <w:rsid w:val="005A098C"/>
    <w:rsid w:val="005A0AF9"/>
    <w:rsid w:val="005A0CF4"/>
    <w:rsid w:val="005A0D73"/>
    <w:rsid w:val="005A0DBB"/>
    <w:rsid w:val="005A0E4C"/>
    <w:rsid w:val="005A101A"/>
    <w:rsid w:val="005A10B5"/>
    <w:rsid w:val="005A110A"/>
    <w:rsid w:val="005A12E3"/>
    <w:rsid w:val="005A1337"/>
    <w:rsid w:val="005A1441"/>
    <w:rsid w:val="005A165A"/>
    <w:rsid w:val="005A1784"/>
    <w:rsid w:val="005A1857"/>
    <w:rsid w:val="005A18D8"/>
    <w:rsid w:val="005A19D8"/>
    <w:rsid w:val="005A1A4D"/>
    <w:rsid w:val="005A1A89"/>
    <w:rsid w:val="005A1B6B"/>
    <w:rsid w:val="005A1BB0"/>
    <w:rsid w:val="005A1BB3"/>
    <w:rsid w:val="005A1C68"/>
    <w:rsid w:val="005A1DBC"/>
    <w:rsid w:val="005A201C"/>
    <w:rsid w:val="005A2170"/>
    <w:rsid w:val="005A21E5"/>
    <w:rsid w:val="005A224C"/>
    <w:rsid w:val="005A2290"/>
    <w:rsid w:val="005A22C8"/>
    <w:rsid w:val="005A241E"/>
    <w:rsid w:val="005A244F"/>
    <w:rsid w:val="005A246D"/>
    <w:rsid w:val="005A246F"/>
    <w:rsid w:val="005A253B"/>
    <w:rsid w:val="005A25A8"/>
    <w:rsid w:val="005A2673"/>
    <w:rsid w:val="005A2789"/>
    <w:rsid w:val="005A27D2"/>
    <w:rsid w:val="005A2813"/>
    <w:rsid w:val="005A2832"/>
    <w:rsid w:val="005A293E"/>
    <w:rsid w:val="005A297D"/>
    <w:rsid w:val="005A29F5"/>
    <w:rsid w:val="005A2A1D"/>
    <w:rsid w:val="005A2AFB"/>
    <w:rsid w:val="005A2BC5"/>
    <w:rsid w:val="005A2CD0"/>
    <w:rsid w:val="005A2D70"/>
    <w:rsid w:val="005A2E0F"/>
    <w:rsid w:val="005A2E22"/>
    <w:rsid w:val="005A2F76"/>
    <w:rsid w:val="005A2F91"/>
    <w:rsid w:val="005A2FD1"/>
    <w:rsid w:val="005A30C9"/>
    <w:rsid w:val="005A3218"/>
    <w:rsid w:val="005A3274"/>
    <w:rsid w:val="005A33FF"/>
    <w:rsid w:val="005A3485"/>
    <w:rsid w:val="005A349C"/>
    <w:rsid w:val="005A34A1"/>
    <w:rsid w:val="005A3569"/>
    <w:rsid w:val="005A3703"/>
    <w:rsid w:val="005A3717"/>
    <w:rsid w:val="005A38BA"/>
    <w:rsid w:val="005A38E8"/>
    <w:rsid w:val="005A3957"/>
    <w:rsid w:val="005A39E1"/>
    <w:rsid w:val="005A3A23"/>
    <w:rsid w:val="005A3AD7"/>
    <w:rsid w:val="005A3BA3"/>
    <w:rsid w:val="005A3C30"/>
    <w:rsid w:val="005A3E6A"/>
    <w:rsid w:val="005A3E9E"/>
    <w:rsid w:val="005A3F78"/>
    <w:rsid w:val="005A400A"/>
    <w:rsid w:val="005A4106"/>
    <w:rsid w:val="005A4158"/>
    <w:rsid w:val="005A4192"/>
    <w:rsid w:val="005A41C7"/>
    <w:rsid w:val="005A4461"/>
    <w:rsid w:val="005A44A0"/>
    <w:rsid w:val="005A45AD"/>
    <w:rsid w:val="005A469F"/>
    <w:rsid w:val="005A4913"/>
    <w:rsid w:val="005A491B"/>
    <w:rsid w:val="005A4987"/>
    <w:rsid w:val="005A49C7"/>
    <w:rsid w:val="005A4B48"/>
    <w:rsid w:val="005A4CC8"/>
    <w:rsid w:val="005A4D82"/>
    <w:rsid w:val="005A4FEC"/>
    <w:rsid w:val="005A5024"/>
    <w:rsid w:val="005A50C1"/>
    <w:rsid w:val="005A50D7"/>
    <w:rsid w:val="005A50F8"/>
    <w:rsid w:val="005A5388"/>
    <w:rsid w:val="005A53A4"/>
    <w:rsid w:val="005A54C4"/>
    <w:rsid w:val="005A5577"/>
    <w:rsid w:val="005A567F"/>
    <w:rsid w:val="005A5682"/>
    <w:rsid w:val="005A56A3"/>
    <w:rsid w:val="005A56B0"/>
    <w:rsid w:val="005A570A"/>
    <w:rsid w:val="005A57D2"/>
    <w:rsid w:val="005A582C"/>
    <w:rsid w:val="005A58F1"/>
    <w:rsid w:val="005A5914"/>
    <w:rsid w:val="005A5970"/>
    <w:rsid w:val="005A59A0"/>
    <w:rsid w:val="005A5A79"/>
    <w:rsid w:val="005A5AB2"/>
    <w:rsid w:val="005A5AFB"/>
    <w:rsid w:val="005A5B08"/>
    <w:rsid w:val="005A5BD1"/>
    <w:rsid w:val="005A5CA8"/>
    <w:rsid w:val="005A5CD1"/>
    <w:rsid w:val="005A5CE4"/>
    <w:rsid w:val="005A5D6C"/>
    <w:rsid w:val="005A5D8A"/>
    <w:rsid w:val="005A5E3F"/>
    <w:rsid w:val="005A5E53"/>
    <w:rsid w:val="005A5E8D"/>
    <w:rsid w:val="005A5EDD"/>
    <w:rsid w:val="005A5F53"/>
    <w:rsid w:val="005A5F98"/>
    <w:rsid w:val="005A5FA0"/>
    <w:rsid w:val="005A6005"/>
    <w:rsid w:val="005A6016"/>
    <w:rsid w:val="005A6106"/>
    <w:rsid w:val="005A6157"/>
    <w:rsid w:val="005A61C8"/>
    <w:rsid w:val="005A625C"/>
    <w:rsid w:val="005A628C"/>
    <w:rsid w:val="005A62AD"/>
    <w:rsid w:val="005A62D9"/>
    <w:rsid w:val="005A636E"/>
    <w:rsid w:val="005A6435"/>
    <w:rsid w:val="005A6570"/>
    <w:rsid w:val="005A660E"/>
    <w:rsid w:val="005A66EF"/>
    <w:rsid w:val="005A6888"/>
    <w:rsid w:val="005A68A9"/>
    <w:rsid w:val="005A6A7F"/>
    <w:rsid w:val="005A6B18"/>
    <w:rsid w:val="005A6B5B"/>
    <w:rsid w:val="005A6B92"/>
    <w:rsid w:val="005A6DD1"/>
    <w:rsid w:val="005A6E14"/>
    <w:rsid w:val="005A6E1A"/>
    <w:rsid w:val="005A6EAE"/>
    <w:rsid w:val="005A6F47"/>
    <w:rsid w:val="005A6FE5"/>
    <w:rsid w:val="005A70BB"/>
    <w:rsid w:val="005A7187"/>
    <w:rsid w:val="005A71BF"/>
    <w:rsid w:val="005A71D9"/>
    <w:rsid w:val="005A71FE"/>
    <w:rsid w:val="005A72EA"/>
    <w:rsid w:val="005A733C"/>
    <w:rsid w:val="005A7347"/>
    <w:rsid w:val="005A7426"/>
    <w:rsid w:val="005A7496"/>
    <w:rsid w:val="005A7497"/>
    <w:rsid w:val="005A7593"/>
    <w:rsid w:val="005A75A8"/>
    <w:rsid w:val="005A765E"/>
    <w:rsid w:val="005A7664"/>
    <w:rsid w:val="005A76D5"/>
    <w:rsid w:val="005A773E"/>
    <w:rsid w:val="005A7847"/>
    <w:rsid w:val="005A7BE2"/>
    <w:rsid w:val="005A7C33"/>
    <w:rsid w:val="005A7C4C"/>
    <w:rsid w:val="005A7CC8"/>
    <w:rsid w:val="005A7CE5"/>
    <w:rsid w:val="005A7D61"/>
    <w:rsid w:val="005A7E54"/>
    <w:rsid w:val="005A7E5D"/>
    <w:rsid w:val="005A7E8D"/>
    <w:rsid w:val="005A7ECE"/>
    <w:rsid w:val="005A7F0E"/>
    <w:rsid w:val="005A7F5C"/>
    <w:rsid w:val="005B0096"/>
    <w:rsid w:val="005B00EE"/>
    <w:rsid w:val="005B01EF"/>
    <w:rsid w:val="005B02DE"/>
    <w:rsid w:val="005B030D"/>
    <w:rsid w:val="005B031F"/>
    <w:rsid w:val="005B042F"/>
    <w:rsid w:val="005B0610"/>
    <w:rsid w:val="005B0772"/>
    <w:rsid w:val="005B077B"/>
    <w:rsid w:val="005B0827"/>
    <w:rsid w:val="005B082B"/>
    <w:rsid w:val="005B08B9"/>
    <w:rsid w:val="005B0999"/>
    <w:rsid w:val="005B09D2"/>
    <w:rsid w:val="005B0A0C"/>
    <w:rsid w:val="005B0C08"/>
    <w:rsid w:val="005B0C2A"/>
    <w:rsid w:val="005B0E44"/>
    <w:rsid w:val="005B0E62"/>
    <w:rsid w:val="005B0E84"/>
    <w:rsid w:val="005B0F06"/>
    <w:rsid w:val="005B0F64"/>
    <w:rsid w:val="005B1037"/>
    <w:rsid w:val="005B1072"/>
    <w:rsid w:val="005B10A5"/>
    <w:rsid w:val="005B122C"/>
    <w:rsid w:val="005B1294"/>
    <w:rsid w:val="005B12BE"/>
    <w:rsid w:val="005B131C"/>
    <w:rsid w:val="005B13DA"/>
    <w:rsid w:val="005B1464"/>
    <w:rsid w:val="005B1478"/>
    <w:rsid w:val="005B14FB"/>
    <w:rsid w:val="005B1544"/>
    <w:rsid w:val="005B15A8"/>
    <w:rsid w:val="005B15E9"/>
    <w:rsid w:val="005B167A"/>
    <w:rsid w:val="005B1A16"/>
    <w:rsid w:val="005B1AF3"/>
    <w:rsid w:val="005B1B7C"/>
    <w:rsid w:val="005B1C76"/>
    <w:rsid w:val="005B1CB4"/>
    <w:rsid w:val="005B1D6E"/>
    <w:rsid w:val="005B1DA0"/>
    <w:rsid w:val="005B1DE1"/>
    <w:rsid w:val="005B1EBF"/>
    <w:rsid w:val="005B1ECA"/>
    <w:rsid w:val="005B1FBC"/>
    <w:rsid w:val="005B201E"/>
    <w:rsid w:val="005B2066"/>
    <w:rsid w:val="005B210F"/>
    <w:rsid w:val="005B215F"/>
    <w:rsid w:val="005B2176"/>
    <w:rsid w:val="005B217D"/>
    <w:rsid w:val="005B21B5"/>
    <w:rsid w:val="005B21E1"/>
    <w:rsid w:val="005B2453"/>
    <w:rsid w:val="005B2521"/>
    <w:rsid w:val="005B2564"/>
    <w:rsid w:val="005B25A2"/>
    <w:rsid w:val="005B26BC"/>
    <w:rsid w:val="005B275D"/>
    <w:rsid w:val="005B290B"/>
    <w:rsid w:val="005B291A"/>
    <w:rsid w:val="005B293D"/>
    <w:rsid w:val="005B2983"/>
    <w:rsid w:val="005B2A00"/>
    <w:rsid w:val="005B2A52"/>
    <w:rsid w:val="005B2B74"/>
    <w:rsid w:val="005B2D02"/>
    <w:rsid w:val="005B2E0A"/>
    <w:rsid w:val="005B2ECE"/>
    <w:rsid w:val="005B2F33"/>
    <w:rsid w:val="005B2FA8"/>
    <w:rsid w:val="005B2FBE"/>
    <w:rsid w:val="005B304A"/>
    <w:rsid w:val="005B3090"/>
    <w:rsid w:val="005B320D"/>
    <w:rsid w:val="005B32CD"/>
    <w:rsid w:val="005B33B4"/>
    <w:rsid w:val="005B33E9"/>
    <w:rsid w:val="005B3621"/>
    <w:rsid w:val="005B36DD"/>
    <w:rsid w:val="005B36FB"/>
    <w:rsid w:val="005B3701"/>
    <w:rsid w:val="005B3719"/>
    <w:rsid w:val="005B374D"/>
    <w:rsid w:val="005B3781"/>
    <w:rsid w:val="005B3879"/>
    <w:rsid w:val="005B38F8"/>
    <w:rsid w:val="005B395E"/>
    <w:rsid w:val="005B396E"/>
    <w:rsid w:val="005B3992"/>
    <w:rsid w:val="005B3B4A"/>
    <w:rsid w:val="005B3B62"/>
    <w:rsid w:val="005B3B6F"/>
    <w:rsid w:val="005B3E3E"/>
    <w:rsid w:val="005B3F15"/>
    <w:rsid w:val="005B3F4B"/>
    <w:rsid w:val="005B3F6B"/>
    <w:rsid w:val="005B3FD9"/>
    <w:rsid w:val="005B416B"/>
    <w:rsid w:val="005B4187"/>
    <w:rsid w:val="005B422C"/>
    <w:rsid w:val="005B438B"/>
    <w:rsid w:val="005B459A"/>
    <w:rsid w:val="005B46E6"/>
    <w:rsid w:val="005B47A9"/>
    <w:rsid w:val="005B4849"/>
    <w:rsid w:val="005B48D0"/>
    <w:rsid w:val="005B49C2"/>
    <w:rsid w:val="005B4A22"/>
    <w:rsid w:val="005B4A50"/>
    <w:rsid w:val="005B4A6E"/>
    <w:rsid w:val="005B4ACD"/>
    <w:rsid w:val="005B4B28"/>
    <w:rsid w:val="005B4BFC"/>
    <w:rsid w:val="005B4C4E"/>
    <w:rsid w:val="005B4C51"/>
    <w:rsid w:val="005B4D0A"/>
    <w:rsid w:val="005B4D2C"/>
    <w:rsid w:val="005B4E39"/>
    <w:rsid w:val="005B4E70"/>
    <w:rsid w:val="005B4F4E"/>
    <w:rsid w:val="005B4FCC"/>
    <w:rsid w:val="005B5058"/>
    <w:rsid w:val="005B5285"/>
    <w:rsid w:val="005B52AF"/>
    <w:rsid w:val="005B52CF"/>
    <w:rsid w:val="005B5364"/>
    <w:rsid w:val="005B5540"/>
    <w:rsid w:val="005B556C"/>
    <w:rsid w:val="005B5575"/>
    <w:rsid w:val="005B5684"/>
    <w:rsid w:val="005B56A8"/>
    <w:rsid w:val="005B571B"/>
    <w:rsid w:val="005B5760"/>
    <w:rsid w:val="005B58BE"/>
    <w:rsid w:val="005B591D"/>
    <w:rsid w:val="005B597D"/>
    <w:rsid w:val="005B5A65"/>
    <w:rsid w:val="005B5C52"/>
    <w:rsid w:val="005B5CB5"/>
    <w:rsid w:val="005B5CE5"/>
    <w:rsid w:val="005B5CF8"/>
    <w:rsid w:val="005B5D44"/>
    <w:rsid w:val="005B5D71"/>
    <w:rsid w:val="005B5EC4"/>
    <w:rsid w:val="005B5ED1"/>
    <w:rsid w:val="005B5F81"/>
    <w:rsid w:val="005B5FC0"/>
    <w:rsid w:val="005B608C"/>
    <w:rsid w:val="005B6221"/>
    <w:rsid w:val="005B64E1"/>
    <w:rsid w:val="005B6502"/>
    <w:rsid w:val="005B668B"/>
    <w:rsid w:val="005B67E7"/>
    <w:rsid w:val="005B6868"/>
    <w:rsid w:val="005B68BA"/>
    <w:rsid w:val="005B68CB"/>
    <w:rsid w:val="005B68D8"/>
    <w:rsid w:val="005B690E"/>
    <w:rsid w:val="005B69A7"/>
    <w:rsid w:val="005B6ABF"/>
    <w:rsid w:val="005B6B2B"/>
    <w:rsid w:val="005B6B83"/>
    <w:rsid w:val="005B6C73"/>
    <w:rsid w:val="005B6EB8"/>
    <w:rsid w:val="005B6EC1"/>
    <w:rsid w:val="005B6F29"/>
    <w:rsid w:val="005B703B"/>
    <w:rsid w:val="005B7042"/>
    <w:rsid w:val="005B7174"/>
    <w:rsid w:val="005B71EF"/>
    <w:rsid w:val="005B7335"/>
    <w:rsid w:val="005B733E"/>
    <w:rsid w:val="005B75AB"/>
    <w:rsid w:val="005B7677"/>
    <w:rsid w:val="005B77F4"/>
    <w:rsid w:val="005B780A"/>
    <w:rsid w:val="005B7952"/>
    <w:rsid w:val="005B79C7"/>
    <w:rsid w:val="005B79CE"/>
    <w:rsid w:val="005B79D0"/>
    <w:rsid w:val="005B7A82"/>
    <w:rsid w:val="005B7CE3"/>
    <w:rsid w:val="005B7D93"/>
    <w:rsid w:val="005B7F3C"/>
    <w:rsid w:val="005C001A"/>
    <w:rsid w:val="005C006B"/>
    <w:rsid w:val="005C0175"/>
    <w:rsid w:val="005C0184"/>
    <w:rsid w:val="005C01F2"/>
    <w:rsid w:val="005C026F"/>
    <w:rsid w:val="005C028D"/>
    <w:rsid w:val="005C02AA"/>
    <w:rsid w:val="005C02D6"/>
    <w:rsid w:val="005C0379"/>
    <w:rsid w:val="005C0386"/>
    <w:rsid w:val="005C03BC"/>
    <w:rsid w:val="005C0451"/>
    <w:rsid w:val="005C0533"/>
    <w:rsid w:val="005C059B"/>
    <w:rsid w:val="005C0611"/>
    <w:rsid w:val="005C061A"/>
    <w:rsid w:val="005C0682"/>
    <w:rsid w:val="005C06A6"/>
    <w:rsid w:val="005C06AE"/>
    <w:rsid w:val="005C06B2"/>
    <w:rsid w:val="005C06C3"/>
    <w:rsid w:val="005C0701"/>
    <w:rsid w:val="005C08E5"/>
    <w:rsid w:val="005C09D6"/>
    <w:rsid w:val="005C0AC7"/>
    <w:rsid w:val="005C0AEA"/>
    <w:rsid w:val="005C0C1D"/>
    <w:rsid w:val="005C0C95"/>
    <w:rsid w:val="005C0D3F"/>
    <w:rsid w:val="005C0E6A"/>
    <w:rsid w:val="005C0EC3"/>
    <w:rsid w:val="005C0F19"/>
    <w:rsid w:val="005C111E"/>
    <w:rsid w:val="005C1185"/>
    <w:rsid w:val="005C13DE"/>
    <w:rsid w:val="005C14CF"/>
    <w:rsid w:val="005C1609"/>
    <w:rsid w:val="005C16D4"/>
    <w:rsid w:val="005C1701"/>
    <w:rsid w:val="005C1825"/>
    <w:rsid w:val="005C193D"/>
    <w:rsid w:val="005C1A09"/>
    <w:rsid w:val="005C1BE5"/>
    <w:rsid w:val="005C1BFB"/>
    <w:rsid w:val="005C1C5B"/>
    <w:rsid w:val="005C1C9C"/>
    <w:rsid w:val="005C1CE6"/>
    <w:rsid w:val="005C1EFE"/>
    <w:rsid w:val="005C2039"/>
    <w:rsid w:val="005C211E"/>
    <w:rsid w:val="005C21F7"/>
    <w:rsid w:val="005C2242"/>
    <w:rsid w:val="005C2253"/>
    <w:rsid w:val="005C2336"/>
    <w:rsid w:val="005C23D3"/>
    <w:rsid w:val="005C252E"/>
    <w:rsid w:val="005C253E"/>
    <w:rsid w:val="005C2691"/>
    <w:rsid w:val="005C283F"/>
    <w:rsid w:val="005C28CA"/>
    <w:rsid w:val="005C2965"/>
    <w:rsid w:val="005C29E0"/>
    <w:rsid w:val="005C2A30"/>
    <w:rsid w:val="005C2A34"/>
    <w:rsid w:val="005C2C8B"/>
    <w:rsid w:val="005C2D86"/>
    <w:rsid w:val="005C2E0F"/>
    <w:rsid w:val="005C2F28"/>
    <w:rsid w:val="005C3011"/>
    <w:rsid w:val="005C302F"/>
    <w:rsid w:val="005C3138"/>
    <w:rsid w:val="005C31D0"/>
    <w:rsid w:val="005C32DF"/>
    <w:rsid w:val="005C3300"/>
    <w:rsid w:val="005C33F0"/>
    <w:rsid w:val="005C33F7"/>
    <w:rsid w:val="005C345C"/>
    <w:rsid w:val="005C34A4"/>
    <w:rsid w:val="005C34C0"/>
    <w:rsid w:val="005C34C9"/>
    <w:rsid w:val="005C34F3"/>
    <w:rsid w:val="005C3572"/>
    <w:rsid w:val="005C3742"/>
    <w:rsid w:val="005C3861"/>
    <w:rsid w:val="005C3931"/>
    <w:rsid w:val="005C39C7"/>
    <w:rsid w:val="005C3B37"/>
    <w:rsid w:val="005C3BB6"/>
    <w:rsid w:val="005C3DA0"/>
    <w:rsid w:val="005C3DCA"/>
    <w:rsid w:val="005C3E88"/>
    <w:rsid w:val="005C3EE7"/>
    <w:rsid w:val="005C3EE9"/>
    <w:rsid w:val="005C3F04"/>
    <w:rsid w:val="005C3F4D"/>
    <w:rsid w:val="005C3F5E"/>
    <w:rsid w:val="005C4028"/>
    <w:rsid w:val="005C403B"/>
    <w:rsid w:val="005C429A"/>
    <w:rsid w:val="005C4328"/>
    <w:rsid w:val="005C4394"/>
    <w:rsid w:val="005C43B0"/>
    <w:rsid w:val="005C44C3"/>
    <w:rsid w:val="005C4512"/>
    <w:rsid w:val="005C4520"/>
    <w:rsid w:val="005C4701"/>
    <w:rsid w:val="005C4884"/>
    <w:rsid w:val="005C490E"/>
    <w:rsid w:val="005C4B54"/>
    <w:rsid w:val="005C4BB3"/>
    <w:rsid w:val="005C4BEA"/>
    <w:rsid w:val="005C4CA4"/>
    <w:rsid w:val="005C4CB4"/>
    <w:rsid w:val="005C4D66"/>
    <w:rsid w:val="005C4E1B"/>
    <w:rsid w:val="005C4E4D"/>
    <w:rsid w:val="005C4E92"/>
    <w:rsid w:val="005C4F20"/>
    <w:rsid w:val="005C4F3D"/>
    <w:rsid w:val="005C5018"/>
    <w:rsid w:val="005C5087"/>
    <w:rsid w:val="005C517C"/>
    <w:rsid w:val="005C51A6"/>
    <w:rsid w:val="005C527C"/>
    <w:rsid w:val="005C53EB"/>
    <w:rsid w:val="005C5503"/>
    <w:rsid w:val="005C559D"/>
    <w:rsid w:val="005C55A6"/>
    <w:rsid w:val="005C55C0"/>
    <w:rsid w:val="005C5779"/>
    <w:rsid w:val="005C5839"/>
    <w:rsid w:val="005C5880"/>
    <w:rsid w:val="005C58CF"/>
    <w:rsid w:val="005C590C"/>
    <w:rsid w:val="005C5992"/>
    <w:rsid w:val="005C5C5C"/>
    <w:rsid w:val="005C5D19"/>
    <w:rsid w:val="005C5D1A"/>
    <w:rsid w:val="005C5E36"/>
    <w:rsid w:val="005C5EEF"/>
    <w:rsid w:val="005C5FDD"/>
    <w:rsid w:val="005C6052"/>
    <w:rsid w:val="005C6157"/>
    <w:rsid w:val="005C61F8"/>
    <w:rsid w:val="005C62A9"/>
    <w:rsid w:val="005C62C1"/>
    <w:rsid w:val="005C63C2"/>
    <w:rsid w:val="005C63EB"/>
    <w:rsid w:val="005C640F"/>
    <w:rsid w:val="005C64A9"/>
    <w:rsid w:val="005C64F4"/>
    <w:rsid w:val="005C65D9"/>
    <w:rsid w:val="005C6693"/>
    <w:rsid w:val="005C690C"/>
    <w:rsid w:val="005C6928"/>
    <w:rsid w:val="005C6993"/>
    <w:rsid w:val="005C699D"/>
    <w:rsid w:val="005C6ACC"/>
    <w:rsid w:val="005C6BF7"/>
    <w:rsid w:val="005C6C6C"/>
    <w:rsid w:val="005C6CA3"/>
    <w:rsid w:val="005C6CA7"/>
    <w:rsid w:val="005C6CCD"/>
    <w:rsid w:val="005C6DB9"/>
    <w:rsid w:val="005C6DF2"/>
    <w:rsid w:val="005C6E08"/>
    <w:rsid w:val="005C6E52"/>
    <w:rsid w:val="005C6EE0"/>
    <w:rsid w:val="005C7003"/>
    <w:rsid w:val="005C7027"/>
    <w:rsid w:val="005C717D"/>
    <w:rsid w:val="005C72D4"/>
    <w:rsid w:val="005C72FC"/>
    <w:rsid w:val="005C73DD"/>
    <w:rsid w:val="005C7436"/>
    <w:rsid w:val="005C746F"/>
    <w:rsid w:val="005C7515"/>
    <w:rsid w:val="005C762E"/>
    <w:rsid w:val="005C7643"/>
    <w:rsid w:val="005C778F"/>
    <w:rsid w:val="005C78D0"/>
    <w:rsid w:val="005C7909"/>
    <w:rsid w:val="005C790B"/>
    <w:rsid w:val="005C7923"/>
    <w:rsid w:val="005C7A2E"/>
    <w:rsid w:val="005C7B7D"/>
    <w:rsid w:val="005C7B92"/>
    <w:rsid w:val="005C7BC5"/>
    <w:rsid w:val="005C7BE6"/>
    <w:rsid w:val="005C7C76"/>
    <w:rsid w:val="005C7CF6"/>
    <w:rsid w:val="005C7D2B"/>
    <w:rsid w:val="005C7E39"/>
    <w:rsid w:val="005C7E9B"/>
    <w:rsid w:val="005C7F6F"/>
    <w:rsid w:val="005C7F9E"/>
    <w:rsid w:val="005C7FCA"/>
    <w:rsid w:val="005D0101"/>
    <w:rsid w:val="005D0161"/>
    <w:rsid w:val="005D0206"/>
    <w:rsid w:val="005D0296"/>
    <w:rsid w:val="005D02F9"/>
    <w:rsid w:val="005D031A"/>
    <w:rsid w:val="005D038D"/>
    <w:rsid w:val="005D05AD"/>
    <w:rsid w:val="005D05E2"/>
    <w:rsid w:val="005D0717"/>
    <w:rsid w:val="005D0718"/>
    <w:rsid w:val="005D0915"/>
    <w:rsid w:val="005D0964"/>
    <w:rsid w:val="005D098F"/>
    <w:rsid w:val="005D09AC"/>
    <w:rsid w:val="005D0A19"/>
    <w:rsid w:val="005D0A1D"/>
    <w:rsid w:val="005D0A71"/>
    <w:rsid w:val="005D0ADB"/>
    <w:rsid w:val="005D0C0F"/>
    <w:rsid w:val="005D0C67"/>
    <w:rsid w:val="005D0D57"/>
    <w:rsid w:val="005D0D85"/>
    <w:rsid w:val="005D0DD6"/>
    <w:rsid w:val="005D0E0D"/>
    <w:rsid w:val="005D0E19"/>
    <w:rsid w:val="005D0EC9"/>
    <w:rsid w:val="005D0EE7"/>
    <w:rsid w:val="005D102B"/>
    <w:rsid w:val="005D1065"/>
    <w:rsid w:val="005D1068"/>
    <w:rsid w:val="005D1069"/>
    <w:rsid w:val="005D113B"/>
    <w:rsid w:val="005D11EF"/>
    <w:rsid w:val="005D1353"/>
    <w:rsid w:val="005D1415"/>
    <w:rsid w:val="005D14A0"/>
    <w:rsid w:val="005D1585"/>
    <w:rsid w:val="005D1641"/>
    <w:rsid w:val="005D17A0"/>
    <w:rsid w:val="005D18BC"/>
    <w:rsid w:val="005D18C2"/>
    <w:rsid w:val="005D18C8"/>
    <w:rsid w:val="005D18D4"/>
    <w:rsid w:val="005D1917"/>
    <w:rsid w:val="005D1971"/>
    <w:rsid w:val="005D1A73"/>
    <w:rsid w:val="005D1AD7"/>
    <w:rsid w:val="005D1ADF"/>
    <w:rsid w:val="005D1B32"/>
    <w:rsid w:val="005D1B79"/>
    <w:rsid w:val="005D1B80"/>
    <w:rsid w:val="005D1EF9"/>
    <w:rsid w:val="005D1F1C"/>
    <w:rsid w:val="005D200C"/>
    <w:rsid w:val="005D2017"/>
    <w:rsid w:val="005D21ED"/>
    <w:rsid w:val="005D21FB"/>
    <w:rsid w:val="005D234D"/>
    <w:rsid w:val="005D2400"/>
    <w:rsid w:val="005D2441"/>
    <w:rsid w:val="005D2577"/>
    <w:rsid w:val="005D25B5"/>
    <w:rsid w:val="005D25E6"/>
    <w:rsid w:val="005D268B"/>
    <w:rsid w:val="005D26C5"/>
    <w:rsid w:val="005D28BA"/>
    <w:rsid w:val="005D28CC"/>
    <w:rsid w:val="005D2A83"/>
    <w:rsid w:val="005D2B2B"/>
    <w:rsid w:val="005D2BAF"/>
    <w:rsid w:val="005D2C94"/>
    <w:rsid w:val="005D2CD7"/>
    <w:rsid w:val="005D2D05"/>
    <w:rsid w:val="005D2D7B"/>
    <w:rsid w:val="005D2DCD"/>
    <w:rsid w:val="005D2E43"/>
    <w:rsid w:val="005D2E4E"/>
    <w:rsid w:val="005D2EAF"/>
    <w:rsid w:val="005D31FF"/>
    <w:rsid w:val="005D325B"/>
    <w:rsid w:val="005D3350"/>
    <w:rsid w:val="005D337A"/>
    <w:rsid w:val="005D33B2"/>
    <w:rsid w:val="005D33CD"/>
    <w:rsid w:val="005D344B"/>
    <w:rsid w:val="005D3679"/>
    <w:rsid w:val="005D3882"/>
    <w:rsid w:val="005D39A2"/>
    <w:rsid w:val="005D3A2B"/>
    <w:rsid w:val="005D3BC4"/>
    <w:rsid w:val="005D3CED"/>
    <w:rsid w:val="005D3D10"/>
    <w:rsid w:val="005D3E18"/>
    <w:rsid w:val="005D3E21"/>
    <w:rsid w:val="005D3E7F"/>
    <w:rsid w:val="005D3EC5"/>
    <w:rsid w:val="005D3F34"/>
    <w:rsid w:val="005D3F43"/>
    <w:rsid w:val="005D3F44"/>
    <w:rsid w:val="005D3F8B"/>
    <w:rsid w:val="005D402F"/>
    <w:rsid w:val="005D405B"/>
    <w:rsid w:val="005D411D"/>
    <w:rsid w:val="005D4228"/>
    <w:rsid w:val="005D43F2"/>
    <w:rsid w:val="005D43FB"/>
    <w:rsid w:val="005D4429"/>
    <w:rsid w:val="005D44B2"/>
    <w:rsid w:val="005D4556"/>
    <w:rsid w:val="005D45AE"/>
    <w:rsid w:val="005D463D"/>
    <w:rsid w:val="005D469B"/>
    <w:rsid w:val="005D47BD"/>
    <w:rsid w:val="005D47C2"/>
    <w:rsid w:val="005D47C3"/>
    <w:rsid w:val="005D47F1"/>
    <w:rsid w:val="005D48F7"/>
    <w:rsid w:val="005D48FC"/>
    <w:rsid w:val="005D4A10"/>
    <w:rsid w:val="005D4A85"/>
    <w:rsid w:val="005D4B2D"/>
    <w:rsid w:val="005D4B33"/>
    <w:rsid w:val="005D4F8B"/>
    <w:rsid w:val="005D4FA6"/>
    <w:rsid w:val="005D5022"/>
    <w:rsid w:val="005D50AF"/>
    <w:rsid w:val="005D5116"/>
    <w:rsid w:val="005D515E"/>
    <w:rsid w:val="005D5184"/>
    <w:rsid w:val="005D52E5"/>
    <w:rsid w:val="005D52E9"/>
    <w:rsid w:val="005D531B"/>
    <w:rsid w:val="005D5322"/>
    <w:rsid w:val="005D5350"/>
    <w:rsid w:val="005D5352"/>
    <w:rsid w:val="005D53A8"/>
    <w:rsid w:val="005D54B9"/>
    <w:rsid w:val="005D552A"/>
    <w:rsid w:val="005D55B0"/>
    <w:rsid w:val="005D55BC"/>
    <w:rsid w:val="005D5651"/>
    <w:rsid w:val="005D56AA"/>
    <w:rsid w:val="005D56D7"/>
    <w:rsid w:val="005D57BE"/>
    <w:rsid w:val="005D5B24"/>
    <w:rsid w:val="005D5BD0"/>
    <w:rsid w:val="005D5C05"/>
    <w:rsid w:val="005D5C07"/>
    <w:rsid w:val="005D5CBA"/>
    <w:rsid w:val="005D6012"/>
    <w:rsid w:val="005D6034"/>
    <w:rsid w:val="005D6082"/>
    <w:rsid w:val="005D60DD"/>
    <w:rsid w:val="005D6145"/>
    <w:rsid w:val="005D62BE"/>
    <w:rsid w:val="005D6301"/>
    <w:rsid w:val="005D6408"/>
    <w:rsid w:val="005D64F1"/>
    <w:rsid w:val="005D66E0"/>
    <w:rsid w:val="005D67EF"/>
    <w:rsid w:val="005D6809"/>
    <w:rsid w:val="005D6822"/>
    <w:rsid w:val="005D693D"/>
    <w:rsid w:val="005D69B3"/>
    <w:rsid w:val="005D6A6B"/>
    <w:rsid w:val="005D6ABD"/>
    <w:rsid w:val="005D6B37"/>
    <w:rsid w:val="005D6B80"/>
    <w:rsid w:val="005D6C1B"/>
    <w:rsid w:val="005D6C36"/>
    <w:rsid w:val="005D6C75"/>
    <w:rsid w:val="005D6CC5"/>
    <w:rsid w:val="005D6D90"/>
    <w:rsid w:val="005D6D9D"/>
    <w:rsid w:val="005D6F1A"/>
    <w:rsid w:val="005D6FAE"/>
    <w:rsid w:val="005D6FC7"/>
    <w:rsid w:val="005D71B5"/>
    <w:rsid w:val="005D7242"/>
    <w:rsid w:val="005D72F6"/>
    <w:rsid w:val="005D730C"/>
    <w:rsid w:val="005D749A"/>
    <w:rsid w:val="005D7528"/>
    <w:rsid w:val="005D7584"/>
    <w:rsid w:val="005D75B7"/>
    <w:rsid w:val="005D75E7"/>
    <w:rsid w:val="005D7766"/>
    <w:rsid w:val="005D7797"/>
    <w:rsid w:val="005D77C2"/>
    <w:rsid w:val="005D783E"/>
    <w:rsid w:val="005D7985"/>
    <w:rsid w:val="005D7A4C"/>
    <w:rsid w:val="005D7A81"/>
    <w:rsid w:val="005D7CFC"/>
    <w:rsid w:val="005D7D4C"/>
    <w:rsid w:val="005D7E6B"/>
    <w:rsid w:val="005D7E8D"/>
    <w:rsid w:val="005D7F0B"/>
    <w:rsid w:val="005D7F7F"/>
    <w:rsid w:val="005E0096"/>
    <w:rsid w:val="005E0121"/>
    <w:rsid w:val="005E013C"/>
    <w:rsid w:val="005E01CE"/>
    <w:rsid w:val="005E0209"/>
    <w:rsid w:val="005E049D"/>
    <w:rsid w:val="005E0588"/>
    <w:rsid w:val="005E05C7"/>
    <w:rsid w:val="005E05E0"/>
    <w:rsid w:val="005E0866"/>
    <w:rsid w:val="005E0908"/>
    <w:rsid w:val="005E09DF"/>
    <w:rsid w:val="005E0A77"/>
    <w:rsid w:val="005E0AD6"/>
    <w:rsid w:val="005E0AD7"/>
    <w:rsid w:val="005E0C5D"/>
    <w:rsid w:val="005E0CAE"/>
    <w:rsid w:val="005E0CC7"/>
    <w:rsid w:val="005E0D07"/>
    <w:rsid w:val="005E0E7D"/>
    <w:rsid w:val="005E1004"/>
    <w:rsid w:val="005E1012"/>
    <w:rsid w:val="005E104E"/>
    <w:rsid w:val="005E114E"/>
    <w:rsid w:val="005E1273"/>
    <w:rsid w:val="005E130F"/>
    <w:rsid w:val="005E13CD"/>
    <w:rsid w:val="005E1496"/>
    <w:rsid w:val="005E150D"/>
    <w:rsid w:val="005E17C0"/>
    <w:rsid w:val="005E1901"/>
    <w:rsid w:val="005E19EA"/>
    <w:rsid w:val="005E1A4C"/>
    <w:rsid w:val="005E1AB4"/>
    <w:rsid w:val="005E1AB9"/>
    <w:rsid w:val="005E1B08"/>
    <w:rsid w:val="005E1B44"/>
    <w:rsid w:val="005E1B5F"/>
    <w:rsid w:val="005E1D29"/>
    <w:rsid w:val="005E1D90"/>
    <w:rsid w:val="005E1F60"/>
    <w:rsid w:val="005E1FC3"/>
    <w:rsid w:val="005E1FD9"/>
    <w:rsid w:val="005E1FDC"/>
    <w:rsid w:val="005E2117"/>
    <w:rsid w:val="005E2148"/>
    <w:rsid w:val="005E22CF"/>
    <w:rsid w:val="005E2448"/>
    <w:rsid w:val="005E273E"/>
    <w:rsid w:val="005E288B"/>
    <w:rsid w:val="005E296B"/>
    <w:rsid w:val="005E296C"/>
    <w:rsid w:val="005E2A5F"/>
    <w:rsid w:val="005E2CD6"/>
    <w:rsid w:val="005E2ED7"/>
    <w:rsid w:val="005E2FC6"/>
    <w:rsid w:val="005E2FEF"/>
    <w:rsid w:val="005E30DB"/>
    <w:rsid w:val="005E3136"/>
    <w:rsid w:val="005E3344"/>
    <w:rsid w:val="005E33FC"/>
    <w:rsid w:val="005E3505"/>
    <w:rsid w:val="005E355B"/>
    <w:rsid w:val="005E35F9"/>
    <w:rsid w:val="005E36C9"/>
    <w:rsid w:val="005E3704"/>
    <w:rsid w:val="005E3801"/>
    <w:rsid w:val="005E382D"/>
    <w:rsid w:val="005E383C"/>
    <w:rsid w:val="005E39B3"/>
    <w:rsid w:val="005E3A1B"/>
    <w:rsid w:val="005E3A59"/>
    <w:rsid w:val="005E3A88"/>
    <w:rsid w:val="005E3A9B"/>
    <w:rsid w:val="005E3B83"/>
    <w:rsid w:val="005E3BD1"/>
    <w:rsid w:val="005E3BD4"/>
    <w:rsid w:val="005E3C9A"/>
    <w:rsid w:val="005E3CA9"/>
    <w:rsid w:val="005E3D28"/>
    <w:rsid w:val="005E3D47"/>
    <w:rsid w:val="005E3DCF"/>
    <w:rsid w:val="005E3F64"/>
    <w:rsid w:val="005E4065"/>
    <w:rsid w:val="005E4111"/>
    <w:rsid w:val="005E4153"/>
    <w:rsid w:val="005E41C7"/>
    <w:rsid w:val="005E41F5"/>
    <w:rsid w:val="005E42FA"/>
    <w:rsid w:val="005E4396"/>
    <w:rsid w:val="005E4481"/>
    <w:rsid w:val="005E453D"/>
    <w:rsid w:val="005E4552"/>
    <w:rsid w:val="005E4606"/>
    <w:rsid w:val="005E4668"/>
    <w:rsid w:val="005E4691"/>
    <w:rsid w:val="005E46B7"/>
    <w:rsid w:val="005E46B8"/>
    <w:rsid w:val="005E4744"/>
    <w:rsid w:val="005E48EF"/>
    <w:rsid w:val="005E4906"/>
    <w:rsid w:val="005E4A77"/>
    <w:rsid w:val="005E4AB3"/>
    <w:rsid w:val="005E4AF1"/>
    <w:rsid w:val="005E4BD7"/>
    <w:rsid w:val="005E4D73"/>
    <w:rsid w:val="005E4E50"/>
    <w:rsid w:val="005E4F0E"/>
    <w:rsid w:val="005E4F3C"/>
    <w:rsid w:val="005E5004"/>
    <w:rsid w:val="005E501A"/>
    <w:rsid w:val="005E515E"/>
    <w:rsid w:val="005E517D"/>
    <w:rsid w:val="005E51D5"/>
    <w:rsid w:val="005E5330"/>
    <w:rsid w:val="005E560F"/>
    <w:rsid w:val="005E56AB"/>
    <w:rsid w:val="005E56DD"/>
    <w:rsid w:val="005E5776"/>
    <w:rsid w:val="005E5783"/>
    <w:rsid w:val="005E5812"/>
    <w:rsid w:val="005E58BD"/>
    <w:rsid w:val="005E5903"/>
    <w:rsid w:val="005E590F"/>
    <w:rsid w:val="005E5AA1"/>
    <w:rsid w:val="005E5B0A"/>
    <w:rsid w:val="005E5B21"/>
    <w:rsid w:val="005E5B44"/>
    <w:rsid w:val="005E5B88"/>
    <w:rsid w:val="005E5BD7"/>
    <w:rsid w:val="005E5CDA"/>
    <w:rsid w:val="005E5DC3"/>
    <w:rsid w:val="005E5F1F"/>
    <w:rsid w:val="005E6116"/>
    <w:rsid w:val="005E6120"/>
    <w:rsid w:val="005E625E"/>
    <w:rsid w:val="005E632F"/>
    <w:rsid w:val="005E6446"/>
    <w:rsid w:val="005E6498"/>
    <w:rsid w:val="005E6590"/>
    <w:rsid w:val="005E660A"/>
    <w:rsid w:val="005E66BE"/>
    <w:rsid w:val="005E6776"/>
    <w:rsid w:val="005E67CC"/>
    <w:rsid w:val="005E686D"/>
    <w:rsid w:val="005E69D0"/>
    <w:rsid w:val="005E6D35"/>
    <w:rsid w:val="005E6DA9"/>
    <w:rsid w:val="005E6DB4"/>
    <w:rsid w:val="005E6F41"/>
    <w:rsid w:val="005E6FB3"/>
    <w:rsid w:val="005E70C2"/>
    <w:rsid w:val="005E712F"/>
    <w:rsid w:val="005E7153"/>
    <w:rsid w:val="005E71AC"/>
    <w:rsid w:val="005E71B6"/>
    <w:rsid w:val="005E71EC"/>
    <w:rsid w:val="005E720C"/>
    <w:rsid w:val="005E722E"/>
    <w:rsid w:val="005E728F"/>
    <w:rsid w:val="005E7596"/>
    <w:rsid w:val="005E75FA"/>
    <w:rsid w:val="005E7642"/>
    <w:rsid w:val="005E764F"/>
    <w:rsid w:val="005E76A4"/>
    <w:rsid w:val="005E77B6"/>
    <w:rsid w:val="005E7B85"/>
    <w:rsid w:val="005E7BBC"/>
    <w:rsid w:val="005E7CA0"/>
    <w:rsid w:val="005E7EFD"/>
    <w:rsid w:val="005E7FCE"/>
    <w:rsid w:val="005F0016"/>
    <w:rsid w:val="005F0086"/>
    <w:rsid w:val="005F00B6"/>
    <w:rsid w:val="005F0161"/>
    <w:rsid w:val="005F027D"/>
    <w:rsid w:val="005F0440"/>
    <w:rsid w:val="005F044C"/>
    <w:rsid w:val="005F048A"/>
    <w:rsid w:val="005F0538"/>
    <w:rsid w:val="005F0609"/>
    <w:rsid w:val="005F0621"/>
    <w:rsid w:val="005F06B3"/>
    <w:rsid w:val="005F077D"/>
    <w:rsid w:val="005F099E"/>
    <w:rsid w:val="005F09C9"/>
    <w:rsid w:val="005F09D7"/>
    <w:rsid w:val="005F0A32"/>
    <w:rsid w:val="005F0A4A"/>
    <w:rsid w:val="005F0B10"/>
    <w:rsid w:val="005F0B12"/>
    <w:rsid w:val="005F0D71"/>
    <w:rsid w:val="005F102B"/>
    <w:rsid w:val="005F103E"/>
    <w:rsid w:val="005F10D5"/>
    <w:rsid w:val="005F1135"/>
    <w:rsid w:val="005F115A"/>
    <w:rsid w:val="005F1292"/>
    <w:rsid w:val="005F14A5"/>
    <w:rsid w:val="005F169E"/>
    <w:rsid w:val="005F16BB"/>
    <w:rsid w:val="005F170D"/>
    <w:rsid w:val="005F171D"/>
    <w:rsid w:val="005F1738"/>
    <w:rsid w:val="005F1855"/>
    <w:rsid w:val="005F1889"/>
    <w:rsid w:val="005F1BD1"/>
    <w:rsid w:val="005F1CC1"/>
    <w:rsid w:val="005F1CF0"/>
    <w:rsid w:val="005F1DB5"/>
    <w:rsid w:val="005F2109"/>
    <w:rsid w:val="005F210F"/>
    <w:rsid w:val="005F218C"/>
    <w:rsid w:val="005F21AC"/>
    <w:rsid w:val="005F2222"/>
    <w:rsid w:val="005F2290"/>
    <w:rsid w:val="005F2348"/>
    <w:rsid w:val="005F2489"/>
    <w:rsid w:val="005F26A4"/>
    <w:rsid w:val="005F26AB"/>
    <w:rsid w:val="005F272D"/>
    <w:rsid w:val="005F278A"/>
    <w:rsid w:val="005F27C1"/>
    <w:rsid w:val="005F289C"/>
    <w:rsid w:val="005F2969"/>
    <w:rsid w:val="005F2A49"/>
    <w:rsid w:val="005F2AD2"/>
    <w:rsid w:val="005F2B04"/>
    <w:rsid w:val="005F2B28"/>
    <w:rsid w:val="005F2B6E"/>
    <w:rsid w:val="005F2B95"/>
    <w:rsid w:val="005F2BCD"/>
    <w:rsid w:val="005F2C26"/>
    <w:rsid w:val="005F2D1D"/>
    <w:rsid w:val="005F2DED"/>
    <w:rsid w:val="005F2E9D"/>
    <w:rsid w:val="005F2F23"/>
    <w:rsid w:val="005F2F36"/>
    <w:rsid w:val="005F2F72"/>
    <w:rsid w:val="005F30C4"/>
    <w:rsid w:val="005F31B5"/>
    <w:rsid w:val="005F31DB"/>
    <w:rsid w:val="005F32E7"/>
    <w:rsid w:val="005F3306"/>
    <w:rsid w:val="005F3376"/>
    <w:rsid w:val="005F351F"/>
    <w:rsid w:val="005F3573"/>
    <w:rsid w:val="005F3621"/>
    <w:rsid w:val="005F367F"/>
    <w:rsid w:val="005F36C2"/>
    <w:rsid w:val="005F36CE"/>
    <w:rsid w:val="005F3700"/>
    <w:rsid w:val="005F3782"/>
    <w:rsid w:val="005F37AE"/>
    <w:rsid w:val="005F3912"/>
    <w:rsid w:val="005F39D2"/>
    <w:rsid w:val="005F3AE5"/>
    <w:rsid w:val="005F3B76"/>
    <w:rsid w:val="005F3BFC"/>
    <w:rsid w:val="005F3C0D"/>
    <w:rsid w:val="005F3E2C"/>
    <w:rsid w:val="005F3F55"/>
    <w:rsid w:val="005F40F3"/>
    <w:rsid w:val="005F4199"/>
    <w:rsid w:val="005F4344"/>
    <w:rsid w:val="005F4441"/>
    <w:rsid w:val="005F4526"/>
    <w:rsid w:val="005F4897"/>
    <w:rsid w:val="005F493D"/>
    <w:rsid w:val="005F4971"/>
    <w:rsid w:val="005F49BE"/>
    <w:rsid w:val="005F4ADD"/>
    <w:rsid w:val="005F4D0B"/>
    <w:rsid w:val="005F4E64"/>
    <w:rsid w:val="005F4EE0"/>
    <w:rsid w:val="005F4F68"/>
    <w:rsid w:val="005F4FEF"/>
    <w:rsid w:val="005F502B"/>
    <w:rsid w:val="005F50D5"/>
    <w:rsid w:val="005F50DF"/>
    <w:rsid w:val="005F50FD"/>
    <w:rsid w:val="005F5215"/>
    <w:rsid w:val="005F5250"/>
    <w:rsid w:val="005F52B5"/>
    <w:rsid w:val="005F53A2"/>
    <w:rsid w:val="005F5541"/>
    <w:rsid w:val="005F5550"/>
    <w:rsid w:val="005F557D"/>
    <w:rsid w:val="005F5632"/>
    <w:rsid w:val="005F5795"/>
    <w:rsid w:val="005F5874"/>
    <w:rsid w:val="005F58BE"/>
    <w:rsid w:val="005F58E8"/>
    <w:rsid w:val="005F59AF"/>
    <w:rsid w:val="005F5B38"/>
    <w:rsid w:val="005F5E03"/>
    <w:rsid w:val="005F5E1A"/>
    <w:rsid w:val="005F5EE7"/>
    <w:rsid w:val="005F5FF6"/>
    <w:rsid w:val="005F6089"/>
    <w:rsid w:val="005F6108"/>
    <w:rsid w:val="005F612B"/>
    <w:rsid w:val="005F6152"/>
    <w:rsid w:val="005F61E7"/>
    <w:rsid w:val="005F62BF"/>
    <w:rsid w:val="005F62DA"/>
    <w:rsid w:val="005F6327"/>
    <w:rsid w:val="005F635C"/>
    <w:rsid w:val="005F63C6"/>
    <w:rsid w:val="005F6416"/>
    <w:rsid w:val="005F6446"/>
    <w:rsid w:val="005F6528"/>
    <w:rsid w:val="005F6571"/>
    <w:rsid w:val="005F65E0"/>
    <w:rsid w:val="005F6722"/>
    <w:rsid w:val="005F673E"/>
    <w:rsid w:val="005F6851"/>
    <w:rsid w:val="005F68F7"/>
    <w:rsid w:val="005F6980"/>
    <w:rsid w:val="005F69A5"/>
    <w:rsid w:val="005F69C8"/>
    <w:rsid w:val="005F69FF"/>
    <w:rsid w:val="005F6A01"/>
    <w:rsid w:val="005F6A17"/>
    <w:rsid w:val="005F6BB5"/>
    <w:rsid w:val="005F6C21"/>
    <w:rsid w:val="005F6C69"/>
    <w:rsid w:val="005F6D19"/>
    <w:rsid w:val="005F6D47"/>
    <w:rsid w:val="005F6D55"/>
    <w:rsid w:val="005F6DE3"/>
    <w:rsid w:val="005F6DF3"/>
    <w:rsid w:val="005F6E9B"/>
    <w:rsid w:val="005F6F3B"/>
    <w:rsid w:val="005F7033"/>
    <w:rsid w:val="005F7088"/>
    <w:rsid w:val="005F7214"/>
    <w:rsid w:val="005F7216"/>
    <w:rsid w:val="005F722A"/>
    <w:rsid w:val="005F7290"/>
    <w:rsid w:val="005F7325"/>
    <w:rsid w:val="005F7362"/>
    <w:rsid w:val="005F7414"/>
    <w:rsid w:val="005F749B"/>
    <w:rsid w:val="005F770C"/>
    <w:rsid w:val="005F773A"/>
    <w:rsid w:val="005F78BD"/>
    <w:rsid w:val="005F78F0"/>
    <w:rsid w:val="005F7978"/>
    <w:rsid w:val="005F79F8"/>
    <w:rsid w:val="005F7A00"/>
    <w:rsid w:val="005F7B94"/>
    <w:rsid w:val="005F7CF9"/>
    <w:rsid w:val="005F7D1E"/>
    <w:rsid w:val="005F7D6C"/>
    <w:rsid w:val="005F7D7A"/>
    <w:rsid w:val="005F7E59"/>
    <w:rsid w:val="005F7EF5"/>
    <w:rsid w:val="005F7F1E"/>
    <w:rsid w:val="00600027"/>
    <w:rsid w:val="0060017D"/>
    <w:rsid w:val="0060019B"/>
    <w:rsid w:val="00600394"/>
    <w:rsid w:val="00600582"/>
    <w:rsid w:val="006005C8"/>
    <w:rsid w:val="006006B3"/>
    <w:rsid w:val="00600702"/>
    <w:rsid w:val="0060071A"/>
    <w:rsid w:val="006007E7"/>
    <w:rsid w:val="006007EF"/>
    <w:rsid w:val="00600803"/>
    <w:rsid w:val="0060087B"/>
    <w:rsid w:val="006009BA"/>
    <w:rsid w:val="00600A95"/>
    <w:rsid w:val="00600AA5"/>
    <w:rsid w:val="00600BB3"/>
    <w:rsid w:val="00600C6B"/>
    <w:rsid w:val="00600CF8"/>
    <w:rsid w:val="00600DE0"/>
    <w:rsid w:val="00600E7A"/>
    <w:rsid w:val="00600F2B"/>
    <w:rsid w:val="00600FA6"/>
    <w:rsid w:val="00601041"/>
    <w:rsid w:val="00601053"/>
    <w:rsid w:val="006010CB"/>
    <w:rsid w:val="006010EB"/>
    <w:rsid w:val="006011AA"/>
    <w:rsid w:val="0060126C"/>
    <w:rsid w:val="0060136B"/>
    <w:rsid w:val="006013B8"/>
    <w:rsid w:val="00601431"/>
    <w:rsid w:val="006014DB"/>
    <w:rsid w:val="0060155C"/>
    <w:rsid w:val="006015AC"/>
    <w:rsid w:val="0060167E"/>
    <w:rsid w:val="006016D0"/>
    <w:rsid w:val="00601702"/>
    <w:rsid w:val="00601704"/>
    <w:rsid w:val="0060174E"/>
    <w:rsid w:val="006017B3"/>
    <w:rsid w:val="006017EF"/>
    <w:rsid w:val="00601802"/>
    <w:rsid w:val="0060182F"/>
    <w:rsid w:val="00601847"/>
    <w:rsid w:val="006018FE"/>
    <w:rsid w:val="0060190E"/>
    <w:rsid w:val="00601A71"/>
    <w:rsid w:val="00601A7B"/>
    <w:rsid w:val="00601AA3"/>
    <w:rsid w:val="00601AA8"/>
    <w:rsid w:val="00601B20"/>
    <w:rsid w:val="00601BB8"/>
    <w:rsid w:val="00601C34"/>
    <w:rsid w:val="00601D25"/>
    <w:rsid w:val="00601DBA"/>
    <w:rsid w:val="00601DF1"/>
    <w:rsid w:val="00601E1F"/>
    <w:rsid w:val="00601ECE"/>
    <w:rsid w:val="00601F87"/>
    <w:rsid w:val="0060210A"/>
    <w:rsid w:val="0060212F"/>
    <w:rsid w:val="00602165"/>
    <w:rsid w:val="00602167"/>
    <w:rsid w:val="00602189"/>
    <w:rsid w:val="00602211"/>
    <w:rsid w:val="00602293"/>
    <w:rsid w:val="006022AE"/>
    <w:rsid w:val="006022F5"/>
    <w:rsid w:val="0060231D"/>
    <w:rsid w:val="00602344"/>
    <w:rsid w:val="00602432"/>
    <w:rsid w:val="006025BD"/>
    <w:rsid w:val="006025F9"/>
    <w:rsid w:val="00602717"/>
    <w:rsid w:val="006027CA"/>
    <w:rsid w:val="00602830"/>
    <w:rsid w:val="00602846"/>
    <w:rsid w:val="00602880"/>
    <w:rsid w:val="0060289A"/>
    <w:rsid w:val="00602A35"/>
    <w:rsid w:val="00602A7F"/>
    <w:rsid w:val="00602C49"/>
    <w:rsid w:val="00602C8A"/>
    <w:rsid w:val="00602C98"/>
    <w:rsid w:val="00602D4F"/>
    <w:rsid w:val="00602D9A"/>
    <w:rsid w:val="00602E34"/>
    <w:rsid w:val="00602FE3"/>
    <w:rsid w:val="00603019"/>
    <w:rsid w:val="00603047"/>
    <w:rsid w:val="006030B7"/>
    <w:rsid w:val="0060316D"/>
    <w:rsid w:val="0060317B"/>
    <w:rsid w:val="006032F7"/>
    <w:rsid w:val="00603339"/>
    <w:rsid w:val="00603519"/>
    <w:rsid w:val="006035A2"/>
    <w:rsid w:val="006035CC"/>
    <w:rsid w:val="00603623"/>
    <w:rsid w:val="0060372E"/>
    <w:rsid w:val="00603794"/>
    <w:rsid w:val="006038A7"/>
    <w:rsid w:val="006038B2"/>
    <w:rsid w:val="006038F3"/>
    <w:rsid w:val="00603938"/>
    <w:rsid w:val="00603967"/>
    <w:rsid w:val="006039AC"/>
    <w:rsid w:val="006039FA"/>
    <w:rsid w:val="00603A2D"/>
    <w:rsid w:val="00603C79"/>
    <w:rsid w:val="00603DA6"/>
    <w:rsid w:val="00603F9C"/>
    <w:rsid w:val="00603FA2"/>
    <w:rsid w:val="00603FD4"/>
    <w:rsid w:val="00604046"/>
    <w:rsid w:val="0060407C"/>
    <w:rsid w:val="006040C0"/>
    <w:rsid w:val="0060416E"/>
    <w:rsid w:val="00604182"/>
    <w:rsid w:val="006041A5"/>
    <w:rsid w:val="00604249"/>
    <w:rsid w:val="00604322"/>
    <w:rsid w:val="006043BC"/>
    <w:rsid w:val="006043F2"/>
    <w:rsid w:val="006044C7"/>
    <w:rsid w:val="00604500"/>
    <w:rsid w:val="00604531"/>
    <w:rsid w:val="0060464B"/>
    <w:rsid w:val="00604673"/>
    <w:rsid w:val="006046C4"/>
    <w:rsid w:val="00604722"/>
    <w:rsid w:val="00604740"/>
    <w:rsid w:val="00604878"/>
    <w:rsid w:val="006048D6"/>
    <w:rsid w:val="006049DC"/>
    <w:rsid w:val="006049DF"/>
    <w:rsid w:val="006049EE"/>
    <w:rsid w:val="00604A27"/>
    <w:rsid w:val="00604BC6"/>
    <w:rsid w:val="00604D26"/>
    <w:rsid w:val="00604D58"/>
    <w:rsid w:val="00604FBE"/>
    <w:rsid w:val="00604FDE"/>
    <w:rsid w:val="00605026"/>
    <w:rsid w:val="00605027"/>
    <w:rsid w:val="00605096"/>
    <w:rsid w:val="0060513B"/>
    <w:rsid w:val="006051E3"/>
    <w:rsid w:val="0060533F"/>
    <w:rsid w:val="0060550D"/>
    <w:rsid w:val="006055EF"/>
    <w:rsid w:val="0060562E"/>
    <w:rsid w:val="006056B7"/>
    <w:rsid w:val="00605A6A"/>
    <w:rsid w:val="00605AD2"/>
    <w:rsid w:val="00605D99"/>
    <w:rsid w:val="00605F78"/>
    <w:rsid w:val="006062F7"/>
    <w:rsid w:val="006066AF"/>
    <w:rsid w:val="00606756"/>
    <w:rsid w:val="00606896"/>
    <w:rsid w:val="00606A44"/>
    <w:rsid w:val="00606A4D"/>
    <w:rsid w:val="00606B05"/>
    <w:rsid w:val="00606C19"/>
    <w:rsid w:val="00606C7C"/>
    <w:rsid w:val="00606D91"/>
    <w:rsid w:val="00606E12"/>
    <w:rsid w:val="00606F30"/>
    <w:rsid w:val="006070EB"/>
    <w:rsid w:val="00607314"/>
    <w:rsid w:val="00607453"/>
    <w:rsid w:val="006074D9"/>
    <w:rsid w:val="006074ED"/>
    <w:rsid w:val="00607667"/>
    <w:rsid w:val="0060766C"/>
    <w:rsid w:val="00607685"/>
    <w:rsid w:val="0060768C"/>
    <w:rsid w:val="0060777A"/>
    <w:rsid w:val="00607784"/>
    <w:rsid w:val="00607801"/>
    <w:rsid w:val="0060785E"/>
    <w:rsid w:val="00607887"/>
    <w:rsid w:val="0060794C"/>
    <w:rsid w:val="00607A5B"/>
    <w:rsid w:val="00607ABA"/>
    <w:rsid w:val="00607CB2"/>
    <w:rsid w:val="00607EF7"/>
    <w:rsid w:val="00607FDA"/>
    <w:rsid w:val="00610082"/>
    <w:rsid w:val="0061037F"/>
    <w:rsid w:val="006103F8"/>
    <w:rsid w:val="00610427"/>
    <w:rsid w:val="0061047C"/>
    <w:rsid w:val="006104C6"/>
    <w:rsid w:val="006105A0"/>
    <w:rsid w:val="00610647"/>
    <w:rsid w:val="006106DF"/>
    <w:rsid w:val="006108E2"/>
    <w:rsid w:val="006108FB"/>
    <w:rsid w:val="00610963"/>
    <w:rsid w:val="00610977"/>
    <w:rsid w:val="00610A4A"/>
    <w:rsid w:val="00610A9C"/>
    <w:rsid w:val="00610BF2"/>
    <w:rsid w:val="00610C3C"/>
    <w:rsid w:val="00610CB0"/>
    <w:rsid w:val="00610CB9"/>
    <w:rsid w:val="00610D8E"/>
    <w:rsid w:val="00610E89"/>
    <w:rsid w:val="00610ED3"/>
    <w:rsid w:val="00610EFE"/>
    <w:rsid w:val="00610F00"/>
    <w:rsid w:val="00610F2C"/>
    <w:rsid w:val="00610FC9"/>
    <w:rsid w:val="00611154"/>
    <w:rsid w:val="006111C5"/>
    <w:rsid w:val="00611252"/>
    <w:rsid w:val="006113C4"/>
    <w:rsid w:val="006116C3"/>
    <w:rsid w:val="006117E6"/>
    <w:rsid w:val="006119D4"/>
    <w:rsid w:val="00611A35"/>
    <w:rsid w:val="00611B93"/>
    <w:rsid w:val="00611BE8"/>
    <w:rsid w:val="00611BF5"/>
    <w:rsid w:val="00611CD1"/>
    <w:rsid w:val="00611D0A"/>
    <w:rsid w:val="00611D5E"/>
    <w:rsid w:val="00611DDD"/>
    <w:rsid w:val="00611E57"/>
    <w:rsid w:val="00611ED3"/>
    <w:rsid w:val="00611FF1"/>
    <w:rsid w:val="0061204A"/>
    <w:rsid w:val="00612079"/>
    <w:rsid w:val="006121B9"/>
    <w:rsid w:val="006122E1"/>
    <w:rsid w:val="00612367"/>
    <w:rsid w:val="006124E2"/>
    <w:rsid w:val="0061253B"/>
    <w:rsid w:val="0061253C"/>
    <w:rsid w:val="00612587"/>
    <w:rsid w:val="00612684"/>
    <w:rsid w:val="006126E4"/>
    <w:rsid w:val="006126F3"/>
    <w:rsid w:val="0061277C"/>
    <w:rsid w:val="00612788"/>
    <w:rsid w:val="0061280E"/>
    <w:rsid w:val="00612812"/>
    <w:rsid w:val="006129DE"/>
    <w:rsid w:val="00612B2B"/>
    <w:rsid w:val="00612BAB"/>
    <w:rsid w:val="00612CD5"/>
    <w:rsid w:val="00612D45"/>
    <w:rsid w:val="00612D4A"/>
    <w:rsid w:val="00612E8E"/>
    <w:rsid w:val="00612F49"/>
    <w:rsid w:val="006130BB"/>
    <w:rsid w:val="00613136"/>
    <w:rsid w:val="006131DF"/>
    <w:rsid w:val="006131E8"/>
    <w:rsid w:val="00613254"/>
    <w:rsid w:val="00613296"/>
    <w:rsid w:val="00613385"/>
    <w:rsid w:val="006133C1"/>
    <w:rsid w:val="006135B1"/>
    <w:rsid w:val="006136BC"/>
    <w:rsid w:val="006136FC"/>
    <w:rsid w:val="00613768"/>
    <w:rsid w:val="00613814"/>
    <w:rsid w:val="00613825"/>
    <w:rsid w:val="0061382E"/>
    <w:rsid w:val="0061385D"/>
    <w:rsid w:val="006138A9"/>
    <w:rsid w:val="006138AB"/>
    <w:rsid w:val="006138D3"/>
    <w:rsid w:val="006139E9"/>
    <w:rsid w:val="00613AA3"/>
    <w:rsid w:val="00613B72"/>
    <w:rsid w:val="00613CE5"/>
    <w:rsid w:val="00613D38"/>
    <w:rsid w:val="00613F00"/>
    <w:rsid w:val="00613F63"/>
    <w:rsid w:val="0061400B"/>
    <w:rsid w:val="006140C9"/>
    <w:rsid w:val="00614125"/>
    <w:rsid w:val="006142AF"/>
    <w:rsid w:val="006142CF"/>
    <w:rsid w:val="0061448A"/>
    <w:rsid w:val="00614512"/>
    <w:rsid w:val="0061467C"/>
    <w:rsid w:val="00614723"/>
    <w:rsid w:val="00614899"/>
    <w:rsid w:val="006148D9"/>
    <w:rsid w:val="006148DF"/>
    <w:rsid w:val="006148E0"/>
    <w:rsid w:val="00614A09"/>
    <w:rsid w:val="00614A0C"/>
    <w:rsid w:val="00614D03"/>
    <w:rsid w:val="00614D22"/>
    <w:rsid w:val="00614E48"/>
    <w:rsid w:val="00614EA1"/>
    <w:rsid w:val="00614F45"/>
    <w:rsid w:val="00614FD1"/>
    <w:rsid w:val="00615002"/>
    <w:rsid w:val="00615047"/>
    <w:rsid w:val="00615229"/>
    <w:rsid w:val="00615231"/>
    <w:rsid w:val="006152B9"/>
    <w:rsid w:val="006152BA"/>
    <w:rsid w:val="0061534A"/>
    <w:rsid w:val="0061537F"/>
    <w:rsid w:val="00615387"/>
    <w:rsid w:val="006155CD"/>
    <w:rsid w:val="00615678"/>
    <w:rsid w:val="00615691"/>
    <w:rsid w:val="006156C9"/>
    <w:rsid w:val="00615754"/>
    <w:rsid w:val="00615851"/>
    <w:rsid w:val="00615888"/>
    <w:rsid w:val="0061594A"/>
    <w:rsid w:val="006159A7"/>
    <w:rsid w:val="006159C6"/>
    <w:rsid w:val="00615A03"/>
    <w:rsid w:val="00615AEB"/>
    <w:rsid w:val="00615BE0"/>
    <w:rsid w:val="00615BF4"/>
    <w:rsid w:val="00615CB3"/>
    <w:rsid w:val="00615E0E"/>
    <w:rsid w:val="00615E5A"/>
    <w:rsid w:val="00615E5F"/>
    <w:rsid w:val="00615EDE"/>
    <w:rsid w:val="00615EEF"/>
    <w:rsid w:val="00615F1D"/>
    <w:rsid w:val="00615F4E"/>
    <w:rsid w:val="00615FBF"/>
    <w:rsid w:val="00616064"/>
    <w:rsid w:val="0061608F"/>
    <w:rsid w:val="006160B5"/>
    <w:rsid w:val="00616104"/>
    <w:rsid w:val="0061623E"/>
    <w:rsid w:val="00616287"/>
    <w:rsid w:val="0061664C"/>
    <w:rsid w:val="0061678B"/>
    <w:rsid w:val="0061679A"/>
    <w:rsid w:val="0061689D"/>
    <w:rsid w:val="00616A16"/>
    <w:rsid w:val="00616B27"/>
    <w:rsid w:val="00616B3A"/>
    <w:rsid w:val="00616BC1"/>
    <w:rsid w:val="00616BDE"/>
    <w:rsid w:val="00616C45"/>
    <w:rsid w:val="00616C4E"/>
    <w:rsid w:val="00616C62"/>
    <w:rsid w:val="00616CB1"/>
    <w:rsid w:val="00616DB4"/>
    <w:rsid w:val="00616E87"/>
    <w:rsid w:val="00616F1D"/>
    <w:rsid w:val="00616FB8"/>
    <w:rsid w:val="00616FCE"/>
    <w:rsid w:val="0061717F"/>
    <w:rsid w:val="006171F0"/>
    <w:rsid w:val="00617294"/>
    <w:rsid w:val="006172E4"/>
    <w:rsid w:val="006173A8"/>
    <w:rsid w:val="0061748F"/>
    <w:rsid w:val="00617560"/>
    <w:rsid w:val="00617608"/>
    <w:rsid w:val="0061763A"/>
    <w:rsid w:val="0061765E"/>
    <w:rsid w:val="0061767D"/>
    <w:rsid w:val="006176AE"/>
    <w:rsid w:val="0061774A"/>
    <w:rsid w:val="006177D1"/>
    <w:rsid w:val="00617A17"/>
    <w:rsid w:val="00617A41"/>
    <w:rsid w:val="00617B8C"/>
    <w:rsid w:val="00617C9E"/>
    <w:rsid w:val="00617D40"/>
    <w:rsid w:val="00617D86"/>
    <w:rsid w:val="00617E09"/>
    <w:rsid w:val="00617EDA"/>
    <w:rsid w:val="00617EEF"/>
    <w:rsid w:val="00617FA6"/>
    <w:rsid w:val="00617FA8"/>
    <w:rsid w:val="0061AB73"/>
    <w:rsid w:val="006200AC"/>
    <w:rsid w:val="00620299"/>
    <w:rsid w:val="00620382"/>
    <w:rsid w:val="006203A6"/>
    <w:rsid w:val="00620495"/>
    <w:rsid w:val="006204D8"/>
    <w:rsid w:val="006204FD"/>
    <w:rsid w:val="00620539"/>
    <w:rsid w:val="0062056E"/>
    <w:rsid w:val="006205B6"/>
    <w:rsid w:val="00620616"/>
    <w:rsid w:val="006208A0"/>
    <w:rsid w:val="00620A4C"/>
    <w:rsid w:val="00620A6D"/>
    <w:rsid w:val="00620B42"/>
    <w:rsid w:val="00620B8E"/>
    <w:rsid w:val="00620BF3"/>
    <w:rsid w:val="00620CC4"/>
    <w:rsid w:val="00620D22"/>
    <w:rsid w:val="00620D45"/>
    <w:rsid w:val="00620E16"/>
    <w:rsid w:val="00620E9C"/>
    <w:rsid w:val="00620F5B"/>
    <w:rsid w:val="00620F63"/>
    <w:rsid w:val="00620F68"/>
    <w:rsid w:val="00621021"/>
    <w:rsid w:val="00621139"/>
    <w:rsid w:val="006211EB"/>
    <w:rsid w:val="00621205"/>
    <w:rsid w:val="006212AF"/>
    <w:rsid w:val="006212CA"/>
    <w:rsid w:val="00621393"/>
    <w:rsid w:val="00621496"/>
    <w:rsid w:val="00621797"/>
    <w:rsid w:val="00621882"/>
    <w:rsid w:val="00621888"/>
    <w:rsid w:val="0062189F"/>
    <w:rsid w:val="0062197C"/>
    <w:rsid w:val="00621A5A"/>
    <w:rsid w:val="00621ADB"/>
    <w:rsid w:val="00621BAF"/>
    <w:rsid w:val="0062202E"/>
    <w:rsid w:val="0062208C"/>
    <w:rsid w:val="006220E4"/>
    <w:rsid w:val="0062243A"/>
    <w:rsid w:val="0062243D"/>
    <w:rsid w:val="0062254F"/>
    <w:rsid w:val="00622573"/>
    <w:rsid w:val="00622591"/>
    <w:rsid w:val="00622654"/>
    <w:rsid w:val="006226F5"/>
    <w:rsid w:val="006227B4"/>
    <w:rsid w:val="00622878"/>
    <w:rsid w:val="00622946"/>
    <w:rsid w:val="00622985"/>
    <w:rsid w:val="00622A12"/>
    <w:rsid w:val="00622A31"/>
    <w:rsid w:val="00622A4C"/>
    <w:rsid w:val="00622BBE"/>
    <w:rsid w:val="00622CEA"/>
    <w:rsid w:val="00622D23"/>
    <w:rsid w:val="00622D44"/>
    <w:rsid w:val="00622D54"/>
    <w:rsid w:val="00622E3A"/>
    <w:rsid w:val="00622EDC"/>
    <w:rsid w:val="00622F3C"/>
    <w:rsid w:val="00622F4D"/>
    <w:rsid w:val="00622F6E"/>
    <w:rsid w:val="00623004"/>
    <w:rsid w:val="006230C9"/>
    <w:rsid w:val="00623173"/>
    <w:rsid w:val="006231A8"/>
    <w:rsid w:val="006232EF"/>
    <w:rsid w:val="006233E4"/>
    <w:rsid w:val="00623406"/>
    <w:rsid w:val="00623496"/>
    <w:rsid w:val="006236DF"/>
    <w:rsid w:val="006237EB"/>
    <w:rsid w:val="006238C3"/>
    <w:rsid w:val="00623A45"/>
    <w:rsid w:val="00623A69"/>
    <w:rsid w:val="00623AF8"/>
    <w:rsid w:val="00623CB6"/>
    <w:rsid w:val="00623E46"/>
    <w:rsid w:val="00623F14"/>
    <w:rsid w:val="006240F7"/>
    <w:rsid w:val="00624459"/>
    <w:rsid w:val="00624464"/>
    <w:rsid w:val="0062476E"/>
    <w:rsid w:val="0062484C"/>
    <w:rsid w:val="006248D6"/>
    <w:rsid w:val="006248FD"/>
    <w:rsid w:val="00624A0B"/>
    <w:rsid w:val="00624A12"/>
    <w:rsid w:val="00624AE7"/>
    <w:rsid w:val="00624B68"/>
    <w:rsid w:val="00624BB9"/>
    <w:rsid w:val="00624C0C"/>
    <w:rsid w:val="00624DB6"/>
    <w:rsid w:val="00624DBF"/>
    <w:rsid w:val="00624E39"/>
    <w:rsid w:val="00624E72"/>
    <w:rsid w:val="00624E83"/>
    <w:rsid w:val="00624EC6"/>
    <w:rsid w:val="006251A8"/>
    <w:rsid w:val="0062528C"/>
    <w:rsid w:val="006253B1"/>
    <w:rsid w:val="00625469"/>
    <w:rsid w:val="006254EF"/>
    <w:rsid w:val="0062567D"/>
    <w:rsid w:val="006257E4"/>
    <w:rsid w:val="00625824"/>
    <w:rsid w:val="00625848"/>
    <w:rsid w:val="006258AE"/>
    <w:rsid w:val="006258CC"/>
    <w:rsid w:val="006258F2"/>
    <w:rsid w:val="00625903"/>
    <w:rsid w:val="00625912"/>
    <w:rsid w:val="006259E4"/>
    <w:rsid w:val="006259FA"/>
    <w:rsid w:val="00625BBC"/>
    <w:rsid w:val="00625D16"/>
    <w:rsid w:val="00625E27"/>
    <w:rsid w:val="00625F32"/>
    <w:rsid w:val="00625F80"/>
    <w:rsid w:val="006260AB"/>
    <w:rsid w:val="00626179"/>
    <w:rsid w:val="00626183"/>
    <w:rsid w:val="006261D2"/>
    <w:rsid w:val="00626202"/>
    <w:rsid w:val="00626333"/>
    <w:rsid w:val="0062633E"/>
    <w:rsid w:val="00626376"/>
    <w:rsid w:val="00626378"/>
    <w:rsid w:val="00626444"/>
    <w:rsid w:val="00626654"/>
    <w:rsid w:val="00626747"/>
    <w:rsid w:val="006269A3"/>
    <w:rsid w:val="00626A86"/>
    <w:rsid w:val="00626AA5"/>
    <w:rsid w:val="00626AD8"/>
    <w:rsid w:val="00626B08"/>
    <w:rsid w:val="00626B77"/>
    <w:rsid w:val="00626C5E"/>
    <w:rsid w:val="00626CA0"/>
    <w:rsid w:val="00626D0E"/>
    <w:rsid w:val="00626DEA"/>
    <w:rsid w:val="00626DEB"/>
    <w:rsid w:val="00626DFA"/>
    <w:rsid w:val="00626E22"/>
    <w:rsid w:val="00626E6C"/>
    <w:rsid w:val="00626E8C"/>
    <w:rsid w:val="00626EB0"/>
    <w:rsid w:val="00626FD3"/>
    <w:rsid w:val="0062701A"/>
    <w:rsid w:val="00627097"/>
    <w:rsid w:val="00627108"/>
    <w:rsid w:val="00627165"/>
    <w:rsid w:val="00627185"/>
    <w:rsid w:val="006271B8"/>
    <w:rsid w:val="00627254"/>
    <w:rsid w:val="00627265"/>
    <w:rsid w:val="00627304"/>
    <w:rsid w:val="006274BE"/>
    <w:rsid w:val="00627564"/>
    <w:rsid w:val="006275A4"/>
    <w:rsid w:val="00627799"/>
    <w:rsid w:val="00627836"/>
    <w:rsid w:val="00627996"/>
    <w:rsid w:val="00627B47"/>
    <w:rsid w:val="00627C4C"/>
    <w:rsid w:val="00627C77"/>
    <w:rsid w:val="00627CEB"/>
    <w:rsid w:val="00627D18"/>
    <w:rsid w:val="00627EF9"/>
    <w:rsid w:val="00627F1E"/>
    <w:rsid w:val="00630114"/>
    <w:rsid w:val="006301BB"/>
    <w:rsid w:val="006302A5"/>
    <w:rsid w:val="00630310"/>
    <w:rsid w:val="0063033F"/>
    <w:rsid w:val="00630358"/>
    <w:rsid w:val="0063049E"/>
    <w:rsid w:val="006304AE"/>
    <w:rsid w:val="006305E7"/>
    <w:rsid w:val="0063062D"/>
    <w:rsid w:val="00630717"/>
    <w:rsid w:val="00630890"/>
    <w:rsid w:val="006308BF"/>
    <w:rsid w:val="00630913"/>
    <w:rsid w:val="00630A9F"/>
    <w:rsid w:val="00630C0B"/>
    <w:rsid w:val="00630C2F"/>
    <w:rsid w:val="00630C32"/>
    <w:rsid w:val="00630C85"/>
    <w:rsid w:val="00630C91"/>
    <w:rsid w:val="00630D14"/>
    <w:rsid w:val="00630EC2"/>
    <w:rsid w:val="00630F44"/>
    <w:rsid w:val="00630FCD"/>
    <w:rsid w:val="00631143"/>
    <w:rsid w:val="0063129A"/>
    <w:rsid w:val="006312AD"/>
    <w:rsid w:val="006313CF"/>
    <w:rsid w:val="0063143E"/>
    <w:rsid w:val="0063147C"/>
    <w:rsid w:val="00631540"/>
    <w:rsid w:val="0063162B"/>
    <w:rsid w:val="006316E3"/>
    <w:rsid w:val="00631701"/>
    <w:rsid w:val="006317A0"/>
    <w:rsid w:val="006318A9"/>
    <w:rsid w:val="0063196A"/>
    <w:rsid w:val="006319C6"/>
    <w:rsid w:val="00631A0D"/>
    <w:rsid w:val="00631A29"/>
    <w:rsid w:val="00631A69"/>
    <w:rsid w:val="00631A70"/>
    <w:rsid w:val="00631B2D"/>
    <w:rsid w:val="00631C07"/>
    <w:rsid w:val="00631CF2"/>
    <w:rsid w:val="00631DD5"/>
    <w:rsid w:val="00631E1B"/>
    <w:rsid w:val="00631E5B"/>
    <w:rsid w:val="00631F69"/>
    <w:rsid w:val="0063202E"/>
    <w:rsid w:val="00632094"/>
    <w:rsid w:val="0063210A"/>
    <w:rsid w:val="0063212F"/>
    <w:rsid w:val="006321C9"/>
    <w:rsid w:val="006321D7"/>
    <w:rsid w:val="00632265"/>
    <w:rsid w:val="0063237B"/>
    <w:rsid w:val="006323B9"/>
    <w:rsid w:val="006323D3"/>
    <w:rsid w:val="00632402"/>
    <w:rsid w:val="0063245D"/>
    <w:rsid w:val="0063249E"/>
    <w:rsid w:val="006324C3"/>
    <w:rsid w:val="0063250E"/>
    <w:rsid w:val="0063289E"/>
    <w:rsid w:val="006328AA"/>
    <w:rsid w:val="006328F7"/>
    <w:rsid w:val="00632A2A"/>
    <w:rsid w:val="00632AEE"/>
    <w:rsid w:val="00632B4F"/>
    <w:rsid w:val="00632B76"/>
    <w:rsid w:val="00632BDC"/>
    <w:rsid w:val="00632C3B"/>
    <w:rsid w:val="00632CC2"/>
    <w:rsid w:val="00632D1D"/>
    <w:rsid w:val="00632D8D"/>
    <w:rsid w:val="00632E1B"/>
    <w:rsid w:val="0063301C"/>
    <w:rsid w:val="006331D8"/>
    <w:rsid w:val="006331F1"/>
    <w:rsid w:val="00633376"/>
    <w:rsid w:val="0063339E"/>
    <w:rsid w:val="00633412"/>
    <w:rsid w:val="0063355B"/>
    <w:rsid w:val="00633565"/>
    <w:rsid w:val="00633676"/>
    <w:rsid w:val="0063378B"/>
    <w:rsid w:val="006337D8"/>
    <w:rsid w:val="0063387C"/>
    <w:rsid w:val="00633915"/>
    <w:rsid w:val="0063391E"/>
    <w:rsid w:val="00633A61"/>
    <w:rsid w:val="00633A8E"/>
    <w:rsid w:val="00633B0B"/>
    <w:rsid w:val="00633BB2"/>
    <w:rsid w:val="00633BB4"/>
    <w:rsid w:val="00633BF8"/>
    <w:rsid w:val="00633CB3"/>
    <w:rsid w:val="00633EB8"/>
    <w:rsid w:val="00633ECA"/>
    <w:rsid w:val="00633F4B"/>
    <w:rsid w:val="00633F90"/>
    <w:rsid w:val="00633FB1"/>
    <w:rsid w:val="0063401B"/>
    <w:rsid w:val="0063407B"/>
    <w:rsid w:val="006341C2"/>
    <w:rsid w:val="00634224"/>
    <w:rsid w:val="00634296"/>
    <w:rsid w:val="006342EA"/>
    <w:rsid w:val="006344CA"/>
    <w:rsid w:val="0063455A"/>
    <w:rsid w:val="00634599"/>
    <w:rsid w:val="006345CE"/>
    <w:rsid w:val="00634718"/>
    <w:rsid w:val="00634820"/>
    <w:rsid w:val="00634843"/>
    <w:rsid w:val="0063498E"/>
    <w:rsid w:val="00634A71"/>
    <w:rsid w:val="00634A99"/>
    <w:rsid w:val="00634ADB"/>
    <w:rsid w:val="00634C36"/>
    <w:rsid w:val="00634C6B"/>
    <w:rsid w:val="00634C8A"/>
    <w:rsid w:val="00634DAB"/>
    <w:rsid w:val="00634EB0"/>
    <w:rsid w:val="00634F30"/>
    <w:rsid w:val="0063500B"/>
    <w:rsid w:val="00635030"/>
    <w:rsid w:val="00635034"/>
    <w:rsid w:val="006350D6"/>
    <w:rsid w:val="00635189"/>
    <w:rsid w:val="006351C0"/>
    <w:rsid w:val="00635247"/>
    <w:rsid w:val="006352D6"/>
    <w:rsid w:val="0063539B"/>
    <w:rsid w:val="0063545F"/>
    <w:rsid w:val="006354B6"/>
    <w:rsid w:val="006354D9"/>
    <w:rsid w:val="0063555B"/>
    <w:rsid w:val="00635606"/>
    <w:rsid w:val="0063573D"/>
    <w:rsid w:val="0063580E"/>
    <w:rsid w:val="00635876"/>
    <w:rsid w:val="00635905"/>
    <w:rsid w:val="00635A33"/>
    <w:rsid w:val="00635A36"/>
    <w:rsid w:val="00635A62"/>
    <w:rsid w:val="00635A80"/>
    <w:rsid w:val="00635AD2"/>
    <w:rsid w:val="00635B21"/>
    <w:rsid w:val="00635B38"/>
    <w:rsid w:val="00635C20"/>
    <w:rsid w:val="00635D17"/>
    <w:rsid w:val="00635D93"/>
    <w:rsid w:val="00635E33"/>
    <w:rsid w:val="00635FBE"/>
    <w:rsid w:val="00635FD9"/>
    <w:rsid w:val="00636113"/>
    <w:rsid w:val="006361FA"/>
    <w:rsid w:val="00636242"/>
    <w:rsid w:val="00636328"/>
    <w:rsid w:val="00636346"/>
    <w:rsid w:val="00636406"/>
    <w:rsid w:val="00636417"/>
    <w:rsid w:val="006364E6"/>
    <w:rsid w:val="00636561"/>
    <w:rsid w:val="006365D6"/>
    <w:rsid w:val="006365D7"/>
    <w:rsid w:val="006366E9"/>
    <w:rsid w:val="006367C2"/>
    <w:rsid w:val="006367C7"/>
    <w:rsid w:val="0063683E"/>
    <w:rsid w:val="006368A1"/>
    <w:rsid w:val="0063695B"/>
    <w:rsid w:val="006369C2"/>
    <w:rsid w:val="00636A1A"/>
    <w:rsid w:val="00636AA3"/>
    <w:rsid w:val="00636B4A"/>
    <w:rsid w:val="00636D14"/>
    <w:rsid w:val="00636F60"/>
    <w:rsid w:val="00636FAF"/>
    <w:rsid w:val="00637047"/>
    <w:rsid w:val="0063708A"/>
    <w:rsid w:val="00637192"/>
    <w:rsid w:val="006371BB"/>
    <w:rsid w:val="006372CC"/>
    <w:rsid w:val="0063734D"/>
    <w:rsid w:val="00637481"/>
    <w:rsid w:val="00637645"/>
    <w:rsid w:val="00637744"/>
    <w:rsid w:val="006377B4"/>
    <w:rsid w:val="0063782C"/>
    <w:rsid w:val="00637866"/>
    <w:rsid w:val="00637887"/>
    <w:rsid w:val="006379DB"/>
    <w:rsid w:val="00637AF2"/>
    <w:rsid w:val="00637B4B"/>
    <w:rsid w:val="00637B73"/>
    <w:rsid w:val="00637B9F"/>
    <w:rsid w:val="00637BC0"/>
    <w:rsid w:val="00637BDF"/>
    <w:rsid w:val="00637C1E"/>
    <w:rsid w:val="00637C60"/>
    <w:rsid w:val="00637C76"/>
    <w:rsid w:val="00637DB1"/>
    <w:rsid w:val="00637E40"/>
    <w:rsid w:val="00637E61"/>
    <w:rsid w:val="00637FD9"/>
    <w:rsid w:val="00637FFC"/>
    <w:rsid w:val="00640000"/>
    <w:rsid w:val="006400B0"/>
    <w:rsid w:val="00640111"/>
    <w:rsid w:val="0064013F"/>
    <w:rsid w:val="00640174"/>
    <w:rsid w:val="006402E5"/>
    <w:rsid w:val="0064035A"/>
    <w:rsid w:val="006405CF"/>
    <w:rsid w:val="00640620"/>
    <w:rsid w:val="006406C1"/>
    <w:rsid w:val="006406F8"/>
    <w:rsid w:val="00640750"/>
    <w:rsid w:val="0064083B"/>
    <w:rsid w:val="00640BD5"/>
    <w:rsid w:val="00640C21"/>
    <w:rsid w:val="00640C2B"/>
    <w:rsid w:val="00640C68"/>
    <w:rsid w:val="00640D06"/>
    <w:rsid w:val="00640D12"/>
    <w:rsid w:val="00640EE0"/>
    <w:rsid w:val="00640EE4"/>
    <w:rsid w:val="00640FF5"/>
    <w:rsid w:val="00641052"/>
    <w:rsid w:val="0064108A"/>
    <w:rsid w:val="006410C0"/>
    <w:rsid w:val="006410F8"/>
    <w:rsid w:val="006411A3"/>
    <w:rsid w:val="006411BA"/>
    <w:rsid w:val="00641225"/>
    <w:rsid w:val="0064131D"/>
    <w:rsid w:val="00641398"/>
    <w:rsid w:val="00641589"/>
    <w:rsid w:val="0064175C"/>
    <w:rsid w:val="0064177E"/>
    <w:rsid w:val="006417F2"/>
    <w:rsid w:val="00641825"/>
    <w:rsid w:val="00641A53"/>
    <w:rsid w:val="00641BF4"/>
    <w:rsid w:val="00641C54"/>
    <w:rsid w:val="00641C6C"/>
    <w:rsid w:val="00641C95"/>
    <w:rsid w:val="00641DE6"/>
    <w:rsid w:val="00641E68"/>
    <w:rsid w:val="00641E9E"/>
    <w:rsid w:val="00641EDB"/>
    <w:rsid w:val="006422A1"/>
    <w:rsid w:val="006422D6"/>
    <w:rsid w:val="00642315"/>
    <w:rsid w:val="006423A4"/>
    <w:rsid w:val="006423CE"/>
    <w:rsid w:val="006424D5"/>
    <w:rsid w:val="006424F4"/>
    <w:rsid w:val="00642716"/>
    <w:rsid w:val="0064277D"/>
    <w:rsid w:val="00642850"/>
    <w:rsid w:val="00642909"/>
    <w:rsid w:val="00642926"/>
    <w:rsid w:val="00642946"/>
    <w:rsid w:val="00642A48"/>
    <w:rsid w:val="00642A91"/>
    <w:rsid w:val="00642B1B"/>
    <w:rsid w:val="00642C7E"/>
    <w:rsid w:val="00642D5E"/>
    <w:rsid w:val="00642D7C"/>
    <w:rsid w:val="00642F05"/>
    <w:rsid w:val="00642F5A"/>
    <w:rsid w:val="00642FE2"/>
    <w:rsid w:val="00643056"/>
    <w:rsid w:val="006430AC"/>
    <w:rsid w:val="006431A7"/>
    <w:rsid w:val="006431DC"/>
    <w:rsid w:val="006431E7"/>
    <w:rsid w:val="0064327C"/>
    <w:rsid w:val="00643355"/>
    <w:rsid w:val="006434D3"/>
    <w:rsid w:val="006434FE"/>
    <w:rsid w:val="00643650"/>
    <w:rsid w:val="0064367B"/>
    <w:rsid w:val="006438BA"/>
    <w:rsid w:val="00643A92"/>
    <w:rsid w:val="00643B54"/>
    <w:rsid w:val="00643BDB"/>
    <w:rsid w:val="00643CBB"/>
    <w:rsid w:val="00643D85"/>
    <w:rsid w:val="00643D87"/>
    <w:rsid w:val="00643DA5"/>
    <w:rsid w:val="00643E4F"/>
    <w:rsid w:val="006440D1"/>
    <w:rsid w:val="00644175"/>
    <w:rsid w:val="006441B6"/>
    <w:rsid w:val="0064426B"/>
    <w:rsid w:val="00644292"/>
    <w:rsid w:val="00644350"/>
    <w:rsid w:val="00644382"/>
    <w:rsid w:val="00644399"/>
    <w:rsid w:val="006444D5"/>
    <w:rsid w:val="0064450A"/>
    <w:rsid w:val="00644525"/>
    <w:rsid w:val="00644754"/>
    <w:rsid w:val="006448DF"/>
    <w:rsid w:val="00644925"/>
    <w:rsid w:val="00644995"/>
    <w:rsid w:val="00644A88"/>
    <w:rsid w:val="00644AF1"/>
    <w:rsid w:val="00644B7D"/>
    <w:rsid w:val="00644B84"/>
    <w:rsid w:val="00644D58"/>
    <w:rsid w:val="00644ECF"/>
    <w:rsid w:val="00644EE9"/>
    <w:rsid w:val="00644FF1"/>
    <w:rsid w:val="006450AD"/>
    <w:rsid w:val="006450FA"/>
    <w:rsid w:val="00645155"/>
    <w:rsid w:val="00645160"/>
    <w:rsid w:val="00645206"/>
    <w:rsid w:val="00645212"/>
    <w:rsid w:val="00645282"/>
    <w:rsid w:val="00645395"/>
    <w:rsid w:val="00645466"/>
    <w:rsid w:val="00645529"/>
    <w:rsid w:val="00645546"/>
    <w:rsid w:val="00645591"/>
    <w:rsid w:val="00645592"/>
    <w:rsid w:val="0064581F"/>
    <w:rsid w:val="0064586B"/>
    <w:rsid w:val="00645B52"/>
    <w:rsid w:val="00645B5B"/>
    <w:rsid w:val="00645BAA"/>
    <w:rsid w:val="00645BD1"/>
    <w:rsid w:val="00645C10"/>
    <w:rsid w:val="00645C19"/>
    <w:rsid w:val="00645D07"/>
    <w:rsid w:val="00645D1A"/>
    <w:rsid w:val="00645E59"/>
    <w:rsid w:val="00645EC4"/>
    <w:rsid w:val="00646064"/>
    <w:rsid w:val="0064621D"/>
    <w:rsid w:val="00646222"/>
    <w:rsid w:val="0064625C"/>
    <w:rsid w:val="0064626A"/>
    <w:rsid w:val="006462A9"/>
    <w:rsid w:val="00646429"/>
    <w:rsid w:val="00646482"/>
    <w:rsid w:val="006464D4"/>
    <w:rsid w:val="006465DA"/>
    <w:rsid w:val="0064662B"/>
    <w:rsid w:val="006466C8"/>
    <w:rsid w:val="00646700"/>
    <w:rsid w:val="0064685B"/>
    <w:rsid w:val="00646923"/>
    <w:rsid w:val="00646962"/>
    <w:rsid w:val="006469C4"/>
    <w:rsid w:val="006469F7"/>
    <w:rsid w:val="00646A7C"/>
    <w:rsid w:val="00646B16"/>
    <w:rsid w:val="00646B20"/>
    <w:rsid w:val="00646C24"/>
    <w:rsid w:val="00646F1B"/>
    <w:rsid w:val="00647073"/>
    <w:rsid w:val="006470DD"/>
    <w:rsid w:val="00647324"/>
    <w:rsid w:val="00647538"/>
    <w:rsid w:val="00647550"/>
    <w:rsid w:val="006475B4"/>
    <w:rsid w:val="00647618"/>
    <w:rsid w:val="00647625"/>
    <w:rsid w:val="006476E9"/>
    <w:rsid w:val="00647705"/>
    <w:rsid w:val="0064779D"/>
    <w:rsid w:val="0064780A"/>
    <w:rsid w:val="00647832"/>
    <w:rsid w:val="00647855"/>
    <w:rsid w:val="00647915"/>
    <w:rsid w:val="00647926"/>
    <w:rsid w:val="00647AE7"/>
    <w:rsid w:val="00647CEE"/>
    <w:rsid w:val="00647D0A"/>
    <w:rsid w:val="00647D5E"/>
    <w:rsid w:val="00647E41"/>
    <w:rsid w:val="00647F59"/>
    <w:rsid w:val="00647FFB"/>
    <w:rsid w:val="00650004"/>
    <w:rsid w:val="006500F0"/>
    <w:rsid w:val="0065027E"/>
    <w:rsid w:val="006502B7"/>
    <w:rsid w:val="00650350"/>
    <w:rsid w:val="0065044F"/>
    <w:rsid w:val="00650451"/>
    <w:rsid w:val="0065045E"/>
    <w:rsid w:val="0065049A"/>
    <w:rsid w:val="006504BA"/>
    <w:rsid w:val="006505FC"/>
    <w:rsid w:val="00650662"/>
    <w:rsid w:val="0065069C"/>
    <w:rsid w:val="006506E4"/>
    <w:rsid w:val="0065078C"/>
    <w:rsid w:val="00650870"/>
    <w:rsid w:val="006508A4"/>
    <w:rsid w:val="00650980"/>
    <w:rsid w:val="00650A07"/>
    <w:rsid w:val="00650A28"/>
    <w:rsid w:val="00650AE3"/>
    <w:rsid w:val="00650BFB"/>
    <w:rsid w:val="00650C06"/>
    <w:rsid w:val="00650D13"/>
    <w:rsid w:val="00650D88"/>
    <w:rsid w:val="00650FF2"/>
    <w:rsid w:val="0065115E"/>
    <w:rsid w:val="006511AC"/>
    <w:rsid w:val="0065126F"/>
    <w:rsid w:val="006513D9"/>
    <w:rsid w:val="006514B4"/>
    <w:rsid w:val="0065159C"/>
    <w:rsid w:val="00651781"/>
    <w:rsid w:val="006517C0"/>
    <w:rsid w:val="00651847"/>
    <w:rsid w:val="00651898"/>
    <w:rsid w:val="006518BA"/>
    <w:rsid w:val="006518C7"/>
    <w:rsid w:val="006519BA"/>
    <w:rsid w:val="00651A76"/>
    <w:rsid w:val="00651AD6"/>
    <w:rsid w:val="00651AF0"/>
    <w:rsid w:val="00651B91"/>
    <w:rsid w:val="00651C83"/>
    <w:rsid w:val="00651EBD"/>
    <w:rsid w:val="00651F7C"/>
    <w:rsid w:val="0065205E"/>
    <w:rsid w:val="0065210E"/>
    <w:rsid w:val="006526A5"/>
    <w:rsid w:val="006526C4"/>
    <w:rsid w:val="00652700"/>
    <w:rsid w:val="00652862"/>
    <w:rsid w:val="00652885"/>
    <w:rsid w:val="0065289A"/>
    <w:rsid w:val="006528DF"/>
    <w:rsid w:val="006529F7"/>
    <w:rsid w:val="00652A70"/>
    <w:rsid w:val="00652A81"/>
    <w:rsid w:val="00652B40"/>
    <w:rsid w:val="00652C0B"/>
    <w:rsid w:val="00652C48"/>
    <w:rsid w:val="00652C8A"/>
    <w:rsid w:val="00652EB9"/>
    <w:rsid w:val="00652EF3"/>
    <w:rsid w:val="0065316E"/>
    <w:rsid w:val="00653182"/>
    <w:rsid w:val="006531E0"/>
    <w:rsid w:val="0065327F"/>
    <w:rsid w:val="006532C7"/>
    <w:rsid w:val="00653390"/>
    <w:rsid w:val="006533EF"/>
    <w:rsid w:val="00653434"/>
    <w:rsid w:val="006534D2"/>
    <w:rsid w:val="006534FC"/>
    <w:rsid w:val="00653636"/>
    <w:rsid w:val="00653723"/>
    <w:rsid w:val="00653791"/>
    <w:rsid w:val="006537EC"/>
    <w:rsid w:val="00653898"/>
    <w:rsid w:val="006538CE"/>
    <w:rsid w:val="0065393D"/>
    <w:rsid w:val="00653A3B"/>
    <w:rsid w:val="00653A68"/>
    <w:rsid w:val="00653A81"/>
    <w:rsid w:val="00653BBF"/>
    <w:rsid w:val="00653C8C"/>
    <w:rsid w:val="00653C9C"/>
    <w:rsid w:val="00653FD2"/>
    <w:rsid w:val="00653FDA"/>
    <w:rsid w:val="0065402D"/>
    <w:rsid w:val="0065407C"/>
    <w:rsid w:val="0065442E"/>
    <w:rsid w:val="006544D1"/>
    <w:rsid w:val="00654547"/>
    <w:rsid w:val="006546E7"/>
    <w:rsid w:val="00654766"/>
    <w:rsid w:val="006547A6"/>
    <w:rsid w:val="006548B1"/>
    <w:rsid w:val="006548CA"/>
    <w:rsid w:val="006549E6"/>
    <w:rsid w:val="00654A5D"/>
    <w:rsid w:val="00654B44"/>
    <w:rsid w:val="00654B85"/>
    <w:rsid w:val="00654BA0"/>
    <w:rsid w:val="00654CC7"/>
    <w:rsid w:val="00654D3A"/>
    <w:rsid w:val="00654D83"/>
    <w:rsid w:val="00654D91"/>
    <w:rsid w:val="00654DFD"/>
    <w:rsid w:val="00654F23"/>
    <w:rsid w:val="00655030"/>
    <w:rsid w:val="006550AC"/>
    <w:rsid w:val="0065519D"/>
    <w:rsid w:val="0065522E"/>
    <w:rsid w:val="006552EA"/>
    <w:rsid w:val="006553C8"/>
    <w:rsid w:val="00655559"/>
    <w:rsid w:val="0065557E"/>
    <w:rsid w:val="0065575A"/>
    <w:rsid w:val="0065587D"/>
    <w:rsid w:val="006559D7"/>
    <w:rsid w:val="00655B1C"/>
    <w:rsid w:val="00655B69"/>
    <w:rsid w:val="00655BC8"/>
    <w:rsid w:val="00655C1A"/>
    <w:rsid w:val="00655C3A"/>
    <w:rsid w:val="00655F35"/>
    <w:rsid w:val="0065613B"/>
    <w:rsid w:val="0065623A"/>
    <w:rsid w:val="0065633F"/>
    <w:rsid w:val="00656414"/>
    <w:rsid w:val="006564B9"/>
    <w:rsid w:val="006565AE"/>
    <w:rsid w:val="00656666"/>
    <w:rsid w:val="00656731"/>
    <w:rsid w:val="00656910"/>
    <w:rsid w:val="006569C1"/>
    <w:rsid w:val="00656A1B"/>
    <w:rsid w:val="00656A4B"/>
    <w:rsid w:val="00656B13"/>
    <w:rsid w:val="00656BC2"/>
    <w:rsid w:val="00656BDE"/>
    <w:rsid w:val="00656C09"/>
    <w:rsid w:val="00656C8D"/>
    <w:rsid w:val="00656E44"/>
    <w:rsid w:val="00656F01"/>
    <w:rsid w:val="006570A3"/>
    <w:rsid w:val="006570D6"/>
    <w:rsid w:val="006570E9"/>
    <w:rsid w:val="00657176"/>
    <w:rsid w:val="00657180"/>
    <w:rsid w:val="00657206"/>
    <w:rsid w:val="00657313"/>
    <w:rsid w:val="00657344"/>
    <w:rsid w:val="00657387"/>
    <w:rsid w:val="006573AF"/>
    <w:rsid w:val="00657433"/>
    <w:rsid w:val="00657521"/>
    <w:rsid w:val="0065768C"/>
    <w:rsid w:val="00657722"/>
    <w:rsid w:val="0065787A"/>
    <w:rsid w:val="006578B5"/>
    <w:rsid w:val="00657958"/>
    <w:rsid w:val="00657965"/>
    <w:rsid w:val="00657B3D"/>
    <w:rsid w:val="00657B4C"/>
    <w:rsid w:val="00657D3E"/>
    <w:rsid w:val="00657D7F"/>
    <w:rsid w:val="00657DC3"/>
    <w:rsid w:val="00657E0D"/>
    <w:rsid w:val="00657EFD"/>
    <w:rsid w:val="00657FD2"/>
    <w:rsid w:val="0066002E"/>
    <w:rsid w:val="0066003D"/>
    <w:rsid w:val="0066009D"/>
    <w:rsid w:val="006600D9"/>
    <w:rsid w:val="006601DB"/>
    <w:rsid w:val="00660226"/>
    <w:rsid w:val="006602B0"/>
    <w:rsid w:val="006602E0"/>
    <w:rsid w:val="00660512"/>
    <w:rsid w:val="006605BF"/>
    <w:rsid w:val="006605C4"/>
    <w:rsid w:val="0066069C"/>
    <w:rsid w:val="006606BE"/>
    <w:rsid w:val="00660702"/>
    <w:rsid w:val="00660856"/>
    <w:rsid w:val="0066098D"/>
    <w:rsid w:val="00660C3A"/>
    <w:rsid w:val="00660CDB"/>
    <w:rsid w:val="00660DE7"/>
    <w:rsid w:val="00660E46"/>
    <w:rsid w:val="00660E6F"/>
    <w:rsid w:val="00660E78"/>
    <w:rsid w:val="00660FA5"/>
    <w:rsid w:val="006610F7"/>
    <w:rsid w:val="00661102"/>
    <w:rsid w:val="006611C9"/>
    <w:rsid w:val="006612F5"/>
    <w:rsid w:val="00661490"/>
    <w:rsid w:val="006615B8"/>
    <w:rsid w:val="006615CD"/>
    <w:rsid w:val="0066163F"/>
    <w:rsid w:val="00661672"/>
    <w:rsid w:val="006616B7"/>
    <w:rsid w:val="006616F2"/>
    <w:rsid w:val="00661732"/>
    <w:rsid w:val="0066182F"/>
    <w:rsid w:val="006619CD"/>
    <w:rsid w:val="00661A29"/>
    <w:rsid w:val="00661A8C"/>
    <w:rsid w:val="00661B06"/>
    <w:rsid w:val="00661B46"/>
    <w:rsid w:val="00661C2D"/>
    <w:rsid w:val="00661C9B"/>
    <w:rsid w:val="00661CF6"/>
    <w:rsid w:val="00661D4D"/>
    <w:rsid w:val="00661E89"/>
    <w:rsid w:val="00661FB9"/>
    <w:rsid w:val="006620D6"/>
    <w:rsid w:val="00662180"/>
    <w:rsid w:val="00662218"/>
    <w:rsid w:val="006622D5"/>
    <w:rsid w:val="006622F6"/>
    <w:rsid w:val="0066235D"/>
    <w:rsid w:val="00662553"/>
    <w:rsid w:val="00662591"/>
    <w:rsid w:val="0066268C"/>
    <w:rsid w:val="006626A3"/>
    <w:rsid w:val="00662711"/>
    <w:rsid w:val="00662751"/>
    <w:rsid w:val="006627A8"/>
    <w:rsid w:val="006627F1"/>
    <w:rsid w:val="006628F2"/>
    <w:rsid w:val="006629C4"/>
    <w:rsid w:val="00662A5A"/>
    <w:rsid w:val="00662A7A"/>
    <w:rsid w:val="00662AF4"/>
    <w:rsid w:val="00662B4E"/>
    <w:rsid w:val="00662B60"/>
    <w:rsid w:val="00662B7E"/>
    <w:rsid w:val="00662BB2"/>
    <w:rsid w:val="00662DBE"/>
    <w:rsid w:val="006630EE"/>
    <w:rsid w:val="00663169"/>
    <w:rsid w:val="0066318C"/>
    <w:rsid w:val="00663266"/>
    <w:rsid w:val="0066327A"/>
    <w:rsid w:val="006632C0"/>
    <w:rsid w:val="006632C6"/>
    <w:rsid w:val="006632FD"/>
    <w:rsid w:val="006633A9"/>
    <w:rsid w:val="00663467"/>
    <w:rsid w:val="006634E0"/>
    <w:rsid w:val="006635B4"/>
    <w:rsid w:val="0066363B"/>
    <w:rsid w:val="00663711"/>
    <w:rsid w:val="0066380A"/>
    <w:rsid w:val="0066383A"/>
    <w:rsid w:val="006638DF"/>
    <w:rsid w:val="00663986"/>
    <w:rsid w:val="00663BA2"/>
    <w:rsid w:val="00663C15"/>
    <w:rsid w:val="00663C65"/>
    <w:rsid w:val="00663C97"/>
    <w:rsid w:val="00663D91"/>
    <w:rsid w:val="00663EA6"/>
    <w:rsid w:val="00663EB6"/>
    <w:rsid w:val="00663EFD"/>
    <w:rsid w:val="00663F17"/>
    <w:rsid w:val="00663F4B"/>
    <w:rsid w:val="00663F7B"/>
    <w:rsid w:val="00663FBB"/>
    <w:rsid w:val="00664008"/>
    <w:rsid w:val="00664067"/>
    <w:rsid w:val="00664104"/>
    <w:rsid w:val="00664118"/>
    <w:rsid w:val="006641C5"/>
    <w:rsid w:val="00664267"/>
    <w:rsid w:val="0066433A"/>
    <w:rsid w:val="0066438B"/>
    <w:rsid w:val="00664458"/>
    <w:rsid w:val="006644CD"/>
    <w:rsid w:val="0066453B"/>
    <w:rsid w:val="00664553"/>
    <w:rsid w:val="006645BD"/>
    <w:rsid w:val="00664757"/>
    <w:rsid w:val="00664777"/>
    <w:rsid w:val="006647B7"/>
    <w:rsid w:val="006647C2"/>
    <w:rsid w:val="00664844"/>
    <w:rsid w:val="0066490A"/>
    <w:rsid w:val="006649B5"/>
    <w:rsid w:val="00664A96"/>
    <w:rsid w:val="00664D20"/>
    <w:rsid w:val="00664DDE"/>
    <w:rsid w:val="00664E1F"/>
    <w:rsid w:val="00664EAB"/>
    <w:rsid w:val="006650C7"/>
    <w:rsid w:val="0066514E"/>
    <w:rsid w:val="006651DF"/>
    <w:rsid w:val="0066529D"/>
    <w:rsid w:val="00665435"/>
    <w:rsid w:val="00665525"/>
    <w:rsid w:val="0066558E"/>
    <w:rsid w:val="0066565B"/>
    <w:rsid w:val="006656F2"/>
    <w:rsid w:val="00665765"/>
    <w:rsid w:val="0066577E"/>
    <w:rsid w:val="00665936"/>
    <w:rsid w:val="00665954"/>
    <w:rsid w:val="00665A3F"/>
    <w:rsid w:val="00665A56"/>
    <w:rsid w:val="00665BA6"/>
    <w:rsid w:val="00665BA9"/>
    <w:rsid w:val="00665C60"/>
    <w:rsid w:val="00665D26"/>
    <w:rsid w:val="00665DCF"/>
    <w:rsid w:val="00665E24"/>
    <w:rsid w:val="00665E52"/>
    <w:rsid w:val="00665E8D"/>
    <w:rsid w:val="00665F1C"/>
    <w:rsid w:val="00665F22"/>
    <w:rsid w:val="0066611C"/>
    <w:rsid w:val="006664E4"/>
    <w:rsid w:val="00666608"/>
    <w:rsid w:val="00666668"/>
    <w:rsid w:val="006667E4"/>
    <w:rsid w:val="00666892"/>
    <w:rsid w:val="0066689A"/>
    <w:rsid w:val="006668F6"/>
    <w:rsid w:val="006669D5"/>
    <w:rsid w:val="00666A16"/>
    <w:rsid w:val="00666B29"/>
    <w:rsid w:val="00666C6E"/>
    <w:rsid w:val="00666CC3"/>
    <w:rsid w:val="00666D31"/>
    <w:rsid w:val="00666DBB"/>
    <w:rsid w:val="00666E87"/>
    <w:rsid w:val="00666F04"/>
    <w:rsid w:val="00666F6B"/>
    <w:rsid w:val="00667027"/>
    <w:rsid w:val="006670CC"/>
    <w:rsid w:val="006670E2"/>
    <w:rsid w:val="00667203"/>
    <w:rsid w:val="006674B6"/>
    <w:rsid w:val="00667543"/>
    <w:rsid w:val="006675A1"/>
    <w:rsid w:val="006675CA"/>
    <w:rsid w:val="006676BA"/>
    <w:rsid w:val="006678CA"/>
    <w:rsid w:val="006678D1"/>
    <w:rsid w:val="00667ACC"/>
    <w:rsid w:val="00667B82"/>
    <w:rsid w:val="00667C29"/>
    <w:rsid w:val="00667CB8"/>
    <w:rsid w:val="00667DB8"/>
    <w:rsid w:val="00667E35"/>
    <w:rsid w:val="00667EC0"/>
    <w:rsid w:val="00670026"/>
    <w:rsid w:val="0067006B"/>
    <w:rsid w:val="00670104"/>
    <w:rsid w:val="00670135"/>
    <w:rsid w:val="00670227"/>
    <w:rsid w:val="00670255"/>
    <w:rsid w:val="00670283"/>
    <w:rsid w:val="006702F5"/>
    <w:rsid w:val="00670324"/>
    <w:rsid w:val="0067033B"/>
    <w:rsid w:val="00670375"/>
    <w:rsid w:val="00670406"/>
    <w:rsid w:val="0067041E"/>
    <w:rsid w:val="0067042C"/>
    <w:rsid w:val="006704B8"/>
    <w:rsid w:val="0067052C"/>
    <w:rsid w:val="00670531"/>
    <w:rsid w:val="006705D0"/>
    <w:rsid w:val="006706A7"/>
    <w:rsid w:val="006706E6"/>
    <w:rsid w:val="00670980"/>
    <w:rsid w:val="00670A5E"/>
    <w:rsid w:val="00670B8D"/>
    <w:rsid w:val="00670C1F"/>
    <w:rsid w:val="00670EE9"/>
    <w:rsid w:val="00670F45"/>
    <w:rsid w:val="00670F77"/>
    <w:rsid w:val="0067101F"/>
    <w:rsid w:val="006710E3"/>
    <w:rsid w:val="006711D9"/>
    <w:rsid w:val="006712FC"/>
    <w:rsid w:val="0067139F"/>
    <w:rsid w:val="006714A9"/>
    <w:rsid w:val="006714B0"/>
    <w:rsid w:val="00671584"/>
    <w:rsid w:val="006715C1"/>
    <w:rsid w:val="006717B1"/>
    <w:rsid w:val="00671818"/>
    <w:rsid w:val="00671872"/>
    <w:rsid w:val="00671934"/>
    <w:rsid w:val="0067196D"/>
    <w:rsid w:val="00671A58"/>
    <w:rsid w:val="00671B60"/>
    <w:rsid w:val="00671C0A"/>
    <w:rsid w:val="00671C3F"/>
    <w:rsid w:val="00671C44"/>
    <w:rsid w:val="00671C8E"/>
    <w:rsid w:val="00671CEB"/>
    <w:rsid w:val="00671CFD"/>
    <w:rsid w:val="00671D7C"/>
    <w:rsid w:val="00671DA3"/>
    <w:rsid w:val="00671E18"/>
    <w:rsid w:val="00671F0C"/>
    <w:rsid w:val="00671F2F"/>
    <w:rsid w:val="00672326"/>
    <w:rsid w:val="006724F5"/>
    <w:rsid w:val="006725E4"/>
    <w:rsid w:val="00672643"/>
    <w:rsid w:val="006726A0"/>
    <w:rsid w:val="00672737"/>
    <w:rsid w:val="00672775"/>
    <w:rsid w:val="006727E5"/>
    <w:rsid w:val="006728B7"/>
    <w:rsid w:val="00672910"/>
    <w:rsid w:val="006729DF"/>
    <w:rsid w:val="00672C2F"/>
    <w:rsid w:val="00672CBD"/>
    <w:rsid w:val="00672CBF"/>
    <w:rsid w:val="00672CE0"/>
    <w:rsid w:val="00672DFD"/>
    <w:rsid w:val="00672F44"/>
    <w:rsid w:val="0067309C"/>
    <w:rsid w:val="0067338C"/>
    <w:rsid w:val="006734F0"/>
    <w:rsid w:val="0067355F"/>
    <w:rsid w:val="00673608"/>
    <w:rsid w:val="006736A1"/>
    <w:rsid w:val="006736FB"/>
    <w:rsid w:val="0067370A"/>
    <w:rsid w:val="0067370D"/>
    <w:rsid w:val="00673760"/>
    <w:rsid w:val="006737AE"/>
    <w:rsid w:val="00673824"/>
    <w:rsid w:val="00673828"/>
    <w:rsid w:val="006738A6"/>
    <w:rsid w:val="00673A0B"/>
    <w:rsid w:val="00673A34"/>
    <w:rsid w:val="00673A36"/>
    <w:rsid w:val="00673A47"/>
    <w:rsid w:val="00673B05"/>
    <w:rsid w:val="00673B60"/>
    <w:rsid w:val="00673B9C"/>
    <w:rsid w:val="00673BB7"/>
    <w:rsid w:val="00673EBE"/>
    <w:rsid w:val="00673FF0"/>
    <w:rsid w:val="0067406D"/>
    <w:rsid w:val="00674087"/>
    <w:rsid w:val="00674102"/>
    <w:rsid w:val="00674121"/>
    <w:rsid w:val="006741A3"/>
    <w:rsid w:val="006741B3"/>
    <w:rsid w:val="00674208"/>
    <w:rsid w:val="006742F9"/>
    <w:rsid w:val="0067433E"/>
    <w:rsid w:val="006743BC"/>
    <w:rsid w:val="00674410"/>
    <w:rsid w:val="0067447A"/>
    <w:rsid w:val="0067447C"/>
    <w:rsid w:val="006744CE"/>
    <w:rsid w:val="006744E5"/>
    <w:rsid w:val="0067452C"/>
    <w:rsid w:val="00674671"/>
    <w:rsid w:val="006747D1"/>
    <w:rsid w:val="00674898"/>
    <w:rsid w:val="0067493F"/>
    <w:rsid w:val="00674951"/>
    <w:rsid w:val="00674B8D"/>
    <w:rsid w:val="00674C4C"/>
    <w:rsid w:val="00674CB0"/>
    <w:rsid w:val="00674E1C"/>
    <w:rsid w:val="00674F03"/>
    <w:rsid w:val="00674F07"/>
    <w:rsid w:val="00674FC9"/>
    <w:rsid w:val="006750A0"/>
    <w:rsid w:val="006750B8"/>
    <w:rsid w:val="006750CA"/>
    <w:rsid w:val="006750D6"/>
    <w:rsid w:val="0067511F"/>
    <w:rsid w:val="006751E4"/>
    <w:rsid w:val="00675290"/>
    <w:rsid w:val="00675632"/>
    <w:rsid w:val="00675678"/>
    <w:rsid w:val="006756CC"/>
    <w:rsid w:val="006757BA"/>
    <w:rsid w:val="006757D5"/>
    <w:rsid w:val="00675932"/>
    <w:rsid w:val="0067599B"/>
    <w:rsid w:val="006759AA"/>
    <w:rsid w:val="00675D24"/>
    <w:rsid w:val="00675D37"/>
    <w:rsid w:val="00675D61"/>
    <w:rsid w:val="00675DEB"/>
    <w:rsid w:val="00675EF5"/>
    <w:rsid w:val="00675EFD"/>
    <w:rsid w:val="00675FE1"/>
    <w:rsid w:val="0067601E"/>
    <w:rsid w:val="00676136"/>
    <w:rsid w:val="00676189"/>
    <w:rsid w:val="00676312"/>
    <w:rsid w:val="0067645D"/>
    <w:rsid w:val="00676522"/>
    <w:rsid w:val="0067661F"/>
    <w:rsid w:val="0067670A"/>
    <w:rsid w:val="0067671F"/>
    <w:rsid w:val="006767A6"/>
    <w:rsid w:val="006767AF"/>
    <w:rsid w:val="0067680B"/>
    <w:rsid w:val="00676923"/>
    <w:rsid w:val="00676949"/>
    <w:rsid w:val="00676ADE"/>
    <w:rsid w:val="00676B20"/>
    <w:rsid w:val="00676C4C"/>
    <w:rsid w:val="00676CC6"/>
    <w:rsid w:val="00676D2E"/>
    <w:rsid w:val="006770E2"/>
    <w:rsid w:val="00677176"/>
    <w:rsid w:val="006771AB"/>
    <w:rsid w:val="006771B2"/>
    <w:rsid w:val="00677228"/>
    <w:rsid w:val="00677331"/>
    <w:rsid w:val="0067736A"/>
    <w:rsid w:val="00677379"/>
    <w:rsid w:val="0067737A"/>
    <w:rsid w:val="00677533"/>
    <w:rsid w:val="006776FC"/>
    <w:rsid w:val="0067771D"/>
    <w:rsid w:val="0067775A"/>
    <w:rsid w:val="006777F5"/>
    <w:rsid w:val="00677833"/>
    <w:rsid w:val="006778C9"/>
    <w:rsid w:val="00677BFD"/>
    <w:rsid w:val="00677C2B"/>
    <w:rsid w:val="00677C5D"/>
    <w:rsid w:val="006800C0"/>
    <w:rsid w:val="006800CA"/>
    <w:rsid w:val="006800D2"/>
    <w:rsid w:val="00680232"/>
    <w:rsid w:val="006802BB"/>
    <w:rsid w:val="0068051D"/>
    <w:rsid w:val="006805D2"/>
    <w:rsid w:val="006805F8"/>
    <w:rsid w:val="006806B8"/>
    <w:rsid w:val="00680733"/>
    <w:rsid w:val="00680813"/>
    <w:rsid w:val="006808C5"/>
    <w:rsid w:val="006808DB"/>
    <w:rsid w:val="006809C1"/>
    <w:rsid w:val="006809D4"/>
    <w:rsid w:val="006809FA"/>
    <w:rsid w:val="00680A2F"/>
    <w:rsid w:val="00680AE8"/>
    <w:rsid w:val="00680AF6"/>
    <w:rsid w:val="00680B5C"/>
    <w:rsid w:val="00680C40"/>
    <w:rsid w:val="00680D7E"/>
    <w:rsid w:val="00680E3D"/>
    <w:rsid w:val="00680F32"/>
    <w:rsid w:val="00680F6B"/>
    <w:rsid w:val="00680F73"/>
    <w:rsid w:val="00681052"/>
    <w:rsid w:val="00681120"/>
    <w:rsid w:val="0068117B"/>
    <w:rsid w:val="006811B2"/>
    <w:rsid w:val="0068124E"/>
    <w:rsid w:val="00681402"/>
    <w:rsid w:val="00681415"/>
    <w:rsid w:val="00681468"/>
    <w:rsid w:val="006814D5"/>
    <w:rsid w:val="006815A6"/>
    <w:rsid w:val="006817B4"/>
    <w:rsid w:val="006817DF"/>
    <w:rsid w:val="00681847"/>
    <w:rsid w:val="0068184F"/>
    <w:rsid w:val="006819E7"/>
    <w:rsid w:val="00681C51"/>
    <w:rsid w:val="00681CFD"/>
    <w:rsid w:val="00681D88"/>
    <w:rsid w:val="00681D9C"/>
    <w:rsid w:val="00681DD4"/>
    <w:rsid w:val="00681DF2"/>
    <w:rsid w:val="00681E6C"/>
    <w:rsid w:val="00681E9B"/>
    <w:rsid w:val="00681EA5"/>
    <w:rsid w:val="00681FF0"/>
    <w:rsid w:val="00681FF3"/>
    <w:rsid w:val="00682078"/>
    <w:rsid w:val="00682258"/>
    <w:rsid w:val="0068225B"/>
    <w:rsid w:val="00682292"/>
    <w:rsid w:val="006822F6"/>
    <w:rsid w:val="0068248D"/>
    <w:rsid w:val="006825A9"/>
    <w:rsid w:val="0068266B"/>
    <w:rsid w:val="00682698"/>
    <w:rsid w:val="0068287B"/>
    <w:rsid w:val="0068295D"/>
    <w:rsid w:val="00682ACB"/>
    <w:rsid w:val="00682B57"/>
    <w:rsid w:val="00682B70"/>
    <w:rsid w:val="00682BA6"/>
    <w:rsid w:val="00682C05"/>
    <w:rsid w:val="00682C80"/>
    <w:rsid w:val="00682D9A"/>
    <w:rsid w:val="00682EC0"/>
    <w:rsid w:val="00682EEF"/>
    <w:rsid w:val="00683026"/>
    <w:rsid w:val="0068304C"/>
    <w:rsid w:val="0068308D"/>
    <w:rsid w:val="006830BD"/>
    <w:rsid w:val="00683169"/>
    <w:rsid w:val="00683182"/>
    <w:rsid w:val="0068319B"/>
    <w:rsid w:val="006831CF"/>
    <w:rsid w:val="006831E1"/>
    <w:rsid w:val="0068327C"/>
    <w:rsid w:val="006832E9"/>
    <w:rsid w:val="00683438"/>
    <w:rsid w:val="0068348B"/>
    <w:rsid w:val="006835E4"/>
    <w:rsid w:val="0068372B"/>
    <w:rsid w:val="00683772"/>
    <w:rsid w:val="006837D7"/>
    <w:rsid w:val="0068386D"/>
    <w:rsid w:val="006838BC"/>
    <w:rsid w:val="00683A0A"/>
    <w:rsid w:val="00683B7A"/>
    <w:rsid w:val="00683C8E"/>
    <w:rsid w:val="00683DA1"/>
    <w:rsid w:val="00683DB8"/>
    <w:rsid w:val="00683E34"/>
    <w:rsid w:val="00683F9B"/>
    <w:rsid w:val="006840FE"/>
    <w:rsid w:val="00684104"/>
    <w:rsid w:val="0068417B"/>
    <w:rsid w:val="006841B7"/>
    <w:rsid w:val="006842CE"/>
    <w:rsid w:val="0068441D"/>
    <w:rsid w:val="00684440"/>
    <w:rsid w:val="00684562"/>
    <w:rsid w:val="006845AB"/>
    <w:rsid w:val="006845DD"/>
    <w:rsid w:val="00684651"/>
    <w:rsid w:val="006846E7"/>
    <w:rsid w:val="00684700"/>
    <w:rsid w:val="00684769"/>
    <w:rsid w:val="0068476F"/>
    <w:rsid w:val="006849B6"/>
    <w:rsid w:val="00684B07"/>
    <w:rsid w:val="00684BEF"/>
    <w:rsid w:val="00684C31"/>
    <w:rsid w:val="00684C57"/>
    <w:rsid w:val="00684D2D"/>
    <w:rsid w:val="00684D45"/>
    <w:rsid w:val="00684DCA"/>
    <w:rsid w:val="00684E6A"/>
    <w:rsid w:val="00685020"/>
    <w:rsid w:val="0068504A"/>
    <w:rsid w:val="0068510C"/>
    <w:rsid w:val="006851D4"/>
    <w:rsid w:val="0068522D"/>
    <w:rsid w:val="00685271"/>
    <w:rsid w:val="006852E5"/>
    <w:rsid w:val="0068530A"/>
    <w:rsid w:val="0068544F"/>
    <w:rsid w:val="006854A8"/>
    <w:rsid w:val="006855F2"/>
    <w:rsid w:val="006855FF"/>
    <w:rsid w:val="0068567E"/>
    <w:rsid w:val="0068579D"/>
    <w:rsid w:val="00685913"/>
    <w:rsid w:val="00685B31"/>
    <w:rsid w:val="00685C10"/>
    <w:rsid w:val="00685C4F"/>
    <w:rsid w:val="00685CE7"/>
    <w:rsid w:val="00685D12"/>
    <w:rsid w:val="00685E47"/>
    <w:rsid w:val="00685E76"/>
    <w:rsid w:val="00685EF9"/>
    <w:rsid w:val="006860A7"/>
    <w:rsid w:val="006860B7"/>
    <w:rsid w:val="0068617F"/>
    <w:rsid w:val="006861C7"/>
    <w:rsid w:val="00686370"/>
    <w:rsid w:val="0068644C"/>
    <w:rsid w:val="00686482"/>
    <w:rsid w:val="00686554"/>
    <w:rsid w:val="006865AB"/>
    <w:rsid w:val="006865ED"/>
    <w:rsid w:val="00686634"/>
    <w:rsid w:val="006866C3"/>
    <w:rsid w:val="00686805"/>
    <w:rsid w:val="00686829"/>
    <w:rsid w:val="006868B7"/>
    <w:rsid w:val="006868EB"/>
    <w:rsid w:val="00686A59"/>
    <w:rsid w:val="00686B41"/>
    <w:rsid w:val="00686B5D"/>
    <w:rsid w:val="00686BB5"/>
    <w:rsid w:val="00686BF7"/>
    <w:rsid w:val="00686C6C"/>
    <w:rsid w:val="00686D42"/>
    <w:rsid w:val="00686E98"/>
    <w:rsid w:val="00687301"/>
    <w:rsid w:val="0068734F"/>
    <w:rsid w:val="0068738D"/>
    <w:rsid w:val="00687466"/>
    <w:rsid w:val="0068747D"/>
    <w:rsid w:val="0068758A"/>
    <w:rsid w:val="006875EA"/>
    <w:rsid w:val="0068760D"/>
    <w:rsid w:val="00687789"/>
    <w:rsid w:val="00687878"/>
    <w:rsid w:val="00687915"/>
    <w:rsid w:val="006879B6"/>
    <w:rsid w:val="00687A93"/>
    <w:rsid w:val="00687B35"/>
    <w:rsid w:val="00687B41"/>
    <w:rsid w:val="00687B6E"/>
    <w:rsid w:val="00687BD7"/>
    <w:rsid w:val="00687C53"/>
    <w:rsid w:val="00687C96"/>
    <w:rsid w:val="00687CE8"/>
    <w:rsid w:val="00687DEC"/>
    <w:rsid w:val="00687E68"/>
    <w:rsid w:val="00687E9C"/>
    <w:rsid w:val="00687EA9"/>
    <w:rsid w:val="00687F22"/>
    <w:rsid w:val="00687FB3"/>
    <w:rsid w:val="00687FDB"/>
    <w:rsid w:val="00690008"/>
    <w:rsid w:val="00690009"/>
    <w:rsid w:val="00690158"/>
    <w:rsid w:val="006902B4"/>
    <w:rsid w:val="00690337"/>
    <w:rsid w:val="0069037B"/>
    <w:rsid w:val="006903FB"/>
    <w:rsid w:val="00690494"/>
    <w:rsid w:val="006904CC"/>
    <w:rsid w:val="00690553"/>
    <w:rsid w:val="006905F8"/>
    <w:rsid w:val="006906F6"/>
    <w:rsid w:val="0069075C"/>
    <w:rsid w:val="00690984"/>
    <w:rsid w:val="006909A1"/>
    <w:rsid w:val="00690A41"/>
    <w:rsid w:val="00690A54"/>
    <w:rsid w:val="00690B22"/>
    <w:rsid w:val="00690B6C"/>
    <w:rsid w:val="00690B7B"/>
    <w:rsid w:val="00690BFE"/>
    <w:rsid w:val="00690C2B"/>
    <w:rsid w:val="00690CD6"/>
    <w:rsid w:val="00690D55"/>
    <w:rsid w:val="00690D73"/>
    <w:rsid w:val="00690F13"/>
    <w:rsid w:val="00691171"/>
    <w:rsid w:val="0069118A"/>
    <w:rsid w:val="0069127A"/>
    <w:rsid w:val="006912A7"/>
    <w:rsid w:val="00691371"/>
    <w:rsid w:val="0069137F"/>
    <w:rsid w:val="00691436"/>
    <w:rsid w:val="006914AA"/>
    <w:rsid w:val="00691533"/>
    <w:rsid w:val="00691608"/>
    <w:rsid w:val="0069163F"/>
    <w:rsid w:val="006917E7"/>
    <w:rsid w:val="00691823"/>
    <w:rsid w:val="006918A4"/>
    <w:rsid w:val="00691A8E"/>
    <w:rsid w:val="00691AE8"/>
    <w:rsid w:val="00691B5B"/>
    <w:rsid w:val="00691C80"/>
    <w:rsid w:val="00691D0F"/>
    <w:rsid w:val="00691D8D"/>
    <w:rsid w:val="00691E73"/>
    <w:rsid w:val="00691E83"/>
    <w:rsid w:val="00691EF4"/>
    <w:rsid w:val="00691F4D"/>
    <w:rsid w:val="00691F7C"/>
    <w:rsid w:val="006920F9"/>
    <w:rsid w:val="00692114"/>
    <w:rsid w:val="006921C1"/>
    <w:rsid w:val="00692205"/>
    <w:rsid w:val="00692212"/>
    <w:rsid w:val="006922E4"/>
    <w:rsid w:val="006923B4"/>
    <w:rsid w:val="00692479"/>
    <w:rsid w:val="0069248D"/>
    <w:rsid w:val="006924CD"/>
    <w:rsid w:val="006925BD"/>
    <w:rsid w:val="0069260E"/>
    <w:rsid w:val="006926E6"/>
    <w:rsid w:val="0069275A"/>
    <w:rsid w:val="0069275E"/>
    <w:rsid w:val="00692899"/>
    <w:rsid w:val="006928BF"/>
    <w:rsid w:val="0069290B"/>
    <w:rsid w:val="00692967"/>
    <w:rsid w:val="006929BD"/>
    <w:rsid w:val="00692A14"/>
    <w:rsid w:val="00692A6E"/>
    <w:rsid w:val="00692B35"/>
    <w:rsid w:val="00692B50"/>
    <w:rsid w:val="00692C04"/>
    <w:rsid w:val="00692C12"/>
    <w:rsid w:val="00692C8F"/>
    <w:rsid w:val="00692DD2"/>
    <w:rsid w:val="00692DD9"/>
    <w:rsid w:val="00692F69"/>
    <w:rsid w:val="00693121"/>
    <w:rsid w:val="0069322B"/>
    <w:rsid w:val="00693331"/>
    <w:rsid w:val="006933C7"/>
    <w:rsid w:val="0069348B"/>
    <w:rsid w:val="00693492"/>
    <w:rsid w:val="0069352C"/>
    <w:rsid w:val="0069355E"/>
    <w:rsid w:val="006935EF"/>
    <w:rsid w:val="006935FC"/>
    <w:rsid w:val="00693726"/>
    <w:rsid w:val="006937B1"/>
    <w:rsid w:val="00693918"/>
    <w:rsid w:val="006939A1"/>
    <w:rsid w:val="006939AC"/>
    <w:rsid w:val="00693AE1"/>
    <w:rsid w:val="00693AF7"/>
    <w:rsid w:val="00693C24"/>
    <w:rsid w:val="00693CFF"/>
    <w:rsid w:val="00693D07"/>
    <w:rsid w:val="00693D2E"/>
    <w:rsid w:val="00693D75"/>
    <w:rsid w:val="00693DB1"/>
    <w:rsid w:val="00693E3E"/>
    <w:rsid w:val="00693E75"/>
    <w:rsid w:val="00693E7B"/>
    <w:rsid w:val="00693EA8"/>
    <w:rsid w:val="00693EEE"/>
    <w:rsid w:val="00693F7A"/>
    <w:rsid w:val="00693FD5"/>
    <w:rsid w:val="006940D4"/>
    <w:rsid w:val="0069415A"/>
    <w:rsid w:val="006941B7"/>
    <w:rsid w:val="00694227"/>
    <w:rsid w:val="00694278"/>
    <w:rsid w:val="0069436E"/>
    <w:rsid w:val="0069439C"/>
    <w:rsid w:val="00694410"/>
    <w:rsid w:val="00694496"/>
    <w:rsid w:val="006944A1"/>
    <w:rsid w:val="006944A6"/>
    <w:rsid w:val="0069460F"/>
    <w:rsid w:val="0069467F"/>
    <w:rsid w:val="00694724"/>
    <w:rsid w:val="0069484B"/>
    <w:rsid w:val="00694851"/>
    <w:rsid w:val="00694878"/>
    <w:rsid w:val="00694ADA"/>
    <w:rsid w:val="00694B3A"/>
    <w:rsid w:val="00694B7D"/>
    <w:rsid w:val="00694BB8"/>
    <w:rsid w:val="00694C09"/>
    <w:rsid w:val="00694CB3"/>
    <w:rsid w:val="00694D47"/>
    <w:rsid w:val="00694DE8"/>
    <w:rsid w:val="00694E5E"/>
    <w:rsid w:val="00694EC7"/>
    <w:rsid w:val="00694EF8"/>
    <w:rsid w:val="00694F27"/>
    <w:rsid w:val="006950BF"/>
    <w:rsid w:val="006950ED"/>
    <w:rsid w:val="006952C3"/>
    <w:rsid w:val="00695314"/>
    <w:rsid w:val="0069534E"/>
    <w:rsid w:val="0069543F"/>
    <w:rsid w:val="006954F5"/>
    <w:rsid w:val="00695577"/>
    <w:rsid w:val="006957A5"/>
    <w:rsid w:val="00695823"/>
    <w:rsid w:val="00695A75"/>
    <w:rsid w:val="00695AC5"/>
    <w:rsid w:val="00695BC2"/>
    <w:rsid w:val="00695C97"/>
    <w:rsid w:val="00695CE1"/>
    <w:rsid w:val="00695E99"/>
    <w:rsid w:val="0069605B"/>
    <w:rsid w:val="00696171"/>
    <w:rsid w:val="006961A3"/>
    <w:rsid w:val="006961EB"/>
    <w:rsid w:val="0069628B"/>
    <w:rsid w:val="006962C1"/>
    <w:rsid w:val="00696399"/>
    <w:rsid w:val="0069645B"/>
    <w:rsid w:val="006964CE"/>
    <w:rsid w:val="006965B0"/>
    <w:rsid w:val="006965D9"/>
    <w:rsid w:val="00696757"/>
    <w:rsid w:val="006967D7"/>
    <w:rsid w:val="006967DC"/>
    <w:rsid w:val="00696875"/>
    <w:rsid w:val="006968BD"/>
    <w:rsid w:val="0069696C"/>
    <w:rsid w:val="00696A16"/>
    <w:rsid w:val="00696A92"/>
    <w:rsid w:val="00696C2D"/>
    <w:rsid w:val="00696C6A"/>
    <w:rsid w:val="00696CAE"/>
    <w:rsid w:val="00696CDA"/>
    <w:rsid w:val="00696D0E"/>
    <w:rsid w:val="00696F02"/>
    <w:rsid w:val="00696F19"/>
    <w:rsid w:val="00697188"/>
    <w:rsid w:val="006972B8"/>
    <w:rsid w:val="006972C1"/>
    <w:rsid w:val="0069735A"/>
    <w:rsid w:val="00697416"/>
    <w:rsid w:val="006974CF"/>
    <w:rsid w:val="00697508"/>
    <w:rsid w:val="00697578"/>
    <w:rsid w:val="00697586"/>
    <w:rsid w:val="0069767E"/>
    <w:rsid w:val="006976BB"/>
    <w:rsid w:val="0069771E"/>
    <w:rsid w:val="00697748"/>
    <w:rsid w:val="00697798"/>
    <w:rsid w:val="006979AC"/>
    <w:rsid w:val="00697A3D"/>
    <w:rsid w:val="00697A89"/>
    <w:rsid w:val="00697AD5"/>
    <w:rsid w:val="00697B06"/>
    <w:rsid w:val="00697B36"/>
    <w:rsid w:val="00697DC2"/>
    <w:rsid w:val="00697E56"/>
    <w:rsid w:val="00697F0D"/>
    <w:rsid w:val="00697F59"/>
    <w:rsid w:val="006A0063"/>
    <w:rsid w:val="006A0211"/>
    <w:rsid w:val="006A0308"/>
    <w:rsid w:val="006A04CE"/>
    <w:rsid w:val="006A04D4"/>
    <w:rsid w:val="006A055E"/>
    <w:rsid w:val="006A057D"/>
    <w:rsid w:val="006A05D9"/>
    <w:rsid w:val="006A066F"/>
    <w:rsid w:val="006A072A"/>
    <w:rsid w:val="006A0755"/>
    <w:rsid w:val="006A07F4"/>
    <w:rsid w:val="006A0811"/>
    <w:rsid w:val="006A0841"/>
    <w:rsid w:val="006A0A2E"/>
    <w:rsid w:val="006A0A34"/>
    <w:rsid w:val="006A0A40"/>
    <w:rsid w:val="006A0AD1"/>
    <w:rsid w:val="006A0C1D"/>
    <w:rsid w:val="006A0CF6"/>
    <w:rsid w:val="006A0D66"/>
    <w:rsid w:val="006A0E4A"/>
    <w:rsid w:val="006A0E52"/>
    <w:rsid w:val="006A0EBC"/>
    <w:rsid w:val="006A0EC8"/>
    <w:rsid w:val="006A0ECA"/>
    <w:rsid w:val="006A0F57"/>
    <w:rsid w:val="006A0FDB"/>
    <w:rsid w:val="006A104F"/>
    <w:rsid w:val="006A10DA"/>
    <w:rsid w:val="006A1183"/>
    <w:rsid w:val="006A1311"/>
    <w:rsid w:val="006A133B"/>
    <w:rsid w:val="006A139F"/>
    <w:rsid w:val="006A13ED"/>
    <w:rsid w:val="006A1491"/>
    <w:rsid w:val="006A1577"/>
    <w:rsid w:val="006A16A0"/>
    <w:rsid w:val="006A16E2"/>
    <w:rsid w:val="006A18D2"/>
    <w:rsid w:val="006A18E8"/>
    <w:rsid w:val="006A1967"/>
    <w:rsid w:val="006A19E6"/>
    <w:rsid w:val="006A1A91"/>
    <w:rsid w:val="006A1AF2"/>
    <w:rsid w:val="006A1B8D"/>
    <w:rsid w:val="006A1C52"/>
    <w:rsid w:val="006A1C66"/>
    <w:rsid w:val="006A1CC8"/>
    <w:rsid w:val="006A1DD5"/>
    <w:rsid w:val="006A1E22"/>
    <w:rsid w:val="006A1F58"/>
    <w:rsid w:val="006A1F65"/>
    <w:rsid w:val="006A2005"/>
    <w:rsid w:val="006A201F"/>
    <w:rsid w:val="006A21AF"/>
    <w:rsid w:val="006A21CA"/>
    <w:rsid w:val="006A223C"/>
    <w:rsid w:val="006A22AB"/>
    <w:rsid w:val="006A23BE"/>
    <w:rsid w:val="006A2760"/>
    <w:rsid w:val="006A2835"/>
    <w:rsid w:val="006A29A8"/>
    <w:rsid w:val="006A29E5"/>
    <w:rsid w:val="006A2AB2"/>
    <w:rsid w:val="006A2C9D"/>
    <w:rsid w:val="006A2D47"/>
    <w:rsid w:val="006A2E6E"/>
    <w:rsid w:val="006A2F31"/>
    <w:rsid w:val="006A2F93"/>
    <w:rsid w:val="006A3067"/>
    <w:rsid w:val="006A30B1"/>
    <w:rsid w:val="006A30B6"/>
    <w:rsid w:val="006A31B7"/>
    <w:rsid w:val="006A31DE"/>
    <w:rsid w:val="006A3208"/>
    <w:rsid w:val="006A3364"/>
    <w:rsid w:val="006A3456"/>
    <w:rsid w:val="006A353D"/>
    <w:rsid w:val="006A35C1"/>
    <w:rsid w:val="006A361A"/>
    <w:rsid w:val="006A363E"/>
    <w:rsid w:val="006A36C9"/>
    <w:rsid w:val="006A3815"/>
    <w:rsid w:val="006A388B"/>
    <w:rsid w:val="006A38AE"/>
    <w:rsid w:val="006A39E5"/>
    <w:rsid w:val="006A3A61"/>
    <w:rsid w:val="006A3A6B"/>
    <w:rsid w:val="006A3AA3"/>
    <w:rsid w:val="006A3B95"/>
    <w:rsid w:val="006A3BD1"/>
    <w:rsid w:val="006A3C88"/>
    <w:rsid w:val="006A3D14"/>
    <w:rsid w:val="006A3E40"/>
    <w:rsid w:val="006A3EE5"/>
    <w:rsid w:val="006A3FE7"/>
    <w:rsid w:val="006A41D1"/>
    <w:rsid w:val="006A430E"/>
    <w:rsid w:val="006A43A1"/>
    <w:rsid w:val="006A44C5"/>
    <w:rsid w:val="006A474E"/>
    <w:rsid w:val="006A47AA"/>
    <w:rsid w:val="006A47CD"/>
    <w:rsid w:val="006A481E"/>
    <w:rsid w:val="006A4839"/>
    <w:rsid w:val="006A48E1"/>
    <w:rsid w:val="006A49EC"/>
    <w:rsid w:val="006A4AAA"/>
    <w:rsid w:val="006A4C1E"/>
    <w:rsid w:val="006A4CCC"/>
    <w:rsid w:val="006A4D62"/>
    <w:rsid w:val="006A4EFD"/>
    <w:rsid w:val="006A4FFB"/>
    <w:rsid w:val="006A5013"/>
    <w:rsid w:val="006A5020"/>
    <w:rsid w:val="006A50F7"/>
    <w:rsid w:val="006A510A"/>
    <w:rsid w:val="006A51E9"/>
    <w:rsid w:val="006A520B"/>
    <w:rsid w:val="006A526D"/>
    <w:rsid w:val="006A5319"/>
    <w:rsid w:val="006A53AA"/>
    <w:rsid w:val="006A53FA"/>
    <w:rsid w:val="006A5410"/>
    <w:rsid w:val="006A54E0"/>
    <w:rsid w:val="006A559C"/>
    <w:rsid w:val="006A55F5"/>
    <w:rsid w:val="006A5689"/>
    <w:rsid w:val="006A56F6"/>
    <w:rsid w:val="006A57C8"/>
    <w:rsid w:val="006A5837"/>
    <w:rsid w:val="006A584F"/>
    <w:rsid w:val="006A593D"/>
    <w:rsid w:val="006A5C48"/>
    <w:rsid w:val="006A5CA5"/>
    <w:rsid w:val="006A5D6C"/>
    <w:rsid w:val="006A5DA3"/>
    <w:rsid w:val="006A5E45"/>
    <w:rsid w:val="006A5EB7"/>
    <w:rsid w:val="006A5FD1"/>
    <w:rsid w:val="006A605E"/>
    <w:rsid w:val="006A6064"/>
    <w:rsid w:val="006A60E6"/>
    <w:rsid w:val="006A611C"/>
    <w:rsid w:val="006A616E"/>
    <w:rsid w:val="006A61D9"/>
    <w:rsid w:val="006A62D4"/>
    <w:rsid w:val="006A634F"/>
    <w:rsid w:val="006A644F"/>
    <w:rsid w:val="006A6454"/>
    <w:rsid w:val="006A6541"/>
    <w:rsid w:val="006A6572"/>
    <w:rsid w:val="006A65F2"/>
    <w:rsid w:val="006A6608"/>
    <w:rsid w:val="006A6662"/>
    <w:rsid w:val="006A6708"/>
    <w:rsid w:val="006A6813"/>
    <w:rsid w:val="006A6A2A"/>
    <w:rsid w:val="006A6A74"/>
    <w:rsid w:val="006A6C07"/>
    <w:rsid w:val="006A6CBB"/>
    <w:rsid w:val="006A6E3F"/>
    <w:rsid w:val="006A6F8E"/>
    <w:rsid w:val="006A7048"/>
    <w:rsid w:val="006A70CB"/>
    <w:rsid w:val="006A742F"/>
    <w:rsid w:val="006A7532"/>
    <w:rsid w:val="006A768D"/>
    <w:rsid w:val="006A768E"/>
    <w:rsid w:val="006A76C0"/>
    <w:rsid w:val="006A77D8"/>
    <w:rsid w:val="006A78A4"/>
    <w:rsid w:val="006A78DF"/>
    <w:rsid w:val="006A7904"/>
    <w:rsid w:val="006A7A76"/>
    <w:rsid w:val="006A7B09"/>
    <w:rsid w:val="006A7C44"/>
    <w:rsid w:val="006A7C7D"/>
    <w:rsid w:val="006A7C9B"/>
    <w:rsid w:val="006A7E0D"/>
    <w:rsid w:val="006A7E5E"/>
    <w:rsid w:val="006A7E7B"/>
    <w:rsid w:val="006A7EA3"/>
    <w:rsid w:val="006A7EF2"/>
    <w:rsid w:val="006A7FA4"/>
    <w:rsid w:val="006B0089"/>
    <w:rsid w:val="006B0216"/>
    <w:rsid w:val="006B0365"/>
    <w:rsid w:val="006B0471"/>
    <w:rsid w:val="006B06A4"/>
    <w:rsid w:val="006B06B6"/>
    <w:rsid w:val="006B070D"/>
    <w:rsid w:val="006B0777"/>
    <w:rsid w:val="006B07DE"/>
    <w:rsid w:val="006B08BA"/>
    <w:rsid w:val="006B0978"/>
    <w:rsid w:val="006B09F1"/>
    <w:rsid w:val="006B0A83"/>
    <w:rsid w:val="006B0B2B"/>
    <w:rsid w:val="006B0CA2"/>
    <w:rsid w:val="006B0D89"/>
    <w:rsid w:val="006B0DB8"/>
    <w:rsid w:val="006B0ED2"/>
    <w:rsid w:val="006B0F13"/>
    <w:rsid w:val="006B0F37"/>
    <w:rsid w:val="006B0F75"/>
    <w:rsid w:val="006B0FC0"/>
    <w:rsid w:val="006B1148"/>
    <w:rsid w:val="006B11D9"/>
    <w:rsid w:val="006B1239"/>
    <w:rsid w:val="006B135A"/>
    <w:rsid w:val="006B1387"/>
    <w:rsid w:val="006B1492"/>
    <w:rsid w:val="006B166F"/>
    <w:rsid w:val="006B16FD"/>
    <w:rsid w:val="006B17BB"/>
    <w:rsid w:val="006B1801"/>
    <w:rsid w:val="006B181D"/>
    <w:rsid w:val="006B193D"/>
    <w:rsid w:val="006B1A27"/>
    <w:rsid w:val="006B1B46"/>
    <w:rsid w:val="006B1BBC"/>
    <w:rsid w:val="006B1BD5"/>
    <w:rsid w:val="006B1CC5"/>
    <w:rsid w:val="006B1DB7"/>
    <w:rsid w:val="006B1DE9"/>
    <w:rsid w:val="006B1DF2"/>
    <w:rsid w:val="006B1E07"/>
    <w:rsid w:val="006B1E5E"/>
    <w:rsid w:val="006B1F32"/>
    <w:rsid w:val="006B1F81"/>
    <w:rsid w:val="006B2024"/>
    <w:rsid w:val="006B20BB"/>
    <w:rsid w:val="006B20DA"/>
    <w:rsid w:val="006B2108"/>
    <w:rsid w:val="006B2191"/>
    <w:rsid w:val="006B22C9"/>
    <w:rsid w:val="006B2307"/>
    <w:rsid w:val="006B2316"/>
    <w:rsid w:val="006B250F"/>
    <w:rsid w:val="006B260D"/>
    <w:rsid w:val="006B2656"/>
    <w:rsid w:val="006B275C"/>
    <w:rsid w:val="006B276E"/>
    <w:rsid w:val="006B277F"/>
    <w:rsid w:val="006B2941"/>
    <w:rsid w:val="006B2945"/>
    <w:rsid w:val="006B29B7"/>
    <w:rsid w:val="006B29CF"/>
    <w:rsid w:val="006B2A08"/>
    <w:rsid w:val="006B2A55"/>
    <w:rsid w:val="006B2B59"/>
    <w:rsid w:val="006B2B73"/>
    <w:rsid w:val="006B2BAC"/>
    <w:rsid w:val="006B2BD2"/>
    <w:rsid w:val="006B2CC7"/>
    <w:rsid w:val="006B2D43"/>
    <w:rsid w:val="006B2D5B"/>
    <w:rsid w:val="006B2E61"/>
    <w:rsid w:val="006B2E81"/>
    <w:rsid w:val="006B2ED1"/>
    <w:rsid w:val="006B2EE0"/>
    <w:rsid w:val="006B3019"/>
    <w:rsid w:val="006B306F"/>
    <w:rsid w:val="006B308A"/>
    <w:rsid w:val="006B3142"/>
    <w:rsid w:val="006B31AE"/>
    <w:rsid w:val="006B31AF"/>
    <w:rsid w:val="006B338A"/>
    <w:rsid w:val="006B33D7"/>
    <w:rsid w:val="006B3469"/>
    <w:rsid w:val="006B347F"/>
    <w:rsid w:val="006B348D"/>
    <w:rsid w:val="006B36F4"/>
    <w:rsid w:val="006B36F7"/>
    <w:rsid w:val="006B3761"/>
    <w:rsid w:val="006B37A4"/>
    <w:rsid w:val="006B387B"/>
    <w:rsid w:val="006B38ED"/>
    <w:rsid w:val="006B3917"/>
    <w:rsid w:val="006B3946"/>
    <w:rsid w:val="006B3993"/>
    <w:rsid w:val="006B3AA2"/>
    <w:rsid w:val="006B3CA3"/>
    <w:rsid w:val="006B3DB8"/>
    <w:rsid w:val="006B3E3A"/>
    <w:rsid w:val="006B3E96"/>
    <w:rsid w:val="006B3EED"/>
    <w:rsid w:val="006B3EF3"/>
    <w:rsid w:val="006B3F02"/>
    <w:rsid w:val="006B40AA"/>
    <w:rsid w:val="006B40D7"/>
    <w:rsid w:val="006B4239"/>
    <w:rsid w:val="006B4741"/>
    <w:rsid w:val="006B47D9"/>
    <w:rsid w:val="006B47E8"/>
    <w:rsid w:val="006B48A4"/>
    <w:rsid w:val="006B48C5"/>
    <w:rsid w:val="006B490A"/>
    <w:rsid w:val="006B4916"/>
    <w:rsid w:val="006B49CB"/>
    <w:rsid w:val="006B4A12"/>
    <w:rsid w:val="006B4E1A"/>
    <w:rsid w:val="006B4ED3"/>
    <w:rsid w:val="006B4FE0"/>
    <w:rsid w:val="006B5174"/>
    <w:rsid w:val="006B5186"/>
    <w:rsid w:val="006B5243"/>
    <w:rsid w:val="006B55D1"/>
    <w:rsid w:val="006B5661"/>
    <w:rsid w:val="006B5686"/>
    <w:rsid w:val="006B5756"/>
    <w:rsid w:val="006B58C0"/>
    <w:rsid w:val="006B58DF"/>
    <w:rsid w:val="006B593D"/>
    <w:rsid w:val="006B595B"/>
    <w:rsid w:val="006B59B1"/>
    <w:rsid w:val="006B5B1F"/>
    <w:rsid w:val="006B5CAA"/>
    <w:rsid w:val="006B5DE5"/>
    <w:rsid w:val="006B5E67"/>
    <w:rsid w:val="006B5ED3"/>
    <w:rsid w:val="006B5FDE"/>
    <w:rsid w:val="006B5FF6"/>
    <w:rsid w:val="006B60A4"/>
    <w:rsid w:val="006B62E9"/>
    <w:rsid w:val="006B6418"/>
    <w:rsid w:val="006B643B"/>
    <w:rsid w:val="006B648B"/>
    <w:rsid w:val="006B64CD"/>
    <w:rsid w:val="006B669E"/>
    <w:rsid w:val="006B6783"/>
    <w:rsid w:val="006B692A"/>
    <w:rsid w:val="006B6930"/>
    <w:rsid w:val="006B6960"/>
    <w:rsid w:val="006B6978"/>
    <w:rsid w:val="006B6984"/>
    <w:rsid w:val="006B6B66"/>
    <w:rsid w:val="006B6BC1"/>
    <w:rsid w:val="006B6BD3"/>
    <w:rsid w:val="006B6C7E"/>
    <w:rsid w:val="006B6DEF"/>
    <w:rsid w:val="006B6E34"/>
    <w:rsid w:val="006B6EDD"/>
    <w:rsid w:val="006B6EEC"/>
    <w:rsid w:val="006B6F9B"/>
    <w:rsid w:val="006B709A"/>
    <w:rsid w:val="006B7108"/>
    <w:rsid w:val="006B74AE"/>
    <w:rsid w:val="006B7551"/>
    <w:rsid w:val="006B75BD"/>
    <w:rsid w:val="006B7642"/>
    <w:rsid w:val="006B7650"/>
    <w:rsid w:val="006B767A"/>
    <w:rsid w:val="006B772A"/>
    <w:rsid w:val="006B7860"/>
    <w:rsid w:val="006B798B"/>
    <w:rsid w:val="006B7B0E"/>
    <w:rsid w:val="006B7D1D"/>
    <w:rsid w:val="006B7D56"/>
    <w:rsid w:val="006B7DBD"/>
    <w:rsid w:val="006B7E05"/>
    <w:rsid w:val="006B7E41"/>
    <w:rsid w:val="006B7F7B"/>
    <w:rsid w:val="006B7FC6"/>
    <w:rsid w:val="006B7FE5"/>
    <w:rsid w:val="006B7FEC"/>
    <w:rsid w:val="006C002E"/>
    <w:rsid w:val="006C009C"/>
    <w:rsid w:val="006C010A"/>
    <w:rsid w:val="006C0128"/>
    <w:rsid w:val="006C0348"/>
    <w:rsid w:val="006C035D"/>
    <w:rsid w:val="006C045A"/>
    <w:rsid w:val="006C054A"/>
    <w:rsid w:val="006C056C"/>
    <w:rsid w:val="006C07D4"/>
    <w:rsid w:val="006C07F0"/>
    <w:rsid w:val="006C08B9"/>
    <w:rsid w:val="006C0A34"/>
    <w:rsid w:val="006C0A49"/>
    <w:rsid w:val="006C0B9A"/>
    <w:rsid w:val="006C0BED"/>
    <w:rsid w:val="006C0C83"/>
    <w:rsid w:val="006C0CDC"/>
    <w:rsid w:val="006C0FE0"/>
    <w:rsid w:val="006C1050"/>
    <w:rsid w:val="006C10F7"/>
    <w:rsid w:val="006C1146"/>
    <w:rsid w:val="006C1277"/>
    <w:rsid w:val="006C139A"/>
    <w:rsid w:val="006C1430"/>
    <w:rsid w:val="006C156B"/>
    <w:rsid w:val="006C16F4"/>
    <w:rsid w:val="006C1765"/>
    <w:rsid w:val="006C184F"/>
    <w:rsid w:val="006C19A3"/>
    <w:rsid w:val="006C1A50"/>
    <w:rsid w:val="006C1ACF"/>
    <w:rsid w:val="006C1B50"/>
    <w:rsid w:val="006C1D5C"/>
    <w:rsid w:val="006C1E45"/>
    <w:rsid w:val="006C1E70"/>
    <w:rsid w:val="006C2024"/>
    <w:rsid w:val="006C20CC"/>
    <w:rsid w:val="006C214E"/>
    <w:rsid w:val="006C2161"/>
    <w:rsid w:val="006C2308"/>
    <w:rsid w:val="006C230D"/>
    <w:rsid w:val="006C239F"/>
    <w:rsid w:val="006C23B5"/>
    <w:rsid w:val="006C2488"/>
    <w:rsid w:val="006C24D5"/>
    <w:rsid w:val="006C2558"/>
    <w:rsid w:val="006C276E"/>
    <w:rsid w:val="006C286C"/>
    <w:rsid w:val="006C29A3"/>
    <w:rsid w:val="006C29BF"/>
    <w:rsid w:val="006C2AAE"/>
    <w:rsid w:val="006C2AFA"/>
    <w:rsid w:val="006C2B66"/>
    <w:rsid w:val="006C2D52"/>
    <w:rsid w:val="006C2E0B"/>
    <w:rsid w:val="006C2ECA"/>
    <w:rsid w:val="006C2F07"/>
    <w:rsid w:val="006C2F93"/>
    <w:rsid w:val="006C3025"/>
    <w:rsid w:val="006C3234"/>
    <w:rsid w:val="006C3296"/>
    <w:rsid w:val="006C333E"/>
    <w:rsid w:val="006C3462"/>
    <w:rsid w:val="006C3465"/>
    <w:rsid w:val="006C3552"/>
    <w:rsid w:val="006C3666"/>
    <w:rsid w:val="006C36BC"/>
    <w:rsid w:val="006C36F0"/>
    <w:rsid w:val="006C3813"/>
    <w:rsid w:val="006C398B"/>
    <w:rsid w:val="006C3A5B"/>
    <w:rsid w:val="006C3C82"/>
    <w:rsid w:val="006C3CA8"/>
    <w:rsid w:val="006C3CE2"/>
    <w:rsid w:val="006C3CF9"/>
    <w:rsid w:val="006C3CFB"/>
    <w:rsid w:val="006C3D27"/>
    <w:rsid w:val="006C3DED"/>
    <w:rsid w:val="006C3DEF"/>
    <w:rsid w:val="006C3E26"/>
    <w:rsid w:val="006C3F10"/>
    <w:rsid w:val="006C3F5E"/>
    <w:rsid w:val="006C4187"/>
    <w:rsid w:val="006C41AB"/>
    <w:rsid w:val="006C4221"/>
    <w:rsid w:val="006C442C"/>
    <w:rsid w:val="006C4493"/>
    <w:rsid w:val="006C4552"/>
    <w:rsid w:val="006C4762"/>
    <w:rsid w:val="006C47A8"/>
    <w:rsid w:val="006C47AA"/>
    <w:rsid w:val="006C4815"/>
    <w:rsid w:val="006C48D1"/>
    <w:rsid w:val="006C494A"/>
    <w:rsid w:val="006C4965"/>
    <w:rsid w:val="006C496E"/>
    <w:rsid w:val="006C49BA"/>
    <w:rsid w:val="006C4A25"/>
    <w:rsid w:val="006C4A3F"/>
    <w:rsid w:val="006C4CC2"/>
    <w:rsid w:val="006C4E41"/>
    <w:rsid w:val="006C4E42"/>
    <w:rsid w:val="006C4E49"/>
    <w:rsid w:val="006C4EB5"/>
    <w:rsid w:val="006C4FB4"/>
    <w:rsid w:val="006C501E"/>
    <w:rsid w:val="006C5045"/>
    <w:rsid w:val="006C5164"/>
    <w:rsid w:val="006C5417"/>
    <w:rsid w:val="006C5542"/>
    <w:rsid w:val="006C5822"/>
    <w:rsid w:val="006C593E"/>
    <w:rsid w:val="006C59F3"/>
    <w:rsid w:val="006C59F9"/>
    <w:rsid w:val="006C5C26"/>
    <w:rsid w:val="006C5C57"/>
    <w:rsid w:val="006C5D56"/>
    <w:rsid w:val="006C5DD3"/>
    <w:rsid w:val="006C5E15"/>
    <w:rsid w:val="006C5E8F"/>
    <w:rsid w:val="006C60CA"/>
    <w:rsid w:val="006C60F9"/>
    <w:rsid w:val="006C6150"/>
    <w:rsid w:val="006C6153"/>
    <w:rsid w:val="006C6479"/>
    <w:rsid w:val="006C6519"/>
    <w:rsid w:val="006C6548"/>
    <w:rsid w:val="006C65D3"/>
    <w:rsid w:val="006C6679"/>
    <w:rsid w:val="006C6696"/>
    <w:rsid w:val="006C6911"/>
    <w:rsid w:val="006C69C0"/>
    <w:rsid w:val="006C69C3"/>
    <w:rsid w:val="006C6A2B"/>
    <w:rsid w:val="006C6A46"/>
    <w:rsid w:val="006C6AAF"/>
    <w:rsid w:val="006C6B06"/>
    <w:rsid w:val="006C6BE0"/>
    <w:rsid w:val="006C6CD6"/>
    <w:rsid w:val="006C6D57"/>
    <w:rsid w:val="006C704A"/>
    <w:rsid w:val="006C7090"/>
    <w:rsid w:val="006C7153"/>
    <w:rsid w:val="006C73AE"/>
    <w:rsid w:val="006C7431"/>
    <w:rsid w:val="006C74D7"/>
    <w:rsid w:val="006C7522"/>
    <w:rsid w:val="006C7582"/>
    <w:rsid w:val="006C75FB"/>
    <w:rsid w:val="006C7695"/>
    <w:rsid w:val="006C769E"/>
    <w:rsid w:val="006C771B"/>
    <w:rsid w:val="006C785D"/>
    <w:rsid w:val="006C78BA"/>
    <w:rsid w:val="006C79F3"/>
    <w:rsid w:val="006C7A24"/>
    <w:rsid w:val="006C7A2A"/>
    <w:rsid w:val="006C7A38"/>
    <w:rsid w:val="006C7A74"/>
    <w:rsid w:val="006C7BDF"/>
    <w:rsid w:val="006C7EB7"/>
    <w:rsid w:val="006C7EF7"/>
    <w:rsid w:val="006D017C"/>
    <w:rsid w:val="006D0237"/>
    <w:rsid w:val="006D02D4"/>
    <w:rsid w:val="006D03FA"/>
    <w:rsid w:val="006D0412"/>
    <w:rsid w:val="006D09B1"/>
    <w:rsid w:val="006D09CB"/>
    <w:rsid w:val="006D0A98"/>
    <w:rsid w:val="006D0AAD"/>
    <w:rsid w:val="006D0AFE"/>
    <w:rsid w:val="006D0BE4"/>
    <w:rsid w:val="006D0C68"/>
    <w:rsid w:val="006D0D7A"/>
    <w:rsid w:val="006D0D7F"/>
    <w:rsid w:val="006D0E31"/>
    <w:rsid w:val="006D0E74"/>
    <w:rsid w:val="006D0E80"/>
    <w:rsid w:val="006D103D"/>
    <w:rsid w:val="006D1110"/>
    <w:rsid w:val="006D1189"/>
    <w:rsid w:val="006D1290"/>
    <w:rsid w:val="006D14BC"/>
    <w:rsid w:val="006D15C5"/>
    <w:rsid w:val="006D1696"/>
    <w:rsid w:val="006D1712"/>
    <w:rsid w:val="006D1850"/>
    <w:rsid w:val="006D1BE2"/>
    <w:rsid w:val="006D1C09"/>
    <w:rsid w:val="006D1C51"/>
    <w:rsid w:val="006D1CA9"/>
    <w:rsid w:val="006D1D29"/>
    <w:rsid w:val="006D1E3E"/>
    <w:rsid w:val="006D1EE9"/>
    <w:rsid w:val="006D1F14"/>
    <w:rsid w:val="006D1F5B"/>
    <w:rsid w:val="006D20E9"/>
    <w:rsid w:val="006D22FA"/>
    <w:rsid w:val="006D2374"/>
    <w:rsid w:val="006D248E"/>
    <w:rsid w:val="006D2565"/>
    <w:rsid w:val="006D262E"/>
    <w:rsid w:val="006D26A8"/>
    <w:rsid w:val="006D2702"/>
    <w:rsid w:val="006D2818"/>
    <w:rsid w:val="006D2878"/>
    <w:rsid w:val="006D28C5"/>
    <w:rsid w:val="006D2A08"/>
    <w:rsid w:val="006D2A24"/>
    <w:rsid w:val="006D2A82"/>
    <w:rsid w:val="006D2AC5"/>
    <w:rsid w:val="006D2AF6"/>
    <w:rsid w:val="006D2CA4"/>
    <w:rsid w:val="006D2CB1"/>
    <w:rsid w:val="006D2FE2"/>
    <w:rsid w:val="006D318A"/>
    <w:rsid w:val="006D31E7"/>
    <w:rsid w:val="006D31F5"/>
    <w:rsid w:val="006D3233"/>
    <w:rsid w:val="006D323D"/>
    <w:rsid w:val="006D327C"/>
    <w:rsid w:val="006D328F"/>
    <w:rsid w:val="006D3331"/>
    <w:rsid w:val="006D3354"/>
    <w:rsid w:val="006D3564"/>
    <w:rsid w:val="006D357E"/>
    <w:rsid w:val="006D396D"/>
    <w:rsid w:val="006D399C"/>
    <w:rsid w:val="006D399D"/>
    <w:rsid w:val="006D3AB2"/>
    <w:rsid w:val="006D3AE8"/>
    <w:rsid w:val="006D3B0D"/>
    <w:rsid w:val="006D3B95"/>
    <w:rsid w:val="006D3BD0"/>
    <w:rsid w:val="006D3BE9"/>
    <w:rsid w:val="006D3BFE"/>
    <w:rsid w:val="006D3C58"/>
    <w:rsid w:val="006D3CFA"/>
    <w:rsid w:val="006D3E35"/>
    <w:rsid w:val="006D3E5F"/>
    <w:rsid w:val="006D3EEA"/>
    <w:rsid w:val="006D3F14"/>
    <w:rsid w:val="006D3FC3"/>
    <w:rsid w:val="006D40BE"/>
    <w:rsid w:val="006D41D6"/>
    <w:rsid w:val="006D437D"/>
    <w:rsid w:val="006D4430"/>
    <w:rsid w:val="006D44CD"/>
    <w:rsid w:val="006D44EB"/>
    <w:rsid w:val="006D46B3"/>
    <w:rsid w:val="006D4744"/>
    <w:rsid w:val="006D47A5"/>
    <w:rsid w:val="006D48D3"/>
    <w:rsid w:val="006D4907"/>
    <w:rsid w:val="006D4BA3"/>
    <w:rsid w:val="006D4BCB"/>
    <w:rsid w:val="006D4C24"/>
    <w:rsid w:val="006D4C3D"/>
    <w:rsid w:val="006D4D7C"/>
    <w:rsid w:val="006D4E8E"/>
    <w:rsid w:val="006D4F93"/>
    <w:rsid w:val="006D51A6"/>
    <w:rsid w:val="006D54EF"/>
    <w:rsid w:val="006D5744"/>
    <w:rsid w:val="006D5812"/>
    <w:rsid w:val="006D58D7"/>
    <w:rsid w:val="006D5989"/>
    <w:rsid w:val="006D5B7D"/>
    <w:rsid w:val="006D5BA3"/>
    <w:rsid w:val="006D5C2A"/>
    <w:rsid w:val="006D5C2C"/>
    <w:rsid w:val="006D5CDB"/>
    <w:rsid w:val="006D5D4F"/>
    <w:rsid w:val="006D5DE6"/>
    <w:rsid w:val="006D5DEB"/>
    <w:rsid w:val="006D5E54"/>
    <w:rsid w:val="006D6030"/>
    <w:rsid w:val="006D607B"/>
    <w:rsid w:val="006D60C8"/>
    <w:rsid w:val="006D611A"/>
    <w:rsid w:val="006D641F"/>
    <w:rsid w:val="006D6634"/>
    <w:rsid w:val="006D668E"/>
    <w:rsid w:val="006D675B"/>
    <w:rsid w:val="006D6762"/>
    <w:rsid w:val="006D67A9"/>
    <w:rsid w:val="006D67B1"/>
    <w:rsid w:val="006D689D"/>
    <w:rsid w:val="006D68D7"/>
    <w:rsid w:val="006D6909"/>
    <w:rsid w:val="006D6951"/>
    <w:rsid w:val="006D6A80"/>
    <w:rsid w:val="006D6AF2"/>
    <w:rsid w:val="006D6DE9"/>
    <w:rsid w:val="006D6E4C"/>
    <w:rsid w:val="006D6E8B"/>
    <w:rsid w:val="006D6E97"/>
    <w:rsid w:val="006D6FCC"/>
    <w:rsid w:val="006D7138"/>
    <w:rsid w:val="006D71DC"/>
    <w:rsid w:val="006D723F"/>
    <w:rsid w:val="006D754A"/>
    <w:rsid w:val="006D78B0"/>
    <w:rsid w:val="006D78F7"/>
    <w:rsid w:val="006D7994"/>
    <w:rsid w:val="006D7B51"/>
    <w:rsid w:val="006D7B95"/>
    <w:rsid w:val="006D7C7D"/>
    <w:rsid w:val="006D7CC9"/>
    <w:rsid w:val="006D7D1E"/>
    <w:rsid w:val="006D7DBE"/>
    <w:rsid w:val="006D7E17"/>
    <w:rsid w:val="006D7E78"/>
    <w:rsid w:val="006D7EC8"/>
    <w:rsid w:val="006D7EED"/>
    <w:rsid w:val="006D7F7B"/>
    <w:rsid w:val="006D7FF8"/>
    <w:rsid w:val="006E007E"/>
    <w:rsid w:val="006E008A"/>
    <w:rsid w:val="006E0102"/>
    <w:rsid w:val="006E015D"/>
    <w:rsid w:val="006E016E"/>
    <w:rsid w:val="006E0249"/>
    <w:rsid w:val="006E0260"/>
    <w:rsid w:val="006E035C"/>
    <w:rsid w:val="006E046F"/>
    <w:rsid w:val="006E04E2"/>
    <w:rsid w:val="006E04E6"/>
    <w:rsid w:val="006E0547"/>
    <w:rsid w:val="006E0593"/>
    <w:rsid w:val="006E0614"/>
    <w:rsid w:val="006E0681"/>
    <w:rsid w:val="006E06B8"/>
    <w:rsid w:val="006E07D4"/>
    <w:rsid w:val="006E09BE"/>
    <w:rsid w:val="006E0C6A"/>
    <w:rsid w:val="006E0C6F"/>
    <w:rsid w:val="006E0DFC"/>
    <w:rsid w:val="006E0E57"/>
    <w:rsid w:val="006E0EF0"/>
    <w:rsid w:val="006E11BD"/>
    <w:rsid w:val="006E1220"/>
    <w:rsid w:val="006E129E"/>
    <w:rsid w:val="006E12A8"/>
    <w:rsid w:val="006E1309"/>
    <w:rsid w:val="006E1409"/>
    <w:rsid w:val="006E1515"/>
    <w:rsid w:val="006E1539"/>
    <w:rsid w:val="006E154F"/>
    <w:rsid w:val="006E15A8"/>
    <w:rsid w:val="006E15DB"/>
    <w:rsid w:val="006E161B"/>
    <w:rsid w:val="006E1631"/>
    <w:rsid w:val="006E16C2"/>
    <w:rsid w:val="006E188B"/>
    <w:rsid w:val="006E19F7"/>
    <w:rsid w:val="006E1A8D"/>
    <w:rsid w:val="006E1AA0"/>
    <w:rsid w:val="006E1B40"/>
    <w:rsid w:val="006E1B49"/>
    <w:rsid w:val="006E1BA2"/>
    <w:rsid w:val="006E1E02"/>
    <w:rsid w:val="006E21EE"/>
    <w:rsid w:val="006E221B"/>
    <w:rsid w:val="006E2239"/>
    <w:rsid w:val="006E2339"/>
    <w:rsid w:val="006E24F4"/>
    <w:rsid w:val="006E2543"/>
    <w:rsid w:val="006E25E8"/>
    <w:rsid w:val="006E27C5"/>
    <w:rsid w:val="006E281C"/>
    <w:rsid w:val="006E2A80"/>
    <w:rsid w:val="006E2C0A"/>
    <w:rsid w:val="006E2CA1"/>
    <w:rsid w:val="006E2CDD"/>
    <w:rsid w:val="006E2D49"/>
    <w:rsid w:val="006E2E9D"/>
    <w:rsid w:val="006E2ECF"/>
    <w:rsid w:val="006E2F79"/>
    <w:rsid w:val="006E2FBF"/>
    <w:rsid w:val="006E3008"/>
    <w:rsid w:val="006E310D"/>
    <w:rsid w:val="006E3149"/>
    <w:rsid w:val="006E3205"/>
    <w:rsid w:val="006E32E6"/>
    <w:rsid w:val="006E3323"/>
    <w:rsid w:val="006E33C7"/>
    <w:rsid w:val="006E355C"/>
    <w:rsid w:val="006E3772"/>
    <w:rsid w:val="006E37E1"/>
    <w:rsid w:val="006E38C5"/>
    <w:rsid w:val="006E3912"/>
    <w:rsid w:val="006E3985"/>
    <w:rsid w:val="006E39A7"/>
    <w:rsid w:val="006E39A9"/>
    <w:rsid w:val="006E3AB9"/>
    <w:rsid w:val="006E3C36"/>
    <w:rsid w:val="006E3C90"/>
    <w:rsid w:val="006E3DA3"/>
    <w:rsid w:val="006E3DCF"/>
    <w:rsid w:val="006E3E18"/>
    <w:rsid w:val="006E3E4D"/>
    <w:rsid w:val="006E3ECA"/>
    <w:rsid w:val="006E3FA2"/>
    <w:rsid w:val="006E401E"/>
    <w:rsid w:val="006E4062"/>
    <w:rsid w:val="006E40B8"/>
    <w:rsid w:val="006E40EA"/>
    <w:rsid w:val="006E41CA"/>
    <w:rsid w:val="006E42D4"/>
    <w:rsid w:val="006E4345"/>
    <w:rsid w:val="006E43C3"/>
    <w:rsid w:val="006E43DE"/>
    <w:rsid w:val="006E449A"/>
    <w:rsid w:val="006E44B4"/>
    <w:rsid w:val="006E457E"/>
    <w:rsid w:val="006E4582"/>
    <w:rsid w:val="006E46D3"/>
    <w:rsid w:val="006E471D"/>
    <w:rsid w:val="006E477E"/>
    <w:rsid w:val="006E47AA"/>
    <w:rsid w:val="006E491C"/>
    <w:rsid w:val="006E4951"/>
    <w:rsid w:val="006E4973"/>
    <w:rsid w:val="006E4A73"/>
    <w:rsid w:val="006E4AA5"/>
    <w:rsid w:val="006E4B48"/>
    <w:rsid w:val="006E4B7C"/>
    <w:rsid w:val="006E4C71"/>
    <w:rsid w:val="006E4DC0"/>
    <w:rsid w:val="006E4DD3"/>
    <w:rsid w:val="006E4DF4"/>
    <w:rsid w:val="006E4E4F"/>
    <w:rsid w:val="006E503B"/>
    <w:rsid w:val="006E503E"/>
    <w:rsid w:val="006E5124"/>
    <w:rsid w:val="006E514E"/>
    <w:rsid w:val="006E51EB"/>
    <w:rsid w:val="006E533C"/>
    <w:rsid w:val="006E53E3"/>
    <w:rsid w:val="006E5413"/>
    <w:rsid w:val="006E5462"/>
    <w:rsid w:val="006E54A5"/>
    <w:rsid w:val="006E5727"/>
    <w:rsid w:val="006E5829"/>
    <w:rsid w:val="006E5876"/>
    <w:rsid w:val="006E59A3"/>
    <w:rsid w:val="006E59AD"/>
    <w:rsid w:val="006E59BB"/>
    <w:rsid w:val="006E5AE9"/>
    <w:rsid w:val="006E5B81"/>
    <w:rsid w:val="006E5C00"/>
    <w:rsid w:val="006E5C2D"/>
    <w:rsid w:val="006E5D33"/>
    <w:rsid w:val="006E5D6C"/>
    <w:rsid w:val="006E5E29"/>
    <w:rsid w:val="006E5EA3"/>
    <w:rsid w:val="006E5F5A"/>
    <w:rsid w:val="006E5F8D"/>
    <w:rsid w:val="006E6033"/>
    <w:rsid w:val="006E6190"/>
    <w:rsid w:val="006E61BE"/>
    <w:rsid w:val="006E61FE"/>
    <w:rsid w:val="006E6220"/>
    <w:rsid w:val="006E630E"/>
    <w:rsid w:val="006E6331"/>
    <w:rsid w:val="006E6333"/>
    <w:rsid w:val="006E6349"/>
    <w:rsid w:val="006E644A"/>
    <w:rsid w:val="006E64A9"/>
    <w:rsid w:val="006E6528"/>
    <w:rsid w:val="006E656A"/>
    <w:rsid w:val="006E666C"/>
    <w:rsid w:val="006E67B6"/>
    <w:rsid w:val="006E67E4"/>
    <w:rsid w:val="006E67EC"/>
    <w:rsid w:val="006E67F2"/>
    <w:rsid w:val="006E681D"/>
    <w:rsid w:val="006E69F5"/>
    <w:rsid w:val="006E6B8B"/>
    <w:rsid w:val="006E6F05"/>
    <w:rsid w:val="006E6F6A"/>
    <w:rsid w:val="006E7014"/>
    <w:rsid w:val="006E7015"/>
    <w:rsid w:val="006E7029"/>
    <w:rsid w:val="006E70FF"/>
    <w:rsid w:val="006E7102"/>
    <w:rsid w:val="006E7118"/>
    <w:rsid w:val="006E71AB"/>
    <w:rsid w:val="006E71C9"/>
    <w:rsid w:val="006E722F"/>
    <w:rsid w:val="006E72AD"/>
    <w:rsid w:val="006E74A5"/>
    <w:rsid w:val="006E74B7"/>
    <w:rsid w:val="006E75C5"/>
    <w:rsid w:val="006E76CB"/>
    <w:rsid w:val="006E76CE"/>
    <w:rsid w:val="006E7A6E"/>
    <w:rsid w:val="006E7B15"/>
    <w:rsid w:val="006E7BA0"/>
    <w:rsid w:val="006E7C5A"/>
    <w:rsid w:val="006E7CC1"/>
    <w:rsid w:val="006E7E13"/>
    <w:rsid w:val="006E7ECB"/>
    <w:rsid w:val="006E7EE0"/>
    <w:rsid w:val="006F001B"/>
    <w:rsid w:val="006F01F6"/>
    <w:rsid w:val="006F0270"/>
    <w:rsid w:val="006F029B"/>
    <w:rsid w:val="006F02D6"/>
    <w:rsid w:val="006F03DA"/>
    <w:rsid w:val="006F04C7"/>
    <w:rsid w:val="006F04FC"/>
    <w:rsid w:val="006F0592"/>
    <w:rsid w:val="006F05BE"/>
    <w:rsid w:val="006F05FE"/>
    <w:rsid w:val="006F065C"/>
    <w:rsid w:val="006F0674"/>
    <w:rsid w:val="006F071A"/>
    <w:rsid w:val="006F07F4"/>
    <w:rsid w:val="006F086C"/>
    <w:rsid w:val="006F08CC"/>
    <w:rsid w:val="006F08FF"/>
    <w:rsid w:val="006F098A"/>
    <w:rsid w:val="006F0A3A"/>
    <w:rsid w:val="006F0A5F"/>
    <w:rsid w:val="006F0AEF"/>
    <w:rsid w:val="006F0C0A"/>
    <w:rsid w:val="006F0C2D"/>
    <w:rsid w:val="006F0D30"/>
    <w:rsid w:val="006F0EB4"/>
    <w:rsid w:val="006F0EC7"/>
    <w:rsid w:val="006F0EC8"/>
    <w:rsid w:val="006F0F61"/>
    <w:rsid w:val="006F1021"/>
    <w:rsid w:val="006F1057"/>
    <w:rsid w:val="006F10AF"/>
    <w:rsid w:val="006F1200"/>
    <w:rsid w:val="006F12B0"/>
    <w:rsid w:val="006F13BA"/>
    <w:rsid w:val="006F14CF"/>
    <w:rsid w:val="006F1630"/>
    <w:rsid w:val="006F1632"/>
    <w:rsid w:val="006F16BC"/>
    <w:rsid w:val="006F173F"/>
    <w:rsid w:val="006F1773"/>
    <w:rsid w:val="006F1832"/>
    <w:rsid w:val="006F19BD"/>
    <w:rsid w:val="006F19DD"/>
    <w:rsid w:val="006F1A40"/>
    <w:rsid w:val="006F1A5D"/>
    <w:rsid w:val="006F1AA7"/>
    <w:rsid w:val="006F1AE1"/>
    <w:rsid w:val="006F1B37"/>
    <w:rsid w:val="006F1C5C"/>
    <w:rsid w:val="006F1D4F"/>
    <w:rsid w:val="006F1E88"/>
    <w:rsid w:val="006F1EA2"/>
    <w:rsid w:val="006F1ECB"/>
    <w:rsid w:val="006F1F86"/>
    <w:rsid w:val="006F2045"/>
    <w:rsid w:val="006F2097"/>
    <w:rsid w:val="006F2140"/>
    <w:rsid w:val="006F21CE"/>
    <w:rsid w:val="006F2279"/>
    <w:rsid w:val="006F2295"/>
    <w:rsid w:val="006F2322"/>
    <w:rsid w:val="006F2328"/>
    <w:rsid w:val="006F2403"/>
    <w:rsid w:val="006F2418"/>
    <w:rsid w:val="006F2594"/>
    <w:rsid w:val="006F25D3"/>
    <w:rsid w:val="006F2709"/>
    <w:rsid w:val="006F27C3"/>
    <w:rsid w:val="006F2917"/>
    <w:rsid w:val="006F2940"/>
    <w:rsid w:val="006F298C"/>
    <w:rsid w:val="006F29B1"/>
    <w:rsid w:val="006F2A6E"/>
    <w:rsid w:val="006F2AD1"/>
    <w:rsid w:val="006F2CCF"/>
    <w:rsid w:val="006F2D10"/>
    <w:rsid w:val="006F2DCA"/>
    <w:rsid w:val="006F2DD6"/>
    <w:rsid w:val="006F319B"/>
    <w:rsid w:val="006F32AE"/>
    <w:rsid w:val="006F32BF"/>
    <w:rsid w:val="006F336F"/>
    <w:rsid w:val="006F33DA"/>
    <w:rsid w:val="006F3531"/>
    <w:rsid w:val="006F35A1"/>
    <w:rsid w:val="006F36BD"/>
    <w:rsid w:val="006F36F1"/>
    <w:rsid w:val="006F377E"/>
    <w:rsid w:val="006F3881"/>
    <w:rsid w:val="006F3885"/>
    <w:rsid w:val="006F389A"/>
    <w:rsid w:val="006F38E2"/>
    <w:rsid w:val="006F38FF"/>
    <w:rsid w:val="006F3AFB"/>
    <w:rsid w:val="006F3C10"/>
    <w:rsid w:val="006F3D23"/>
    <w:rsid w:val="006F3E07"/>
    <w:rsid w:val="006F3E77"/>
    <w:rsid w:val="006F3ED8"/>
    <w:rsid w:val="006F3F65"/>
    <w:rsid w:val="006F43D1"/>
    <w:rsid w:val="006F440C"/>
    <w:rsid w:val="006F450C"/>
    <w:rsid w:val="006F45EF"/>
    <w:rsid w:val="006F468F"/>
    <w:rsid w:val="006F47EF"/>
    <w:rsid w:val="006F482D"/>
    <w:rsid w:val="006F4842"/>
    <w:rsid w:val="006F48A8"/>
    <w:rsid w:val="006F48E3"/>
    <w:rsid w:val="006F493F"/>
    <w:rsid w:val="006F49CF"/>
    <w:rsid w:val="006F4A9D"/>
    <w:rsid w:val="006F4B21"/>
    <w:rsid w:val="006F4B7A"/>
    <w:rsid w:val="006F4CB1"/>
    <w:rsid w:val="006F4D09"/>
    <w:rsid w:val="006F4D6D"/>
    <w:rsid w:val="006F4E64"/>
    <w:rsid w:val="006F4F1D"/>
    <w:rsid w:val="006F5057"/>
    <w:rsid w:val="006F50D9"/>
    <w:rsid w:val="006F50E2"/>
    <w:rsid w:val="006F512E"/>
    <w:rsid w:val="006F51A4"/>
    <w:rsid w:val="006F51C2"/>
    <w:rsid w:val="006F51D8"/>
    <w:rsid w:val="006F5208"/>
    <w:rsid w:val="006F520A"/>
    <w:rsid w:val="006F52E7"/>
    <w:rsid w:val="006F52F8"/>
    <w:rsid w:val="006F53FD"/>
    <w:rsid w:val="006F5408"/>
    <w:rsid w:val="006F5468"/>
    <w:rsid w:val="006F547A"/>
    <w:rsid w:val="006F5554"/>
    <w:rsid w:val="006F55D9"/>
    <w:rsid w:val="006F5797"/>
    <w:rsid w:val="006F57CB"/>
    <w:rsid w:val="006F57DE"/>
    <w:rsid w:val="006F58F7"/>
    <w:rsid w:val="006F5945"/>
    <w:rsid w:val="006F594D"/>
    <w:rsid w:val="006F59CB"/>
    <w:rsid w:val="006F5A4A"/>
    <w:rsid w:val="006F5ABF"/>
    <w:rsid w:val="006F5B12"/>
    <w:rsid w:val="006F5B5B"/>
    <w:rsid w:val="006F5B8E"/>
    <w:rsid w:val="006F5BF9"/>
    <w:rsid w:val="006F5BFB"/>
    <w:rsid w:val="006F5D38"/>
    <w:rsid w:val="006F5F00"/>
    <w:rsid w:val="006F5F70"/>
    <w:rsid w:val="006F5FA0"/>
    <w:rsid w:val="006F614E"/>
    <w:rsid w:val="006F628B"/>
    <w:rsid w:val="006F6374"/>
    <w:rsid w:val="006F63C2"/>
    <w:rsid w:val="006F647E"/>
    <w:rsid w:val="006F65D8"/>
    <w:rsid w:val="006F65E6"/>
    <w:rsid w:val="006F6622"/>
    <w:rsid w:val="006F6656"/>
    <w:rsid w:val="006F6785"/>
    <w:rsid w:val="006F69D1"/>
    <w:rsid w:val="006F6B28"/>
    <w:rsid w:val="006F6B58"/>
    <w:rsid w:val="006F6C3B"/>
    <w:rsid w:val="006F6C72"/>
    <w:rsid w:val="006F6DBD"/>
    <w:rsid w:val="006F6DED"/>
    <w:rsid w:val="006F6EBD"/>
    <w:rsid w:val="006F6ECD"/>
    <w:rsid w:val="006F7059"/>
    <w:rsid w:val="006F7120"/>
    <w:rsid w:val="006F71E9"/>
    <w:rsid w:val="006F7242"/>
    <w:rsid w:val="006F727B"/>
    <w:rsid w:val="006F72C6"/>
    <w:rsid w:val="006F7499"/>
    <w:rsid w:val="006F7829"/>
    <w:rsid w:val="006F782B"/>
    <w:rsid w:val="006F7951"/>
    <w:rsid w:val="006F7952"/>
    <w:rsid w:val="006F796B"/>
    <w:rsid w:val="006F7A86"/>
    <w:rsid w:val="006F7AFD"/>
    <w:rsid w:val="006F7BA1"/>
    <w:rsid w:val="006F7D02"/>
    <w:rsid w:val="006F7D17"/>
    <w:rsid w:val="006F7D46"/>
    <w:rsid w:val="006F7E82"/>
    <w:rsid w:val="006F7E9E"/>
    <w:rsid w:val="006F7F5B"/>
    <w:rsid w:val="006F7FC8"/>
    <w:rsid w:val="006F7FD3"/>
    <w:rsid w:val="00700099"/>
    <w:rsid w:val="00700144"/>
    <w:rsid w:val="0070020E"/>
    <w:rsid w:val="00700217"/>
    <w:rsid w:val="007002A8"/>
    <w:rsid w:val="007002ED"/>
    <w:rsid w:val="00700374"/>
    <w:rsid w:val="00700403"/>
    <w:rsid w:val="0070042B"/>
    <w:rsid w:val="007004CF"/>
    <w:rsid w:val="00700525"/>
    <w:rsid w:val="007005BB"/>
    <w:rsid w:val="007007F0"/>
    <w:rsid w:val="0070083C"/>
    <w:rsid w:val="00700925"/>
    <w:rsid w:val="00700BB9"/>
    <w:rsid w:val="00700BDE"/>
    <w:rsid w:val="00700C64"/>
    <w:rsid w:val="00700C77"/>
    <w:rsid w:val="00700DAD"/>
    <w:rsid w:val="0070112D"/>
    <w:rsid w:val="00701139"/>
    <w:rsid w:val="007011FE"/>
    <w:rsid w:val="00701383"/>
    <w:rsid w:val="007013C1"/>
    <w:rsid w:val="0070143D"/>
    <w:rsid w:val="00701460"/>
    <w:rsid w:val="00701549"/>
    <w:rsid w:val="0070159E"/>
    <w:rsid w:val="0070162C"/>
    <w:rsid w:val="0070170C"/>
    <w:rsid w:val="00701730"/>
    <w:rsid w:val="007017A5"/>
    <w:rsid w:val="00701832"/>
    <w:rsid w:val="0070193F"/>
    <w:rsid w:val="007019AB"/>
    <w:rsid w:val="007019D3"/>
    <w:rsid w:val="00701B1A"/>
    <w:rsid w:val="00701B41"/>
    <w:rsid w:val="00701B55"/>
    <w:rsid w:val="00701BC6"/>
    <w:rsid w:val="00701C58"/>
    <w:rsid w:val="00701CAD"/>
    <w:rsid w:val="00701D97"/>
    <w:rsid w:val="00701E0F"/>
    <w:rsid w:val="00701F12"/>
    <w:rsid w:val="00701F51"/>
    <w:rsid w:val="00702008"/>
    <w:rsid w:val="00702038"/>
    <w:rsid w:val="00702063"/>
    <w:rsid w:val="00702123"/>
    <w:rsid w:val="00702224"/>
    <w:rsid w:val="0070227F"/>
    <w:rsid w:val="00702292"/>
    <w:rsid w:val="007022AE"/>
    <w:rsid w:val="00702373"/>
    <w:rsid w:val="00702478"/>
    <w:rsid w:val="00702653"/>
    <w:rsid w:val="007027CC"/>
    <w:rsid w:val="007028BE"/>
    <w:rsid w:val="00702A5E"/>
    <w:rsid w:val="00702AC0"/>
    <w:rsid w:val="00702B28"/>
    <w:rsid w:val="00702BEC"/>
    <w:rsid w:val="00702C08"/>
    <w:rsid w:val="00702C0F"/>
    <w:rsid w:val="00702C44"/>
    <w:rsid w:val="00702C96"/>
    <w:rsid w:val="00702DBA"/>
    <w:rsid w:val="00702E97"/>
    <w:rsid w:val="00702EC9"/>
    <w:rsid w:val="00702EEA"/>
    <w:rsid w:val="00702F11"/>
    <w:rsid w:val="00703010"/>
    <w:rsid w:val="00703088"/>
    <w:rsid w:val="00703123"/>
    <w:rsid w:val="00703133"/>
    <w:rsid w:val="00703193"/>
    <w:rsid w:val="0070319A"/>
    <w:rsid w:val="00703209"/>
    <w:rsid w:val="0070330A"/>
    <w:rsid w:val="00703531"/>
    <w:rsid w:val="0070377F"/>
    <w:rsid w:val="00703934"/>
    <w:rsid w:val="007039B1"/>
    <w:rsid w:val="00703B06"/>
    <w:rsid w:val="00703BCB"/>
    <w:rsid w:val="00703C0E"/>
    <w:rsid w:val="00703C85"/>
    <w:rsid w:val="00703CC5"/>
    <w:rsid w:val="00703D77"/>
    <w:rsid w:val="00703E57"/>
    <w:rsid w:val="00703F5B"/>
    <w:rsid w:val="00703FC7"/>
    <w:rsid w:val="0070400C"/>
    <w:rsid w:val="00704113"/>
    <w:rsid w:val="00704284"/>
    <w:rsid w:val="007042BB"/>
    <w:rsid w:val="00704327"/>
    <w:rsid w:val="00704635"/>
    <w:rsid w:val="00704651"/>
    <w:rsid w:val="00704664"/>
    <w:rsid w:val="00704707"/>
    <w:rsid w:val="00704783"/>
    <w:rsid w:val="00704804"/>
    <w:rsid w:val="0070480E"/>
    <w:rsid w:val="0070481D"/>
    <w:rsid w:val="0070482B"/>
    <w:rsid w:val="00704A61"/>
    <w:rsid w:val="00704BCD"/>
    <w:rsid w:val="00704CB3"/>
    <w:rsid w:val="00704D86"/>
    <w:rsid w:val="00704F79"/>
    <w:rsid w:val="00704FF6"/>
    <w:rsid w:val="007050A3"/>
    <w:rsid w:val="007050BB"/>
    <w:rsid w:val="00705157"/>
    <w:rsid w:val="0070518C"/>
    <w:rsid w:val="007051D2"/>
    <w:rsid w:val="00705413"/>
    <w:rsid w:val="007054A3"/>
    <w:rsid w:val="00705542"/>
    <w:rsid w:val="0070567D"/>
    <w:rsid w:val="0070569E"/>
    <w:rsid w:val="007056D7"/>
    <w:rsid w:val="0070573F"/>
    <w:rsid w:val="00705854"/>
    <w:rsid w:val="0070592A"/>
    <w:rsid w:val="00705943"/>
    <w:rsid w:val="00705C89"/>
    <w:rsid w:val="00705C94"/>
    <w:rsid w:val="00705D45"/>
    <w:rsid w:val="00705D49"/>
    <w:rsid w:val="00705E33"/>
    <w:rsid w:val="00705F77"/>
    <w:rsid w:val="00705FC3"/>
    <w:rsid w:val="007060CF"/>
    <w:rsid w:val="0070617E"/>
    <w:rsid w:val="0070619C"/>
    <w:rsid w:val="0070622F"/>
    <w:rsid w:val="00706250"/>
    <w:rsid w:val="007062A2"/>
    <w:rsid w:val="0070644D"/>
    <w:rsid w:val="007064C0"/>
    <w:rsid w:val="007065BC"/>
    <w:rsid w:val="0070669E"/>
    <w:rsid w:val="007066DE"/>
    <w:rsid w:val="0070677B"/>
    <w:rsid w:val="00706796"/>
    <w:rsid w:val="00706854"/>
    <w:rsid w:val="00706B3A"/>
    <w:rsid w:val="00706B7B"/>
    <w:rsid w:val="00706C04"/>
    <w:rsid w:val="00706C3F"/>
    <w:rsid w:val="00706CC1"/>
    <w:rsid w:val="00706CC9"/>
    <w:rsid w:val="00706DC9"/>
    <w:rsid w:val="00706DD4"/>
    <w:rsid w:val="00706DFE"/>
    <w:rsid w:val="00707022"/>
    <w:rsid w:val="00707048"/>
    <w:rsid w:val="00707295"/>
    <w:rsid w:val="0070742A"/>
    <w:rsid w:val="00707492"/>
    <w:rsid w:val="007074D3"/>
    <w:rsid w:val="00707708"/>
    <w:rsid w:val="007077E5"/>
    <w:rsid w:val="00707958"/>
    <w:rsid w:val="00707993"/>
    <w:rsid w:val="00707A63"/>
    <w:rsid w:val="00707ADA"/>
    <w:rsid w:val="00707B63"/>
    <w:rsid w:val="00707C1A"/>
    <w:rsid w:val="00707C64"/>
    <w:rsid w:val="00707D45"/>
    <w:rsid w:val="00707D7D"/>
    <w:rsid w:val="00707DBE"/>
    <w:rsid w:val="00707E40"/>
    <w:rsid w:val="00707E53"/>
    <w:rsid w:val="00707ED7"/>
    <w:rsid w:val="00707EFF"/>
    <w:rsid w:val="00707F5D"/>
    <w:rsid w:val="00707F91"/>
    <w:rsid w:val="00710035"/>
    <w:rsid w:val="0071005F"/>
    <w:rsid w:val="0071007E"/>
    <w:rsid w:val="00710125"/>
    <w:rsid w:val="00710158"/>
    <w:rsid w:val="00710168"/>
    <w:rsid w:val="007101B8"/>
    <w:rsid w:val="007102DC"/>
    <w:rsid w:val="0071031E"/>
    <w:rsid w:val="0071038F"/>
    <w:rsid w:val="007104B0"/>
    <w:rsid w:val="007104DE"/>
    <w:rsid w:val="007105BA"/>
    <w:rsid w:val="0071062D"/>
    <w:rsid w:val="007106C7"/>
    <w:rsid w:val="007106F0"/>
    <w:rsid w:val="007107B6"/>
    <w:rsid w:val="00710821"/>
    <w:rsid w:val="007108C0"/>
    <w:rsid w:val="0071090D"/>
    <w:rsid w:val="00710913"/>
    <w:rsid w:val="00710914"/>
    <w:rsid w:val="00710A4F"/>
    <w:rsid w:val="00710C58"/>
    <w:rsid w:val="00710D0A"/>
    <w:rsid w:val="00710DB2"/>
    <w:rsid w:val="00710DBF"/>
    <w:rsid w:val="00710E9B"/>
    <w:rsid w:val="00710EBA"/>
    <w:rsid w:val="00711053"/>
    <w:rsid w:val="0071120A"/>
    <w:rsid w:val="00711616"/>
    <w:rsid w:val="00711661"/>
    <w:rsid w:val="007116B8"/>
    <w:rsid w:val="007117D3"/>
    <w:rsid w:val="0071184A"/>
    <w:rsid w:val="00711993"/>
    <w:rsid w:val="00711A8F"/>
    <w:rsid w:val="00711AAC"/>
    <w:rsid w:val="00711BDF"/>
    <w:rsid w:val="00711CA3"/>
    <w:rsid w:val="00711CFC"/>
    <w:rsid w:val="00711D70"/>
    <w:rsid w:val="00711E22"/>
    <w:rsid w:val="00711E24"/>
    <w:rsid w:val="00711E45"/>
    <w:rsid w:val="00711E85"/>
    <w:rsid w:val="00711F4B"/>
    <w:rsid w:val="00711FFB"/>
    <w:rsid w:val="007120DA"/>
    <w:rsid w:val="007120EC"/>
    <w:rsid w:val="00712493"/>
    <w:rsid w:val="00712497"/>
    <w:rsid w:val="0071249F"/>
    <w:rsid w:val="00712609"/>
    <w:rsid w:val="0071288C"/>
    <w:rsid w:val="007128BA"/>
    <w:rsid w:val="007128DC"/>
    <w:rsid w:val="00712975"/>
    <w:rsid w:val="00712A0D"/>
    <w:rsid w:val="00712BFB"/>
    <w:rsid w:val="00712C0D"/>
    <w:rsid w:val="00712C45"/>
    <w:rsid w:val="00712CD3"/>
    <w:rsid w:val="00712D5E"/>
    <w:rsid w:val="00712D6E"/>
    <w:rsid w:val="00712D7C"/>
    <w:rsid w:val="00712E71"/>
    <w:rsid w:val="00712EF2"/>
    <w:rsid w:val="00712FF8"/>
    <w:rsid w:val="0071312F"/>
    <w:rsid w:val="00713181"/>
    <w:rsid w:val="007131E0"/>
    <w:rsid w:val="00713278"/>
    <w:rsid w:val="0071329A"/>
    <w:rsid w:val="0071337E"/>
    <w:rsid w:val="007133B2"/>
    <w:rsid w:val="00713438"/>
    <w:rsid w:val="0071343B"/>
    <w:rsid w:val="0071354D"/>
    <w:rsid w:val="00713555"/>
    <w:rsid w:val="007135A2"/>
    <w:rsid w:val="00713639"/>
    <w:rsid w:val="007136A1"/>
    <w:rsid w:val="00713734"/>
    <w:rsid w:val="0071378C"/>
    <w:rsid w:val="00713ABA"/>
    <w:rsid w:val="00713B41"/>
    <w:rsid w:val="00713B7D"/>
    <w:rsid w:val="00713BA1"/>
    <w:rsid w:val="00713D0A"/>
    <w:rsid w:val="00713E08"/>
    <w:rsid w:val="00713EAA"/>
    <w:rsid w:val="00713ECE"/>
    <w:rsid w:val="00713FB0"/>
    <w:rsid w:val="00713FF0"/>
    <w:rsid w:val="00714076"/>
    <w:rsid w:val="0071407F"/>
    <w:rsid w:val="00714092"/>
    <w:rsid w:val="00714209"/>
    <w:rsid w:val="00714258"/>
    <w:rsid w:val="00714443"/>
    <w:rsid w:val="00714535"/>
    <w:rsid w:val="0071453E"/>
    <w:rsid w:val="007145B0"/>
    <w:rsid w:val="007145CA"/>
    <w:rsid w:val="0071464F"/>
    <w:rsid w:val="00714762"/>
    <w:rsid w:val="00714765"/>
    <w:rsid w:val="007148CC"/>
    <w:rsid w:val="007149EE"/>
    <w:rsid w:val="00714A50"/>
    <w:rsid w:val="00714A89"/>
    <w:rsid w:val="00714AAE"/>
    <w:rsid w:val="00714ADA"/>
    <w:rsid w:val="00714B51"/>
    <w:rsid w:val="00714C16"/>
    <w:rsid w:val="00714C28"/>
    <w:rsid w:val="00714DAA"/>
    <w:rsid w:val="00714E05"/>
    <w:rsid w:val="00714F20"/>
    <w:rsid w:val="00714F28"/>
    <w:rsid w:val="00714F50"/>
    <w:rsid w:val="00714F68"/>
    <w:rsid w:val="00714FDE"/>
    <w:rsid w:val="00715087"/>
    <w:rsid w:val="00715099"/>
    <w:rsid w:val="007151D6"/>
    <w:rsid w:val="00715250"/>
    <w:rsid w:val="00715280"/>
    <w:rsid w:val="0071541A"/>
    <w:rsid w:val="007154B8"/>
    <w:rsid w:val="0071555F"/>
    <w:rsid w:val="00715695"/>
    <w:rsid w:val="0071575A"/>
    <w:rsid w:val="00715794"/>
    <w:rsid w:val="0071579E"/>
    <w:rsid w:val="007157BF"/>
    <w:rsid w:val="0071583C"/>
    <w:rsid w:val="00715975"/>
    <w:rsid w:val="0071598F"/>
    <w:rsid w:val="0071599C"/>
    <w:rsid w:val="0071599D"/>
    <w:rsid w:val="007159D9"/>
    <w:rsid w:val="00715BB1"/>
    <w:rsid w:val="00715BE9"/>
    <w:rsid w:val="00715C2D"/>
    <w:rsid w:val="00715C2F"/>
    <w:rsid w:val="00715C98"/>
    <w:rsid w:val="00715D75"/>
    <w:rsid w:val="00715DAB"/>
    <w:rsid w:val="00715ED1"/>
    <w:rsid w:val="00715F08"/>
    <w:rsid w:val="00715F56"/>
    <w:rsid w:val="00715F78"/>
    <w:rsid w:val="007161C6"/>
    <w:rsid w:val="0071629E"/>
    <w:rsid w:val="00716375"/>
    <w:rsid w:val="00716485"/>
    <w:rsid w:val="0071657F"/>
    <w:rsid w:val="0071659D"/>
    <w:rsid w:val="007165D8"/>
    <w:rsid w:val="00716728"/>
    <w:rsid w:val="0071679E"/>
    <w:rsid w:val="00716873"/>
    <w:rsid w:val="0071687B"/>
    <w:rsid w:val="007168C4"/>
    <w:rsid w:val="00716992"/>
    <w:rsid w:val="007169A6"/>
    <w:rsid w:val="00716A1B"/>
    <w:rsid w:val="00716AA5"/>
    <w:rsid w:val="00716ADA"/>
    <w:rsid w:val="00716C4D"/>
    <w:rsid w:val="00716DC1"/>
    <w:rsid w:val="00716DF0"/>
    <w:rsid w:val="00716FB1"/>
    <w:rsid w:val="00716FE2"/>
    <w:rsid w:val="0071710F"/>
    <w:rsid w:val="0071717E"/>
    <w:rsid w:val="007172BD"/>
    <w:rsid w:val="00717328"/>
    <w:rsid w:val="00717379"/>
    <w:rsid w:val="00717396"/>
    <w:rsid w:val="0071744A"/>
    <w:rsid w:val="00717454"/>
    <w:rsid w:val="0071747B"/>
    <w:rsid w:val="0071747E"/>
    <w:rsid w:val="007174C4"/>
    <w:rsid w:val="00717527"/>
    <w:rsid w:val="0071755F"/>
    <w:rsid w:val="0071762C"/>
    <w:rsid w:val="00717649"/>
    <w:rsid w:val="00717703"/>
    <w:rsid w:val="00717726"/>
    <w:rsid w:val="007177F5"/>
    <w:rsid w:val="00717869"/>
    <w:rsid w:val="00717894"/>
    <w:rsid w:val="00717991"/>
    <w:rsid w:val="007179C9"/>
    <w:rsid w:val="007179E0"/>
    <w:rsid w:val="00717CC4"/>
    <w:rsid w:val="00717D2A"/>
    <w:rsid w:val="00717D4B"/>
    <w:rsid w:val="00717D69"/>
    <w:rsid w:val="00717DD1"/>
    <w:rsid w:val="00717E49"/>
    <w:rsid w:val="00717F9B"/>
    <w:rsid w:val="00720017"/>
    <w:rsid w:val="007200A6"/>
    <w:rsid w:val="007200FF"/>
    <w:rsid w:val="00720316"/>
    <w:rsid w:val="0072039D"/>
    <w:rsid w:val="007203BD"/>
    <w:rsid w:val="007207FA"/>
    <w:rsid w:val="0072082E"/>
    <w:rsid w:val="00720869"/>
    <w:rsid w:val="007208E7"/>
    <w:rsid w:val="00720932"/>
    <w:rsid w:val="00720944"/>
    <w:rsid w:val="00720A6D"/>
    <w:rsid w:val="00720AE9"/>
    <w:rsid w:val="00720B0C"/>
    <w:rsid w:val="00720CA5"/>
    <w:rsid w:val="00720CB2"/>
    <w:rsid w:val="00720DD2"/>
    <w:rsid w:val="00720E88"/>
    <w:rsid w:val="00720EC7"/>
    <w:rsid w:val="00720ECF"/>
    <w:rsid w:val="00720FF1"/>
    <w:rsid w:val="00721248"/>
    <w:rsid w:val="00721250"/>
    <w:rsid w:val="00721274"/>
    <w:rsid w:val="00721496"/>
    <w:rsid w:val="007214D5"/>
    <w:rsid w:val="0072161F"/>
    <w:rsid w:val="0072181F"/>
    <w:rsid w:val="0072193D"/>
    <w:rsid w:val="007219E9"/>
    <w:rsid w:val="007219F9"/>
    <w:rsid w:val="00721A2C"/>
    <w:rsid w:val="00721A81"/>
    <w:rsid w:val="00721AE2"/>
    <w:rsid w:val="00721B5B"/>
    <w:rsid w:val="00721BAE"/>
    <w:rsid w:val="00721BE9"/>
    <w:rsid w:val="00721C33"/>
    <w:rsid w:val="00721C49"/>
    <w:rsid w:val="00721C94"/>
    <w:rsid w:val="00721C9C"/>
    <w:rsid w:val="00721CD0"/>
    <w:rsid w:val="00721EC5"/>
    <w:rsid w:val="00721F71"/>
    <w:rsid w:val="0072216A"/>
    <w:rsid w:val="0072225F"/>
    <w:rsid w:val="00722364"/>
    <w:rsid w:val="00722394"/>
    <w:rsid w:val="007223CF"/>
    <w:rsid w:val="00722441"/>
    <w:rsid w:val="00722633"/>
    <w:rsid w:val="007226D3"/>
    <w:rsid w:val="007226ED"/>
    <w:rsid w:val="00722925"/>
    <w:rsid w:val="00722AB7"/>
    <w:rsid w:val="00722AD9"/>
    <w:rsid w:val="00722AF9"/>
    <w:rsid w:val="00722B71"/>
    <w:rsid w:val="00722C04"/>
    <w:rsid w:val="00722DA6"/>
    <w:rsid w:val="00722E07"/>
    <w:rsid w:val="00722E4F"/>
    <w:rsid w:val="00722E7A"/>
    <w:rsid w:val="00722EC2"/>
    <w:rsid w:val="00722F5A"/>
    <w:rsid w:val="00723080"/>
    <w:rsid w:val="007230AD"/>
    <w:rsid w:val="00723148"/>
    <w:rsid w:val="00723239"/>
    <w:rsid w:val="0072333D"/>
    <w:rsid w:val="0072353B"/>
    <w:rsid w:val="007235C2"/>
    <w:rsid w:val="00723797"/>
    <w:rsid w:val="007237B2"/>
    <w:rsid w:val="007237D9"/>
    <w:rsid w:val="007237E4"/>
    <w:rsid w:val="007239DE"/>
    <w:rsid w:val="00723A0D"/>
    <w:rsid w:val="00723B2C"/>
    <w:rsid w:val="00723B90"/>
    <w:rsid w:val="00723B9F"/>
    <w:rsid w:val="00723CB8"/>
    <w:rsid w:val="00723CF1"/>
    <w:rsid w:val="00723E1A"/>
    <w:rsid w:val="00723EE6"/>
    <w:rsid w:val="00723F88"/>
    <w:rsid w:val="0072402D"/>
    <w:rsid w:val="007241F3"/>
    <w:rsid w:val="00724212"/>
    <w:rsid w:val="00724225"/>
    <w:rsid w:val="00724338"/>
    <w:rsid w:val="007243D8"/>
    <w:rsid w:val="007243E4"/>
    <w:rsid w:val="0072460C"/>
    <w:rsid w:val="00724626"/>
    <w:rsid w:val="0072469A"/>
    <w:rsid w:val="0072474B"/>
    <w:rsid w:val="00724902"/>
    <w:rsid w:val="00724915"/>
    <w:rsid w:val="00724925"/>
    <w:rsid w:val="00724A49"/>
    <w:rsid w:val="00724BDC"/>
    <w:rsid w:val="00724C04"/>
    <w:rsid w:val="00724C6F"/>
    <w:rsid w:val="00724CA8"/>
    <w:rsid w:val="00724D0B"/>
    <w:rsid w:val="00724D39"/>
    <w:rsid w:val="00724D87"/>
    <w:rsid w:val="00724D8B"/>
    <w:rsid w:val="00724E04"/>
    <w:rsid w:val="00724F8C"/>
    <w:rsid w:val="00724FAE"/>
    <w:rsid w:val="0072500B"/>
    <w:rsid w:val="0072514D"/>
    <w:rsid w:val="0072521D"/>
    <w:rsid w:val="00725341"/>
    <w:rsid w:val="007253BC"/>
    <w:rsid w:val="007253C6"/>
    <w:rsid w:val="00725457"/>
    <w:rsid w:val="00725484"/>
    <w:rsid w:val="007254A7"/>
    <w:rsid w:val="00725522"/>
    <w:rsid w:val="00725524"/>
    <w:rsid w:val="00725585"/>
    <w:rsid w:val="0072573F"/>
    <w:rsid w:val="00725749"/>
    <w:rsid w:val="00725774"/>
    <w:rsid w:val="007257D7"/>
    <w:rsid w:val="00725917"/>
    <w:rsid w:val="00725934"/>
    <w:rsid w:val="0072599B"/>
    <w:rsid w:val="00725A15"/>
    <w:rsid w:val="00725AE8"/>
    <w:rsid w:val="00725BF8"/>
    <w:rsid w:val="00725C7E"/>
    <w:rsid w:val="00725C84"/>
    <w:rsid w:val="00725CA1"/>
    <w:rsid w:val="00725E64"/>
    <w:rsid w:val="00725EE4"/>
    <w:rsid w:val="007260DE"/>
    <w:rsid w:val="007261F2"/>
    <w:rsid w:val="00726271"/>
    <w:rsid w:val="0072628C"/>
    <w:rsid w:val="007262B1"/>
    <w:rsid w:val="00726362"/>
    <w:rsid w:val="0072639C"/>
    <w:rsid w:val="00726559"/>
    <w:rsid w:val="007265D7"/>
    <w:rsid w:val="00726672"/>
    <w:rsid w:val="007266AE"/>
    <w:rsid w:val="007266F3"/>
    <w:rsid w:val="0072677E"/>
    <w:rsid w:val="007268B2"/>
    <w:rsid w:val="007269ED"/>
    <w:rsid w:val="00726AAC"/>
    <w:rsid w:val="00726AD7"/>
    <w:rsid w:val="00726B36"/>
    <w:rsid w:val="00726B7C"/>
    <w:rsid w:val="00726BAE"/>
    <w:rsid w:val="00726C26"/>
    <w:rsid w:val="00726CD0"/>
    <w:rsid w:val="00726CFD"/>
    <w:rsid w:val="00726D8F"/>
    <w:rsid w:val="00726DFE"/>
    <w:rsid w:val="00726E17"/>
    <w:rsid w:val="00726F1B"/>
    <w:rsid w:val="00726FDD"/>
    <w:rsid w:val="0072708E"/>
    <w:rsid w:val="00727146"/>
    <w:rsid w:val="00727291"/>
    <w:rsid w:val="0072736F"/>
    <w:rsid w:val="00727453"/>
    <w:rsid w:val="007274A1"/>
    <w:rsid w:val="007275C6"/>
    <w:rsid w:val="0072764F"/>
    <w:rsid w:val="00727695"/>
    <w:rsid w:val="00727743"/>
    <w:rsid w:val="00727845"/>
    <w:rsid w:val="007278E1"/>
    <w:rsid w:val="00727B3D"/>
    <w:rsid w:val="00727B5E"/>
    <w:rsid w:val="00727BFA"/>
    <w:rsid w:val="00727CBA"/>
    <w:rsid w:val="00727CD7"/>
    <w:rsid w:val="00727D11"/>
    <w:rsid w:val="00727E71"/>
    <w:rsid w:val="00727E9E"/>
    <w:rsid w:val="00727EA4"/>
    <w:rsid w:val="00727F71"/>
    <w:rsid w:val="00727F98"/>
    <w:rsid w:val="0073006F"/>
    <w:rsid w:val="00730128"/>
    <w:rsid w:val="0073016A"/>
    <w:rsid w:val="0073023A"/>
    <w:rsid w:val="007302B4"/>
    <w:rsid w:val="007302F1"/>
    <w:rsid w:val="00730501"/>
    <w:rsid w:val="007305AF"/>
    <w:rsid w:val="00730841"/>
    <w:rsid w:val="007309A5"/>
    <w:rsid w:val="00730A0C"/>
    <w:rsid w:val="00730A26"/>
    <w:rsid w:val="00730B5A"/>
    <w:rsid w:val="00730C3E"/>
    <w:rsid w:val="00730C73"/>
    <w:rsid w:val="00730EE9"/>
    <w:rsid w:val="00730FCD"/>
    <w:rsid w:val="00731001"/>
    <w:rsid w:val="0073106D"/>
    <w:rsid w:val="007310F2"/>
    <w:rsid w:val="00731276"/>
    <w:rsid w:val="0073128B"/>
    <w:rsid w:val="007312CB"/>
    <w:rsid w:val="00731565"/>
    <w:rsid w:val="0073166F"/>
    <w:rsid w:val="007316C5"/>
    <w:rsid w:val="0073179E"/>
    <w:rsid w:val="007317AB"/>
    <w:rsid w:val="007317C4"/>
    <w:rsid w:val="007317E7"/>
    <w:rsid w:val="007317EF"/>
    <w:rsid w:val="0073196C"/>
    <w:rsid w:val="00731DB1"/>
    <w:rsid w:val="00731DDC"/>
    <w:rsid w:val="00731E18"/>
    <w:rsid w:val="00731E74"/>
    <w:rsid w:val="00731ECB"/>
    <w:rsid w:val="00732100"/>
    <w:rsid w:val="00732273"/>
    <w:rsid w:val="007322BE"/>
    <w:rsid w:val="007322CF"/>
    <w:rsid w:val="007322DB"/>
    <w:rsid w:val="0073247A"/>
    <w:rsid w:val="007324A3"/>
    <w:rsid w:val="00732646"/>
    <w:rsid w:val="00732792"/>
    <w:rsid w:val="00732879"/>
    <w:rsid w:val="00732A4A"/>
    <w:rsid w:val="00732AE0"/>
    <w:rsid w:val="00732C3A"/>
    <w:rsid w:val="00732C3D"/>
    <w:rsid w:val="00732CAE"/>
    <w:rsid w:val="00732D67"/>
    <w:rsid w:val="00732D74"/>
    <w:rsid w:val="00732E1A"/>
    <w:rsid w:val="00732E59"/>
    <w:rsid w:val="00732EB2"/>
    <w:rsid w:val="00732EE9"/>
    <w:rsid w:val="00733005"/>
    <w:rsid w:val="00733035"/>
    <w:rsid w:val="0073317F"/>
    <w:rsid w:val="007331C7"/>
    <w:rsid w:val="007331DB"/>
    <w:rsid w:val="007332C6"/>
    <w:rsid w:val="007333A6"/>
    <w:rsid w:val="0073344B"/>
    <w:rsid w:val="0073345C"/>
    <w:rsid w:val="00733544"/>
    <w:rsid w:val="00733620"/>
    <w:rsid w:val="00733648"/>
    <w:rsid w:val="007336A1"/>
    <w:rsid w:val="007336CF"/>
    <w:rsid w:val="00733705"/>
    <w:rsid w:val="00733741"/>
    <w:rsid w:val="0073382E"/>
    <w:rsid w:val="007338DB"/>
    <w:rsid w:val="0073397E"/>
    <w:rsid w:val="00733984"/>
    <w:rsid w:val="007339A7"/>
    <w:rsid w:val="00733BDA"/>
    <w:rsid w:val="00733CBD"/>
    <w:rsid w:val="00733D43"/>
    <w:rsid w:val="00733DDD"/>
    <w:rsid w:val="00733E2E"/>
    <w:rsid w:val="00733E7F"/>
    <w:rsid w:val="007342A0"/>
    <w:rsid w:val="007342AC"/>
    <w:rsid w:val="0073433B"/>
    <w:rsid w:val="007343CB"/>
    <w:rsid w:val="00734460"/>
    <w:rsid w:val="007344A2"/>
    <w:rsid w:val="00734575"/>
    <w:rsid w:val="007346C4"/>
    <w:rsid w:val="00734753"/>
    <w:rsid w:val="007347B3"/>
    <w:rsid w:val="007347F8"/>
    <w:rsid w:val="0073481B"/>
    <w:rsid w:val="00734946"/>
    <w:rsid w:val="00734A46"/>
    <w:rsid w:val="00734C49"/>
    <w:rsid w:val="00734C4F"/>
    <w:rsid w:val="00734CE4"/>
    <w:rsid w:val="00734D7F"/>
    <w:rsid w:val="00734F14"/>
    <w:rsid w:val="00734FC7"/>
    <w:rsid w:val="00735077"/>
    <w:rsid w:val="007350B9"/>
    <w:rsid w:val="00735132"/>
    <w:rsid w:val="00735153"/>
    <w:rsid w:val="00735182"/>
    <w:rsid w:val="007352B1"/>
    <w:rsid w:val="007352D3"/>
    <w:rsid w:val="00735391"/>
    <w:rsid w:val="00735398"/>
    <w:rsid w:val="0073544D"/>
    <w:rsid w:val="007354A6"/>
    <w:rsid w:val="00735858"/>
    <w:rsid w:val="00735ACC"/>
    <w:rsid w:val="00735AF7"/>
    <w:rsid w:val="00735B31"/>
    <w:rsid w:val="00735BE5"/>
    <w:rsid w:val="00735F22"/>
    <w:rsid w:val="00735F4A"/>
    <w:rsid w:val="00735FC3"/>
    <w:rsid w:val="00735FD3"/>
    <w:rsid w:val="00736005"/>
    <w:rsid w:val="00736072"/>
    <w:rsid w:val="00736098"/>
    <w:rsid w:val="007360BD"/>
    <w:rsid w:val="007360F6"/>
    <w:rsid w:val="0073619C"/>
    <w:rsid w:val="007361EB"/>
    <w:rsid w:val="00736288"/>
    <w:rsid w:val="0073628C"/>
    <w:rsid w:val="007362D5"/>
    <w:rsid w:val="0073631E"/>
    <w:rsid w:val="007365B1"/>
    <w:rsid w:val="00736626"/>
    <w:rsid w:val="00736788"/>
    <w:rsid w:val="007368C2"/>
    <w:rsid w:val="00736A00"/>
    <w:rsid w:val="00736A31"/>
    <w:rsid w:val="00736A45"/>
    <w:rsid w:val="00736D6C"/>
    <w:rsid w:val="00736E30"/>
    <w:rsid w:val="00736F1B"/>
    <w:rsid w:val="00737085"/>
    <w:rsid w:val="007370DC"/>
    <w:rsid w:val="00737155"/>
    <w:rsid w:val="0073721B"/>
    <w:rsid w:val="00737528"/>
    <w:rsid w:val="00737572"/>
    <w:rsid w:val="00737588"/>
    <w:rsid w:val="00737696"/>
    <w:rsid w:val="007376D5"/>
    <w:rsid w:val="007376EC"/>
    <w:rsid w:val="007376F4"/>
    <w:rsid w:val="007376FB"/>
    <w:rsid w:val="0073780C"/>
    <w:rsid w:val="007378C1"/>
    <w:rsid w:val="0073799A"/>
    <w:rsid w:val="00737B05"/>
    <w:rsid w:val="00737B86"/>
    <w:rsid w:val="00737C2D"/>
    <w:rsid w:val="00737C68"/>
    <w:rsid w:val="00737CB3"/>
    <w:rsid w:val="00737D0C"/>
    <w:rsid w:val="00737D2E"/>
    <w:rsid w:val="00737E86"/>
    <w:rsid w:val="00737F06"/>
    <w:rsid w:val="00737F3F"/>
    <w:rsid w:val="00737F6D"/>
    <w:rsid w:val="00740012"/>
    <w:rsid w:val="00740228"/>
    <w:rsid w:val="00740285"/>
    <w:rsid w:val="00740305"/>
    <w:rsid w:val="00740329"/>
    <w:rsid w:val="007403CE"/>
    <w:rsid w:val="00740555"/>
    <w:rsid w:val="0074071A"/>
    <w:rsid w:val="00740771"/>
    <w:rsid w:val="00740789"/>
    <w:rsid w:val="007408CF"/>
    <w:rsid w:val="00740A4C"/>
    <w:rsid w:val="00740A56"/>
    <w:rsid w:val="00740CDC"/>
    <w:rsid w:val="00740D0B"/>
    <w:rsid w:val="00740D77"/>
    <w:rsid w:val="00740E09"/>
    <w:rsid w:val="00740EB5"/>
    <w:rsid w:val="00740F4F"/>
    <w:rsid w:val="00740FAE"/>
    <w:rsid w:val="007410A0"/>
    <w:rsid w:val="00741121"/>
    <w:rsid w:val="00741156"/>
    <w:rsid w:val="007411DD"/>
    <w:rsid w:val="007411F2"/>
    <w:rsid w:val="00741219"/>
    <w:rsid w:val="00741302"/>
    <w:rsid w:val="007413B8"/>
    <w:rsid w:val="007413F3"/>
    <w:rsid w:val="00741475"/>
    <w:rsid w:val="0074152D"/>
    <w:rsid w:val="00741582"/>
    <w:rsid w:val="007416D9"/>
    <w:rsid w:val="00741884"/>
    <w:rsid w:val="00741890"/>
    <w:rsid w:val="00741930"/>
    <w:rsid w:val="00741CD4"/>
    <w:rsid w:val="00741D6D"/>
    <w:rsid w:val="00741E11"/>
    <w:rsid w:val="00741E38"/>
    <w:rsid w:val="00741EF3"/>
    <w:rsid w:val="00742015"/>
    <w:rsid w:val="0074201E"/>
    <w:rsid w:val="00742151"/>
    <w:rsid w:val="007421DD"/>
    <w:rsid w:val="007421E2"/>
    <w:rsid w:val="00742260"/>
    <w:rsid w:val="00742357"/>
    <w:rsid w:val="007425F4"/>
    <w:rsid w:val="00742620"/>
    <w:rsid w:val="00742757"/>
    <w:rsid w:val="007427FB"/>
    <w:rsid w:val="0074280B"/>
    <w:rsid w:val="00742AC3"/>
    <w:rsid w:val="00742B82"/>
    <w:rsid w:val="00742BF1"/>
    <w:rsid w:val="00742CFB"/>
    <w:rsid w:val="00742D1E"/>
    <w:rsid w:val="00742E19"/>
    <w:rsid w:val="00742FEF"/>
    <w:rsid w:val="007431A5"/>
    <w:rsid w:val="007431E2"/>
    <w:rsid w:val="00743411"/>
    <w:rsid w:val="007435BC"/>
    <w:rsid w:val="00743664"/>
    <w:rsid w:val="0074372B"/>
    <w:rsid w:val="0074376D"/>
    <w:rsid w:val="00743A14"/>
    <w:rsid w:val="00743AD5"/>
    <w:rsid w:val="00743ADF"/>
    <w:rsid w:val="00743AE2"/>
    <w:rsid w:val="00743C01"/>
    <w:rsid w:val="00743C47"/>
    <w:rsid w:val="00743C8F"/>
    <w:rsid w:val="00743E44"/>
    <w:rsid w:val="00743FF8"/>
    <w:rsid w:val="00744016"/>
    <w:rsid w:val="00744017"/>
    <w:rsid w:val="007440B5"/>
    <w:rsid w:val="00744328"/>
    <w:rsid w:val="00744337"/>
    <w:rsid w:val="0074434E"/>
    <w:rsid w:val="007443BA"/>
    <w:rsid w:val="0074444B"/>
    <w:rsid w:val="00744661"/>
    <w:rsid w:val="00744686"/>
    <w:rsid w:val="0074472A"/>
    <w:rsid w:val="0074484D"/>
    <w:rsid w:val="0074485E"/>
    <w:rsid w:val="007448F4"/>
    <w:rsid w:val="00744916"/>
    <w:rsid w:val="007449F3"/>
    <w:rsid w:val="00744A7C"/>
    <w:rsid w:val="00744A80"/>
    <w:rsid w:val="00744BA1"/>
    <w:rsid w:val="00744C00"/>
    <w:rsid w:val="00744DF5"/>
    <w:rsid w:val="00744ED3"/>
    <w:rsid w:val="00745028"/>
    <w:rsid w:val="00745164"/>
    <w:rsid w:val="007451BC"/>
    <w:rsid w:val="007451E6"/>
    <w:rsid w:val="00745264"/>
    <w:rsid w:val="00745388"/>
    <w:rsid w:val="0074538D"/>
    <w:rsid w:val="007453B2"/>
    <w:rsid w:val="00745447"/>
    <w:rsid w:val="0074548C"/>
    <w:rsid w:val="00745591"/>
    <w:rsid w:val="007456B5"/>
    <w:rsid w:val="0074573F"/>
    <w:rsid w:val="0074575F"/>
    <w:rsid w:val="0074585F"/>
    <w:rsid w:val="0074589A"/>
    <w:rsid w:val="007459EC"/>
    <w:rsid w:val="00745B6D"/>
    <w:rsid w:val="00745CA2"/>
    <w:rsid w:val="00745DDD"/>
    <w:rsid w:val="00745E45"/>
    <w:rsid w:val="0074603B"/>
    <w:rsid w:val="007460CA"/>
    <w:rsid w:val="007460E0"/>
    <w:rsid w:val="007462EB"/>
    <w:rsid w:val="00746446"/>
    <w:rsid w:val="007464E7"/>
    <w:rsid w:val="007467A8"/>
    <w:rsid w:val="007467AC"/>
    <w:rsid w:val="007467B6"/>
    <w:rsid w:val="00746882"/>
    <w:rsid w:val="007468EC"/>
    <w:rsid w:val="0074697C"/>
    <w:rsid w:val="007469F8"/>
    <w:rsid w:val="00746A6D"/>
    <w:rsid w:val="00746B47"/>
    <w:rsid w:val="00746B5E"/>
    <w:rsid w:val="00746C31"/>
    <w:rsid w:val="00746CEB"/>
    <w:rsid w:val="00746D4B"/>
    <w:rsid w:val="0074702E"/>
    <w:rsid w:val="007472B5"/>
    <w:rsid w:val="00747364"/>
    <w:rsid w:val="00747377"/>
    <w:rsid w:val="00747382"/>
    <w:rsid w:val="007473B0"/>
    <w:rsid w:val="0074771B"/>
    <w:rsid w:val="00747723"/>
    <w:rsid w:val="00747729"/>
    <w:rsid w:val="007477E5"/>
    <w:rsid w:val="00747970"/>
    <w:rsid w:val="0074797C"/>
    <w:rsid w:val="007479BC"/>
    <w:rsid w:val="007479C2"/>
    <w:rsid w:val="00747B22"/>
    <w:rsid w:val="00747C77"/>
    <w:rsid w:val="00747CBD"/>
    <w:rsid w:val="00747D49"/>
    <w:rsid w:val="00747DB5"/>
    <w:rsid w:val="00747DB9"/>
    <w:rsid w:val="00747E99"/>
    <w:rsid w:val="00747ECE"/>
    <w:rsid w:val="00747F14"/>
    <w:rsid w:val="00747F2C"/>
    <w:rsid w:val="00747F4B"/>
    <w:rsid w:val="00747F5A"/>
    <w:rsid w:val="00747F65"/>
    <w:rsid w:val="0075008F"/>
    <w:rsid w:val="007500CC"/>
    <w:rsid w:val="00750130"/>
    <w:rsid w:val="007501CA"/>
    <w:rsid w:val="0075038F"/>
    <w:rsid w:val="00750498"/>
    <w:rsid w:val="00750984"/>
    <w:rsid w:val="00750A05"/>
    <w:rsid w:val="00750A2A"/>
    <w:rsid w:val="00750A9E"/>
    <w:rsid w:val="00750AD3"/>
    <w:rsid w:val="00750B02"/>
    <w:rsid w:val="00750B26"/>
    <w:rsid w:val="00750B3E"/>
    <w:rsid w:val="00750BBD"/>
    <w:rsid w:val="00750CC1"/>
    <w:rsid w:val="00750D04"/>
    <w:rsid w:val="00750E19"/>
    <w:rsid w:val="00750F56"/>
    <w:rsid w:val="00751064"/>
    <w:rsid w:val="0075109A"/>
    <w:rsid w:val="0075110A"/>
    <w:rsid w:val="00751114"/>
    <w:rsid w:val="007511B1"/>
    <w:rsid w:val="007512A5"/>
    <w:rsid w:val="0075143B"/>
    <w:rsid w:val="00751563"/>
    <w:rsid w:val="0075157F"/>
    <w:rsid w:val="00751644"/>
    <w:rsid w:val="00751680"/>
    <w:rsid w:val="00751743"/>
    <w:rsid w:val="0075175A"/>
    <w:rsid w:val="007517FA"/>
    <w:rsid w:val="0075193C"/>
    <w:rsid w:val="007519BB"/>
    <w:rsid w:val="00751A2C"/>
    <w:rsid w:val="00751BBD"/>
    <w:rsid w:val="00751C49"/>
    <w:rsid w:val="00751C66"/>
    <w:rsid w:val="00751CF3"/>
    <w:rsid w:val="00751D9C"/>
    <w:rsid w:val="00751E9F"/>
    <w:rsid w:val="00751F5E"/>
    <w:rsid w:val="00751FC9"/>
    <w:rsid w:val="00752000"/>
    <w:rsid w:val="00752109"/>
    <w:rsid w:val="0075214F"/>
    <w:rsid w:val="007521CA"/>
    <w:rsid w:val="0075226C"/>
    <w:rsid w:val="00752338"/>
    <w:rsid w:val="0075236A"/>
    <w:rsid w:val="00752439"/>
    <w:rsid w:val="007524A3"/>
    <w:rsid w:val="00752573"/>
    <w:rsid w:val="00752584"/>
    <w:rsid w:val="00752591"/>
    <w:rsid w:val="007526E2"/>
    <w:rsid w:val="007526F4"/>
    <w:rsid w:val="0075280E"/>
    <w:rsid w:val="007528CE"/>
    <w:rsid w:val="007529C3"/>
    <w:rsid w:val="00752A15"/>
    <w:rsid w:val="00752AB0"/>
    <w:rsid w:val="00752C51"/>
    <w:rsid w:val="00752D74"/>
    <w:rsid w:val="00752E41"/>
    <w:rsid w:val="00752E7E"/>
    <w:rsid w:val="00752E85"/>
    <w:rsid w:val="00752ED2"/>
    <w:rsid w:val="00752ED8"/>
    <w:rsid w:val="00753036"/>
    <w:rsid w:val="00753263"/>
    <w:rsid w:val="007532A4"/>
    <w:rsid w:val="007532AD"/>
    <w:rsid w:val="00753323"/>
    <w:rsid w:val="007533CA"/>
    <w:rsid w:val="00753615"/>
    <w:rsid w:val="00753667"/>
    <w:rsid w:val="007536B5"/>
    <w:rsid w:val="0075371F"/>
    <w:rsid w:val="007538FB"/>
    <w:rsid w:val="0075394D"/>
    <w:rsid w:val="00753A82"/>
    <w:rsid w:val="00753AD4"/>
    <w:rsid w:val="00753B54"/>
    <w:rsid w:val="00753BBE"/>
    <w:rsid w:val="00753C0E"/>
    <w:rsid w:val="00753CA2"/>
    <w:rsid w:val="00753D1C"/>
    <w:rsid w:val="00753E55"/>
    <w:rsid w:val="00753FBD"/>
    <w:rsid w:val="0075411D"/>
    <w:rsid w:val="00754185"/>
    <w:rsid w:val="0075418D"/>
    <w:rsid w:val="00754321"/>
    <w:rsid w:val="00754447"/>
    <w:rsid w:val="007545C0"/>
    <w:rsid w:val="0075465A"/>
    <w:rsid w:val="00754815"/>
    <w:rsid w:val="0075482E"/>
    <w:rsid w:val="00754921"/>
    <w:rsid w:val="0075497B"/>
    <w:rsid w:val="00754A5F"/>
    <w:rsid w:val="00754A87"/>
    <w:rsid w:val="00754ABF"/>
    <w:rsid w:val="00754B55"/>
    <w:rsid w:val="00754B65"/>
    <w:rsid w:val="00754BE1"/>
    <w:rsid w:val="00754C43"/>
    <w:rsid w:val="00754C44"/>
    <w:rsid w:val="00754C66"/>
    <w:rsid w:val="00754C8D"/>
    <w:rsid w:val="00754EA4"/>
    <w:rsid w:val="00754EAD"/>
    <w:rsid w:val="00754EB8"/>
    <w:rsid w:val="00754F12"/>
    <w:rsid w:val="00754FA3"/>
    <w:rsid w:val="00754FD8"/>
    <w:rsid w:val="00755048"/>
    <w:rsid w:val="00755057"/>
    <w:rsid w:val="007550D1"/>
    <w:rsid w:val="007551F5"/>
    <w:rsid w:val="00755218"/>
    <w:rsid w:val="0075529B"/>
    <w:rsid w:val="00755350"/>
    <w:rsid w:val="00755514"/>
    <w:rsid w:val="00755593"/>
    <w:rsid w:val="0075559E"/>
    <w:rsid w:val="007555D3"/>
    <w:rsid w:val="0075562C"/>
    <w:rsid w:val="00755982"/>
    <w:rsid w:val="00755989"/>
    <w:rsid w:val="0075599C"/>
    <w:rsid w:val="007559BF"/>
    <w:rsid w:val="00755A4B"/>
    <w:rsid w:val="00755B96"/>
    <w:rsid w:val="00755BD5"/>
    <w:rsid w:val="00755DE1"/>
    <w:rsid w:val="00755DF9"/>
    <w:rsid w:val="00755E04"/>
    <w:rsid w:val="00755EB8"/>
    <w:rsid w:val="00755F13"/>
    <w:rsid w:val="007560E7"/>
    <w:rsid w:val="007561C2"/>
    <w:rsid w:val="00756282"/>
    <w:rsid w:val="00756452"/>
    <w:rsid w:val="00756A7C"/>
    <w:rsid w:val="00756AA6"/>
    <w:rsid w:val="00756BF0"/>
    <w:rsid w:val="00756CE2"/>
    <w:rsid w:val="00756E6E"/>
    <w:rsid w:val="00756EEF"/>
    <w:rsid w:val="00756FA3"/>
    <w:rsid w:val="0075714B"/>
    <w:rsid w:val="0075718A"/>
    <w:rsid w:val="00757197"/>
    <w:rsid w:val="007571A8"/>
    <w:rsid w:val="00757231"/>
    <w:rsid w:val="00757287"/>
    <w:rsid w:val="007572FF"/>
    <w:rsid w:val="0075743F"/>
    <w:rsid w:val="0075750A"/>
    <w:rsid w:val="0075752E"/>
    <w:rsid w:val="00757631"/>
    <w:rsid w:val="0075764A"/>
    <w:rsid w:val="0075765F"/>
    <w:rsid w:val="0075771D"/>
    <w:rsid w:val="00757756"/>
    <w:rsid w:val="00757790"/>
    <w:rsid w:val="00757844"/>
    <w:rsid w:val="0075788D"/>
    <w:rsid w:val="007579A8"/>
    <w:rsid w:val="007579F8"/>
    <w:rsid w:val="00757A1A"/>
    <w:rsid w:val="00757D2A"/>
    <w:rsid w:val="00757E03"/>
    <w:rsid w:val="00757F6E"/>
    <w:rsid w:val="00757FC6"/>
    <w:rsid w:val="00757FEC"/>
    <w:rsid w:val="00760345"/>
    <w:rsid w:val="00760351"/>
    <w:rsid w:val="007603CA"/>
    <w:rsid w:val="0076057F"/>
    <w:rsid w:val="00760585"/>
    <w:rsid w:val="0076065F"/>
    <w:rsid w:val="007606C9"/>
    <w:rsid w:val="0076078B"/>
    <w:rsid w:val="0076088B"/>
    <w:rsid w:val="007608FC"/>
    <w:rsid w:val="00760978"/>
    <w:rsid w:val="00760A28"/>
    <w:rsid w:val="00760AD1"/>
    <w:rsid w:val="00760AE0"/>
    <w:rsid w:val="00760AEC"/>
    <w:rsid w:val="00760B9F"/>
    <w:rsid w:val="00760C19"/>
    <w:rsid w:val="00760CAB"/>
    <w:rsid w:val="00760D92"/>
    <w:rsid w:val="00760FC3"/>
    <w:rsid w:val="00760FC4"/>
    <w:rsid w:val="00760FD9"/>
    <w:rsid w:val="00761026"/>
    <w:rsid w:val="007610DA"/>
    <w:rsid w:val="0076119A"/>
    <w:rsid w:val="007611F2"/>
    <w:rsid w:val="00761239"/>
    <w:rsid w:val="00761289"/>
    <w:rsid w:val="007612DC"/>
    <w:rsid w:val="00761317"/>
    <w:rsid w:val="007613EF"/>
    <w:rsid w:val="007616A3"/>
    <w:rsid w:val="007616E0"/>
    <w:rsid w:val="007616EF"/>
    <w:rsid w:val="00761809"/>
    <w:rsid w:val="0076185F"/>
    <w:rsid w:val="00761A6E"/>
    <w:rsid w:val="00761B3F"/>
    <w:rsid w:val="00761B4B"/>
    <w:rsid w:val="00761D8D"/>
    <w:rsid w:val="00761DE6"/>
    <w:rsid w:val="00761EEB"/>
    <w:rsid w:val="00761FA0"/>
    <w:rsid w:val="00762000"/>
    <w:rsid w:val="007620B4"/>
    <w:rsid w:val="007621C9"/>
    <w:rsid w:val="00762296"/>
    <w:rsid w:val="007622AF"/>
    <w:rsid w:val="007622D6"/>
    <w:rsid w:val="007622F8"/>
    <w:rsid w:val="00762391"/>
    <w:rsid w:val="0076241D"/>
    <w:rsid w:val="00762446"/>
    <w:rsid w:val="0076244C"/>
    <w:rsid w:val="007625AA"/>
    <w:rsid w:val="007625E7"/>
    <w:rsid w:val="007625EB"/>
    <w:rsid w:val="007625ED"/>
    <w:rsid w:val="0076261E"/>
    <w:rsid w:val="007626BE"/>
    <w:rsid w:val="007626E4"/>
    <w:rsid w:val="00762705"/>
    <w:rsid w:val="007629D6"/>
    <w:rsid w:val="00762B41"/>
    <w:rsid w:val="00762BCC"/>
    <w:rsid w:val="00762C7A"/>
    <w:rsid w:val="00762D73"/>
    <w:rsid w:val="00762E31"/>
    <w:rsid w:val="00762E3A"/>
    <w:rsid w:val="00762E7B"/>
    <w:rsid w:val="00762EDC"/>
    <w:rsid w:val="00762F3B"/>
    <w:rsid w:val="00763078"/>
    <w:rsid w:val="00763131"/>
    <w:rsid w:val="007631C8"/>
    <w:rsid w:val="0076338D"/>
    <w:rsid w:val="00763425"/>
    <w:rsid w:val="007634F9"/>
    <w:rsid w:val="00763600"/>
    <w:rsid w:val="007637A3"/>
    <w:rsid w:val="007637B5"/>
    <w:rsid w:val="007637E8"/>
    <w:rsid w:val="007638E9"/>
    <w:rsid w:val="007638EE"/>
    <w:rsid w:val="007639B2"/>
    <w:rsid w:val="00763A87"/>
    <w:rsid w:val="00763AD7"/>
    <w:rsid w:val="00763BED"/>
    <w:rsid w:val="00763C70"/>
    <w:rsid w:val="00763D00"/>
    <w:rsid w:val="00763D7A"/>
    <w:rsid w:val="00763DB3"/>
    <w:rsid w:val="00763E09"/>
    <w:rsid w:val="00763E14"/>
    <w:rsid w:val="00764006"/>
    <w:rsid w:val="0076400F"/>
    <w:rsid w:val="00764021"/>
    <w:rsid w:val="0076410D"/>
    <w:rsid w:val="007641BC"/>
    <w:rsid w:val="0076423A"/>
    <w:rsid w:val="007643F2"/>
    <w:rsid w:val="007644D8"/>
    <w:rsid w:val="007644FC"/>
    <w:rsid w:val="00764516"/>
    <w:rsid w:val="007645BF"/>
    <w:rsid w:val="007645DD"/>
    <w:rsid w:val="00764721"/>
    <w:rsid w:val="007647EC"/>
    <w:rsid w:val="0076482F"/>
    <w:rsid w:val="00764836"/>
    <w:rsid w:val="007648FB"/>
    <w:rsid w:val="0076494A"/>
    <w:rsid w:val="00764961"/>
    <w:rsid w:val="007649AD"/>
    <w:rsid w:val="007649B4"/>
    <w:rsid w:val="00764CC8"/>
    <w:rsid w:val="00764CD7"/>
    <w:rsid w:val="00764D16"/>
    <w:rsid w:val="00764DEE"/>
    <w:rsid w:val="00764E30"/>
    <w:rsid w:val="00764F45"/>
    <w:rsid w:val="00764F4F"/>
    <w:rsid w:val="00764F68"/>
    <w:rsid w:val="0076500A"/>
    <w:rsid w:val="0076503F"/>
    <w:rsid w:val="007650C7"/>
    <w:rsid w:val="0076518C"/>
    <w:rsid w:val="007652E4"/>
    <w:rsid w:val="007652FE"/>
    <w:rsid w:val="00765319"/>
    <w:rsid w:val="0076539C"/>
    <w:rsid w:val="007656AD"/>
    <w:rsid w:val="007656B2"/>
    <w:rsid w:val="0076574B"/>
    <w:rsid w:val="00765752"/>
    <w:rsid w:val="00765762"/>
    <w:rsid w:val="007659AF"/>
    <w:rsid w:val="00765A35"/>
    <w:rsid w:val="00765AFC"/>
    <w:rsid w:val="00765B47"/>
    <w:rsid w:val="00765B6C"/>
    <w:rsid w:val="00765CF0"/>
    <w:rsid w:val="00765E13"/>
    <w:rsid w:val="00765E1A"/>
    <w:rsid w:val="00765F10"/>
    <w:rsid w:val="00766198"/>
    <w:rsid w:val="007661A8"/>
    <w:rsid w:val="0076626E"/>
    <w:rsid w:val="0076627A"/>
    <w:rsid w:val="007663FB"/>
    <w:rsid w:val="00766432"/>
    <w:rsid w:val="00766530"/>
    <w:rsid w:val="00766968"/>
    <w:rsid w:val="0076697F"/>
    <w:rsid w:val="0076698B"/>
    <w:rsid w:val="00766BCA"/>
    <w:rsid w:val="00766C1D"/>
    <w:rsid w:val="00766C72"/>
    <w:rsid w:val="00766DA3"/>
    <w:rsid w:val="00766DF1"/>
    <w:rsid w:val="00766E1F"/>
    <w:rsid w:val="00766F93"/>
    <w:rsid w:val="00766FEE"/>
    <w:rsid w:val="007670A1"/>
    <w:rsid w:val="007670AF"/>
    <w:rsid w:val="00767160"/>
    <w:rsid w:val="00767181"/>
    <w:rsid w:val="007671AA"/>
    <w:rsid w:val="007671F8"/>
    <w:rsid w:val="0076727B"/>
    <w:rsid w:val="007673EB"/>
    <w:rsid w:val="0076747B"/>
    <w:rsid w:val="00767514"/>
    <w:rsid w:val="007675C2"/>
    <w:rsid w:val="00767674"/>
    <w:rsid w:val="00767726"/>
    <w:rsid w:val="007678BB"/>
    <w:rsid w:val="0076795B"/>
    <w:rsid w:val="007679D2"/>
    <w:rsid w:val="00767AAF"/>
    <w:rsid w:val="00767C6F"/>
    <w:rsid w:val="00767CF0"/>
    <w:rsid w:val="00767D5A"/>
    <w:rsid w:val="00767E13"/>
    <w:rsid w:val="00767EA8"/>
    <w:rsid w:val="00767F91"/>
    <w:rsid w:val="00767FAC"/>
    <w:rsid w:val="00767FF5"/>
    <w:rsid w:val="00770343"/>
    <w:rsid w:val="00770385"/>
    <w:rsid w:val="007703E9"/>
    <w:rsid w:val="00770400"/>
    <w:rsid w:val="00770438"/>
    <w:rsid w:val="00770445"/>
    <w:rsid w:val="007705FD"/>
    <w:rsid w:val="007706C4"/>
    <w:rsid w:val="0077071F"/>
    <w:rsid w:val="007707D8"/>
    <w:rsid w:val="007707E0"/>
    <w:rsid w:val="00770809"/>
    <w:rsid w:val="00770AC4"/>
    <w:rsid w:val="00770AE9"/>
    <w:rsid w:val="00770B0D"/>
    <w:rsid w:val="00770B1E"/>
    <w:rsid w:val="00770B6D"/>
    <w:rsid w:val="00770BFE"/>
    <w:rsid w:val="00770D6C"/>
    <w:rsid w:val="00770E33"/>
    <w:rsid w:val="00770E69"/>
    <w:rsid w:val="00770E7C"/>
    <w:rsid w:val="00770ED0"/>
    <w:rsid w:val="00770EFC"/>
    <w:rsid w:val="00770FD5"/>
    <w:rsid w:val="00771074"/>
    <w:rsid w:val="007711C9"/>
    <w:rsid w:val="007711D6"/>
    <w:rsid w:val="0077125F"/>
    <w:rsid w:val="0077130A"/>
    <w:rsid w:val="007713AC"/>
    <w:rsid w:val="007713FD"/>
    <w:rsid w:val="0077145F"/>
    <w:rsid w:val="00771502"/>
    <w:rsid w:val="00771573"/>
    <w:rsid w:val="007715D1"/>
    <w:rsid w:val="00771612"/>
    <w:rsid w:val="00771666"/>
    <w:rsid w:val="007717C1"/>
    <w:rsid w:val="00771841"/>
    <w:rsid w:val="00771997"/>
    <w:rsid w:val="007719B4"/>
    <w:rsid w:val="00771B3B"/>
    <w:rsid w:val="00771B5A"/>
    <w:rsid w:val="00771B72"/>
    <w:rsid w:val="00771BE6"/>
    <w:rsid w:val="00771C04"/>
    <w:rsid w:val="00771C33"/>
    <w:rsid w:val="00771CD1"/>
    <w:rsid w:val="00771EEF"/>
    <w:rsid w:val="00771FFE"/>
    <w:rsid w:val="00772193"/>
    <w:rsid w:val="007722CE"/>
    <w:rsid w:val="007722F2"/>
    <w:rsid w:val="0077234A"/>
    <w:rsid w:val="007723BC"/>
    <w:rsid w:val="007723BF"/>
    <w:rsid w:val="00772407"/>
    <w:rsid w:val="007725D2"/>
    <w:rsid w:val="00772650"/>
    <w:rsid w:val="0077275A"/>
    <w:rsid w:val="00772855"/>
    <w:rsid w:val="007728C9"/>
    <w:rsid w:val="007728CE"/>
    <w:rsid w:val="00772903"/>
    <w:rsid w:val="00772978"/>
    <w:rsid w:val="007729CC"/>
    <w:rsid w:val="00772AC7"/>
    <w:rsid w:val="00772ADD"/>
    <w:rsid w:val="00772C28"/>
    <w:rsid w:val="00772C3B"/>
    <w:rsid w:val="00772C4E"/>
    <w:rsid w:val="00772CCA"/>
    <w:rsid w:val="00772D2E"/>
    <w:rsid w:val="00772D8D"/>
    <w:rsid w:val="00772E31"/>
    <w:rsid w:val="00772FC6"/>
    <w:rsid w:val="007731AE"/>
    <w:rsid w:val="00773246"/>
    <w:rsid w:val="0077329F"/>
    <w:rsid w:val="00773381"/>
    <w:rsid w:val="00773387"/>
    <w:rsid w:val="00773457"/>
    <w:rsid w:val="00773466"/>
    <w:rsid w:val="007734EB"/>
    <w:rsid w:val="007735CD"/>
    <w:rsid w:val="00773872"/>
    <w:rsid w:val="00773980"/>
    <w:rsid w:val="007739C6"/>
    <w:rsid w:val="00773ACA"/>
    <w:rsid w:val="00773BEE"/>
    <w:rsid w:val="00773ECB"/>
    <w:rsid w:val="00773F1E"/>
    <w:rsid w:val="00774061"/>
    <w:rsid w:val="0077434C"/>
    <w:rsid w:val="00774356"/>
    <w:rsid w:val="00774386"/>
    <w:rsid w:val="007743B5"/>
    <w:rsid w:val="007743E6"/>
    <w:rsid w:val="007743FA"/>
    <w:rsid w:val="00774653"/>
    <w:rsid w:val="007746BE"/>
    <w:rsid w:val="007746D6"/>
    <w:rsid w:val="00774715"/>
    <w:rsid w:val="00774952"/>
    <w:rsid w:val="00774ABE"/>
    <w:rsid w:val="00774AE9"/>
    <w:rsid w:val="00774CC5"/>
    <w:rsid w:val="00774D19"/>
    <w:rsid w:val="00774E1D"/>
    <w:rsid w:val="0077506D"/>
    <w:rsid w:val="007750CF"/>
    <w:rsid w:val="00775129"/>
    <w:rsid w:val="0077517C"/>
    <w:rsid w:val="007752A7"/>
    <w:rsid w:val="00775388"/>
    <w:rsid w:val="00775492"/>
    <w:rsid w:val="007754A9"/>
    <w:rsid w:val="0077570A"/>
    <w:rsid w:val="00775735"/>
    <w:rsid w:val="00775737"/>
    <w:rsid w:val="007758AA"/>
    <w:rsid w:val="0077598B"/>
    <w:rsid w:val="00775A4A"/>
    <w:rsid w:val="00775A4C"/>
    <w:rsid w:val="00775AE2"/>
    <w:rsid w:val="00775AF8"/>
    <w:rsid w:val="00775C8F"/>
    <w:rsid w:val="00775CBD"/>
    <w:rsid w:val="00775D0D"/>
    <w:rsid w:val="00775DB6"/>
    <w:rsid w:val="00775E90"/>
    <w:rsid w:val="00775EA4"/>
    <w:rsid w:val="00775FC5"/>
    <w:rsid w:val="0077609F"/>
    <w:rsid w:val="0077617A"/>
    <w:rsid w:val="0077630B"/>
    <w:rsid w:val="00776352"/>
    <w:rsid w:val="00776355"/>
    <w:rsid w:val="007763D4"/>
    <w:rsid w:val="00776437"/>
    <w:rsid w:val="0077647F"/>
    <w:rsid w:val="00776533"/>
    <w:rsid w:val="0077653A"/>
    <w:rsid w:val="00776642"/>
    <w:rsid w:val="00776719"/>
    <w:rsid w:val="007767E8"/>
    <w:rsid w:val="00776841"/>
    <w:rsid w:val="007768C4"/>
    <w:rsid w:val="00776B24"/>
    <w:rsid w:val="00776BB4"/>
    <w:rsid w:val="00776BF5"/>
    <w:rsid w:val="00776CE1"/>
    <w:rsid w:val="00776CE6"/>
    <w:rsid w:val="00776D95"/>
    <w:rsid w:val="00776E30"/>
    <w:rsid w:val="00776E7B"/>
    <w:rsid w:val="00776EA7"/>
    <w:rsid w:val="0077705F"/>
    <w:rsid w:val="007770C6"/>
    <w:rsid w:val="0077712B"/>
    <w:rsid w:val="0077716C"/>
    <w:rsid w:val="00777197"/>
    <w:rsid w:val="007771D0"/>
    <w:rsid w:val="00777247"/>
    <w:rsid w:val="0077732D"/>
    <w:rsid w:val="007773E3"/>
    <w:rsid w:val="007774BB"/>
    <w:rsid w:val="007774EE"/>
    <w:rsid w:val="00777527"/>
    <w:rsid w:val="00777647"/>
    <w:rsid w:val="007776F4"/>
    <w:rsid w:val="00777772"/>
    <w:rsid w:val="00777785"/>
    <w:rsid w:val="007777A0"/>
    <w:rsid w:val="007777C1"/>
    <w:rsid w:val="0077785B"/>
    <w:rsid w:val="007779FE"/>
    <w:rsid w:val="00777A77"/>
    <w:rsid w:val="00777AD7"/>
    <w:rsid w:val="00777B4B"/>
    <w:rsid w:val="00777C57"/>
    <w:rsid w:val="00777E5B"/>
    <w:rsid w:val="00777F6C"/>
    <w:rsid w:val="00777FA3"/>
    <w:rsid w:val="00777FB1"/>
    <w:rsid w:val="00780052"/>
    <w:rsid w:val="007800D1"/>
    <w:rsid w:val="00780166"/>
    <w:rsid w:val="00780386"/>
    <w:rsid w:val="007803BD"/>
    <w:rsid w:val="007804E4"/>
    <w:rsid w:val="0078055D"/>
    <w:rsid w:val="00780604"/>
    <w:rsid w:val="00780655"/>
    <w:rsid w:val="00780693"/>
    <w:rsid w:val="007806CD"/>
    <w:rsid w:val="007807A4"/>
    <w:rsid w:val="007807A6"/>
    <w:rsid w:val="007807EF"/>
    <w:rsid w:val="0078081B"/>
    <w:rsid w:val="007808E8"/>
    <w:rsid w:val="0078097E"/>
    <w:rsid w:val="007809A3"/>
    <w:rsid w:val="007809B9"/>
    <w:rsid w:val="00780A3F"/>
    <w:rsid w:val="00780A56"/>
    <w:rsid w:val="00780AE9"/>
    <w:rsid w:val="00780B7D"/>
    <w:rsid w:val="00780B99"/>
    <w:rsid w:val="00780B9C"/>
    <w:rsid w:val="00780BDE"/>
    <w:rsid w:val="00780DD4"/>
    <w:rsid w:val="00780F4F"/>
    <w:rsid w:val="00781045"/>
    <w:rsid w:val="007810B4"/>
    <w:rsid w:val="00781121"/>
    <w:rsid w:val="0078127D"/>
    <w:rsid w:val="007812AC"/>
    <w:rsid w:val="00781304"/>
    <w:rsid w:val="0078135D"/>
    <w:rsid w:val="0078135E"/>
    <w:rsid w:val="0078139A"/>
    <w:rsid w:val="00781407"/>
    <w:rsid w:val="00781433"/>
    <w:rsid w:val="007814A5"/>
    <w:rsid w:val="00781515"/>
    <w:rsid w:val="0078156C"/>
    <w:rsid w:val="00781589"/>
    <w:rsid w:val="00781679"/>
    <w:rsid w:val="007816B2"/>
    <w:rsid w:val="007818C1"/>
    <w:rsid w:val="007818FA"/>
    <w:rsid w:val="00781985"/>
    <w:rsid w:val="00781AC1"/>
    <w:rsid w:val="00781AC5"/>
    <w:rsid w:val="00781B53"/>
    <w:rsid w:val="00781B8B"/>
    <w:rsid w:val="00781C86"/>
    <w:rsid w:val="00781CDC"/>
    <w:rsid w:val="00781CEB"/>
    <w:rsid w:val="00781DFA"/>
    <w:rsid w:val="00781EAB"/>
    <w:rsid w:val="00781EC5"/>
    <w:rsid w:val="00781F52"/>
    <w:rsid w:val="00781FA3"/>
    <w:rsid w:val="00782176"/>
    <w:rsid w:val="007824A9"/>
    <w:rsid w:val="007824C4"/>
    <w:rsid w:val="00782678"/>
    <w:rsid w:val="007826C8"/>
    <w:rsid w:val="00782708"/>
    <w:rsid w:val="00782752"/>
    <w:rsid w:val="007827A8"/>
    <w:rsid w:val="007827C2"/>
    <w:rsid w:val="00782876"/>
    <w:rsid w:val="007828C3"/>
    <w:rsid w:val="007828F9"/>
    <w:rsid w:val="00782AF3"/>
    <w:rsid w:val="00782CE9"/>
    <w:rsid w:val="00782E99"/>
    <w:rsid w:val="00782F2B"/>
    <w:rsid w:val="00782F4C"/>
    <w:rsid w:val="00782F5B"/>
    <w:rsid w:val="00782FE2"/>
    <w:rsid w:val="0078313C"/>
    <w:rsid w:val="007831CB"/>
    <w:rsid w:val="007831D7"/>
    <w:rsid w:val="0078321F"/>
    <w:rsid w:val="00783245"/>
    <w:rsid w:val="00783364"/>
    <w:rsid w:val="00783425"/>
    <w:rsid w:val="00783465"/>
    <w:rsid w:val="00783491"/>
    <w:rsid w:val="00783514"/>
    <w:rsid w:val="0078379D"/>
    <w:rsid w:val="00783854"/>
    <w:rsid w:val="007838E0"/>
    <w:rsid w:val="0078395B"/>
    <w:rsid w:val="00783A01"/>
    <w:rsid w:val="00783A0F"/>
    <w:rsid w:val="00783A82"/>
    <w:rsid w:val="00783B0F"/>
    <w:rsid w:val="00783B4D"/>
    <w:rsid w:val="00783C2F"/>
    <w:rsid w:val="00783C6F"/>
    <w:rsid w:val="00783D4F"/>
    <w:rsid w:val="00783DBE"/>
    <w:rsid w:val="00783E0F"/>
    <w:rsid w:val="00784036"/>
    <w:rsid w:val="00784044"/>
    <w:rsid w:val="0078404A"/>
    <w:rsid w:val="0078415D"/>
    <w:rsid w:val="007841DE"/>
    <w:rsid w:val="00784365"/>
    <w:rsid w:val="00784418"/>
    <w:rsid w:val="007844AA"/>
    <w:rsid w:val="007844AC"/>
    <w:rsid w:val="0078461A"/>
    <w:rsid w:val="007846C4"/>
    <w:rsid w:val="00784728"/>
    <w:rsid w:val="00784801"/>
    <w:rsid w:val="007848A7"/>
    <w:rsid w:val="007848B0"/>
    <w:rsid w:val="007848F8"/>
    <w:rsid w:val="00784A0B"/>
    <w:rsid w:val="00784BDE"/>
    <w:rsid w:val="00784D93"/>
    <w:rsid w:val="00785066"/>
    <w:rsid w:val="007850F5"/>
    <w:rsid w:val="00785235"/>
    <w:rsid w:val="007852CB"/>
    <w:rsid w:val="00785440"/>
    <w:rsid w:val="00785661"/>
    <w:rsid w:val="007856CB"/>
    <w:rsid w:val="00785735"/>
    <w:rsid w:val="007858CB"/>
    <w:rsid w:val="0078591E"/>
    <w:rsid w:val="00785A68"/>
    <w:rsid w:val="00785AD8"/>
    <w:rsid w:val="00785BD2"/>
    <w:rsid w:val="00785C4F"/>
    <w:rsid w:val="00785D11"/>
    <w:rsid w:val="00785DFC"/>
    <w:rsid w:val="00785E29"/>
    <w:rsid w:val="00785E9E"/>
    <w:rsid w:val="00785F43"/>
    <w:rsid w:val="00785FA7"/>
    <w:rsid w:val="00785FE6"/>
    <w:rsid w:val="00786102"/>
    <w:rsid w:val="00786136"/>
    <w:rsid w:val="007862CC"/>
    <w:rsid w:val="007863BD"/>
    <w:rsid w:val="007865A0"/>
    <w:rsid w:val="00786692"/>
    <w:rsid w:val="007867CF"/>
    <w:rsid w:val="007868D9"/>
    <w:rsid w:val="0078692D"/>
    <w:rsid w:val="00786976"/>
    <w:rsid w:val="00786C7A"/>
    <w:rsid w:val="00786D4E"/>
    <w:rsid w:val="00786DEF"/>
    <w:rsid w:val="00786E14"/>
    <w:rsid w:val="00786E57"/>
    <w:rsid w:val="00786EA7"/>
    <w:rsid w:val="00786ECE"/>
    <w:rsid w:val="00786F2C"/>
    <w:rsid w:val="00786F58"/>
    <w:rsid w:val="00786F83"/>
    <w:rsid w:val="007872C6"/>
    <w:rsid w:val="007872D0"/>
    <w:rsid w:val="0078744A"/>
    <w:rsid w:val="00787450"/>
    <w:rsid w:val="0078759B"/>
    <w:rsid w:val="00787624"/>
    <w:rsid w:val="007876A2"/>
    <w:rsid w:val="00787713"/>
    <w:rsid w:val="00787933"/>
    <w:rsid w:val="00787993"/>
    <w:rsid w:val="00787A89"/>
    <w:rsid w:val="00787B3F"/>
    <w:rsid w:val="00787B9B"/>
    <w:rsid w:val="00787BB3"/>
    <w:rsid w:val="00787BD4"/>
    <w:rsid w:val="00787C57"/>
    <w:rsid w:val="00787E56"/>
    <w:rsid w:val="00787F36"/>
    <w:rsid w:val="00787F44"/>
    <w:rsid w:val="007901B9"/>
    <w:rsid w:val="007903D9"/>
    <w:rsid w:val="0079056F"/>
    <w:rsid w:val="007905A1"/>
    <w:rsid w:val="007905DE"/>
    <w:rsid w:val="007905FA"/>
    <w:rsid w:val="007906AC"/>
    <w:rsid w:val="007906BF"/>
    <w:rsid w:val="007907FF"/>
    <w:rsid w:val="00790905"/>
    <w:rsid w:val="0079092A"/>
    <w:rsid w:val="0079093F"/>
    <w:rsid w:val="00790A39"/>
    <w:rsid w:val="00790A73"/>
    <w:rsid w:val="00790CBF"/>
    <w:rsid w:val="00790CF3"/>
    <w:rsid w:val="00790D21"/>
    <w:rsid w:val="00790D38"/>
    <w:rsid w:val="00790D73"/>
    <w:rsid w:val="00790D82"/>
    <w:rsid w:val="00790DD1"/>
    <w:rsid w:val="00790E0C"/>
    <w:rsid w:val="00790EB3"/>
    <w:rsid w:val="00791149"/>
    <w:rsid w:val="007911B8"/>
    <w:rsid w:val="007911D9"/>
    <w:rsid w:val="0079125D"/>
    <w:rsid w:val="00791386"/>
    <w:rsid w:val="007913CC"/>
    <w:rsid w:val="0079147A"/>
    <w:rsid w:val="007916EB"/>
    <w:rsid w:val="00791812"/>
    <w:rsid w:val="0079189F"/>
    <w:rsid w:val="00791AB7"/>
    <w:rsid w:val="00791AD4"/>
    <w:rsid w:val="00791BA7"/>
    <w:rsid w:val="00791D35"/>
    <w:rsid w:val="00791D56"/>
    <w:rsid w:val="00791DCC"/>
    <w:rsid w:val="00791E45"/>
    <w:rsid w:val="00792117"/>
    <w:rsid w:val="0079214E"/>
    <w:rsid w:val="007921CD"/>
    <w:rsid w:val="00792350"/>
    <w:rsid w:val="0079236E"/>
    <w:rsid w:val="00792391"/>
    <w:rsid w:val="007923E7"/>
    <w:rsid w:val="00792484"/>
    <w:rsid w:val="007924C0"/>
    <w:rsid w:val="0079254A"/>
    <w:rsid w:val="0079266C"/>
    <w:rsid w:val="00792733"/>
    <w:rsid w:val="0079276F"/>
    <w:rsid w:val="00792897"/>
    <w:rsid w:val="007928EA"/>
    <w:rsid w:val="00792923"/>
    <w:rsid w:val="0079292B"/>
    <w:rsid w:val="00792A7F"/>
    <w:rsid w:val="00792ACB"/>
    <w:rsid w:val="00792AFE"/>
    <w:rsid w:val="00792B7D"/>
    <w:rsid w:val="00792C53"/>
    <w:rsid w:val="00792D07"/>
    <w:rsid w:val="00792DB5"/>
    <w:rsid w:val="00792DC5"/>
    <w:rsid w:val="00792EFA"/>
    <w:rsid w:val="00792F97"/>
    <w:rsid w:val="007930C1"/>
    <w:rsid w:val="00793144"/>
    <w:rsid w:val="0079314C"/>
    <w:rsid w:val="0079318B"/>
    <w:rsid w:val="00793199"/>
    <w:rsid w:val="0079322B"/>
    <w:rsid w:val="007932BE"/>
    <w:rsid w:val="007932DA"/>
    <w:rsid w:val="00793319"/>
    <w:rsid w:val="0079331D"/>
    <w:rsid w:val="0079344A"/>
    <w:rsid w:val="007934FB"/>
    <w:rsid w:val="0079355E"/>
    <w:rsid w:val="00793614"/>
    <w:rsid w:val="007936A0"/>
    <w:rsid w:val="00793819"/>
    <w:rsid w:val="00793955"/>
    <w:rsid w:val="00793A87"/>
    <w:rsid w:val="00793B33"/>
    <w:rsid w:val="00793BFD"/>
    <w:rsid w:val="00793C22"/>
    <w:rsid w:val="00793DDC"/>
    <w:rsid w:val="00793EC7"/>
    <w:rsid w:val="00793EF0"/>
    <w:rsid w:val="00793F31"/>
    <w:rsid w:val="00793FA8"/>
    <w:rsid w:val="00794278"/>
    <w:rsid w:val="007943FB"/>
    <w:rsid w:val="0079445E"/>
    <w:rsid w:val="00794516"/>
    <w:rsid w:val="00794544"/>
    <w:rsid w:val="007945EE"/>
    <w:rsid w:val="00794742"/>
    <w:rsid w:val="00794744"/>
    <w:rsid w:val="007948E8"/>
    <w:rsid w:val="00794A8E"/>
    <w:rsid w:val="00794AA7"/>
    <w:rsid w:val="00794C7F"/>
    <w:rsid w:val="00794D23"/>
    <w:rsid w:val="00794D70"/>
    <w:rsid w:val="00794FD2"/>
    <w:rsid w:val="00794FD9"/>
    <w:rsid w:val="00794FDF"/>
    <w:rsid w:val="00795092"/>
    <w:rsid w:val="00795140"/>
    <w:rsid w:val="00795147"/>
    <w:rsid w:val="00795225"/>
    <w:rsid w:val="007953AF"/>
    <w:rsid w:val="00795442"/>
    <w:rsid w:val="007955AD"/>
    <w:rsid w:val="00795638"/>
    <w:rsid w:val="00795768"/>
    <w:rsid w:val="007957B5"/>
    <w:rsid w:val="007957CD"/>
    <w:rsid w:val="00795844"/>
    <w:rsid w:val="007958A0"/>
    <w:rsid w:val="007958AF"/>
    <w:rsid w:val="00795AF4"/>
    <w:rsid w:val="00795CFB"/>
    <w:rsid w:val="00796057"/>
    <w:rsid w:val="007960A2"/>
    <w:rsid w:val="00796214"/>
    <w:rsid w:val="007962B5"/>
    <w:rsid w:val="007962E8"/>
    <w:rsid w:val="00796409"/>
    <w:rsid w:val="007964C4"/>
    <w:rsid w:val="00796596"/>
    <w:rsid w:val="00796611"/>
    <w:rsid w:val="00796632"/>
    <w:rsid w:val="0079663A"/>
    <w:rsid w:val="00796731"/>
    <w:rsid w:val="00796796"/>
    <w:rsid w:val="0079679A"/>
    <w:rsid w:val="007967BA"/>
    <w:rsid w:val="00796A12"/>
    <w:rsid w:val="00796A35"/>
    <w:rsid w:val="00796A66"/>
    <w:rsid w:val="00796B37"/>
    <w:rsid w:val="00796B74"/>
    <w:rsid w:val="00796D23"/>
    <w:rsid w:val="00796D3D"/>
    <w:rsid w:val="00796F09"/>
    <w:rsid w:val="00797009"/>
    <w:rsid w:val="007970EB"/>
    <w:rsid w:val="0079712C"/>
    <w:rsid w:val="00797133"/>
    <w:rsid w:val="00797224"/>
    <w:rsid w:val="00797246"/>
    <w:rsid w:val="007972AD"/>
    <w:rsid w:val="007972E5"/>
    <w:rsid w:val="00797709"/>
    <w:rsid w:val="0079784C"/>
    <w:rsid w:val="007979F9"/>
    <w:rsid w:val="00797AB1"/>
    <w:rsid w:val="00797B5E"/>
    <w:rsid w:val="00797C64"/>
    <w:rsid w:val="00797D06"/>
    <w:rsid w:val="00797DBC"/>
    <w:rsid w:val="00797EE9"/>
    <w:rsid w:val="00797F8F"/>
    <w:rsid w:val="00797FD8"/>
    <w:rsid w:val="00797FE5"/>
    <w:rsid w:val="00797FEB"/>
    <w:rsid w:val="007A012C"/>
    <w:rsid w:val="007A0204"/>
    <w:rsid w:val="007A0229"/>
    <w:rsid w:val="007A03E0"/>
    <w:rsid w:val="007A042A"/>
    <w:rsid w:val="007A0499"/>
    <w:rsid w:val="007A049E"/>
    <w:rsid w:val="007A054D"/>
    <w:rsid w:val="007A05A9"/>
    <w:rsid w:val="007A0673"/>
    <w:rsid w:val="007A068D"/>
    <w:rsid w:val="007A06A1"/>
    <w:rsid w:val="007A08E0"/>
    <w:rsid w:val="007A0989"/>
    <w:rsid w:val="007A09C1"/>
    <w:rsid w:val="007A0A02"/>
    <w:rsid w:val="007A0AFA"/>
    <w:rsid w:val="007A0C12"/>
    <w:rsid w:val="007A0CC7"/>
    <w:rsid w:val="007A0CD0"/>
    <w:rsid w:val="007A0DFC"/>
    <w:rsid w:val="007A0E68"/>
    <w:rsid w:val="007A0E6B"/>
    <w:rsid w:val="007A0E84"/>
    <w:rsid w:val="007A0FD8"/>
    <w:rsid w:val="007A1190"/>
    <w:rsid w:val="007A136E"/>
    <w:rsid w:val="007A137A"/>
    <w:rsid w:val="007A145A"/>
    <w:rsid w:val="007A14CC"/>
    <w:rsid w:val="007A14CE"/>
    <w:rsid w:val="007A150C"/>
    <w:rsid w:val="007A1527"/>
    <w:rsid w:val="007A1530"/>
    <w:rsid w:val="007A15B3"/>
    <w:rsid w:val="007A16A6"/>
    <w:rsid w:val="007A16D4"/>
    <w:rsid w:val="007A16E3"/>
    <w:rsid w:val="007A1734"/>
    <w:rsid w:val="007A1839"/>
    <w:rsid w:val="007A18FE"/>
    <w:rsid w:val="007A1900"/>
    <w:rsid w:val="007A1960"/>
    <w:rsid w:val="007A1A23"/>
    <w:rsid w:val="007A1AE3"/>
    <w:rsid w:val="007A1C2E"/>
    <w:rsid w:val="007A1CB3"/>
    <w:rsid w:val="007A1CCD"/>
    <w:rsid w:val="007A1CD2"/>
    <w:rsid w:val="007A1DF6"/>
    <w:rsid w:val="007A1F20"/>
    <w:rsid w:val="007A1FB4"/>
    <w:rsid w:val="007A200A"/>
    <w:rsid w:val="007A206A"/>
    <w:rsid w:val="007A228A"/>
    <w:rsid w:val="007A23B9"/>
    <w:rsid w:val="007A2563"/>
    <w:rsid w:val="007A258F"/>
    <w:rsid w:val="007A263E"/>
    <w:rsid w:val="007A26D4"/>
    <w:rsid w:val="007A2721"/>
    <w:rsid w:val="007A2743"/>
    <w:rsid w:val="007A2786"/>
    <w:rsid w:val="007A290E"/>
    <w:rsid w:val="007A2A6F"/>
    <w:rsid w:val="007A2AF7"/>
    <w:rsid w:val="007A2B85"/>
    <w:rsid w:val="007A2D9D"/>
    <w:rsid w:val="007A2D9F"/>
    <w:rsid w:val="007A2DEB"/>
    <w:rsid w:val="007A2EA5"/>
    <w:rsid w:val="007A2EDC"/>
    <w:rsid w:val="007A2F4F"/>
    <w:rsid w:val="007A2F56"/>
    <w:rsid w:val="007A2F85"/>
    <w:rsid w:val="007A314C"/>
    <w:rsid w:val="007A31C9"/>
    <w:rsid w:val="007A328E"/>
    <w:rsid w:val="007A3294"/>
    <w:rsid w:val="007A32C9"/>
    <w:rsid w:val="007A32FA"/>
    <w:rsid w:val="007A3566"/>
    <w:rsid w:val="007A35A2"/>
    <w:rsid w:val="007A364F"/>
    <w:rsid w:val="007A371F"/>
    <w:rsid w:val="007A3852"/>
    <w:rsid w:val="007A38FE"/>
    <w:rsid w:val="007A39F8"/>
    <w:rsid w:val="007A3A73"/>
    <w:rsid w:val="007A3D7E"/>
    <w:rsid w:val="007A3D86"/>
    <w:rsid w:val="007A3EA6"/>
    <w:rsid w:val="007A3F20"/>
    <w:rsid w:val="007A3FAF"/>
    <w:rsid w:val="007A3FD7"/>
    <w:rsid w:val="007A4085"/>
    <w:rsid w:val="007A413E"/>
    <w:rsid w:val="007A416A"/>
    <w:rsid w:val="007A427C"/>
    <w:rsid w:val="007A435A"/>
    <w:rsid w:val="007A436A"/>
    <w:rsid w:val="007A44D9"/>
    <w:rsid w:val="007A4513"/>
    <w:rsid w:val="007A4602"/>
    <w:rsid w:val="007A4633"/>
    <w:rsid w:val="007A48D9"/>
    <w:rsid w:val="007A4B20"/>
    <w:rsid w:val="007A4DD1"/>
    <w:rsid w:val="007A4FA1"/>
    <w:rsid w:val="007A5011"/>
    <w:rsid w:val="007A50BE"/>
    <w:rsid w:val="007A5164"/>
    <w:rsid w:val="007A51C4"/>
    <w:rsid w:val="007A52DC"/>
    <w:rsid w:val="007A5338"/>
    <w:rsid w:val="007A537C"/>
    <w:rsid w:val="007A541F"/>
    <w:rsid w:val="007A5460"/>
    <w:rsid w:val="007A55D9"/>
    <w:rsid w:val="007A55F6"/>
    <w:rsid w:val="007A5644"/>
    <w:rsid w:val="007A5908"/>
    <w:rsid w:val="007A5A0A"/>
    <w:rsid w:val="007A5A28"/>
    <w:rsid w:val="007A5A88"/>
    <w:rsid w:val="007A5ABE"/>
    <w:rsid w:val="007A5BE1"/>
    <w:rsid w:val="007A5C5C"/>
    <w:rsid w:val="007A5CFF"/>
    <w:rsid w:val="007A5D98"/>
    <w:rsid w:val="007A5F3A"/>
    <w:rsid w:val="007A5F5C"/>
    <w:rsid w:val="007A5F93"/>
    <w:rsid w:val="007A5FF7"/>
    <w:rsid w:val="007A6093"/>
    <w:rsid w:val="007A6159"/>
    <w:rsid w:val="007A61DD"/>
    <w:rsid w:val="007A6287"/>
    <w:rsid w:val="007A6507"/>
    <w:rsid w:val="007A66B9"/>
    <w:rsid w:val="007A671D"/>
    <w:rsid w:val="007A672E"/>
    <w:rsid w:val="007A6733"/>
    <w:rsid w:val="007A674D"/>
    <w:rsid w:val="007A68F3"/>
    <w:rsid w:val="007A68FB"/>
    <w:rsid w:val="007A69DE"/>
    <w:rsid w:val="007A6A63"/>
    <w:rsid w:val="007A6AAB"/>
    <w:rsid w:val="007A6AC7"/>
    <w:rsid w:val="007A6B6B"/>
    <w:rsid w:val="007A6BB8"/>
    <w:rsid w:val="007A6BF4"/>
    <w:rsid w:val="007A6CE3"/>
    <w:rsid w:val="007A6DB9"/>
    <w:rsid w:val="007A6F39"/>
    <w:rsid w:val="007A7032"/>
    <w:rsid w:val="007A70AB"/>
    <w:rsid w:val="007A71B8"/>
    <w:rsid w:val="007A748B"/>
    <w:rsid w:val="007A756D"/>
    <w:rsid w:val="007A7884"/>
    <w:rsid w:val="007A794E"/>
    <w:rsid w:val="007A7A02"/>
    <w:rsid w:val="007A7C07"/>
    <w:rsid w:val="007A7C32"/>
    <w:rsid w:val="007A7C8A"/>
    <w:rsid w:val="007A7CBC"/>
    <w:rsid w:val="007A7CCD"/>
    <w:rsid w:val="007A7D14"/>
    <w:rsid w:val="007A7D1B"/>
    <w:rsid w:val="007A7DD9"/>
    <w:rsid w:val="007A7FAC"/>
    <w:rsid w:val="007B011C"/>
    <w:rsid w:val="007B0162"/>
    <w:rsid w:val="007B0175"/>
    <w:rsid w:val="007B0253"/>
    <w:rsid w:val="007B0264"/>
    <w:rsid w:val="007B02FC"/>
    <w:rsid w:val="007B0343"/>
    <w:rsid w:val="007B03CD"/>
    <w:rsid w:val="007B03FA"/>
    <w:rsid w:val="007B0410"/>
    <w:rsid w:val="007B04CA"/>
    <w:rsid w:val="007B068C"/>
    <w:rsid w:val="007B06AB"/>
    <w:rsid w:val="007B076D"/>
    <w:rsid w:val="007B0AA5"/>
    <w:rsid w:val="007B0AC1"/>
    <w:rsid w:val="007B0ACA"/>
    <w:rsid w:val="007B0B65"/>
    <w:rsid w:val="007B0CFF"/>
    <w:rsid w:val="007B0D23"/>
    <w:rsid w:val="007B0D46"/>
    <w:rsid w:val="007B0D80"/>
    <w:rsid w:val="007B0D8A"/>
    <w:rsid w:val="007B0DED"/>
    <w:rsid w:val="007B0DF9"/>
    <w:rsid w:val="007B0E7F"/>
    <w:rsid w:val="007B0EA8"/>
    <w:rsid w:val="007B0F0E"/>
    <w:rsid w:val="007B0F53"/>
    <w:rsid w:val="007B1105"/>
    <w:rsid w:val="007B11D4"/>
    <w:rsid w:val="007B1422"/>
    <w:rsid w:val="007B143E"/>
    <w:rsid w:val="007B1504"/>
    <w:rsid w:val="007B1532"/>
    <w:rsid w:val="007B153F"/>
    <w:rsid w:val="007B15D9"/>
    <w:rsid w:val="007B17AA"/>
    <w:rsid w:val="007B1806"/>
    <w:rsid w:val="007B1850"/>
    <w:rsid w:val="007B1864"/>
    <w:rsid w:val="007B1875"/>
    <w:rsid w:val="007B1917"/>
    <w:rsid w:val="007B19BC"/>
    <w:rsid w:val="007B1A0B"/>
    <w:rsid w:val="007B1A55"/>
    <w:rsid w:val="007B1C8F"/>
    <w:rsid w:val="007B1C91"/>
    <w:rsid w:val="007B1D39"/>
    <w:rsid w:val="007B1D44"/>
    <w:rsid w:val="007B1D6D"/>
    <w:rsid w:val="007B1ECA"/>
    <w:rsid w:val="007B1F36"/>
    <w:rsid w:val="007B1F3D"/>
    <w:rsid w:val="007B1FAD"/>
    <w:rsid w:val="007B20D5"/>
    <w:rsid w:val="007B212A"/>
    <w:rsid w:val="007B234B"/>
    <w:rsid w:val="007B235D"/>
    <w:rsid w:val="007B23D0"/>
    <w:rsid w:val="007B2441"/>
    <w:rsid w:val="007B274D"/>
    <w:rsid w:val="007B2788"/>
    <w:rsid w:val="007B278B"/>
    <w:rsid w:val="007B2806"/>
    <w:rsid w:val="007B28B8"/>
    <w:rsid w:val="007B28DF"/>
    <w:rsid w:val="007B2A84"/>
    <w:rsid w:val="007B2AFA"/>
    <w:rsid w:val="007B2BF7"/>
    <w:rsid w:val="007B2D17"/>
    <w:rsid w:val="007B2D41"/>
    <w:rsid w:val="007B2D72"/>
    <w:rsid w:val="007B2DA5"/>
    <w:rsid w:val="007B2F83"/>
    <w:rsid w:val="007B31C7"/>
    <w:rsid w:val="007B31FC"/>
    <w:rsid w:val="007B35FD"/>
    <w:rsid w:val="007B366C"/>
    <w:rsid w:val="007B36AC"/>
    <w:rsid w:val="007B3790"/>
    <w:rsid w:val="007B37BD"/>
    <w:rsid w:val="007B395B"/>
    <w:rsid w:val="007B399F"/>
    <w:rsid w:val="007B3A46"/>
    <w:rsid w:val="007B3D5C"/>
    <w:rsid w:val="007B3D64"/>
    <w:rsid w:val="007B3DA5"/>
    <w:rsid w:val="007B3DB6"/>
    <w:rsid w:val="007B3E9F"/>
    <w:rsid w:val="007B3F0C"/>
    <w:rsid w:val="007B3F52"/>
    <w:rsid w:val="007B40E6"/>
    <w:rsid w:val="007B42BE"/>
    <w:rsid w:val="007B4336"/>
    <w:rsid w:val="007B4608"/>
    <w:rsid w:val="007B462D"/>
    <w:rsid w:val="007B463F"/>
    <w:rsid w:val="007B46DD"/>
    <w:rsid w:val="007B47CB"/>
    <w:rsid w:val="007B484D"/>
    <w:rsid w:val="007B4899"/>
    <w:rsid w:val="007B48F4"/>
    <w:rsid w:val="007B496F"/>
    <w:rsid w:val="007B49EC"/>
    <w:rsid w:val="007B4A69"/>
    <w:rsid w:val="007B4DB9"/>
    <w:rsid w:val="007B4E99"/>
    <w:rsid w:val="007B4FA9"/>
    <w:rsid w:val="007B4FB6"/>
    <w:rsid w:val="007B504B"/>
    <w:rsid w:val="007B5108"/>
    <w:rsid w:val="007B5139"/>
    <w:rsid w:val="007B516F"/>
    <w:rsid w:val="007B5227"/>
    <w:rsid w:val="007B538A"/>
    <w:rsid w:val="007B53E5"/>
    <w:rsid w:val="007B549A"/>
    <w:rsid w:val="007B54E5"/>
    <w:rsid w:val="007B55D8"/>
    <w:rsid w:val="007B55F7"/>
    <w:rsid w:val="007B569F"/>
    <w:rsid w:val="007B5824"/>
    <w:rsid w:val="007B5852"/>
    <w:rsid w:val="007B5859"/>
    <w:rsid w:val="007B5952"/>
    <w:rsid w:val="007B598D"/>
    <w:rsid w:val="007B59F8"/>
    <w:rsid w:val="007B5DFD"/>
    <w:rsid w:val="007B5E31"/>
    <w:rsid w:val="007B5EAE"/>
    <w:rsid w:val="007B5F70"/>
    <w:rsid w:val="007B600A"/>
    <w:rsid w:val="007B60B8"/>
    <w:rsid w:val="007B60C7"/>
    <w:rsid w:val="007B6226"/>
    <w:rsid w:val="007B6280"/>
    <w:rsid w:val="007B6360"/>
    <w:rsid w:val="007B659F"/>
    <w:rsid w:val="007B67E7"/>
    <w:rsid w:val="007B689B"/>
    <w:rsid w:val="007B68AC"/>
    <w:rsid w:val="007B6A35"/>
    <w:rsid w:val="007B6A8E"/>
    <w:rsid w:val="007B6A98"/>
    <w:rsid w:val="007B6B7B"/>
    <w:rsid w:val="007B6CA8"/>
    <w:rsid w:val="007B6CDA"/>
    <w:rsid w:val="007B6DAC"/>
    <w:rsid w:val="007B6DF5"/>
    <w:rsid w:val="007B6DFD"/>
    <w:rsid w:val="007B6EF1"/>
    <w:rsid w:val="007B6F2F"/>
    <w:rsid w:val="007B6F42"/>
    <w:rsid w:val="007B6F74"/>
    <w:rsid w:val="007B6F8C"/>
    <w:rsid w:val="007B6FC6"/>
    <w:rsid w:val="007B7069"/>
    <w:rsid w:val="007B714B"/>
    <w:rsid w:val="007B721B"/>
    <w:rsid w:val="007B7256"/>
    <w:rsid w:val="007B72C0"/>
    <w:rsid w:val="007B7532"/>
    <w:rsid w:val="007B77AA"/>
    <w:rsid w:val="007B77D5"/>
    <w:rsid w:val="007B77F5"/>
    <w:rsid w:val="007B7816"/>
    <w:rsid w:val="007B7853"/>
    <w:rsid w:val="007B785D"/>
    <w:rsid w:val="007B7AC5"/>
    <w:rsid w:val="007B7B6A"/>
    <w:rsid w:val="007B7B7C"/>
    <w:rsid w:val="007B7BE6"/>
    <w:rsid w:val="007B7C36"/>
    <w:rsid w:val="007B7F79"/>
    <w:rsid w:val="007B7FAA"/>
    <w:rsid w:val="007B7FD1"/>
    <w:rsid w:val="007B7FEA"/>
    <w:rsid w:val="007C004D"/>
    <w:rsid w:val="007C0114"/>
    <w:rsid w:val="007C0423"/>
    <w:rsid w:val="007C04F6"/>
    <w:rsid w:val="007C0515"/>
    <w:rsid w:val="007C053F"/>
    <w:rsid w:val="007C0679"/>
    <w:rsid w:val="007C083E"/>
    <w:rsid w:val="007C092E"/>
    <w:rsid w:val="007C0967"/>
    <w:rsid w:val="007C0A35"/>
    <w:rsid w:val="007C0D2C"/>
    <w:rsid w:val="007C0DA3"/>
    <w:rsid w:val="007C0DC0"/>
    <w:rsid w:val="007C0F91"/>
    <w:rsid w:val="007C0FE3"/>
    <w:rsid w:val="007C1036"/>
    <w:rsid w:val="007C10AE"/>
    <w:rsid w:val="007C11D2"/>
    <w:rsid w:val="007C121E"/>
    <w:rsid w:val="007C14DA"/>
    <w:rsid w:val="007C150B"/>
    <w:rsid w:val="007C1548"/>
    <w:rsid w:val="007C1587"/>
    <w:rsid w:val="007C15FA"/>
    <w:rsid w:val="007C1626"/>
    <w:rsid w:val="007C163B"/>
    <w:rsid w:val="007C1814"/>
    <w:rsid w:val="007C191F"/>
    <w:rsid w:val="007C194F"/>
    <w:rsid w:val="007C1C68"/>
    <w:rsid w:val="007C1CAF"/>
    <w:rsid w:val="007C1E09"/>
    <w:rsid w:val="007C1E4C"/>
    <w:rsid w:val="007C1EB3"/>
    <w:rsid w:val="007C1EC7"/>
    <w:rsid w:val="007C1EF4"/>
    <w:rsid w:val="007C202D"/>
    <w:rsid w:val="007C20CA"/>
    <w:rsid w:val="007C211D"/>
    <w:rsid w:val="007C220F"/>
    <w:rsid w:val="007C22F9"/>
    <w:rsid w:val="007C23C1"/>
    <w:rsid w:val="007C266A"/>
    <w:rsid w:val="007C2702"/>
    <w:rsid w:val="007C27C2"/>
    <w:rsid w:val="007C27C7"/>
    <w:rsid w:val="007C29B9"/>
    <w:rsid w:val="007C29F6"/>
    <w:rsid w:val="007C2A2E"/>
    <w:rsid w:val="007C2A67"/>
    <w:rsid w:val="007C2A86"/>
    <w:rsid w:val="007C2ADC"/>
    <w:rsid w:val="007C2B10"/>
    <w:rsid w:val="007C2D26"/>
    <w:rsid w:val="007C2D49"/>
    <w:rsid w:val="007C2D92"/>
    <w:rsid w:val="007C2DDF"/>
    <w:rsid w:val="007C2F49"/>
    <w:rsid w:val="007C2F6E"/>
    <w:rsid w:val="007C2FA5"/>
    <w:rsid w:val="007C30B2"/>
    <w:rsid w:val="007C30B4"/>
    <w:rsid w:val="007C3146"/>
    <w:rsid w:val="007C3168"/>
    <w:rsid w:val="007C3283"/>
    <w:rsid w:val="007C3299"/>
    <w:rsid w:val="007C32E4"/>
    <w:rsid w:val="007C3327"/>
    <w:rsid w:val="007C33A4"/>
    <w:rsid w:val="007C3460"/>
    <w:rsid w:val="007C34C5"/>
    <w:rsid w:val="007C3548"/>
    <w:rsid w:val="007C3602"/>
    <w:rsid w:val="007C37D7"/>
    <w:rsid w:val="007C37E8"/>
    <w:rsid w:val="007C38A0"/>
    <w:rsid w:val="007C39F0"/>
    <w:rsid w:val="007C3AA9"/>
    <w:rsid w:val="007C3C26"/>
    <w:rsid w:val="007C3C6E"/>
    <w:rsid w:val="007C3CEF"/>
    <w:rsid w:val="007C3ED5"/>
    <w:rsid w:val="007C4171"/>
    <w:rsid w:val="007C425C"/>
    <w:rsid w:val="007C42E4"/>
    <w:rsid w:val="007C42F5"/>
    <w:rsid w:val="007C430A"/>
    <w:rsid w:val="007C43E9"/>
    <w:rsid w:val="007C4421"/>
    <w:rsid w:val="007C448E"/>
    <w:rsid w:val="007C44DF"/>
    <w:rsid w:val="007C46D2"/>
    <w:rsid w:val="007C46ED"/>
    <w:rsid w:val="007C47B8"/>
    <w:rsid w:val="007C4839"/>
    <w:rsid w:val="007C4846"/>
    <w:rsid w:val="007C4855"/>
    <w:rsid w:val="007C4869"/>
    <w:rsid w:val="007C48CF"/>
    <w:rsid w:val="007C4919"/>
    <w:rsid w:val="007C491D"/>
    <w:rsid w:val="007C4948"/>
    <w:rsid w:val="007C49A7"/>
    <w:rsid w:val="007C49D4"/>
    <w:rsid w:val="007C4A3E"/>
    <w:rsid w:val="007C4A45"/>
    <w:rsid w:val="007C4AF8"/>
    <w:rsid w:val="007C4CC5"/>
    <w:rsid w:val="007C4D88"/>
    <w:rsid w:val="007C4DEF"/>
    <w:rsid w:val="007C5091"/>
    <w:rsid w:val="007C5124"/>
    <w:rsid w:val="007C51E2"/>
    <w:rsid w:val="007C52B5"/>
    <w:rsid w:val="007C52EC"/>
    <w:rsid w:val="007C5343"/>
    <w:rsid w:val="007C5425"/>
    <w:rsid w:val="007C54FF"/>
    <w:rsid w:val="007C55A4"/>
    <w:rsid w:val="007C56AD"/>
    <w:rsid w:val="007C57B2"/>
    <w:rsid w:val="007C57E5"/>
    <w:rsid w:val="007C59A6"/>
    <w:rsid w:val="007C59C2"/>
    <w:rsid w:val="007C5B91"/>
    <w:rsid w:val="007C5BFB"/>
    <w:rsid w:val="007C5C03"/>
    <w:rsid w:val="007C5C20"/>
    <w:rsid w:val="007C5D42"/>
    <w:rsid w:val="007C5DBE"/>
    <w:rsid w:val="007C5DEB"/>
    <w:rsid w:val="007C5F05"/>
    <w:rsid w:val="007C602A"/>
    <w:rsid w:val="007C6054"/>
    <w:rsid w:val="007C610C"/>
    <w:rsid w:val="007C6245"/>
    <w:rsid w:val="007C6337"/>
    <w:rsid w:val="007C63D0"/>
    <w:rsid w:val="007C642A"/>
    <w:rsid w:val="007C6579"/>
    <w:rsid w:val="007C6586"/>
    <w:rsid w:val="007C65D5"/>
    <w:rsid w:val="007C65DC"/>
    <w:rsid w:val="007C65E8"/>
    <w:rsid w:val="007C6718"/>
    <w:rsid w:val="007C6808"/>
    <w:rsid w:val="007C683C"/>
    <w:rsid w:val="007C6AD4"/>
    <w:rsid w:val="007C6B6D"/>
    <w:rsid w:val="007C6BBF"/>
    <w:rsid w:val="007C6C63"/>
    <w:rsid w:val="007C6DBE"/>
    <w:rsid w:val="007C6DF1"/>
    <w:rsid w:val="007C6E82"/>
    <w:rsid w:val="007C6FF0"/>
    <w:rsid w:val="007C6FF3"/>
    <w:rsid w:val="007C7017"/>
    <w:rsid w:val="007C7024"/>
    <w:rsid w:val="007C708F"/>
    <w:rsid w:val="007C70B8"/>
    <w:rsid w:val="007C7106"/>
    <w:rsid w:val="007C7188"/>
    <w:rsid w:val="007C72CF"/>
    <w:rsid w:val="007C72EB"/>
    <w:rsid w:val="007C72F8"/>
    <w:rsid w:val="007C7318"/>
    <w:rsid w:val="007C7369"/>
    <w:rsid w:val="007C739F"/>
    <w:rsid w:val="007C7463"/>
    <w:rsid w:val="007C7482"/>
    <w:rsid w:val="007C7665"/>
    <w:rsid w:val="007C772E"/>
    <w:rsid w:val="007C773C"/>
    <w:rsid w:val="007C7825"/>
    <w:rsid w:val="007C7A96"/>
    <w:rsid w:val="007C7AC2"/>
    <w:rsid w:val="007C7BA4"/>
    <w:rsid w:val="007C7C5C"/>
    <w:rsid w:val="007C7CE9"/>
    <w:rsid w:val="007C7DC4"/>
    <w:rsid w:val="007C7F53"/>
    <w:rsid w:val="007D0050"/>
    <w:rsid w:val="007D01F0"/>
    <w:rsid w:val="007D020F"/>
    <w:rsid w:val="007D0316"/>
    <w:rsid w:val="007D0384"/>
    <w:rsid w:val="007D0479"/>
    <w:rsid w:val="007D04EC"/>
    <w:rsid w:val="007D0592"/>
    <w:rsid w:val="007D0653"/>
    <w:rsid w:val="007D06A5"/>
    <w:rsid w:val="007D0702"/>
    <w:rsid w:val="007D0705"/>
    <w:rsid w:val="007D07CE"/>
    <w:rsid w:val="007D08A0"/>
    <w:rsid w:val="007D09AF"/>
    <w:rsid w:val="007D0B14"/>
    <w:rsid w:val="007D0B44"/>
    <w:rsid w:val="007D0B4D"/>
    <w:rsid w:val="007D0BA5"/>
    <w:rsid w:val="007D0BB0"/>
    <w:rsid w:val="007D0D08"/>
    <w:rsid w:val="007D0E8F"/>
    <w:rsid w:val="007D0EAB"/>
    <w:rsid w:val="007D0EE2"/>
    <w:rsid w:val="007D0F77"/>
    <w:rsid w:val="007D0FEF"/>
    <w:rsid w:val="007D105A"/>
    <w:rsid w:val="007D1109"/>
    <w:rsid w:val="007D1236"/>
    <w:rsid w:val="007D13F6"/>
    <w:rsid w:val="007D15BC"/>
    <w:rsid w:val="007D1658"/>
    <w:rsid w:val="007D17E7"/>
    <w:rsid w:val="007D18C5"/>
    <w:rsid w:val="007D1953"/>
    <w:rsid w:val="007D1964"/>
    <w:rsid w:val="007D1A0F"/>
    <w:rsid w:val="007D1A2B"/>
    <w:rsid w:val="007D1BDC"/>
    <w:rsid w:val="007D1BDE"/>
    <w:rsid w:val="007D1CB6"/>
    <w:rsid w:val="007D1D20"/>
    <w:rsid w:val="007D1E90"/>
    <w:rsid w:val="007D1ED4"/>
    <w:rsid w:val="007D1FD5"/>
    <w:rsid w:val="007D2018"/>
    <w:rsid w:val="007D2059"/>
    <w:rsid w:val="007D20C3"/>
    <w:rsid w:val="007D211E"/>
    <w:rsid w:val="007D221D"/>
    <w:rsid w:val="007D23B2"/>
    <w:rsid w:val="007D23EE"/>
    <w:rsid w:val="007D2416"/>
    <w:rsid w:val="007D250E"/>
    <w:rsid w:val="007D25DF"/>
    <w:rsid w:val="007D25EA"/>
    <w:rsid w:val="007D290B"/>
    <w:rsid w:val="007D29CC"/>
    <w:rsid w:val="007D2B51"/>
    <w:rsid w:val="007D2B67"/>
    <w:rsid w:val="007D2BE9"/>
    <w:rsid w:val="007D2DB4"/>
    <w:rsid w:val="007D2E93"/>
    <w:rsid w:val="007D2F86"/>
    <w:rsid w:val="007D2FCE"/>
    <w:rsid w:val="007D3011"/>
    <w:rsid w:val="007D303F"/>
    <w:rsid w:val="007D3048"/>
    <w:rsid w:val="007D30DE"/>
    <w:rsid w:val="007D30F9"/>
    <w:rsid w:val="007D323B"/>
    <w:rsid w:val="007D33B0"/>
    <w:rsid w:val="007D33EE"/>
    <w:rsid w:val="007D345F"/>
    <w:rsid w:val="007D3479"/>
    <w:rsid w:val="007D359A"/>
    <w:rsid w:val="007D3612"/>
    <w:rsid w:val="007D3661"/>
    <w:rsid w:val="007D36A6"/>
    <w:rsid w:val="007D3718"/>
    <w:rsid w:val="007D3760"/>
    <w:rsid w:val="007D37E5"/>
    <w:rsid w:val="007D381A"/>
    <w:rsid w:val="007D3891"/>
    <w:rsid w:val="007D38C7"/>
    <w:rsid w:val="007D392A"/>
    <w:rsid w:val="007D39B5"/>
    <w:rsid w:val="007D3A73"/>
    <w:rsid w:val="007D3A97"/>
    <w:rsid w:val="007D3B0B"/>
    <w:rsid w:val="007D3BB4"/>
    <w:rsid w:val="007D3CFB"/>
    <w:rsid w:val="007D3D59"/>
    <w:rsid w:val="007D3DA2"/>
    <w:rsid w:val="007D3F61"/>
    <w:rsid w:val="007D4081"/>
    <w:rsid w:val="007D409E"/>
    <w:rsid w:val="007D40CB"/>
    <w:rsid w:val="007D414B"/>
    <w:rsid w:val="007D41CF"/>
    <w:rsid w:val="007D4201"/>
    <w:rsid w:val="007D4244"/>
    <w:rsid w:val="007D4391"/>
    <w:rsid w:val="007D443D"/>
    <w:rsid w:val="007D446C"/>
    <w:rsid w:val="007D44A9"/>
    <w:rsid w:val="007D466A"/>
    <w:rsid w:val="007D47BA"/>
    <w:rsid w:val="007D47D0"/>
    <w:rsid w:val="007D47F5"/>
    <w:rsid w:val="007D48EB"/>
    <w:rsid w:val="007D4942"/>
    <w:rsid w:val="007D4993"/>
    <w:rsid w:val="007D4A2C"/>
    <w:rsid w:val="007D4AA8"/>
    <w:rsid w:val="007D4C49"/>
    <w:rsid w:val="007D4C95"/>
    <w:rsid w:val="007D4DA8"/>
    <w:rsid w:val="007D4E6C"/>
    <w:rsid w:val="007D4EB9"/>
    <w:rsid w:val="007D4ED9"/>
    <w:rsid w:val="007D5061"/>
    <w:rsid w:val="007D5083"/>
    <w:rsid w:val="007D50FB"/>
    <w:rsid w:val="007D51FC"/>
    <w:rsid w:val="007D526D"/>
    <w:rsid w:val="007D52DD"/>
    <w:rsid w:val="007D53DA"/>
    <w:rsid w:val="007D5471"/>
    <w:rsid w:val="007D5594"/>
    <w:rsid w:val="007D55E7"/>
    <w:rsid w:val="007D56E9"/>
    <w:rsid w:val="007D571F"/>
    <w:rsid w:val="007D577C"/>
    <w:rsid w:val="007D578F"/>
    <w:rsid w:val="007D57CC"/>
    <w:rsid w:val="007D5800"/>
    <w:rsid w:val="007D591D"/>
    <w:rsid w:val="007D59FF"/>
    <w:rsid w:val="007D5AC1"/>
    <w:rsid w:val="007D5B1E"/>
    <w:rsid w:val="007D5BB4"/>
    <w:rsid w:val="007D5C58"/>
    <w:rsid w:val="007D5CDC"/>
    <w:rsid w:val="007D5CE6"/>
    <w:rsid w:val="007D5D3F"/>
    <w:rsid w:val="007D5D8B"/>
    <w:rsid w:val="007D5EFE"/>
    <w:rsid w:val="007D6151"/>
    <w:rsid w:val="007D6183"/>
    <w:rsid w:val="007D639F"/>
    <w:rsid w:val="007D6642"/>
    <w:rsid w:val="007D668C"/>
    <w:rsid w:val="007D6714"/>
    <w:rsid w:val="007D6734"/>
    <w:rsid w:val="007D6741"/>
    <w:rsid w:val="007D67BC"/>
    <w:rsid w:val="007D6837"/>
    <w:rsid w:val="007D690B"/>
    <w:rsid w:val="007D69E4"/>
    <w:rsid w:val="007D6CA1"/>
    <w:rsid w:val="007D6DE6"/>
    <w:rsid w:val="007D6F09"/>
    <w:rsid w:val="007D6F7B"/>
    <w:rsid w:val="007D715D"/>
    <w:rsid w:val="007D71C3"/>
    <w:rsid w:val="007D733F"/>
    <w:rsid w:val="007D7529"/>
    <w:rsid w:val="007D7584"/>
    <w:rsid w:val="007D75D7"/>
    <w:rsid w:val="007D764F"/>
    <w:rsid w:val="007D76BD"/>
    <w:rsid w:val="007D7869"/>
    <w:rsid w:val="007D787B"/>
    <w:rsid w:val="007D78AC"/>
    <w:rsid w:val="007D79A8"/>
    <w:rsid w:val="007D79CC"/>
    <w:rsid w:val="007D7A96"/>
    <w:rsid w:val="007D7AE6"/>
    <w:rsid w:val="007D7B02"/>
    <w:rsid w:val="007D7B52"/>
    <w:rsid w:val="007D7B67"/>
    <w:rsid w:val="007D7C99"/>
    <w:rsid w:val="007D7D19"/>
    <w:rsid w:val="007D7D50"/>
    <w:rsid w:val="007D7E3F"/>
    <w:rsid w:val="007D7EC6"/>
    <w:rsid w:val="007D7F9F"/>
    <w:rsid w:val="007D7FB7"/>
    <w:rsid w:val="007E0078"/>
    <w:rsid w:val="007E018D"/>
    <w:rsid w:val="007E01C5"/>
    <w:rsid w:val="007E01C8"/>
    <w:rsid w:val="007E024F"/>
    <w:rsid w:val="007E0296"/>
    <w:rsid w:val="007E02F2"/>
    <w:rsid w:val="007E0334"/>
    <w:rsid w:val="007E0364"/>
    <w:rsid w:val="007E0422"/>
    <w:rsid w:val="007E04FF"/>
    <w:rsid w:val="007E0514"/>
    <w:rsid w:val="007E0522"/>
    <w:rsid w:val="007E0639"/>
    <w:rsid w:val="007E06F3"/>
    <w:rsid w:val="007E07F4"/>
    <w:rsid w:val="007E0857"/>
    <w:rsid w:val="007E09AC"/>
    <w:rsid w:val="007E0D4B"/>
    <w:rsid w:val="007E0E23"/>
    <w:rsid w:val="007E0F4B"/>
    <w:rsid w:val="007E118C"/>
    <w:rsid w:val="007E1212"/>
    <w:rsid w:val="007E1350"/>
    <w:rsid w:val="007E1369"/>
    <w:rsid w:val="007E1388"/>
    <w:rsid w:val="007E13A4"/>
    <w:rsid w:val="007E152B"/>
    <w:rsid w:val="007E1839"/>
    <w:rsid w:val="007E1866"/>
    <w:rsid w:val="007E19E7"/>
    <w:rsid w:val="007E1A59"/>
    <w:rsid w:val="007E1AB2"/>
    <w:rsid w:val="007E1B7A"/>
    <w:rsid w:val="007E1BD3"/>
    <w:rsid w:val="007E1C06"/>
    <w:rsid w:val="007E1CB7"/>
    <w:rsid w:val="007E1CC1"/>
    <w:rsid w:val="007E1DC1"/>
    <w:rsid w:val="007E1ECE"/>
    <w:rsid w:val="007E1F71"/>
    <w:rsid w:val="007E1FB2"/>
    <w:rsid w:val="007E2010"/>
    <w:rsid w:val="007E20DD"/>
    <w:rsid w:val="007E2187"/>
    <w:rsid w:val="007E232C"/>
    <w:rsid w:val="007E2367"/>
    <w:rsid w:val="007E244E"/>
    <w:rsid w:val="007E245D"/>
    <w:rsid w:val="007E24E7"/>
    <w:rsid w:val="007E250A"/>
    <w:rsid w:val="007E25F3"/>
    <w:rsid w:val="007E2736"/>
    <w:rsid w:val="007E274E"/>
    <w:rsid w:val="007E2871"/>
    <w:rsid w:val="007E2886"/>
    <w:rsid w:val="007E28A3"/>
    <w:rsid w:val="007E296E"/>
    <w:rsid w:val="007E2C70"/>
    <w:rsid w:val="007E2C80"/>
    <w:rsid w:val="007E2CFA"/>
    <w:rsid w:val="007E2D36"/>
    <w:rsid w:val="007E2DBB"/>
    <w:rsid w:val="007E2E18"/>
    <w:rsid w:val="007E2E36"/>
    <w:rsid w:val="007E30D2"/>
    <w:rsid w:val="007E30F3"/>
    <w:rsid w:val="007E3146"/>
    <w:rsid w:val="007E3183"/>
    <w:rsid w:val="007E32F8"/>
    <w:rsid w:val="007E3354"/>
    <w:rsid w:val="007E3446"/>
    <w:rsid w:val="007E3914"/>
    <w:rsid w:val="007E3AA9"/>
    <w:rsid w:val="007E3BA8"/>
    <w:rsid w:val="007E3BC2"/>
    <w:rsid w:val="007E414B"/>
    <w:rsid w:val="007E4209"/>
    <w:rsid w:val="007E428B"/>
    <w:rsid w:val="007E43B0"/>
    <w:rsid w:val="007E4493"/>
    <w:rsid w:val="007E45BB"/>
    <w:rsid w:val="007E469B"/>
    <w:rsid w:val="007E4701"/>
    <w:rsid w:val="007E48FE"/>
    <w:rsid w:val="007E494A"/>
    <w:rsid w:val="007E4A13"/>
    <w:rsid w:val="007E4AF9"/>
    <w:rsid w:val="007E4BE8"/>
    <w:rsid w:val="007E4C88"/>
    <w:rsid w:val="007E4CEA"/>
    <w:rsid w:val="007E4E75"/>
    <w:rsid w:val="007E4FBB"/>
    <w:rsid w:val="007E5009"/>
    <w:rsid w:val="007E5022"/>
    <w:rsid w:val="007E51EB"/>
    <w:rsid w:val="007E52EC"/>
    <w:rsid w:val="007E5368"/>
    <w:rsid w:val="007E538E"/>
    <w:rsid w:val="007E54AE"/>
    <w:rsid w:val="007E5511"/>
    <w:rsid w:val="007E56AC"/>
    <w:rsid w:val="007E572C"/>
    <w:rsid w:val="007E5746"/>
    <w:rsid w:val="007E586D"/>
    <w:rsid w:val="007E58B1"/>
    <w:rsid w:val="007E5989"/>
    <w:rsid w:val="007E59B7"/>
    <w:rsid w:val="007E5B1C"/>
    <w:rsid w:val="007E5BA2"/>
    <w:rsid w:val="007E5C69"/>
    <w:rsid w:val="007E5CB1"/>
    <w:rsid w:val="007E5E26"/>
    <w:rsid w:val="007E5E37"/>
    <w:rsid w:val="007E5E8C"/>
    <w:rsid w:val="007E5EBB"/>
    <w:rsid w:val="007E60CA"/>
    <w:rsid w:val="007E6166"/>
    <w:rsid w:val="007E63EE"/>
    <w:rsid w:val="007E63F6"/>
    <w:rsid w:val="007E641B"/>
    <w:rsid w:val="007E6450"/>
    <w:rsid w:val="007E65BA"/>
    <w:rsid w:val="007E65E2"/>
    <w:rsid w:val="007E65FB"/>
    <w:rsid w:val="007E67BA"/>
    <w:rsid w:val="007E690E"/>
    <w:rsid w:val="007E6935"/>
    <w:rsid w:val="007E695B"/>
    <w:rsid w:val="007E6A8E"/>
    <w:rsid w:val="007E6A9A"/>
    <w:rsid w:val="007E6ADA"/>
    <w:rsid w:val="007E6B62"/>
    <w:rsid w:val="007E6C8F"/>
    <w:rsid w:val="007E6CBA"/>
    <w:rsid w:val="007E6CC2"/>
    <w:rsid w:val="007E6F99"/>
    <w:rsid w:val="007E7026"/>
    <w:rsid w:val="007E7063"/>
    <w:rsid w:val="007E7236"/>
    <w:rsid w:val="007E740F"/>
    <w:rsid w:val="007E7422"/>
    <w:rsid w:val="007E74A9"/>
    <w:rsid w:val="007E7668"/>
    <w:rsid w:val="007E7871"/>
    <w:rsid w:val="007E79C4"/>
    <w:rsid w:val="007E79E1"/>
    <w:rsid w:val="007E7BE1"/>
    <w:rsid w:val="007E7C1A"/>
    <w:rsid w:val="007E7D71"/>
    <w:rsid w:val="007E7E5E"/>
    <w:rsid w:val="007E7EB3"/>
    <w:rsid w:val="007E7F81"/>
    <w:rsid w:val="007F00C2"/>
    <w:rsid w:val="007F0154"/>
    <w:rsid w:val="007F0218"/>
    <w:rsid w:val="007F025C"/>
    <w:rsid w:val="007F02CA"/>
    <w:rsid w:val="007F06A2"/>
    <w:rsid w:val="007F072F"/>
    <w:rsid w:val="007F07FF"/>
    <w:rsid w:val="007F082D"/>
    <w:rsid w:val="007F0845"/>
    <w:rsid w:val="007F0886"/>
    <w:rsid w:val="007F08C9"/>
    <w:rsid w:val="007F0A33"/>
    <w:rsid w:val="007F0A63"/>
    <w:rsid w:val="007F0AAE"/>
    <w:rsid w:val="007F0B05"/>
    <w:rsid w:val="007F0C5F"/>
    <w:rsid w:val="007F0D92"/>
    <w:rsid w:val="007F0DC1"/>
    <w:rsid w:val="007F0E69"/>
    <w:rsid w:val="007F0FA1"/>
    <w:rsid w:val="007F1046"/>
    <w:rsid w:val="007F1096"/>
    <w:rsid w:val="007F1098"/>
    <w:rsid w:val="007F109D"/>
    <w:rsid w:val="007F10CD"/>
    <w:rsid w:val="007F11A1"/>
    <w:rsid w:val="007F11B0"/>
    <w:rsid w:val="007F1266"/>
    <w:rsid w:val="007F137D"/>
    <w:rsid w:val="007F1381"/>
    <w:rsid w:val="007F1500"/>
    <w:rsid w:val="007F155F"/>
    <w:rsid w:val="007F15A3"/>
    <w:rsid w:val="007F15B3"/>
    <w:rsid w:val="007F15E4"/>
    <w:rsid w:val="007F163D"/>
    <w:rsid w:val="007F16F3"/>
    <w:rsid w:val="007F18BA"/>
    <w:rsid w:val="007F19DA"/>
    <w:rsid w:val="007F1AA8"/>
    <w:rsid w:val="007F1B40"/>
    <w:rsid w:val="007F1BE2"/>
    <w:rsid w:val="007F1C82"/>
    <w:rsid w:val="007F1D84"/>
    <w:rsid w:val="007F1EA0"/>
    <w:rsid w:val="007F1EB4"/>
    <w:rsid w:val="007F1EFF"/>
    <w:rsid w:val="007F1F3B"/>
    <w:rsid w:val="007F1F8D"/>
    <w:rsid w:val="007F219B"/>
    <w:rsid w:val="007F21A2"/>
    <w:rsid w:val="007F21AC"/>
    <w:rsid w:val="007F256C"/>
    <w:rsid w:val="007F2591"/>
    <w:rsid w:val="007F2598"/>
    <w:rsid w:val="007F266F"/>
    <w:rsid w:val="007F292C"/>
    <w:rsid w:val="007F2A5F"/>
    <w:rsid w:val="007F2A95"/>
    <w:rsid w:val="007F2B16"/>
    <w:rsid w:val="007F2B64"/>
    <w:rsid w:val="007F2C42"/>
    <w:rsid w:val="007F2D0D"/>
    <w:rsid w:val="007F2D71"/>
    <w:rsid w:val="007F2DCD"/>
    <w:rsid w:val="007F2E19"/>
    <w:rsid w:val="007F2E46"/>
    <w:rsid w:val="007F2F00"/>
    <w:rsid w:val="007F2F47"/>
    <w:rsid w:val="007F2FB4"/>
    <w:rsid w:val="007F2FCE"/>
    <w:rsid w:val="007F3059"/>
    <w:rsid w:val="007F309B"/>
    <w:rsid w:val="007F3322"/>
    <w:rsid w:val="007F348F"/>
    <w:rsid w:val="007F34AB"/>
    <w:rsid w:val="007F3510"/>
    <w:rsid w:val="007F353B"/>
    <w:rsid w:val="007F3681"/>
    <w:rsid w:val="007F36AB"/>
    <w:rsid w:val="007F37B0"/>
    <w:rsid w:val="007F380D"/>
    <w:rsid w:val="007F3830"/>
    <w:rsid w:val="007F38C3"/>
    <w:rsid w:val="007F3954"/>
    <w:rsid w:val="007F39F8"/>
    <w:rsid w:val="007F3AC7"/>
    <w:rsid w:val="007F3D83"/>
    <w:rsid w:val="007F3EA8"/>
    <w:rsid w:val="007F41AD"/>
    <w:rsid w:val="007F420E"/>
    <w:rsid w:val="007F432B"/>
    <w:rsid w:val="007F433B"/>
    <w:rsid w:val="007F43AF"/>
    <w:rsid w:val="007F449C"/>
    <w:rsid w:val="007F455A"/>
    <w:rsid w:val="007F4589"/>
    <w:rsid w:val="007F4686"/>
    <w:rsid w:val="007F469C"/>
    <w:rsid w:val="007F474D"/>
    <w:rsid w:val="007F4754"/>
    <w:rsid w:val="007F4768"/>
    <w:rsid w:val="007F487E"/>
    <w:rsid w:val="007F4C71"/>
    <w:rsid w:val="007F4E06"/>
    <w:rsid w:val="007F4F54"/>
    <w:rsid w:val="007F5133"/>
    <w:rsid w:val="007F5255"/>
    <w:rsid w:val="007F5264"/>
    <w:rsid w:val="007F5326"/>
    <w:rsid w:val="007F53DB"/>
    <w:rsid w:val="007F53E2"/>
    <w:rsid w:val="007F54C7"/>
    <w:rsid w:val="007F5669"/>
    <w:rsid w:val="007F56CE"/>
    <w:rsid w:val="007F573B"/>
    <w:rsid w:val="007F5755"/>
    <w:rsid w:val="007F58B2"/>
    <w:rsid w:val="007F5AA9"/>
    <w:rsid w:val="007F5AAF"/>
    <w:rsid w:val="007F5B12"/>
    <w:rsid w:val="007F5C21"/>
    <w:rsid w:val="007F5CB7"/>
    <w:rsid w:val="007F5CEE"/>
    <w:rsid w:val="007F5D00"/>
    <w:rsid w:val="007F5D07"/>
    <w:rsid w:val="007F5D39"/>
    <w:rsid w:val="007F5F1B"/>
    <w:rsid w:val="007F5F79"/>
    <w:rsid w:val="007F6100"/>
    <w:rsid w:val="007F611D"/>
    <w:rsid w:val="007F6258"/>
    <w:rsid w:val="007F63A6"/>
    <w:rsid w:val="007F63ED"/>
    <w:rsid w:val="007F6429"/>
    <w:rsid w:val="007F64F4"/>
    <w:rsid w:val="007F667D"/>
    <w:rsid w:val="007F66D5"/>
    <w:rsid w:val="007F6723"/>
    <w:rsid w:val="007F67BB"/>
    <w:rsid w:val="007F67D3"/>
    <w:rsid w:val="007F67FC"/>
    <w:rsid w:val="007F681D"/>
    <w:rsid w:val="007F6967"/>
    <w:rsid w:val="007F69FB"/>
    <w:rsid w:val="007F6A58"/>
    <w:rsid w:val="007F6AF3"/>
    <w:rsid w:val="007F6C31"/>
    <w:rsid w:val="007F6C7B"/>
    <w:rsid w:val="007F6D7E"/>
    <w:rsid w:val="007F6EA0"/>
    <w:rsid w:val="007F6EFC"/>
    <w:rsid w:val="007F6FE4"/>
    <w:rsid w:val="007F71BB"/>
    <w:rsid w:val="007F71BD"/>
    <w:rsid w:val="007F71E3"/>
    <w:rsid w:val="007F71F1"/>
    <w:rsid w:val="007F723E"/>
    <w:rsid w:val="007F7348"/>
    <w:rsid w:val="007F735C"/>
    <w:rsid w:val="007F7367"/>
    <w:rsid w:val="007F7414"/>
    <w:rsid w:val="007F7495"/>
    <w:rsid w:val="007F74C1"/>
    <w:rsid w:val="007F7551"/>
    <w:rsid w:val="007F75DF"/>
    <w:rsid w:val="007F77E4"/>
    <w:rsid w:val="007F7998"/>
    <w:rsid w:val="007F79C5"/>
    <w:rsid w:val="007F7A52"/>
    <w:rsid w:val="007F7AA3"/>
    <w:rsid w:val="007F7AED"/>
    <w:rsid w:val="007F7B21"/>
    <w:rsid w:val="007F7B72"/>
    <w:rsid w:val="007F7D55"/>
    <w:rsid w:val="007F7DA7"/>
    <w:rsid w:val="007F7E00"/>
    <w:rsid w:val="007F7F9E"/>
    <w:rsid w:val="00800138"/>
    <w:rsid w:val="008001D1"/>
    <w:rsid w:val="008003DB"/>
    <w:rsid w:val="0080040B"/>
    <w:rsid w:val="0080040D"/>
    <w:rsid w:val="00800437"/>
    <w:rsid w:val="008006C6"/>
    <w:rsid w:val="0080073F"/>
    <w:rsid w:val="00800821"/>
    <w:rsid w:val="00800863"/>
    <w:rsid w:val="008008BE"/>
    <w:rsid w:val="00800931"/>
    <w:rsid w:val="008009AC"/>
    <w:rsid w:val="008009F0"/>
    <w:rsid w:val="008009FF"/>
    <w:rsid w:val="00800A06"/>
    <w:rsid w:val="00800BE4"/>
    <w:rsid w:val="00800C84"/>
    <w:rsid w:val="00800D2F"/>
    <w:rsid w:val="00800D5B"/>
    <w:rsid w:val="00800F95"/>
    <w:rsid w:val="00801001"/>
    <w:rsid w:val="00801002"/>
    <w:rsid w:val="00801069"/>
    <w:rsid w:val="0080106C"/>
    <w:rsid w:val="00801184"/>
    <w:rsid w:val="008011B9"/>
    <w:rsid w:val="008012C3"/>
    <w:rsid w:val="008012E8"/>
    <w:rsid w:val="0080136B"/>
    <w:rsid w:val="00801388"/>
    <w:rsid w:val="008013B3"/>
    <w:rsid w:val="00801402"/>
    <w:rsid w:val="00801510"/>
    <w:rsid w:val="00801757"/>
    <w:rsid w:val="008019C1"/>
    <w:rsid w:val="00801BDE"/>
    <w:rsid w:val="00801C35"/>
    <w:rsid w:val="00801D2E"/>
    <w:rsid w:val="00801EA2"/>
    <w:rsid w:val="00802051"/>
    <w:rsid w:val="008020B8"/>
    <w:rsid w:val="008024F0"/>
    <w:rsid w:val="00802666"/>
    <w:rsid w:val="0080266C"/>
    <w:rsid w:val="008026C4"/>
    <w:rsid w:val="00802749"/>
    <w:rsid w:val="00802792"/>
    <w:rsid w:val="008027AD"/>
    <w:rsid w:val="00802814"/>
    <w:rsid w:val="008028F6"/>
    <w:rsid w:val="00802919"/>
    <w:rsid w:val="008029AD"/>
    <w:rsid w:val="00802A78"/>
    <w:rsid w:val="00802A86"/>
    <w:rsid w:val="00802AA9"/>
    <w:rsid w:val="00802CCF"/>
    <w:rsid w:val="00802D86"/>
    <w:rsid w:val="00802DAB"/>
    <w:rsid w:val="00802E23"/>
    <w:rsid w:val="00802EE2"/>
    <w:rsid w:val="00802EF9"/>
    <w:rsid w:val="00802F0C"/>
    <w:rsid w:val="00802F66"/>
    <w:rsid w:val="00803041"/>
    <w:rsid w:val="0080319B"/>
    <w:rsid w:val="008031A3"/>
    <w:rsid w:val="008032AD"/>
    <w:rsid w:val="0080330F"/>
    <w:rsid w:val="00803343"/>
    <w:rsid w:val="00803387"/>
    <w:rsid w:val="008033AD"/>
    <w:rsid w:val="008034C8"/>
    <w:rsid w:val="00803570"/>
    <w:rsid w:val="008035E0"/>
    <w:rsid w:val="00803719"/>
    <w:rsid w:val="0080374A"/>
    <w:rsid w:val="00803789"/>
    <w:rsid w:val="00803872"/>
    <w:rsid w:val="008038D9"/>
    <w:rsid w:val="008039BB"/>
    <w:rsid w:val="00803AA6"/>
    <w:rsid w:val="00803AEF"/>
    <w:rsid w:val="00803B1E"/>
    <w:rsid w:val="00803C32"/>
    <w:rsid w:val="00803CEA"/>
    <w:rsid w:val="00803DCB"/>
    <w:rsid w:val="0080400D"/>
    <w:rsid w:val="0080407C"/>
    <w:rsid w:val="008041C0"/>
    <w:rsid w:val="008043B7"/>
    <w:rsid w:val="008043F3"/>
    <w:rsid w:val="00804470"/>
    <w:rsid w:val="008045BF"/>
    <w:rsid w:val="0080462F"/>
    <w:rsid w:val="00804632"/>
    <w:rsid w:val="00804671"/>
    <w:rsid w:val="00804878"/>
    <w:rsid w:val="00804879"/>
    <w:rsid w:val="008048E6"/>
    <w:rsid w:val="0080494A"/>
    <w:rsid w:val="00804975"/>
    <w:rsid w:val="008049A3"/>
    <w:rsid w:val="00804A98"/>
    <w:rsid w:val="00804AEE"/>
    <w:rsid w:val="00804C0C"/>
    <w:rsid w:val="00804CCF"/>
    <w:rsid w:val="00804D37"/>
    <w:rsid w:val="00804DAB"/>
    <w:rsid w:val="00804F9C"/>
    <w:rsid w:val="008050ED"/>
    <w:rsid w:val="00805189"/>
    <w:rsid w:val="008051A4"/>
    <w:rsid w:val="00805227"/>
    <w:rsid w:val="00805241"/>
    <w:rsid w:val="0080529C"/>
    <w:rsid w:val="008053BE"/>
    <w:rsid w:val="00805433"/>
    <w:rsid w:val="0080550B"/>
    <w:rsid w:val="00805865"/>
    <w:rsid w:val="0080589A"/>
    <w:rsid w:val="00805AD9"/>
    <w:rsid w:val="00805B80"/>
    <w:rsid w:val="00805C23"/>
    <w:rsid w:val="00805C61"/>
    <w:rsid w:val="00805CEC"/>
    <w:rsid w:val="00805D60"/>
    <w:rsid w:val="00805DD8"/>
    <w:rsid w:val="00805FC8"/>
    <w:rsid w:val="0080603A"/>
    <w:rsid w:val="00806056"/>
    <w:rsid w:val="00806087"/>
    <w:rsid w:val="008060FC"/>
    <w:rsid w:val="00806118"/>
    <w:rsid w:val="0080617E"/>
    <w:rsid w:val="00806251"/>
    <w:rsid w:val="008062CE"/>
    <w:rsid w:val="00806310"/>
    <w:rsid w:val="0080639C"/>
    <w:rsid w:val="008064A4"/>
    <w:rsid w:val="00806506"/>
    <w:rsid w:val="0080672C"/>
    <w:rsid w:val="0080686D"/>
    <w:rsid w:val="008068D2"/>
    <w:rsid w:val="0080692F"/>
    <w:rsid w:val="00806959"/>
    <w:rsid w:val="00806BDE"/>
    <w:rsid w:val="00806C30"/>
    <w:rsid w:val="00806C39"/>
    <w:rsid w:val="00806C8E"/>
    <w:rsid w:val="00806EB0"/>
    <w:rsid w:val="00806ED2"/>
    <w:rsid w:val="00806F39"/>
    <w:rsid w:val="00806F61"/>
    <w:rsid w:val="00806FDF"/>
    <w:rsid w:val="00806FFE"/>
    <w:rsid w:val="00806FFF"/>
    <w:rsid w:val="00807033"/>
    <w:rsid w:val="00807043"/>
    <w:rsid w:val="008070FA"/>
    <w:rsid w:val="00807159"/>
    <w:rsid w:val="00807160"/>
    <w:rsid w:val="00807225"/>
    <w:rsid w:val="0080723C"/>
    <w:rsid w:val="008072CD"/>
    <w:rsid w:val="00807321"/>
    <w:rsid w:val="00807384"/>
    <w:rsid w:val="008073A4"/>
    <w:rsid w:val="008074AD"/>
    <w:rsid w:val="00807637"/>
    <w:rsid w:val="0080763B"/>
    <w:rsid w:val="008076BE"/>
    <w:rsid w:val="008077F9"/>
    <w:rsid w:val="00807A0B"/>
    <w:rsid w:val="00807B46"/>
    <w:rsid w:val="00807C7E"/>
    <w:rsid w:val="00807CC3"/>
    <w:rsid w:val="00807D80"/>
    <w:rsid w:val="00807D9D"/>
    <w:rsid w:val="00807F6B"/>
    <w:rsid w:val="00807FB4"/>
    <w:rsid w:val="00810017"/>
    <w:rsid w:val="008100C6"/>
    <w:rsid w:val="00810116"/>
    <w:rsid w:val="00810126"/>
    <w:rsid w:val="00810167"/>
    <w:rsid w:val="0081019A"/>
    <w:rsid w:val="008102DD"/>
    <w:rsid w:val="008102EC"/>
    <w:rsid w:val="0081033C"/>
    <w:rsid w:val="00810405"/>
    <w:rsid w:val="0081040A"/>
    <w:rsid w:val="008104D9"/>
    <w:rsid w:val="008105D1"/>
    <w:rsid w:val="008105F8"/>
    <w:rsid w:val="0081066E"/>
    <w:rsid w:val="008106F8"/>
    <w:rsid w:val="0081077F"/>
    <w:rsid w:val="0081079B"/>
    <w:rsid w:val="0081086B"/>
    <w:rsid w:val="008108DA"/>
    <w:rsid w:val="00810A40"/>
    <w:rsid w:val="00810B75"/>
    <w:rsid w:val="00810C68"/>
    <w:rsid w:val="00810CAF"/>
    <w:rsid w:val="00810CD1"/>
    <w:rsid w:val="00810D5F"/>
    <w:rsid w:val="00810D7F"/>
    <w:rsid w:val="00810EDA"/>
    <w:rsid w:val="008110B5"/>
    <w:rsid w:val="008110C1"/>
    <w:rsid w:val="008112CD"/>
    <w:rsid w:val="0081138A"/>
    <w:rsid w:val="00811461"/>
    <w:rsid w:val="008114F4"/>
    <w:rsid w:val="00811568"/>
    <w:rsid w:val="008115EE"/>
    <w:rsid w:val="008115F7"/>
    <w:rsid w:val="00811633"/>
    <w:rsid w:val="008116FF"/>
    <w:rsid w:val="00811772"/>
    <w:rsid w:val="00811787"/>
    <w:rsid w:val="00811788"/>
    <w:rsid w:val="00811798"/>
    <w:rsid w:val="008118DC"/>
    <w:rsid w:val="008119CC"/>
    <w:rsid w:val="008119E9"/>
    <w:rsid w:val="00811B74"/>
    <w:rsid w:val="00811BD8"/>
    <w:rsid w:val="00811BE6"/>
    <w:rsid w:val="00811CB9"/>
    <w:rsid w:val="00811D54"/>
    <w:rsid w:val="00811EA5"/>
    <w:rsid w:val="00811EEF"/>
    <w:rsid w:val="0081207E"/>
    <w:rsid w:val="008120C9"/>
    <w:rsid w:val="0081233C"/>
    <w:rsid w:val="00812373"/>
    <w:rsid w:val="0081254F"/>
    <w:rsid w:val="008125B5"/>
    <w:rsid w:val="008125DE"/>
    <w:rsid w:val="0081277D"/>
    <w:rsid w:val="008127A2"/>
    <w:rsid w:val="008127C9"/>
    <w:rsid w:val="00812A1D"/>
    <w:rsid w:val="00812A75"/>
    <w:rsid w:val="00812AF0"/>
    <w:rsid w:val="00812C0E"/>
    <w:rsid w:val="00812C2C"/>
    <w:rsid w:val="00812C4F"/>
    <w:rsid w:val="00812C94"/>
    <w:rsid w:val="00812D27"/>
    <w:rsid w:val="00812D61"/>
    <w:rsid w:val="00812D75"/>
    <w:rsid w:val="00812EA8"/>
    <w:rsid w:val="00812F10"/>
    <w:rsid w:val="00812F71"/>
    <w:rsid w:val="00812F98"/>
    <w:rsid w:val="00813049"/>
    <w:rsid w:val="00813067"/>
    <w:rsid w:val="0081337F"/>
    <w:rsid w:val="008133BF"/>
    <w:rsid w:val="008134DE"/>
    <w:rsid w:val="00813505"/>
    <w:rsid w:val="008137BB"/>
    <w:rsid w:val="0081380A"/>
    <w:rsid w:val="0081387E"/>
    <w:rsid w:val="00813955"/>
    <w:rsid w:val="00813AB0"/>
    <w:rsid w:val="00813D06"/>
    <w:rsid w:val="0081409D"/>
    <w:rsid w:val="00814175"/>
    <w:rsid w:val="00814196"/>
    <w:rsid w:val="008142F5"/>
    <w:rsid w:val="008143AD"/>
    <w:rsid w:val="008143CE"/>
    <w:rsid w:val="00814582"/>
    <w:rsid w:val="00814639"/>
    <w:rsid w:val="0081468A"/>
    <w:rsid w:val="00814759"/>
    <w:rsid w:val="0081478B"/>
    <w:rsid w:val="008147BE"/>
    <w:rsid w:val="00814961"/>
    <w:rsid w:val="008149B8"/>
    <w:rsid w:val="008149D8"/>
    <w:rsid w:val="00814A5B"/>
    <w:rsid w:val="00814CD6"/>
    <w:rsid w:val="00814D3E"/>
    <w:rsid w:val="00814D8F"/>
    <w:rsid w:val="00814DA4"/>
    <w:rsid w:val="00814E4A"/>
    <w:rsid w:val="00814E6D"/>
    <w:rsid w:val="00814E8F"/>
    <w:rsid w:val="00814F02"/>
    <w:rsid w:val="00814F7F"/>
    <w:rsid w:val="00814FE3"/>
    <w:rsid w:val="00815232"/>
    <w:rsid w:val="00815269"/>
    <w:rsid w:val="00815382"/>
    <w:rsid w:val="00815445"/>
    <w:rsid w:val="00815509"/>
    <w:rsid w:val="0081559B"/>
    <w:rsid w:val="00815646"/>
    <w:rsid w:val="00815814"/>
    <w:rsid w:val="00815A6C"/>
    <w:rsid w:val="00815C0A"/>
    <w:rsid w:val="00815D54"/>
    <w:rsid w:val="00815D8D"/>
    <w:rsid w:val="00815DEE"/>
    <w:rsid w:val="00815E0A"/>
    <w:rsid w:val="00815E31"/>
    <w:rsid w:val="00815F1B"/>
    <w:rsid w:val="00815F86"/>
    <w:rsid w:val="008160C3"/>
    <w:rsid w:val="008160CC"/>
    <w:rsid w:val="00816120"/>
    <w:rsid w:val="00816149"/>
    <w:rsid w:val="008161E2"/>
    <w:rsid w:val="00816496"/>
    <w:rsid w:val="0081652A"/>
    <w:rsid w:val="00816742"/>
    <w:rsid w:val="00816774"/>
    <w:rsid w:val="008167D0"/>
    <w:rsid w:val="008167D1"/>
    <w:rsid w:val="00816A52"/>
    <w:rsid w:val="00816A94"/>
    <w:rsid w:val="00816B59"/>
    <w:rsid w:val="00816B93"/>
    <w:rsid w:val="00816BFB"/>
    <w:rsid w:val="00816C41"/>
    <w:rsid w:val="00816C43"/>
    <w:rsid w:val="00816C48"/>
    <w:rsid w:val="00816CA7"/>
    <w:rsid w:val="00816EC2"/>
    <w:rsid w:val="00816ED5"/>
    <w:rsid w:val="00816FEF"/>
    <w:rsid w:val="0081706C"/>
    <w:rsid w:val="008170EF"/>
    <w:rsid w:val="0081717E"/>
    <w:rsid w:val="0081726C"/>
    <w:rsid w:val="0081731A"/>
    <w:rsid w:val="008174DB"/>
    <w:rsid w:val="0081754D"/>
    <w:rsid w:val="008176EC"/>
    <w:rsid w:val="008178D1"/>
    <w:rsid w:val="008178DC"/>
    <w:rsid w:val="00817996"/>
    <w:rsid w:val="008179AE"/>
    <w:rsid w:val="00817C96"/>
    <w:rsid w:val="00817EA1"/>
    <w:rsid w:val="00817F8A"/>
    <w:rsid w:val="008200C5"/>
    <w:rsid w:val="008200F2"/>
    <w:rsid w:val="008201A6"/>
    <w:rsid w:val="00820552"/>
    <w:rsid w:val="00820565"/>
    <w:rsid w:val="00820573"/>
    <w:rsid w:val="008205D4"/>
    <w:rsid w:val="00820696"/>
    <w:rsid w:val="008206DF"/>
    <w:rsid w:val="008207D0"/>
    <w:rsid w:val="0082083B"/>
    <w:rsid w:val="008208DA"/>
    <w:rsid w:val="0082095F"/>
    <w:rsid w:val="0082097E"/>
    <w:rsid w:val="008209C8"/>
    <w:rsid w:val="00820A69"/>
    <w:rsid w:val="00820B11"/>
    <w:rsid w:val="00820DAA"/>
    <w:rsid w:val="00820ED0"/>
    <w:rsid w:val="00820FBB"/>
    <w:rsid w:val="00821097"/>
    <w:rsid w:val="008210C6"/>
    <w:rsid w:val="00821112"/>
    <w:rsid w:val="00821286"/>
    <w:rsid w:val="0082129A"/>
    <w:rsid w:val="008212B8"/>
    <w:rsid w:val="008212C4"/>
    <w:rsid w:val="0082138C"/>
    <w:rsid w:val="00821411"/>
    <w:rsid w:val="00821418"/>
    <w:rsid w:val="00821459"/>
    <w:rsid w:val="00821523"/>
    <w:rsid w:val="00821563"/>
    <w:rsid w:val="0082165C"/>
    <w:rsid w:val="00821710"/>
    <w:rsid w:val="00821757"/>
    <w:rsid w:val="0082183A"/>
    <w:rsid w:val="0082183C"/>
    <w:rsid w:val="00821956"/>
    <w:rsid w:val="00821977"/>
    <w:rsid w:val="008219EE"/>
    <w:rsid w:val="00821AE8"/>
    <w:rsid w:val="00821B66"/>
    <w:rsid w:val="00821BDD"/>
    <w:rsid w:val="00821C7F"/>
    <w:rsid w:val="00821D60"/>
    <w:rsid w:val="00821DB9"/>
    <w:rsid w:val="00821E68"/>
    <w:rsid w:val="008220D7"/>
    <w:rsid w:val="008220D9"/>
    <w:rsid w:val="00822132"/>
    <w:rsid w:val="0082218E"/>
    <w:rsid w:val="008222AC"/>
    <w:rsid w:val="0082231C"/>
    <w:rsid w:val="00822343"/>
    <w:rsid w:val="00822378"/>
    <w:rsid w:val="008223D9"/>
    <w:rsid w:val="0082242A"/>
    <w:rsid w:val="008225F9"/>
    <w:rsid w:val="0082267B"/>
    <w:rsid w:val="008226B6"/>
    <w:rsid w:val="0082279A"/>
    <w:rsid w:val="008227A8"/>
    <w:rsid w:val="0082288C"/>
    <w:rsid w:val="00822A29"/>
    <w:rsid w:val="00822A9C"/>
    <w:rsid w:val="00822AE8"/>
    <w:rsid w:val="00822B14"/>
    <w:rsid w:val="00822C7B"/>
    <w:rsid w:val="00822CE7"/>
    <w:rsid w:val="00823317"/>
    <w:rsid w:val="00823448"/>
    <w:rsid w:val="008234E6"/>
    <w:rsid w:val="008235C2"/>
    <w:rsid w:val="0082363E"/>
    <w:rsid w:val="008237C6"/>
    <w:rsid w:val="008237D0"/>
    <w:rsid w:val="0082385E"/>
    <w:rsid w:val="00823B67"/>
    <w:rsid w:val="00823BB1"/>
    <w:rsid w:val="00823C38"/>
    <w:rsid w:val="00823EA7"/>
    <w:rsid w:val="00823F9B"/>
    <w:rsid w:val="00823FB2"/>
    <w:rsid w:val="00823FF8"/>
    <w:rsid w:val="00823FFE"/>
    <w:rsid w:val="00824071"/>
    <w:rsid w:val="00824219"/>
    <w:rsid w:val="00824522"/>
    <w:rsid w:val="00824574"/>
    <w:rsid w:val="00824603"/>
    <w:rsid w:val="00824676"/>
    <w:rsid w:val="008246AF"/>
    <w:rsid w:val="008246FA"/>
    <w:rsid w:val="008247F5"/>
    <w:rsid w:val="0082481C"/>
    <w:rsid w:val="00824848"/>
    <w:rsid w:val="0082487D"/>
    <w:rsid w:val="008249BE"/>
    <w:rsid w:val="008249D5"/>
    <w:rsid w:val="00824A6F"/>
    <w:rsid w:val="00824AB1"/>
    <w:rsid w:val="00824BB3"/>
    <w:rsid w:val="00824BBF"/>
    <w:rsid w:val="00824E30"/>
    <w:rsid w:val="00824E45"/>
    <w:rsid w:val="00824E7F"/>
    <w:rsid w:val="00824F7C"/>
    <w:rsid w:val="00824F8C"/>
    <w:rsid w:val="008250AA"/>
    <w:rsid w:val="0082513D"/>
    <w:rsid w:val="0082517A"/>
    <w:rsid w:val="0082531D"/>
    <w:rsid w:val="008253EF"/>
    <w:rsid w:val="008253F9"/>
    <w:rsid w:val="0082553B"/>
    <w:rsid w:val="00825696"/>
    <w:rsid w:val="00825834"/>
    <w:rsid w:val="008258D4"/>
    <w:rsid w:val="00825B0D"/>
    <w:rsid w:val="00825B9A"/>
    <w:rsid w:val="00825BD1"/>
    <w:rsid w:val="00825C15"/>
    <w:rsid w:val="00825C2D"/>
    <w:rsid w:val="00825C42"/>
    <w:rsid w:val="00825C8B"/>
    <w:rsid w:val="00825DE3"/>
    <w:rsid w:val="00825F09"/>
    <w:rsid w:val="00825F9B"/>
    <w:rsid w:val="0082603D"/>
    <w:rsid w:val="008260CD"/>
    <w:rsid w:val="00826133"/>
    <w:rsid w:val="00826189"/>
    <w:rsid w:val="00826202"/>
    <w:rsid w:val="00826316"/>
    <w:rsid w:val="00826326"/>
    <w:rsid w:val="00826652"/>
    <w:rsid w:val="00826655"/>
    <w:rsid w:val="0082665A"/>
    <w:rsid w:val="008266E2"/>
    <w:rsid w:val="0082670C"/>
    <w:rsid w:val="00826717"/>
    <w:rsid w:val="0082676E"/>
    <w:rsid w:val="00826818"/>
    <w:rsid w:val="00826821"/>
    <w:rsid w:val="008268EF"/>
    <w:rsid w:val="00826988"/>
    <w:rsid w:val="00826A42"/>
    <w:rsid w:val="00826AF8"/>
    <w:rsid w:val="00826B8E"/>
    <w:rsid w:val="00826BED"/>
    <w:rsid w:val="00826C99"/>
    <w:rsid w:val="00826D08"/>
    <w:rsid w:val="00826E75"/>
    <w:rsid w:val="00826EE5"/>
    <w:rsid w:val="00826F11"/>
    <w:rsid w:val="00826F17"/>
    <w:rsid w:val="00826FE1"/>
    <w:rsid w:val="00826FE6"/>
    <w:rsid w:val="00827058"/>
    <w:rsid w:val="008270E5"/>
    <w:rsid w:val="00827102"/>
    <w:rsid w:val="00827194"/>
    <w:rsid w:val="00827297"/>
    <w:rsid w:val="008272E2"/>
    <w:rsid w:val="008273DA"/>
    <w:rsid w:val="0082752F"/>
    <w:rsid w:val="00827569"/>
    <w:rsid w:val="008275FC"/>
    <w:rsid w:val="00827725"/>
    <w:rsid w:val="0082774A"/>
    <w:rsid w:val="008277AC"/>
    <w:rsid w:val="008277CB"/>
    <w:rsid w:val="00827875"/>
    <w:rsid w:val="00827964"/>
    <w:rsid w:val="00827AE8"/>
    <w:rsid w:val="00827B99"/>
    <w:rsid w:val="00827BB3"/>
    <w:rsid w:val="00827BC3"/>
    <w:rsid w:val="00827C22"/>
    <w:rsid w:val="00827D0E"/>
    <w:rsid w:val="00827D13"/>
    <w:rsid w:val="00827D90"/>
    <w:rsid w:val="00827E52"/>
    <w:rsid w:val="00827EA2"/>
    <w:rsid w:val="00827F1A"/>
    <w:rsid w:val="00827F41"/>
    <w:rsid w:val="008300C9"/>
    <w:rsid w:val="0083015F"/>
    <w:rsid w:val="008302B3"/>
    <w:rsid w:val="00830491"/>
    <w:rsid w:val="00830518"/>
    <w:rsid w:val="00830576"/>
    <w:rsid w:val="00830689"/>
    <w:rsid w:val="008306BF"/>
    <w:rsid w:val="008306C4"/>
    <w:rsid w:val="00830724"/>
    <w:rsid w:val="0083072D"/>
    <w:rsid w:val="008307A6"/>
    <w:rsid w:val="008309A2"/>
    <w:rsid w:val="00830AE2"/>
    <w:rsid w:val="00830B9D"/>
    <w:rsid w:val="00830C15"/>
    <w:rsid w:val="00830C26"/>
    <w:rsid w:val="00830D14"/>
    <w:rsid w:val="00830D5D"/>
    <w:rsid w:val="00830F1D"/>
    <w:rsid w:val="00830F8D"/>
    <w:rsid w:val="00831023"/>
    <w:rsid w:val="00831105"/>
    <w:rsid w:val="00831128"/>
    <w:rsid w:val="00831157"/>
    <w:rsid w:val="00831168"/>
    <w:rsid w:val="0083116E"/>
    <w:rsid w:val="008312AA"/>
    <w:rsid w:val="008312AB"/>
    <w:rsid w:val="00831357"/>
    <w:rsid w:val="0083139E"/>
    <w:rsid w:val="008313C8"/>
    <w:rsid w:val="008314D6"/>
    <w:rsid w:val="008314E2"/>
    <w:rsid w:val="00831548"/>
    <w:rsid w:val="008316E2"/>
    <w:rsid w:val="008316E7"/>
    <w:rsid w:val="008316FE"/>
    <w:rsid w:val="00831763"/>
    <w:rsid w:val="008317BA"/>
    <w:rsid w:val="008317BF"/>
    <w:rsid w:val="008317C2"/>
    <w:rsid w:val="00831871"/>
    <w:rsid w:val="008318C0"/>
    <w:rsid w:val="008318C9"/>
    <w:rsid w:val="00831A49"/>
    <w:rsid w:val="00831AC2"/>
    <w:rsid w:val="00831ADC"/>
    <w:rsid w:val="00831B4C"/>
    <w:rsid w:val="00831C8F"/>
    <w:rsid w:val="00831D8A"/>
    <w:rsid w:val="00831DEF"/>
    <w:rsid w:val="00831EA6"/>
    <w:rsid w:val="00831EE3"/>
    <w:rsid w:val="00831F49"/>
    <w:rsid w:val="008320F3"/>
    <w:rsid w:val="00832125"/>
    <w:rsid w:val="0083221F"/>
    <w:rsid w:val="0083229F"/>
    <w:rsid w:val="008322BF"/>
    <w:rsid w:val="0083238C"/>
    <w:rsid w:val="00832524"/>
    <w:rsid w:val="0083262F"/>
    <w:rsid w:val="0083263E"/>
    <w:rsid w:val="00832715"/>
    <w:rsid w:val="00832896"/>
    <w:rsid w:val="00832981"/>
    <w:rsid w:val="00832A79"/>
    <w:rsid w:val="00832BC4"/>
    <w:rsid w:val="00832DAC"/>
    <w:rsid w:val="00832E22"/>
    <w:rsid w:val="00832FA3"/>
    <w:rsid w:val="00832FDF"/>
    <w:rsid w:val="0083307C"/>
    <w:rsid w:val="00833097"/>
    <w:rsid w:val="00833222"/>
    <w:rsid w:val="00833241"/>
    <w:rsid w:val="00833268"/>
    <w:rsid w:val="008332BF"/>
    <w:rsid w:val="008332FA"/>
    <w:rsid w:val="00833389"/>
    <w:rsid w:val="00833433"/>
    <w:rsid w:val="00833527"/>
    <w:rsid w:val="008335A3"/>
    <w:rsid w:val="008335E9"/>
    <w:rsid w:val="0083364F"/>
    <w:rsid w:val="00833820"/>
    <w:rsid w:val="008338BF"/>
    <w:rsid w:val="00833920"/>
    <w:rsid w:val="0083392F"/>
    <w:rsid w:val="008339A2"/>
    <w:rsid w:val="00833A33"/>
    <w:rsid w:val="00833AB2"/>
    <w:rsid w:val="00833ABD"/>
    <w:rsid w:val="00833B40"/>
    <w:rsid w:val="00833CA2"/>
    <w:rsid w:val="00833CDA"/>
    <w:rsid w:val="00833F88"/>
    <w:rsid w:val="008340A9"/>
    <w:rsid w:val="008340B6"/>
    <w:rsid w:val="00834171"/>
    <w:rsid w:val="008341D0"/>
    <w:rsid w:val="008341F2"/>
    <w:rsid w:val="008344F8"/>
    <w:rsid w:val="0083460E"/>
    <w:rsid w:val="00834710"/>
    <w:rsid w:val="00834765"/>
    <w:rsid w:val="0083477D"/>
    <w:rsid w:val="00834815"/>
    <w:rsid w:val="0083482F"/>
    <w:rsid w:val="00834910"/>
    <w:rsid w:val="0083499B"/>
    <w:rsid w:val="00834A63"/>
    <w:rsid w:val="00834AA5"/>
    <w:rsid w:val="00834BCB"/>
    <w:rsid w:val="00834C5D"/>
    <w:rsid w:val="00834C7E"/>
    <w:rsid w:val="00834D5E"/>
    <w:rsid w:val="00834E13"/>
    <w:rsid w:val="00834E69"/>
    <w:rsid w:val="00834F18"/>
    <w:rsid w:val="00834F1E"/>
    <w:rsid w:val="00834F32"/>
    <w:rsid w:val="00834F7F"/>
    <w:rsid w:val="0083502A"/>
    <w:rsid w:val="0083506A"/>
    <w:rsid w:val="0083506C"/>
    <w:rsid w:val="0083509C"/>
    <w:rsid w:val="008350A8"/>
    <w:rsid w:val="00835285"/>
    <w:rsid w:val="00835292"/>
    <w:rsid w:val="00835307"/>
    <w:rsid w:val="008353AE"/>
    <w:rsid w:val="0083554C"/>
    <w:rsid w:val="00835631"/>
    <w:rsid w:val="008356F2"/>
    <w:rsid w:val="0083574C"/>
    <w:rsid w:val="0083578B"/>
    <w:rsid w:val="00835860"/>
    <w:rsid w:val="00835A11"/>
    <w:rsid w:val="00835A16"/>
    <w:rsid w:val="00835A23"/>
    <w:rsid w:val="00835B40"/>
    <w:rsid w:val="00835B5F"/>
    <w:rsid w:val="00835B9D"/>
    <w:rsid w:val="00835C6C"/>
    <w:rsid w:val="00835D8A"/>
    <w:rsid w:val="00835F45"/>
    <w:rsid w:val="00835F88"/>
    <w:rsid w:val="00835FA8"/>
    <w:rsid w:val="00836044"/>
    <w:rsid w:val="008360B9"/>
    <w:rsid w:val="008362D3"/>
    <w:rsid w:val="00836352"/>
    <w:rsid w:val="00836385"/>
    <w:rsid w:val="0083645F"/>
    <w:rsid w:val="008364CC"/>
    <w:rsid w:val="00836528"/>
    <w:rsid w:val="008365AC"/>
    <w:rsid w:val="008365F9"/>
    <w:rsid w:val="00836685"/>
    <w:rsid w:val="0083675F"/>
    <w:rsid w:val="008368CE"/>
    <w:rsid w:val="00836918"/>
    <w:rsid w:val="00836958"/>
    <w:rsid w:val="00836982"/>
    <w:rsid w:val="00836C79"/>
    <w:rsid w:val="00836D17"/>
    <w:rsid w:val="00836D9C"/>
    <w:rsid w:val="00836DFA"/>
    <w:rsid w:val="00836E57"/>
    <w:rsid w:val="00836EBF"/>
    <w:rsid w:val="008370EE"/>
    <w:rsid w:val="0083719A"/>
    <w:rsid w:val="008371A2"/>
    <w:rsid w:val="0083723D"/>
    <w:rsid w:val="008372E8"/>
    <w:rsid w:val="00837351"/>
    <w:rsid w:val="00837455"/>
    <w:rsid w:val="008374C4"/>
    <w:rsid w:val="008374D3"/>
    <w:rsid w:val="0083755D"/>
    <w:rsid w:val="0083757C"/>
    <w:rsid w:val="008375ED"/>
    <w:rsid w:val="00837702"/>
    <w:rsid w:val="00837758"/>
    <w:rsid w:val="008378B4"/>
    <w:rsid w:val="008378B7"/>
    <w:rsid w:val="008379C5"/>
    <w:rsid w:val="00837AA5"/>
    <w:rsid w:val="00837AC5"/>
    <w:rsid w:val="00837AF2"/>
    <w:rsid w:val="00837B2A"/>
    <w:rsid w:val="00837B31"/>
    <w:rsid w:val="00837B5B"/>
    <w:rsid w:val="00837B78"/>
    <w:rsid w:val="00837BF2"/>
    <w:rsid w:val="00837CED"/>
    <w:rsid w:val="00837F44"/>
    <w:rsid w:val="00837F75"/>
    <w:rsid w:val="008400DB"/>
    <w:rsid w:val="008400E1"/>
    <w:rsid w:val="008400F2"/>
    <w:rsid w:val="0084020C"/>
    <w:rsid w:val="00840277"/>
    <w:rsid w:val="00840310"/>
    <w:rsid w:val="00840374"/>
    <w:rsid w:val="008403BE"/>
    <w:rsid w:val="00840484"/>
    <w:rsid w:val="008404DE"/>
    <w:rsid w:val="008405C8"/>
    <w:rsid w:val="00840A53"/>
    <w:rsid w:val="00840B35"/>
    <w:rsid w:val="00840B44"/>
    <w:rsid w:val="00840D19"/>
    <w:rsid w:val="00840F78"/>
    <w:rsid w:val="00840F8E"/>
    <w:rsid w:val="00840F95"/>
    <w:rsid w:val="00841011"/>
    <w:rsid w:val="00841051"/>
    <w:rsid w:val="0084123A"/>
    <w:rsid w:val="008413B6"/>
    <w:rsid w:val="008413C1"/>
    <w:rsid w:val="00841472"/>
    <w:rsid w:val="0084159B"/>
    <w:rsid w:val="0084160C"/>
    <w:rsid w:val="00841887"/>
    <w:rsid w:val="008418C1"/>
    <w:rsid w:val="00841E31"/>
    <w:rsid w:val="00841EC8"/>
    <w:rsid w:val="00841F4A"/>
    <w:rsid w:val="00842036"/>
    <w:rsid w:val="008422A0"/>
    <w:rsid w:val="008422C3"/>
    <w:rsid w:val="0084234C"/>
    <w:rsid w:val="0084259B"/>
    <w:rsid w:val="0084263C"/>
    <w:rsid w:val="00842666"/>
    <w:rsid w:val="00842801"/>
    <w:rsid w:val="00842892"/>
    <w:rsid w:val="00842956"/>
    <w:rsid w:val="00842966"/>
    <w:rsid w:val="008429C9"/>
    <w:rsid w:val="00842A38"/>
    <w:rsid w:val="00842CD7"/>
    <w:rsid w:val="00842CDD"/>
    <w:rsid w:val="00842D14"/>
    <w:rsid w:val="00842DEE"/>
    <w:rsid w:val="00842EA0"/>
    <w:rsid w:val="00842F26"/>
    <w:rsid w:val="00843069"/>
    <w:rsid w:val="008430C1"/>
    <w:rsid w:val="008430FC"/>
    <w:rsid w:val="008431D2"/>
    <w:rsid w:val="008432A0"/>
    <w:rsid w:val="008432DB"/>
    <w:rsid w:val="00843490"/>
    <w:rsid w:val="008434D4"/>
    <w:rsid w:val="008434FC"/>
    <w:rsid w:val="00843560"/>
    <w:rsid w:val="00843705"/>
    <w:rsid w:val="008438BB"/>
    <w:rsid w:val="008438BF"/>
    <w:rsid w:val="00843963"/>
    <w:rsid w:val="00843B55"/>
    <w:rsid w:val="00843B62"/>
    <w:rsid w:val="00843C7F"/>
    <w:rsid w:val="00843CAE"/>
    <w:rsid w:val="00843CB8"/>
    <w:rsid w:val="00843D51"/>
    <w:rsid w:val="00843EAB"/>
    <w:rsid w:val="00843EB7"/>
    <w:rsid w:val="00843F17"/>
    <w:rsid w:val="00844037"/>
    <w:rsid w:val="008440D5"/>
    <w:rsid w:val="00844273"/>
    <w:rsid w:val="00844356"/>
    <w:rsid w:val="00844366"/>
    <w:rsid w:val="008443EB"/>
    <w:rsid w:val="008444B8"/>
    <w:rsid w:val="0084453D"/>
    <w:rsid w:val="0084453F"/>
    <w:rsid w:val="00844698"/>
    <w:rsid w:val="00844763"/>
    <w:rsid w:val="0084484D"/>
    <w:rsid w:val="00844882"/>
    <w:rsid w:val="0084491A"/>
    <w:rsid w:val="0084493A"/>
    <w:rsid w:val="0084498E"/>
    <w:rsid w:val="00844A0B"/>
    <w:rsid w:val="00844AB9"/>
    <w:rsid w:val="00844B01"/>
    <w:rsid w:val="00844C58"/>
    <w:rsid w:val="00844D15"/>
    <w:rsid w:val="00844E72"/>
    <w:rsid w:val="00844EB3"/>
    <w:rsid w:val="00844EEE"/>
    <w:rsid w:val="00844F6A"/>
    <w:rsid w:val="00844FA6"/>
    <w:rsid w:val="00844FAD"/>
    <w:rsid w:val="00845017"/>
    <w:rsid w:val="0084524D"/>
    <w:rsid w:val="00845291"/>
    <w:rsid w:val="00845299"/>
    <w:rsid w:val="0084540B"/>
    <w:rsid w:val="008454F4"/>
    <w:rsid w:val="008455DE"/>
    <w:rsid w:val="0084563F"/>
    <w:rsid w:val="008456B0"/>
    <w:rsid w:val="00845839"/>
    <w:rsid w:val="00845917"/>
    <w:rsid w:val="0084592D"/>
    <w:rsid w:val="0084593D"/>
    <w:rsid w:val="008459C7"/>
    <w:rsid w:val="008459FD"/>
    <w:rsid w:val="00845A20"/>
    <w:rsid w:val="00845A2B"/>
    <w:rsid w:val="00845A95"/>
    <w:rsid w:val="00845B47"/>
    <w:rsid w:val="00845B99"/>
    <w:rsid w:val="00845D12"/>
    <w:rsid w:val="00845D98"/>
    <w:rsid w:val="00845DC1"/>
    <w:rsid w:val="00845DD5"/>
    <w:rsid w:val="00845F78"/>
    <w:rsid w:val="00846070"/>
    <w:rsid w:val="00846105"/>
    <w:rsid w:val="0084620A"/>
    <w:rsid w:val="0084621E"/>
    <w:rsid w:val="008462BF"/>
    <w:rsid w:val="00846309"/>
    <w:rsid w:val="008464EA"/>
    <w:rsid w:val="008466F9"/>
    <w:rsid w:val="0084682B"/>
    <w:rsid w:val="008468AF"/>
    <w:rsid w:val="00846A86"/>
    <w:rsid w:val="00846C70"/>
    <w:rsid w:val="00846CC0"/>
    <w:rsid w:val="00846D82"/>
    <w:rsid w:val="00846DAC"/>
    <w:rsid w:val="00846EAE"/>
    <w:rsid w:val="00847170"/>
    <w:rsid w:val="008471CE"/>
    <w:rsid w:val="00847211"/>
    <w:rsid w:val="0084738F"/>
    <w:rsid w:val="008473E6"/>
    <w:rsid w:val="0084744F"/>
    <w:rsid w:val="00847512"/>
    <w:rsid w:val="00847596"/>
    <w:rsid w:val="008475D0"/>
    <w:rsid w:val="008475FD"/>
    <w:rsid w:val="00847730"/>
    <w:rsid w:val="008477C6"/>
    <w:rsid w:val="00847819"/>
    <w:rsid w:val="008478A3"/>
    <w:rsid w:val="008478AA"/>
    <w:rsid w:val="008478F2"/>
    <w:rsid w:val="00847998"/>
    <w:rsid w:val="008479A8"/>
    <w:rsid w:val="00847B06"/>
    <w:rsid w:val="00847DB6"/>
    <w:rsid w:val="00847DE3"/>
    <w:rsid w:val="00847F15"/>
    <w:rsid w:val="00847FB6"/>
    <w:rsid w:val="00850074"/>
    <w:rsid w:val="0085020A"/>
    <w:rsid w:val="0085034D"/>
    <w:rsid w:val="00850355"/>
    <w:rsid w:val="008504CE"/>
    <w:rsid w:val="008505D0"/>
    <w:rsid w:val="00850679"/>
    <w:rsid w:val="008506B8"/>
    <w:rsid w:val="008506F8"/>
    <w:rsid w:val="008508B4"/>
    <w:rsid w:val="00850923"/>
    <w:rsid w:val="0085094E"/>
    <w:rsid w:val="00850994"/>
    <w:rsid w:val="00850A09"/>
    <w:rsid w:val="00850A39"/>
    <w:rsid w:val="00850BD4"/>
    <w:rsid w:val="00850BF4"/>
    <w:rsid w:val="00850C24"/>
    <w:rsid w:val="00850C33"/>
    <w:rsid w:val="00850C3F"/>
    <w:rsid w:val="00850DBD"/>
    <w:rsid w:val="00851069"/>
    <w:rsid w:val="00851074"/>
    <w:rsid w:val="00851081"/>
    <w:rsid w:val="008510CE"/>
    <w:rsid w:val="0085111C"/>
    <w:rsid w:val="008511F6"/>
    <w:rsid w:val="00851208"/>
    <w:rsid w:val="0085121C"/>
    <w:rsid w:val="0085124F"/>
    <w:rsid w:val="00851301"/>
    <w:rsid w:val="00851323"/>
    <w:rsid w:val="008513DA"/>
    <w:rsid w:val="00851643"/>
    <w:rsid w:val="00851697"/>
    <w:rsid w:val="008516A2"/>
    <w:rsid w:val="00851708"/>
    <w:rsid w:val="00851910"/>
    <w:rsid w:val="00851957"/>
    <w:rsid w:val="0085198C"/>
    <w:rsid w:val="00851A55"/>
    <w:rsid w:val="00851BB9"/>
    <w:rsid w:val="00851BDB"/>
    <w:rsid w:val="00851C9D"/>
    <w:rsid w:val="00851D93"/>
    <w:rsid w:val="008521AF"/>
    <w:rsid w:val="008521FC"/>
    <w:rsid w:val="0085220B"/>
    <w:rsid w:val="00852304"/>
    <w:rsid w:val="00852329"/>
    <w:rsid w:val="00852381"/>
    <w:rsid w:val="0085244D"/>
    <w:rsid w:val="00852469"/>
    <w:rsid w:val="008524D3"/>
    <w:rsid w:val="0085254A"/>
    <w:rsid w:val="00852590"/>
    <w:rsid w:val="008525C3"/>
    <w:rsid w:val="008525CA"/>
    <w:rsid w:val="00852607"/>
    <w:rsid w:val="0085265A"/>
    <w:rsid w:val="008526E9"/>
    <w:rsid w:val="0085271D"/>
    <w:rsid w:val="00852959"/>
    <w:rsid w:val="00852A2D"/>
    <w:rsid w:val="00852C01"/>
    <w:rsid w:val="00852C8D"/>
    <w:rsid w:val="00852DF9"/>
    <w:rsid w:val="00852E82"/>
    <w:rsid w:val="00852E8C"/>
    <w:rsid w:val="00852F2D"/>
    <w:rsid w:val="0085308B"/>
    <w:rsid w:val="0085309B"/>
    <w:rsid w:val="00853166"/>
    <w:rsid w:val="0085318A"/>
    <w:rsid w:val="008531F1"/>
    <w:rsid w:val="00853212"/>
    <w:rsid w:val="008532B1"/>
    <w:rsid w:val="00853314"/>
    <w:rsid w:val="00853328"/>
    <w:rsid w:val="0085333A"/>
    <w:rsid w:val="008533E8"/>
    <w:rsid w:val="00853467"/>
    <w:rsid w:val="008534E4"/>
    <w:rsid w:val="008535DC"/>
    <w:rsid w:val="00853677"/>
    <w:rsid w:val="00853737"/>
    <w:rsid w:val="00853828"/>
    <w:rsid w:val="0085389A"/>
    <w:rsid w:val="008538B9"/>
    <w:rsid w:val="008539D4"/>
    <w:rsid w:val="00853AF3"/>
    <w:rsid w:val="00853BAA"/>
    <w:rsid w:val="00853C0A"/>
    <w:rsid w:val="00853C9C"/>
    <w:rsid w:val="00853D21"/>
    <w:rsid w:val="00853E63"/>
    <w:rsid w:val="00853EAA"/>
    <w:rsid w:val="00853F26"/>
    <w:rsid w:val="00853F52"/>
    <w:rsid w:val="00853F98"/>
    <w:rsid w:val="0085404B"/>
    <w:rsid w:val="0085404C"/>
    <w:rsid w:val="0085404F"/>
    <w:rsid w:val="0085414F"/>
    <w:rsid w:val="0085415F"/>
    <w:rsid w:val="00854211"/>
    <w:rsid w:val="008542B6"/>
    <w:rsid w:val="00854359"/>
    <w:rsid w:val="00854682"/>
    <w:rsid w:val="00854684"/>
    <w:rsid w:val="0085474D"/>
    <w:rsid w:val="0085477E"/>
    <w:rsid w:val="008547D1"/>
    <w:rsid w:val="00854831"/>
    <w:rsid w:val="00854966"/>
    <w:rsid w:val="008549FA"/>
    <w:rsid w:val="00854A02"/>
    <w:rsid w:val="00854B7F"/>
    <w:rsid w:val="00854D14"/>
    <w:rsid w:val="00854DB3"/>
    <w:rsid w:val="00854F16"/>
    <w:rsid w:val="00854F4F"/>
    <w:rsid w:val="00854FA8"/>
    <w:rsid w:val="00855033"/>
    <w:rsid w:val="008550A6"/>
    <w:rsid w:val="008550E3"/>
    <w:rsid w:val="00855159"/>
    <w:rsid w:val="008551E6"/>
    <w:rsid w:val="0085527C"/>
    <w:rsid w:val="0085541E"/>
    <w:rsid w:val="008554A3"/>
    <w:rsid w:val="00855569"/>
    <w:rsid w:val="0085558E"/>
    <w:rsid w:val="008555D1"/>
    <w:rsid w:val="0085566F"/>
    <w:rsid w:val="008556EB"/>
    <w:rsid w:val="00855703"/>
    <w:rsid w:val="00855807"/>
    <w:rsid w:val="0085585A"/>
    <w:rsid w:val="008558B1"/>
    <w:rsid w:val="0085596A"/>
    <w:rsid w:val="00855BA2"/>
    <w:rsid w:val="00855CDE"/>
    <w:rsid w:val="00855FE5"/>
    <w:rsid w:val="0085640B"/>
    <w:rsid w:val="008564A7"/>
    <w:rsid w:val="008564B0"/>
    <w:rsid w:val="008564CD"/>
    <w:rsid w:val="0085654E"/>
    <w:rsid w:val="008565A5"/>
    <w:rsid w:val="00856653"/>
    <w:rsid w:val="008566C4"/>
    <w:rsid w:val="00856714"/>
    <w:rsid w:val="008567BE"/>
    <w:rsid w:val="008567EB"/>
    <w:rsid w:val="0085685A"/>
    <w:rsid w:val="00856897"/>
    <w:rsid w:val="00856AC3"/>
    <w:rsid w:val="00856AE9"/>
    <w:rsid w:val="00856B0F"/>
    <w:rsid w:val="00856B95"/>
    <w:rsid w:val="00856C7C"/>
    <w:rsid w:val="00856CB5"/>
    <w:rsid w:val="00856DF3"/>
    <w:rsid w:val="00856E7D"/>
    <w:rsid w:val="00856EEB"/>
    <w:rsid w:val="00856EFC"/>
    <w:rsid w:val="00856F6B"/>
    <w:rsid w:val="00857000"/>
    <w:rsid w:val="00857050"/>
    <w:rsid w:val="0085706C"/>
    <w:rsid w:val="00857289"/>
    <w:rsid w:val="008572DB"/>
    <w:rsid w:val="008572EE"/>
    <w:rsid w:val="008572FD"/>
    <w:rsid w:val="00857449"/>
    <w:rsid w:val="008574B9"/>
    <w:rsid w:val="008574C6"/>
    <w:rsid w:val="0085750E"/>
    <w:rsid w:val="008576DA"/>
    <w:rsid w:val="00857728"/>
    <w:rsid w:val="00857764"/>
    <w:rsid w:val="00857934"/>
    <w:rsid w:val="00857A21"/>
    <w:rsid w:val="00857AF6"/>
    <w:rsid w:val="00857B04"/>
    <w:rsid w:val="00857B41"/>
    <w:rsid w:val="00857C96"/>
    <w:rsid w:val="00857D3E"/>
    <w:rsid w:val="00857DA2"/>
    <w:rsid w:val="00857E1B"/>
    <w:rsid w:val="00857E8D"/>
    <w:rsid w:val="00857F7F"/>
    <w:rsid w:val="00857FC3"/>
    <w:rsid w:val="0086001A"/>
    <w:rsid w:val="008600A0"/>
    <w:rsid w:val="008600D5"/>
    <w:rsid w:val="00860108"/>
    <w:rsid w:val="00860109"/>
    <w:rsid w:val="00860188"/>
    <w:rsid w:val="008601B8"/>
    <w:rsid w:val="0086028B"/>
    <w:rsid w:val="008602EF"/>
    <w:rsid w:val="00860308"/>
    <w:rsid w:val="0086030F"/>
    <w:rsid w:val="0086031D"/>
    <w:rsid w:val="00860457"/>
    <w:rsid w:val="008604F2"/>
    <w:rsid w:val="00860557"/>
    <w:rsid w:val="00860679"/>
    <w:rsid w:val="0086069C"/>
    <w:rsid w:val="008606B2"/>
    <w:rsid w:val="008607F8"/>
    <w:rsid w:val="00860812"/>
    <w:rsid w:val="00860A9D"/>
    <w:rsid w:val="00860AF9"/>
    <w:rsid w:val="00860B30"/>
    <w:rsid w:val="00860C3F"/>
    <w:rsid w:val="00860CD0"/>
    <w:rsid w:val="00860CEE"/>
    <w:rsid w:val="00860D16"/>
    <w:rsid w:val="00860E1A"/>
    <w:rsid w:val="00860E42"/>
    <w:rsid w:val="00860E98"/>
    <w:rsid w:val="00860F4B"/>
    <w:rsid w:val="00860F94"/>
    <w:rsid w:val="008610A5"/>
    <w:rsid w:val="008610E3"/>
    <w:rsid w:val="00861177"/>
    <w:rsid w:val="00861235"/>
    <w:rsid w:val="008612E7"/>
    <w:rsid w:val="00861323"/>
    <w:rsid w:val="00861328"/>
    <w:rsid w:val="00861373"/>
    <w:rsid w:val="008613A2"/>
    <w:rsid w:val="00861498"/>
    <w:rsid w:val="008614C2"/>
    <w:rsid w:val="00861533"/>
    <w:rsid w:val="00861564"/>
    <w:rsid w:val="00861693"/>
    <w:rsid w:val="00861744"/>
    <w:rsid w:val="0086184C"/>
    <w:rsid w:val="008618BE"/>
    <w:rsid w:val="0086196B"/>
    <w:rsid w:val="008619E2"/>
    <w:rsid w:val="00861AE6"/>
    <w:rsid w:val="00861AFF"/>
    <w:rsid w:val="00861BC0"/>
    <w:rsid w:val="00861BD0"/>
    <w:rsid w:val="00861C53"/>
    <w:rsid w:val="00861C5E"/>
    <w:rsid w:val="00861C7A"/>
    <w:rsid w:val="00861D3D"/>
    <w:rsid w:val="00861DBB"/>
    <w:rsid w:val="00861E3F"/>
    <w:rsid w:val="00861E6A"/>
    <w:rsid w:val="00862103"/>
    <w:rsid w:val="00862165"/>
    <w:rsid w:val="00862241"/>
    <w:rsid w:val="008622C8"/>
    <w:rsid w:val="00862317"/>
    <w:rsid w:val="0086234D"/>
    <w:rsid w:val="0086246E"/>
    <w:rsid w:val="008624A2"/>
    <w:rsid w:val="0086252B"/>
    <w:rsid w:val="0086261A"/>
    <w:rsid w:val="008626DA"/>
    <w:rsid w:val="008626F3"/>
    <w:rsid w:val="008627F3"/>
    <w:rsid w:val="0086294B"/>
    <w:rsid w:val="00862A45"/>
    <w:rsid w:val="00862A63"/>
    <w:rsid w:val="00862A7C"/>
    <w:rsid w:val="00862A8A"/>
    <w:rsid w:val="00862AF2"/>
    <w:rsid w:val="00862C6F"/>
    <w:rsid w:val="00862C8A"/>
    <w:rsid w:val="00862D09"/>
    <w:rsid w:val="00862D9D"/>
    <w:rsid w:val="00863057"/>
    <w:rsid w:val="008630D3"/>
    <w:rsid w:val="0086313D"/>
    <w:rsid w:val="00863203"/>
    <w:rsid w:val="00863339"/>
    <w:rsid w:val="00863350"/>
    <w:rsid w:val="008633D7"/>
    <w:rsid w:val="00863416"/>
    <w:rsid w:val="00863465"/>
    <w:rsid w:val="0086351C"/>
    <w:rsid w:val="00863593"/>
    <w:rsid w:val="0086360F"/>
    <w:rsid w:val="008636A7"/>
    <w:rsid w:val="00863750"/>
    <w:rsid w:val="0086378B"/>
    <w:rsid w:val="008637E1"/>
    <w:rsid w:val="008637F1"/>
    <w:rsid w:val="008638BA"/>
    <w:rsid w:val="00863A0A"/>
    <w:rsid w:val="00863AB5"/>
    <w:rsid w:val="00863AC9"/>
    <w:rsid w:val="00863C34"/>
    <w:rsid w:val="00863DD8"/>
    <w:rsid w:val="00863F09"/>
    <w:rsid w:val="00864002"/>
    <w:rsid w:val="00864012"/>
    <w:rsid w:val="00864022"/>
    <w:rsid w:val="00864040"/>
    <w:rsid w:val="00864073"/>
    <w:rsid w:val="008640BA"/>
    <w:rsid w:val="008640BF"/>
    <w:rsid w:val="008640F8"/>
    <w:rsid w:val="00864181"/>
    <w:rsid w:val="0086420F"/>
    <w:rsid w:val="0086424D"/>
    <w:rsid w:val="00864264"/>
    <w:rsid w:val="00864511"/>
    <w:rsid w:val="008645E0"/>
    <w:rsid w:val="00864623"/>
    <w:rsid w:val="008646A8"/>
    <w:rsid w:val="008646E9"/>
    <w:rsid w:val="008647F5"/>
    <w:rsid w:val="00864881"/>
    <w:rsid w:val="00864939"/>
    <w:rsid w:val="00864A7A"/>
    <w:rsid w:val="00864BCC"/>
    <w:rsid w:val="00864C5C"/>
    <w:rsid w:val="00864C84"/>
    <w:rsid w:val="00864D26"/>
    <w:rsid w:val="00864D79"/>
    <w:rsid w:val="00864DE4"/>
    <w:rsid w:val="00864F90"/>
    <w:rsid w:val="00864FF6"/>
    <w:rsid w:val="00865000"/>
    <w:rsid w:val="00865033"/>
    <w:rsid w:val="00865090"/>
    <w:rsid w:val="008650AE"/>
    <w:rsid w:val="00865100"/>
    <w:rsid w:val="008651DE"/>
    <w:rsid w:val="008652AB"/>
    <w:rsid w:val="008652B1"/>
    <w:rsid w:val="008652BA"/>
    <w:rsid w:val="00865395"/>
    <w:rsid w:val="00865397"/>
    <w:rsid w:val="008655F7"/>
    <w:rsid w:val="0086582A"/>
    <w:rsid w:val="00865847"/>
    <w:rsid w:val="00865923"/>
    <w:rsid w:val="00865931"/>
    <w:rsid w:val="00865974"/>
    <w:rsid w:val="00865990"/>
    <w:rsid w:val="008659D2"/>
    <w:rsid w:val="00865A67"/>
    <w:rsid w:val="00865AF5"/>
    <w:rsid w:val="00865B5D"/>
    <w:rsid w:val="00865B9B"/>
    <w:rsid w:val="00865C3B"/>
    <w:rsid w:val="00865C6B"/>
    <w:rsid w:val="00865CD9"/>
    <w:rsid w:val="00865D0D"/>
    <w:rsid w:val="00865D26"/>
    <w:rsid w:val="00865D62"/>
    <w:rsid w:val="00865DB6"/>
    <w:rsid w:val="00865EB6"/>
    <w:rsid w:val="00865F23"/>
    <w:rsid w:val="00865F79"/>
    <w:rsid w:val="00865F8F"/>
    <w:rsid w:val="008660E9"/>
    <w:rsid w:val="0086628E"/>
    <w:rsid w:val="0086632D"/>
    <w:rsid w:val="0086637E"/>
    <w:rsid w:val="00866424"/>
    <w:rsid w:val="00866448"/>
    <w:rsid w:val="008664C8"/>
    <w:rsid w:val="00866533"/>
    <w:rsid w:val="008665FC"/>
    <w:rsid w:val="008666C5"/>
    <w:rsid w:val="008666D4"/>
    <w:rsid w:val="00866756"/>
    <w:rsid w:val="008667A6"/>
    <w:rsid w:val="00866807"/>
    <w:rsid w:val="0086686C"/>
    <w:rsid w:val="00866881"/>
    <w:rsid w:val="008668E7"/>
    <w:rsid w:val="00866C0F"/>
    <w:rsid w:val="00866C44"/>
    <w:rsid w:val="00866C8D"/>
    <w:rsid w:val="00866CB6"/>
    <w:rsid w:val="00866D07"/>
    <w:rsid w:val="00866D54"/>
    <w:rsid w:val="00866E09"/>
    <w:rsid w:val="0086706B"/>
    <w:rsid w:val="008670F1"/>
    <w:rsid w:val="00867152"/>
    <w:rsid w:val="0086745F"/>
    <w:rsid w:val="0086765F"/>
    <w:rsid w:val="008676A3"/>
    <w:rsid w:val="00867753"/>
    <w:rsid w:val="0086775B"/>
    <w:rsid w:val="00867781"/>
    <w:rsid w:val="00867891"/>
    <w:rsid w:val="00867935"/>
    <w:rsid w:val="008679C3"/>
    <w:rsid w:val="00867A11"/>
    <w:rsid w:val="00867AAC"/>
    <w:rsid w:val="00867B5F"/>
    <w:rsid w:val="00867C44"/>
    <w:rsid w:val="00867D08"/>
    <w:rsid w:val="00867D98"/>
    <w:rsid w:val="00867E13"/>
    <w:rsid w:val="00867EDD"/>
    <w:rsid w:val="00867F8D"/>
    <w:rsid w:val="00867FAB"/>
    <w:rsid w:val="0087008C"/>
    <w:rsid w:val="008701C3"/>
    <w:rsid w:val="008701E2"/>
    <w:rsid w:val="00870217"/>
    <w:rsid w:val="00870389"/>
    <w:rsid w:val="00870417"/>
    <w:rsid w:val="00870418"/>
    <w:rsid w:val="00870927"/>
    <w:rsid w:val="00870936"/>
    <w:rsid w:val="008709C3"/>
    <w:rsid w:val="00870A44"/>
    <w:rsid w:val="00870AF3"/>
    <w:rsid w:val="00870B4C"/>
    <w:rsid w:val="00870C2B"/>
    <w:rsid w:val="00870CE2"/>
    <w:rsid w:val="00870D77"/>
    <w:rsid w:val="00870FC1"/>
    <w:rsid w:val="00871286"/>
    <w:rsid w:val="00871297"/>
    <w:rsid w:val="0087129E"/>
    <w:rsid w:val="008712B4"/>
    <w:rsid w:val="008713DE"/>
    <w:rsid w:val="008713E9"/>
    <w:rsid w:val="008715A6"/>
    <w:rsid w:val="0087161B"/>
    <w:rsid w:val="008716E7"/>
    <w:rsid w:val="0087171F"/>
    <w:rsid w:val="00871793"/>
    <w:rsid w:val="00871857"/>
    <w:rsid w:val="0087185D"/>
    <w:rsid w:val="00871970"/>
    <w:rsid w:val="008719A6"/>
    <w:rsid w:val="008719C5"/>
    <w:rsid w:val="00871C28"/>
    <w:rsid w:val="00871CD1"/>
    <w:rsid w:val="00871CE9"/>
    <w:rsid w:val="00871D48"/>
    <w:rsid w:val="00871D4E"/>
    <w:rsid w:val="00871D98"/>
    <w:rsid w:val="00871E1B"/>
    <w:rsid w:val="00871ED3"/>
    <w:rsid w:val="00871EE8"/>
    <w:rsid w:val="00872023"/>
    <w:rsid w:val="008720DD"/>
    <w:rsid w:val="008720E3"/>
    <w:rsid w:val="008721AF"/>
    <w:rsid w:val="00872215"/>
    <w:rsid w:val="00872289"/>
    <w:rsid w:val="0087248B"/>
    <w:rsid w:val="00872498"/>
    <w:rsid w:val="0087256A"/>
    <w:rsid w:val="00872630"/>
    <w:rsid w:val="00872672"/>
    <w:rsid w:val="0087274E"/>
    <w:rsid w:val="0087278A"/>
    <w:rsid w:val="008727AF"/>
    <w:rsid w:val="008727F8"/>
    <w:rsid w:val="00872919"/>
    <w:rsid w:val="0087297B"/>
    <w:rsid w:val="00872A6D"/>
    <w:rsid w:val="00872ABC"/>
    <w:rsid w:val="00872AC0"/>
    <w:rsid w:val="00872AC8"/>
    <w:rsid w:val="00872AD7"/>
    <w:rsid w:val="00872B24"/>
    <w:rsid w:val="00872BEA"/>
    <w:rsid w:val="00872D55"/>
    <w:rsid w:val="00872D95"/>
    <w:rsid w:val="00872DA6"/>
    <w:rsid w:val="00872DDF"/>
    <w:rsid w:val="00872E4D"/>
    <w:rsid w:val="0087303B"/>
    <w:rsid w:val="00873077"/>
    <w:rsid w:val="0087317F"/>
    <w:rsid w:val="00873272"/>
    <w:rsid w:val="0087337A"/>
    <w:rsid w:val="008733E7"/>
    <w:rsid w:val="00873536"/>
    <w:rsid w:val="00873570"/>
    <w:rsid w:val="00873624"/>
    <w:rsid w:val="00873685"/>
    <w:rsid w:val="00873702"/>
    <w:rsid w:val="0087374B"/>
    <w:rsid w:val="00873818"/>
    <w:rsid w:val="00873977"/>
    <w:rsid w:val="00873B37"/>
    <w:rsid w:val="00873C33"/>
    <w:rsid w:val="00873C5B"/>
    <w:rsid w:val="00873CE7"/>
    <w:rsid w:val="00873D6B"/>
    <w:rsid w:val="00873DA3"/>
    <w:rsid w:val="00873E7C"/>
    <w:rsid w:val="00873EF2"/>
    <w:rsid w:val="0087402F"/>
    <w:rsid w:val="008740AA"/>
    <w:rsid w:val="00874186"/>
    <w:rsid w:val="0087434D"/>
    <w:rsid w:val="0087442D"/>
    <w:rsid w:val="008744B0"/>
    <w:rsid w:val="008744E9"/>
    <w:rsid w:val="00874521"/>
    <w:rsid w:val="00874659"/>
    <w:rsid w:val="008746CF"/>
    <w:rsid w:val="0087488A"/>
    <w:rsid w:val="00874937"/>
    <w:rsid w:val="008749C7"/>
    <w:rsid w:val="00874C14"/>
    <w:rsid w:val="00874F20"/>
    <w:rsid w:val="00874FB2"/>
    <w:rsid w:val="00874FF4"/>
    <w:rsid w:val="00875202"/>
    <w:rsid w:val="00875259"/>
    <w:rsid w:val="00875267"/>
    <w:rsid w:val="008753C3"/>
    <w:rsid w:val="0087565A"/>
    <w:rsid w:val="00875687"/>
    <w:rsid w:val="008756F2"/>
    <w:rsid w:val="00875755"/>
    <w:rsid w:val="00875811"/>
    <w:rsid w:val="00875868"/>
    <w:rsid w:val="008759F2"/>
    <w:rsid w:val="00875A89"/>
    <w:rsid w:val="00875B35"/>
    <w:rsid w:val="00875BFF"/>
    <w:rsid w:val="00875C8F"/>
    <w:rsid w:val="00875CA5"/>
    <w:rsid w:val="00875CAB"/>
    <w:rsid w:val="00875CFA"/>
    <w:rsid w:val="00875D03"/>
    <w:rsid w:val="00875D40"/>
    <w:rsid w:val="00875DBA"/>
    <w:rsid w:val="00875EF4"/>
    <w:rsid w:val="00875FDA"/>
    <w:rsid w:val="00875FFF"/>
    <w:rsid w:val="00876012"/>
    <w:rsid w:val="00876054"/>
    <w:rsid w:val="00876057"/>
    <w:rsid w:val="00876153"/>
    <w:rsid w:val="008761AA"/>
    <w:rsid w:val="008761DC"/>
    <w:rsid w:val="00876329"/>
    <w:rsid w:val="008763E3"/>
    <w:rsid w:val="0087664E"/>
    <w:rsid w:val="008766A7"/>
    <w:rsid w:val="00876787"/>
    <w:rsid w:val="0087679A"/>
    <w:rsid w:val="0087681F"/>
    <w:rsid w:val="00876998"/>
    <w:rsid w:val="008769AF"/>
    <w:rsid w:val="008769BB"/>
    <w:rsid w:val="00876A0E"/>
    <w:rsid w:val="00876AD5"/>
    <w:rsid w:val="00876B13"/>
    <w:rsid w:val="00876B74"/>
    <w:rsid w:val="00876B8F"/>
    <w:rsid w:val="00876C96"/>
    <w:rsid w:val="00876D76"/>
    <w:rsid w:val="00876DB9"/>
    <w:rsid w:val="00876E1B"/>
    <w:rsid w:val="00876EE7"/>
    <w:rsid w:val="0087700D"/>
    <w:rsid w:val="0087704B"/>
    <w:rsid w:val="00877100"/>
    <w:rsid w:val="008771C0"/>
    <w:rsid w:val="008771CB"/>
    <w:rsid w:val="00877348"/>
    <w:rsid w:val="0087735E"/>
    <w:rsid w:val="00877529"/>
    <w:rsid w:val="008775D2"/>
    <w:rsid w:val="00877632"/>
    <w:rsid w:val="008776BA"/>
    <w:rsid w:val="008778DA"/>
    <w:rsid w:val="008778DD"/>
    <w:rsid w:val="008779A6"/>
    <w:rsid w:val="008779BD"/>
    <w:rsid w:val="00877AD2"/>
    <w:rsid w:val="00877B91"/>
    <w:rsid w:val="00877C3D"/>
    <w:rsid w:val="00877C8C"/>
    <w:rsid w:val="00877CE1"/>
    <w:rsid w:val="00877D46"/>
    <w:rsid w:val="00877DA4"/>
    <w:rsid w:val="00877DAF"/>
    <w:rsid w:val="00877EAA"/>
    <w:rsid w:val="00877F07"/>
    <w:rsid w:val="00877FA7"/>
    <w:rsid w:val="00880005"/>
    <w:rsid w:val="008800B7"/>
    <w:rsid w:val="0088012D"/>
    <w:rsid w:val="00880193"/>
    <w:rsid w:val="00880416"/>
    <w:rsid w:val="00880538"/>
    <w:rsid w:val="00880568"/>
    <w:rsid w:val="008805C0"/>
    <w:rsid w:val="008805EF"/>
    <w:rsid w:val="008807CC"/>
    <w:rsid w:val="0088084C"/>
    <w:rsid w:val="0088091A"/>
    <w:rsid w:val="0088095C"/>
    <w:rsid w:val="0088098A"/>
    <w:rsid w:val="00880A22"/>
    <w:rsid w:val="00880A25"/>
    <w:rsid w:val="00880A7A"/>
    <w:rsid w:val="00880AFA"/>
    <w:rsid w:val="00880B24"/>
    <w:rsid w:val="00880D45"/>
    <w:rsid w:val="00880EFE"/>
    <w:rsid w:val="00880FF1"/>
    <w:rsid w:val="00881071"/>
    <w:rsid w:val="0088122A"/>
    <w:rsid w:val="00881298"/>
    <w:rsid w:val="008813DF"/>
    <w:rsid w:val="0088142D"/>
    <w:rsid w:val="00881450"/>
    <w:rsid w:val="0088147C"/>
    <w:rsid w:val="00881682"/>
    <w:rsid w:val="0088175B"/>
    <w:rsid w:val="00881861"/>
    <w:rsid w:val="00881A02"/>
    <w:rsid w:val="00881ADB"/>
    <w:rsid w:val="00881AE6"/>
    <w:rsid w:val="00881B1E"/>
    <w:rsid w:val="00881C9D"/>
    <w:rsid w:val="00881CAF"/>
    <w:rsid w:val="00881DAB"/>
    <w:rsid w:val="00881E4B"/>
    <w:rsid w:val="00881E82"/>
    <w:rsid w:val="008820B6"/>
    <w:rsid w:val="008820CE"/>
    <w:rsid w:val="00882317"/>
    <w:rsid w:val="0088232A"/>
    <w:rsid w:val="00882379"/>
    <w:rsid w:val="008824A8"/>
    <w:rsid w:val="00882692"/>
    <w:rsid w:val="008826EA"/>
    <w:rsid w:val="008826F4"/>
    <w:rsid w:val="00882969"/>
    <w:rsid w:val="008829B8"/>
    <w:rsid w:val="008829C1"/>
    <w:rsid w:val="00882A89"/>
    <w:rsid w:val="00882ACB"/>
    <w:rsid w:val="00882B4A"/>
    <w:rsid w:val="00882B66"/>
    <w:rsid w:val="00882B67"/>
    <w:rsid w:val="00882BF4"/>
    <w:rsid w:val="00882BF8"/>
    <w:rsid w:val="00882C12"/>
    <w:rsid w:val="00882CF1"/>
    <w:rsid w:val="00882D0C"/>
    <w:rsid w:val="00882DCB"/>
    <w:rsid w:val="00882E01"/>
    <w:rsid w:val="00882E08"/>
    <w:rsid w:val="00882E1B"/>
    <w:rsid w:val="00882FC2"/>
    <w:rsid w:val="008830F8"/>
    <w:rsid w:val="008831AA"/>
    <w:rsid w:val="00883295"/>
    <w:rsid w:val="0088379F"/>
    <w:rsid w:val="00883816"/>
    <w:rsid w:val="0088383F"/>
    <w:rsid w:val="0088385C"/>
    <w:rsid w:val="00883925"/>
    <w:rsid w:val="00883937"/>
    <w:rsid w:val="00883B66"/>
    <w:rsid w:val="00883C02"/>
    <w:rsid w:val="00883C5E"/>
    <w:rsid w:val="00883CFF"/>
    <w:rsid w:val="00883EB7"/>
    <w:rsid w:val="00884023"/>
    <w:rsid w:val="00884207"/>
    <w:rsid w:val="0088420E"/>
    <w:rsid w:val="00884303"/>
    <w:rsid w:val="00884336"/>
    <w:rsid w:val="00884398"/>
    <w:rsid w:val="008843D2"/>
    <w:rsid w:val="008844A6"/>
    <w:rsid w:val="0088463B"/>
    <w:rsid w:val="00884642"/>
    <w:rsid w:val="00884664"/>
    <w:rsid w:val="008846DB"/>
    <w:rsid w:val="00884723"/>
    <w:rsid w:val="00884772"/>
    <w:rsid w:val="00884875"/>
    <w:rsid w:val="008849F1"/>
    <w:rsid w:val="00884AEA"/>
    <w:rsid w:val="00884CCB"/>
    <w:rsid w:val="00884CFB"/>
    <w:rsid w:val="00884D48"/>
    <w:rsid w:val="00884E4C"/>
    <w:rsid w:val="00884E51"/>
    <w:rsid w:val="00884E57"/>
    <w:rsid w:val="00884F78"/>
    <w:rsid w:val="0088500C"/>
    <w:rsid w:val="00885187"/>
    <w:rsid w:val="0088521B"/>
    <w:rsid w:val="0088539A"/>
    <w:rsid w:val="008853E8"/>
    <w:rsid w:val="00885454"/>
    <w:rsid w:val="00885475"/>
    <w:rsid w:val="00885835"/>
    <w:rsid w:val="00885CB2"/>
    <w:rsid w:val="00885CBC"/>
    <w:rsid w:val="00885D38"/>
    <w:rsid w:val="00885EFA"/>
    <w:rsid w:val="00885F1A"/>
    <w:rsid w:val="00885FBC"/>
    <w:rsid w:val="008860E6"/>
    <w:rsid w:val="00886165"/>
    <w:rsid w:val="008862FC"/>
    <w:rsid w:val="008863A1"/>
    <w:rsid w:val="00886433"/>
    <w:rsid w:val="008865F5"/>
    <w:rsid w:val="00886626"/>
    <w:rsid w:val="00886649"/>
    <w:rsid w:val="00886650"/>
    <w:rsid w:val="00886826"/>
    <w:rsid w:val="00886885"/>
    <w:rsid w:val="0088691F"/>
    <w:rsid w:val="00886A77"/>
    <w:rsid w:val="00886A85"/>
    <w:rsid w:val="00886AC9"/>
    <w:rsid w:val="00886B57"/>
    <w:rsid w:val="00886BB4"/>
    <w:rsid w:val="00886CA1"/>
    <w:rsid w:val="008870F9"/>
    <w:rsid w:val="00887113"/>
    <w:rsid w:val="00887149"/>
    <w:rsid w:val="00887206"/>
    <w:rsid w:val="00887215"/>
    <w:rsid w:val="008872D8"/>
    <w:rsid w:val="0088731A"/>
    <w:rsid w:val="00887331"/>
    <w:rsid w:val="008873CF"/>
    <w:rsid w:val="008873EF"/>
    <w:rsid w:val="008874CA"/>
    <w:rsid w:val="008874DC"/>
    <w:rsid w:val="00887581"/>
    <w:rsid w:val="0088765A"/>
    <w:rsid w:val="00887717"/>
    <w:rsid w:val="00887730"/>
    <w:rsid w:val="008877BE"/>
    <w:rsid w:val="008877C2"/>
    <w:rsid w:val="008878FE"/>
    <w:rsid w:val="00887907"/>
    <w:rsid w:val="00887918"/>
    <w:rsid w:val="00887A52"/>
    <w:rsid w:val="00887B11"/>
    <w:rsid w:val="00887B69"/>
    <w:rsid w:val="00887C5A"/>
    <w:rsid w:val="00887CF5"/>
    <w:rsid w:val="00887D46"/>
    <w:rsid w:val="00887E72"/>
    <w:rsid w:val="00890171"/>
    <w:rsid w:val="008901CE"/>
    <w:rsid w:val="0089024E"/>
    <w:rsid w:val="0089036E"/>
    <w:rsid w:val="00890426"/>
    <w:rsid w:val="00890484"/>
    <w:rsid w:val="008907F1"/>
    <w:rsid w:val="00890908"/>
    <w:rsid w:val="008909C8"/>
    <w:rsid w:val="00890A8F"/>
    <w:rsid w:val="00890AD8"/>
    <w:rsid w:val="00890E47"/>
    <w:rsid w:val="008910E4"/>
    <w:rsid w:val="0089113C"/>
    <w:rsid w:val="008912D2"/>
    <w:rsid w:val="0089138B"/>
    <w:rsid w:val="008913E7"/>
    <w:rsid w:val="00891495"/>
    <w:rsid w:val="00891588"/>
    <w:rsid w:val="0089159B"/>
    <w:rsid w:val="008916A9"/>
    <w:rsid w:val="00891713"/>
    <w:rsid w:val="00891731"/>
    <w:rsid w:val="008917F5"/>
    <w:rsid w:val="00891801"/>
    <w:rsid w:val="008918B7"/>
    <w:rsid w:val="008918F9"/>
    <w:rsid w:val="0089191F"/>
    <w:rsid w:val="008919A2"/>
    <w:rsid w:val="008919CB"/>
    <w:rsid w:val="00891A60"/>
    <w:rsid w:val="00891A83"/>
    <w:rsid w:val="00891B52"/>
    <w:rsid w:val="00891B9F"/>
    <w:rsid w:val="00891BAF"/>
    <w:rsid w:val="00891C02"/>
    <w:rsid w:val="00891D0C"/>
    <w:rsid w:val="00891ECD"/>
    <w:rsid w:val="00891F6B"/>
    <w:rsid w:val="00892141"/>
    <w:rsid w:val="0089222C"/>
    <w:rsid w:val="0089235B"/>
    <w:rsid w:val="008923F7"/>
    <w:rsid w:val="0089248F"/>
    <w:rsid w:val="008924AB"/>
    <w:rsid w:val="008924DD"/>
    <w:rsid w:val="0089250C"/>
    <w:rsid w:val="00892616"/>
    <w:rsid w:val="00892636"/>
    <w:rsid w:val="00892672"/>
    <w:rsid w:val="00892755"/>
    <w:rsid w:val="008927B6"/>
    <w:rsid w:val="008927B8"/>
    <w:rsid w:val="008927DE"/>
    <w:rsid w:val="00892892"/>
    <w:rsid w:val="00892923"/>
    <w:rsid w:val="00892CA2"/>
    <w:rsid w:val="00892CF2"/>
    <w:rsid w:val="00892CF8"/>
    <w:rsid w:val="00892D2D"/>
    <w:rsid w:val="00892D69"/>
    <w:rsid w:val="00892DAB"/>
    <w:rsid w:val="00892F90"/>
    <w:rsid w:val="00893054"/>
    <w:rsid w:val="008930AB"/>
    <w:rsid w:val="00893158"/>
    <w:rsid w:val="00893339"/>
    <w:rsid w:val="008933C2"/>
    <w:rsid w:val="008933D7"/>
    <w:rsid w:val="008933E7"/>
    <w:rsid w:val="008933F0"/>
    <w:rsid w:val="00893421"/>
    <w:rsid w:val="0089357A"/>
    <w:rsid w:val="008937CA"/>
    <w:rsid w:val="0089381C"/>
    <w:rsid w:val="008938F2"/>
    <w:rsid w:val="00893A3C"/>
    <w:rsid w:val="00893C1D"/>
    <w:rsid w:val="00893C9F"/>
    <w:rsid w:val="00893CCA"/>
    <w:rsid w:val="00893CE5"/>
    <w:rsid w:val="00893D69"/>
    <w:rsid w:val="00893E81"/>
    <w:rsid w:val="00893EB0"/>
    <w:rsid w:val="00893F12"/>
    <w:rsid w:val="00894067"/>
    <w:rsid w:val="00894199"/>
    <w:rsid w:val="008941A5"/>
    <w:rsid w:val="00894230"/>
    <w:rsid w:val="00894232"/>
    <w:rsid w:val="00894239"/>
    <w:rsid w:val="00894349"/>
    <w:rsid w:val="00894387"/>
    <w:rsid w:val="008944BC"/>
    <w:rsid w:val="008946B8"/>
    <w:rsid w:val="008947AA"/>
    <w:rsid w:val="00894AEC"/>
    <w:rsid w:val="00894B66"/>
    <w:rsid w:val="00894BAC"/>
    <w:rsid w:val="00894C31"/>
    <w:rsid w:val="00894C3C"/>
    <w:rsid w:val="00894D46"/>
    <w:rsid w:val="00894E3A"/>
    <w:rsid w:val="00894F37"/>
    <w:rsid w:val="00895159"/>
    <w:rsid w:val="0089519A"/>
    <w:rsid w:val="008951BD"/>
    <w:rsid w:val="00895248"/>
    <w:rsid w:val="00895350"/>
    <w:rsid w:val="00895492"/>
    <w:rsid w:val="00895670"/>
    <w:rsid w:val="008956FD"/>
    <w:rsid w:val="008957F7"/>
    <w:rsid w:val="0089580A"/>
    <w:rsid w:val="00895870"/>
    <w:rsid w:val="008958AC"/>
    <w:rsid w:val="008958C5"/>
    <w:rsid w:val="008958C8"/>
    <w:rsid w:val="00895C5A"/>
    <w:rsid w:val="00895FDD"/>
    <w:rsid w:val="008960EA"/>
    <w:rsid w:val="008961CD"/>
    <w:rsid w:val="00896228"/>
    <w:rsid w:val="0089636D"/>
    <w:rsid w:val="00896742"/>
    <w:rsid w:val="00896760"/>
    <w:rsid w:val="0089679D"/>
    <w:rsid w:val="008967A0"/>
    <w:rsid w:val="008968AC"/>
    <w:rsid w:val="0089690F"/>
    <w:rsid w:val="00896911"/>
    <w:rsid w:val="00896A13"/>
    <w:rsid w:val="00896B9C"/>
    <w:rsid w:val="00896DCC"/>
    <w:rsid w:val="0089706F"/>
    <w:rsid w:val="00897085"/>
    <w:rsid w:val="00897141"/>
    <w:rsid w:val="00897155"/>
    <w:rsid w:val="008971F8"/>
    <w:rsid w:val="008972A1"/>
    <w:rsid w:val="008975D5"/>
    <w:rsid w:val="00897601"/>
    <w:rsid w:val="0089762B"/>
    <w:rsid w:val="00897737"/>
    <w:rsid w:val="00897AC4"/>
    <w:rsid w:val="00897B35"/>
    <w:rsid w:val="00897DE3"/>
    <w:rsid w:val="00897F35"/>
    <w:rsid w:val="00897FAC"/>
    <w:rsid w:val="008A008A"/>
    <w:rsid w:val="008A01AB"/>
    <w:rsid w:val="008A01B3"/>
    <w:rsid w:val="008A024F"/>
    <w:rsid w:val="008A032B"/>
    <w:rsid w:val="008A0413"/>
    <w:rsid w:val="008A0427"/>
    <w:rsid w:val="008A04B9"/>
    <w:rsid w:val="008A06E5"/>
    <w:rsid w:val="008A073E"/>
    <w:rsid w:val="008A079D"/>
    <w:rsid w:val="008A0981"/>
    <w:rsid w:val="008A0A34"/>
    <w:rsid w:val="008A0AEB"/>
    <w:rsid w:val="008A0BC3"/>
    <w:rsid w:val="008A0BE2"/>
    <w:rsid w:val="008A0C13"/>
    <w:rsid w:val="008A0EA0"/>
    <w:rsid w:val="008A0EA1"/>
    <w:rsid w:val="008A0F72"/>
    <w:rsid w:val="008A0FF2"/>
    <w:rsid w:val="008A1273"/>
    <w:rsid w:val="008A12F5"/>
    <w:rsid w:val="008A137A"/>
    <w:rsid w:val="008A138D"/>
    <w:rsid w:val="008A153B"/>
    <w:rsid w:val="008A15ED"/>
    <w:rsid w:val="008A1654"/>
    <w:rsid w:val="008A1B0B"/>
    <w:rsid w:val="008A1B63"/>
    <w:rsid w:val="008A1BF9"/>
    <w:rsid w:val="008A1C68"/>
    <w:rsid w:val="008A1C8B"/>
    <w:rsid w:val="008A1CEA"/>
    <w:rsid w:val="008A1D28"/>
    <w:rsid w:val="008A1E51"/>
    <w:rsid w:val="008A1EE6"/>
    <w:rsid w:val="008A1FE5"/>
    <w:rsid w:val="008A207C"/>
    <w:rsid w:val="008A20B3"/>
    <w:rsid w:val="008A215F"/>
    <w:rsid w:val="008A21F2"/>
    <w:rsid w:val="008A229E"/>
    <w:rsid w:val="008A22E9"/>
    <w:rsid w:val="008A23D4"/>
    <w:rsid w:val="008A248A"/>
    <w:rsid w:val="008A24B9"/>
    <w:rsid w:val="008A24F5"/>
    <w:rsid w:val="008A258B"/>
    <w:rsid w:val="008A25DA"/>
    <w:rsid w:val="008A2679"/>
    <w:rsid w:val="008A2831"/>
    <w:rsid w:val="008A2915"/>
    <w:rsid w:val="008A2977"/>
    <w:rsid w:val="008A2A40"/>
    <w:rsid w:val="008A2B06"/>
    <w:rsid w:val="008A2BF1"/>
    <w:rsid w:val="008A2C8A"/>
    <w:rsid w:val="008A2D6C"/>
    <w:rsid w:val="008A2FF2"/>
    <w:rsid w:val="008A309B"/>
    <w:rsid w:val="008A310C"/>
    <w:rsid w:val="008A3192"/>
    <w:rsid w:val="008A3322"/>
    <w:rsid w:val="008A3393"/>
    <w:rsid w:val="008A33DD"/>
    <w:rsid w:val="008A341D"/>
    <w:rsid w:val="008A3489"/>
    <w:rsid w:val="008A3584"/>
    <w:rsid w:val="008A35C5"/>
    <w:rsid w:val="008A369D"/>
    <w:rsid w:val="008A3908"/>
    <w:rsid w:val="008A397C"/>
    <w:rsid w:val="008A3988"/>
    <w:rsid w:val="008A39A5"/>
    <w:rsid w:val="008A39B8"/>
    <w:rsid w:val="008A3A0B"/>
    <w:rsid w:val="008A3A8D"/>
    <w:rsid w:val="008A3A8E"/>
    <w:rsid w:val="008A3BED"/>
    <w:rsid w:val="008A3C0C"/>
    <w:rsid w:val="008A3C31"/>
    <w:rsid w:val="008A3C42"/>
    <w:rsid w:val="008A3CAF"/>
    <w:rsid w:val="008A3DC6"/>
    <w:rsid w:val="008A3F24"/>
    <w:rsid w:val="008A3F87"/>
    <w:rsid w:val="008A401B"/>
    <w:rsid w:val="008A4040"/>
    <w:rsid w:val="008A418E"/>
    <w:rsid w:val="008A42BD"/>
    <w:rsid w:val="008A4441"/>
    <w:rsid w:val="008A44CB"/>
    <w:rsid w:val="008A458B"/>
    <w:rsid w:val="008A46E1"/>
    <w:rsid w:val="008A478F"/>
    <w:rsid w:val="008A47C4"/>
    <w:rsid w:val="008A48F1"/>
    <w:rsid w:val="008A4A3E"/>
    <w:rsid w:val="008A4A58"/>
    <w:rsid w:val="008A4BE2"/>
    <w:rsid w:val="008A4C6C"/>
    <w:rsid w:val="008A4C83"/>
    <w:rsid w:val="008A4CBF"/>
    <w:rsid w:val="008A4D19"/>
    <w:rsid w:val="008A4D58"/>
    <w:rsid w:val="008A4D6D"/>
    <w:rsid w:val="008A4E67"/>
    <w:rsid w:val="008A50B8"/>
    <w:rsid w:val="008A50EC"/>
    <w:rsid w:val="008A5201"/>
    <w:rsid w:val="008A527F"/>
    <w:rsid w:val="008A52DD"/>
    <w:rsid w:val="008A53EA"/>
    <w:rsid w:val="008A54D0"/>
    <w:rsid w:val="008A554C"/>
    <w:rsid w:val="008A554E"/>
    <w:rsid w:val="008A558B"/>
    <w:rsid w:val="008A55A1"/>
    <w:rsid w:val="008A593F"/>
    <w:rsid w:val="008A5A14"/>
    <w:rsid w:val="008A5AC5"/>
    <w:rsid w:val="008A5AF4"/>
    <w:rsid w:val="008A5BA7"/>
    <w:rsid w:val="008A5BCC"/>
    <w:rsid w:val="008A5C36"/>
    <w:rsid w:val="008A5CA5"/>
    <w:rsid w:val="008A5CFB"/>
    <w:rsid w:val="008A5D0B"/>
    <w:rsid w:val="008A5D39"/>
    <w:rsid w:val="008A5E07"/>
    <w:rsid w:val="008A5E85"/>
    <w:rsid w:val="008A5E9B"/>
    <w:rsid w:val="008A5F50"/>
    <w:rsid w:val="008A6025"/>
    <w:rsid w:val="008A60D6"/>
    <w:rsid w:val="008A6114"/>
    <w:rsid w:val="008A6122"/>
    <w:rsid w:val="008A6188"/>
    <w:rsid w:val="008A6193"/>
    <w:rsid w:val="008A6273"/>
    <w:rsid w:val="008A63B1"/>
    <w:rsid w:val="008A642B"/>
    <w:rsid w:val="008A659C"/>
    <w:rsid w:val="008A65C7"/>
    <w:rsid w:val="008A65D7"/>
    <w:rsid w:val="008A65F7"/>
    <w:rsid w:val="008A66D3"/>
    <w:rsid w:val="008A671E"/>
    <w:rsid w:val="008A678E"/>
    <w:rsid w:val="008A67E9"/>
    <w:rsid w:val="008A688E"/>
    <w:rsid w:val="008A68A9"/>
    <w:rsid w:val="008A6A1B"/>
    <w:rsid w:val="008A6BAA"/>
    <w:rsid w:val="008A6C2A"/>
    <w:rsid w:val="008A6C4E"/>
    <w:rsid w:val="008A6CBB"/>
    <w:rsid w:val="008A6D35"/>
    <w:rsid w:val="008A6E37"/>
    <w:rsid w:val="008A6E6E"/>
    <w:rsid w:val="008A7065"/>
    <w:rsid w:val="008A71DC"/>
    <w:rsid w:val="008A72DA"/>
    <w:rsid w:val="008A730C"/>
    <w:rsid w:val="008A7322"/>
    <w:rsid w:val="008A767E"/>
    <w:rsid w:val="008A76DF"/>
    <w:rsid w:val="008A77A2"/>
    <w:rsid w:val="008A77F5"/>
    <w:rsid w:val="008A7872"/>
    <w:rsid w:val="008A7876"/>
    <w:rsid w:val="008A7893"/>
    <w:rsid w:val="008A7925"/>
    <w:rsid w:val="008A79C4"/>
    <w:rsid w:val="008A7AAE"/>
    <w:rsid w:val="008A7AEC"/>
    <w:rsid w:val="008A7BB2"/>
    <w:rsid w:val="008A7BEA"/>
    <w:rsid w:val="008A7BF2"/>
    <w:rsid w:val="008A7D1C"/>
    <w:rsid w:val="008A7D40"/>
    <w:rsid w:val="008A7DF7"/>
    <w:rsid w:val="008A7E3F"/>
    <w:rsid w:val="008A7E4F"/>
    <w:rsid w:val="008A7ED3"/>
    <w:rsid w:val="008B0045"/>
    <w:rsid w:val="008B0046"/>
    <w:rsid w:val="008B00F3"/>
    <w:rsid w:val="008B025B"/>
    <w:rsid w:val="008B02F3"/>
    <w:rsid w:val="008B039F"/>
    <w:rsid w:val="008B045F"/>
    <w:rsid w:val="008B04F0"/>
    <w:rsid w:val="008B05BE"/>
    <w:rsid w:val="008B060E"/>
    <w:rsid w:val="008B063F"/>
    <w:rsid w:val="008B0647"/>
    <w:rsid w:val="008B065F"/>
    <w:rsid w:val="008B0662"/>
    <w:rsid w:val="008B0671"/>
    <w:rsid w:val="008B06EF"/>
    <w:rsid w:val="008B087C"/>
    <w:rsid w:val="008B0BA5"/>
    <w:rsid w:val="008B0E3C"/>
    <w:rsid w:val="008B0ED4"/>
    <w:rsid w:val="008B1098"/>
    <w:rsid w:val="008B1290"/>
    <w:rsid w:val="008B12A6"/>
    <w:rsid w:val="008B138A"/>
    <w:rsid w:val="008B13F0"/>
    <w:rsid w:val="008B15E1"/>
    <w:rsid w:val="008B1913"/>
    <w:rsid w:val="008B1A20"/>
    <w:rsid w:val="008B1BA3"/>
    <w:rsid w:val="008B1C6E"/>
    <w:rsid w:val="008B1D4A"/>
    <w:rsid w:val="008B1D75"/>
    <w:rsid w:val="008B1E4F"/>
    <w:rsid w:val="008B1E5F"/>
    <w:rsid w:val="008B1FD2"/>
    <w:rsid w:val="008B2191"/>
    <w:rsid w:val="008B21BC"/>
    <w:rsid w:val="008B2204"/>
    <w:rsid w:val="008B2261"/>
    <w:rsid w:val="008B2408"/>
    <w:rsid w:val="008B2507"/>
    <w:rsid w:val="008B2545"/>
    <w:rsid w:val="008B260F"/>
    <w:rsid w:val="008B26D9"/>
    <w:rsid w:val="008B270B"/>
    <w:rsid w:val="008B277D"/>
    <w:rsid w:val="008B2939"/>
    <w:rsid w:val="008B29D4"/>
    <w:rsid w:val="008B29E7"/>
    <w:rsid w:val="008B29EA"/>
    <w:rsid w:val="008B2A21"/>
    <w:rsid w:val="008B2A73"/>
    <w:rsid w:val="008B2B71"/>
    <w:rsid w:val="008B2BD1"/>
    <w:rsid w:val="008B2C06"/>
    <w:rsid w:val="008B2D02"/>
    <w:rsid w:val="008B2E28"/>
    <w:rsid w:val="008B2E74"/>
    <w:rsid w:val="008B2FB3"/>
    <w:rsid w:val="008B3055"/>
    <w:rsid w:val="008B3091"/>
    <w:rsid w:val="008B31BF"/>
    <w:rsid w:val="008B33BA"/>
    <w:rsid w:val="008B346F"/>
    <w:rsid w:val="008B3484"/>
    <w:rsid w:val="008B34F0"/>
    <w:rsid w:val="008B354F"/>
    <w:rsid w:val="008B357F"/>
    <w:rsid w:val="008B361D"/>
    <w:rsid w:val="008B39DA"/>
    <w:rsid w:val="008B3CC5"/>
    <w:rsid w:val="008B3D0B"/>
    <w:rsid w:val="008B3D0F"/>
    <w:rsid w:val="008B3D6A"/>
    <w:rsid w:val="008B3E1C"/>
    <w:rsid w:val="008B3F38"/>
    <w:rsid w:val="008B3FF5"/>
    <w:rsid w:val="008B3FFA"/>
    <w:rsid w:val="008B4283"/>
    <w:rsid w:val="008B438E"/>
    <w:rsid w:val="008B4418"/>
    <w:rsid w:val="008B4479"/>
    <w:rsid w:val="008B44F0"/>
    <w:rsid w:val="008B4517"/>
    <w:rsid w:val="008B45D2"/>
    <w:rsid w:val="008B461F"/>
    <w:rsid w:val="008B4744"/>
    <w:rsid w:val="008B4794"/>
    <w:rsid w:val="008B482C"/>
    <w:rsid w:val="008B4B95"/>
    <w:rsid w:val="008B4BC9"/>
    <w:rsid w:val="008B4D3F"/>
    <w:rsid w:val="008B4E23"/>
    <w:rsid w:val="008B4E5A"/>
    <w:rsid w:val="008B505E"/>
    <w:rsid w:val="008B51DD"/>
    <w:rsid w:val="008B5289"/>
    <w:rsid w:val="008B54D3"/>
    <w:rsid w:val="008B5511"/>
    <w:rsid w:val="008B55E2"/>
    <w:rsid w:val="008B55F3"/>
    <w:rsid w:val="008B57DA"/>
    <w:rsid w:val="008B57DB"/>
    <w:rsid w:val="008B5807"/>
    <w:rsid w:val="008B5808"/>
    <w:rsid w:val="008B5856"/>
    <w:rsid w:val="008B58B9"/>
    <w:rsid w:val="008B58C8"/>
    <w:rsid w:val="008B591F"/>
    <w:rsid w:val="008B5938"/>
    <w:rsid w:val="008B5ADF"/>
    <w:rsid w:val="008B5B09"/>
    <w:rsid w:val="008B5C32"/>
    <w:rsid w:val="008B5D06"/>
    <w:rsid w:val="008B5D2F"/>
    <w:rsid w:val="008B5D38"/>
    <w:rsid w:val="008B5E42"/>
    <w:rsid w:val="008B5F76"/>
    <w:rsid w:val="008B5FB7"/>
    <w:rsid w:val="008B6088"/>
    <w:rsid w:val="008B6095"/>
    <w:rsid w:val="008B60E3"/>
    <w:rsid w:val="008B6139"/>
    <w:rsid w:val="008B61D0"/>
    <w:rsid w:val="008B627F"/>
    <w:rsid w:val="008B6302"/>
    <w:rsid w:val="008B6448"/>
    <w:rsid w:val="008B64B7"/>
    <w:rsid w:val="008B65EF"/>
    <w:rsid w:val="008B66BB"/>
    <w:rsid w:val="008B6713"/>
    <w:rsid w:val="008B6801"/>
    <w:rsid w:val="008B689D"/>
    <w:rsid w:val="008B6A35"/>
    <w:rsid w:val="008B6A67"/>
    <w:rsid w:val="008B6A83"/>
    <w:rsid w:val="008B6B5D"/>
    <w:rsid w:val="008B6C3E"/>
    <w:rsid w:val="008B6C82"/>
    <w:rsid w:val="008B6D09"/>
    <w:rsid w:val="008B6E6B"/>
    <w:rsid w:val="008B6EB8"/>
    <w:rsid w:val="008B6F43"/>
    <w:rsid w:val="008B702F"/>
    <w:rsid w:val="008B70B1"/>
    <w:rsid w:val="008B70C7"/>
    <w:rsid w:val="008B7172"/>
    <w:rsid w:val="008B7308"/>
    <w:rsid w:val="008B7542"/>
    <w:rsid w:val="008B766D"/>
    <w:rsid w:val="008B7689"/>
    <w:rsid w:val="008B768E"/>
    <w:rsid w:val="008B77DB"/>
    <w:rsid w:val="008B77F0"/>
    <w:rsid w:val="008B780F"/>
    <w:rsid w:val="008B784A"/>
    <w:rsid w:val="008B7863"/>
    <w:rsid w:val="008B7B4F"/>
    <w:rsid w:val="008B7C69"/>
    <w:rsid w:val="008B7DF6"/>
    <w:rsid w:val="008B7EAB"/>
    <w:rsid w:val="008C0254"/>
    <w:rsid w:val="008C0588"/>
    <w:rsid w:val="008C05D9"/>
    <w:rsid w:val="008C0783"/>
    <w:rsid w:val="008C0784"/>
    <w:rsid w:val="008C0852"/>
    <w:rsid w:val="008C085B"/>
    <w:rsid w:val="008C09D2"/>
    <w:rsid w:val="008C0A60"/>
    <w:rsid w:val="008C0A7C"/>
    <w:rsid w:val="008C0B1F"/>
    <w:rsid w:val="008C0B93"/>
    <w:rsid w:val="008C0CFB"/>
    <w:rsid w:val="008C0D84"/>
    <w:rsid w:val="008C0DE7"/>
    <w:rsid w:val="008C0E1D"/>
    <w:rsid w:val="008C0F7F"/>
    <w:rsid w:val="008C1096"/>
    <w:rsid w:val="008C1111"/>
    <w:rsid w:val="008C113E"/>
    <w:rsid w:val="008C1291"/>
    <w:rsid w:val="008C140B"/>
    <w:rsid w:val="008C1469"/>
    <w:rsid w:val="008C15EF"/>
    <w:rsid w:val="008C1788"/>
    <w:rsid w:val="008C178E"/>
    <w:rsid w:val="008C188B"/>
    <w:rsid w:val="008C18CF"/>
    <w:rsid w:val="008C1947"/>
    <w:rsid w:val="008C1AB3"/>
    <w:rsid w:val="008C1B56"/>
    <w:rsid w:val="008C1CC7"/>
    <w:rsid w:val="008C1D95"/>
    <w:rsid w:val="008C1DF5"/>
    <w:rsid w:val="008C1E14"/>
    <w:rsid w:val="008C1FA0"/>
    <w:rsid w:val="008C2155"/>
    <w:rsid w:val="008C229E"/>
    <w:rsid w:val="008C230D"/>
    <w:rsid w:val="008C2331"/>
    <w:rsid w:val="008C233A"/>
    <w:rsid w:val="008C239A"/>
    <w:rsid w:val="008C2542"/>
    <w:rsid w:val="008C2792"/>
    <w:rsid w:val="008C27B3"/>
    <w:rsid w:val="008C27EE"/>
    <w:rsid w:val="008C2A29"/>
    <w:rsid w:val="008C2AD8"/>
    <w:rsid w:val="008C2D36"/>
    <w:rsid w:val="008C2E3F"/>
    <w:rsid w:val="008C2ECF"/>
    <w:rsid w:val="008C2ED8"/>
    <w:rsid w:val="008C2F0A"/>
    <w:rsid w:val="008C2F54"/>
    <w:rsid w:val="008C2FA0"/>
    <w:rsid w:val="008C2FCD"/>
    <w:rsid w:val="008C2FE3"/>
    <w:rsid w:val="008C2FFA"/>
    <w:rsid w:val="008C30E9"/>
    <w:rsid w:val="008C30EA"/>
    <w:rsid w:val="008C3173"/>
    <w:rsid w:val="008C33BE"/>
    <w:rsid w:val="008C3407"/>
    <w:rsid w:val="008C356E"/>
    <w:rsid w:val="008C3639"/>
    <w:rsid w:val="008C3838"/>
    <w:rsid w:val="008C38C8"/>
    <w:rsid w:val="008C3A40"/>
    <w:rsid w:val="008C3B9B"/>
    <w:rsid w:val="008C3C03"/>
    <w:rsid w:val="008C3C09"/>
    <w:rsid w:val="008C3CDC"/>
    <w:rsid w:val="008C3D8D"/>
    <w:rsid w:val="008C3EEC"/>
    <w:rsid w:val="008C4059"/>
    <w:rsid w:val="008C4076"/>
    <w:rsid w:val="008C412C"/>
    <w:rsid w:val="008C41EC"/>
    <w:rsid w:val="008C431A"/>
    <w:rsid w:val="008C44F3"/>
    <w:rsid w:val="008C45C9"/>
    <w:rsid w:val="008C4748"/>
    <w:rsid w:val="008C4841"/>
    <w:rsid w:val="008C48CF"/>
    <w:rsid w:val="008C48E7"/>
    <w:rsid w:val="008C4917"/>
    <w:rsid w:val="008C49D8"/>
    <w:rsid w:val="008C4A45"/>
    <w:rsid w:val="008C4C93"/>
    <w:rsid w:val="008C4DD2"/>
    <w:rsid w:val="008C4E28"/>
    <w:rsid w:val="008C4E97"/>
    <w:rsid w:val="008C4E99"/>
    <w:rsid w:val="008C4EE7"/>
    <w:rsid w:val="008C4F7A"/>
    <w:rsid w:val="008C5104"/>
    <w:rsid w:val="008C5132"/>
    <w:rsid w:val="008C514F"/>
    <w:rsid w:val="008C51AD"/>
    <w:rsid w:val="008C5208"/>
    <w:rsid w:val="008C5253"/>
    <w:rsid w:val="008C52A0"/>
    <w:rsid w:val="008C5352"/>
    <w:rsid w:val="008C53AF"/>
    <w:rsid w:val="008C53CC"/>
    <w:rsid w:val="008C5454"/>
    <w:rsid w:val="008C550C"/>
    <w:rsid w:val="008C558F"/>
    <w:rsid w:val="008C59FE"/>
    <w:rsid w:val="008C5A53"/>
    <w:rsid w:val="008C5AE9"/>
    <w:rsid w:val="008C5B75"/>
    <w:rsid w:val="008C5B86"/>
    <w:rsid w:val="008C5BA5"/>
    <w:rsid w:val="008C5C1D"/>
    <w:rsid w:val="008C5C67"/>
    <w:rsid w:val="008C5C6C"/>
    <w:rsid w:val="008C5FF0"/>
    <w:rsid w:val="008C605B"/>
    <w:rsid w:val="008C60A8"/>
    <w:rsid w:val="008C60F4"/>
    <w:rsid w:val="008C615A"/>
    <w:rsid w:val="008C619A"/>
    <w:rsid w:val="008C625A"/>
    <w:rsid w:val="008C62EC"/>
    <w:rsid w:val="008C6350"/>
    <w:rsid w:val="008C6395"/>
    <w:rsid w:val="008C6403"/>
    <w:rsid w:val="008C6418"/>
    <w:rsid w:val="008C648C"/>
    <w:rsid w:val="008C652D"/>
    <w:rsid w:val="008C6636"/>
    <w:rsid w:val="008C6B22"/>
    <w:rsid w:val="008C6B82"/>
    <w:rsid w:val="008C6C08"/>
    <w:rsid w:val="008C6E65"/>
    <w:rsid w:val="008C6F29"/>
    <w:rsid w:val="008C7108"/>
    <w:rsid w:val="008C7236"/>
    <w:rsid w:val="008C72B5"/>
    <w:rsid w:val="008C733B"/>
    <w:rsid w:val="008C7364"/>
    <w:rsid w:val="008C7476"/>
    <w:rsid w:val="008C7480"/>
    <w:rsid w:val="008C7582"/>
    <w:rsid w:val="008C75ED"/>
    <w:rsid w:val="008C780C"/>
    <w:rsid w:val="008C7962"/>
    <w:rsid w:val="008C7B9D"/>
    <w:rsid w:val="008C7BCC"/>
    <w:rsid w:val="008C7C5B"/>
    <w:rsid w:val="008C7E5D"/>
    <w:rsid w:val="008C7F7B"/>
    <w:rsid w:val="008D005F"/>
    <w:rsid w:val="008D01CE"/>
    <w:rsid w:val="008D04EB"/>
    <w:rsid w:val="008D05B1"/>
    <w:rsid w:val="008D0699"/>
    <w:rsid w:val="008D0707"/>
    <w:rsid w:val="008D074E"/>
    <w:rsid w:val="008D07A2"/>
    <w:rsid w:val="008D07DC"/>
    <w:rsid w:val="008D089E"/>
    <w:rsid w:val="008D091F"/>
    <w:rsid w:val="008D0A13"/>
    <w:rsid w:val="008D0ACE"/>
    <w:rsid w:val="008D0BFA"/>
    <w:rsid w:val="008D0C58"/>
    <w:rsid w:val="008D0D1F"/>
    <w:rsid w:val="008D0D55"/>
    <w:rsid w:val="008D0D76"/>
    <w:rsid w:val="008D0EC5"/>
    <w:rsid w:val="008D0F7C"/>
    <w:rsid w:val="008D0F96"/>
    <w:rsid w:val="008D0FFB"/>
    <w:rsid w:val="008D10F2"/>
    <w:rsid w:val="008D10FB"/>
    <w:rsid w:val="008D110E"/>
    <w:rsid w:val="008D1118"/>
    <w:rsid w:val="008D118B"/>
    <w:rsid w:val="008D122E"/>
    <w:rsid w:val="008D125B"/>
    <w:rsid w:val="008D13C3"/>
    <w:rsid w:val="008D13DD"/>
    <w:rsid w:val="008D13E0"/>
    <w:rsid w:val="008D1436"/>
    <w:rsid w:val="008D1468"/>
    <w:rsid w:val="008D14C7"/>
    <w:rsid w:val="008D1551"/>
    <w:rsid w:val="008D158B"/>
    <w:rsid w:val="008D15D1"/>
    <w:rsid w:val="008D1631"/>
    <w:rsid w:val="008D1673"/>
    <w:rsid w:val="008D174A"/>
    <w:rsid w:val="008D1766"/>
    <w:rsid w:val="008D17A2"/>
    <w:rsid w:val="008D17C3"/>
    <w:rsid w:val="008D1818"/>
    <w:rsid w:val="008D1930"/>
    <w:rsid w:val="008D199D"/>
    <w:rsid w:val="008D19A7"/>
    <w:rsid w:val="008D19F8"/>
    <w:rsid w:val="008D1A02"/>
    <w:rsid w:val="008D1A5E"/>
    <w:rsid w:val="008D1AD8"/>
    <w:rsid w:val="008D1B49"/>
    <w:rsid w:val="008D1C10"/>
    <w:rsid w:val="008D1C55"/>
    <w:rsid w:val="008D1E15"/>
    <w:rsid w:val="008D1EE5"/>
    <w:rsid w:val="008D1F63"/>
    <w:rsid w:val="008D203D"/>
    <w:rsid w:val="008D20D6"/>
    <w:rsid w:val="008D2203"/>
    <w:rsid w:val="008D222C"/>
    <w:rsid w:val="008D2299"/>
    <w:rsid w:val="008D22AC"/>
    <w:rsid w:val="008D239E"/>
    <w:rsid w:val="008D2445"/>
    <w:rsid w:val="008D275A"/>
    <w:rsid w:val="008D27E9"/>
    <w:rsid w:val="008D2851"/>
    <w:rsid w:val="008D2B61"/>
    <w:rsid w:val="008D2B81"/>
    <w:rsid w:val="008D2BC8"/>
    <w:rsid w:val="008D2C23"/>
    <w:rsid w:val="008D2C4F"/>
    <w:rsid w:val="008D2D17"/>
    <w:rsid w:val="008D2D1C"/>
    <w:rsid w:val="008D2DF7"/>
    <w:rsid w:val="008D2F69"/>
    <w:rsid w:val="008D2FC6"/>
    <w:rsid w:val="008D2FEE"/>
    <w:rsid w:val="008D304D"/>
    <w:rsid w:val="008D30A2"/>
    <w:rsid w:val="008D30C6"/>
    <w:rsid w:val="008D3110"/>
    <w:rsid w:val="008D319F"/>
    <w:rsid w:val="008D31FA"/>
    <w:rsid w:val="008D3251"/>
    <w:rsid w:val="008D33E7"/>
    <w:rsid w:val="008D3436"/>
    <w:rsid w:val="008D351E"/>
    <w:rsid w:val="008D35CB"/>
    <w:rsid w:val="008D367F"/>
    <w:rsid w:val="008D36C6"/>
    <w:rsid w:val="008D3753"/>
    <w:rsid w:val="008D39A1"/>
    <w:rsid w:val="008D39B6"/>
    <w:rsid w:val="008D3A5D"/>
    <w:rsid w:val="008D3A68"/>
    <w:rsid w:val="008D3AB0"/>
    <w:rsid w:val="008D3AC6"/>
    <w:rsid w:val="008D3C3E"/>
    <w:rsid w:val="008D3DBB"/>
    <w:rsid w:val="008D3DC6"/>
    <w:rsid w:val="008D3E85"/>
    <w:rsid w:val="008D3F15"/>
    <w:rsid w:val="008D40E6"/>
    <w:rsid w:val="008D40F0"/>
    <w:rsid w:val="008D4104"/>
    <w:rsid w:val="008D4114"/>
    <w:rsid w:val="008D4128"/>
    <w:rsid w:val="008D4196"/>
    <w:rsid w:val="008D41BA"/>
    <w:rsid w:val="008D439B"/>
    <w:rsid w:val="008D4453"/>
    <w:rsid w:val="008D44B7"/>
    <w:rsid w:val="008D4557"/>
    <w:rsid w:val="008D4608"/>
    <w:rsid w:val="008D4727"/>
    <w:rsid w:val="008D4786"/>
    <w:rsid w:val="008D4802"/>
    <w:rsid w:val="008D4820"/>
    <w:rsid w:val="008D4838"/>
    <w:rsid w:val="008D487A"/>
    <w:rsid w:val="008D489F"/>
    <w:rsid w:val="008D49AA"/>
    <w:rsid w:val="008D49C4"/>
    <w:rsid w:val="008D4A5E"/>
    <w:rsid w:val="008D4A85"/>
    <w:rsid w:val="008D4BE2"/>
    <w:rsid w:val="008D4CA3"/>
    <w:rsid w:val="008D4CD0"/>
    <w:rsid w:val="008D4D84"/>
    <w:rsid w:val="008D4DBF"/>
    <w:rsid w:val="008D4F0D"/>
    <w:rsid w:val="008D4FD9"/>
    <w:rsid w:val="008D5070"/>
    <w:rsid w:val="008D50FF"/>
    <w:rsid w:val="008D5120"/>
    <w:rsid w:val="008D51A9"/>
    <w:rsid w:val="008D51EC"/>
    <w:rsid w:val="008D520B"/>
    <w:rsid w:val="008D52DF"/>
    <w:rsid w:val="008D52E2"/>
    <w:rsid w:val="008D5350"/>
    <w:rsid w:val="008D53B3"/>
    <w:rsid w:val="008D5502"/>
    <w:rsid w:val="008D5551"/>
    <w:rsid w:val="008D559B"/>
    <w:rsid w:val="008D5606"/>
    <w:rsid w:val="008D5607"/>
    <w:rsid w:val="008D573A"/>
    <w:rsid w:val="008D57AA"/>
    <w:rsid w:val="008D58AC"/>
    <w:rsid w:val="008D5919"/>
    <w:rsid w:val="008D59B0"/>
    <w:rsid w:val="008D5A8A"/>
    <w:rsid w:val="008D5AD9"/>
    <w:rsid w:val="008D5C57"/>
    <w:rsid w:val="008D5C5E"/>
    <w:rsid w:val="008D5CD2"/>
    <w:rsid w:val="008D5D0F"/>
    <w:rsid w:val="008D5D73"/>
    <w:rsid w:val="008D5E1C"/>
    <w:rsid w:val="008D5E63"/>
    <w:rsid w:val="008D5E9A"/>
    <w:rsid w:val="008D5F0F"/>
    <w:rsid w:val="008D6290"/>
    <w:rsid w:val="008D632B"/>
    <w:rsid w:val="008D6370"/>
    <w:rsid w:val="008D63A5"/>
    <w:rsid w:val="008D6700"/>
    <w:rsid w:val="008D67C8"/>
    <w:rsid w:val="008D6C07"/>
    <w:rsid w:val="008D6C8E"/>
    <w:rsid w:val="008D6D2F"/>
    <w:rsid w:val="008D6E42"/>
    <w:rsid w:val="008D6E5F"/>
    <w:rsid w:val="008D6E89"/>
    <w:rsid w:val="008D6ECF"/>
    <w:rsid w:val="008D6FEE"/>
    <w:rsid w:val="008D711E"/>
    <w:rsid w:val="008D7151"/>
    <w:rsid w:val="008D71B7"/>
    <w:rsid w:val="008D73A2"/>
    <w:rsid w:val="008D75E5"/>
    <w:rsid w:val="008D76E0"/>
    <w:rsid w:val="008D76FA"/>
    <w:rsid w:val="008D77A0"/>
    <w:rsid w:val="008D7829"/>
    <w:rsid w:val="008D78D1"/>
    <w:rsid w:val="008D790B"/>
    <w:rsid w:val="008D7929"/>
    <w:rsid w:val="008D79A3"/>
    <w:rsid w:val="008D7AEC"/>
    <w:rsid w:val="008D7C4C"/>
    <w:rsid w:val="008D7C7E"/>
    <w:rsid w:val="008D7D24"/>
    <w:rsid w:val="008D7E74"/>
    <w:rsid w:val="008D7F1C"/>
    <w:rsid w:val="008D7FE4"/>
    <w:rsid w:val="008E0048"/>
    <w:rsid w:val="008E0056"/>
    <w:rsid w:val="008E00CE"/>
    <w:rsid w:val="008E0155"/>
    <w:rsid w:val="008E01F1"/>
    <w:rsid w:val="008E0266"/>
    <w:rsid w:val="008E0330"/>
    <w:rsid w:val="008E0471"/>
    <w:rsid w:val="008E056A"/>
    <w:rsid w:val="008E05F6"/>
    <w:rsid w:val="008E0675"/>
    <w:rsid w:val="008E06C5"/>
    <w:rsid w:val="008E06D3"/>
    <w:rsid w:val="008E09F3"/>
    <w:rsid w:val="008E0B21"/>
    <w:rsid w:val="008E0B3A"/>
    <w:rsid w:val="008E0E94"/>
    <w:rsid w:val="008E0F24"/>
    <w:rsid w:val="008E0F9B"/>
    <w:rsid w:val="008E1024"/>
    <w:rsid w:val="008E1050"/>
    <w:rsid w:val="008E107F"/>
    <w:rsid w:val="008E10FD"/>
    <w:rsid w:val="008E1195"/>
    <w:rsid w:val="008E11EB"/>
    <w:rsid w:val="008E13F8"/>
    <w:rsid w:val="008E1466"/>
    <w:rsid w:val="008E1578"/>
    <w:rsid w:val="008E16E1"/>
    <w:rsid w:val="008E16E8"/>
    <w:rsid w:val="008E17AE"/>
    <w:rsid w:val="008E17D4"/>
    <w:rsid w:val="008E194E"/>
    <w:rsid w:val="008E199E"/>
    <w:rsid w:val="008E1A3A"/>
    <w:rsid w:val="008E1AC5"/>
    <w:rsid w:val="008E1B52"/>
    <w:rsid w:val="008E1B9C"/>
    <w:rsid w:val="008E1BB7"/>
    <w:rsid w:val="008E1C79"/>
    <w:rsid w:val="008E1D73"/>
    <w:rsid w:val="008E1E35"/>
    <w:rsid w:val="008E1E75"/>
    <w:rsid w:val="008E1EBB"/>
    <w:rsid w:val="008E1EFF"/>
    <w:rsid w:val="008E1F41"/>
    <w:rsid w:val="008E1F93"/>
    <w:rsid w:val="008E1FA5"/>
    <w:rsid w:val="008E1FC9"/>
    <w:rsid w:val="008E1FFA"/>
    <w:rsid w:val="008E211D"/>
    <w:rsid w:val="008E2317"/>
    <w:rsid w:val="008E2337"/>
    <w:rsid w:val="008E23D8"/>
    <w:rsid w:val="008E254B"/>
    <w:rsid w:val="008E2786"/>
    <w:rsid w:val="008E27B8"/>
    <w:rsid w:val="008E27E0"/>
    <w:rsid w:val="008E28F8"/>
    <w:rsid w:val="008E295F"/>
    <w:rsid w:val="008E298F"/>
    <w:rsid w:val="008E29DE"/>
    <w:rsid w:val="008E2A61"/>
    <w:rsid w:val="008E2B61"/>
    <w:rsid w:val="008E2CC1"/>
    <w:rsid w:val="008E2E83"/>
    <w:rsid w:val="008E2F32"/>
    <w:rsid w:val="008E2F5D"/>
    <w:rsid w:val="008E3058"/>
    <w:rsid w:val="008E3151"/>
    <w:rsid w:val="008E31E5"/>
    <w:rsid w:val="008E3225"/>
    <w:rsid w:val="008E32B0"/>
    <w:rsid w:val="008E334D"/>
    <w:rsid w:val="008E341D"/>
    <w:rsid w:val="008E34A9"/>
    <w:rsid w:val="008E35BD"/>
    <w:rsid w:val="008E367F"/>
    <w:rsid w:val="008E369B"/>
    <w:rsid w:val="008E372F"/>
    <w:rsid w:val="008E374C"/>
    <w:rsid w:val="008E38A6"/>
    <w:rsid w:val="008E38CD"/>
    <w:rsid w:val="008E3AD7"/>
    <w:rsid w:val="008E3B5F"/>
    <w:rsid w:val="008E3B95"/>
    <w:rsid w:val="008E3C35"/>
    <w:rsid w:val="008E3CDA"/>
    <w:rsid w:val="008E3F60"/>
    <w:rsid w:val="008E41CE"/>
    <w:rsid w:val="008E41CF"/>
    <w:rsid w:val="008E41FB"/>
    <w:rsid w:val="008E4216"/>
    <w:rsid w:val="008E42BB"/>
    <w:rsid w:val="008E43DA"/>
    <w:rsid w:val="008E45F1"/>
    <w:rsid w:val="008E482A"/>
    <w:rsid w:val="008E497C"/>
    <w:rsid w:val="008E49CD"/>
    <w:rsid w:val="008E4AFE"/>
    <w:rsid w:val="008E4ED8"/>
    <w:rsid w:val="008E50CB"/>
    <w:rsid w:val="008E52E8"/>
    <w:rsid w:val="008E541B"/>
    <w:rsid w:val="008E541D"/>
    <w:rsid w:val="008E548C"/>
    <w:rsid w:val="008E5655"/>
    <w:rsid w:val="008E56DE"/>
    <w:rsid w:val="008E575E"/>
    <w:rsid w:val="008E57C4"/>
    <w:rsid w:val="008E58A2"/>
    <w:rsid w:val="008E58FB"/>
    <w:rsid w:val="008E5973"/>
    <w:rsid w:val="008E59C9"/>
    <w:rsid w:val="008E59E2"/>
    <w:rsid w:val="008E59F1"/>
    <w:rsid w:val="008E5ADC"/>
    <w:rsid w:val="008E5C05"/>
    <w:rsid w:val="008E5C75"/>
    <w:rsid w:val="008E5CE7"/>
    <w:rsid w:val="008E5DEF"/>
    <w:rsid w:val="008E5E0E"/>
    <w:rsid w:val="008E5E5A"/>
    <w:rsid w:val="008E5EE9"/>
    <w:rsid w:val="008E5F24"/>
    <w:rsid w:val="008E623E"/>
    <w:rsid w:val="008E62BC"/>
    <w:rsid w:val="008E63D1"/>
    <w:rsid w:val="008E6418"/>
    <w:rsid w:val="008E6447"/>
    <w:rsid w:val="008E6653"/>
    <w:rsid w:val="008E665B"/>
    <w:rsid w:val="008E66F5"/>
    <w:rsid w:val="008E672D"/>
    <w:rsid w:val="008E67E2"/>
    <w:rsid w:val="008E68CB"/>
    <w:rsid w:val="008E6989"/>
    <w:rsid w:val="008E6B51"/>
    <w:rsid w:val="008E6C78"/>
    <w:rsid w:val="008E6C99"/>
    <w:rsid w:val="008E6DD9"/>
    <w:rsid w:val="008E6E48"/>
    <w:rsid w:val="008E7116"/>
    <w:rsid w:val="008E7142"/>
    <w:rsid w:val="008E7155"/>
    <w:rsid w:val="008E717D"/>
    <w:rsid w:val="008E71E7"/>
    <w:rsid w:val="008E71F5"/>
    <w:rsid w:val="008E723A"/>
    <w:rsid w:val="008E736B"/>
    <w:rsid w:val="008E7380"/>
    <w:rsid w:val="008E747B"/>
    <w:rsid w:val="008E751A"/>
    <w:rsid w:val="008E752C"/>
    <w:rsid w:val="008E7591"/>
    <w:rsid w:val="008E7743"/>
    <w:rsid w:val="008E77C1"/>
    <w:rsid w:val="008E77C8"/>
    <w:rsid w:val="008E7881"/>
    <w:rsid w:val="008E79CA"/>
    <w:rsid w:val="008E7CDE"/>
    <w:rsid w:val="008E7DFD"/>
    <w:rsid w:val="008E7E42"/>
    <w:rsid w:val="008E7EA1"/>
    <w:rsid w:val="008E7F36"/>
    <w:rsid w:val="008E99C8"/>
    <w:rsid w:val="008F0026"/>
    <w:rsid w:val="008F021C"/>
    <w:rsid w:val="008F03FB"/>
    <w:rsid w:val="008F05D9"/>
    <w:rsid w:val="008F0607"/>
    <w:rsid w:val="008F063A"/>
    <w:rsid w:val="008F0657"/>
    <w:rsid w:val="008F0795"/>
    <w:rsid w:val="008F0816"/>
    <w:rsid w:val="008F08BB"/>
    <w:rsid w:val="008F08F0"/>
    <w:rsid w:val="008F098B"/>
    <w:rsid w:val="008F09D9"/>
    <w:rsid w:val="008F0A73"/>
    <w:rsid w:val="008F0B9E"/>
    <w:rsid w:val="008F0DE5"/>
    <w:rsid w:val="008F0EFE"/>
    <w:rsid w:val="008F0F3A"/>
    <w:rsid w:val="008F0F3E"/>
    <w:rsid w:val="008F1000"/>
    <w:rsid w:val="008F104A"/>
    <w:rsid w:val="008F10E4"/>
    <w:rsid w:val="008F1140"/>
    <w:rsid w:val="008F120F"/>
    <w:rsid w:val="008F1244"/>
    <w:rsid w:val="008F12BD"/>
    <w:rsid w:val="008F1407"/>
    <w:rsid w:val="008F143B"/>
    <w:rsid w:val="008F14BB"/>
    <w:rsid w:val="008F157F"/>
    <w:rsid w:val="008F1670"/>
    <w:rsid w:val="008F1690"/>
    <w:rsid w:val="008F17AB"/>
    <w:rsid w:val="008F17B0"/>
    <w:rsid w:val="008F198A"/>
    <w:rsid w:val="008F1A42"/>
    <w:rsid w:val="008F1A89"/>
    <w:rsid w:val="008F1AE6"/>
    <w:rsid w:val="008F1B42"/>
    <w:rsid w:val="008F1BD9"/>
    <w:rsid w:val="008F1DBD"/>
    <w:rsid w:val="008F1EF4"/>
    <w:rsid w:val="008F1F0D"/>
    <w:rsid w:val="008F1F4C"/>
    <w:rsid w:val="008F1FF2"/>
    <w:rsid w:val="008F225E"/>
    <w:rsid w:val="008F22E9"/>
    <w:rsid w:val="008F22FE"/>
    <w:rsid w:val="008F236B"/>
    <w:rsid w:val="008F2387"/>
    <w:rsid w:val="008F242C"/>
    <w:rsid w:val="008F25FD"/>
    <w:rsid w:val="008F273C"/>
    <w:rsid w:val="008F27F1"/>
    <w:rsid w:val="008F281C"/>
    <w:rsid w:val="008F2829"/>
    <w:rsid w:val="008F28ED"/>
    <w:rsid w:val="008F2A68"/>
    <w:rsid w:val="008F2ABE"/>
    <w:rsid w:val="008F2C01"/>
    <w:rsid w:val="008F2C34"/>
    <w:rsid w:val="008F2CEB"/>
    <w:rsid w:val="008F2F29"/>
    <w:rsid w:val="008F2F99"/>
    <w:rsid w:val="008F3082"/>
    <w:rsid w:val="008F30DF"/>
    <w:rsid w:val="008F3189"/>
    <w:rsid w:val="008F3197"/>
    <w:rsid w:val="008F321C"/>
    <w:rsid w:val="008F33AC"/>
    <w:rsid w:val="008F347C"/>
    <w:rsid w:val="008F34B4"/>
    <w:rsid w:val="008F34C4"/>
    <w:rsid w:val="008F3510"/>
    <w:rsid w:val="008F3685"/>
    <w:rsid w:val="008F368C"/>
    <w:rsid w:val="008F3749"/>
    <w:rsid w:val="008F37A1"/>
    <w:rsid w:val="008F37CF"/>
    <w:rsid w:val="008F38A3"/>
    <w:rsid w:val="008F392C"/>
    <w:rsid w:val="008F3AFD"/>
    <w:rsid w:val="008F3B9C"/>
    <w:rsid w:val="008F3DD4"/>
    <w:rsid w:val="008F3E00"/>
    <w:rsid w:val="008F3F30"/>
    <w:rsid w:val="008F4080"/>
    <w:rsid w:val="008F4095"/>
    <w:rsid w:val="008F409A"/>
    <w:rsid w:val="008F40CE"/>
    <w:rsid w:val="008F416D"/>
    <w:rsid w:val="008F42D9"/>
    <w:rsid w:val="008F4323"/>
    <w:rsid w:val="008F4331"/>
    <w:rsid w:val="008F4373"/>
    <w:rsid w:val="008F4444"/>
    <w:rsid w:val="008F45A2"/>
    <w:rsid w:val="008F46A4"/>
    <w:rsid w:val="008F4758"/>
    <w:rsid w:val="008F49CB"/>
    <w:rsid w:val="008F49EE"/>
    <w:rsid w:val="008F4A19"/>
    <w:rsid w:val="008F4A66"/>
    <w:rsid w:val="008F4BE1"/>
    <w:rsid w:val="008F4BF4"/>
    <w:rsid w:val="008F4C30"/>
    <w:rsid w:val="008F4D6A"/>
    <w:rsid w:val="008F4E0A"/>
    <w:rsid w:val="008F4FBF"/>
    <w:rsid w:val="008F507C"/>
    <w:rsid w:val="008F5171"/>
    <w:rsid w:val="008F533C"/>
    <w:rsid w:val="008F5352"/>
    <w:rsid w:val="008F538D"/>
    <w:rsid w:val="008F55FF"/>
    <w:rsid w:val="008F5628"/>
    <w:rsid w:val="008F567E"/>
    <w:rsid w:val="008F5685"/>
    <w:rsid w:val="008F56A0"/>
    <w:rsid w:val="008F56CE"/>
    <w:rsid w:val="008F57AA"/>
    <w:rsid w:val="008F588E"/>
    <w:rsid w:val="008F59C1"/>
    <w:rsid w:val="008F5A02"/>
    <w:rsid w:val="008F5A49"/>
    <w:rsid w:val="008F5AC7"/>
    <w:rsid w:val="008F5B14"/>
    <w:rsid w:val="008F5BD4"/>
    <w:rsid w:val="008F5C62"/>
    <w:rsid w:val="008F5CCF"/>
    <w:rsid w:val="008F5D22"/>
    <w:rsid w:val="008F5E72"/>
    <w:rsid w:val="008F5EBC"/>
    <w:rsid w:val="008F5EEB"/>
    <w:rsid w:val="008F5F00"/>
    <w:rsid w:val="008F5F6B"/>
    <w:rsid w:val="008F5F74"/>
    <w:rsid w:val="008F5F9E"/>
    <w:rsid w:val="008F5FA6"/>
    <w:rsid w:val="008F613F"/>
    <w:rsid w:val="008F617B"/>
    <w:rsid w:val="008F61A8"/>
    <w:rsid w:val="008F62A0"/>
    <w:rsid w:val="008F62A7"/>
    <w:rsid w:val="008F636F"/>
    <w:rsid w:val="008F65B3"/>
    <w:rsid w:val="008F65F3"/>
    <w:rsid w:val="008F66E6"/>
    <w:rsid w:val="008F6914"/>
    <w:rsid w:val="008F69B1"/>
    <w:rsid w:val="008F6C6E"/>
    <w:rsid w:val="008F6DEB"/>
    <w:rsid w:val="008F6E15"/>
    <w:rsid w:val="008F6ED8"/>
    <w:rsid w:val="008F6F78"/>
    <w:rsid w:val="008F7129"/>
    <w:rsid w:val="008F72E1"/>
    <w:rsid w:val="008F732D"/>
    <w:rsid w:val="008F734B"/>
    <w:rsid w:val="008F749A"/>
    <w:rsid w:val="008F74A8"/>
    <w:rsid w:val="008F74C7"/>
    <w:rsid w:val="008F7596"/>
    <w:rsid w:val="008F7600"/>
    <w:rsid w:val="008F7632"/>
    <w:rsid w:val="008F76D8"/>
    <w:rsid w:val="008F76DD"/>
    <w:rsid w:val="008F777F"/>
    <w:rsid w:val="008F77A2"/>
    <w:rsid w:val="008F78C8"/>
    <w:rsid w:val="008F79ED"/>
    <w:rsid w:val="008F7A5E"/>
    <w:rsid w:val="008F7A68"/>
    <w:rsid w:val="008F7A8D"/>
    <w:rsid w:val="008F7A96"/>
    <w:rsid w:val="008F7AE5"/>
    <w:rsid w:val="008F7B47"/>
    <w:rsid w:val="008F7B49"/>
    <w:rsid w:val="008F7C6C"/>
    <w:rsid w:val="008F7CD9"/>
    <w:rsid w:val="008F7CF6"/>
    <w:rsid w:val="008F7DBB"/>
    <w:rsid w:val="008F7F42"/>
    <w:rsid w:val="00900062"/>
    <w:rsid w:val="009000A0"/>
    <w:rsid w:val="009001B7"/>
    <w:rsid w:val="00900227"/>
    <w:rsid w:val="00900235"/>
    <w:rsid w:val="0090025B"/>
    <w:rsid w:val="0090035E"/>
    <w:rsid w:val="00900401"/>
    <w:rsid w:val="009004E9"/>
    <w:rsid w:val="00900507"/>
    <w:rsid w:val="009005BE"/>
    <w:rsid w:val="00900640"/>
    <w:rsid w:val="00900743"/>
    <w:rsid w:val="009007C1"/>
    <w:rsid w:val="009007DF"/>
    <w:rsid w:val="009007E3"/>
    <w:rsid w:val="009007F7"/>
    <w:rsid w:val="009008B8"/>
    <w:rsid w:val="00900A50"/>
    <w:rsid w:val="00900A85"/>
    <w:rsid w:val="00900C4E"/>
    <w:rsid w:val="00900CF7"/>
    <w:rsid w:val="00900D0C"/>
    <w:rsid w:val="00900E18"/>
    <w:rsid w:val="00900FBF"/>
    <w:rsid w:val="00900FF5"/>
    <w:rsid w:val="0090107E"/>
    <w:rsid w:val="009010FA"/>
    <w:rsid w:val="00901446"/>
    <w:rsid w:val="009014B9"/>
    <w:rsid w:val="009014EF"/>
    <w:rsid w:val="00901585"/>
    <w:rsid w:val="0090161D"/>
    <w:rsid w:val="00901771"/>
    <w:rsid w:val="00901883"/>
    <w:rsid w:val="00901AA9"/>
    <w:rsid w:val="00901AD1"/>
    <w:rsid w:val="00901B0A"/>
    <w:rsid w:val="00901C43"/>
    <w:rsid w:val="00901D0C"/>
    <w:rsid w:val="00901E23"/>
    <w:rsid w:val="00901ECB"/>
    <w:rsid w:val="00901FB9"/>
    <w:rsid w:val="00902116"/>
    <w:rsid w:val="00902194"/>
    <w:rsid w:val="00902199"/>
    <w:rsid w:val="0090224F"/>
    <w:rsid w:val="00902299"/>
    <w:rsid w:val="00902393"/>
    <w:rsid w:val="009023BD"/>
    <w:rsid w:val="0090249E"/>
    <w:rsid w:val="00902533"/>
    <w:rsid w:val="0090257C"/>
    <w:rsid w:val="00902583"/>
    <w:rsid w:val="009025D2"/>
    <w:rsid w:val="009025DF"/>
    <w:rsid w:val="00902642"/>
    <w:rsid w:val="00902703"/>
    <w:rsid w:val="00902769"/>
    <w:rsid w:val="00902850"/>
    <w:rsid w:val="009028C9"/>
    <w:rsid w:val="009028F0"/>
    <w:rsid w:val="00902AF3"/>
    <w:rsid w:val="00902B34"/>
    <w:rsid w:val="00902BD2"/>
    <w:rsid w:val="00902C8D"/>
    <w:rsid w:val="00902F1C"/>
    <w:rsid w:val="00903089"/>
    <w:rsid w:val="009030F1"/>
    <w:rsid w:val="009030F4"/>
    <w:rsid w:val="0090312D"/>
    <w:rsid w:val="00903312"/>
    <w:rsid w:val="009034B9"/>
    <w:rsid w:val="009034D1"/>
    <w:rsid w:val="009035E8"/>
    <w:rsid w:val="00903657"/>
    <w:rsid w:val="00903728"/>
    <w:rsid w:val="00903795"/>
    <w:rsid w:val="0090380C"/>
    <w:rsid w:val="00903936"/>
    <w:rsid w:val="00903939"/>
    <w:rsid w:val="0090395D"/>
    <w:rsid w:val="0090395E"/>
    <w:rsid w:val="0090399F"/>
    <w:rsid w:val="00903A5B"/>
    <w:rsid w:val="00903A8A"/>
    <w:rsid w:val="00903AFF"/>
    <w:rsid w:val="00903C2B"/>
    <w:rsid w:val="00903CBD"/>
    <w:rsid w:val="00903CEF"/>
    <w:rsid w:val="00903DF3"/>
    <w:rsid w:val="00903E3B"/>
    <w:rsid w:val="00903E69"/>
    <w:rsid w:val="00903E6D"/>
    <w:rsid w:val="00903E7D"/>
    <w:rsid w:val="00903F82"/>
    <w:rsid w:val="00904041"/>
    <w:rsid w:val="009040A1"/>
    <w:rsid w:val="009040E3"/>
    <w:rsid w:val="00904121"/>
    <w:rsid w:val="0090413E"/>
    <w:rsid w:val="00904163"/>
    <w:rsid w:val="0090423B"/>
    <w:rsid w:val="0090436B"/>
    <w:rsid w:val="009043C6"/>
    <w:rsid w:val="009043E4"/>
    <w:rsid w:val="009044F1"/>
    <w:rsid w:val="00904521"/>
    <w:rsid w:val="0090464A"/>
    <w:rsid w:val="0090467E"/>
    <w:rsid w:val="00904686"/>
    <w:rsid w:val="0090470C"/>
    <w:rsid w:val="0090478C"/>
    <w:rsid w:val="00904871"/>
    <w:rsid w:val="0090488C"/>
    <w:rsid w:val="009048AC"/>
    <w:rsid w:val="009048AF"/>
    <w:rsid w:val="009049DF"/>
    <w:rsid w:val="00904AC2"/>
    <w:rsid w:val="00904D2C"/>
    <w:rsid w:val="00904EA1"/>
    <w:rsid w:val="00904F65"/>
    <w:rsid w:val="00904F95"/>
    <w:rsid w:val="00905007"/>
    <w:rsid w:val="009050C0"/>
    <w:rsid w:val="00905175"/>
    <w:rsid w:val="0090521F"/>
    <w:rsid w:val="00905337"/>
    <w:rsid w:val="009053E9"/>
    <w:rsid w:val="0090547A"/>
    <w:rsid w:val="009054B8"/>
    <w:rsid w:val="00905505"/>
    <w:rsid w:val="009055BC"/>
    <w:rsid w:val="00905624"/>
    <w:rsid w:val="00905802"/>
    <w:rsid w:val="009058BF"/>
    <w:rsid w:val="00905A38"/>
    <w:rsid w:val="00905A4C"/>
    <w:rsid w:val="00905AB4"/>
    <w:rsid w:val="00905BD6"/>
    <w:rsid w:val="00905CA9"/>
    <w:rsid w:val="00905CDE"/>
    <w:rsid w:val="00905D23"/>
    <w:rsid w:val="00905E46"/>
    <w:rsid w:val="00905E48"/>
    <w:rsid w:val="00905EE9"/>
    <w:rsid w:val="00906036"/>
    <w:rsid w:val="00906044"/>
    <w:rsid w:val="009060A0"/>
    <w:rsid w:val="009060A5"/>
    <w:rsid w:val="009060C5"/>
    <w:rsid w:val="009060F4"/>
    <w:rsid w:val="0090615E"/>
    <w:rsid w:val="009061A1"/>
    <w:rsid w:val="009063F6"/>
    <w:rsid w:val="00906449"/>
    <w:rsid w:val="00906473"/>
    <w:rsid w:val="0090648F"/>
    <w:rsid w:val="009066F9"/>
    <w:rsid w:val="00906726"/>
    <w:rsid w:val="00906768"/>
    <w:rsid w:val="00906824"/>
    <w:rsid w:val="009069B4"/>
    <w:rsid w:val="009069BF"/>
    <w:rsid w:val="00906A64"/>
    <w:rsid w:val="00906CA8"/>
    <w:rsid w:val="00906F60"/>
    <w:rsid w:val="009071C9"/>
    <w:rsid w:val="009073C6"/>
    <w:rsid w:val="009073C9"/>
    <w:rsid w:val="0090742A"/>
    <w:rsid w:val="00907557"/>
    <w:rsid w:val="009075C5"/>
    <w:rsid w:val="009075CB"/>
    <w:rsid w:val="009076AD"/>
    <w:rsid w:val="009076F0"/>
    <w:rsid w:val="0090773D"/>
    <w:rsid w:val="00907888"/>
    <w:rsid w:val="00907BA3"/>
    <w:rsid w:val="00907BA4"/>
    <w:rsid w:val="00907C66"/>
    <w:rsid w:val="00907DFD"/>
    <w:rsid w:val="00907FC1"/>
    <w:rsid w:val="0091004A"/>
    <w:rsid w:val="00910062"/>
    <w:rsid w:val="009100A8"/>
    <w:rsid w:val="009100B9"/>
    <w:rsid w:val="009100C9"/>
    <w:rsid w:val="00910173"/>
    <w:rsid w:val="0091023A"/>
    <w:rsid w:val="009102C4"/>
    <w:rsid w:val="0091035C"/>
    <w:rsid w:val="009104B4"/>
    <w:rsid w:val="00910579"/>
    <w:rsid w:val="00910622"/>
    <w:rsid w:val="0091064B"/>
    <w:rsid w:val="00910650"/>
    <w:rsid w:val="0091065E"/>
    <w:rsid w:val="00910750"/>
    <w:rsid w:val="009107BA"/>
    <w:rsid w:val="009107F2"/>
    <w:rsid w:val="00910800"/>
    <w:rsid w:val="00910853"/>
    <w:rsid w:val="0091090F"/>
    <w:rsid w:val="00910956"/>
    <w:rsid w:val="00910A6B"/>
    <w:rsid w:val="00910A85"/>
    <w:rsid w:val="00910BA3"/>
    <w:rsid w:val="00910BDB"/>
    <w:rsid w:val="00910BF2"/>
    <w:rsid w:val="00910CCF"/>
    <w:rsid w:val="00910FB6"/>
    <w:rsid w:val="0091115C"/>
    <w:rsid w:val="0091117C"/>
    <w:rsid w:val="00911354"/>
    <w:rsid w:val="009114A2"/>
    <w:rsid w:val="00911590"/>
    <w:rsid w:val="0091172D"/>
    <w:rsid w:val="009117F6"/>
    <w:rsid w:val="0091187B"/>
    <w:rsid w:val="009118A6"/>
    <w:rsid w:val="00911952"/>
    <w:rsid w:val="00911955"/>
    <w:rsid w:val="00911996"/>
    <w:rsid w:val="009119E3"/>
    <w:rsid w:val="009119E6"/>
    <w:rsid w:val="00911B23"/>
    <w:rsid w:val="00911E13"/>
    <w:rsid w:val="00911EEF"/>
    <w:rsid w:val="00911F1A"/>
    <w:rsid w:val="009120CD"/>
    <w:rsid w:val="0091212E"/>
    <w:rsid w:val="0091213D"/>
    <w:rsid w:val="0091224E"/>
    <w:rsid w:val="009122DB"/>
    <w:rsid w:val="0091230E"/>
    <w:rsid w:val="0091231F"/>
    <w:rsid w:val="009123C7"/>
    <w:rsid w:val="0091249E"/>
    <w:rsid w:val="009124A7"/>
    <w:rsid w:val="009125ED"/>
    <w:rsid w:val="0091260F"/>
    <w:rsid w:val="00912662"/>
    <w:rsid w:val="00912895"/>
    <w:rsid w:val="009128D2"/>
    <w:rsid w:val="009128DF"/>
    <w:rsid w:val="0091297E"/>
    <w:rsid w:val="0091299F"/>
    <w:rsid w:val="009129C8"/>
    <w:rsid w:val="00912AAD"/>
    <w:rsid w:val="00912AFD"/>
    <w:rsid w:val="00912B07"/>
    <w:rsid w:val="00912B13"/>
    <w:rsid w:val="00912B31"/>
    <w:rsid w:val="00912B40"/>
    <w:rsid w:val="00912B5B"/>
    <w:rsid w:val="00912C31"/>
    <w:rsid w:val="00912CDB"/>
    <w:rsid w:val="00912D68"/>
    <w:rsid w:val="00912E1C"/>
    <w:rsid w:val="00912E34"/>
    <w:rsid w:val="00912E87"/>
    <w:rsid w:val="00912E99"/>
    <w:rsid w:val="00912F0B"/>
    <w:rsid w:val="00912F6B"/>
    <w:rsid w:val="0091300C"/>
    <w:rsid w:val="00913014"/>
    <w:rsid w:val="0091317E"/>
    <w:rsid w:val="0091321C"/>
    <w:rsid w:val="00913259"/>
    <w:rsid w:val="00913432"/>
    <w:rsid w:val="00913487"/>
    <w:rsid w:val="0091348B"/>
    <w:rsid w:val="0091356E"/>
    <w:rsid w:val="00913596"/>
    <w:rsid w:val="009135D7"/>
    <w:rsid w:val="0091365E"/>
    <w:rsid w:val="00913678"/>
    <w:rsid w:val="009136A6"/>
    <w:rsid w:val="009136AF"/>
    <w:rsid w:val="00913738"/>
    <w:rsid w:val="00913870"/>
    <w:rsid w:val="00913A97"/>
    <w:rsid w:val="00913AC1"/>
    <w:rsid w:val="00913BA5"/>
    <w:rsid w:val="00913BDE"/>
    <w:rsid w:val="00913EED"/>
    <w:rsid w:val="00913F7B"/>
    <w:rsid w:val="00914263"/>
    <w:rsid w:val="00914401"/>
    <w:rsid w:val="00914416"/>
    <w:rsid w:val="00914457"/>
    <w:rsid w:val="009145D9"/>
    <w:rsid w:val="00914610"/>
    <w:rsid w:val="00914624"/>
    <w:rsid w:val="00914726"/>
    <w:rsid w:val="0091475E"/>
    <w:rsid w:val="00914761"/>
    <w:rsid w:val="00914792"/>
    <w:rsid w:val="00914823"/>
    <w:rsid w:val="00914A56"/>
    <w:rsid w:val="00914A5B"/>
    <w:rsid w:val="00914AB8"/>
    <w:rsid w:val="00914E59"/>
    <w:rsid w:val="00914EED"/>
    <w:rsid w:val="00914F1C"/>
    <w:rsid w:val="00915008"/>
    <w:rsid w:val="00915084"/>
    <w:rsid w:val="00915134"/>
    <w:rsid w:val="00915465"/>
    <w:rsid w:val="00915476"/>
    <w:rsid w:val="009154C6"/>
    <w:rsid w:val="00915524"/>
    <w:rsid w:val="0091558F"/>
    <w:rsid w:val="0091564A"/>
    <w:rsid w:val="0091564F"/>
    <w:rsid w:val="00915680"/>
    <w:rsid w:val="00915703"/>
    <w:rsid w:val="009157E1"/>
    <w:rsid w:val="009157E4"/>
    <w:rsid w:val="00915BA9"/>
    <w:rsid w:val="00915BE3"/>
    <w:rsid w:val="00915BE7"/>
    <w:rsid w:val="00915CF9"/>
    <w:rsid w:val="00915DE7"/>
    <w:rsid w:val="00915F2C"/>
    <w:rsid w:val="00916020"/>
    <w:rsid w:val="00916094"/>
    <w:rsid w:val="0091612A"/>
    <w:rsid w:val="009161F6"/>
    <w:rsid w:val="00916216"/>
    <w:rsid w:val="00916256"/>
    <w:rsid w:val="0091626A"/>
    <w:rsid w:val="00916274"/>
    <w:rsid w:val="0091631C"/>
    <w:rsid w:val="0091637E"/>
    <w:rsid w:val="00916387"/>
    <w:rsid w:val="00916451"/>
    <w:rsid w:val="00916490"/>
    <w:rsid w:val="009165D2"/>
    <w:rsid w:val="009165DA"/>
    <w:rsid w:val="00916620"/>
    <w:rsid w:val="00916621"/>
    <w:rsid w:val="00916646"/>
    <w:rsid w:val="00916691"/>
    <w:rsid w:val="009169E7"/>
    <w:rsid w:val="00916A00"/>
    <w:rsid w:val="00916A4A"/>
    <w:rsid w:val="00916B36"/>
    <w:rsid w:val="00916BC6"/>
    <w:rsid w:val="00916C4A"/>
    <w:rsid w:val="00916C72"/>
    <w:rsid w:val="00916D0B"/>
    <w:rsid w:val="00916D17"/>
    <w:rsid w:val="00916E70"/>
    <w:rsid w:val="00916F5F"/>
    <w:rsid w:val="00916F7B"/>
    <w:rsid w:val="009171B6"/>
    <w:rsid w:val="00917217"/>
    <w:rsid w:val="0091721F"/>
    <w:rsid w:val="0091726C"/>
    <w:rsid w:val="009173BE"/>
    <w:rsid w:val="009173C2"/>
    <w:rsid w:val="009174B3"/>
    <w:rsid w:val="00917565"/>
    <w:rsid w:val="009175BC"/>
    <w:rsid w:val="009176D7"/>
    <w:rsid w:val="00917704"/>
    <w:rsid w:val="00917890"/>
    <w:rsid w:val="00917892"/>
    <w:rsid w:val="0091798D"/>
    <w:rsid w:val="00917998"/>
    <w:rsid w:val="00917ADD"/>
    <w:rsid w:val="00917B4D"/>
    <w:rsid w:val="00917BD2"/>
    <w:rsid w:val="00917C93"/>
    <w:rsid w:val="00917CAD"/>
    <w:rsid w:val="00917E96"/>
    <w:rsid w:val="00917EFB"/>
    <w:rsid w:val="00917F35"/>
    <w:rsid w:val="00917F6A"/>
    <w:rsid w:val="00920025"/>
    <w:rsid w:val="00920072"/>
    <w:rsid w:val="009200C3"/>
    <w:rsid w:val="009200E9"/>
    <w:rsid w:val="009201DE"/>
    <w:rsid w:val="00920307"/>
    <w:rsid w:val="0092033D"/>
    <w:rsid w:val="009203AD"/>
    <w:rsid w:val="009203B4"/>
    <w:rsid w:val="009205AF"/>
    <w:rsid w:val="00920662"/>
    <w:rsid w:val="0092068A"/>
    <w:rsid w:val="009206BC"/>
    <w:rsid w:val="009206E9"/>
    <w:rsid w:val="00920709"/>
    <w:rsid w:val="009207D3"/>
    <w:rsid w:val="00920881"/>
    <w:rsid w:val="009208DA"/>
    <w:rsid w:val="00920913"/>
    <w:rsid w:val="00920A69"/>
    <w:rsid w:val="00920B62"/>
    <w:rsid w:val="00920BA9"/>
    <w:rsid w:val="00920BFC"/>
    <w:rsid w:val="00920C6A"/>
    <w:rsid w:val="00920C88"/>
    <w:rsid w:val="00920C9C"/>
    <w:rsid w:val="00920CEA"/>
    <w:rsid w:val="00920D83"/>
    <w:rsid w:val="00920DC2"/>
    <w:rsid w:val="00920E63"/>
    <w:rsid w:val="00920F22"/>
    <w:rsid w:val="009211E6"/>
    <w:rsid w:val="00921209"/>
    <w:rsid w:val="00921214"/>
    <w:rsid w:val="00921222"/>
    <w:rsid w:val="009212AC"/>
    <w:rsid w:val="00921345"/>
    <w:rsid w:val="0092147F"/>
    <w:rsid w:val="0092148B"/>
    <w:rsid w:val="009214E5"/>
    <w:rsid w:val="0092157E"/>
    <w:rsid w:val="00921690"/>
    <w:rsid w:val="0092181D"/>
    <w:rsid w:val="0092189C"/>
    <w:rsid w:val="00921A40"/>
    <w:rsid w:val="00921B2F"/>
    <w:rsid w:val="00921CCB"/>
    <w:rsid w:val="00921CE6"/>
    <w:rsid w:val="00921D9D"/>
    <w:rsid w:val="00921E38"/>
    <w:rsid w:val="00921EFB"/>
    <w:rsid w:val="009220B4"/>
    <w:rsid w:val="0092212A"/>
    <w:rsid w:val="009221CA"/>
    <w:rsid w:val="00922202"/>
    <w:rsid w:val="00922258"/>
    <w:rsid w:val="009222AA"/>
    <w:rsid w:val="0092233B"/>
    <w:rsid w:val="0092235C"/>
    <w:rsid w:val="0092248A"/>
    <w:rsid w:val="00922509"/>
    <w:rsid w:val="0092258A"/>
    <w:rsid w:val="0092266F"/>
    <w:rsid w:val="00922696"/>
    <w:rsid w:val="00922800"/>
    <w:rsid w:val="0092290C"/>
    <w:rsid w:val="0092298D"/>
    <w:rsid w:val="009229FC"/>
    <w:rsid w:val="00922C00"/>
    <w:rsid w:val="00923032"/>
    <w:rsid w:val="0092317A"/>
    <w:rsid w:val="0092322F"/>
    <w:rsid w:val="009232C6"/>
    <w:rsid w:val="00923300"/>
    <w:rsid w:val="00923496"/>
    <w:rsid w:val="009234E6"/>
    <w:rsid w:val="00923544"/>
    <w:rsid w:val="0092365C"/>
    <w:rsid w:val="009236A3"/>
    <w:rsid w:val="009236D0"/>
    <w:rsid w:val="00923853"/>
    <w:rsid w:val="009238CD"/>
    <w:rsid w:val="00923960"/>
    <w:rsid w:val="009239AA"/>
    <w:rsid w:val="00923BD0"/>
    <w:rsid w:val="00923BD1"/>
    <w:rsid w:val="00923BE4"/>
    <w:rsid w:val="00923BF2"/>
    <w:rsid w:val="00923C18"/>
    <w:rsid w:val="00923D7E"/>
    <w:rsid w:val="00923D82"/>
    <w:rsid w:val="00924074"/>
    <w:rsid w:val="00924129"/>
    <w:rsid w:val="0092413D"/>
    <w:rsid w:val="00924196"/>
    <w:rsid w:val="0092419E"/>
    <w:rsid w:val="009241E1"/>
    <w:rsid w:val="0092420D"/>
    <w:rsid w:val="0092421C"/>
    <w:rsid w:val="00924321"/>
    <w:rsid w:val="00924355"/>
    <w:rsid w:val="009243B8"/>
    <w:rsid w:val="009243BF"/>
    <w:rsid w:val="0092448B"/>
    <w:rsid w:val="009245FD"/>
    <w:rsid w:val="0092478C"/>
    <w:rsid w:val="009248DB"/>
    <w:rsid w:val="00924935"/>
    <w:rsid w:val="00924957"/>
    <w:rsid w:val="00924AA3"/>
    <w:rsid w:val="00924C41"/>
    <w:rsid w:val="00924D43"/>
    <w:rsid w:val="00924DE4"/>
    <w:rsid w:val="00924FD0"/>
    <w:rsid w:val="009250D4"/>
    <w:rsid w:val="00925126"/>
    <w:rsid w:val="00925161"/>
    <w:rsid w:val="0092516F"/>
    <w:rsid w:val="00925321"/>
    <w:rsid w:val="0092533F"/>
    <w:rsid w:val="0092544B"/>
    <w:rsid w:val="00925464"/>
    <w:rsid w:val="009254A1"/>
    <w:rsid w:val="00925709"/>
    <w:rsid w:val="00925837"/>
    <w:rsid w:val="009258FE"/>
    <w:rsid w:val="009259F8"/>
    <w:rsid w:val="00925A75"/>
    <w:rsid w:val="00925C04"/>
    <w:rsid w:val="00925D2D"/>
    <w:rsid w:val="00925E1A"/>
    <w:rsid w:val="00925FF3"/>
    <w:rsid w:val="009260A8"/>
    <w:rsid w:val="00926115"/>
    <w:rsid w:val="00926172"/>
    <w:rsid w:val="009261CA"/>
    <w:rsid w:val="00926425"/>
    <w:rsid w:val="00926427"/>
    <w:rsid w:val="009264DB"/>
    <w:rsid w:val="00926523"/>
    <w:rsid w:val="00926538"/>
    <w:rsid w:val="009266F2"/>
    <w:rsid w:val="00926710"/>
    <w:rsid w:val="009267C2"/>
    <w:rsid w:val="009267F0"/>
    <w:rsid w:val="00926815"/>
    <w:rsid w:val="00926938"/>
    <w:rsid w:val="00926AB1"/>
    <w:rsid w:val="00926B44"/>
    <w:rsid w:val="00926B95"/>
    <w:rsid w:val="00926C83"/>
    <w:rsid w:val="00926C9E"/>
    <w:rsid w:val="00926E26"/>
    <w:rsid w:val="00926FC3"/>
    <w:rsid w:val="00926FD4"/>
    <w:rsid w:val="00927003"/>
    <w:rsid w:val="0092716F"/>
    <w:rsid w:val="00927288"/>
    <w:rsid w:val="009272AE"/>
    <w:rsid w:val="00927322"/>
    <w:rsid w:val="00927328"/>
    <w:rsid w:val="009273E2"/>
    <w:rsid w:val="00927439"/>
    <w:rsid w:val="0092770C"/>
    <w:rsid w:val="0092771D"/>
    <w:rsid w:val="00927750"/>
    <w:rsid w:val="00927779"/>
    <w:rsid w:val="00927822"/>
    <w:rsid w:val="00927852"/>
    <w:rsid w:val="00927875"/>
    <w:rsid w:val="0092787E"/>
    <w:rsid w:val="009278A7"/>
    <w:rsid w:val="009279FD"/>
    <w:rsid w:val="00927C94"/>
    <w:rsid w:val="00927C9F"/>
    <w:rsid w:val="00927CBD"/>
    <w:rsid w:val="00927DF0"/>
    <w:rsid w:val="00927E9C"/>
    <w:rsid w:val="00927F93"/>
    <w:rsid w:val="00927FAF"/>
    <w:rsid w:val="00927FBB"/>
    <w:rsid w:val="0093008F"/>
    <w:rsid w:val="00930097"/>
    <w:rsid w:val="00930305"/>
    <w:rsid w:val="00930384"/>
    <w:rsid w:val="009303A9"/>
    <w:rsid w:val="009304BA"/>
    <w:rsid w:val="00930591"/>
    <w:rsid w:val="009305CE"/>
    <w:rsid w:val="0093072A"/>
    <w:rsid w:val="009307CA"/>
    <w:rsid w:val="0093084E"/>
    <w:rsid w:val="0093089B"/>
    <w:rsid w:val="009308EE"/>
    <w:rsid w:val="00930946"/>
    <w:rsid w:val="009309EA"/>
    <w:rsid w:val="00930A61"/>
    <w:rsid w:val="00930B3C"/>
    <w:rsid w:val="00930C10"/>
    <w:rsid w:val="00930E33"/>
    <w:rsid w:val="00930F22"/>
    <w:rsid w:val="009310CD"/>
    <w:rsid w:val="0093115F"/>
    <w:rsid w:val="00931167"/>
    <w:rsid w:val="009311AE"/>
    <w:rsid w:val="00931213"/>
    <w:rsid w:val="009313B0"/>
    <w:rsid w:val="00931406"/>
    <w:rsid w:val="0093141E"/>
    <w:rsid w:val="00931442"/>
    <w:rsid w:val="0093148A"/>
    <w:rsid w:val="0093151D"/>
    <w:rsid w:val="00931576"/>
    <w:rsid w:val="009315EF"/>
    <w:rsid w:val="00931638"/>
    <w:rsid w:val="009316C8"/>
    <w:rsid w:val="00931717"/>
    <w:rsid w:val="00931836"/>
    <w:rsid w:val="009318E0"/>
    <w:rsid w:val="009318E9"/>
    <w:rsid w:val="009318F8"/>
    <w:rsid w:val="00931927"/>
    <w:rsid w:val="00931A73"/>
    <w:rsid w:val="00931A93"/>
    <w:rsid w:val="00931ADF"/>
    <w:rsid w:val="00931AF9"/>
    <w:rsid w:val="00931B88"/>
    <w:rsid w:val="00931CC1"/>
    <w:rsid w:val="00931E43"/>
    <w:rsid w:val="00931F74"/>
    <w:rsid w:val="00931FC2"/>
    <w:rsid w:val="00932012"/>
    <w:rsid w:val="00932096"/>
    <w:rsid w:val="009320AC"/>
    <w:rsid w:val="00932132"/>
    <w:rsid w:val="00932239"/>
    <w:rsid w:val="00932261"/>
    <w:rsid w:val="00932361"/>
    <w:rsid w:val="009323D5"/>
    <w:rsid w:val="009323F1"/>
    <w:rsid w:val="00932424"/>
    <w:rsid w:val="0093253E"/>
    <w:rsid w:val="009325DD"/>
    <w:rsid w:val="009325E8"/>
    <w:rsid w:val="0093279A"/>
    <w:rsid w:val="009327C8"/>
    <w:rsid w:val="0093284C"/>
    <w:rsid w:val="009328A6"/>
    <w:rsid w:val="00932A57"/>
    <w:rsid w:val="00932B63"/>
    <w:rsid w:val="00932BA5"/>
    <w:rsid w:val="00932C09"/>
    <w:rsid w:val="00932C86"/>
    <w:rsid w:val="00932CEF"/>
    <w:rsid w:val="00932DAD"/>
    <w:rsid w:val="00932DB6"/>
    <w:rsid w:val="00932E1A"/>
    <w:rsid w:val="00932E32"/>
    <w:rsid w:val="00932EA3"/>
    <w:rsid w:val="00932EAA"/>
    <w:rsid w:val="00932F2A"/>
    <w:rsid w:val="00932F37"/>
    <w:rsid w:val="00932F3F"/>
    <w:rsid w:val="00932F66"/>
    <w:rsid w:val="00933076"/>
    <w:rsid w:val="009330B1"/>
    <w:rsid w:val="00933101"/>
    <w:rsid w:val="009332D2"/>
    <w:rsid w:val="009333C6"/>
    <w:rsid w:val="009333ED"/>
    <w:rsid w:val="009335F2"/>
    <w:rsid w:val="0093362B"/>
    <w:rsid w:val="0093363E"/>
    <w:rsid w:val="00933645"/>
    <w:rsid w:val="009336A6"/>
    <w:rsid w:val="009336B5"/>
    <w:rsid w:val="0093372F"/>
    <w:rsid w:val="00933789"/>
    <w:rsid w:val="009337DD"/>
    <w:rsid w:val="009337EA"/>
    <w:rsid w:val="00933856"/>
    <w:rsid w:val="00933895"/>
    <w:rsid w:val="00933946"/>
    <w:rsid w:val="00933959"/>
    <w:rsid w:val="00933961"/>
    <w:rsid w:val="00933A51"/>
    <w:rsid w:val="00933A72"/>
    <w:rsid w:val="00933B96"/>
    <w:rsid w:val="00933BAB"/>
    <w:rsid w:val="00933BDE"/>
    <w:rsid w:val="00933BFB"/>
    <w:rsid w:val="00933C56"/>
    <w:rsid w:val="00933CB3"/>
    <w:rsid w:val="00933E0A"/>
    <w:rsid w:val="00933E35"/>
    <w:rsid w:val="00933E6E"/>
    <w:rsid w:val="00933FB0"/>
    <w:rsid w:val="00934039"/>
    <w:rsid w:val="00934093"/>
    <w:rsid w:val="009340D7"/>
    <w:rsid w:val="00934111"/>
    <w:rsid w:val="00934122"/>
    <w:rsid w:val="00934170"/>
    <w:rsid w:val="009341CD"/>
    <w:rsid w:val="00934200"/>
    <w:rsid w:val="0093424D"/>
    <w:rsid w:val="00934292"/>
    <w:rsid w:val="009342D6"/>
    <w:rsid w:val="00934301"/>
    <w:rsid w:val="0093433B"/>
    <w:rsid w:val="00934386"/>
    <w:rsid w:val="00934511"/>
    <w:rsid w:val="00934518"/>
    <w:rsid w:val="0093458B"/>
    <w:rsid w:val="009345BB"/>
    <w:rsid w:val="009346EA"/>
    <w:rsid w:val="0093477D"/>
    <w:rsid w:val="009348B8"/>
    <w:rsid w:val="00934988"/>
    <w:rsid w:val="00934AF9"/>
    <w:rsid w:val="00934C23"/>
    <w:rsid w:val="00934D2B"/>
    <w:rsid w:val="00934F8A"/>
    <w:rsid w:val="00934FD8"/>
    <w:rsid w:val="00935183"/>
    <w:rsid w:val="009351A4"/>
    <w:rsid w:val="009351B8"/>
    <w:rsid w:val="009351FD"/>
    <w:rsid w:val="00935237"/>
    <w:rsid w:val="009353D2"/>
    <w:rsid w:val="00935442"/>
    <w:rsid w:val="00935503"/>
    <w:rsid w:val="00935659"/>
    <w:rsid w:val="0093583F"/>
    <w:rsid w:val="009359F9"/>
    <w:rsid w:val="00935A4A"/>
    <w:rsid w:val="00935A4D"/>
    <w:rsid w:val="00935A58"/>
    <w:rsid w:val="00935B90"/>
    <w:rsid w:val="00935C7D"/>
    <w:rsid w:val="00935C90"/>
    <w:rsid w:val="00935E1F"/>
    <w:rsid w:val="00935EDA"/>
    <w:rsid w:val="00936053"/>
    <w:rsid w:val="009361F3"/>
    <w:rsid w:val="00936210"/>
    <w:rsid w:val="009362E2"/>
    <w:rsid w:val="0093634A"/>
    <w:rsid w:val="009363FB"/>
    <w:rsid w:val="009364C8"/>
    <w:rsid w:val="009364C9"/>
    <w:rsid w:val="0093651F"/>
    <w:rsid w:val="009365AE"/>
    <w:rsid w:val="00936816"/>
    <w:rsid w:val="009368BC"/>
    <w:rsid w:val="00936BCC"/>
    <w:rsid w:val="00936C0E"/>
    <w:rsid w:val="00936CA7"/>
    <w:rsid w:val="00936D5A"/>
    <w:rsid w:val="00936F7B"/>
    <w:rsid w:val="00937163"/>
    <w:rsid w:val="0093720F"/>
    <w:rsid w:val="00937214"/>
    <w:rsid w:val="009372F9"/>
    <w:rsid w:val="0093734E"/>
    <w:rsid w:val="00937407"/>
    <w:rsid w:val="00937487"/>
    <w:rsid w:val="009374AC"/>
    <w:rsid w:val="00937573"/>
    <w:rsid w:val="00937663"/>
    <w:rsid w:val="00937684"/>
    <w:rsid w:val="009376B7"/>
    <w:rsid w:val="0093773C"/>
    <w:rsid w:val="00937760"/>
    <w:rsid w:val="009377A7"/>
    <w:rsid w:val="0093780C"/>
    <w:rsid w:val="009378A7"/>
    <w:rsid w:val="0093796F"/>
    <w:rsid w:val="00937986"/>
    <w:rsid w:val="00937AB7"/>
    <w:rsid w:val="00937ABC"/>
    <w:rsid w:val="00937B2F"/>
    <w:rsid w:val="00937C14"/>
    <w:rsid w:val="00937C49"/>
    <w:rsid w:val="00937C5A"/>
    <w:rsid w:val="00937F0B"/>
    <w:rsid w:val="00937FEE"/>
    <w:rsid w:val="00940045"/>
    <w:rsid w:val="009400E6"/>
    <w:rsid w:val="0094015C"/>
    <w:rsid w:val="009401BA"/>
    <w:rsid w:val="0094032D"/>
    <w:rsid w:val="00940384"/>
    <w:rsid w:val="00940492"/>
    <w:rsid w:val="00940514"/>
    <w:rsid w:val="009406EF"/>
    <w:rsid w:val="00940863"/>
    <w:rsid w:val="009408C9"/>
    <w:rsid w:val="009408E6"/>
    <w:rsid w:val="009409F7"/>
    <w:rsid w:val="00940A1C"/>
    <w:rsid w:val="00940B45"/>
    <w:rsid w:val="00940B5A"/>
    <w:rsid w:val="00940C01"/>
    <w:rsid w:val="00940CC5"/>
    <w:rsid w:val="00940CE3"/>
    <w:rsid w:val="00940DED"/>
    <w:rsid w:val="00940E94"/>
    <w:rsid w:val="00940ECF"/>
    <w:rsid w:val="00940F05"/>
    <w:rsid w:val="00940F83"/>
    <w:rsid w:val="0094100C"/>
    <w:rsid w:val="009411BC"/>
    <w:rsid w:val="00941272"/>
    <w:rsid w:val="0094128B"/>
    <w:rsid w:val="00941446"/>
    <w:rsid w:val="00941492"/>
    <w:rsid w:val="0094153F"/>
    <w:rsid w:val="00941542"/>
    <w:rsid w:val="00941692"/>
    <w:rsid w:val="009416C3"/>
    <w:rsid w:val="00941713"/>
    <w:rsid w:val="00941883"/>
    <w:rsid w:val="00941997"/>
    <w:rsid w:val="009419A3"/>
    <w:rsid w:val="00941A1D"/>
    <w:rsid w:val="00941A2F"/>
    <w:rsid w:val="00941A8B"/>
    <w:rsid w:val="00941ACC"/>
    <w:rsid w:val="00941C60"/>
    <w:rsid w:val="00941C6B"/>
    <w:rsid w:val="00941C9B"/>
    <w:rsid w:val="00941D46"/>
    <w:rsid w:val="00941DF3"/>
    <w:rsid w:val="00941E1A"/>
    <w:rsid w:val="00941E43"/>
    <w:rsid w:val="00941E62"/>
    <w:rsid w:val="00941E8F"/>
    <w:rsid w:val="00941ED1"/>
    <w:rsid w:val="00941F20"/>
    <w:rsid w:val="00941F8E"/>
    <w:rsid w:val="00941FD2"/>
    <w:rsid w:val="009421BE"/>
    <w:rsid w:val="0094235E"/>
    <w:rsid w:val="00942489"/>
    <w:rsid w:val="009424B7"/>
    <w:rsid w:val="009424F9"/>
    <w:rsid w:val="00942531"/>
    <w:rsid w:val="009425DE"/>
    <w:rsid w:val="009425E3"/>
    <w:rsid w:val="009426CA"/>
    <w:rsid w:val="00942A87"/>
    <w:rsid w:val="00942B9A"/>
    <w:rsid w:val="00942C2A"/>
    <w:rsid w:val="00942E9D"/>
    <w:rsid w:val="00942EAC"/>
    <w:rsid w:val="00943053"/>
    <w:rsid w:val="00943079"/>
    <w:rsid w:val="00943200"/>
    <w:rsid w:val="0094323F"/>
    <w:rsid w:val="00943295"/>
    <w:rsid w:val="009433A4"/>
    <w:rsid w:val="009434F9"/>
    <w:rsid w:val="009435F2"/>
    <w:rsid w:val="009436A8"/>
    <w:rsid w:val="00943715"/>
    <w:rsid w:val="00943745"/>
    <w:rsid w:val="00943766"/>
    <w:rsid w:val="009437D9"/>
    <w:rsid w:val="009437E3"/>
    <w:rsid w:val="0094380D"/>
    <w:rsid w:val="0094383E"/>
    <w:rsid w:val="009438E9"/>
    <w:rsid w:val="0094394C"/>
    <w:rsid w:val="00943963"/>
    <w:rsid w:val="00943B5C"/>
    <w:rsid w:val="00943DE4"/>
    <w:rsid w:val="00943E07"/>
    <w:rsid w:val="00943E60"/>
    <w:rsid w:val="00943E7D"/>
    <w:rsid w:val="00943F4D"/>
    <w:rsid w:val="0094426B"/>
    <w:rsid w:val="009442D8"/>
    <w:rsid w:val="00944397"/>
    <w:rsid w:val="009443DA"/>
    <w:rsid w:val="009444C7"/>
    <w:rsid w:val="00944552"/>
    <w:rsid w:val="009445F5"/>
    <w:rsid w:val="009445F8"/>
    <w:rsid w:val="0094467E"/>
    <w:rsid w:val="009446E8"/>
    <w:rsid w:val="00944792"/>
    <w:rsid w:val="009447C4"/>
    <w:rsid w:val="009447D0"/>
    <w:rsid w:val="0094488E"/>
    <w:rsid w:val="0094497B"/>
    <w:rsid w:val="00944A45"/>
    <w:rsid w:val="00944BAB"/>
    <w:rsid w:val="00944D7D"/>
    <w:rsid w:val="00944DD0"/>
    <w:rsid w:val="00944E93"/>
    <w:rsid w:val="00944F74"/>
    <w:rsid w:val="0094502F"/>
    <w:rsid w:val="0094508D"/>
    <w:rsid w:val="00945195"/>
    <w:rsid w:val="009453D8"/>
    <w:rsid w:val="00945450"/>
    <w:rsid w:val="009455A1"/>
    <w:rsid w:val="009457BE"/>
    <w:rsid w:val="009457BF"/>
    <w:rsid w:val="009458CD"/>
    <w:rsid w:val="00945959"/>
    <w:rsid w:val="009459F1"/>
    <w:rsid w:val="00945A68"/>
    <w:rsid w:val="00945B4E"/>
    <w:rsid w:val="00945C12"/>
    <w:rsid w:val="00945C22"/>
    <w:rsid w:val="00945C26"/>
    <w:rsid w:val="00945C77"/>
    <w:rsid w:val="00945DA9"/>
    <w:rsid w:val="00945F22"/>
    <w:rsid w:val="00945F65"/>
    <w:rsid w:val="00946005"/>
    <w:rsid w:val="00946012"/>
    <w:rsid w:val="0094602E"/>
    <w:rsid w:val="0094613E"/>
    <w:rsid w:val="00946158"/>
    <w:rsid w:val="00946178"/>
    <w:rsid w:val="009462FC"/>
    <w:rsid w:val="0094634D"/>
    <w:rsid w:val="00946380"/>
    <w:rsid w:val="009463BE"/>
    <w:rsid w:val="0094642B"/>
    <w:rsid w:val="009464B3"/>
    <w:rsid w:val="009466BF"/>
    <w:rsid w:val="00946903"/>
    <w:rsid w:val="00946A36"/>
    <w:rsid w:val="00946B0E"/>
    <w:rsid w:val="00946B85"/>
    <w:rsid w:val="00946B9B"/>
    <w:rsid w:val="00946BDD"/>
    <w:rsid w:val="00946C0F"/>
    <w:rsid w:val="00946C66"/>
    <w:rsid w:val="00946D01"/>
    <w:rsid w:val="00946D05"/>
    <w:rsid w:val="00946DF5"/>
    <w:rsid w:val="00946E53"/>
    <w:rsid w:val="00946E9D"/>
    <w:rsid w:val="00946EC0"/>
    <w:rsid w:val="0094700E"/>
    <w:rsid w:val="0094716B"/>
    <w:rsid w:val="0094717C"/>
    <w:rsid w:val="00947192"/>
    <w:rsid w:val="009471BE"/>
    <w:rsid w:val="009471E0"/>
    <w:rsid w:val="00947226"/>
    <w:rsid w:val="009472E8"/>
    <w:rsid w:val="00947307"/>
    <w:rsid w:val="0094731F"/>
    <w:rsid w:val="00947415"/>
    <w:rsid w:val="00947649"/>
    <w:rsid w:val="0094774E"/>
    <w:rsid w:val="009477D4"/>
    <w:rsid w:val="009477D6"/>
    <w:rsid w:val="00947880"/>
    <w:rsid w:val="00947892"/>
    <w:rsid w:val="0094793F"/>
    <w:rsid w:val="0094797F"/>
    <w:rsid w:val="00947B16"/>
    <w:rsid w:val="00947B4E"/>
    <w:rsid w:val="00947C46"/>
    <w:rsid w:val="00947D19"/>
    <w:rsid w:val="00947D64"/>
    <w:rsid w:val="00947DC5"/>
    <w:rsid w:val="009500AD"/>
    <w:rsid w:val="009500BB"/>
    <w:rsid w:val="009500EF"/>
    <w:rsid w:val="00950104"/>
    <w:rsid w:val="00950122"/>
    <w:rsid w:val="00950195"/>
    <w:rsid w:val="0095019B"/>
    <w:rsid w:val="009501DA"/>
    <w:rsid w:val="009502BC"/>
    <w:rsid w:val="00950538"/>
    <w:rsid w:val="00950720"/>
    <w:rsid w:val="009507E1"/>
    <w:rsid w:val="009508B3"/>
    <w:rsid w:val="009508BA"/>
    <w:rsid w:val="009508F5"/>
    <w:rsid w:val="0095096E"/>
    <w:rsid w:val="00950A95"/>
    <w:rsid w:val="00950B1B"/>
    <w:rsid w:val="00950B44"/>
    <w:rsid w:val="00950BC9"/>
    <w:rsid w:val="00950BF4"/>
    <w:rsid w:val="00950CA6"/>
    <w:rsid w:val="00950CE8"/>
    <w:rsid w:val="00950D4E"/>
    <w:rsid w:val="00950D51"/>
    <w:rsid w:val="00950D60"/>
    <w:rsid w:val="00950D92"/>
    <w:rsid w:val="00950DD4"/>
    <w:rsid w:val="00950EB3"/>
    <w:rsid w:val="00950F68"/>
    <w:rsid w:val="009511CC"/>
    <w:rsid w:val="009512F3"/>
    <w:rsid w:val="009514B6"/>
    <w:rsid w:val="00951535"/>
    <w:rsid w:val="00951600"/>
    <w:rsid w:val="00951618"/>
    <w:rsid w:val="00951645"/>
    <w:rsid w:val="0095176A"/>
    <w:rsid w:val="0095176D"/>
    <w:rsid w:val="00951861"/>
    <w:rsid w:val="009519EE"/>
    <w:rsid w:val="009519F6"/>
    <w:rsid w:val="00951AFC"/>
    <w:rsid w:val="00951BD2"/>
    <w:rsid w:val="00951C3C"/>
    <w:rsid w:val="00951DED"/>
    <w:rsid w:val="00951DF8"/>
    <w:rsid w:val="00951E04"/>
    <w:rsid w:val="00951EE3"/>
    <w:rsid w:val="00951F4F"/>
    <w:rsid w:val="00952000"/>
    <w:rsid w:val="0095214D"/>
    <w:rsid w:val="00952360"/>
    <w:rsid w:val="009524B2"/>
    <w:rsid w:val="00952518"/>
    <w:rsid w:val="009525D3"/>
    <w:rsid w:val="00952630"/>
    <w:rsid w:val="00952828"/>
    <w:rsid w:val="00952830"/>
    <w:rsid w:val="0095289F"/>
    <w:rsid w:val="009528EB"/>
    <w:rsid w:val="00952A9D"/>
    <w:rsid w:val="00952C7C"/>
    <w:rsid w:val="00952C9B"/>
    <w:rsid w:val="00952D10"/>
    <w:rsid w:val="00952DA9"/>
    <w:rsid w:val="00952DD9"/>
    <w:rsid w:val="00952E26"/>
    <w:rsid w:val="00952E2D"/>
    <w:rsid w:val="00952E69"/>
    <w:rsid w:val="00952EA4"/>
    <w:rsid w:val="00953031"/>
    <w:rsid w:val="00953051"/>
    <w:rsid w:val="00953063"/>
    <w:rsid w:val="009530A4"/>
    <w:rsid w:val="0095315C"/>
    <w:rsid w:val="00953178"/>
    <w:rsid w:val="009531AD"/>
    <w:rsid w:val="009531E2"/>
    <w:rsid w:val="009532EF"/>
    <w:rsid w:val="0095332F"/>
    <w:rsid w:val="00953458"/>
    <w:rsid w:val="009534C4"/>
    <w:rsid w:val="0095351A"/>
    <w:rsid w:val="00953781"/>
    <w:rsid w:val="0095378F"/>
    <w:rsid w:val="009537A9"/>
    <w:rsid w:val="009537AA"/>
    <w:rsid w:val="009537B1"/>
    <w:rsid w:val="009537D7"/>
    <w:rsid w:val="009537E4"/>
    <w:rsid w:val="0095382A"/>
    <w:rsid w:val="00953843"/>
    <w:rsid w:val="00953858"/>
    <w:rsid w:val="009538B6"/>
    <w:rsid w:val="009538DE"/>
    <w:rsid w:val="009539B5"/>
    <w:rsid w:val="00953A8C"/>
    <w:rsid w:val="00953AD3"/>
    <w:rsid w:val="00953C10"/>
    <w:rsid w:val="00953C82"/>
    <w:rsid w:val="00953D1E"/>
    <w:rsid w:val="00953D52"/>
    <w:rsid w:val="00953DD4"/>
    <w:rsid w:val="00953E09"/>
    <w:rsid w:val="00953FAE"/>
    <w:rsid w:val="00953FF4"/>
    <w:rsid w:val="00954050"/>
    <w:rsid w:val="0095415F"/>
    <w:rsid w:val="00954211"/>
    <w:rsid w:val="00954232"/>
    <w:rsid w:val="00954245"/>
    <w:rsid w:val="0095426C"/>
    <w:rsid w:val="009543AE"/>
    <w:rsid w:val="00954601"/>
    <w:rsid w:val="0095461C"/>
    <w:rsid w:val="00954765"/>
    <w:rsid w:val="009547B0"/>
    <w:rsid w:val="009547DD"/>
    <w:rsid w:val="00954823"/>
    <w:rsid w:val="00954828"/>
    <w:rsid w:val="0095498D"/>
    <w:rsid w:val="009549EF"/>
    <w:rsid w:val="00954A8B"/>
    <w:rsid w:val="00954AB2"/>
    <w:rsid w:val="00954B27"/>
    <w:rsid w:val="00954B71"/>
    <w:rsid w:val="00954BBE"/>
    <w:rsid w:val="00954C93"/>
    <w:rsid w:val="00954C96"/>
    <w:rsid w:val="00954D5C"/>
    <w:rsid w:val="00954E76"/>
    <w:rsid w:val="00954F45"/>
    <w:rsid w:val="0095501E"/>
    <w:rsid w:val="00955096"/>
    <w:rsid w:val="00955119"/>
    <w:rsid w:val="00955129"/>
    <w:rsid w:val="00955131"/>
    <w:rsid w:val="009552B1"/>
    <w:rsid w:val="009552B9"/>
    <w:rsid w:val="009552EF"/>
    <w:rsid w:val="00955387"/>
    <w:rsid w:val="009553FA"/>
    <w:rsid w:val="009554CD"/>
    <w:rsid w:val="009554DF"/>
    <w:rsid w:val="0095563E"/>
    <w:rsid w:val="0095564B"/>
    <w:rsid w:val="009556D5"/>
    <w:rsid w:val="009556E1"/>
    <w:rsid w:val="0095571E"/>
    <w:rsid w:val="00955735"/>
    <w:rsid w:val="009557A9"/>
    <w:rsid w:val="00955973"/>
    <w:rsid w:val="00955A13"/>
    <w:rsid w:val="00955A25"/>
    <w:rsid w:val="00955A2C"/>
    <w:rsid w:val="00955A58"/>
    <w:rsid w:val="00955A68"/>
    <w:rsid w:val="00955B49"/>
    <w:rsid w:val="00955D4E"/>
    <w:rsid w:val="00955DD7"/>
    <w:rsid w:val="00955FA7"/>
    <w:rsid w:val="00955FB2"/>
    <w:rsid w:val="00956160"/>
    <w:rsid w:val="00956183"/>
    <w:rsid w:val="0095631B"/>
    <w:rsid w:val="00956402"/>
    <w:rsid w:val="009564FF"/>
    <w:rsid w:val="00956531"/>
    <w:rsid w:val="00956621"/>
    <w:rsid w:val="00956716"/>
    <w:rsid w:val="0095672B"/>
    <w:rsid w:val="009567EC"/>
    <w:rsid w:val="00956873"/>
    <w:rsid w:val="009568AF"/>
    <w:rsid w:val="009568D4"/>
    <w:rsid w:val="0095695A"/>
    <w:rsid w:val="00956961"/>
    <w:rsid w:val="009569A9"/>
    <w:rsid w:val="00956ADB"/>
    <w:rsid w:val="00956B94"/>
    <w:rsid w:val="00956BC9"/>
    <w:rsid w:val="00956BF1"/>
    <w:rsid w:val="00956C5F"/>
    <w:rsid w:val="00956D93"/>
    <w:rsid w:val="00956E0A"/>
    <w:rsid w:val="00956E1E"/>
    <w:rsid w:val="00956E78"/>
    <w:rsid w:val="00956F1E"/>
    <w:rsid w:val="00956FE9"/>
    <w:rsid w:val="0095709D"/>
    <w:rsid w:val="009570F3"/>
    <w:rsid w:val="00957115"/>
    <w:rsid w:val="0095712A"/>
    <w:rsid w:val="00957285"/>
    <w:rsid w:val="00957355"/>
    <w:rsid w:val="00957392"/>
    <w:rsid w:val="00957400"/>
    <w:rsid w:val="009574BA"/>
    <w:rsid w:val="009575A4"/>
    <w:rsid w:val="00957640"/>
    <w:rsid w:val="00957653"/>
    <w:rsid w:val="0095769D"/>
    <w:rsid w:val="009576A6"/>
    <w:rsid w:val="009576FE"/>
    <w:rsid w:val="00957752"/>
    <w:rsid w:val="00957754"/>
    <w:rsid w:val="009577CE"/>
    <w:rsid w:val="009578C2"/>
    <w:rsid w:val="00957922"/>
    <w:rsid w:val="00957927"/>
    <w:rsid w:val="00957A8F"/>
    <w:rsid w:val="00957BD2"/>
    <w:rsid w:val="00957C09"/>
    <w:rsid w:val="00957C9A"/>
    <w:rsid w:val="00957C9F"/>
    <w:rsid w:val="00957E2B"/>
    <w:rsid w:val="00957E6D"/>
    <w:rsid w:val="00957EC1"/>
    <w:rsid w:val="00957F6F"/>
    <w:rsid w:val="00957FCE"/>
    <w:rsid w:val="0096002B"/>
    <w:rsid w:val="0096014A"/>
    <w:rsid w:val="0096019F"/>
    <w:rsid w:val="00960220"/>
    <w:rsid w:val="00960235"/>
    <w:rsid w:val="009602C8"/>
    <w:rsid w:val="00960340"/>
    <w:rsid w:val="00960463"/>
    <w:rsid w:val="009605D2"/>
    <w:rsid w:val="00960702"/>
    <w:rsid w:val="009607E4"/>
    <w:rsid w:val="009607F2"/>
    <w:rsid w:val="009608B6"/>
    <w:rsid w:val="009608E2"/>
    <w:rsid w:val="009609EA"/>
    <w:rsid w:val="00960A07"/>
    <w:rsid w:val="00960A27"/>
    <w:rsid w:val="00960A5B"/>
    <w:rsid w:val="00960A62"/>
    <w:rsid w:val="00960B0F"/>
    <w:rsid w:val="00960B4F"/>
    <w:rsid w:val="00960C66"/>
    <w:rsid w:val="00960CE4"/>
    <w:rsid w:val="00960D0F"/>
    <w:rsid w:val="00960DAA"/>
    <w:rsid w:val="00960E27"/>
    <w:rsid w:val="00960F66"/>
    <w:rsid w:val="0096100A"/>
    <w:rsid w:val="0096102D"/>
    <w:rsid w:val="00961032"/>
    <w:rsid w:val="00961078"/>
    <w:rsid w:val="00961156"/>
    <w:rsid w:val="0096120A"/>
    <w:rsid w:val="00961408"/>
    <w:rsid w:val="0096143F"/>
    <w:rsid w:val="009614E1"/>
    <w:rsid w:val="0096159C"/>
    <w:rsid w:val="00961748"/>
    <w:rsid w:val="00961786"/>
    <w:rsid w:val="009618F4"/>
    <w:rsid w:val="00961CD4"/>
    <w:rsid w:val="00961DA8"/>
    <w:rsid w:val="00961DD3"/>
    <w:rsid w:val="00961DF7"/>
    <w:rsid w:val="009621B3"/>
    <w:rsid w:val="0096222B"/>
    <w:rsid w:val="009622A3"/>
    <w:rsid w:val="009622C9"/>
    <w:rsid w:val="0096237F"/>
    <w:rsid w:val="00962496"/>
    <w:rsid w:val="009624E2"/>
    <w:rsid w:val="0096261A"/>
    <w:rsid w:val="009626B2"/>
    <w:rsid w:val="0096273A"/>
    <w:rsid w:val="009627A4"/>
    <w:rsid w:val="009627A8"/>
    <w:rsid w:val="009629EA"/>
    <w:rsid w:val="00962A54"/>
    <w:rsid w:val="00962A60"/>
    <w:rsid w:val="00962AE6"/>
    <w:rsid w:val="00962B4B"/>
    <w:rsid w:val="00962B7A"/>
    <w:rsid w:val="00962C4A"/>
    <w:rsid w:val="00962E93"/>
    <w:rsid w:val="00962FDF"/>
    <w:rsid w:val="009630FC"/>
    <w:rsid w:val="00963188"/>
    <w:rsid w:val="009633A9"/>
    <w:rsid w:val="00963470"/>
    <w:rsid w:val="0096349E"/>
    <w:rsid w:val="009634EC"/>
    <w:rsid w:val="00963565"/>
    <w:rsid w:val="00963598"/>
    <w:rsid w:val="009635A2"/>
    <w:rsid w:val="009635C8"/>
    <w:rsid w:val="00963616"/>
    <w:rsid w:val="0096363C"/>
    <w:rsid w:val="0096363D"/>
    <w:rsid w:val="0096384D"/>
    <w:rsid w:val="0096385B"/>
    <w:rsid w:val="0096387F"/>
    <w:rsid w:val="00963A50"/>
    <w:rsid w:val="00963B07"/>
    <w:rsid w:val="00963C17"/>
    <w:rsid w:val="00963C72"/>
    <w:rsid w:val="00963CB3"/>
    <w:rsid w:val="00963D3D"/>
    <w:rsid w:val="00963D95"/>
    <w:rsid w:val="00963DC3"/>
    <w:rsid w:val="00963E15"/>
    <w:rsid w:val="00963E26"/>
    <w:rsid w:val="00963EC3"/>
    <w:rsid w:val="00963EE4"/>
    <w:rsid w:val="009640C4"/>
    <w:rsid w:val="0096451F"/>
    <w:rsid w:val="0096461C"/>
    <w:rsid w:val="00964717"/>
    <w:rsid w:val="0096474B"/>
    <w:rsid w:val="009647EB"/>
    <w:rsid w:val="00964878"/>
    <w:rsid w:val="00964ACD"/>
    <w:rsid w:val="00964B07"/>
    <w:rsid w:val="00964B0F"/>
    <w:rsid w:val="00964B55"/>
    <w:rsid w:val="00964BC6"/>
    <w:rsid w:val="00964D4B"/>
    <w:rsid w:val="00964DC8"/>
    <w:rsid w:val="00964E65"/>
    <w:rsid w:val="00964EE8"/>
    <w:rsid w:val="00964FE4"/>
    <w:rsid w:val="009650F2"/>
    <w:rsid w:val="00965582"/>
    <w:rsid w:val="0096562C"/>
    <w:rsid w:val="009656B5"/>
    <w:rsid w:val="009656DE"/>
    <w:rsid w:val="00965733"/>
    <w:rsid w:val="00965748"/>
    <w:rsid w:val="009657F3"/>
    <w:rsid w:val="009658C4"/>
    <w:rsid w:val="00965907"/>
    <w:rsid w:val="009659A9"/>
    <w:rsid w:val="00965B4D"/>
    <w:rsid w:val="00965BE9"/>
    <w:rsid w:val="00965CC6"/>
    <w:rsid w:val="00965CE9"/>
    <w:rsid w:val="00965D8E"/>
    <w:rsid w:val="00965DCA"/>
    <w:rsid w:val="00965EAD"/>
    <w:rsid w:val="00965ED1"/>
    <w:rsid w:val="00965EE6"/>
    <w:rsid w:val="00965FC0"/>
    <w:rsid w:val="00965FD9"/>
    <w:rsid w:val="009661A0"/>
    <w:rsid w:val="009661CB"/>
    <w:rsid w:val="00966404"/>
    <w:rsid w:val="0096650E"/>
    <w:rsid w:val="00966544"/>
    <w:rsid w:val="009665FE"/>
    <w:rsid w:val="00966741"/>
    <w:rsid w:val="00966796"/>
    <w:rsid w:val="0096679E"/>
    <w:rsid w:val="00966893"/>
    <w:rsid w:val="00966ABE"/>
    <w:rsid w:val="00966B1C"/>
    <w:rsid w:val="00966B2D"/>
    <w:rsid w:val="00966C86"/>
    <w:rsid w:val="00966D2D"/>
    <w:rsid w:val="00966D51"/>
    <w:rsid w:val="00966DF4"/>
    <w:rsid w:val="00966EF2"/>
    <w:rsid w:val="0096706C"/>
    <w:rsid w:val="009671D7"/>
    <w:rsid w:val="009672F3"/>
    <w:rsid w:val="00967343"/>
    <w:rsid w:val="00967420"/>
    <w:rsid w:val="0096745E"/>
    <w:rsid w:val="00967477"/>
    <w:rsid w:val="0096748C"/>
    <w:rsid w:val="009674B0"/>
    <w:rsid w:val="009674E5"/>
    <w:rsid w:val="00967572"/>
    <w:rsid w:val="009675BC"/>
    <w:rsid w:val="0096774B"/>
    <w:rsid w:val="0096776D"/>
    <w:rsid w:val="009677EE"/>
    <w:rsid w:val="009678DC"/>
    <w:rsid w:val="009678E7"/>
    <w:rsid w:val="009678FE"/>
    <w:rsid w:val="0096795D"/>
    <w:rsid w:val="00967A61"/>
    <w:rsid w:val="00967A8C"/>
    <w:rsid w:val="00967B2A"/>
    <w:rsid w:val="00967C00"/>
    <w:rsid w:val="00967CCF"/>
    <w:rsid w:val="00967CDE"/>
    <w:rsid w:val="00967CF3"/>
    <w:rsid w:val="00967E0F"/>
    <w:rsid w:val="0096938F"/>
    <w:rsid w:val="00970000"/>
    <w:rsid w:val="00970013"/>
    <w:rsid w:val="0097011A"/>
    <w:rsid w:val="0097039C"/>
    <w:rsid w:val="009703D7"/>
    <w:rsid w:val="009704B6"/>
    <w:rsid w:val="009704F8"/>
    <w:rsid w:val="00970524"/>
    <w:rsid w:val="0097088F"/>
    <w:rsid w:val="00970A45"/>
    <w:rsid w:val="00970AB4"/>
    <w:rsid w:val="00970AB5"/>
    <w:rsid w:val="00970AE4"/>
    <w:rsid w:val="00970B4A"/>
    <w:rsid w:val="00970BF3"/>
    <w:rsid w:val="00970C09"/>
    <w:rsid w:val="00970C2F"/>
    <w:rsid w:val="00970D31"/>
    <w:rsid w:val="00970E6F"/>
    <w:rsid w:val="00970F41"/>
    <w:rsid w:val="0097106B"/>
    <w:rsid w:val="009711CF"/>
    <w:rsid w:val="00971317"/>
    <w:rsid w:val="009713B4"/>
    <w:rsid w:val="009713ED"/>
    <w:rsid w:val="00971405"/>
    <w:rsid w:val="0097144E"/>
    <w:rsid w:val="0097145C"/>
    <w:rsid w:val="00971488"/>
    <w:rsid w:val="009714BF"/>
    <w:rsid w:val="009714F5"/>
    <w:rsid w:val="0097168B"/>
    <w:rsid w:val="009716DA"/>
    <w:rsid w:val="00971963"/>
    <w:rsid w:val="00971995"/>
    <w:rsid w:val="0097199C"/>
    <w:rsid w:val="00971A1B"/>
    <w:rsid w:val="00971AC0"/>
    <w:rsid w:val="00971C7E"/>
    <w:rsid w:val="00971E45"/>
    <w:rsid w:val="00971EB4"/>
    <w:rsid w:val="00971F8E"/>
    <w:rsid w:val="00972038"/>
    <w:rsid w:val="009720B1"/>
    <w:rsid w:val="009721ED"/>
    <w:rsid w:val="00972307"/>
    <w:rsid w:val="009723BD"/>
    <w:rsid w:val="009723D7"/>
    <w:rsid w:val="0097243D"/>
    <w:rsid w:val="009724BC"/>
    <w:rsid w:val="0097251C"/>
    <w:rsid w:val="00972697"/>
    <w:rsid w:val="00972732"/>
    <w:rsid w:val="009728E1"/>
    <w:rsid w:val="009729F0"/>
    <w:rsid w:val="00972A59"/>
    <w:rsid w:val="00972A5F"/>
    <w:rsid w:val="00972ABB"/>
    <w:rsid w:val="00972B68"/>
    <w:rsid w:val="00972BB9"/>
    <w:rsid w:val="00972CA9"/>
    <w:rsid w:val="00972CEA"/>
    <w:rsid w:val="00972DAE"/>
    <w:rsid w:val="00972DDC"/>
    <w:rsid w:val="00972E15"/>
    <w:rsid w:val="00972EA3"/>
    <w:rsid w:val="00972ECA"/>
    <w:rsid w:val="00972F2B"/>
    <w:rsid w:val="00972F64"/>
    <w:rsid w:val="00972F7B"/>
    <w:rsid w:val="0097300D"/>
    <w:rsid w:val="0097312A"/>
    <w:rsid w:val="009731A4"/>
    <w:rsid w:val="00973338"/>
    <w:rsid w:val="0097339B"/>
    <w:rsid w:val="009733B5"/>
    <w:rsid w:val="009733E7"/>
    <w:rsid w:val="00973402"/>
    <w:rsid w:val="00973474"/>
    <w:rsid w:val="00973560"/>
    <w:rsid w:val="009735A6"/>
    <w:rsid w:val="00973618"/>
    <w:rsid w:val="00973634"/>
    <w:rsid w:val="0097363C"/>
    <w:rsid w:val="00973674"/>
    <w:rsid w:val="00973727"/>
    <w:rsid w:val="0097378F"/>
    <w:rsid w:val="009737FA"/>
    <w:rsid w:val="00973832"/>
    <w:rsid w:val="00973898"/>
    <w:rsid w:val="00973931"/>
    <w:rsid w:val="00973B56"/>
    <w:rsid w:val="00973BDD"/>
    <w:rsid w:val="00973C54"/>
    <w:rsid w:val="00973D00"/>
    <w:rsid w:val="00973D45"/>
    <w:rsid w:val="00973E53"/>
    <w:rsid w:val="00973E5C"/>
    <w:rsid w:val="00973E77"/>
    <w:rsid w:val="00973EBE"/>
    <w:rsid w:val="00973EE7"/>
    <w:rsid w:val="00973F31"/>
    <w:rsid w:val="00973F66"/>
    <w:rsid w:val="00974057"/>
    <w:rsid w:val="009740C2"/>
    <w:rsid w:val="009740CD"/>
    <w:rsid w:val="0097414F"/>
    <w:rsid w:val="00974163"/>
    <w:rsid w:val="009742B1"/>
    <w:rsid w:val="0097430A"/>
    <w:rsid w:val="00974678"/>
    <w:rsid w:val="009746D6"/>
    <w:rsid w:val="00974776"/>
    <w:rsid w:val="009747EE"/>
    <w:rsid w:val="0097484F"/>
    <w:rsid w:val="0097489C"/>
    <w:rsid w:val="009748A1"/>
    <w:rsid w:val="009749AB"/>
    <w:rsid w:val="00974B48"/>
    <w:rsid w:val="00974C10"/>
    <w:rsid w:val="00974D1D"/>
    <w:rsid w:val="00974D45"/>
    <w:rsid w:val="00974F22"/>
    <w:rsid w:val="00974F37"/>
    <w:rsid w:val="00974FA1"/>
    <w:rsid w:val="00975067"/>
    <w:rsid w:val="0097515E"/>
    <w:rsid w:val="009751BC"/>
    <w:rsid w:val="009751C1"/>
    <w:rsid w:val="009751EA"/>
    <w:rsid w:val="009753D8"/>
    <w:rsid w:val="00975499"/>
    <w:rsid w:val="009754DA"/>
    <w:rsid w:val="00975506"/>
    <w:rsid w:val="0097551A"/>
    <w:rsid w:val="0097556C"/>
    <w:rsid w:val="00975580"/>
    <w:rsid w:val="009756D1"/>
    <w:rsid w:val="009756F3"/>
    <w:rsid w:val="009759D6"/>
    <w:rsid w:val="00975CBD"/>
    <w:rsid w:val="00975CC4"/>
    <w:rsid w:val="00975D92"/>
    <w:rsid w:val="00975DB0"/>
    <w:rsid w:val="00975DB8"/>
    <w:rsid w:val="00975E52"/>
    <w:rsid w:val="0097604C"/>
    <w:rsid w:val="009761EF"/>
    <w:rsid w:val="0097633A"/>
    <w:rsid w:val="009765B3"/>
    <w:rsid w:val="00976622"/>
    <w:rsid w:val="00976647"/>
    <w:rsid w:val="00976888"/>
    <w:rsid w:val="00976891"/>
    <w:rsid w:val="00976993"/>
    <w:rsid w:val="00976A12"/>
    <w:rsid w:val="00976A7D"/>
    <w:rsid w:val="00976B6F"/>
    <w:rsid w:val="00976C0A"/>
    <w:rsid w:val="00976C18"/>
    <w:rsid w:val="00976CE8"/>
    <w:rsid w:val="00976D5F"/>
    <w:rsid w:val="00976DA4"/>
    <w:rsid w:val="00976DC5"/>
    <w:rsid w:val="00976E9C"/>
    <w:rsid w:val="00976F61"/>
    <w:rsid w:val="00976FFA"/>
    <w:rsid w:val="0097706F"/>
    <w:rsid w:val="009770FD"/>
    <w:rsid w:val="00977148"/>
    <w:rsid w:val="00977183"/>
    <w:rsid w:val="0097721F"/>
    <w:rsid w:val="009772A2"/>
    <w:rsid w:val="00977373"/>
    <w:rsid w:val="009773D0"/>
    <w:rsid w:val="009773D4"/>
    <w:rsid w:val="0097749B"/>
    <w:rsid w:val="009774CD"/>
    <w:rsid w:val="0097752C"/>
    <w:rsid w:val="009776E9"/>
    <w:rsid w:val="00977718"/>
    <w:rsid w:val="00977799"/>
    <w:rsid w:val="009778E0"/>
    <w:rsid w:val="009779BB"/>
    <w:rsid w:val="00977A64"/>
    <w:rsid w:val="00977D19"/>
    <w:rsid w:val="00977DE9"/>
    <w:rsid w:val="00977DEC"/>
    <w:rsid w:val="00977E3B"/>
    <w:rsid w:val="00977F54"/>
    <w:rsid w:val="00980018"/>
    <w:rsid w:val="009800B1"/>
    <w:rsid w:val="00980211"/>
    <w:rsid w:val="00980260"/>
    <w:rsid w:val="009803B3"/>
    <w:rsid w:val="009803B6"/>
    <w:rsid w:val="0098043F"/>
    <w:rsid w:val="00980460"/>
    <w:rsid w:val="00980727"/>
    <w:rsid w:val="00980794"/>
    <w:rsid w:val="009807AD"/>
    <w:rsid w:val="0098096C"/>
    <w:rsid w:val="009809D8"/>
    <w:rsid w:val="00980B6E"/>
    <w:rsid w:val="00980B89"/>
    <w:rsid w:val="00980CB1"/>
    <w:rsid w:val="00980CEB"/>
    <w:rsid w:val="00980D40"/>
    <w:rsid w:val="00980E69"/>
    <w:rsid w:val="00980F2F"/>
    <w:rsid w:val="009814A9"/>
    <w:rsid w:val="00981508"/>
    <w:rsid w:val="00981595"/>
    <w:rsid w:val="0098166D"/>
    <w:rsid w:val="009816AA"/>
    <w:rsid w:val="00981779"/>
    <w:rsid w:val="009817CA"/>
    <w:rsid w:val="00981852"/>
    <w:rsid w:val="009818C7"/>
    <w:rsid w:val="00981927"/>
    <w:rsid w:val="00981A76"/>
    <w:rsid w:val="00981B80"/>
    <w:rsid w:val="00981BDF"/>
    <w:rsid w:val="00981C6F"/>
    <w:rsid w:val="00981E1A"/>
    <w:rsid w:val="00981E6F"/>
    <w:rsid w:val="00981EA7"/>
    <w:rsid w:val="00981FEB"/>
    <w:rsid w:val="009820AE"/>
    <w:rsid w:val="009820EA"/>
    <w:rsid w:val="00982223"/>
    <w:rsid w:val="00982296"/>
    <w:rsid w:val="00982374"/>
    <w:rsid w:val="009824F9"/>
    <w:rsid w:val="00982588"/>
    <w:rsid w:val="0098267D"/>
    <w:rsid w:val="0098281A"/>
    <w:rsid w:val="00982931"/>
    <w:rsid w:val="0098295C"/>
    <w:rsid w:val="00982967"/>
    <w:rsid w:val="00982986"/>
    <w:rsid w:val="009829D6"/>
    <w:rsid w:val="00982ADE"/>
    <w:rsid w:val="00982B59"/>
    <w:rsid w:val="00982C89"/>
    <w:rsid w:val="00982D03"/>
    <w:rsid w:val="00982F19"/>
    <w:rsid w:val="00982F34"/>
    <w:rsid w:val="00982F60"/>
    <w:rsid w:val="009830F1"/>
    <w:rsid w:val="00983154"/>
    <w:rsid w:val="00983239"/>
    <w:rsid w:val="00983247"/>
    <w:rsid w:val="0098330F"/>
    <w:rsid w:val="009833DE"/>
    <w:rsid w:val="0098341E"/>
    <w:rsid w:val="00983510"/>
    <w:rsid w:val="009835CB"/>
    <w:rsid w:val="0098378F"/>
    <w:rsid w:val="0098387B"/>
    <w:rsid w:val="00983A5B"/>
    <w:rsid w:val="00983AD1"/>
    <w:rsid w:val="00983AD8"/>
    <w:rsid w:val="00983B11"/>
    <w:rsid w:val="00983B7C"/>
    <w:rsid w:val="00983B8A"/>
    <w:rsid w:val="00983CA7"/>
    <w:rsid w:val="00983E49"/>
    <w:rsid w:val="00984041"/>
    <w:rsid w:val="009840BA"/>
    <w:rsid w:val="0098415D"/>
    <w:rsid w:val="009841A3"/>
    <w:rsid w:val="009841D8"/>
    <w:rsid w:val="00984248"/>
    <w:rsid w:val="00984291"/>
    <w:rsid w:val="0098431E"/>
    <w:rsid w:val="0098434D"/>
    <w:rsid w:val="0098441B"/>
    <w:rsid w:val="009844A4"/>
    <w:rsid w:val="009844C0"/>
    <w:rsid w:val="00984552"/>
    <w:rsid w:val="00984577"/>
    <w:rsid w:val="009845D9"/>
    <w:rsid w:val="00984642"/>
    <w:rsid w:val="00984753"/>
    <w:rsid w:val="0098486F"/>
    <w:rsid w:val="00984877"/>
    <w:rsid w:val="0098490E"/>
    <w:rsid w:val="009849F8"/>
    <w:rsid w:val="00984A86"/>
    <w:rsid w:val="00984AEE"/>
    <w:rsid w:val="00984B72"/>
    <w:rsid w:val="00984CE3"/>
    <w:rsid w:val="00984D02"/>
    <w:rsid w:val="00984D9D"/>
    <w:rsid w:val="00984FC4"/>
    <w:rsid w:val="00985003"/>
    <w:rsid w:val="00985104"/>
    <w:rsid w:val="00985195"/>
    <w:rsid w:val="009851E9"/>
    <w:rsid w:val="0098526F"/>
    <w:rsid w:val="009852C6"/>
    <w:rsid w:val="00985337"/>
    <w:rsid w:val="00985393"/>
    <w:rsid w:val="0098551F"/>
    <w:rsid w:val="00985671"/>
    <w:rsid w:val="00985718"/>
    <w:rsid w:val="0098578A"/>
    <w:rsid w:val="009857B4"/>
    <w:rsid w:val="00985A4A"/>
    <w:rsid w:val="00985A7E"/>
    <w:rsid w:val="00985A99"/>
    <w:rsid w:val="00985C6B"/>
    <w:rsid w:val="00985D0A"/>
    <w:rsid w:val="00985E25"/>
    <w:rsid w:val="00985EA4"/>
    <w:rsid w:val="00985EDC"/>
    <w:rsid w:val="00985F7B"/>
    <w:rsid w:val="00985FDC"/>
    <w:rsid w:val="00986003"/>
    <w:rsid w:val="00986090"/>
    <w:rsid w:val="00986109"/>
    <w:rsid w:val="009862D8"/>
    <w:rsid w:val="009863FC"/>
    <w:rsid w:val="009864E7"/>
    <w:rsid w:val="00986515"/>
    <w:rsid w:val="00986733"/>
    <w:rsid w:val="009868E4"/>
    <w:rsid w:val="00986ACD"/>
    <w:rsid w:val="00986B36"/>
    <w:rsid w:val="00986BBB"/>
    <w:rsid w:val="00986C63"/>
    <w:rsid w:val="00986C84"/>
    <w:rsid w:val="00986D0F"/>
    <w:rsid w:val="00986D50"/>
    <w:rsid w:val="00986D5E"/>
    <w:rsid w:val="00986EBC"/>
    <w:rsid w:val="00986F46"/>
    <w:rsid w:val="0098705A"/>
    <w:rsid w:val="0098719A"/>
    <w:rsid w:val="009871E0"/>
    <w:rsid w:val="0098726A"/>
    <w:rsid w:val="009872E7"/>
    <w:rsid w:val="009873B1"/>
    <w:rsid w:val="00987403"/>
    <w:rsid w:val="00987818"/>
    <w:rsid w:val="00987A12"/>
    <w:rsid w:val="00987A16"/>
    <w:rsid w:val="00987A67"/>
    <w:rsid w:val="00987AEA"/>
    <w:rsid w:val="00987B35"/>
    <w:rsid w:val="00987C8F"/>
    <w:rsid w:val="00987D60"/>
    <w:rsid w:val="00987DDA"/>
    <w:rsid w:val="00990029"/>
    <w:rsid w:val="009900A5"/>
    <w:rsid w:val="00990376"/>
    <w:rsid w:val="0099053B"/>
    <w:rsid w:val="00990584"/>
    <w:rsid w:val="00990613"/>
    <w:rsid w:val="00990712"/>
    <w:rsid w:val="009907BA"/>
    <w:rsid w:val="00990816"/>
    <w:rsid w:val="00990859"/>
    <w:rsid w:val="00990948"/>
    <w:rsid w:val="00990A7D"/>
    <w:rsid w:val="00990E8F"/>
    <w:rsid w:val="00990F32"/>
    <w:rsid w:val="00990FA9"/>
    <w:rsid w:val="00990FD9"/>
    <w:rsid w:val="0099107B"/>
    <w:rsid w:val="00991090"/>
    <w:rsid w:val="009910DA"/>
    <w:rsid w:val="0099122E"/>
    <w:rsid w:val="00991306"/>
    <w:rsid w:val="00991501"/>
    <w:rsid w:val="00991554"/>
    <w:rsid w:val="009915BB"/>
    <w:rsid w:val="009915D4"/>
    <w:rsid w:val="009915F9"/>
    <w:rsid w:val="009915FE"/>
    <w:rsid w:val="00991646"/>
    <w:rsid w:val="0099169D"/>
    <w:rsid w:val="00991868"/>
    <w:rsid w:val="00991882"/>
    <w:rsid w:val="009918EE"/>
    <w:rsid w:val="0099190B"/>
    <w:rsid w:val="00991964"/>
    <w:rsid w:val="00991A70"/>
    <w:rsid w:val="00991A88"/>
    <w:rsid w:val="00991AB5"/>
    <w:rsid w:val="00991BEE"/>
    <w:rsid w:val="00991E39"/>
    <w:rsid w:val="00991F0C"/>
    <w:rsid w:val="00991F6D"/>
    <w:rsid w:val="00991FA8"/>
    <w:rsid w:val="00992062"/>
    <w:rsid w:val="0099214F"/>
    <w:rsid w:val="009921C1"/>
    <w:rsid w:val="009921F7"/>
    <w:rsid w:val="0099226E"/>
    <w:rsid w:val="009922BF"/>
    <w:rsid w:val="009923B1"/>
    <w:rsid w:val="009924BD"/>
    <w:rsid w:val="009924E3"/>
    <w:rsid w:val="00992577"/>
    <w:rsid w:val="009926C8"/>
    <w:rsid w:val="00992771"/>
    <w:rsid w:val="00992797"/>
    <w:rsid w:val="0099296E"/>
    <w:rsid w:val="00992B0C"/>
    <w:rsid w:val="00992B8C"/>
    <w:rsid w:val="00992BD7"/>
    <w:rsid w:val="00992C0E"/>
    <w:rsid w:val="00992C1B"/>
    <w:rsid w:val="00992C47"/>
    <w:rsid w:val="00992C53"/>
    <w:rsid w:val="00992CB4"/>
    <w:rsid w:val="00992D59"/>
    <w:rsid w:val="00992D5A"/>
    <w:rsid w:val="00992D85"/>
    <w:rsid w:val="00992EC7"/>
    <w:rsid w:val="00992F82"/>
    <w:rsid w:val="009930B0"/>
    <w:rsid w:val="009930EC"/>
    <w:rsid w:val="009931D2"/>
    <w:rsid w:val="009931FD"/>
    <w:rsid w:val="0099322D"/>
    <w:rsid w:val="00993233"/>
    <w:rsid w:val="009932F8"/>
    <w:rsid w:val="009934DC"/>
    <w:rsid w:val="009935DF"/>
    <w:rsid w:val="00993677"/>
    <w:rsid w:val="0099374F"/>
    <w:rsid w:val="0099376C"/>
    <w:rsid w:val="00993951"/>
    <w:rsid w:val="009939B0"/>
    <w:rsid w:val="00993A5D"/>
    <w:rsid w:val="00993B8B"/>
    <w:rsid w:val="00993C54"/>
    <w:rsid w:val="00993C97"/>
    <w:rsid w:val="00993DAE"/>
    <w:rsid w:val="00993E42"/>
    <w:rsid w:val="00993E9D"/>
    <w:rsid w:val="00994113"/>
    <w:rsid w:val="0099416C"/>
    <w:rsid w:val="00994209"/>
    <w:rsid w:val="009942DC"/>
    <w:rsid w:val="00994575"/>
    <w:rsid w:val="00994A6C"/>
    <w:rsid w:val="00994A8C"/>
    <w:rsid w:val="00994ABF"/>
    <w:rsid w:val="00994B5D"/>
    <w:rsid w:val="00994C86"/>
    <w:rsid w:val="00994DBC"/>
    <w:rsid w:val="00994E31"/>
    <w:rsid w:val="00994F00"/>
    <w:rsid w:val="00994F09"/>
    <w:rsid w:val="00994F14"/>
    <w:rsid w:val="00994FC4"/>
    <w:rsid w:val="0099509B"/>
    <w:rsid w:val="0099520E"/>
    <w:rsid w:val="009953E7"/>
    <w:rsid w:val="00995453"/>
    <w:rsid w:val="0099551D"/>
    <w:rsid w:val="00995602"/>
    <w:rsid w:val="00995626"/>
    <w:rsid w:val="00995846"/>
    <w:rsid w:val="00995887"/>
    <w:rsid w:val="00995900"/>
    <w:rsid w:val="00995A2F"/>
    <w:rsid w:val="00995B48"/>
    <w:rsid w:val="00995C21"/>
    <w:rsid w:val="00995C54"/>
    <w:rsid w:val="00995CE5"/>
    <w:rsid w:val="00995D0D"/>
    <w:rsid w:val="00995D68"/>
    <w:rsid w:val="00995E11"/>
    <w:rsid w:val="00995E9F"/>
    <w:rsid w:val="00995EFC"/>
    <w:rsid w:val="00995F1F"/>
    <w:rsid w:val="00995F28"/>
    <w:rsid w:val="00995FDF"/>
    <w:rsid w:val="00995FE9"/>
    <w:rsid w:val="00996213"/>
    <w:rsid w:val="00996291"/>
    <w:rsid w:val="00996340"/>
    <w:rsid w:val="009963B5"/>
    <w:rsid w:val="009963E4"/>
    <w:rsid w:val="00996450"/>
    <w:rsid w:val="0099656A"/>
    <w:rsid w:val="00996570"/>
    <w:rsid w:val="00996575"/>
    <w:rsid w:val="009965AB"/>
    <w:rsid w:val="009966BB"/>
    <w:rsid w:val="0099677B"/>
    <w:rsid w:val="0099684C"/>
    <w:rsid w:val="00996976"/>
    <w:rsid w:val="00996991"/>
    <w:rsid w:val="00996A5B"/>
    <w:rsid w:val="00996B43"/>
    <w:rsid w:val="00996BB7"/>
    <w:rsid w:val="00996C59"/>
    <w:rsid w:val="00996C87"/>
    <w:rsid w:val="00996FE0"/>
    <w:rsid w:val="00996FF4"/>
    <w:rsid w:val="0099700B"/>
    <w:rsid w:val="00997065"/>
    <w:rsid w:val="0099712E"/>
    <w:rsid w:val="00997133"/>
    <w:rsid w:val="00997284"/>
    <w:rsid w:val="0099733C"/>
    <w:rsid w:val="0099747E"/>
    <w:rsid w:val="009974FC"/>
    <w:rsid w:val="0099779E"/>
    <w:rsid w:val="009977A9"/>
    <w:rsid w:val="0099787A"/>
    <w:rsid w:val="009979DC"/>
    <w:rsid w:val="00997A58"/>
    <w:rsid w:val="00997ABD"/>
    <w:rsid w:val="00997BAA"/>
    <w:rsid w:val="00997BED"/>
    <w:rsid w:val="00997C49"/>
    <w:rsid w:val="00997D94"/>
    <w:rsid w:val="00997E16"/>
    <w:rsid w:val="00997EE4"/>
    <w:rsid w:val="00997F04"/>
    <w:rsid w:val="00997F90"/>
    <w:rsid w:val="00997FB1"/>
    <w:rsid w:val="009A0004"/>
    <w:rsid w:val="009A006A"/>
    <w:rsid w:val="009A0145"/>
    <w:rsid w:val="009A020B"/>
    <w:rsid w:val="009A02BD"/>
    <w:rsid w:val="009A030C"/>
    <w:rsid w:val="009A0349"/>
    <w:rsid w:val="009A0359"/>
    <w:rsid w:val="009A039B"/>
    <w:rsid w:val="009A03B6"/>
    <w:rsid w:val="009A0416"/>
    <w:rsid w:val="009A0420"/>
    <w:rsid w:val="009A0482"/>
    <w:rsid w:val="009A0618"/>
    <w:rsid w:val="009A078F"/>
    <w:rsid w:val="009A080C"/>
    <w:rsid w:val="009A08AF"/>
    <w:rsid w:val="009A09F4"/>
    <w:rsid w:val="009A0AA0"/>
    <w:rsid w:val="009A0B04"/>
    <w:rsid w:val="009A0C02"/>
    <w:rsid w:val="009A0C1C"/>
    <w:rsid w:val="009A0C68"/>
    <w:rsid w:val="009A0CE1"/>
    <w:rsid w:val="009A0F28"/>
    <w:rsid w:val="009A0F58"/>
    <w:rsid w:val="009A0FE4"/>
    <w:rsid w:val="009A1078"/>
    <w:rsid w:val="009A10B1"/>
    <w:rsid w:val="009A10D1"/>
    <w:rsid w:val="009A117A"/>
    <w:rsid w:val="009A12A4"/>
    <w:rsid w:val="009A1328"/>
    <w:rsid w:val="009A13C1"/>
    <w:rsid w:val="009A1430"/>
    <w:rsid w:val="009A1480"/>
    <w:rsid w:val="009A153C"/>
    <w:rsid w:val="009A1577"/>
    <w:rsid w:val="009A16A4"/>
    <w:rsid w:val="009A1864"/>
    <w:rsid w:val="009A1879"/>
    <w:rsid w:val="009A18BF"/>
    <w:rsid w:val="009A195E"/>
    <w:rsid w:val="009A19D2"/>
    <w:rsid w:val="009A1B5C"/>
    <w:rsid w:val="009A1BC7"/>
    <w:rsid w:val="009A1CA4"/>
    <w:rsid w:val="009A1CE8"/>
    <w:rsid w:val="009A1D23"/>
    <w:rsid w:val="009A1D47"/>
    <w:rsid w:val="009A1D50"/>
    <w:rsid w:val="009A1E58"/>
    <w:rsid w:val="009A1F11"/>
    <w:rsid w:val="009A1F64"/>
    <w:rsid w:val="009A1FB4"/>
    <w:rsid w:val="009A1FC6"/>
    <w:rsid w:val="009A2048"/>
    <w:rsid w:val="009A2101"/>
    <w:rsid w:val="009A2198"/>
    <w:rsid w:val="009A21AA"/>
    <w:rsid w:val="009A21C0"/>
    <w:rsid w:val="009A22DD"/>
    <w:rsid w:val="009A2379"/>
    <w:rsid w:val="009A2384"/>
    <w:rsid w:val="009A2399"/>
    <w:rsid w:val="009A24AF"/>
    <w:rsid w:val="009A254F"/>
    <w:rsid w:val="009A260E"/>
    <w:rsid w:val="009A26C6"/>
    <w:rsid w:val="009A2779"/>
    <w:rsid w:val="009A284A"/>
    <w:rsid w:val="009A28CE"/>
    <w:rsid w:val="009A2942"/>
    <w:rsid w:val="009A2949"/>
    <w:rsid w:val="009A2A76"/>
    <w:rsid w:val="009A2AAE"/>
    <w:rsid w:val="009A2AC0"/>
    <w:rsid w:val="009A2ADA"/>
    <w:rsid w:val="009A2B72"/>
    <w:rsid w:val="009A2D04"/>
    <w:rsid w:val="009A2D4F"/>
    <w:rsid w:val="009A2DD8"/>
    <w:rsid w:val="009A2E74"/>
    <w:rsid w:val="009A3055"/>
    <w:rsid w:val="009A307F"/>
    <w:rsid w:val="009A31F5"/>
    <w:rsid w:val="009A322C"/>
    <w:rsid w:val="009A32F3"/>
    <w:rsid w:val="009A3305"/>
    <w:rsid w:val="009A34AE"/>
    <w:rsid w:val="009A34E8"/>
    <w:rsid w:val="009A355C"/>
    <w:rsid w:val="009A36B6"/>
    <w:rsid w:val="009A37BD"/>
    <w:rsid w:val="009A3839"/>
    <w:rsid w:val="009A3864"/>
    <w:rsid w:val="009A389A"/>
    <w:rsid w:val="009A38D3"/>
    <w:rsid w:val="009A39B4"/>
    <w:rsid w:val="009A39FE"/>
    <w:rsid w:val="009A3A91"/>
    <w:rsid w:val="009A3AE3"/>
    <w:rsid w:val="009A3B75"/>
    <w:rsid w:val="009A3BE5"/>
    <w:rsid w:val="009A3C40"/>
    <w:rsid w:val="009A3CD8"/>
    <w:rsid w:val="009A3D72"/>
    <w:rsid w:val="009A3DBD"/>
    <w:rsid w:val="009A3DE6"/>
    <w:rsid w:val="009A3E02"/>
    <w:rsid w:val="009A3E84"/>
    <w:rsid w:val="009A400C"/>
    <w:rsid w:val="009A40A5"/>
    <w:rsid w:val="009A40E2"/>
    <w:rsid w:val="009A4163"/>
    <w:rsid w:val="009A438E"/>
    <w:rsid w:val="009A439B"/>
    <w:rsid w:val="009A43C6"/>
    <w:rsid w:val="009A4406"/>
    <w:rsid w:val="009A4490"/>
    <w:rsid w:val="009A4518"/>
    <w:rsid w:val="009A455E"/>
    <w:rsid w:val="009A4617"/>
    <w:rsid w:val="009A46C5"/>
    <w:rsid w:val="009A4789"/>
    <w:rsid w:val="009A47DD"/>
    <w:rsid w:val="009A47EB"/>
    <w:rsid w:val="009A496D"/>
    <w:rsid w:val="009A49F5"/>
    <w:rsid w:val="009A4A2F"/>
    <w:rsid w:val="009A4A7D"/>
    <w:rsid w:val="009A4BE1"/>
    <w:rsid w:val="009A4C7C"/>
    <w:rsid w:val="009A4D25"/>
    <w:rsid w:val="009A4D2F"/>
    <w:rsid w:val="009A4D4F"/>
    <w:rsid w:val="009A4DA1"/>
    <w:rsid w:val="009A4DEA"/>
    <w:rsid w:val="009A4E0F"/>
    <w:rsid w:val="009A4EB2"/>
    <w:rsid w:val="009A4EF0"/>
    <w:rsid w:val="009A505A"/>
    <w:rsid w:val="009A5082"/>
    <w:rsid w:val="009A5180"/>
    <w:rsid w:val="009A52C1"/>
    <w:rsid w:val="009A535C"/>
    <w:rsid w:val="009A5463"/>
    <w:rsid w:val="009A5492"/>
    <w:rsid w:val="009A54CA"/>
    <w:rsid w:val="009A5603"/>
    <w:rsid w:val="009A568E"/>
    <w:rsid w:val="009A5692"/>
    <w:rsid w:val="009A56C7"/>
    <w:rsid w:val="009A5787"/>
    <w:rsid w:val="009A58C7"/>
    <w:rsid w:val="009A58E2"/>
    <w:rsid w:val="009A5AD7"/>
    <w:rsid w:val="009A5B24"/>
    <w:rsid w:val="009A5BB1"/>
    <w:rsid w:val="009A5C60"/>
    <w:rsid w:val="009A5CD8"/>
    <w:rsid w:val="009A5D47"/>
    <w:rsid w:val="009A5E72"/>
    <w:rsid w:val="009A5F19"/>
    <w:rsid w:val="009A5F2E"/>
    <w:rsid w:val="009A5F5E"/>
    <w:rsid w:val="009A5FC6"/>
    <w:rsid w:val="009A6029"/>
    <w:rsid w:val="009A6098"/>
    <w:rsid w:val="009A60E2"/>
    <w:rsid w:val="009A618B"/>
    <w:rsid w:val="009A6205"/>
    <w:rsid w:val="009A62EE"/>
    <w:rsid w:val="009A62F3"/>
    <w:rsid w:val="009A637E"/>
    <w:rsid w:val="009A63B3"/>
    <w:rsid w:val="009A63B4"/>
    <w:rsid w:val="009A640B"/>
    <w:rsid w:val="009A6470"/>
    <w:rsid w:val="009A647A"/>
    <w:rsid w:val="009A65EC"/>
    <w:rsid w:val="009A6617"/>
    <w:rsid w:val="009A67F4"/>
    <w:rsid w:val="009A6A6E"/>
    <w:rsid w:val="009A6AB6"/>
    <w:rsid w:val="009A6AC0"/>
    <w:rsid w:val="009A6AC2"/>
    <w:rsid w:val="009A6B99"/>
    <w:rsid w:val="009A6BE8"/>
    <w:rsid w:val="009A6CA1"/>
    <w:rsid w:val="009A6CAE"/>
    <w:rsid w:val="009A6CCB"/>
    <w:rsid w:val="009A6D8F"/>
    <w:rsid w:val="009A6E5D"/>
    <w:rsid w:val="009A6EF2"/>
    <w:rsid w:val="009A6F26"/>
    <w:rsid w:val="009A6F40"/>
    <w:rsid w:val="009A6F4B"/>
    <w:rsid w:val="009A701F"/>
    <w:rsid w:val="009A7238"/>
    <w:rsid w:val="009A72E4"/>
    <w:rsid w:val="009A72F0"/>
    <w:rsid w:val="009A74DD"/>
    <w:rsid w:val="009A7518"/>
    <w:rsid w:val="009A7544"/>
    <w:rsid w:val="009A758F"/>
    <w:rsid w:val="009A770D"/>
    <w:rsid w:val="009A7715"/>
    <w:rsid w:val="009A774E"/>
    <w:rsid w:val="009A797B"/>
    <w:rsid w:val="009A79A8"/>
    <w:rsid w:val="009A79BF"/>
    <w:rsid w:val="009A79ED"/>
    <w:rsid w:val="009A7A25"/>
    <w:rsid w:val="009A7AA6"/>
    <w:rsid w:val="009A7AB2"/>
    <w:rsid w:val="009A7AF9"/>
    <w:rsid w:val="009A7B3E"/>
    <w:rsid w:val="009A7BDB"/>
    <w:rsid w:val="009A7C45"/>
    <w:rsid w:val="009A7C58"/>
    <w:rsid w:val="009A7C82"/>
    <w:rsid w:val="009A7CD9"/>
    <w:rsid w:val="009A7E69"/>
    <w:rsid w:val="009A7ED3"/>
    <w:rsid w:val="009A7F90"/>
    <w:rsid w:val="009B0015"/>
    <w:rsid w:val="009B02A9"/>
    <w:rsid w:val="009B02B0"/>
    <w:rsid w:val="009B02C4"/>
    <w:rsid w:val="009B02EC"/>
    <w:rsid w:val="009B0355"/>
    <w:rsid w:val="009B03F7"/>
    <w:rsid w:val="009B046A"/>
    <w:rsid w:val="009B04C4"/>
    <w:rsid w:val="009B05CD"/>
    <w:rsid w:val="009B0690"/>
    <w:rsid w:val="009B0754"/>
    <w:rsid w:val="009B0759"/>
    <w:rsid w:val="009B075E"/>
    <w:rsid w:val="009B0AE0"/>
    <w:rsid w:val="009B0AF1"/>
    <w:rsid w:val="009B0B91"/>
    <w:rsid w:val="009B0C98"/>
    <w:rsid w:val="009B0D3E"/>
    <w:rsid w:val="009B0D46"/>
    <w:rsid w:val="009B0EC2"/>
    <w:rsid w:val="009B10BB"/>
    <w:rsid w:val="009B11E5"/>
    <w:rsid w:val="009B137A"/>
    <w:rsid w:val="009B1381"/>
    <w:rsid w:val="009B15C4"/>
    <w:rsid w:val="009B174C"/>
    <w:rsid w:val="009B1791"/>
    <w:rsid w:val="009B1871"/>
    <w:rsid w:val="009B187A"/>
    <w:rsid w:val="009B18B8"/>
    <w:rsid w:val="009B195F"/>
    <w:rsid w:val="009B198F"/>
    <w:rsid w:val="009B1A20"/>
    <w:rsid w:val="009B1B4F"/>
    <w:rsid w:val="009B1BBD"/>
    <w:rsid w:val="009B1C17"/>
    <w:rsid w:val="009B1C64"/>
    <w:rsid w:val="009B1C65"/>
    <w:rsid w:val="009B1DB0"/>
    <w:rsid w:val="009B1E0F"/>
    <w:rsid w:val="009B1F1F"/>
    <w:rsid w:val="009B1FD5"/>
    <w:rsid w:val="009B2236"/>
    <w:rsid w:val="009B22B0"/>
    <w:rsid w:val="009B238C"/>
    <w:rsid w:val="009B241B"/>
    <w:rsid w:val="009B24F9"/>
    <w:rsid w:val="009B250D"/>
    <w:rsid w:val="009B25B5"/>
    <w:rsid w:val="009B25E7"/>
    <w:rsid w:val="009B26F3"/>
    <w:rsid w:val="009B274C"/>
    <w:rsid w:val="009B2862"/>
    <w:rsid w:val="009B2879"/>
    <w:rsid w:val="009B2935"/>
    <w:rsid w:val="009B2A43"/>
    <w:rsid w:val="009B2A9F"/>
    <w:rsid w:val="009B2AC5"/>
    <w:rsid w:val="009B2B31"/>
    <w:rsid w:val="009B2B8F"/>
    <w:rsid w:val="009B2BAD"/>
    <w:rsid w:val="009B2BDC"/>
    <w:rsid w:val="009B2BF9"/>
    <w:rsid w:val="009B2C57"/>
    <w:rsid w:val="009B2D5B"/>
    <w:rsid w:val="009B2DF0"/>
    <w:rsid w:val="009B2E65"/>
    <w:rsid w:val="009B2E93"/>
    <w:rsid w:val="009B2EE9"/>
    <w:rsid w:val="009B2F1D"/>
    <w:rsid w:val="009B2F2F"/>
    <w:rsid w:val="009B3025"/>
    <w:rsid w:val="009B3036"/>
    <w:rsid w:val="009B310B"/>
    <w:rsid w:val="009B328E"/>
    <w:rsid w:val="009B32FC"/>
    <w:rsid w:val="009B33D2"/>
    <w:rsid w:val="009B3426"/>
    <w:rsid w:val="009B34C7"/>
    <w:rsid w:val="009B350A"/>
    <w:rsid w:val="009B3565"/>
    <w:rsid w:val="009B3568"/>
    <w:rsid w:val="009B369A"/>
    <w:rsid w:val="009B36C1"/>
    <w:rsid w:val="009B3792"/>
    <w:rsid w:val="009B37B7"/>
    <w:rsid w:val="009B37E9"/>
    <w:rsid w:val="009B37F1"/>
    <w:rsid w:val="009B382D"/>
    <w:rsid w:val="009B3881"/>
    <w:rsid w:val="009B38FC"/>
    <w:rsid w:val="009B3A46"/>
    <w:rsid w:val="009B3AA4"/>
    <w:rsid w:val="009B3AEB"/>
    <w:rsid w:val="009B3B6A"/>
    <w:rsid w:val="009B3BC0"/>
    <w:rsid w:val="009B3C0F"/>
    <w:rsid w:val="009B3C70"/>
    <w:rsid w:val="009B3CC8"/>
    <w:rsid w:val="009B3D16"/>
    <w:rsid w:val="009B3D93"/>
    <w:rsid w:val="009B3E64"/>
    <w:rsid w:val="009B3E72"/>
    <w:rsid w:val="009B3EF4"/>
    <w:rsid w:val="009B3F27"/>
    <w:rsid w:val="009B4085"/>
    <w:rsid w:val="009B41C3"/>
    <w:rsid w:val="009B42EB"/>
    <w:rsid w:val="009B42F4"/>
    <w:rsid w:val="009B42FB"/>
    <w:rsid w:val="009B4303"/>
    <w:rsid w:val="009B4327"/>
    <w:rsid w:val="009B43C5"/>
    <w:rsid w:val="009B447E"/>
    <w:rsid w:val="009B44A9"/>
    <w:rsid w:val="009B4565"/>
    <w:rsid w:val="009B45BF"/>
    <w:rsid w:val="009B468F"/>
    <w:rsid w:val="009B46DB"/>
    <w:rsid w:val="009B46F5"/>
    <w:rsid w:val="009B4814"/>
    <w:rsid w:val="009B484C"/>
    <w:rsid w:val="009B4868"/>
    <w:rsid w:val="009B48C5"/>
    <w:rsid w:val="009B4985"/>
    <w:rsid w:val="009B49A4"/>
    <w:rsid w:val="009B4BCA"/>
    <w:rsid w:val="009B4CA6"/>
    <w:rsid w:val="009B4CC2"/>
    <w:rsid w:val="009B4E5D"/>
    <w:rsid w:val="009B4E69"/>
    <w:rsid w:val="009B5023"/>
    <w:rsid w:val="009B5024"/>
    <w:rsid w:val="009B51BF"/>
    <w:rsid w:val="009B5201"/>
    <w:rsid w:val="009B5233"/>
    <w:rsid w:val="009B5240"/>
    <w:rsid w:val="009B5586"/>
    <w:rsid w:val="009B563B"/>
    <w:rsid w:val="009B5689"/>
    <w:rsid w:val="009B56DD"/>
    <w:rsid w:val="009B56F7"/>
    <w:rsid w:val="009B57CD"/>
    <w:rsid w:val="009B57E6"/>
    <w:rsid w:val="009B5815"/>
    <w:rsid w:val="009B58EF"/>
    <w:rsid w:val="009B5954"/>
    <w:rsid w:val="009B59FB"/>
    <w:rsid w:val="009B5A0F"/>
    <w:rsid w:val="009B5A33"/>
    <w:rsid w:val="009B5B16"/>
    <w:rsid w:val="009B5BCF"/>
    <w:rsid w:val="009B5C16"/>
    <w:rsid w:val="009B5C4C"/>
    <w:rsid w:val="009B5CD3"/>
    <w:rsid w:val="009B5DAB"/>
    <w:rsid w:val="009B5E2A"/>
    <w:rsid w:val="009B5F96"/>
    <w:rsid w:val="009B5FD2"/>
    <w:rsid w:val="009B6044"/>
    <w:rsid w:val="009B61B7"/>
    <w:rsid w:val="009B6414"/>
    <w:rsid w:val="009B65D5"/>
    <w:rsid w:val="009B6641"/>
    <w:rsid w:val="009B6695"/>
    <w:rsid w:val="009B6871"/>
    <w:rsid w:val="009B68CC"/>
    <w:rsid w:val="009B6924"/>
    <w:rsid w:val="009B6980"/>
    <w:rsid w:val="009B6A12"/>
    <w:rsid w:val="009B6ABF"/>
    <w:rsid w:val="009B6C0B"/>
    <w:rsid w:val="009B6C53"/>
    <w:rsid w:val="009B6CE0"/>
    <w:rsid w:val="009B6D54"/>
    <w:rsid w:val="009B6E57"/>
    <w:rsid w:val="009B6EF9"/>
    <w:rsid w:val="009B6FFD"/>
    <w:rsid w:val="009B700B"/>
    <w:rsid w:val="009B717C"/>
    <w:rsid w:val="009B72E7"/>
    <w:rsid w:val="009B7378"/>
    <w:rsid w:val="009B7405"/>
    <w:rsid w:val="009B740B"/>
    <w:rsid w:val="009B741E"/>
    <w:rsid w:val="009B751E"/>
    <w:rsid w:val="009B7611"/>
    <w:rsid w:val="009B76B2"/>
    <w:rsid w:val="009B7714"/>
    <w:rsid w:val="009B773B"/>
    <w:rsid w:val="009B77C7"/>
    <w:rsid w:val="009B7835"/>
    <w:rsid w:val="009B7B3B"/>
    <w:rsid w:val="009B7B9D"/>
    <w:rsid w:val="009B7BCD"/>
    <w:rsid w:val="009B7CD5"/>
    <w:rsid w:val="009B7DC3"/>
    <w:rsid w:val="009B7F6D"/>
    <w:rsid w:val="009B7FD8"/>
    <w:rsid w:val="009C0023"/>
    <w:rsid w:val="009C003E"/>
    <w:rsid w:val="009C013F"/>
    <w:rsid w:val="009C01E0"/>
    <w:rsid w:val="009C020A"/>
    <w:rsid w:val="009C02B9"/>
    <w:rsid w:val="009C02DE"/>
    <w:rsid w:val="009C02EF"/>
    <w:rsid w:val="009C0335"/>
    <w:rsid w:val="009C0342"/>
    <w:rsid w:val="009C0424"/>
    <w:rsid w:val="009C04DE"/>
    <w:rsid w:val="009C0509"/>
    <w:rsid w:val="009C0510"/>
    <w:rsid w:val="009C055E"/>
    <w:rsid w:val="009C056A"/>
    <w:rsid w:val="009C0570"/>
    <w:rsid w:val="009C059E"/>
    <w:rsid w:val="009C061E"/>
    <w:rsid w:val="009C0684"/>
    <w:rsid w:val="009C06EA"/>
    <w:rsid w:val="009C06ED"/>
    <w:rsid w:val="009C0715"/>
    <w:rsid w:val="009C0734"/>
    <w:rsid w:val="009C0764"/>
    <w:rsid w:val="009C07AF"/>
    <w:rsid w:val="009C08A4"/>
    <w:rsid w:val="009C0ACB"/>
    <w:rsid w:val="009C0AD3"/>
    <w:rsid w:val="009C0AEA"/>
    <w:rsid w:val="009C0B47"/>
    <w:rsid w:val="009C0B55"/>
    <w:rsid w:val="009C0B65"/>
    <w:rsid w:val="009C0BBD"/>
    <w:rsid w:val="009C0CA9"/>
    <w:rsid w:val="009C0F1B"/>
    <w:rsid w:val="009C0F82"/>
    <w:rsid w:val="009C1122"/>
    <w:rsid w:val="009C1187"/>
    <w:rsid w:val="009C1295"/>
    <w:rsid w:val="009C1427"/>
    <w:rsid w:val="009C1500"/>
    <w:rsid w:val="009C1550"/>
    <w:rsid w:val="009C1585"/>
    <w:rsid w:val="009C15A9"/>
    <w:rsid w:val="009C15DE"/>
    <w:rsid w:val="009C1621"/>
    <w:rsid w:val="009C172E"/>
    <w:rsid w:val="009C1821"/>
    <w:rsid w:val="009C1835"/>
    <w:rsid w:val="009C193A"/>
    <w:rsid w:val="009C1966"/>
    <w:rsid w:val="009C1974"/>
    <w:rsid w:val="009C1AE5"/>
    <w:rsid w:val="009C1CB5"/>
    <w:rsid w:val="009C1EFC"/>
    <w:rsid w:val="009C212F"/>
    <w:rsid w:val="009C2222"/>
    <w:rsid w:val="009C22A3"/>
    <w:rsid w:val="009C240C"/>
    <w:rsid w:val="009C2449"/>
    <w:rsid w:val="009C2474"/>
    <w:rsid w:val="009C25D9"/>
    <w:rsid w:val="009C2662"/>
    <w:rsid w:val="009C2845"/>
    <w:rsid w:val="009C28C4"/>
    <w:rsid w:val="009C2930"/>
    <w:rsid w:val="009C2972"/>
    <w:rsid w:val="009C2A8C"/>
    <w:rsid w:val="009C2B70"/>
    <w:rsid w:val="009C2C39"/>
    <w:rsid w:val="009C2C68"/>
    <w:rsid w:val="009C2CD7"/>
    <w:rsid w:val="009C2E8C"/>
    <w:rsid w:val="009C2ED6"/>
    <w:rsid w:val="009C2F89"/>
    <w:rsid w:val="009C30DC"/>
    <w:rsid w:val="009C30E3"/>
    <w:rsid w:val="009C31B7"/>
    <w:rsid w:val="009C31FA"/>
    <w:rsid w:val="009C337C"/>
    <w:rsid w:val="009C33BD"/>
    <w:rsid w:val="009C33BF"/>
    <w:rsid w:val="009C33F8"/>
    <w:rsid w:val="009C35AC"/>
    <w:rsid w:val="009C35E9"/>
    <w:rsid w:val="009C360A"/>
    <w:rsid w:val="009C36BF"/>
    <w:rsid w:val="009C3730"/>
    <w:rsid w:val="009C3738"/>
    <w:rsid w:val="009C3746"/>
    <w:rsid w:val="009C37D0"/>
    <w:rsid w:val="009C37E9"/>
    <w:rsid w:val="009C3A17"/>
    <w:rsid w:val="009C3A46"/>
    <w:rsid w:val="009C3B36"/>
    <w:rsid w:val="009C3B90"/>
    <w:rsid w:val="009C3C3D"/>
    <w:rsid w:val="009C3DDA"/>
    <w:rsid w:val="009C3E37"/>
    <w:rsid w:val="009C3F16"/>
    <w:rsid w:val="009C4178"/>
    <w:rsid w:val="009C42C2"/>
    <w:rsid w:val="009C43CD"/>
    <w:rsid w:val="009C4434"/>
    <w:rsid w:val="009C44D5"/>
    <w:rsid w:val="009C4532"/>
    <w:rsid w:val="009C4592"/>
    <w:rsid w:val="009C45C9"/>
    <w:rsid w:val="009C46C2"/>
    <w:rsid w:val="009C4861"/>
    <w:rsid w:val="009C48B1"/>
    <w:rsid w:val="009C492F"/>
    <w:rsid w:val="009C4AA0"/>
    <w:rsid w:val="009C4AA3"/>
    <w:rsid w:val="009C4B3D"/>
    <w:rsid w:val="009C4BAF"/>
    <w:rsid w:val="009C4C05"/>
    <w:rsid w:val="009C4CE3"/>
    <w:rsid w:val="009C4D4B"/>
    <w:rsid w:val="009C4D71"/>
    <w:rsid w:val="009C4DF5"/>
    <w:rsid w:val="009C4E19"/>
    <w:rsid w:val="009C4E3D"/>
    <w:rsid w:val="009C4F55"/>
    <w:rsid w:val="009C4F59"/>
    <w:rsid w:val="009C501E"/>
    <w:rsid w:val="009C508D"/>
    <w:rsid w:val="009C5105"/>
    <w:rsid w:val="009C5131"/>
    <w:rsid w:val="009C51A3"/>
    <w:rsid w:val="009C52CD"/>
    <w:rsid w:val="009C53A0"/>
    <w:rsid w:val="009C5429"/>
    <w:rsid w:val="009C5442"/>
    <w:rsid w:val="009C55BE"/>
    <w:rsid w:val="009C560D"/>
    <w:rsid w:val="009C575F"/>
    <w:rsid w:val="009C5789"/>
    <w:rsid w:val="009C57DF"/>
    <w:rsid w:val="009C5863"/>
    <w:rsid w:val="009C5897"/>
    <w:rsid w:val="009C5A62"/>
    <w:rsid w:val="009C5ABD"/>
    <w:rsid w:val="009C5B7A"/>
    <w:rsid w:val="009C5C4F"/>
    <w:rsid w:val="009C5D72"/>
    <w:rsid w:val="009C5DBF"/>
    <w:rsid w:val="009C5ED5"/>
    <w:rsid w:val="009C5FED"/>
    <w:rsid w:val="009C60D4"/>
    <w:rsid w:val="009C60F6"/>
    <w:rsid w:val="009C6115"/>
    <w:rsid w:val="009C62E5"/>
    <w:rsid w:val="009C6362"/>
    <w:rsid w:val="009C63F1"/>
    <w:rsid w:val="009C6495"/>
    <w:rsid w:val="009C64C8"/>
    <w:rsid w:val="009C652B"/>
    <w:rsid w:val="009C6762"/>
    <w:rsid w:val="009C68F1"/>
    <w:rsid w:val="009C695A"/>
    <w:rsid w:val="009C69EE"/>
    <w:rsid w:val="009C6AC9"/>
    <w:rsid w:val="009C6B13"/>
    <w:rsid w:val="009C6B54"/>
    <w:rsid w:val="009C6B64"/>
    <w:rsid w:val="009C6BE9"/>
    <w:rsid w:val="009C6CAF"/>
    <w:rsid w:val="009C6D0B"/>
    <w:rsid w:val="009C6E0A"/>
    <w:rsid w:val="009C6E0F"/>
    <w:rsid w:val="009C6E47"/>
    <w:rsid w:val="009C6EA1"/>
    <w:rsid w:val="009C6F0C"/>
    <w:rsid w:val="009C6FD8"/>
    <w:rsid w:val="009C7066"/>
    <w:rsid w:val="009C7136"/>
    <w:rsid w:val="009C7202"/>
    <w:rsid w:val="009C7224"/>
    <w:rsid w:val="009C730F"/>
    <w:rsid w:val="009C73AC"/>
    <w:rsid w:val="009C7479"/>
    <w:rsid w:val="009C749E"/>
    <w:rsid w:val="009C7535"/>
    <w:rsid w:val="009C7538"/>
    <w:rsid w:val="009C756D"/>
    <w:rsid w:val="009C7725"/>
    <w:rsid w:val="009C787B"/>
    <w:rsid w:val="009C78CC"/>
    <w:rsid w:val="009C79CD"/>
    <w:rsid w:val="009C7C1F"/>
    <w:rsid w:val="009C7D80"/>
    <w:rsid w:val="009D007D"/>
    <w:rsid w:val="009D00A4"/>
    <w:rsid w:val="009D00F5"/>
    <w:rsid w:val="009D0127"/>
    <w:rsid w:val="009D0160"/>
    <w:rsid w:val="009D01B3"/>
    <w:rsid w:val="009D0395"/>
    <w:rsid w:val="009D03A0"/>
    <w:rsid w:val="009D0540"/>
    <w:rsid w:val="009D05A0"/>
    <w:rsid w:val="009D066A"/>
    <w:rsid w:val="009D06EF"/>
    <w:rsid w:val="009D0720"/>
    <w:rsid w:val="009D07D1"/>
    <w:rsid w:val="009D07D5"/>
    <w:rsid w:val="009D07DC"/>
    <w:rsid w:val="009D0869"/>
    <w:rsid w:val="009D0879"/>
    <w:rsid w:val="009D08AB"/>
    <w:rsid w:val="009D0915"/>
    <w:rsid w:val="009D0959"/>
    <w:rsid w:val="009D0A51"/>
    <w:rsid w:val="009D0C7B"/>
    <w:rsid w:val="009D0DFD"/>
    <w:rsid w:val="009D0EB4"/>
    <w:rsid w:val="009D1198"/>
    <w:rsid w:val="009D11C4"/>
    <w:rsid w:val="009D11DF"/>
    <w:rsid w:val="009D136E"/>
    <w:rsid w:val="009D13A2"/>
    <w:rsid w:val="009D14D1"/>
    <w:rsid w:val="009D14E3"/>
    <w:rsid w:val="009D168D"/>
    <w:rsid w:val="009D1717"/>
    <w:rsid w:val="009D172B"/>
    <w:rsid w:val="009D174F"/>
    <w:rsid w:val="009D1817"/>
    <w:rsid w:val="009D183C"/>
    <w:rsid w:val="009D199A"/>
    <w:rsid w:val="009D1A71"/>
    <w:rsid w:val="009D1A9D"/>
    <w:rsid w:val="009D1AFB"/>
    <w:rsid w:val="009D1C3B"/>
    <w:rsid w:val="009D1C57"/>
    <w:rsid w:val="009D1D6C"/>
    <w:rsid w:val="009D1ED5"/>
    <w:rsid w:val="009D2147"/>
    <w:rsid w:val="009D2172"/>
    <w:rsid w:val="009D2175"/>
    <w:rsid w:val="009D2212"/>
    <w:rsid w:val="009D22CF"/>
    <w:rsid w:val="009D22E1"/>
    <w:rsid w:val="009D2312"/>
    <w:rsid w:val="009D2593"/>
    <w:rsid w:val="009D260B"/>
    <w:rsid w:val="009D282D"/>
    <w:rsid w:val="009D2880"/>
    <w:rsid w:val="009D2992"/>
    <w:rsid w:val="009D2A28"/>
    <w:rsid w:val="009D2AA5"/>
    <w:rsid w:val="009D2B2B"/>
    <w:rsid w:val="009D2B32"/>
    <w:rsid w:val="009D2BCA"/>
    <w:rsid w:val="009D2BD6"/>
    <w:rsid w:val="009D2D61"/>
    <w:rsid w:val="009D2DE1"/>
    <w:rsid w:val="009D2E51"/>
    <w:rsid w:val="009D2F03"/>
    <w:rsid w:val="009D30DB"/>
    <w:rsid w:val="009D3224"/>
    <w:rsid w:val="009D3269"/>
    <w:rsid w:val="009D333C"/>
    <w:rsid w:val="009D336F"/>
    <w:rsid w:val="009D337A"/>
    <w:rsid w:val="009D3492"/>
    <w:rsid w:val="009D34F3"/>
    <w:rsid w:val="009D37DC"/>
    <w:rsid w:val="009D382F"/>
    <w:rsid w:val="009D38DC"/>
    <w:rsid w:val="009D39BA"/>
    <w:rsid w:val="009D39D2"/>
    <w:rsid w:val="009D39D3"/>
    <w:rsid w:val="009D3A67"/>
    <w:rsid w:val="009D3C28"/>
    <w:rsid w:val="009D3CAB"/>
    <w:rsid w:val="009D3CBB"/>
    <w:rsid w:val="009D3D24"/>
    <w:rsid w:val="009D3D38"/>
    <w:rsid w:val="009D3D61"/>
    <w:rsid w:val="009D3E1D"/>
    <w:rsid w:val="009D3E56"/>
    <w:rsid w:val="009D3F8F"/>
    <w:rsid w:val="009D4092"/>
    <w:rsid w:val="009D40EE"/>
    <w:rsid w:val="009D420A"/>
    <w:rsid w:val="009D422F"/>
    <w:rsid w:val="009D424C"/>
    <w:rsid w:val="009D425C"/>
    <w:rsid w:val="009D425E"/>
    <w:rsid w:val="009D4354"/>
    <w:rsid w:val="009D4389"/>
    <w:rsid w:val="009D46CA"/>
    <w:rsid w:val="009D46DF"/>
    <w:rsid w:val="009D483B"/>
    <w:rsid w:val="009D48B7"/>
    <w:rsid w:val="009D4911"/>
    <w:rsid w:val="009D49CA"/>
    <w:rsid w:val="009D4B77"/>
    <w:rsid w:val="009D4B9A"/>
    <w:rsid w:val="009D4C2C"/>
    <w:rsid w:val="009D4CBE"/>
    <w:rsid w:val="009D4D14"/>
    <w:rsid w:val="009D4DB0"/>
    <w:rsid w:val="009D4F3F"/>
    <w:rsid w:val="009D4FB8"/>
    <w:rsid w:val="009D4FC0"/>
    <w:rsid w:val="009D50B7"/>
    <w:rsid w:val="009D5261"/>
    <w:rsid w:val="009D5277"/>
    <w:rsid w:val="009D5355"/>
    <w:rsid w:val="009D544C"/>
    <w:rsid w:val="009D559D"/>
    <w:rsid w:val="009D563E"/>
    <w:rsid w:val="009D56D2"/>
    <w:rsid w:val="009D5740"/>
    <w:rsid w:val="009D58D0"/>
    <w:rsid w:val="009D5A23"/>
    <w:rsid w:val="009D5A29"/>
    <w:rsid w:val="009D5AD0"/>
    <w:rsid w:val="009D5ADF"/>
    <w:rsid w:val="009D5BBC"/>
    <w:rsid w:val="009D5C12"/>
    <w:rsid w:val="009D5C24"/>
    <w:rsid w:val="009D5C59"/>
    <w:rsid w:val="009D5D28"/>
    <w:rsid w:val="009D5D79"/>
    <w:rsid w:val="009D5EDC"/>
    <w:rsid w:val="009D5F72"/>
    <w:rsid w:val="009D5FB9"/>
    <w:rsid w:val="009D5FF7"/>
    <w:rsid w:val="009D602B"/>
    <w:rsid w:val="009D6065"/>
    <w:rsid w:val="009D6075"/>
    <w:rsid w:val="009D60EE"/>
    <w:rsid w:val="009D6167"/>
    <w:rsid w:val="009D639F"/>
    <w:rsid w:val="009D64C4"/>
    <w:rsid w:val="009D6550"/>
    <w:rsid w:val="009D65B4"/>
    <w:rsid w:val="009D661E"/>
    <w:rsid w:val="009D66E0"/>
    <w:rsid w:val="009D672F"/>
    <w:rsid w:val="009D6744"/>
    <w:rsid w:val="009D679B"/>
    <w:rsid w:val="009D67D1"/>
    <w:rsid w:val="009D683D"/>
    <w:rsid w:val="009D690D"/>
    <w:rsid w:val="009D6A8D"/>
    <w:rsid w:val="009D6C7F"/>
    <w:rsid w:val="009D6CEA"/>
    <w:rsid w:val="009D6E7B"/>
    <w:rsid w:val="009D6EAA"/>
    <w:rsid w:val="009D6F4C"/>
    <w:rsid w:val="009D6FDF"/>
    <w:rsid w:val="009D71BD"/>
    <w:rsid w:val="009D7212"/>
    <w:rsid w:val="009D73DE"/>
    <w:rsid w:val="009D7459"/>
    <w:rsid w:val="009D7542"/>
    <w:rsid w:val="009D760D"/>
    <w:rsid w:val="009D760F"/>
    <w:rsid w:val="009D7622"/>
    <w:rsid w:val="009D771E"/>
    <w:rsid w:val="009D7859"/>
    <w:rsid w:val="009D787F"/>
    <w:rsid w:val="009D7939"/>
    <w:rsid w:val="009D799C"/>
    <w:rsid w:val="009D7A14"/>
    <w:rsid w:val="009D7ACE"/>
    <w:rsid w:val="009D7B17"/>
    <w:rsid w:val="009D7BC6"/>
    <w:rsid w:val="009D7BEB"/>
    <w:rsid w:val="009D7CB4"/>
    <w:rsid w:val="009D7D34"/>
    <w:rsid w:val="009D7E2A"/>
    <w:rsid w:val="009D7E2F"/>
    <w:rsid w:val="009D7F74"/>
    <w:rsid w:val="009D7F87"/>
    <w:rsid w:val="009E010E"/>
    <w:rsid w:val="009E0271"/>
    <w:rsid w:val="009E02BC"/>
    <w:rsid w:val="009E0366"/>
    <w:rsid w:val="009E03BB"/>
    <w:rsid w:val="009E03ED"/>
    <w:rsid w:val="009E04BE"/>
    <w:rsid w:val="009E0556"/>
    <w:rsid w:val="009E05D7"/>
    <w:rsid w:val="009E063F"/>
    <w:rsid w:val="009E0682"/>
    <w:rsid w:val="009E07E6"/>
    <w:rsid w:val="009E084D"/>
    <w:rsid w:val="009E08AE"/>
    <w:rsid w:val="009E093D"/>
    <w:rsid w:val="009E0A02"/>
    <w:rsid w:val="009E0ACA"/>
    <w:rsid w:val="009E0C83"/>
    <w:rsid w:val="009E0CCA"/>
    <w:rsid w:val="009E0CF8"/>
    <w:rsid w:val="009E0E58"/>
    <w:rsid w:val="009E0FBE"/>
    <w:rsid w:val="009E0FE7"/>
    <w:rsid w:val="009E100E"/>
    <w:rsid w:val="009E122A"/>
    <w:rsid w:val="009E1344"/>
    <w:rsid w:val="009E13DC"/>
    <w:rsid w:val="009E168B"/>
    <w:rsid w:val="009E1C4C"/>
    <w:rsid w:val="009E1F12"/>
    <w:rsid w:val="009E1F36"/>
    <w:rsid w:val="009E2119"/>
    <w:rsid w:val="009E2184"/>
    <w:rsid w:val="009E2222"/>
    <w:rsid w:val="009E2240"/>
    <w:rsid w:val="009E22ED"/>
    <w:rsid w:val="009E2352"/>
    <w:rsid w:val="009E235A"/>
    <w:rsid w:val="009E23B9"/>
    <w:rsid w:val="009E262C"/>
    <w:rsid w:val="009E2682"/>
    <w:rsid w:val="009E2765"/>
    <w:rsid w:val="009E27D7"/>
    <w:rsid w:val="009E29EE"/>
    <w:rsid w:val="009E2BBB"/>
    <w:rsid w:val="009E2BD5"/>
    <w:rsid w:val="009E2CF4"/>
    <w:rsid w:val="009E2DBE"/>
    <w:rsid w:val="009E2EA1"/>
    <w:rsid w:val="009E2EAA"/>
    <w:rsid w:val="009E2F36"/>
    <w:rsid w:val="009E2F55"/>
    <w:rsid w:val="009E2F7D"/>
    <w:rsid w:val="009E2F82"/>
    <w:rsid w:val="009E2FF2"/>
    <w:rsid w:val="009E3181"/>
    <w:rsid w:val="009E32A3"/>
    <w:rsid w:val="009E3354"/>
    <w:rsid w:val="009E347F"/>
    <w:rsid w:val="009E3493"/>
    <w:rsid w:val="009E34A4"/>
    <w:rsid w:val="009E352F"/>
    <w:rsid w:val="009E3574"/>
    <w:rsid w:val="009E35E8"/>
    <w:rsid w:val="009E3619"/>
    <w:rsid w:val="009E365D"/>
    <w:rsid w:val="009E367D"/>
    <w:rsid w:val="009E38B0"/>
    <w:rsid w:val="009E38C8"/>
    <w:rsid w:val="009E38D1"/>
    <w:rsid w:val="009E3953"/>
    <w:rsid w:val="009E3A09"/>
    <w:rsid w:val="009E3ADF"/>
    <w:rsid w:val="009E3D22"/>
    <w:rsid w:val="009E3E47"/>
    <w:rsid w:val="009E3EB2"/>
    <w:rsid w:val="009E3F2B"/>
    <w:rsid w:val="009E3F37"/>
    <w:rsid w:val="009E40A0"/>
    <w:rsid w:val="009E40D4"/>
    <w:rsid w:val="009E40E1"/>
    <w:rsid w:val="009E413F"/>
    <w:rsid w:val="009E4406"/>
    <w:rsid w:val="009E443B"/>
    <w:rsid w:val="009E44CE"/>
    <w:rsid w:val="009E44FD"/>
    <w:rsid w:val="009E45A3"/>
    <w:rsid w:val="009E45BE"/>
    <w:rsid w:val="009E4669"/>
    <w:rsid w:val="009E4714"/>
    <w:rsid w:val="009E477A"/>
    <w:rsid w:val="009E4940"/>
    <w:rsid w:val="009E499B"/>
    <w:rsid w:val="009E4A22"/>
    <w:rsid w:val="009E4AAD"/>
    <w:rsid w:val="009E4AAF"/>
    <w:rsid w:val="009E4B97"/>
    <w:rsid w:val="009E4D19"/>
    <w:rsid w:val="009E4D43"/>
    <w:rsid w:val="009E4D7F"/>
    <w:rsid w:val="009E4E0D"/>
    <w:rsid w:val="009E50B8"/>
    <w:rsid w:val="009E50DD"/>
    <w:rsid w:val="009E5210"/>
    <w:rsid w:val="009E5235"/>
    <w:rsid w:val="009E5274"/>
    <w:rsid w:val="009E52DB"/>
    <w:rsid w:val="009E53A4"/>
    <w:rsid w:val="009E53D7"/>
    <w:rsid w:val="009E5462"/>
    <w:rsid w:val="009E563E"/>
    <w:rsid w:val="009E563F"/>
    <w:rsid w:val="009E5687"/>
    <w:rsid w:val="009E56BA"/>
    <w:rsid w:val="009E5732"/>
    <w:rsid w:val="009E578D"/>
    <w:rsid w:val="009E580A"/>
    <w:rsid w:val="009E5834"/>
    <w:rsid w:val="009E58EC"/>
    <w:rsid w:val="009E5935"/>
    <w:rsid w:val="009E59D7"/>
    <w:rsid w:val="009E5B1B"/>
    <w:rsid w:val="009E5BEC"/>
    <w:rsid w:val="009E5C30"/>
    <w:rsid w:val="009E5C36"/>
    <w:rsid w:val="009E5C7A"/>
    <w:rsid w:val="009E5DD8"/>
    <w:rsid w:val="009E5FD2"/>
    <w:rsid w:val="009E6046"/>
    <w:rsid w:val="009E607F"/>
    <w:rsid w:val="009E60A2"/>
    <w:rsid w:val="009E62F6"/>
    <w:rsid w:val="009E640E"/>
    <w:rsid w:val="009E6452"/>
    <w:rsid w:val="009E648D"/>
    <w:rsid w:val="009E6559"/>
    <w:rsid w:val="009E65F1"/>
    <w:rsid w:val="009E6657"/>
    <w:rsid w:val="009E667B"/>
    <w:rsid w:val="009E667C"/>
    <w:rsid w:val="009E6712"/>
    <w:rsid w:val="009E673B"/>
    <w:rsid w:val="009E679D"/>
    <w:rsid w:val="009E682B"/>
    <w:rsid w:val="009E69BE"/>
    <w:rsid w:val="009E69C3"/>
    <w:rsid w:val="009E6A5F"/>
    <w:rsid w:val="009E6A7C"/>
    <w:rsid w:val="009E6A9A"/>
    <w:rsid w:val="009E6BFF"/>
    <w:rsid w:val="009E6C16"/>
    <w:rsid w:val="009E6D16"/>
    <w:rsid w:val="009E6E44"/>
    <w:rsid w:val="009E6E51"/>
    <w:rsid w:val="009E6EBF"/>
    <w:rsid w:val="009E6FE9"/>
    <w:rsid w:val="009E7080"/>
    <w:rsid w:val="009E70D4"/>
    <w:rsid w:val="009E70EA"/>
    <w:rsid w:val="009E712C"/>
    <w:rsid w:val="009E73BD"/>
    <w:rsid w:val="009E7427"/>
    <w:rsid w:val="009E74AC"/>
    <w:rsid w:val="009E74C8"/>
    <w:rsid w:val="009E7533"/>
    <w:rsid w:val="009E765E"/>
    <w:rsid w:val="009E7662"/>
    <w:rsid w:val="009E77A6"/>
    <w:rsid w:val="009E77CA"/>
    <w:rsid w:val="009E780C"/>
    <w:rsid w:val="009E793B"/>
    <w:rsid w:val="009E795D"/>
    <w:rsid w:val="009E7AF7"/>
    <w:rsid w:val="009E7C4D"/>
    <w:rsid w:val="009E7CFF"/>
    <w:rsid w:val="009E7F24"/>
    <w:rsid w:val="009E7F25"/>
    <w:rsid w:val="009E7FF6"/>
    <w:rsid w:val="009E7FF8"/>
    <w:rsid w:val="009F009A"/>
    <w:rsid w:val="009F00D6"/>
    <w:rsid w:val="009F0107"/>
    <w:rsid w:val="009F01A6"/>
    <w:rsid w:val="009F0252"/>
    <w:rsid w:val="009F027A"/>
    <w:rsid w:val="009F02D7"/>
    <w:rsid w:val="009F0305"/>
    <w:rsid w:val="009F04D1"/>
    <w:rsid w:val="009F0519"/>
    <w:rsid w:val="009F066D"/>
    <w:rsid w:val="009F0835"/>
    <w:rsid w:val="009F08E3"/>
    <w:rsid w:val="009F0972"/>
    <w:rsid w:val="009F0A0C"/>
    <w:rsid w:val="009F0A26"/>
    <w:rsid w:val="009F0C20"/>
    <w:rsid w:val="009F0CF4"/>
    <w:rsid w:val="009F0DD6"/>
    <w:rsid w:val="009F0EC3"/>
    <w:rsid w:val="009F0FAF"/>
    <w:rsid w:val="009F0FC0"/>
    <w:rsid w:val="009F0FCC"/>
    <w:rsid w:val="009F104D"/>
    <w:rsid w:val="009F11C6"/>
    <w:rsid w:val="009F11DC"/>
    <w:rsid w:val="009F1396"/>
    <w:rsid w:val="009F140A"/>
    <w:rsid w:val="009F14D0"/>
    <w:rsid w:val="009F154E"/>
    <w:rsid w:val="009F161B"/>
    <w:rsid w:val="009F162E"/>
    <w:rsid w:val="009F167B"/>
    <w:rsid w:val="009F16B1"/>
    <w:rsid w:val="009F16B4"/>
    <w:rsid w:val="009F16F2"/>
    <w:rsid w:val="009F16FE"/>
    <w:rsid w:val="009F1717"/>
    <w:rsid w:val="009F18A5"/>
    <w:rsid w:val="009F18BF"/>
    <w:rsid w:val="009F192B"/>
    <w:rsid w:val="009F194B"/>
    <w:rsid w:val="009F1AF0"/>
    <w:rsid w:val="009F1C76"/>
    <w:rsid w:val="009F1CEB"/>
    <w:rsid w:val="009F1DEB"/>
    <w:rsid w:val="009F1E1F"/>
    <w:rsid w:val="009F1E29"/>
    <w:rsid w:val="009F1ED9"/>
    <w:rsid w:val="009F1FDD"/>
    <w:rsid w:val="009F2098"/>
    <w:rsid w:val="009F20B5"/>
    <w:rsid w:val="009F20E6"/>
    <w:rsid w:val="009F2194"/>
    <w:rsid w:val="009F21C1"/>
    <w:rsid w:val="009F226F"/>
    <w:rsid w:val="009F22D6"/>
    <w:rsid w:val="009F23BC"/>
    <w:rsid w:val="009F2420"/>
    <w:rsid w:val="009F24A4"/>
    <w:rsid w:val="009F24AD"/>
    <w:rsid w:val="009F259A"/>
    <w:rsid w:val="009F25E5"/>
    <w:rsid w:val="009F2766"/>
    <w:rsid w:val="009F276E"/>
    <w:rsid w:val="009F27A5"/>
    <w:rsid w:val="009F2998"/>
    <w:rsid w:val="009F2ADA"/>
    <w:rsid w:val="009F2B65"/>
    <w:rsid w:val="009F2EC5"/>
    <w:rsid w:val="009F2F66"/>
    <w:rsid w:val="009F304A"/>
    <w:rsid w:val="009F3085"/>
    <w:rsid w:val="009F30CA"/>
    <w:rsid w:val="009F31D8"/>
    <w:rsid w:val="009F3343"/>
    <w:rsid w:val="009F3349"/>
    <w:rsid w:val="009F3352"/>
    <w:rsid w:val="009F34B9"/>
    <w:rsid w:val="009F3527"/>
    <w:rsid w:val="009F36B7"/>
    <w:rsid w:val="009F3728"/>
    <w:rsid w:val="009F379E"/>
    <w:rsid w:val="009F3887"/>
    <w:rsid w:val="009F391F"/>
    <w:rsid w:val="009F3A1C"/>
    <w:rsid w:val="009F3BB9"/>
    <w:rsid w:val="009F3BC6"/>
    <w:rsid w:val="009F3C2C"/>
    <w:rsid w:val="009F3C3D"/>
    <w:rsid w:val="009F3CA9"/>
    <w:rsid w:val="009F3CD6"/>
    <w:rsid w:val="009F3CE6"/>
    <w:rsid w:val="009F3E5D"/>
    <w:rsid w:val="009F3F35"/>
    <w:rsid w:val="009F3FD3"/>
    <w:rsid w:val="009F407E"/>
    <w:rsid w:val="009F409B"/>
    <w:rsid w:val="009F40CF"/>
    <w:rsid w:val="009F40F9"/>
    <w:rsid w:val="009F41CE"/>
    <w:rsid w:val="009F422D"/>
    <w:rsid w:val="009F42D1"/>
    <w:rsid w:val="009F437A"/>
    <w:rsid w:val="009F4431"/>
    <w:rsid w:val="009F4476"/>
    <w:rsid w:val="009F45E2"/>
    <w:rsid w:val="009F4668"/>
    <w:rsid w:val="009F4683"/>
    <w:rsid w:val="009F46A5"/>
    <w:rsid w:val="009F47C7"/>
    <w:rsid w:val="009F47FC"/>
    <w:rsid w:val="009F47FE"/>
    <w:rsid w:val="009F48A0"/>
    <w:rsid w:val="009F495D"/>
    <w:rsid w:val="009F4A9F"/>
    <w:rsid w:val="009F4ADB"/>
    <w:rsid w:val="009F4BEB"/>
    <w:rsid w:val="009F4C60"/>
    <w:rsid w:val="009F4EEF"/>
    <w:rsid w:val="009F4F3C"/>
    <w:rsid w:val="009F4FCE"/>
    <w:rsid w:val="009F51E6"/>
    <w:rsid w:val="009F5263"/>
    <w:rsid w:val="009F52FC"/>
    <w:rsid w:val="009F5588"/>
    <w:rsid w:val="009F55B5"/>
    <w:rsid w:val="009F5665"/>
    <w:rsid w:val="009F5884"/>
    <w:rsid w:val="009F58A8"/>
    <w:rsid w:val="009F5919"/>
    <w:rsid w:val="009F5BDC"/>
    <w:rsid w:val="009F5D20"/>
    <w:rsid w:val="009F5DC9"/>
    <w:rsid w:val="009F5F4B"/>
    <w:rsid w:val="009F5F79"/>
    <w:rsid w:val="009F5FEF"/>
    <w:rsid w:val="009F60DE"/>
    <w:rsid w:val="009F60EB"/>
    <w:rsid w:val="009F614E"/>
    <w:rsid w:val="009F618E"/>
    <w:rsid w:val="009F62D5"/>
    <w:rsid w:val="009F6387"/>
    <w:rsid w:val="009F640B"/>
    <w:rsid w:val="009F6590"/>
    <w:rsid w:val="009F6785"/>
    <w:rsid w:val="009F6864"/>
    <w:rsid w:val="009F6964"/>
    <w:rsid w:val="009F6987"/>
    <w:rsid w:val="009F69CD"/>
    <w:rsid w:val="009F6AD9"/>
    <w:rsid w:val="009F6AE6"/>
    <w:rsid w:val="009F6D60"/>
    <w:rsid w:val="009F6DDE"/>
    <w:rsid w:val="009F6EAE"/>
    <w:rsid w:val="009F6EBE"/>
    <w:rsid w:val="009F6EE5"/>
    <w:rsid w:val="009F7014"/>
    <w:rsid w:val="009F704A"/>
    <w:rsid w:val="009F73F1"/>
    <w:rsid w:val="009F74A7"/>
    <w:rsid w:val="009F7647"/>
    <w:rsid w:val="009F7675"/>
    <w:rsid w:val="009F773D"/>
    <w:rsid w:val="009F77D1"/>
    <w:rsid w:val="009F7951"/>
    <w:rsid w:val="009F79C2"/>
    <w:rsid w:val="009F7A63"/>
    <w:rsid w:val="009F7AB7"/>
    <w:rsid w:val="009F7AE8"/>
    <w:rsid w:val="009F7C8F"/>
    <w:rsid w:val="009F7CAC"/>
    <w:rsid w:val="009F7D25"/>
    <w:rsid w:val="009F7D77"/>
    <w:rsid w:val="009F7DF1"/>
    <w:rsid w:val="009F7EA7"/>
    <w:rsid w:val="009F7EBD"/>
    <w:rsid w:val="009F7F51"/>
    <w:rsid w:val="009F7F60"/>
    <w:rsid w:val="009F7F79"/>
    <w:rsid w:val="009F7F8A"/>
    <w:rsid w:val="009F7FBE"/>
    <w:rsid w:val="00A000DF"/>
    <w:rsid w:val="00A001D9"/>
    <w:rsid w:val="00A001F6"/>
    <w:rsid w:val="00A00202"/>
    <w:rsid w:val="00A0025D"/>
    <w:rsid w:val="00A0033A"/>
    <w:rsid w:val="00A00407"/>
    <w:rsid w:val="00A00420"/>
    <w:rsid w:val="00A00440"/>
    <w:rsid w:val="00A006FF"/>
    <w:rsid w:val="00A009CA"/>
    <w:rsid w:val="00A009EF"/>
    <w:rsid w:val="00A00A78"/>
    <w:rsid w:val="00A00B2E"/>
    <w:rsid w:val="00A00B3E"/>
    <w:rsid w:val="00A00B4F"/>
    <w:rsid w:val="00A00C12"/>
    <w:rsid w:val="00A00D04"/>
    <w:rsid w:val="00A00D1E"/>
    <w:rsid w:val="00A00D38"/>
    <w:rsid w:val="00A00D70"/>
    <w:rsid w:val="00A00E45"/>
    <w:rsid w:val="00A00E4D"/>
    <w:rsid w:val="00A00E65"/>
    <w:rsid w:val="00A00EB2"/>
    <w:rsid w:val="00A00F48"/>
    <w:rsid w:val="00A0125C"/>
    <w:rsid w:val="00A0125F"/>
    <w:rsid w:val="00A012A8"/>
    <w:rsid w:val="00A0138F"/>
    <w:rsid w:val="00A013F2"/>
    <w:rsid w:val="00A0140D"/>
    <w:rsid w:val="00A0152C"/>
    <w:rsid w:val="00A01551"/>
    <w:rsid w:val="00A0156E"/>
    <w:rsid w:val="00A01634"/>
    <w:rsid w:val="00A0164F"/>
    <w:rsid w:val="00A01657"/>
    <w:rsid w:val="00A01735"/>
    <w:rsid w:val="00A017AD"/>
    <w:rsid w:val="00A01810"/>
    <w:rsid w:val="00A018FE"/>
    <w:rsid w:val="00A019B1"/>
    <w:rsid w:val="00A019F6"/>
    <w:rsid w:val="00A01AA3"/>
    <w:rsid w:val="00A01AA8"/>
    <w:rsid w:val="00A01B25"/>
    <w:rsid w:val="00A01B48"/>
    <w:rsid w:val="00A01C77"/>
    <w:rsid w:val="00A01D59"/>
    <w:rsid w:val="00A01ED8"/>
    <w:rsid w:val="00A01EF8"/>
    <w:rsid w:val="00A0202B"/>
    <w:rsid w:val="00A0205E"/>
    <w:rsid w:val="00A02116"/>
    <w:rsid w:val="00A0211F"/>
    <w:rsid w:val="00A02129"/>
    <w:rsid w:val="00A021B5"/>
    <w:rsid w:val="00A022BD"/>
    <w:rsid w:val="00A022E6"/>
    <w:rsid w:val="00A0233E"/>
    <w:rsid w:val="00A023D2"/>
    <w:rsid w:val="00A02427"/>
    <w:rsid w:val="00A02510"/>
    <w:rsid w:val="00A0263B"/>
    <w:rsid w:val="00A0265D"/>
    <w:rsid w:val="00A026EB"/>
    <w:rsid w:val="00A026FD"/>
    <w:rsid w:val="00A0276A"/>
    <w:rsid w:val="00A02778"/>
    <w:rsid w:val="00A02852"/>
    <w:rsid w:val="00A0286E"/>
    <w:rsid w:val="00A028F3"/>
    <w:rsid w:val="00A02931"/>
    <w:rsid w:val="00A02954"/>
    <w:rsid w:val="00A029EE"/>
    <w:rsid w:val="00A02A4C"/>
    <w:rsid w:val="00A02B30"/>
    <w:rsid w:val="00A02BF8"/>
    <w:rsid w:val="00A02D80"/>
    <w:rsid w:val="00A02D86"/>
    <w:rsid w:val="00A02D96"/>
    <w:rsid w:val="00A02E4F"/>
    <w:rsid w:val="00A02EA7"/>
    <w:rsid w:val="00A02EE5"/>
    <w:rsid w:val="00A031D3"/>
    <w:rsid w:val="00A03386"/>
    <w:rsid w:val="00A033AE"/>
    <w:rsid w:val="00A0340A"/>
    <w:rsid w:val="00A03510"/>
    <w:rsid w:val="00A0352B"/>
    <w:rsid w:val="00A035BD"/>
    <w:rsid w:val="00A03680"/>
    <w:rsid w:val="00A037E1"/>
    <w:rsid w:val="00A037ED"/>
    <w:rsid w:val="00A03819"/>
    <w:rsid w:val="00A038D9"/>
    <w:rsid w:val="00A0397C"/>
    <w:rsid w:val="00A039C1"/>
    <w:rsid w:val="00A03B7A"/>
    <w:rsid w:val="00A03BAD"/>
    <w:rsid w:val="00A03C64"/>
    <w:rsid w:val="00A03CC4"/>
    <w:rsid w:val="00A03D1C"/>
    <w:rsid w:val="00A03D2F"/>
    <w:rsid w:val="00A03D31"/>
    <w:rsid w:val="00A03E23"/>
    <w:rsid w:val="00A03E6C"/>
    <w:rsid w:val="00A04073"/>
    <w:rsid w:val="00A040B5"/>
    <w:rsid w:val="00A041F5"/>
    <w:rsid w:val="00A042A1"/>
    <w:rsid w:val="00A042DD"/>
    <w:rsid w:val="00A04426"/>
    <w:rsid w:val="00A04464"/>
    <w:rsid w:val="00A04473"/>
    <w:rsid w:val="00A047B7"/>
    <w:rsid w:val="00A0489C"/>
    <w:rsid w:val="00A04D15"/>
    <w:rsid w:val="00A04E3B"/>
    <w:rsid w:val="00A04E51"/>
    <w:rsid w:val="00A050A6"/>
    <w:rsid w:val="00A051BE"/>
    <w:rsid w:val="00A05258"/>
    <w:rsid w:val="00A052CA"/>
    <w:rsid w:val="00A053C3"/>
    <w:rsid w:val="00A05414"/>
    <w:rsid w:val="00A054A9"/>
    <w:rsid w:val="00A055CE"/>
    <w:rsid w:val="00A05648"/>
    <w:rsid w:val="00A058E6"/>
    <w:rsid w:val="00A059D7"/>
    <w:rsid w:val="00A05A49"/>
    <w:rsid w:val="00A05A58"/>
    <w:rsid w:val="00A05AA2"/>
    <w:rsid w:val="00A05B0F"/>
    <w:rsid w:val="00A05B6E"/>
    <w:rsid w:val="00A05B76"/>
    <w:rsid w:val="00A05B9D"/>
    <w:rsid w:val="00A05C74"/>
    <w:rsid w:val="00A05CEE"/>
    <w:rsid w:val="00A05D2C"/>
    <w:rsid w:val="00A05D78"/>
    <w:rsid w:val="00A05F2E"/>
    <w:rsid w:val="00A05F91"/>
    <w:rsid w:val="00A0605D"/>
    <w:rsid w:val="00A0606A"/>
    <w:rsid w:val="00A0607D"/>
    <w:rsid w:val="00A06154"/>
    <w:rsid w:val="00A061C6"/>
    <w:rsid w:val="00A061F2"/>
    <w:rsid w:val="00A0625C"/>
    <w:rsid w:val="00A062FD"/>
    <w:rsid w:val="00A0631D"/>
    <w:rsid w:val="00A06393"/>
    <w:rsid w:val="00A0640E"/>
    <w:rsid w:val="00A06435"/>
    <w:rsid w:val="00A064DF"/>
    <w:rsid w:val="00A06559"/>
    <w:rsid w:val="00A065FE"/>
    <w:rsid w:val="00A06622"/>
    <w:rsid w:val="00A06663"/>
    <w:rsid w:val="00A06667"/>
    <w:rsid w:val="00A06706"/>
    <w:rsid w:val="00A0672C"/>
    <w:rsid w:val="00A06884"/>
    <w:rsid w:val="00A0688A"/>
    <w:rsid w:val="00A068E2"/>
    <w:rsid w:val="00A06926"/>
    <w:rsid w:val="00A06CB8"/>
    <w:rsid w:val="00A06CCF"/>
    <w:rsid w:val="00A06CE5"/>
    <w:rsid w:val="00A06E9A"/>
    <w:rsid w:val="00A06ECF"/>
    <w:rsid w:val="00A06EF7"/>
    <w:rsid w:val="00A06F08"/>
    <w:rsid w:val="00A06F50"/>
    <w:rsid w:val="00A06FEE"/>
    <w:rsid w:val="00A070CD"/>
    <w:rsid w:val="00A071EE"/>
    <w:rsid w:val="00A07238"/>
    <w:rsid w:val="00A07309"/>
    <w:rsid w:val="00A07390"/>
    <w:rsid w:val="00A07458"/>
    <w:rsid w:val="00A0757C"/>
    <w:rsid w:val="00A07590"/>
    <w:rsid w:val="00A0768F"/>
    <w:rsid w:val="00A076AF"/>
    <w:rsid w:val="00A07821"/>
    <w:rsid w:val="00A07950"/>
    <w:rsid w:val="00A079D6"/>
    <w:rsid w:val="00A079EF"/>
    <w:rsid w:val="00A07A4B"/>
    <w:rsid w:val="00A07C2C"/>
    <w:rsid w:val="00A07D45"/>
    <w:rsid w:val="00A07DBA"/>
    <w:rsid w:val="00A07E04"/>
    <w:rsid w:val="00A07E38"/>
    <w:rsid w:val="00A07EB6"/>
    <w:rsid w:val="00A07EF1"/>
    <w:rsid w:val="00A07F87"/>
    <w:rsid w:val="00A07FAA"/>
    <w:rsid w:val="00A10134"/>
    <w:rsid w:val="00A101DA"/>
    <w:rsid w:val="00A10203"/>
    <w:rsid w:val="00A10206"/>
    <w:rsid w:val="00A10438"/>
    <w:rsid w:val="00A10490"/>
    <w:rsid w:val="00A10551"/>
    <w:rsid w:val="00A10610"/>
    <w:rsid w:val="00A106D4"/>
    <w:rsid w:val="00A107AE"/>
    <w:rsid w:val="00A108C4"/>
    <w:rsid w:val="00A108DB"/>
    <w:rsid w:val="00A1095C"/>
    <w:rsid w:val="00A10995"/>
    <w:rsid w:val="00A109C2"/>
    <w:rsid w:val="00A10A30"/>
    <w:rsid w:val="00A10A7A"/>
    <w:rsid w:val="00A10BD8"/>
    <w:rsid w:val="00A10BFB"/>
    <w:rsid w:val="00A10D68"/>
    <w:rsid w:val="00A10F8D"/>
    <w:rsid w:val="00A110CF"/>
    <w:rsid w:val="00A1127E"/>
    <w:rsid w:val="00A112B9"/>
    <w:rsid w:val="00A112EE"/>
    <w:rsid w:val="00A11301"/>
    <w:rsid w:val="00A1133A"/>
    <w:rsid w:val="00A1139E"/>
    <w:rsid w:val="00A11418"/>
    <w:rsid w:val="00A1157F"/>
    <w:rsid w:val="00A115B2"/>
    <w:rsid w:val="00A11635"/>
    <w:rsid w:val="00A116DA"/>
    <w:rsid w:val="00A1174B"/>
    <w:rsid w:val="00A11846"/>
    <w:rsid w:val="00A11890"/>
    <w:rsid w:val="00A118CC"/>
    <w:rsid w:val="00A118DF"/>
    <w:rsid w:val="00A11B42"/>
    <w:rsid w:val="00A11BA5"/>
    <w:rsid w:val="00A11C0A"/>
    <w:rsid w:val="00A11C80"/>
    <w:rsid w:val="00A11CF1"/>
    <w:rsid w:val="00A11CFB"/>
    <w:rsid w:val="00A11D18"/>
    <w:rsid w:val="00A11D53"/>
    <w:rsid w:val="00A11D80"/>
    <w:rsid w:val="00A11D9A"/>
    <w:rsid w:val="00A11DAA"/>
    <w:rsid w:val="00A11DC9"/>
    <w:rsid w:val="00A11E48"/>
    <w:rsid w:val="00A11E63"/>
    <w:rsid w:val="00A11FC5"/>
    <w:rsid w:val="00A1201B"/>
    <w:rsid w:val="00A12176"/>
    <w:rsid w:val="00A12277"/>
    <w:rsid w:val="00A122DE"/>
    <w:rsid w:val="00A123C6"/>
    <w:rsid w:val="00A123F1"/>
    <w:rsid w:val="00A1246B"/>
    <w:rsid w:val="00A12573"/>
    <w:rsid w:val="00A12580"/>
    <w:rsid w:val="00A12586"/>
    <w:rsid w:val="00A126B7"/>
    <w:rsid w:val="00A127A2"/>
    <w:rsid w:val="00A128FF"/>
    <w:rsid w:val="00A12936"/>
    <w:rsid w:val="00A12A61"/>
    <w:rsid w:val="00A12A93"/>
    <w:rsid w:val="00A12AD6"/>
    <w:rsid w:val="00A12B42"/>
    <w:rsid w:val="00A12D03"/>
    <w:rsid w:val="00A12E41"/>
    <w:rsid w:val="00A12F0C"/>
    <w:rsid w:val="00A12F4F"/>
    <w:rsid w:val="00A1307C"/>
    <w:rsid w:val="00A130AF"/>
    <w:rsid w:val="00A1310C"/>
    <w:rsid w:val="00A1322E"/>
    <w:rsid w:val="00A1325A"/>
    <w:rsid w:val="00A1327D"/>
    <w:rsid w:val="00A132E3"/>
    <w:rsid w:val="00A13369"/>
    <w:rsid w:val="00A133E1"/>
    <w:rsid w:val="00A133F6"/>
    <w:rsid w:val="00A13456"/>
    <w:rsid w:val="00A1349E"/>
    <w:rsid w:val="00A1350F"/>
    <w:rsid w:val="00A13526"/>
    <w:rsid w:val="00A13556"/>
    <w:rsid w:val="00A13603"/>
    <w:rsid w:val="00A1360C"/>
    <w:rsid w:val="00A13630"/>
    <w:rsid w:val="00A1376F"/>
    <w:rsid w:val="00A13846"/>
    <w:rsid w:val="00A13859"/>
    <w:rsid w:val="00A13969"/>
    <w:rsid w:val="00A13A16"/>
    <w:rsid w:val="00A13A8F"/>
    <w:rsid w:val="00A13AD7"/>
    <w:rsid w:val="00A13F19"/>
    <w:rsid w:val="00A13F54"/>
    <w:rsid w:val="00A13F58"/>
    <w:rsid w:val="00A13FCB"/>
    <w:rsid w:val="00A13FEB"/>
    <w:rsid w:val="00A1404B"/>
    <w:rsid w:val="00A140BD"/>
    <w:rsid w:val="00A140BF"/>
    <w:rsid w:val="00A14318"/>
    <w:rsid w:val="00A1437C"/>
    <w:rsid w:val="00A144DE"/>
    <w:rsid w:val="00A145EA"/>
    <w:rsid w:val="00A145FC"/>
    <w:rsid w:val="00A14641"/>
    <w:rsid w:val="00A1470D"/>
    <w:rsid w:val="00A147EB"/>
    <w:rsid w:val="00A1484C"/>
    <w:rsid w:val="00A148E0"/>
    <w:rsid w:val="00A14959"/>
    <w:rsid w:val="00A14B35"/>
    <w:rsid w:val="00A14B8B"/>
    <w:rsid w:val="00A14BE1"/>
    <w:rsid w:val="00A14C29"/>
    <w:rsid w:val="00A14CE6"/>
    <w:rsid w:val="00A14D7B"/>
    <w:rsid w:val="00A14F77"/>
    <w:rsid w:val="00A14FA7"/>
    <w:rsid w:val="00A15008"/>
    <w:rsid w:val="00A15018"/>
    <w:rsid w:val="00A150AF"/>
    <w:rsid w:val="00A15157"/>
    <w:rsid w:val="00A153CE"/>
    <w:rsid w:val="00A155D7"/>
    <w:rsid w:val="00A15795"/>
    <w:rsid w:val="00A1589F"/>
    <w:rsid w:val="00A1599F"/>
    <w:rsid w:val="00A159FF"/>
    <w:rsid w:val="00A15B78"/>
    <w:rsid w:val="00A15C1D"/>
    <w:rsid w:val="00A15CCD"/>
    <w:rsid w:val="00A15D4F"/>
    <w:rsid w:val="00A15E02"/>
    <w:rsid w:val="00A15E8F"/>
    <w:rsid w:val="00A15ED1"/>
    <w:rsid w:val="00A15EE7"/>
    <w:rsid w:val="00A15EF6"/>
    <w:rsid w:val="00A15F7F"/>
    <w:rsid w:val="00A15F89"/>
    <w:rsid w:val="00A16091"/>
    <w:rsid w:val="00A160B7"/>
    <w:rsid w:val="00A16254"/>
    <w:rsid w:val="00A1640A"/>
    <w:rsid w:val="00A16552"/>
    <w:rsid w:val="00A1655D"/>
    <w:rsid w:val="00A165C5"/>
    <w:rsid w:val="00A165E6"/>
    <w:rsid w:val="00A166B0"/>
    <w:rsid w:val="00A167A4"/>
    <w:rsid w:val="00A167D1"/>
    <w:rsid w:val="00A168A3"/>
    <w:rsid w:val="00A1697F"/>
    <w:rsid w:val="00A169CD"/>
    <w:rsid w:val="00A169DE"/>
    <w:rsid w:val="00A16A82"/>
    <w:rsid w:val="00A16B32"/>
    <w:rsid w:val="00A16B53"/>
    <w:rsid w:val="00A16B88"/>
    <w:rsid w:val="00A16B9B"/>
    <w:rsid w:val="00A16C19"/>
    <w:rsid w:val="00A16CC5"/>
    <w:rsid w:val="00A16CC6"/>
    <w:rsid w:val="00A16D24"/>
    <w:rsid w:val="00A16D2E"/>
    <w:rsid w:val="00A16DCD"/>
    <w:rsid w:val="00A16E61"/>
    <w:rsid w:val="00A16E96"/>
    <w:rsid w:val="00A16EE6"/>
    <w:rsid w:val="00A16F03"/>
    <w:rsid w:val="00A16FAF"/>
    <w:rsid w:val="00A16FF2"/>
    <w:rsid w:val="00A17109"/>
    <w:rsid w:val="00A171E3"/>
    <w:rsid w:val="00A17213"/>
    <w:rsid w:val="00A1723A"/>
    <w:rsid w:val="00A1723D"/>
    <w:rsid w:val="00A172BE"/>
    <w:rsid w:val="00A1736A"/>
    <w:rsid w:val="00A17411"/>
    <w:rsid w:val="00A174FE"/>
    <w:rsid w:val="00A175B1"/>
    <w:rsid w:val="00A175E2"/>
    <w:rsid w:val="00A17679"/>
    <w:rsid w:val="00A176E1"/>
    <w:rsid w:val="00A176EA"/>
    <w:rsid w:val="00A17751"/>
    <w:rsid w:val="00A179B2"/>
    <w:rsid w:val="00A17A4E"/>
    <w:rsid w:val="00A17ABA"/>
    <w:rsid w:val="00A17AF3"/>
    <w:rsid w:val="00A17B36"/>
    <w:rsid w:val="00A17BAD"/>
    <w:rsid w:val="00A17BF0"/>
    <w:rsid w:val="00A17F02"/>
    <w:rsid w:val="00A17F8F"/>
    <w:rsid w:val="00A17FA7"/>
    <w:rsid w:val="00A19F64"/>
    <w:rsid w:val="00A20021"/>
    <w:rsid w:val="00A20030"/>
    <w:rsid w:val="00A200CB"/>
    <w:rsid w:val="00A200DA"/>
    <w:rsid w:val="00A201C8"/>
    <w:rsid w:val="00A201E1"/>
    <w:rsid w:val="00A2046A"/>
    <w:rsid w:val="00A204AF"/>
    <w:rsid w:val="00A20582"/>
    <w:rsid w:val="00A2062D"/>
    <w:rsid w:val="00A20647"/>
    <w:rsid w:val="00A207CB"/>
    <w:rsid w:val="00A20860"/>
    <w:rsid w:val="00A208BB"/>
    <w:rsid w:val="00A20917"/>
    <w:rsid w:val="00A20920"/>
    <w:rsid w:val="00A20B63"/>
    <w:rsid w:val="00A20C45"/>
    <w:rsid w:val="00A20C5E"/>
    <w:rsid w:val="00A20CD0"/>
    <w:rsid w:val="00A20EE4"/>
    <w:rsid w:val="00A20F00"/>
    <w:rsid w:val="00A20FB1"/>
    <w:rsid w:val="00A21179"/>
    <w:rsid w:val="00A212A2"/>
    <w:rsid w:val="00A21375"/>
    <w:rsid w:val="00A213E3"/>
    <w:rsid w:val="00A214CA"/>
    <w:rsid w:val="00A21543"/>
    <w:rsid w:val="00A2155A"/>
    <w:rsid w:val="00A21718"/>
    <w:rsid w:val="00A217CE"/>
    <w:rsid w:val="00A217FB"/>
    <w:rsid w:val="00A2187C"/>
    <w:rsid w:val="00A21915"/>
    <w:rsid w:val="00A219C2"/>
    <w:rsid w:val="00A21AA9"/>
    <w:rsid w:val="00A21B29"/>
    <w:rsid w:val="00A21CD0"/>
    <w:rsid w:val="00A21D17"/>
    <w:rsid w:val="00A21DC0"/>
    <w:rsid w:val="00A22063"/>
    <w:rsid w:val="00A220DC"/>
    <w:rsid w:val="00A22359"/>
    <w:rsid w:val="00A2236B"/>
    <w:rsid w:val="00A223B0"/>
    <w:rsid w:val="00A2250D"/>
    <w:rsid w:val="00A22694"/>
    <w:rsid w:val="00A226E7"/>
    <w:rsid w:val="00A22835"/>
    <w:rsid w:val="00A22850"/>
    <w:rsid w:val="00A22B3E"/>
    <w:rsid w:val="00A22BF1"/>
    <w:rsid w:val="00A22C76"/>
    <w:rsid w:val="00A22CC1"/>
    <w:rsid w:val="00A22D03"/>
    <w:rsid w:val="00A22D3F"/>
    <w:rsid w:val="00A22D67"/>
    <w:rsid w:val="00A22EF3"/>
    <w:rsid w:val="00A22F7A"/>
    <w:rsid w:val="00A22F89"/>
    <w:rsid w:val="00A22FA7"/>
    <w:rsid w:val="00A230C0"/>
    <w:rsid w:val="00A23102"/>
    <w:rsid w:val="00A2310E"/>
    <w:rsid w:val="00A231E2"/>
    <w:rsid w:val="00A2327F"/>
    <w:rsid w:val="00A232D1"/>
    <w:rsid w:val="00A233E0"/>
    <w:rsid w:val="00A23421"/>
    <w:rsid w:val="00A237A1"/>
    <w:rsid w:val="00A23814"/>
    <w:rsid w:val="00A2383D"/>
    <w:rsid w:val="00A23840"/>
    <w:rsid w:val="00A23985"/>
    <w:rsid w:val="00A23A3E"/>
    <w:rsid w:val="00A23B07"/>
    <w:rsid w:val="00A23C50"/>
    <w:rsid w:val="00A23C6F"/>
    <w:rsid w:val="00A23C7B"/>
    <w:rsid w:val="00A23DA9"/>
    <w:rsid w:val="00A23ED5"/>
    <w:rsid w:val="00A23F4E"/>
    <w:rsid w:val="00A23FF9"/>
    <w:rsid w:val="00A24071"/>
    <w:rsid w:val="00A2417A"/>
    <w:rsid w:val="00A241C1"/>
    <w:rsid w:val="00A24321"/>
    <w:rsid w:val="00A2439C"/>
    <w:rsid w:val="00A24553"/>
    <w:rsid w:val="00A245A9"/>
    <w:rsid w:val="00A245C6"/>
    <w:rsid w:val="00A245C8"/>
    <w:rsid w:val="00A24789"/>
    <w:rsid w:val="00A247F2"/>
    <w:rsid w:val="00A24828"/>
    <w:rsid w:val="00A24981"/>
    <w:rsid w:val="00A24B8F"/>
    <w:rsid w:val="00A24B90"/>
    <w:rsid w:val="00A24C3D"/>
    <w:rsid w:val="00A24C9B"/>
    <w:rsid w:val="00A24D00"/>
    <w:rsid w:val="00A24D28"/>
    <w:rsid w:val="00A24D7F"/>
    <w:rsid w:val="00A24D8F"/>
    <w:rsid w:val="00A24E2E"/>
    <w:rsid w:val="00A24E44"/>
    <w:rsid w:val="00A24F3F"/>
    <w:rsid w:val="00A24FD8"/>
    <w:rsid w:val="00A2500D"/>
    <w:rsid w:val="00A250A3"/>
    <w:rsid w:val="00A251D8"/>
    <w:rsid w:val="00A25242"/>
    <w:rsid w:val="00A2527F"/>
    <w:rsid w:val="00A25291"/>
    <w:rsid w:val="00A25320"/>
    <w:rsid w:val="00A25373"/>
    <w:rsid w:val="00A253E6"/>
    <w:rsid w:val="00A255AC"/>
    <w:rsid w:val="00A255C9"/>
    <w:rsid w:val="00A25627"/>
    <w:rsid w:val="00A25748"/>
    <w:rsid w:val="00A2574B"/>
    <w:rsid w:val="00A25785"/>
    <w:rsid w:val="00A2579E"/>
    <w:rsid w:val="00A2594B"/>
    <w:rsid w:val="00A25A63"/>
    <w:rsid w:val="00A25A80"/>
    <w:rsid w:val="00A25AA6"/>
    <w:rsid w:val="00A25AF2"/>
    <w:rsid w:val="00A25B00"/>
    <w:rsid w:val="00A25BF0"/>
    <w:rsid w:val="00A25C39"/>
    <w:rsid w:val="00A25EDB"/>
    <w:rsid w:val="00A25F19"/>
    <w:rsid w:val="00A26049"/>
    <w:rsid w:val="00A2608E"/>
    <w:rsid w:val="00A260C4"/>
    <w:rsid w:val="00A26118"/>
    <w:rsid w:val="00A26161"/>
    <w:rsid w:val="00A26268"/>
    <w:rsid w:val="00A262D3"/>
    <w:rsid w:val="00A263AA"/>
    <w:rsid w:val="00A263D2"/>
    <w:rsid w:val="00A264DB"/>
    <w:rsid w:val="00A264E2"/>
    <w:rsid w:val="00A264FC"/>
    <w:rsid w:val="00A2656B"/>
    <w:rsid w:val="00A26687"/>
    <w:rsid w:val="00A26827"/>
    <w:rsid w:val="00A268D7"/>
    <w:rsid w:val="00A26981"/>
    <w:rsid w:val="00A26A69"/>
    <w:rsid w:val="00A26A87"/>
    <w:rsid w:val="00A26B33"/>
    <w:rsid w:val="00A26B80"/>
    <w:rsid w:val="00A26C0C"/>
    <w:rsid w:val="00A26C58"/>
    <w:rsid w:val="00A26CCE"/>
    <w:rsid w:val="00A26F0F"/>
    <w:rsid w:val="00A27290"/>
    <w:rsid w:val="00A272DB"/>
    <w:rsid w:val="00A2738A"/>
    <w:rsid w:val="00A27699"/>
    <w:rsid w:val="00A276B9"/>
    <w:rsid w:val="00A276D5"/>
    <w:rsid w:val="00A276DD"/>
    <w:rsid w:val="00A27721"/>
    <w:rsid w:val="00A2780E"/>
    <w:rsid w:val="00A278B6"/>
    <w:rsid w:val="00A2793E"/>
    <w:rsid w:val="00A27957"/>
    <w:rsid w:val="00A279A5"/>
    <w:rsid w:val="00A27A1C"/>
    <w:rsid w:val="00A27B28"/>
    <w:rsid w:val="00A27BEE"/>
    <w:rsid w:val="00A27BFA"/>
    <w:rsid w:val="00A27E31"/>
    <w:rsid w:val="00A27E38"/>
    <w:rsid w:val="00A27E54"/>
    <w:rsid w:val="00A27F34"/>
    <w:rsid w:val="00A27F44"/>
    <w:rsid w:val="00A27FD3"/>
    <w:rsid w:val="00A30099"/>
    <w:rsid w:val="00A30121"/>
    <w:rsid w:val="00A3013E"/>
    <w:rsid w:val="00A30153"/>
    <w:rsid w:val="00A30221"/>
    <w:rsid w:val="00A3027D"/>
    <w:rsid w:val="00A30374"/>
    <w:rsid w:val="00A30379"/>
    <w:rsid w:val="00A304B9"/>
    <w:rsid w:val="00A304E6"/>
    <w:rsid w:val="00A305BE"/>
    <w:rsid w:val="00A306AC"/>
    <w:rsid w:val="00A3074A"/>
    <w:rsid w:val="00A30783"/>
    <w:rsid w:val="00A308C3"/>
    <w:rsid w:val="00A30A72"/>
    <w:rsid w:val="00A30B0A"/>
    <w:rsid w:val="00A30B45"/>
    <w:rsid w:val="00A30B8E"/>
    <w:rsid w:val="00A30BD3"/>
    <w:rsid w:val="00A30CB9"/>
    <w:rsid w:val="00A30D69"/>
    <w:rsid w:val="00A30E14"/>
    <w:rsid w:val="00A30EF6"/>
    <w:rsid w:val="00A3100E"/>
    <w:rsid w:val="00A31107"/>
    <w:rsid w:val="00A31143"/>
    <w:rsid w:val="00A31161"/>
    <w:rsid w:val="00A3117C"/>
    <w:rsid w:val="00A311A8"/>
    <w:rsid w:val="00A3122A"/>
    <w:rsid w:val="00A312EF"/>
    <w:rsid w:val="00A31315"/>
    <w:rsid w:val="00A3148F"/>
    <w:rsid w:val="00A314CA"/>
    <w:rsid w:val="00A3158B"/>
    <w:rsid w:val="00A315B7"/>
    <w:rsid w:val="00A3162B"/>
    <w:rsid w:val="00A316CD"/>
    <w:rsid w:val="00A3170B"/>
    <w:rsid w:val="00A3173D"/>
    <w:rsid w:val="00A317E3"/>
    <w:rsid w:val="00A318CB"/>
    <w:rsid w:val="00A318E5"/>
    <w:rsid w:val="00A3190E"/>
    <w:rsid w:val="00A3190F"/>
    <w:rsid w:val="00A31938"/>
    <w:rsid w:val="00A31AEB"/>
    <w:rsid w:val="00A31BBF"/>
    <w:rsid w:val="00A31BFF"/>
    <w:rsid w:val="00A31D2C"/>
    <w:rsid w:val="00A31DB8"/>
    <w:rsid w:val="00A31DD7"/>
    <w:rsid w:val="00A31EA8"/>
    <w:rsid w:val="00A31FDA"/>
    <w:rsid w:val="00A3203E"/>
    <w:rsid w:val="00A32059"/>
    <w:rsid w:val="00A32090"/>
    <w:rsid w:val="00A3247F"/>
    <w:rsid w:val="00A32522"/>
    <w:rsid w:val="00A325C5"/>
    <w:rsid w:val="00A32645"/>
    <w:rsid w:val="00A32665"/>
    <w:rsid w:val="00A326C7"/>
    <w:rsid w:val="00A32729"/>
    <w:rsid w:val="00A327AC"/>
    <w:rsid w:val="00A327D5"/>
    <w:rsid w:val="00A327F4"/>
    <w:rsid w:val="00A32816"/>
    <w:rsid w:val="00A32A19"/>
    <w:rsid w:val="00A32A98"/>
    <w:rsid w:val="00A32CCE"/>
    <w:rsid w:val="00A32CFB"/>
    <w:rsid w:val="00A32D8E"/>
    <w:rsid w:val="00A32E2E"/>
    <w:rsid w:val="00A32EB2"/>
    <w:rsid w:val="00A32F35"/>
    <w:rsid w:val="00A33035"/>
    <w:rsid w:val="00A3304A"/>
    <w:rsid w:val="00A330E0"/>
    <w:rsid w:val="00A33176"/>
    <w:rsid w:val="00A33367"/>
    <w:rsid w:val="00A333E0"/>
    <w:rsid w:val="00A334E6"/>
    <w:rsid w:val="00A33560"/>
    <w:rsid w:val="00A33576"/>
    <w:rsid w:val="00A33604"/>
    <w:rsid w:val="00A33862"/>
    <w:rsid w:val="00A33A14"/>
    <w:rsid w:val="00A33E17"/>
    <w:rsid w:val="00A33E97"/>
    <w:rsid w:val="00A33EA2"/>
    <w:rsid w:val="00A33F83"/>
    <w:rsid w:val="00A33FDE"/>
    <w:rsid w:val="00A33FE3"/>
    <w:rsid w:val="00A34138"/>
    <w:rsid w:val="00A341CC"/>
    <w:rsid w:val="00A342DB"/>
    <w:rsid w:val="00A34382"/>
    <w:rsid w:val="00A34383"/>
    <w:rsid w:val="00A343DE"/>
    <w:rsid w:val="00A3451E"/>
    <w:rsid w:val="00A345FE"/>
    <w:rsid w:val="00A34679"/>
    <w:rsid w:val="00A347CB"/>
    <w:rsid w:val="00A34894"/>
    <w:rsid w:val="00A349D5"/>
    <w:rsid w:val="00A349FC"/>
    <w:rsid w:val="00A34ACA"/>
    <w:rsid w:val="00A34B34"/>
    <w:rsid w:val="00A34BCE"/>
    <w:rsid w:val="00A34BF2"/>
    <w:rsid w:val="00A34C4C"/>
    <w:rsid w:val="00A34CE6"/>
    <w:rsid w:val="00A34E14"/>
    <w:rsid w:val="00A34E20"/>
    <w:rsid w:val="00A34E51"/>
    <w:rsid w:val="00A34E84"/>
    <w:rsid w:val="00A34EA1"/>
    <w:rsid w:val="00A34F35"/>
    <w:rsid w:val="00A34F3D"/>
    <w:rsid w:val="00A351D5"/>
    <w:rsid w:val="00A35335"/>
    <w:rsid w:val="00A35380"/>
    <w:rsid w:val="00A353A3"/>
    <w:rsid w:val="00A354AC"/>
    <w:rsid w:val="00A354BA"/>
    <w:rsid w:val="00A35520"/>
    <w:rsid w:val="00A356B1"/>
    <w:rsid w:val="00A357B9"/>
    <w:rsid w:val="00A357BA"/>
    <w:rsid w:val="00A35925"/>
    <w:rsid w:val="00A35995"/>
    <w:rsid w:val="00A35A57"/>
    <w:rsid w:val="00A35A66"/>
    <w:rsid w:val="00A35AAB"/>
    <w:rsid w:val="00A35C42"/>
    <w:rsid w:val="00A35CB5"/>
    <w:rsid w:val="00A35E09"/>
    <w:rsid w:val="00A35FE5"/>
    <w:rsid w:val="00A36026"/>
    <w:rsid w:val="00A36033"/>
    <w:rsid w:val="00A36126"/>
    <w:rsid w:val="00A3626D"/>
    <w:rsid w:val="00A36364"/>
    <w:rsid w:val="00A36572"/>
    <w:rsid w:val="00A3681A"/>
    <w:rsid w:val="00A368D0"/>
    <w:rsid w:val="00A3696F"/>
    <w:rsid w:val="00A369B1"/>
    <w:rsid w:val="00A369B3"/>
    <w:rsid w:val="00A369CE"/>
    <w:rsid w:val="00A369D6"/>
    <w:rsid w:val="00A369E8"/>
    <w:rsid w:val="00A36A9D"/>
    <w:rsid w:val="00A36B67"/>
    <w:rsid w:val="00A36F1E"/>
    <w:rsid w:val="00A36FE4"/>
    <w:rsid w:val="00A37195"/>
    <w:rsid w:val="00A371EC"/>
    <w:rsid w:val="00A37203"/>
    <w:rsid w:val="00A372A8"/>
    <w:rsid w:val="00A37422"/>
    <w:rsid w:val="00A37506"/>
    <w:rsid w:val="00A3763A"/>
    <w:rsid w:val="00A37722"/>
    <w:rsid w:val="00A377B7"/>
    <w:rsid w:val="00A3787D"/>
    <w:rsid w:val="00A37982"/>
    <w:rsid w:val="00A379A8"/>
    <w:rsid w:val="00A37C0F"/>
    <w:rsid w:val="00A37D41"/>
    <w:rsid w:val="00A37DE6"/>
    <w:rsid w:val="00A40008"/>
    <w:rsid w:val="00A40081"/>
    <w:rsid w:val="00A400F1"/>
    <w:rsid w:val="00A4018E"/>
    <w:rsid w:val="00A40236"/>
    <w:rsid w:val="00A4023B"/>
    <w:rsid w:val="00A402C7"/>
    <w:rsid w:val="00A40329"/>
    <w:rsid w:val="00A4034B"/>
    <w:rsid w:val="00A40442"/>
    <w:rsid w:val="00A405C8"/>
    <w:rsid w:val="00A405E5"/>
    <w:rsid w:val="00A407B3"/>
    <w:rsid w:val="00A407DA"/>
    <w:rsid w:val="00A40801"/>
    <w:rsid w:val="00A40804"/>
    <w:rsid w:val="00A408B7"/>
    <w:rsid w:val="00A408E0"/>
    <w:rsid w:val="00A40933"/>
    <w:rsid w:val="00A4096A"/>
    <w:rsid w:val="00A409F2"/>
    <w:rsid w:val="00A40A84"/>
    <w:rsid w:val="00A40B3A"/>
    <w:rsid w:val="00A40C30"/>
    <w:rsid w:val="00A40D65"/>
    <w:rsid w:val="00A40D99"/>
    <w:rsid w:val="00A40F54"/>
    <w:rsid w:val="00A40F61"/>
    <w:rsid w:val="00A40FC4"/>
    <w:rsid w:val="00A41091"/>
    <w:rsid w:val="00A412EB"/>
    <w:rsid w:val="00A41387"/>
    <w:rsid w:val="00A41443"/>
    <w:rsid w:val="00A41575"/>
    <w:rsid w:val="00A4157A"/>
    <w:rsid w:val="00A41689"/>
    <w:rsid w:val="00A4178E"/>
    <w:rsid w:val="00A41827"/>
    <w:rsid w:val="00A41859"/>
    <w:rsid w:val="00A41A2E"/>
    <w:rsid w:val="00A41B9B"/>
    <w:rsid w:val="00A41BD4"/>
    <w:rsid w:val="00A41CA5"/>
    <w:rsid w:val="00A41EAB"/>
    <w:rsid w:val="00A41FB9"/>
    <w:rsid w:val="00A41FD0"/>
    <w:rsid w:val="00A42086"/>
    <w:rsid w:val="00A4208D"/>
    <w:rsid w:val="00A420B4"/>
    <w:rsid w:val="00A42251"/>
    <w:rsid w:val="00A422BC"/>
    <w:rsid w:val="00A4238E"/>
    <w:rsid w:val="00A42433"/>
    <w:rsid w:val="00A42471"/>
    <w:rsid w:val="00A425B8"/>
    <w:rsid w:val="00A425DE"/>
    <w:rsid w:val="00A4279B"/>
    <w:rsid w:val="00A427BB"/>
    <w:rsid w:val="00A427C2"/>
    <w:rsid w:val="00A42890"/>
    <w:rsid w:val="00A428ED"/>
    <w:rsid w:val="00A4290D"/>
    <w:rsid w:val="00A42998"/>
    <w:rsid w:val="00A42A2F"/>
    <w:rsid w:val="00A42A6E"/>
    <w:rsid w:val="00A42C79"/>
    <w:rsid w:val="00A42C7A"/>
    <w:rsid w:val="00A42D86"/>
    <w:rsid w:val="00A42E27"/>
    <w:rsid w:val="00A42E49"/>
    <w:rsid w:val="00A42E72"/>
    <w:rsid w:val="00A42FAC"/>
    <w:rsid w:val="00A42FD2"/>
    <w:rsid w:val="00A42FF4"/>
    <w:rsid w:val="00A43051"/>
    <w:rsid w:val="00A43158"/>
    <w:rsid w:val="00A435D0"/>
    <w:rsid w:val="00A43649"/>
    <w:rsid w:val="00A43658"/>
    <w:rsid w:val="00A436E9"/>
    <w:rsid w:val="00A436EF"/>
    <w:rsid w:val="00A436F0"/>
    <w:rsid w:val="00A43785"/>
    <w:rsid w:val="00A43949"/>
    <w:rsid w:val="00A4399C"/>
    <w:rsid w:val="00A43A67"/>
    <w:rsid w:val="00A43B14"/>
    <w:rsid w:val="00A43B9E"/>
    <w:rsid w:val="00A43C3D"/>
    <w:rsid w:val="00A43F77"/>
    <w:rsid w:val="00A4410B"/>
    <w:rsid w:val="00A44176"/>
    <w:rsid w:val="00A441C2"/>
    <w:rsid w:val="00A44326"/>
    <w:rsid w:val="00A443DC"/>
    <w:rsid w:val="00A44431"/>
    <w:rsid w:val="00A444C5"/>
    <w:rsid w:val="00A44538"/>
    <w:rsid w:val="00A44570"/>
    <w:rsid w:val="00A44636"/>
    <w:rsid w:val="00A446F7"/>
    <w:rsid w:val="00A44721"/>
    <w:rsid w:val="00A447D0"/>
    <w:rsid w:val="00A447D1"/>
    <w:rsid w:val="00A44904"/>
    <w:rsid w:val="00A4495C"/>
    <w:rsid w:val="00A44AFC"/>
    <w:rsid w:val="00A44E81"/>
    <w:rsid w:val="00A44F1E"/>
    <w:rsid w:val="00A44F69"/>
    <w:rsid w:val="00A44FDE"/>
    <w:rsid w:val="00A45044"/>
    <w:rsid w:val="00A4510F"/>
    <w:rsid w:val="00A45122"/>
    <w:rsid w:val="00A45345"/>
    <w:rsid w:val="00A45357"/>
    <w:rsid w:val="00A455B4"/>
    <w:rsid w:val="00A456F3"/>
    <w:rsid w:val="00A457C1"/>
    <w:rsid w:val="00A458AC"/>
    <w:rsid w:val="00A458DD"/>
    <w:rsid w:val="00A4595C"/>
    <w:rsid w:val="00A45B09"/>
    <w:rsid w:val="00A45B66"/>
    <w:rsid w:val="00A45BC3"/>
    <w:rsid w:val="00A45C6B"/>
    <w:rsid w:val="00A45C86"/>
    <w:rsid w:val="00A45CAA"/>
    <w:rsid w:val="00A45DA9"/>
    <w:rsid w:val="00A45E0A"/>
    <w:rsid w:val="00A45E18"/>
    <w:rsid w:val="00A45E3E"/>
    <w:rsid w:val="00A45ECA"/>
    <w:rsid w:val="00A45EE6"/>
    <w:rsid w:val="00A45FCB"/>
    <w:rsid w:val="00A45FD1"/>
    <w:rsid w:val="00A46100"/>
    <w:rsid w:val="00A4629A"/>
    <w:rsid w:val="00A46318"/>
    <w:rsid w:val="00A4640D"/>
    <w:rsid w:val="00A4670B"/>
    <w:rsid w:val="00A4680F"/>
    <w:rsid w:val="00A468CD"/>
    <w:rsid w:val="00A46AF0"/>
    <w:rsid w:val="00A46B06"/>
    <w:rsid w:val="00A46B0D"/>
    <w:rsid w:val="00A46B2A"/>
    <w:rsid w:val="00A46B48"/>
    <w:rsid w:val="00A46D50"/>
    <w:rsid w:val="00A46DCB"/>
    <w:rsid w:val="00A46E3D"/>
    <w:rsid w:val="00A46EB5"/>
    <w:rsid w:val="00A46F65"/>
    <w:rsid w:val="00A46F70"/>
    <w:rsid w:val="00A470E1"/>
    <w:rsid w:val="00A470E6"/>
    <w:rsid w:val="00A4714F"/>
    <w:rsid w:val="00A471CE"/>
    <w:rsid w:val="00A471FE"/>
    <w:rsid w:val="00A47318"/>
    <w:rsid w:val="00A47396"/>
    <w:rsid w:val="00A47490"/>
    <w:rsid w:val="00A47703"/>
    <w:rsid w:val="00A477FB"/>
    <w:rsid w:val="00A47880"/>
    <w:rsid w:val="00A47912"/>
    <w:rsid w:val="00A4796D"/>
    <w:rsid w:val="00A479C9"/>
    <w:rsid w:val="00A479FC"/>
    <w:rsid w:val="00A47A73"/>
    <w:rsid w:val="00A47AD4"/>
    <w:rsid w:val="00A47B03"/>
    <w:rsid w:val="00A47B71"/>
    <w:rsid w:val="00A47DDF"/>
    <w:rsid w:val="00A50004"/>
    <w:rsid w:val="00A500C7"/>
    <w:rsid w:val="00A50101"/>
    <w:rsid w:val="00A501F7"/>
    <w:rsid w:val="00A5020E"/>
    <w:rsid w:val="00A5025C"/>
    <w:rsid w:val="00A502A5"/>
    <w:rsid w:val="00A502B4"/>
    <w:rsid w:val="00A5032B"/>
    <w:rsid w:val="00A503D0"/>
    <w:rsid w:val="00A50475"/>
    <w:rsid w:val="00A504DE"/>
    <w:rsid w:val="00A50502"/>
    <w:rsid w:val="00A50633"/>
    <w:rsid w:val="00A50666"/>
    <w:rsid w:val="00A50687"/>
    <w:rsid w:val="00A506A0"/>
    <w:rsid w:val="00A5076F"/>
    <w:rsid w:val="00A5083B"/>
    <w:rsid w:val="00A5084E"/>
    <w:rsid w:val="00A508D6"/>
    <w:rsid w:val="00A50907"/>
    <w:rsid w:val="00A509B5"/>
    <w:rsid w:val="00A50CAC"/>
    <w:rsid w:val="00A50CC3"/>
    <w:rsid w:val="00A50D0A"/>
    <w:rsid w:val="00A50DD3"/>
    <w:rsid w:val="00A50F3A"/>
    <w:rsid w:val="00A50F49"/>
    <w:rsid w:val="00A510A3"/>
    <w:rsid w:val="00A5118C"/>
    <w:rsid w:val="00A511AE"/>
    <w:rsid w:val="00A5126E"/>
    <w:rsid w:val="00A512E4"/>
    <w:rsid w:val="00A5136B"/>
    <w:rsid w:val="00A51425"/>
    <w:rsid w:val="00A5163C"/>
    <w:rsid w:val="00A5165F"/>
    <w:rsid w:val="00A516FC"/>
    <w:rsid w:val="00A51941"/>
    <w:rsid w:val="00A5195B"/>
    <w:rsid w:val="00A51969"/>
    <w:rsid w:val="00A5199F"/>
    <w:rsid w:val="00A519B1"/>
    <w:rsid w:val="00A519D2"/>
    <w:rsid w:val="00A51B2F"/>
    <w:rsid w:val="00A51B3A"/>
    <w:rsid w:val="00A51BBB"/>
    <w:rsid w:val="00A51C7D"/>
    <w:rsid w:val="00A51CB1"/>
    <w:rsid w:val="00A51E36"/>
    <w:rsid w:val="00A51E3D"/>
    <w:rsid w:val="00A51EE2"/>
    <w:rsid w:val="00A51F46"/>
    <w:rsid w:val="00A51FBB"/>
    <w:rsid w:val="00A51FE9"/>
    <w:rsid w:val="00A5201E"/>
    <w:rsid w:val="00A52035"/>
    <w:rsid w:val="00A52066"/>
    <w:rsid w:val="00A52237"/>
    <w:rsid w:val="00A522BC"/>
    <w:rsid w:val="00A52310"/>
    <w:rsid w:val="00A524CE"/>
    <w:rsid w:val="00A52550"/>
    <w:rsid w:val="00A52611"/>
    <w:rsid w:val="00A526B3"/>
    <w:rsid w:val="00A528BC"/>
    <w:rsid w:val="00A5295E"/>
    <w:rsid w:val="00A5297A"/>
    <w:rsid w:val="00A52990"/>
    <w:rsid w:val="00A52A59"/>
    <w:rsid w:val="00A52A5D"/>
    <w:rsid w:val="00A52A87"/>
    <w:rsid w:val="00A52BAE"/>
    <w:rsid w:val="00A52BEC"/>
    <w:rsid w:val="00A52BFD"/>
    <w:rsid w:val="00A52C53"/>
    <w:rsid w:val="00A52D6B"/>
    <w:rsid w:val="00A52DC4"/>
    <w:rsid w:val="00A52E49"/>
    <w:rsid w:val="00A52E9D"/>
    <w:rsid w:val="00A52ED8"/>
    <w:rsid w:val="00A52F3D"/>
    <w:rsid w:val="00A52F64"/>
    <w:rsid w:val="00A5313C"/>
    <w:rsid w:val="00A53195"/>
    <w:rsid w:val="00A531E5"/>
    <w:rsid w:val="00A532DB"/>
    <w:rsid w:val="00A533F2"/>
    <w:rsid w:val="00A534EB"/>
    <w:rsid w:val="00A5350E"/>
    <w:rsid w:val="00A53562"/>
    <w:rsid w:val="00A53596"/>
    <w:rsid w:val="00A535D6"/>
    <w:rsid w:val="00A5378C"/>
    <w:rsid w:val="00A537D9"/>
    <w:rsid w:val="00A53893"/>
    <w:rsid w:val="00A538C2"/>
    <w:rsid w:val="00A539AC"/>
    <w:rsid w:val="00A53A15"/>
    <w:rsid w:val="00A53A3A"/>
    <w:rsid w:val="00A53A57"/>
    <w:rsid w:val="00A53A89"/>
    <w:rsid w:val="00A53ABB"/>
    <w:rsid w:val="00A53AFD"/>
    <w:rsid w:val="00A53B2C"/>
    <w:rsid w:val="00A53B59"/>
    <w:rsid w:val="00A53B8D"/>
    <w:rsid w:val="00A53C54"/>
    <w:rsid w:val="00A53CE4"/>
    <w:rsid w:val="00A53E29"/>
    <w:rsid w:val="00A53ECD"/>
    <w:rsid w:val="00A53F08"/>
    <w:rsid w:val="00A53F6A"/>
    <w:rsid w:val="00A53FF0"/>
    <w:rsid w:val="00A540FC"/>
    <w:rsid w:val="00A5413B"/>
    <w:rsid w:val="00A54152"/>
    <w:rsid w:val="00A54182"/>
    <w:rsid w:val="00A541D8"/>
    <w:rsid w:val="00A5445C"/>
    <w:rsid w:val="00A544E6"/>
    <w:rsid w:val="00A545B4"/>
    <w:rsid w:val="00A54765"/>
    <w:rsid w:val="00A547FC"/>
    <w:rsid w:val="00A54869"/>
    <w:rsid w:val="00A5490E"/>
    <w:rsid w:val="00A549D2"/>
    <w:rsid w:val="00A54A24"/>
    <w:rsid w:val="00A54BD1"/>
    <w:rsid w:val="00A54C5B"/>
    <w:rsid w:val="00A54EAD"/>
    <w:rsid w:val="00A54FA4"/>
    <w:rsid w:val="00A54FB5"/>
    <w:rsid w:val="00A54FE8"/>
    <w:rsid w:val="00A55063"/>
    <w:rsid w:val="00A5509A"/>
    <w:rsid w:val="00A552B7"/>
    <w:rsid w:val="00A55322"/>
    <w:rsid w:val="00A5532C"/>
    <w:rsid w:val="00A5536B"/>
    <w:rsid w:val="00A553A1"/>
    <w:rsid w:val="00A553F0"/>
    <w:rsid w:val="00A554FD"/>
    <w:rsid w:val="00A55541"/>
    <w:rsid w:val="00A555EB"/>
    <w:rsid w:val="00A55626"/>
    <w:rsid w:val="00A556C4"/>
    <w:rsid w:val="00A55758"/>
    <w:rsid w:val="00A557E7"/>
    <w:rsid w:val="00A557FE"/>
    <w:rsid w:val="00A558FE"/>
    <w:rsid w:val="00A559BF"/>
    <w:rsid w:val="00A55ACD"/>
    <w:rsid w:val="00A55B1C"/>
    <w:rsid w:val="00A55B27"/>
    <w:rsid w:val="00A55B2F"/>
    <w:rsid w:val="00A55C59"/>
    <w:rsid w:val="00A55CA0"/>
    <w:rsid w:val="00A55D18"/>
    <w:rsid w:val="00A55D46"/>
    <w:rsid w:val="00A55DA4"/>
    <w:rsid w:val="00A55F49"/>
    <w:rsid w:val="00A5601D"/>
    <w:rsid w:val="00A56039"/>
    <w:rsid w:val="00A5605C"/>
    <w:rsid w:val="00A56129"/>
    <w:rsid w:val="00A56159"/>
    <w:rsid w:val="00A561AB"/>
    <w:rsid w:val="00A561D8"/>
    <w:rsid w:val="00A56307"/>
    <w:rsid w:val="00A56353"/>
    <w:rsid w:val="00A56366"/>
    <w:rsid w:val="00A5646A"/>
    <w:rsid w:val="00A56501"/>
    <w:rsid w:val="00A565AB"/>
    <w:rsid w:val="00A566B1"/>
    <w:rsid w:val="00A5682D"/>
    <w:rsid w:val="00A569C0"/>
    <w:rsid w:val="00A569D1"/>
    <w:rsid w:val="00A56A82"/>
    <w:rsid w:val="00A56A9A"/>
    <w:rsid w:val="00A56B07"/>
    <w:rsid w:val="00A56B76"/>
    <w:rsid w:val="00A56BAB"/>
    <w:rsid w:val="00A56BD6"/>
    <w:rsid w:val="00A57100"/>
    <w:rsid w:val="00A57421"/>
    <w:rsid w:val="00A574C2"/>
    <w:rsid w:val="00A574EF"/>
    <w:rsid w:val="00A574F8"/>
    <w:rsid w:val="00A5759C"/>
    <w:rsid w:val="00A575D4"/>
    <w:rsid w:val="00A57644"/>
    <w:rsid w:val="00A57707"/>
    <w:rsid w:val="00A5782E"/>
    <w:rsid w:val="00A578AC"/>
    <w:rsid w:val="00A57958"/>
    <w:rsid w:val="00A579A9"/>
    <w:rsid w:val="00A57A3D"/>
    <w:rsid w:val="00A57A4A"/>
    <w:rsid w:val="00A57BAA"/>
    <w:rsid w:val="00A57BD3"/>
    <w:rsid w:val="00A57BEA"/>
    <w:rsid w:val="00A57BFB"/>
    <w:rsid w:val="00A57C88"/>
    <w:rsid w:val="00A57CEB"/>
    <w:rsid w:val="00A57E54"/>
    <w:rsid w:val="00A57E60"/>
    <w:rsid w:val="00A57F97"/>
    <w:rsid w:val="00A600BE"/>
    <w:rsid w:val="00A60256"/>
    <w:rsid w:val="00A603BF"/>
    <w:rsid w:val="00A603E2"/>
    <w:rsid w:val="00A603EA"/>
    <w:rsid w:val="00A60439"/>
    <w:rsid w:val="00A60747"/>
    <w:rsid w:val="00A607B4"/>
    <w:rsid w:val="00A60866"/>
    <w:rsid w:val="00A6099B"/>
    <w:rsid w:val="00A60A56"/>
    <w:rsid w:val="00A60A7F"/>
    <w:rsid w:val="00A60B07"/>
    <w:rsid w:val="00A60B2E"/>
    <w:rsid w:val="00A60B51"/>
    <w:rsid w:val="00A60B84"/>
    <w:rsid w:val="00A60BC6"/>
    <w:rsid w:val="00A60CBC"/>
    <w:rsid w:val="00A60CC5"/>
    <w:rsid w:val="00A60D78"/>
    <w:rsid w:val="00A60EF0"/>
    <w:rsid w:val="00A60F74"/>
    <w:rsid w:val="00A610D9"/>
    <w:rsid w:val="00A6111C"/>
    <w:rsid w:val="00A61197"/>
    <w:rsid w:val="00A611B0"/>
    <w:rsid w:val="00A611F4"/>
    <w:rsid w:val="00A612A4"/>
    <w:rsid w:val="00A6130C"/>
    <w:rsid w:val="00A61323"/>
    <w:rsid w:val="00A61362"/>
    <w:rsid w:val="00A6137E"/>
    <w:rsid w:val="00A613F9"/>
    <w:rsid w:val="00A61428"/>
    <w:rsid w:val="00A61462"/>
    <w:rsid w:val="00A61513"/>
    <w:rsid w:val="00A6152E"/>
    <w:rsid w:val="00A6156D"/>
    <w:rsid w:val="00A6163B"/>
    <w:rsid w:val="00A6170B"/>
    <w:rsid w:val="00A6177E"/>
    <w:rsid w:val="00A617E7"/>
    <w:rsid w:val="00A619DE"/>
    <w:rsid w:val="00A61AB2"/>
    <w:rsid w:val="00A61B12"/>
    <w:rsid w:val="00A61D46"/>
    <w:rsid w:val="00A61D9C"/>
    <w:rsid w:val="00A61DE5"/>
    <w:rsid w:val="00A61DE7"/>
    <w:rsid w:val="00A61EFC"/>
    <w:rsid w:val="00A61F5B"/>
    <w:rsid w:val="00A620DE"/>
    <w:rsid w:val="00A621C0"/>
    <w:rsid w:val="00A621EA"/>
    <w:rsid w:val="00A6220A"/>
    <w:rsid w:val="00A62272"/>
    <w:rsid w:val="00A623C1"/>
    <w:rsid w:val="00A6241C"/>
    <w:rsid w:val="00A625A8"/>
    <w:rsid w:val="00A625EC"/>
    <w:rsid w:val="00A62645"/>
    <w:rsid w:val="00A6275B"/>
    <w:rsid w:val="00A6286E"/>
    <w:rsid w:val="00A6294A"/>
    <w:rsid w:val="00A629C7"/>
    <w:rsid w:val="00A62A0A"/>
    <w:rsid w:val="00A62A23"/>
    <w:rsid w:val="00A62C8E"/>
    <w:rsid w:val="00A62CA6"/>
    <w:rsid w:val="00A62DFD"/>
    <w:rsid w:val="00A6307D"/>
    <w:rsid w:val="00A6316E"/>
    <w:rsid w:val="00A6330D"/>
    <w:rsid w:val="00A63324"/>
    <w:rsid w:val="00A633E4"/>
    <w:rsid w:val="00A6343A"/>
    <w:rsid w:val="00A634FB"/>
    <w:rsid w:val="00A635D5"/>
    <w:rsid w:val="00A636A9"/>
    <w:rsid w:val="00A636BD"/>
    <w:rsid w:val="00A636C4"/>
    <w:rsid w:val="00A638E1"/>
    <w:rsid w:val="00A638F2"/>
    <w:rsid w:val="00A639E0"/>
    <w:rsid w:val="00A63B3E"/>
    <w:rsid w:val="00A63BB1"/>
    <w:rsid w:val="00A63BD6"/>
    <w:rsid w:val="00A63BFE"/>
    <w:rsid w:val="00A63C1E"/>
    <w:rsid w:val="00A63DD5"/>
    <w:rsid w:val="00A63DF6"/>
    <w:rsid w:val="00A63DFE"/>
    <w:rsid w:val="00A63E55"/>
    <w:rsid w:val="00A63FAF"/>
    <w:rsid w:val="00A64023"/>
    <w:rsid w:val="00A64226"/>
    <w:rsid w:val="00A64361"/>
    <w:rsid w:val="00A6440E"/>
    <w:rsid w:val="00A64465"/>
    <w:rsid w:val="00A64495"/>
    <w:rsid w:val="00A64524"/>
    <w:rsid w:val="00A64606"/>
    <w:rsid w:val="00A6465C"/>
    <w:rsid w:val="00A64664"/>
    <w:rsid w:val="00A64684"/>
    <w:rsid w:val="00A646D2"/>
    <w:rsid w:val="00A647EE"/>
    <w:rsid w:val="00A64881"/>
    <w:rsid w:val="00A648D8"/>
    <w:rsid w:val="00A64988"/>
    <w:rsid w:val="00A649FD"/>
    <w:rsid w:val="00A64A16"/>
    <w:rsid w:val="00A64AAA"/>
    <w:rsid w:val="00A64AAB"/>
    <w:rsid w:val="00A64ADA"/>
    <w:rsid w:val="00A64B2A"/>
    <w:rsid w:val="00A64B98"/>
    <w:rsid w:val="00A64BDC"/>
    <w:rsid w:val="00A64CD2"/>
    <w:rsid w:val="00A64E97"/>
    <w:rsid w:val="00A65037"/>
    <w:rsid w:val="00A651AE"/>
    <w:rsid w:val="00A65323"/>
    <w:rsid w:val="00A653D4"/>
    <w:rsid w:val="00A65498"/>
    <w:rsid w:val="00A65570"/>
    <w:rsid w:val="00A655E8"/>
    <w:rsid w:val="00A65634"/>
    <w:rsid w:val="00A65682"/>
    <w:rsid w:val="00A6574E"/>
    <w:rsid w:val="00A6575D"/>
    <w:rsid w:val="00A65891"/>
    <w:rsid w:val="00A659FA"/>
    <w:rsid w:val="00A65B39"/>
    <w:rsid w:val="00A65DAC"/>
    <w:rsid w:val="00A65FFA"/>
    <w:rsid w:val="00A66000"/>
    <w:rsid w:val="00A66014"/>
    <w:rsid w:val="00A66115"/>
    <w:rsid w:val="00A66135"/>
    <w:rsid w:val="00A66198"/>
    <w:rsid w:val="00A661BD"/>
    <w:rsid w:val="00A661E8"/>
    <w:rsid w:val="00A6628F"/>
    <w:rsid w:val="00A66295"/>
    <w:rsid w:val="00A66311"/>
    <w:rsid w:val="00A66335"/>
    <w:rsid w:val="00A66375"/>
    <w:rsid w:val="00A66520"/>
    <w:rsid w:val="00A66547"/>
    <w:rsid w:val="00A66575"/>
    <w:rsid w:val="00A665BB"/>
    <w:rsid w:val="00A665C7"/>
    <w:rsid w:val="00A665F6"/>
    <w:rsid w:val="00A6660E"/>
    <w:rsid w:val="00A66643"/>
    <w:rsid w:val="00A6668C"/>
    <w:rsid w:val="00A667AB"/>
    <w:rsid w:val="00A667C3"/>
    <w:rsid w:val="00A66846"/>
    <w:rsid w:val="00A66850"/>
    <w:rsid w:val="00A66856"/>
    <w:rsid w:val="00A66892"/>
    <w:rsid w:val="00A6691C"/>
    <w:rsid w:val="00A6691D"/>
    <w:rsid w:val="00A669E4"/>
    <w:rsid w:val="00A66A41"/>
    <w:rsid w:val="00A66AE4"/>
    <w:rsid w:val="00A66B56"/>
    <w:rsid w:val="00A66BAD"/>
    <w:rsid w:val="00A66BC1"/>
    <w:rsid w:val="00A66CD1"/>
    <w:rsid w:val="00A66CE0"/>
    <w:rsid w:val="00A66CF9"/>
    <w:rsid w:val="00A66D6F"/>
    <w:rsid w:val="00A66E59"/>
    <w:rsid w:val="00A66E77"/>
    <w:rsid w:val="00A66E92"/>
    <w:rsid w:val="00A66EDB"/>
    <w:rsid w:val="00A66F66"/>
    <w:rsid w:val="00A66F97"/>
    <w:rsid w:val="00A66FA1"/>
    <w:rsid w:val="00A66FC0"/>
    <w:rsid w:val="00A6700E"/>
    <w:rsid w:val="00A67015"/>
    <w:rsid w:val="00A67048"/>
    <w:rsid w:val="00A67065"/>
    <w:rsid w:val="00A67066"/>
    <w:rsid w:val="00A67067"/>
    <w:rsid w:val="00A67181"/>
    <w:rsid w:val="00A67198"/>
    <w:rsid w:val="00A67497"/>
    <w:rsid w:val="00A6764D"/>
    <w:rsid w:val="00A67669"/>
    <w:rsid w:val="00A67832"/>
    <w:rsid w:val="00A6788C"/>
    <w:rsid w:val="00A67A2C"/>
    <w:rsid w:val="00A67A35"/>
    <w:rsid w:val="00A67C10"/>
    <w:rsid w:val="00A67C4B"/>
    <w:rsid w:val="00A67C8D"/>
    <w:rsid w:val="00A67CE0"/>
    <w:rsid w:val="00A67D47"/>
    <w:rsid w:val="00A67EE8"/>
    <w:rsid w:val="00A67FCF"/>
    <w:rsid w:val="00A67FF5"/>
    <w:rsid w:val="00A7006A"/>
    <w:rsid w:val="00A701DC"/>
    <w:rsid w:val="00A70216"/>
    <w:rsid w:val="00A7048F"/>
    <w:rsid w:val="00A704C4"/>
    <w:rsid w:val="00A704E4"/>
    <w:rsid w:val="00A7051E"/>
    <w:rsid w:val="00A705B8"/>
    <w:rsid w:val="00A70641"/>
    <w:rsid w:val="00A70863"/>
    <w:rsid w:val="00A70878"/>
    <w:rsid w:val="00A70885"/>
    <w:rsid w:val="00A70A08"/>
    <w:rsid w:val="00A70B84"/>
    <w:rsid w:val="00A70BB1"/>
    <w:rsid w:val="00A70BDE"/>
    <w:rsid w:val="00A70C0E"/>
    <w:rsid w:val="00A70E67"/>
    <w:rsid w:val="00A70E81"/>
    <w:rsid w:val="00A70E9C"/>
    <w:rsid w:val="00A70F18"/>
    <w:rsid w:val="00A70FA9"/>
    <w:rsid w:val="00A70FBB"/>
    <w:rsid w:val="00A70FEF"/>
    <w:rsid w:val="00A71041"/>
    <w:rsid w:val="00A7106B"/>
    <w:rsid w:val="00A71380"/>
    <w:rsid w:val="00A7138A"/>
    <w:rsid w:val="00A713A3"/>
    <w:rsid w:val="00A713CE"/>
    <w:rsid w:val="00A71462"/>
    <w:rsid w:val="00A714BA"/>
    <w:rsid w:val="00A714DC"/>
    <w:rsid w:val="00A714E4"/>
    <w:rsid w:val="00A715B3"/>
    <w:rsid w:val="00A71688"/>
    <w:rsid w:val="00A716DD"/>
    <w:rsid w:val="00A71738"/>
    <w:rsid w:val="00A71975"/>
    <w:rsid w:val="00A719CF"/>
    <w:rsid w:val="00A71A25"/>
    <w:rsid w:val="00A71A9C"/>
    <w:rsid w:val="00A71ABE"/>
    <w:rsid w:val="00A71B8C"/>
    <w:rsid w:val="00A71B8F"/>
    <w:rsid w:val="00A71BD7"/>
    <w:rsid w:val="00A71C8E"/>
    <w:rsid w:val="00A71CC7"/>
    <w:rsid w:val="00A71CD2"/>
    <w:rsid w:val="00A71CE4"/>
    <w:rsid w:val="00A71D1D"/>
    <w:rsid w:val="00A71D6E"/>
    <w:rsid w:val="00A71DCE"/>
    <w:rsid w:val="00A71DF2"/>
    <w:rsid w:val="00A71E37"/>
    <w:rsid w:val="00A71E4D"/>
    <w:rsid w:val="00A71EBF"/>
    <w:rsid w:val="00A71F8C"/>
    <w:rsid w:val="00A72013"/>
    <w:rsid w:val="00A720FC"/>
    <w:rsid w:val="00A721E7"/>
    <w:rsid w:val="00A721FC"/>
    <w:rsid w:val="00A72253"/>
    <w:rsid w:val="00A7225C"/>
    <w:rsid w:val="00A723C8"/>
    <w:rsid w:val="00A723D8"/>
    <w:rsid w:val="00A724BE"/>
    <w:rsid w:val="00A724FA"/>
    <w:rsid w:val="00A725AF"/>
    <w:rsid w:val="00A725C9"/>
    <w:rsid w:val="00A72636"/>
    <w:rsid w:val="00A72771"/>
    <w:rsid w:val="00A72908"/>
    <w:rsid w:val="00A72A50"/>
    <w:rsid w:val="00A72B43"/>
    <w:rsid w:val="00A72B81"/>
    <w:rsid w:val="00A72BC8"/>
    <w:rsid w:val="00A72C19"/>
    <w:rsid w:val="00A72C87"/>
    <w:rsid w:val="00A72D41"/>
    <w:rsid w:val="00A72FF3"/>
    <w:rsid w:val="00A73040"/>
    <w:rsid w:val="00A7317A"/>
    <w:rsid w:val="00A7321E"/>
    <w:rsid w:val="00A7324E"/>
    <w:rsid w:val="00A73265"/>
    <w:rsid w:val="00A734DF"/>
    <w:rsid w:val="00A73745"/>
    <w:rsid w:val="00A7374A"/>
    <w:rsid w:val="00A73759"/>
    <w:rsid w:val="00A737AC"/>
    <w:rsid w:val="00A73887"/>
    <w:rsid w:val="00A7393F"/>
    <w:rsid w:val="00A739CA"/>
    <w:rsid w:val="00A739D4"/>
    <w:rsid w:val="00A739D5"/>
    <w:rsid w:val="00A73A15"/>
    <w:rsid w:val="00A73A2D"/>
    <w:rsid w:val="00A73A5C"/>
    <w:rsid w:val="00A73A64"/>
    <w:rsid w:val="00A73B18"/>
    <w:rsid w:val="00A73D2E"/>
    <w:rsid w:val="00A73DD1"/>
    <w:rsid w:val="00A73F3F"/>
    <w:rsid w:val="00A74089"/>
    <w:rsid w:val="00A740EF"/>
    <w:rsid w:val="00A741A6"/>
    <w:rsid w:val="00A7426B"/>
    <w:rsid w:val="00A744B6"/>
    <w:rsid w:val="00A74514"/>
    <w:rsid w:val="00A745D8"/>
    <w:rsid w:val="00A745F5"/>
    <w:rsid w:val="00A74710"/>
    <w:rsid w:val="00A74715"/>
    <w:rsid w:val="00A74767"/>
    <w:rsid w:val="00A747CC"/>
    <w:rsid w:val="00A74818"/>
    <w:rsid w:val="00A74823"/>
    <w:rsid w:val="00A74849"/>
    <w:rsid w:val="00A74A29"/>
    <w:rsid w:val="00A74AC0"/>
    <w:rsid w:val="00A74AF2"/>
    <w:rsid w:val="00A74B87"/>
    <w:rsid w:val="00A74D92"/>
    <w:rsid w:val="00A74E56"/>
    <w:rsid w:val="00A74E7E"/>
    <w:rsid w:val="00A74ED2"/>
    <w:rsid w:val="00A74FE8"/>
    <w:rsid w:val="00A7523A"/>
    <w:rsid w:val="00A752BE"/>
    <w:rsid w:val="00A75390"/>
    <w:rsid w:val="00A7539D"/>
    <w:rsid w:val="00A75542"/>
    <w:rsid w:val="00A7556A"/>
    <w:rsid w:val="00A755C9"/>
    <w:rsid w:val="00A7565B"/>
    <w:rsid w:val="00A75677"/>
    <w:rsid w:val="00A756A4"/>
    <w:rsid w:val="00A757EA"/>
    <w:rsid w:val="00A759DF"/>
    <w:rsid w:val="00A75A48"/>
    <w:rsid w:val="00A75A6A"/>
    <w:rsid w:val="00A75A7B"/>
    <w:rsid w:val="00A75A8F"/>
    <w:rsid w:val="00A75CAA"/>
    <w:rsid w:val="00A75CED"/>
    <w:rsid w:val="00A75D26"/>
    <w:rsid w:val="00A75D60"/>
    <w:rsid w:val="00A75D6B"/>
    <w:rsid w:val="00A75D97"/>
    <w:rsid w:val="00A75F53"/>
    <w:rsid w:val="00A75F80"/>
    <w:rsid w:val="00A75FCC"/>
    <w:rsid w:val="00A760C6"/>
    <w:rsid w:val="00A7628D"/>
    <w:rsid w:val="00A76526"/>
    <w:rsid w:val="00A765B3"/>
    <w:rsid w:val="00A765BB"/>
    <w:rsid w:val="00A765CD"/>
    <w:rsid w:val="00A7660A"/>
    <w:rsid w:val="00A7670F"/>
    <w:rsid w:val="00A76724"/>
    <w:rsid w:val="00A7672D"/>
    <w:rsid w:val="00A76919"/>
    <w:rsid w:val="00A76B67"/>
    <w:rsid w:val="00A76B76"/>
    <w:rsid w:val="00A76B9F"/>
    <w:rsid w:val="00A76BBC"/>
    <w:rsid w:val="00A76CC3"/>
    <w:rsid w:val="00A76D8C"/>
    <w:rsid w:val="00A76DC0"/>
    <w:rsid w:val="00A76E68"/>
    <w:rsid w:val="00A76F0A"/>
    <w:rsid w:val="00A76F46"/>
    <w:rsid w:val="00A77010"/>
    <w:rsid w:val="00A770B2"/>
    <w:rsid w:val="00A77198"/>
    <w:rsid w:val="00A7726E"/>
    <w:rsid w:val="00A772BC"/>
    <w:rsid w:val="00A773DC"/>
    <w:rsid w:val="00A77431"/>
    <w:rsid w:val="00A774AD"/>
    <w:rsid w:val="00A77599"/>
    <w:rsid w:val="00A775F0"/>
    <w:rsid w:val="00A776B6"/>
    <w:rsid w:val="00A77761"/>
    <w:rsid w:val="00A777DB"/>
    <w:rsid w:val="00A777DD"/>
    <w:rsid w:val="00A77851"/>
    <w:rsid w:val="00A7793A"/>
    <w:rsid w:val="00A779F6"/>
    <w:rsid w:val="00A77AD0"/>
    <w:rsid w:val="00A77C35"/>
    <w:rsid w:val="00A77C53"/>
    <w:rsid w:val="00A77C67"/>
    <w:rsid w:val="00A77CD0"/>
    <w:rsid w:val="00A77CE1"/>
    <w:rsid w:val="00A77CEA"/>
    <w:rsid w:val="00A77D03"/>
    <w:rsid w:val="00A77D36"/>
    <w:rsid w:val="00A77E17"/>
    <w:rsid w:val="00A77F61"/>
    <w:rsid w:val="00A77F6B"/>
    <w:rsid w:val="00A80005"/>
    <w:rsid w:val="00A80036"/>
    <w:rsid w:val="00A80080"/>
    <w:rsid w:val="00A800EA"/>
    <w:rsid w:val="00A80189"/>
    <w:rsid w:val="00A80262"/>
    <w:rsid w:val="00A80357"/>
    <w:rsid w:val="00A80432"/>
    <w:rsid w:val="00A80435"/>
    <w:rsid w:val="00A80548"/>
    <w:rsid w:val="00A80592"/>
    <w:rsid w:val="00A805B4"/>
    <w:rsid w:val="00A805BB"/>
    <w:rsid w:val="00A80638"/>
    <w:rsid w:val="00A80706"/>
    <w:rsid w:val="00A80822"/>
    <w:rsid w:val="00A80828"/>
    <w:rsid w:val="00A80904"/>
    <w:rsid w:val="00A8098F"/>
    <w:rsid w:val="00A809B8"/>
    <w:rsid w:val="00A809FC"/>
    <w:rsid w:val="00A80A35"/>
    <w:rsid w:val="00A80AC0"/>
    <w:rsid w:val="00A80BE1"/>
    <w:rsid w:val="00A80C77"/>
    <w:rsid w:val="00A80CD6"/>
    <w:rsid w:val="00A80DCD"/>
    <w:rsid w:val="00A80E63"/>
    <w:rsid w:val="00A80E69"/>
    <w:rsid w:val="00A8109A"/>
    <w:rsid w:val="00A810EB"/>
    <w:rsid w:val="00A812B0"/>
    <w:rsid w:val="00A81307"/>
    <w:rsid w:val="00A81309"/>
    <w:rsid w:val="00A8151D"/>
    <w:rsid w:val="00A815D6"/>
    <w:rsid w:val="00A816D1"/>
    <w:rsid w:val="00A816E4"/>
    <w:rsid w:val="00A81725"/>
    <w:rsid w:val="00A8179E"/>
    <w:rsid w:val="00A817B4"/>
    <w:rsid w:val="00A81841"/>
    <w:rsid w:val="00A818BF"/>
    <w:rsid w:val="00A8192C"/>
    <w:rsid w:val="00A8192F"/>
    <w:rsid w:val="00A819B9"/>
    <w:rsid w:val="00A81A4A"/>
    <w:rsid w:val="00A81AEC"/>
    <w:rsid w:val="00A81C2E"/>
    <w:rsid w:val="00A81CBD"/>
    <w:rsid w:val="00A81E02"/>
    <w:rsid w:val="00A81E70"/>
    <w:rsid w:val="00A81EBA"/>
    <w:rsid w:val="00A81ED0"/>
    <w:rsid w:val="00A81EDA"/>
    <w:rsid w:val="00A81EFA"/>
    <w:rsid w:val="00A81F3F"/>
    <w:rsid w:val="00A81F80"/>
    <w:rsid w:val="00A81F89"/>
    <w:rsid w:val="00A8221A"/>
    <w:rsid w:val="00A822F7"/>
    <w:rsid w:val="00A82367"/>
    <w:rsid w:val="00A8241F"/>
    <w:rsid w:val="00A82458"/>
    <w:rsid w:val="00A824B4"/>
    <w:rsid w:val="00A82597"/>
    <w:rsid w:val="00A82665"/>
    <w:rsid w:val="00A82749"/>
    <w:rsid w:val="00A82832"/>
    <w:rsid w:val="00A82924"/>
    <w:rsid w:val="00A82954"/>
    <w:rsid w:val="00A8299C"/>
    <w:rsid w:val="00A82B0F"/>
    <w:rsid w:val="00A82B54"/>
    <w:rsid w:val="00A82E26"/>
    <w:rsid w:val="00A82E5C"/>
    <w:rsid w:val="00A82ED4"/>
    <w:rsid w:val="00A82F1E"/>
    <w:rsid w:val="00A83061"/>
    <w:rsid w:val="00A830BB"/>
    <w:rsid w:val="00A8318F"/>
    <w:rsid w:val="00A831C8"/>
    <w:rsid w:val="00A831F5"/>
    <w:rsid w:val="00A832B0"/>
    <w:rsid w:val="00A83534"/>
    <w:rsid w:val="00A83546"/>
    <w:rsid w:val="00A8355B"/>
    <w:rsid w:val="00A83578"/>
    <w:rsid w:val="00A83591"/>
    <w:rsid w:val="00A8362C"/>
    <w:rsid w:val="00A83655"/>
    <w:rsid w:val="00A83672"/>
    <w:rsid w:val="00A836A3"/>
    <w:rsid w:val="00A83731"/>
    <w:rsid w:val="00A83788"/>
    <w:rsid w:val="00A839B5"/>
    <w:rsid w:val="00A83A72"/>
    <w:rsid w:val="00A83AE9"/>
    <w:rsid w:val="00A83B14"/>
    <w:rsid w:val="00A83BA6"/>
    <w:rsid w:val="00A83C17"/>
    <w:rsid w:val="00A83CEF"/>
    <w:rsid w:val="00A83E17"/>
    <w:rsid w:val="00A83E56"/>
    <w:rsid w:val="00A83E73"/>
    <w:rsid w:val="00A83EB5"/>
    <w:rsid w:val="00A83F08"/>
    <w:rsid w:val="00A83F55"/>
    <w:rsid w:val="00A84094"/>
    <w:rsid w:val="00A840CD"/>
    <w:rsid w:val="00A84114"/>
    <w:rsid w:val="00A842AB"/>
    <w:rsid w:val="00A842B0"/>
    <w:rsid w:val="00A844E2"/>
    <w:rsid w:val="00A8456C"/>
    <w:rsid w:val="00A847A0"/>
    <w:rsid w:val="00A847BE"/>
    <w:rsid w:val="00A847FF"/>
    <w:rsid w:val="00A8488B"/>
    <w:rsid w:val="00A8488E"/>
    <w:rsid w:val="00A8498C"/>
    <w:rsid w:val="00A84A13"/>
    <w:rsid w:val="00A84A24"/>
    <w:rsid w:val="00A84A8E"/>
    <w:rsid w:val="00A84AC5"/>
    <w:rsid w:val="00A84B2A"/>
    <w:rsid w:val="00A84B62"/>
    <w:rsid w:val="00A84BC1"/>
    <w:rsid w:val="00A84BF9"/>
    <w:rsid w:val="00A84CB6"/>
    <w:rsid w:val="00A84D9B"/>
    <w:rsid w:val="00A84DF4"/>
    <w:rsid w:val="00A84DFA"/>
    <w:rsid w:val="00A84E07"/>
    <w:rsid w:val="00A84F6B"/>
    <w:rsid w:val="00A8516E"/>
    <w:rsid w:val="00A853DC"/>
    <w:rsid w:val="00A85525"/>
    <w:rsid w:val="00A8573E"/>
    <w:rsid w:val="00A85750"/>
    <w:rsid w:val="00A85754"/>
    <w:rsid w:val="00A85824"/>
    <w:rsid w:val="00A85867"/>
    <w:rsid w:val="00A8588F"/>
    <w:rsid w:val="00A858B6"/>
    <w:rsid w:val="00A858DA"/>
    <w:rsid w:val="00A8591A"/>
    <w:rsid w:val="00A85C2F"/>
    <w:rsid w:val="00A85C5B"/>
    <w:rsid w:val="00A85CDE"/>
    <w:rsid w:val="00A85CFF"/>
    <w:rsid w:val="00A85D8D"/>
    <w:rsid w:val="00A85DFD"/>
    <w:rsid w:val="00A85EEF"/>
    <w:rsid w:val="00A85F77"/>
    <w:rsid w:val="00A85F92"/>
    <w:rsid w:val="00A85FF6"/>
    <w:rsid w:val="00A86042"/>
    <w:rsid w:val="00A860D2"/>
    <w:rsid w:val="00A861C1"/>
    <w:rsid w:val="00A861C3"/>
    <w:rsid w:val="00A862C8"/>
    <w:rsid w:val="00A86357"/>
    <w:rsid w:val="00A864DA"/>
    <w:rsid w:val="00A86553"/>
    <w:rsid w:val="00A866CF"/>
    <w:rsid w:val="00A86764"/>
    <w:rsid w:val="00A867FE"/>
    <w:rsid w:val="00A868A2"/>
    <w:rsid w:val="00A869C2"/>
    <w:rsid w:val="00A86A12"/>
    <w:rsid w:val="00A86A34"/>
    <w:rsid w:val="00A86A94"/>
    <w:rsid w:val="00A86CED"/>
    <w:rsid w:val="00A86E65"/>
    <w:rsid w:val="00A86F4F"/>
    <w:rsid w:val="00A87060"/>
    <w:rsid w:val="00A870C7"/>
    <w:rsid w:val="00A870FE"/>
    <w:rsid w:val="00A87132"/>
    <w:rsid w:val="00A871AE"/>
    <w:rsid w:val="00A87559"/>
    <w:rsid w:val="00A875EE"/>
    <w:rsid w:val="00A876EB"/>
    <w:rsid w:val="00A87722"/>
    <w:rsid w:val="00A877AA"/>
    <w:rsid w:val="00A877DD"/>
    <w:rsid w:val="00A877FD"/>
    <w:rsid w:val="00A878BD"/>
    <w:rsid w:val="00A87967"/>
    <w:rsid w:val="00A87AA9"/>
    <w:rsid w:val="00A87AB6"/>
    <w:rsid w:val="00A87ACB"/>
    <w:rsid w:val="00A87B12"/>
    <w:rsid w:val="00A87B7B"/>
    <w:rsid w:val="00A87BBF"/>
    <w:rsid w:val="00A87C3E"/>
    <w:rsid w:val="00A87D9C"/>
    <w:rsid w:val="00A87EE1"/>
    <w:rsid w:val="00A87F18"/>
    <w:rsid w:val="00A87F85"/>
    <w:rsid w:val="00A87F92"/>
    <w:rsid w:val="00A87FDF"/>
    <w:rsid w:val="00A90064"/>
    <w:rsid w:val="00A90106"/>
    <w:rsid w:val="00A90181"/>
    <w:rsid w:val="00A901F3"/>
    <w:rsid w:val="00A9030F"/>
    <w:rsid w:val="00A9033D"/>
    <w:rsid w:val="00A903A0"/>
    <w:rsid w:val="00A904B6"/>
    <w:rsid w:val="00A90525"/>
    <w:rsid w:val="00A907AB"/>
    <w:rsid w:val="00A90813"/>
    <w:rsid w:val="00A909E7"/>
    <w:rsid w:val="00A90BD0"/>
    <w:rsid w:val="00A90BDF"/>
    <w:rsid w:val="00A90BF3"/>
    <w:rsid w:val="00A90CB0"/>
    <w:rsid w:val="00A90CB5"/>
    <w:rsid w:val="00A90D45"/>
    <w:rsid w:val="00A90F1C"/>
    <w:rsid w:val="00A90F41"/>
    <w:rsid w:val="00A90FF3"/>
    <w:rsid w:val="00A91061"/>
    <w:rsid w:val="00A9127D"/>
    <w:rsid w:val="00A91284"/>
    <w:rsid w:val="00A912D4"/>
    <w:rsid w:val="00A91350"/>
    <w:rsid w:val="00A91401"/>
    <w:rsid w:val="00A91466"/>
    <w:rsid w:val="00A914FF"/>
    <w:rsid w:val="00A9155E"/>
    <w:rsid w:val="00A9157C"/>
    <w:rsid w:val="00A91581"/>
    <w:rsid w:val="00A91638"/>
    <w:rsid w:val="00A91680"/>
    <w:rsid w:val="00A91681"/>
    <w:rsid w:val="00A91982"/>
    <w:rsid w:val="00A91A37"/>
    <w:rsid w:val="00A91ADB"/>
    <w:rsid w:val="00A91BB8"/>
    <w:rsid w:val="00A91C15"/>
    <w:rsid w:val="00A91C32"/>
    <w:rsid w:val="00A91C54"/>
    <w:rsid w:val="00A91D51"/>
    <w:rsid w:val="00A91E53"/>
    <w:rsid w:val="00A91F45"/>
    <w:rsid w:val="00A91F82"/>
    <w:rsid w:val="00A92200"/>
    <w:rsid w:val="00A92357"/>
    <w:rsid w:val="00A92383"/>
    <w:rsid w:val="00A923A7"/>
    <w:rsid w:val="00A923CC"/>
    <w:rsid w:val="00A92444"/>
    <w:rsid w:val="00A92462"/>
    <w:rsid w:val="00A925C6"/>
    <w:rsid w:val="00A92609"/>
    <w:rsid w:val="00A9269C"/>
    <w:rsid w:val="00A9276D"/>
    <w:rsid w:val="00A927C5"/>
    <w:rsid w:val="00A9280B"/>
    <w:rsid w:val="00A92841"/>
    <w:rsid w:val="00A92960"/>
    <w:rsid w:val="00A92987"/>
    <w:rsid w:val="00A92A2B"/>
    <w:rsid w:val="00A92B1D"/>
    <w:rsid w:val="00A92B26"/>
    <w:rsid w:val="00A92B9A"/>
    <w:rsid w:val="00A92C58"/>
    <w:rsid w:val="00A92D40"/>
    <w:rsid w:val="00A92DE3"/>
    <w:rsid w:val="00A92E5A"/>
    <w:rsid w:val="00A92E9A"/>
    <w:rsid w:val="00A92F4D"/>
    <w:rsid w:val="00A9313C"/>
    <w:rsid w:val="00A93196"/>
    <w:rsid w:val="00A9321C"/>
    <w:rsid w:val="00A9326F"/>
    <w:rsid w:val="00A932AE"/>
    <w:rsid w:val="00A93331"/>
    <w:rsid w:val="00A9348B"/>
    <w:rsid w:val="00A934E1"/>
    <w:rsid w:val="00A9356C"/>
    <w:rsid w:val="00A9362B"/>
    <w:rsid w:val="00A93676"/>
    <w:rsid w:val="00A93726"/>
    <w:rsid w:val="00A93804"/>
    <w:rsid w:val="00A939DD"/>
    <w:rsid w:val="00A93B32"/>
    <w:rsid w:val="00A93C7A"/>
    <w:rsid w:val="00A93CB1"/>
    <w:rsid w:val="00A93F43"/>
    <w:rsid w:val="00A93F73"/>
    <w:rsid w:val="00A94171"/>
    <w:rsid w:val="00A94177"/>
    <w:rsid w:val="00A9420A"/>
    <w:rsid w:val="00A942D6"/>
    <w:rsid w:val="00A942F3"/>
    <w:rsid w:val="00A9438B"/>
    <w:rsid w:val="00A943CD"/>
    <w:rsid w:val="00A94411"/>
    <w:rsid w:val="00A94472"/>
    <w:rsid w:val="00A9453F"/>
    <w:rsid w:val="00A94582"/>
    <w:rsid w:val="00A9466E"/>
    <w:rsid w:val="00A94685"/>
    <w:rsid w:val="00A946DC"/>
    <w:rsid w:val="00A94739"/>
    <w:rsid w:val="00A94781"/>
    <w:rsid w:val="00A948C5"/>
    <w:rsid w:val="00A948D6"/>
    <w:rsid w:val="00A94A02"/>
    <w:rsid w:val="00A94AF3"/>
    <w:rsid w:val="00A94B6D"/>
    <w:rsid w:val="00A94CFF"/>
    <w:rsid w:val="00A94D5B"/>
    <w:rsid w:val="00A94D94"/>
    <w:rsid w:val="00A94F0D"/>
    <w:rsid w:val="00A94FB0"/>
    <w:rsid w:val="00A95133"/>
    <w:rsid w:val="00A9513E"/>
    <w:rsid w:val="00A951C0"/>
    <w:rsid w:val="00A9522E"/>
    <w:rsid w:val="00A952CD"/>
    <w:rsid w:val="00A95339"/>
    <w:rsid w:val="00A95455"/>
    <w:rsid w:val="00A95483"/>
    <w:rsid w:val="00A95526"/>
    <w:rsid w:val="00A9554E"/>
    <w:rsid w:val="00A955F5"/>
    <w:rsid w:val="00A9566E"/>
    <w:rsid w:val="00A956EA"/>
    <w:rsid w:val="00A95753"/>
    <w:rsid w:val="00A957F2"/>
    <w:rsid w:val="00A9589D"/>
    <w:rsid w:val="00A9596C"/>
    <w:rsid w:val="00A95981"/>
    <w:rsid w:val="00A95A8A"/>
    <w:rsid w:val="00A95AFC"/>
    <w:rsid w:val="00A95B3A"/>
    <w:rsid w:val="00A95B46"/>
    <w:rsid w:val="00A95C3A"/>
    <w:rsid w:val="00A95C44"/>
    <w:rsid w:val="00A95CD4"/>
    <w:rsid w:val="00A95CEB"/>
    <w:rsid w:val="00A95F73"/>
    <w:rsid w:val="00A9607B"/>
    <w:rsid w:val="00A96107"/>
    <w:rsid w:val="00A96182"/>
    <w:rsid w:val="00A96185"/>
    <w:rsid w:val="00A96218"/>
    <w:rsid w:val="00A96295"/>
    <w:rsid w:val="00A9643F"/>
    <w:rsid w:val="00A96459"/>
    <w:rsid w:val="00A96503"/>
    <w:rsid w:val="00A965EC"/>
    <w:rsid w:val="00A9672A"/>
    <w:rsid w:val="00A9673E"/>
    <w:rsid w:val="00A96748"/>
    <w:rsid w:val="00A96896"/>
    <w:rsid w:val="00A96956"/>
    <w:rsid w:val="00A9695D"/>
    <w:rsid w:val="00A96AD3"/>
    <w:rsid w:val="00A96B21"/>
    <w:rsid w:val="00A96C6A"/>
    <w:rsid w:val="00A96CC8"/>
    <w:rsid w:val="00A96D39"/>
    <w:rsid w:val="00A96E61"/>
    <w:rsid w:val="00A96F35"/>
    <w:rsid w:val="00A96F56"/>
    <w:rsid w:val="00A96F71"/>
    <w:rsid w:val="00A97183"/>
    <w:rsid w:val="00A971E7"/>
    <w:rsid w:val="00A972D0"/>
    <w:rsid w:val="00A9731A"/>
    <w:rsid w:val="00A973C0"/>
    <w:rsid w:val="00A97459"/>
    <w:rsid w:val="00A9747F"/>
    <w:rsid w:val="00A974C6"/>
    <w:rsid w:val="00A975BF"/>
    <w:rsid w:val="00A975D0"/>
    <w:rsid w:val="00A97760"/>
    <w:rsid w:val="00A977AA"/>
    <w:rsid w:val="00A977DC"/>
    <w:rsid w:val="00A9782E"/>
    <w:rsid w:val="00A9785C"/>
    <w:rsid w:val="00A9785E"/>
    <w:rsid w:val="00A97896"/>
    <w:rsid w:val="00A97B39"/>
    <w:rsid w:val="00A97BF3"/>
    <w:rsid w:val="00A97CFA"/>
    <w:rsid w:val="00A97DA8"/>
    <w:rsid w:val="00A97F87"/>
    <w:rsid w:val="00AA001F"/>
    <w:rsid w:val="00AA00B3"/>
    <w:rsid w:val="00AA0186"/>
    <w:rsid w:val="00AA01EB"/>
    <w:rsid w:val="00AA020C"/>
    <w:rsid w:val="00AA0432"/>
    <w:rsid w:val="00AA0458"/>
    <w:rsid w:val="00AA0647"/>
    <w:rsid w:val="00AA0914"/>
    <w:rsid w:val="00AA0C47"/>
    <w:rsid w:val="00AA0D16"/>
    <w:rsid w:val="00AA0DD7"/>
    <w:rsid w:val="00AA0DDC"/>
    <w:rsid w:val="00AA0DE0"/>
    <w:rsid w:val="00AA0DF9"/>
    <w:rsid w:val="00AA0E58"/>
    <w:rsid w:val="00AA0F43"/>
    <w:rsid w:val="00AA1089"/>
    <w:rsid w:val="00AA116D"/>
    <w:rsid w:val="00AA11A6"/>
    <w:rsid w:val="00AA11CE"/>
    <w:rsid w:val="00AA12CE"/>
    <w:rsid w:val="00AA13BB"/>
    <w:rsid w:val="00AA13DA"/>
    <w:rsid w:val="00AA142E"/>
    <w:rsid w:val="00AA1454"/>
    <w:rsid w:val="00AA14B1"/>
    <w:rsid w:val="00AA16A3"/>
    <w:rsid w:val="00AA16A7"/>
    <w:rsid w:val="00AA16E1"/>
    <w:rsid w:val="00AA1710"/>
    <w:rsid w:val="00AA1738"/>
    <w:rsid w:val="00AA17B7"/>
    <w:rsid w:val="00AA17BC"/>
    <w:rsid w:val="00AA190D"/>
    <w:rsid w:val="00AA194F"/>
    <w:rsid w:val="00AA1AD4"/>
    <w:rsid w:val="00AA1BCC"/>
    <w:rsid w:val="00AA1C7F"/>
    <w:rsid w:val="00AA1D58"/>
    <w:rsid w:val="00AA1D88"/>
    <w:rsid w:val="00AA1E4D"/>
    <w:rsid w:val="00AA1F20"/>
    <w:rsid w:val="00AA2086"/>
    <w:rsid w:val="00AA210D"/>
    <w:rsid w:val="00AA212C"/>
    <w:rsid w:val="00AA2175"/>
    <w:rsid w:val="00AA21F2"/>
    <w:rsid w:val="00AA223C"/>
    <w:rsid w:val="00AA2399"/>
    <w:rsid w:val="00AA23CF"/>
    <w:rsid w:val="00AA24EA"/>
    <w:rsid w:val="00AA24FC"/>
    <w:rsid w:val="00AA2510"/>
    <w:rsid w:val="00AA274A"/>
    <w:rsid w:val="00AA28D6"/>
    <w:rsid w:val="00AA293B"/>
    <w:rsid w:val="00AA2A10"/>
    <w:rsid w:val="00AA2B0C"/>
    <w:rsid w:val="00AA2B13"/>
    <w:rsid w:val="00AA2B24"/>
    <w:rsid w:val="00AA2BC9"/>
    <w:rsid w:val="00AA2C99"/>
    <w:rsid w:val="00AA2DAC"/>
    <w:rsid w:val="00AA2DDA"/>
    <w:rsid w:val="00AA2DF5"/>
    <w:rsid w:val="00AA2E50"/>
    <w:rsid w:val="00AA30A0"/>
    <w:rsid w:val="00AA30B9"/>
    <w:rsid w:val="00AA311C"/>
    <w:rsid w:val="00AA31EF"/>
    <w:rsid w:val="00AA33A9"/>
    <w:rsid w:val="00AA34A7"/>
    <w:rsid w:val="00AA35DF"/>
    <w:rsid w:val="00AA35F1"/>
    <w:rsid w:val="00AA36CF"/>
    <w:rsid w:val="00AA371F"/>
    <w:rsid w:val="00AA3771"/>
    <w:rsid w:val="00AA37A1"/>
    <w:rsid w:val="00AA3805"/>
    <w:rsid w:val="00AA3929"/>
    <w:rsid w:val="00AA3A27"/>
    <w:rsid w:val="00AA3A35"/>
    <w:rsid w:val="00AA3A9E"/>
    <w:rsid w:val="00AA3BAA"/>
    <w:rsid w:val="00AA3D78"/>
    <w:rsid w:val="00AA3D81"/>
    <w:rsid w:val="00AA3EFF"/>
    <w:rsid w:val="00AA4120"/>
    <w:rsid w:val="00AA4129"/>
    <w:rsid w:val="00AA418D"/>
    <w:rsid w:val="00AA41B2"/>
    <w:rsid w:val="00AA420C"/>
    <w:rsid w:val="00AA426B"/>
    <w:rsid w:val="00AA4491"/>
    <w:rsid w:val="00AA4514"/>
    <w:rsid w:val="00AA459F"/>
    <w:rsid w:val="00AA45C8"/>
    <w:rsid w:val="00AA469C"/>
    <w:rsid w:val="00AA46CF"/>
    <w:rsid w:val="00AA476F"/>
    <w:rsid w:val="00AA477D"/>
    <w:rsid w:val="00AA48BA"/>
    <w:rsid w:val="00AA495E"/>
    <w:rsid w:val="00AA49FA"/>
    <w:rsid w:val="00AA4A34"/>
    <w:rsid w:val="00AA4CE1"/>
    <w:rsid w:val="00AA4DC7"/>
    <w:rsid w:val="00AA4E87"/>
    <w:rsid w:val="00AA5006"/>
    <w:rsid w:val="00AA50AA"/>
    <w:rsid w:val="00AA51FF"/>
    <w:rsid w:val="00AA52CC"/>
    <w:rsid w:val="00AA5354"/>
    <w:rsid w:val="00AA53CA"/>
    <w:rsid w:val="00AA5401"/>
    <w:rsid w:val="00AA54C5"/>
    <w:rsid w:val="00AA54CA"/>
    <w:rsid w:val="00AA5571"/>
    <w:rsid w:val="00AA557F"/>
    <w:rsid w:val="00AA55ED"/>
    <w:rsid w:val="00AA5623"/>
    <w:rsid w:val="00AA5794"/>
    <w:rsid w:val="00AA57BC"/>
    <w:rsid w:val="00AA586B"/>
    <w:rsid w:val="00AA587C"/>
    <w:rsid w:val="00AA592D"/>
    <w:rsid w:val="00AA59B9"/>
    <w:rsid w:val="00AA5A6B"/>
    <w:rsid w:val="00AA5A94"/>
    <w:rsid w:val="00AA5B68"/>
    <w:rsid w:val="00AA5BF9"/>
    <w:rsid w:val="00AA5C13"/>
    <w:rsid w:val="00AA5C19"/>
    <w:rsid w:val="00AA5C83"/>
    <w:rsid w:val="00AA5CEC"/>
    <w:rsid w:val="00AA5DC1"/>
    <w:rsid w:val="00AA5E24"/>
    <w:rsid w:val="00AA5E45"/>
    <w:rsid w:val="00AA5E62"/>
    <w:rsid w:val="00AA5E71"/>
    <w:rsid w:val="00AA5E7E"/>
    <w:rsid w:val="00AA6014"/>
    <w:rsid w:val="00AA608A"/>
    <w:rsid w:val="00AA60A3"/>
    <w:rsid w:val="00AA6114"/>
    <w:rsid w:val="00AA61B0"/>
    <w:rsid w:val="00AA629F"/>
    <w:rsid w:val="00AA634F"/>
    <w:rsid w:val="00AA63B9"/>
    <w:rsid w:val="00AA65FB"/>
    <w:rsid w:val="00AA661C"/>
    <w:rsid w:val="00AA66D9"/>
    <w:rsid w:val="00AA67FC"/>
    <w:rsid w:val="00AA68BA"/>
    <w:rsid w:val="00AA68F6"/>
    <w:rsid w:val="00AA6AAA"/>
    <w:rsid w:val="00AA6B85"/>
    <w:rsid w:val="00AA6C88"/>
    <w:rsid w:val="00AA6CCF"/>
    <w:rsid w:val="00AA6D50"/>
    <w:rsid w:val="00AA6DCE"/>
    <w:rsid w:val="00AA6E18"/>
    <w:rsid w:val="00AA6F87"/>
    <w:rsid w:val="00AA7211"/>
    <w:rsid w:val="00AA72AA"/>
    <w:rsid w:val="00AA733A"/>
    <w:rsid w:val="00AA73F5"/>
    <w:rsid w:val="00AA73FC"/>
    <w:rsid w:val="00AA742E"/>
    <w:rsid w:val="00AA7432"/>
    <w:rsid w:val="00AA7522"/>
    <w:rsid w:val="00AA7547"/>
    <w:rsid w:val="00AA7578"/>
    <w:rsid w:val="00AA771E"/>
    <w:rsid w:val="00AA780C"/>
    <w:rsid w:val="00AA7896"/>
    <w:rsid w:val="00AA78A9"/>
    <w:rsid w:val="00AA78FF"/>
    <w:rsid w:val="00AA7936"/>
    <w:rsid w:val="00AA7938"/>
    <w:rsid w:val="00AA7AB1"/>
    <w:rsid w:val="00AA7B1E"/>
    <w:rsid w:val="00AA7BA5"/>
    <w:rsid w:val="00AA7BC2"/>
    <w:rsid w:val="00AA7D2A"/>
    <w:rsid w:val="00AA7DC4"/>
    <w:rsid w:val="00AA7E0B"/>
    <w:rsid w:val="00AA7E11"/>
    <w:rsid w:val="00AA7E26"/>
    <w:rsid w:val="00AA7F5B"/>
    <w:rsid w:val="00AA7F82"/>
    <w:rsid w:val="00AA7F93"/>
    <w:rsid w:val="00AA7F96"/>
    <w:rsid w:val="00AA7FD2"/>
    <w:rsid w:val="00AA7FD5"/>
    <w:rsid w:val="00AB00A0"/>
    <w:rsid w:val="00AB0132"/>
    <w:rsid w:val="00AB021B"/>
    <w:rsid w:val="00AB02C0"/>
    <w:rsid w:val="00AB040E"/>
    <w:rsid w:val="00AB0433"/>
    <w:rsid w:val="00AB0452"/>
    <w:rsid w:val="00AB0499"/>
    <w:rsid w:val="00AB051D"/>
    <w:rsid w:val="00AB0551"/>
    <w:rsid w:val="00AB0660"/>
    <w:rsid w:val="00AB068B"/>
    <w:rsid w:val="00AB0735"/>
    <w:rsid w:val="00AB0757"/>
    <w:rsid w:val="00AB0762"/>
    <w:rsid w:val="00AB08BD"/>
    <w:rsid w:val="00AB08FD"/>
    <w:rsid w:val="00AB09AA"/>
    <w:rsid w:val="00AB0CE4"/>
    <w:rsid w:val="00AB0D04"/>
    <w:rsid w:val="00AB0D4C"/>
    <w:rsid w:val="00AB0D59"/>
    <w:rsid w:val="00AB0E1A"/>
    <w:rsid w:val="00AB0E35"/>
    <w:rsid w:val="00AB0E54"/>
    <w:rsid w:val="00AB0E72"/>
    <w:rsid w:val="00AB0E9F"/>
    <w:rsid w:val="00AB0F86"/>
    <w:rsid w:val="00AB1051"/>
    <w:rsid w:val="00AB1209"/>
    <w:rsid w:val="00AB1288"/>
    <w:rsid w:val="00AB12D0"/>
    <w:rsid w:val="00AB14E5"/>
    <w:rsid w:val="00AB1522"/>
    <w:rsid w:val="00AB15F7"/>
    <w:rsid w:val="00AB1657"/>
    <w:rsid w:val="00AB16DC"/>
    <w:rsid w:val="00AB17D0"/>
    <w:rsid w:val="00AB191C"/>
    <w:rsid w:val="00AB1AB9"/>
    <w:rsid w:val="00AB1B82"/>
    <w:rsid w:val="00AB1BF2"/>
    <w:rsid w:val="00AB1C1D"/>
    <w:rsid w:val="00AB1C87"/>
    <w:rsid w:val="00AB1CA2"/>
    <w:rsid w:val="00AB1D4B"/>
    <w:rsid w:val="00AB1D5A"/>
    <w:rsid w:val="00AB1F7A"/>
    <w:rsid w:val="00AB20E3"/>
    <w:rsid w:val="00AB2196"/>
    <w:rsid w:val="00AB227A"/>
    <w:rsid w:val="00AB2326"/>
    <w:rsid w:val="00AB2373"/>
    <w:rsid w:val="00AB23B2"/>
    <w:rsid w:val="00AB2593"/>
    <w:rsid w:val="00AB276B"/>
    <w:rsid w:val="00AB276E"/>
    <w:rsid w:val="00AB29F8"/>
    <w:rsid w:val="00AB2A01"/>
    <w:rsid w:val="00AB2A89"/>
    <w:rsid w:val="00AB2AB9"/>
    <w:rsid w:val="00AB2C08"/>
    <w:rsid w:val="00AB2CCE"/>
    <w:rsid w:val="00AB2DBB"/>
    <w:rsid w:val="00AB2E46"/>
    <w:rsid w:val="00AB2EDA"/>
    <w:rsid w:val="00AB3084"/>
    <w:rsid w:val="00AB324D"/>
    <w:rsid w:val="00AB343E"/>
    <w:rsid w:val="00AB34C1"/>
    <w:rsid w:val="00AB34E8"/>
    <w:rsid w:val="00AB3651"/>
    <w:rsid w:val="00AB36DB"/>
    <w:rsid w:val="00AB3706"/>
    <w:rsid w:val="00AB37DB"/>
    <w:rsid w:val="00AB37FF"/>
    <w:rsid w:val="00AB3830"/>
    <w:rsid w:val="00AB3A18"/>
    <w:rsid w:val="00AB3A90"/>
    <w:rsid w:val="00AB3B39"/>
    <w:rsid w:val="00AB3BAA"/>
    <w:rsid w:val="00AB3D78"/>
    <w:rsid w:val="00AB3F16"/>
    <w:rsid w:val="00AB3FD4"/>
    <w:rsid w:val="00AB41C0"/>
    <w:rsid w:val="00AB424B"/>
    <w:rsid w:val="00AB42CB"/>
    <w:rsid w:val="00AB4385"/>
    <w:rsid w:val="00AB4419"/>
    <w:rsid w:val="00AB44C5"/>
    <w:rsid w:val="00AB44D6"/>
    <w:rsid w:val="00AB44EB"/>
    <w:rsid w:val="00AB456E"/>
    <w:rsid w:val="00AB4585"/>
    <w:rsid w:val="00AB460C"/>
    <w:rsid w:val="00AB472F"/>
    <w:rsid w:val="00AB4764"/>
    <w:rsid w:val="00AB47F6"/>
    <w:rsid w:val="00AB484C"/>
    <w:rsid w:val="00AB48BB"/>
    <w:rsid w:val="00AB48BF"/>
    <w:rsid w:val="00AB4AC2"/>
    <w:rsid w:val="00AB4C24"/>
    <w:rsid w:val="00AB4C26"/>
    <w:rsid w:val="00AB4C34"/>
    <w:rsid w:val="00AB4CB6"/>
    <w:rsid w:val="00AB4CCB"/>
    <w:rsid w:val="00AB4CE9"/>
    <w:rsid w:val="00AB4E36"/>
    <w:rsid w:val="00AB4E6D"/>
    <w:rsid w:val="00AB4F46"/>
    <w:rsid w:val="00AB5093"/>
    <w:rsid w:val="00AB53D3"/>
    <w:rsid w:val="00AB5529"/>
    <w:rsid w:val="00AB5559"/>
    <w:rsid w:val="00AB5889"/>
    <w:rsid w:val="00AB58A0"/>
    <w:rsid w:val="00AB58B9"/>
    <w:rsid w:val="00AB58FA"/>
    <w:rsid w:val="00AB595A"/>
    <w:rsid w:val="00AB59D2"/>
    <w:rsid w:val="00AB5BE9"/>
    <w:rsid w:val="00AB5CA5"/>
    <w:rsid w:val="00AB5CD0"/>
    <w:rsid w:val="00AB5DFC"/>
    <w:rsid w:val="00AB5ED6"/>
    <w:rsid w:val="00AB5F80"/>
    <w:rsid w:val="00AB6223"/>
    <w:rsid w:val="00AB62B8"/>
    <w:rsid w:val="00AB6319"/>
    <w:rsid w:val="00AB6371"/>
    <w:rsid w:val="00AB640A"/>
    <w:rsid w:val="00AB6449"/>
    <w:rsid w:val="00AB644C"/>
    <w:rsid w:val="00AB64AA"/>
    <w:rsid w:val="00AB6581"/>
    <w:rsid w:val="00AB6638"/>
    <w:rsid w:val="00AB66AD"/>
    <w:rsid w:val="00AB66FB"/>
    <w:rsid w:val="00AB6845"/>
    <w:rsid w:val="00AB6879"/>
    <w:rsid w:val="00AB68BF"/>
    <w:rsid w:val="00AB6969"/>
    <w:rsid w:val="00AB696A"/>
    <w:rsid w:val="00AB6A12"/>
    <w:rsid w:val="00AB6A76"/>
    <w:rsid w:val="00AB6AEA"/>
    <w:rsid w:val="00AB6C61"/>
    <w:rsid w:val="00AB6C86"/>
    <w:rsid w:val="00AB6D30"/>
    <w:rsid w:val="00AB6D87"/>
    <w:rsid w:val="00AB6E3E"/>
    <w:rsid w:val="00AB6F1E"/>
    <w:rsid w:val="00AB6F9E"/>
    <w:rsid w:val="00AB6FA3"/>
    <w:rsid w:val="00AB7010"/>
    <w:rsid w:val="00AB7026"/>
    <w:rsid w:val="00AB70D0"/>
    <w:rsid w:val="00AB718B"/>
    <w:rsid w:val="00AB71C2"/>
    <w:rsid w:val="00AB71CD"/>
    <w:rsid w:val="00AB726D"/>
    <w:rsid w:val="00AB736E"/>
    <w:rsid w:val="00AB7383"/>
    <w:rsid w:val="00AB73AA"/>
    <w:rsid w:val="00AB7426"/>
    <w:rsid w:val="00AB7448"/>
    <w:rsid w:val="00AB75AF"/>
    <w:rsid w:val="00AB760F"/>
    <w:rsid w:val="00AB769F"/>
    <w:rsid w:val="00AB76AA"/>
    <w:rsid w:val="00AB76DF"/>
    <w:rsid w:val="00AB770F"/>
    <w:rsid w:val="00AB77BC"/>
    <w:rsid w:val="00AB7826"/>
    <w:rsid w:val="00AB7870"/>
    <w:rsid w:val="00AB79B4"/>
    <w:rsid w:val="00AB7B29"/>
    <w:rsid w:val="00AB7B67"/>
    <w:rsid w:val="00AB7B86"/>
    <w:rsid w:val="00AB7C12"/>
    <w:rsid w:val="00AB7D10"/>
    <w:rsid w:val="00AB7D4E"/>
    <w:rsid w:val="00AB7D80"/>
    <w:rsid w:val="00AB7DF8"/>
    <w:rsid w:val="00AB7E98"/>
    <w:rsid w:val="00AB7EA3"/>
    <w:rsid w:val="00AB7FE2"/>
    <w:rsid w:val="00AB7FE6"/>
    <w:rsid w:val="00AC000E"/>
    <w:rsid w:val="00AC0035"/>
    <w:rsid w:val="00AC0081"/>
    <w:rsid w:val="00AC0195"/>
    <w:rsid w:val="00AC023F"/>
    <w:rsid w:val="00AC03C5"/>
    <w:rsid w:val="00AC03D0"/>
    <w:rsid w:val="00AC03DD"/>
    <w:rsid w:val="00AC050D"/>
    <w:rsid w:val="00AC0665"/>
    <w:rsid w:val="00AC06DE"/>
    <w:rsid w:val="00AC088A"/>
    <w:rsid w:val="00AC09A5"/>
    <w:rsid w:val="00AC0AA7"/>
    <w:rsid w:val="00AC0B02"/>
    <w:rsid w:val="00AC0B38"/>
    <w:rsid w:val="00AC0E4F"/>
    <w:rsid w:val="00AC1029"/>
    <w:rsid w:val="00AC10DA"/>
    <w:rsid w:val="00AC1131"/>
    <w:rsid w:val="00AC1153"/>
    <w:rsid w:val="00AC1167"/>
    <w:rsid w:val="00AC118F"/>
    <w:rsid w:val="00AC11FF"/>
    <w:rsid w:val="00AC129B"/>
    <w:rsid w:val="00AC134A"/>
    <w:rsid w:val="00AC139A"/>
    <w:rsid w:val="00AC1559"/>
    <w:rsid w:val="00AC1667"/>
    <w:rsid w:val="00AC16AA"/>
    <w:rsid w:val="00AC16FA"/>
    <w:rsid w:val="00AC1901"/>
    <w:rsid w:val="00AC1A44"/>
    <w:rsid w:val="00AC1A52"/>
    <w:rsid w:val="00AC1B6A"/>
    <w:rsid w:val="00AC1B77"/>
    <w:rsid w:val="00AC1CB3"/>
    <w:rsid w:val="00AC1CED"/>
    <w:rsid w:val="00AC1D4B"/>
    <w:rsid w:val="00AC1DC4"/>
    <w:rsid w:val="00AC1F25"/>
    <w:rsid w:val="00AC1F5A"/>
    <w:rsid w:val="00AC1F6F"/>
    <w:rsid w:val="00AC203D"/>
    <w:rsid w:val="00AC21BA"/>
    <w:rsid w:val="00AC22C4"/>
    <w:rsid w:val="00AC22F8"/>
    <w:rsid w:val="00AC2348"/>
    <w:rsid w:val="00AC242C"/>
    <w:rsid w:val="00AC243E"/>
    <w:rsid w:val="00AC248A"/>
    <w:rsid w:val="00AC2518"/>
    <w:rsid w:val="00AC2537"/>
    <w:rsid w:val="00AC261C"/>
    <w:rsid w:val="00AC26D8"/>
    <w:rsid w:val="00AC2727"/>
    <w:rsid w:val="00AC276D"/>
    <w:rsid w:val="00AC277C"/>
    <w:rsid w:val="00AC27AD"/>
    <w:rsid w:val="00AC28F0"/>
    <w:rsid w:val="00AC295B"/>
    <w:rsid w:val="00AC2A50"/>
    <w:rsid w:val="00AC2A83"/>
    <w:rsid w:val="00AC2A98"/>
    <w:rsid w:val="00AC2BC4"/>
    <w:rsid w:val="00AC2BDA"/>
    <w:rsid w:val="00AC2BDB"/>
    <w:rsid w:val="00AC2C08"/>
    <w:rsid w:val="00AC2C72"/>
    <w:rsid w:val="00AC2CB5"/>
    <w:rsid w:val="00AC2CB8"/>
    <w:rsid w:val="00AC2CF7"/>
    <w:rsid w:val="00AC2D12"/>
    <w:rsid w:val="00AC2F36"/>
    <w:rsid w:val="00AC2F46"/>
    <w:rsid w:val="00AC307C"/>
    <w:rsid w:val="00AC30A4"/>
    <w:rsid w:val="00AC30F8"/>
    <w:rsid w:val="00AC315D"/>
    <w:rsid w:val="00AC317D"/>
    <w:rsid w:val="00AC318F"/>
    <w:rsid w:val="00AC3225"/>
    <w:rsid w:val="00AC33CF"/>
    <w:rsid w:val="00AC34BF"/>
    <w:rsid w:val="00AC3506"/>
    <w:rsid w:val="00AC3518"/>
    <w:rsid w:val="00AC3555"/>
    <w:rsid w:val="00AC3624"/>
    <w:rsid w:val="00AC36C2"/>
    <w:rsid w:val="00AC3708"/>
    <w:rsid w:val="00AC37C8"/>
    <w:rsid w:val="00AC3830"/>
    <w:rsid w:val="00AC3839"/>
    <w:rsid w:val="00AC386E"/>
    <w:rsid w:val="00AC3882"/>
    <w:rsid w:val="00AC3AE5"/>
    <w:rsid w:val="00AC3C31"/>
    <w:rsid w:val="00AC3C69"/>
    <w:rsid w:val="00AC3CCB"/>
    <w:rsid w:val="00AC3D4E"/>
    <w:rsid w:val="00AC3DA0"/>
    <w:rsid w:val="00AC3DED"/>
    <w:rsid w:val="00AC3E17"/>
    <w:rsid w:val="00AC3E7B"/>
    <w:rsid w:val="00AC3EC1"/>
    <w:rsid w:val="00AC3EC4"/>
    <w:rsid w:val="00AC3ED0"/>
    <w:rsid w:val="00AC3F0C"/>
    <w:rsid w:val="00AC3F1F"/>
    <w:rsid w:val="00AC40F1"/>
    <w:rsid w:val="00AC4280"/>
    <w:rsid w:val="00AC43D9"/>
    <w:rsid w:val="00AC4469"/>
    <w:rsid w:val="00AC44C6"/>
    <w:rsid w:val="00AC4548"/>
    <w:rsid w:val="00AC46E1"/>
    <w:rsid w:val="00AC471C"/>
    <w:rsid w:val="00AC48F2"/>
    <w:rsid w:val="00AC48F8"/>
    <w:rsid w:val="00AC48FC"/>
    <w:rsid w:val="00AC4923"/>
    <w:rsid w:val="00AC494A"/>
    <w:rsid w:val="00AC4956"/>
    <w:rsid w:val="00AC49BC"/>
    <w:rsid w:val="00AC4A8D"/>
    <w:rsid w:val="00AC4ACB"/>
    <w:rsid w:val="00AC4D9C"/>
    <w:rsid w:val="00AC4E1A"/>
    <w:rsid w:val="00AC4E8D"/>
    <w:rsid w:val="00AC4FE0"/>
    <w:rsid w:val="00AC5019"/>
    <w:rsid w:val="00AC5159"/>
    <w:rsid w:val="00AC51F9"/>
    <w:rsid w:val="00AC5236"/>
    <w:rsid w:val="00AC5278"/>
    <w:rsid w:val="00AC52BC"/>
    <w:rsid w:val="00AC5313"/>
    <w:rsid w:val="00AC5362"/>
    <w:rsid w:val="00AC54BA"/>
    <w:rsid w:val="00AC55A2"/>
    <w:rsid w:val="00AC56CD"/>
    <w:rsid w:val="00AC571C"/>
    <w:rsid w:val="00AC579A"/>
    <w:rsid w:val="00AC585E"/>
    <w:rsid w:val="00AC5955"/>
    <w:rsid w:val="00AC59E1"/>
    <w:rsid w:val="00AC5AB5"/>
    <w:rsid w:val="00AC5AF2"/>
    <w:rsid w:val="00AC5B18"/>
    <w:rsid w:val="00AC5B22"/>
    <w:rsid w:val="00AC604B"/>
    <w:rsid w:val="00AC621A"/>
    <w:rsid w:val="00AC62DF"/>
    <w:rsid w:val="00AC634E"/>
    <w:rsid w:val="00AC640D"/>
    <w:rsid w:val="00AC6460"/>
    <w:rsid w:val="00AC6484"/>
    <w:rsid w:val="00AC665C"/>
    <w:rsid w:val="00AC672C"/>
    <w:rsid w:val="00AC6765"/>
    <w:rsid w:val="00AC681D"/>
    <w:rsid w:val="00AC6853"/>
    <w:rsid w:val="00AC68C0"/>
    <w:rsid w:val="00AC6997"/>
    <w:rsid w:val="00AC69A7"/>
    <w:rsid w:val="00AC6A04"/>
    <w:rsid w:val="00AC6B55"/>
    <w:rsid w:val="00AC6C17"/>
    <w:rsid w:val="00AC6C27"/>
    <w:rsid w:val="00AC6C30"/>
    <w:rsid w:val="00AC6E76"/>
    <w:rsid w:val="00AC6E8A"/>
    <w:rsid w:val="00AC6EB2"/>
    <w:rsid w:val="00AC6F63"/>
    <w:rsid w:val="00AC707F"/>
    <w:rsid w:val="00AC70F1"/>
    <w:rsid w:val="00AC7115"/>
    <w:rsid w:val="00AC713D"/>
    <w:rsid w:val="00AC718A"/>
    <w:rsid w:val="00AC739B"/>
    <w:rsid w:val="00AC7409"/>
    <w:rsid w:val="00AC7495"/>
    <w:rsid w:val="00AC7531"/>
    <w:rsid w:val="00AC7554"/>
    <w:rsid w:val="00AC7727"/>
    <w:rsid w:val="00AC792A"/>
    <w:rsid w:val="00AC7C14"/>
    <w:rsid w:val="00AC7C5C"/>
    <w:rsid w:val="00AC7D43"/>
    <w:rsid w:val="00AC7D69"/>
    <w:rsid w:val="00AC7E34"/>
    <w:rsid w:val="00AC7E6C"/>
    <w:rsid w:val="00AC7EF2"/>
    <w:rsid w:val="00AC7FCA"/>
    <w:rsid w:val="00AC7FE1"/>
    <w:rsid w:val="00AD00EE"/>
    <w:rsid w:val="00AD02CB"/>
    <w:rsid w:val="00AD039A"/>
    <w:rsid w:val="00AD039C"/>
    <w:rsid w:val="00AD0402"/>
    <w:rsid w:val="00AD04CF"/>
    <w:rsid w:val="00AD0534"/>
    <w:rsid w:val="00AD05DA"/>
    <w:rsid w:val="00AD063F"/>
    <w:rsid w:val="00AD0647"/>
    <w:rsid w:val="00AD075A"/>
    <w:rsid w:val="00AD07E9"/>
    <w:rsid w:val="00AD087D"/>
    <w:rsid w:val="00AD098B"/>
    <w:rsid w:val="00AD0A83"/>
    <w:rsid w:val="00AD0BCC"/>
    <w:rsid w:val="00AD0C6B"/>
    <w:rsid w:val="00AD0DAF"/>
    <w:rsid w:val="00AD0DB9"/>
    <w:rsid w:val="00AD0DFA"/>
    <w:rsid w:val="00AD0EC4"/>
    <w:rsid w:val="00AD0ECD"/>
    <w:rsid w:val="00AD0ED6"/>
    <w:rsid w:val="00AD0EE1"/>
    <w:rsid w:val="00AD0EF5"/>
    <w:rsid w:val="00AD0F05"/>
    <w:rsid w:val="00AD0F34"/>
    <w:rsid w:val="00AD102D"/>
    <w:rsid w:val="00AD104C"/>
    <w:rsid w:val="00AD11F1"/>
    <w:rsid w:val="00AD12C9"/>
    <w:rsid w:val="00AD147B"/>
    <w:rsid w:val="00AD1490"/>
    <w:rsid w:val="00AD14FC"/>
    <w:rsid w:val="00AD1620"/>
    <w:rsid w:val="00AD162F"/>
    <w:rsid w:val="00AD172B"/>
    <w:rsid w:val="00AD17AB"/>
    <w:rsid w:val="00AD17F0"/>
    <w:rsid w:val="00AD1810"/>
    <w:rsid w:val="00AD1913"/>
    <w:rsid w:val="00AD1994"/>
    <w:rsid w:val="00AD1A47"/>
    <w:rsid w:val="00AD1AA5"/>
    <w:rsid w:val="00AD1C9A"/>
    <w:rsid w:val="00AD1EC7"/>
    <w:rsid w:val="00AD201A"/>
    <w:rsid w:val="00AD2091"/>
    <w:rsid w:val="00AD20C5"/>
    <w:rsid w:val="00AD2189"/>
    <w:rsid w:val="00AD2205"/>
    <w:rsid w:val="00AD22D3"/>
    <w:rsid w:val="00AD22FF"/>
    <w:rsid w:val="00AD2408"/>
    <w:rsid w:val="00AD2486"/>
    <w:rsid w:val="00AD260C"/>
    <w:rsid w:val="00AD2615"/>
    <w:rsid w:val="00AD263B"/>
    <w:rsid w:val="00AD2839"/>
    <w:rsid w:val="00AD2865"/>
    <w:rsid w:val="00AD2873"/>
    <w:rsid w:val="00AD287A"/>
    <w:rsid w:val="00AD2A99"/>
    <w:rsid w:val="00AD2AA2"/>
    <w:rsid w:val="00AD2AEA"/>
    <w:rsid w:val="00AD2B54"/>
    <w:rsid w:val="00AD2B64"/>
    <w:rsid w:val="00AD2BA7"/>
    <w:rsid w:val="00AD2BF6"/>
    <w:rsid w:val="00AD2C58"/>
    <w:rsid w:val="00AD2D57"/>
    <w:rsid w:val="00AD2D5E"/>
    <w:rsid w:val="00AD304F"/>
    <w:rsid w:val="00AD308F"/>
    <w:rsid w:val="00AD3152"/>
    <w:rsid w:val="00AD3186"/>
    <w:rsid w:val="00AD32BC"/>
    <w:rsid w:val="00AD32D1"/>
    <w:rsid w:val="00AD33A7"/>
    <w:rsid w:val="00AD351B"/>
    <w:rsid w:val="00AD3562"/>
    <w:rsid w:val="00AD3598"/>
    <w:rsid w:val="00AD35A7"/>
    <w:rsid w:val="00AD3624"/>
    <w:rsid w:val="00AD3658"/>
    <w:rsid w:val="00AD3691"/>
    <w:rsid w:val="00AD3851"/>
    <w:rsid w:val="00AD38F3"/>
    <w:rsid w:val="00AD3961"/>
    <w:rsid w:val="00AD3965"/>
    <w:rsid w:val="00AD3997"/>
    <w:rsid w:val="00AD39E8"/>
    <w:rsid w:val="00AD39EC"/>
    <w:rsid w:val="00AD3A3E"/>
    <w:rsid w:val="00AD3AEB"/>
    <w:rsid w:val="00AD3B66"/>
    <w:rsid w:val="00AD4009"/>
    <w:rsid w:val="00AD40ED"/>
    <w:rsid w:val="00AD410B"/>
    <w:rsid w:val="00AD41F7"/>
    <w:rsid w:val="00AD4348"/>
    <w:rsid w:val="00AD4505"/>
    <w:rsid w:val="00AD45ED"/>
    <w:rsid w:val="00AD46A2"/>
    <w:rsid w:val="00AD47B8"/>
    <w:rsid w:val="00AD47CF"/>
    <w:rsid w:val="00AD482A"/>
    <w:rsid w:val="00AD4848"/>
    <w:rsid w:val="00AD4878"/>
    <w:rsid w:val="00AD496D"/>
    <w:rsid w:val="00AD4A5A"/>
    <w:rsid w:val="00AD4A6A"/>
    <w:rsid w:val="00AD4C3C"/>
    <w:rsid w:val="00AD4D6F"/>
    <w:rsid w:val="00AD4EF7"/>
    <w:rsid w:val="00AD4F29"/>
    <w:rsid w:val="00AD4F4B"/>
    <w:rsid w:val="00AD5045"/>
    <w:rsid w:val="00AD509C"/>
    <w:rsid w:val="00AD5181"/>
    <w:rsid w:val="00AD51D3"/>
    <w:rsid w:val="00AD5220"/>
    <w:rsid w:val="00AD524C"/>
    <w:rsid w:val="00AD52B3"/>
    <w:rsid w:val="00AD5347"/>
    <w:rsid w:val="00AD53F5"/>
    <w:rsid w:val="00AD545E"/>
    <w:rsid w:val="00AD54E7"/>
    <w:rsid w:val="00AD55AB"/>
    <w:rsid w:val="00AD570E"/>
    <w:rsid w:val="00AD571F"/>
    <w:rsid w:val="00AD595F"/>
    <w:rsid w:val="00AD59ED"/>
    <w:rsid w:val="00AD5A65"/>
    <w:rsid w:val="00AD5A7F"/>
    <w:rsid w:val="00AD5AA2"/>
    <w:rsid w:val="00AD5B02"/>
    <w:rsid w:val="00AD5C53"/>
    <w:rsid w:val="00AD6148"/>
    <w:rsid w:val="00AD61E1"/>
    <w:rsid w:val="00AD62F7"/>
    <w:rsid w:val="00AD639D"/>
    <w:rsid w:val="00AD63AA"/>
    <w:rsid w:val="00AD63AB"/>
    <w:rsid w:val="00AD64F4"/>
    <w:rsid w:val="00AD65B4"/>
    <w:rsid w:val="00AD65E5"/>
    <w:rsid w:val="00AD665F"/>
    <w:rsid w:val="00AD66E6"/>
    <w:rsid w:val="00AD6925"/>
    <w:rsid w:val="00AD6ABF"/>
    <w:rsid w:val="00AD6AE3"/>
    <w:rsid w:val="00AD6B06"/>
    <w:rsid w:val="00AD6B68"/>
    <w:rsid w:val="00AD6C85"/>
    <w:rsid w:val="00AD6D7F"/>
    <w:rsid w:val="00AD6D8C"/>
    <w:rsid w:val="00AD6E2B"/>
    <w:rsid w:val="00AD6E8D"/>
    <w:rsid w:val="00AD6EAB"/>
    <w:rsid w:val="00AD6FCB"/>
    <w:rsid w:val="00AD6FE4"/>
    <w:rsid w:val="00AD6FF4"/>
    <w:rsid w:val="00AD7014"/>
    <w:rsid w:val="00AD7048"/>
    <w:rsid w:val="00AD713F"/>
    <w:rsid w:val="00AD720B"/>
    <w:rsid w:val="00AD720F"/>
    <w:rsid w:val="00AD7255"/>
    <w:rsid w:val="00AD7290"/>
    <w:rsid w:val="00AD7299"/>
    <w:rsid w:val="00AD72D3"/>
    <w:rsid w:val="00AD7387"/>
    <w:rsid w:val="00AD73D3"/>
    <w:rsid w:val="00AD74C9"/>
    <w:rsid w:val="00AD7529"/>
    <w:rsid w:val="00AD75B0"/>
    <w:rsid w:val="00AD77CA"/>
    <w:rsid w:val="00AD796B"/>
    <w:rsid w:val="00AD7B44"/>
    <w:rsid w:val="00AD7ED5"/>
    <w:rsid w:val="00AD7F1E"/>
    <w:rsid w:val="00AD7FA1"/>
    <w:rsid w:val="00AD7FC3"/>
    <w:rsid w:val="00AE00EB"/>
    <w:rsid w:val="00AE01E2"/>
    <w:rsid w:val="00AE02A5"/>
    <w:rsid w:val="00AE02E7"/>
    <w:rsid w:val="00AE0330"/>
    <w:rsid w:val="00AE040B"/>
    <w:rsid w:val="00AE04D8"/>
    <w:rsid w:val="00AE050F"/>
    <w:rsid w:val="00AE0596"/>
    <w:rsid w:val="00AE065F"/>
    <w:rsid w:val="00AE0662"/>
    <w:rsid w:val="00AE0703"/>
    <w:rsid w:val="00AE070E"/>
    <w:rsid w:val="00AE0715"/>
    <w:rsid w:val="00AE07AB"/>
    <w:rsid w:val="00AE07D1"/>
    <w:rsid w:val="00AE07E2"/>
    <w:rsid w:val="00AE0922"/>
    <w:rsid w:val="00AE0A32"/>
    <w:rsid w:val="00AE0A4D"/>
    <w:rsid w:val="00AE0AA2"/>
    <w:rsid w:val="00AE0B0A"/>
    <w:rsid w:val="00AE0C0B"/>
    <w:rsid w:val="00AE0C27"/>
    <w:rsid w:val="00AE0C97"/>
    <w:rsid w:val="00AE0C9A"/>
    <w:rsid w:val="00AE0CF3"/>
    <w:rsid w:val="00AE0DBB"/>
    <w:rsid w:val="00AE0DCC"/>
    <w:rsid w:val="00AE0E88"/>
    <w:rsid w:val="00AE0EAC"/>
    <w:rsid w:val="00AE1054"/>
    <w:rsid w:val="00AE1199"/>
    <w:rsid w:val="00AE127C"/>
    <w:rsid w:val="00AE131B"/>
    <w:rsid w:val="00AE151B"/>
    <w:rsid w:val="00AE1529"/>
    <w:rsid w:val="00AE1555"/>
    <w:rsid w:val="00AE171E"/>
    <w:rsid w:val="00AE172C"/>
    <w:rsid w:val="00AE17EE"/>
    <w:rsid w:val="00AE18A7"/>
    <w:rsid w:val="00AE195F"/>
    <w:rsid w:val="00AE1984"/>
    <w:rsid w:val="00AE19E0"/>
    <w:rsid w:val="00AE1B0C"/>
    <w:rsid w:val="00AE1B56"/>
    <w:rsid w:val="00AE1CB8"/>
    <w:rsid w:val="00AE1D0E"/>
    <w:rsid w:val="00AE1E63"/>
    <w:rsid w:val="00AE1F84"/>
    <w:rsid w:val="00AE1FDC"/>
    <w:rsid w:val="00AE209F"/>
    <w:rsid w:val="00AE20A5"/>
    <w:rsid w:val="00AE20F9"/>
    <w:rsid w:val="00AE2189"/>
    <w:rsid w:val="00AE2296"/>
    <w:rsid w:val="00AE236B"/>
    <w:rsid w:val="00AE2378"/>
    <w:rsid w:val="00AE249A"/>
    <w:rsid w:val="00AE24BB"/>
    <w:rsid w:val="00AE24E0"/>
    <w:rsid w:val="00AE24EE"/>
    <w:rsid w:val="00AE274F"/>
    <w:rsid w:val="00AE27CB"/>
    <w:rsid w:val="00AE27DC"/>
    <w:rsid w:val="00AE28BC"/>
    <w:rsid w:val="00AE290B"/>
    <w:rsid w:val="00AE29F9"/>
    <w:rsid w:val="00AE2B8F"/>
    <w:rsid w:val="00AE2C78"/>
    <w:rsid w:val="00AE2EA0"/>
    <w:rsid w:val="00AE2ED9"/>
    <w:rsid w:val="00AE308E"/>
    <w:rsid w:val="00AE30BB"/>
    <w:rsid w:val="00AE319A"/>
    <w:rsid w:val="00AE31A6"/>
    <w:rsid w:val="00AE31CB"/>
    <w:rsid w:val="00AE32D5"/>
    <w:rsid w:val="00AE32E4"/>
    <w:rsid w:val="00AE3373"/>
    <w:rsid w:val="00AE344D"/>
    <w:rsid w:val="00AE3536"/>
    <w:rsid w:val="00AE35A7"/>
    <w:rsid w:val="00AE3650"/>
    <w:rsid w:val="00AE3746"/>
    <w:rsid w:val="00AE3765"/>
    <w:rsid w:val="00AE377B"/>
    <w:rsid w:val="00AE37C6"/>
    <w:rsid w:val="00AE3912"/>
    <w:rsid w:val="00AE3A86"/>
    <w:rsid w:val="00AE3AFD"/>
    <w:rsid w:val="00AE3B26"/>
    <w:rsid w:val="00AE3B74"/>
    <w:rsid w:val="00AE3C76"/>
    <w:rsid w:val="00AE3C77"/>
    <w:rsid w:val="00AE3CAC"/>
    <w:rsid w:val="00AE3E99"/>
    <w:rsid w:val="00AE3EFA"/>
    <w:rsid w:val="00AE3F29"/>
    <w:rsid w:val="00AE40A7"/>
    <w:rsid w:val="00AE424D"/>
    <w:rsid w:val="00AE4265"/>
    <w:rsid w:val="00AE42AA"/>
    <w:rsid w:val="00AE43ED"/>
    <w:rsid w:val="00AE4425"/>
    <w:rsid w:val="00AE44F9"/>
    <w:rsid w:val="00AE458F"/>
    <w:rsid w:val="00AE45D2"/>
    <w:rsid w:val="00AE45ED"/>
    <w:rsid w:val="00AE46A5"/>
    <w:rsid w:val="00AE47B6"/>
    <w:rsid w:val="00AE4812"/>
    <w:rsid w:val="00AE48B6"/>
    <w:rsid w:val="00AE48D8"/>
    <w:rsid w:val="00AE48DD"/>
    <w:rsid w:val="00AE497E"/>
    <w:rsid w:val="00AE4AC5"/>
    <w:rsid w:val="00AE4AE0"/>
    <w:rsid w:val="00AE4C20"/>
    <w:rsid w:val="00AE4CBB"/>
    <w:rsid w:val="00AE4D06"/>
    <w:rsid w:val="00AE4E8F"/>
    <w:rsid w:val="00AE4ED3"/>
    <w:rsid w:val="00AE4EED"/>
    <w:rsid w:val="00AE4F12"/>
    <w:rsid w:val="00AE5090"/>
    <w:rsid w:val="00AE5104"/>
    <w:rsid w:val="00AE5201"/>
    <w:rsid w:val="00AE5274"/>
    <w:rsid w:val="00AE5489"/>
    <w:rsid w:val="00AE5622"/>
    <w:rsid w:val="00AE5982"/>
    <w:rsid w:val="00AE5B5B"/>
    <w:rsid w:val="00AE5BB9"/>
    <w:rsid w:val="00AE5C4B"/>
    <w:rsid w:val="00AE5C74"/>
    <w:rsid w:val="00AE5CCD"/>
    <w:rsid w:val="00AE5DB9"/>
    <w:rsid w:val="00AE5DF1"/>
    <w:rsid w:val="00AE5E28"/>
    <w:rsid w:val="00AE5FB6"/>
    <w:rsid w:val="00AE5FD3"/>
    <w:rsid w:val="00AE607A"/>
    <w:rsid w:val="00AE60C2"/>
    <w:rsid w:val="00AE60CE"/>
    <w:rsid w:val="00AE6115"/>
    <w:rsid w:val="00AE6210"/>
    <w:rsid w:val="00AE625F"/>
    <w:rsid w:val="00AE62FA"/>
    <w:rsid w:val="00AE63E6"/>
    <w:rsid w:val="00AE648E"/>
    <w:rsid w:val="00AE64AD"/>
    <w:rsid w:val="00AE64DE"/>
    <w:rsid w:val="00AE653E"/>
    <w:rsid w:val="00AE6619"/>
    <w:rsid w:val="00AE66AA"/>
    <w:rsid w:val="00AE6710"/>
    <w:rsid w:val="00AE6782"/>
    <w:rsid w:val="00AE6892"/>
    <w:rsid w:val="00AE6979"/>
    <w:rsid w:val="00AE698D"/>
    <w:rsid w:val="00AE69F8"/>
    <w:rsid w:val="00AE6A1C"/>
    <w:rsid w:val="00AE6A4D"/>
    <w:rsid w:val="00AE6B5C"/>
    <w:rsid w:val="00AE6BD8"/>
    <w:rsid w:val="00AE6C08"/>
    <w:rsid w:val="00AE6C0F"/>
    <w:rsid w:val="00AE6C35"/>
    <w:rsid w:val="00AE6D2D"/>
    <w:rsid w:val="00AE6DE9"/>
    <w:rsid w:val="00AE6E7D"/>
    <w:rsid w:val="00AE6F49"/>
    <w:rsid w:val="00AE703A"/>
    <w:rsid w:val="00AE7167"/>
    <w:rsid w:val="00AE7287"/>
    <w:rsid w:val="00AE7351"/>
    <w:rsid w:val="00AE73D4"/>
    <w:rsid w:val="00AE75BD"/>
    <w:rsid w:val="00AE765D"/>
    <w:rsid w:val="00AE7667"/>
    <w:rsid w:val="00AE7669"/>
    <w:rsid w:val="00AE767A"/>
    <w:rsid w:val="00AE7791"/>
    <w:rsid w:val="00AE78E3"/>
    <w:rsid w:val="00AE7975"/>
    <w:rsid w:val="00AE7B6B"/>
    <w:rsid w:val="00AE7EA7"/>
    <w:rsid w:val="00AE7F9B"/>
    <w:rsid w:val="00AF004C"/>
    <w:rsid w:val="00AF012C"/>
    <w:rsid w:val="00AF0143"/>
    <w:rsid w:val="00AF0209"/>
    <w:rsid w:val="00AF0274"/>
    <w:rsid w:val="00AF0283"/>
    <w:rsid w:val="00AF02E8"/>
    <w:rsid w:val="00AF0308"/>
    <w:rsid w:val="00AF0344"/>
    <w:rsid w:val="00AF041D"/>
    <w:rsid w:val="00AF049A"/>
    <w:rsid w:val="00AF055C"/>
    <w:rsid w:val="00AF057E"/>
    <w:rsid w:val="00AF05DF"/>
    <w:rsid w:val="00AF0669"/>
    <w:rsid w:val="00AF06FD"/>
    <w:rsid w:val="00AF08B4"/>
    <w:rsid w:val="00AF08FB"/>
    <w:rsid w:val="00AF0AFF"/>
    <w:rsid w:val="00AF0C1F"/>
    <w:rsid w:val="00AF0C23"/>
    <w:rsid w:val="00AF0C8E"/>
    <w:rsid w:val="00AF0D05"/>
    <w:rsid w:val="00AF0D18"/>
    <w:rsid w:val="00AF0D7E"/>
    <w:rsid w:val="00AF0D85"/>
    <w:rsid w:val="00AF0EE9"/>
    <w:rsid w:val="00AF0FA1"/>
    <w:rsid w:val="00AF1185"/>
    <w:rsid w:val="00AF11E0"/>
    <w:rsid w:val="00AF124C"/>
    <w:rsid w:val="00AF138C"/>
    <w:rsid w:val="00AF1466"/>
    <w:rsid w:val="00AF156E"/>
    <w:rsid w:val="00AF15D4"/>
    <w:rsid w:val="00AF161A"/>
    <w:rsid w:val="00AF171E"/>
    <w:rsid w:val="00AF1771"/>
    <w:rsid w:val="00AF189C"/>
    <w:rsid w:val="00AF1937"/>
    <w:rsid w:val="00AF1954"/>
    <w:rsid w:val="00AF1987"/>
    <w:rsid w:val="00AF1A11"/>
    <w:rsid w:val="00AF1AA6"/>
    <w:rsid w:val="00AF1B23"/>
    <w:rsid w:val="00AF1B2E"/>
    <w:rsid w:val="00AF1BA5"/>
    <w:rsid w:val="00AF1BB0"/>
    <w:rsid w:val="00AF1C12"/>
    <w:rsid w:val="00AF1CFA"/>
    <w:rsid w:val="00AF1DA4"/>
    <w:rsid w:val="00AF1E23"/>
    <w:rsid w:val="00AF1F79"/>
    <w:rsid w:val="00AF1FA6"/>
    <w:rsid w:val="00AF22B8"/>
    <w:rsid w:val="00AF22BE"/>
    <w:rsid w:val="00AF2372"/>
    <w:rsid w:val="00AF23A4"/>
    <w:rsid w:val="00AF23D0"/>
    <w:rsid w:val="00AF242D"/>
    <w:rsid w:val="00AF24C7"/>
    <w:rsid w:val="00AF25AA"/>
    <w:rsid w:val="00AF25D2"/>
    <w:rsid w:val="00AF2681"/>
    <w:rsid w:val="00AF26F5"/>
    <w:rsid w:val="00AF2734"/>
    <w:rsid w:val="00AF277B"/>
    <w:rsid w:val="00AF27E2"/>
    <w:rsid w:val="00AF2813"/>
    <w:rsid w:val="00AF288D"/>
    <w:rsid w:val="00AF28D4"/>
    <w:rsid w:val="00AF28DB"/>
    <w:rsid w:val="00AF28FA"/>
    <w:rsid w:val="00AF2994"/>
    <w:rsid w:val="00AF2ACE"/>
    <w:rsid w:val="00AF2B02"/>
    <w:rsid w:val="00AF2B7D"/>
    <w:rsid w:val="00AF2B9C"/>
    <w:rsid w:val="00AF2BFC"/>
    <w:rsid w:val="00AF2CE5"/>
    <w:rsid w:val="00AF2EF7"/>
    <w:rsid w:val="00AF2F3D"/>
    <w:rsid w:val="00AF2F79"/>
    <w:rsid w:val="00AF2FB6"/>
    <w:rsid w:val="00AF3036"/>
    <w:rsid w:val="00AF304A"/>
    <w:rsid w:val="00AF312A"/>
    <w:rsid w:val="00AF3145"/>
    <w:rsid w:val="00AF3293"/>
    <w:rsid w:val="00AF3324"/>
    <w:rsid w:val="00AF3531"/>
    <w:rsid w:val="00AF3593"/>
    <w:rsid w:val="00AF38D4"/>
    <w:rsid w:val="00AF392B"/>
    <w:rsid w:val="00AF39A5"/>
    <w:rsid w:val="00AF39C9"/>
    <w:rsid w:val="00AF3A31"/>
    <w:rsid w:val="00AF3A98"/>
    <w:rsid w:val="00AF3CC7"/>
    <w:rsid w:val="00AF3D3F"/>
    <w:rsid w:val="00AF3DE8"/>
    <w:rsid w:val="00AF3E0F"/>
    <w:rsid w:val="00AF3F1F"/>
    <w:rsid w:val="00AF406E"/>
    <w:rsid w:val="00AF40CB"/>
    <w:rsid w:val="00AF40EF"/>
    <w:rsid w:val="00AF40FC"/>
    <w:rsid w:val="00AF41B9"/>
    <w:rsid w:val="00AF4292"/>
    <w:rsid w:val="00AF42A4"/>
    <w:rsid w:val="00AF44F3"/>
    <w:rsid w:val="00AF4587"/>
    <w:rsid w:val="00AF463C"/>
    <w:rsid w:val="00AF470B"/>
    <w:rsid w:val="00AF4727"/>
    <w:rsid w:val="00AF47FA"/>
    <w:rsid w:val="00AF481A"/>
    <w:rsid w:val="00AF482F"/>
    <w:rsid w:val="00AF48FF"/>
    <w:rsid w:val="00AF4959"/>
    <w:rsid w:val="00AF497C"/>
    <w:rsid w:val="00AF49BB"/>
    <w:rsid w:val="00AF49BE"/>
    <w:rsid w:val="00AF49ED"/>
    <w:rsid w:val="00AF4CBA"/>
    <w:rsid w:val="00AF4CD5"/>
    <w:rsid w:val="00AF4DD7"/>
    <w:rsid w:val="00AF4EF6"/>
    <w:rsid w:val="00AF50EE"/>
    <w:rsid w:val="00AF512F"/>
    <w:rsid w:val="00AF521A"/>
    <w:rsid w:val="00AF5354"/>
    <w:rsid w:val="00AF538B"/>
    <w:rsid w:val="00AF54B9"/>
    <w:rsid w:val="00AF54F3"/>
    <w:rsid w:val="00AF56B8"/>
    <w:rsid w:val="00AF589A"/>
    <w:rsid w:val="00AF58FF"/>
    <w:rsid w:val="00AF5901"/>
    <w:rsid w:val="00AF5A50"/>
    <w:rsid w:val="00AF5BD5"/>
    <w:rsid w:val="00AF5C00"/>
    <w:rsid w:val="00AF5D0C"/>
    <w:rsid w:val="00AF5D2D"/>
    <w:rsid w:val="00AF5D8C"/>
    <w:rsid w:val="00AF5D9A"/>
    <w:rsid w:val="00AF5E39"/>
    <w:rsid w:val="00AF5F2E"/>
    <w:rsid w:val="00AF5F6F"/>
    <w:rsid w:val="00AF5FB7"/>
    <w:rsid w:val="00AF609E"/>
    <w:rsid w:val="00AF615F"/>
    <w:rsid w:val="00AF61E1"/>
    <w:rsid w:val="00AF624F"/>
    <w:rsid w:val="00AF6562"/>
    <w:rsid w:val="00AF65BD"/>
    <w:rsid w:val="00AF6615"/>
    <w:rsid w:val="00AF6660"/>
    <w:rsid w:val="00AF66B1"/>
    <w:rsid w:val="00AF671C"/>
    <w:rsid w:val="00AF6782"/>
    <w:rsid w:val="00AF688A"/>
    <w:rsid w:val="00AF69A2"/>
    <w:rsid w:val="00AF6AA9"/>
    <w:rsid w:val="00AF6AAB"/>
    <w:rsid w:val="00AF6B43"/>
    <w:rsid w:val="00AF6BA7"/>
    <w:rsid w:val="00AF6BFF"/>
    <w:rsid w:val="00AF6C41"/>
    <w:rsid w:val="00AF6C81"/>
    <w:rsid w:val="00AF6C9D"/>
    <w:rsid w:val="00AF6D57"/>
    <w:rsid w:val="00AF6F26"/>
    <w:rsid w:val="00AF6FC5"/>
    <w:rsid w:val="00AF70B5"/>
    <w:rsid w:val="00AF7328"/>
    <w:rsid w:val="00AF7367"/>
    <w:rsid w:val="00AF7432"/>
    <w:rsid w:val="00AF76DF"/>
    <w:rsid w:val="00AF776D"/>
    <w:rsid w:val="00AF776E"/>
    <w:rsid w:val="00AF77CA"/>
    <w:rsid w:val="00AF78D2"/>
    <w:rsid w:val="00AF790D"/>
    <w:rsid w:val="00AF7990"/>
    <w:rsid w:val="00AF79FF"/>
    <w:rsid w:val="00AF7AB1"/>
    <w:rsid w:val="00AF7B02"/>
    <w:rsid w:val="00AF7C3C"/>
    <w:rsid w:val="00AF7C3F"/>
    <w:rsid w:val="00AF7C90"/>
    <w:rsid w:val="00AF7DF1"/>
    <w:rsid w:val="00AFFB81"/>
    <w:rsid w:val="00B000DF"/>
    <w:rsid w:val="00B000E9"/>
    <w:rsid w:val="00B000EA"/>
    <w:rsid w:val="00B001A4"/>
    <w:rsid w:val="00B001A8"/>
    <w:rsid w:val="00B00232"/>
    <w:rsid w:val="00B0031E"/>
    <w:rsid w:val="00B003B6"/>
    <w:rsid w:val="00B00494"/>
    <w:rsid w:val="00B005B4"/>
    <w:rsid w:val="00B00802"/>
    <w:rsid w:val="00B00976"/>
    <w:rsid w:val="00B009C8"/>
    <w:rsid w:val="00B00B8C"/>
    <w:rsid w:val="00B00C5A"/>
    <w:rsid w:val="00B00C97"/>
    <w:rsid w:val="00B00CD7"/>
    <w:rsid w:val="00B00CDE"/>
    <w:rsid w:val="00B00D91"/>
    <w:rsid w:val="00B00DC6"/>
    <w:rsid w:val="00B00E72"/>
    <w:rsid w:val="00B00EA9"/>
    <w:rsid w:val="00B00F80"/>
    <w:rsid w:val="00B00FAA"/>
    <w:rsid w:val="00B00FE3"/>
    <w:rsid w:val="00B010FD"/>
    <w:rsid w:val="00B01360"/>
    <w:rsid w:val="00B013CB"/>
    <w:rsid w:val="00B01426"/>
    <w:rsid w:val="00B01623"/>
    <w:rsid w:val="00B017AF"/>
    <w:rsid w:val="00B017CF"/>
    <w:rsid w:val="00B01877"/>
    <w:rsid w:val="00B01911"/>
    <w:rsid w:val="00B0191C"/>
    <w:rsid w:val="00B019F5"/>
    <w:rsid w:val="00B01AF2"/>
    <w:rsid w:val="00B01B05"/>
    <w:rsid w:val="00B01B71"/>
    <w:rsid w:val="00B01BBC"/>
    <w:rsid w:val="00B01C2E"/>
    <w:rsid w:val="00B01CDD"/>
    <w:rsid w:val="00B01E48"/>
    <w:rsid w:val="00B01F2A"/>
    <w:rsid w:val="00B02202"/>
    <w:rsid w:val="00B022F6"/>
    <w:rsid w:val="00B0241F"/>
    <w:rsid w:val="00B02537"/>
    <w:rsid w:val="00B02540"/>
    <w:rsid w:val="00B02573"/>
    <w:rsid w:val="00B0257A"/>
    <w:rsid w:val="00B0263F"/>
    <w:rsid w:val="00B026CB"/>
    <w:rsid w:val="00B026E4"/>
    <w:rsid w:val="00B0286C"/>
    <w:rsid w:val="00B028C7"/>
    <w:rsid w:val="00B02979"/>
    <w:rsid w:val="00B02A51"/>
    <w:rsid w:val="00B02AF2"/>
    <w:rsid w:val="00B02B0A"/>
    <w:rsid w:val="00B02B62"/>
    <w:rsid w:val="00B02B75"/>
    <w:rsid w:val="00B02BE2"/>
    <w:rsid w:val="00B02BFA"/>
    <w:rsid w:val="00B02CE1"/>
    <w:rsid w:val="00B02D42"/>
    <w:rsid w:val="00B02F49"/>
    <w:rsid w:val="00B02F7A"/>
    <w:rsid w:val="00B0307D"/>
    <w:rsid w:val="00B03164"/>
    <w:rsid w:val="00B03195"/>
    <w:rsid w:val="00B03231"/>
    <w:rsid w:val="00B0342D"/>
    <w:rsid w:val="00B03452"/>
    <w:rsid w:val="00B034B9"/>
    <w:rsid w:val="00B03554"/>
    <w:rsid w:val="00B039E6"/>
    <w:rsid w:val="00B03A39"/>
    <w:rsid w:val="00B03A45"/>
    <w:rsid w:val="00B03B9F"/>
    <w:rsid w:val="00B03BBF"/>
    <w:rsid w:val="00B03CA0"/>
    <w:rsid w:val="00B03DBA"/>
    <w:rsid w:val="00B03E0B"/>
    <w:rsid w:val="00B03E16"/>
    <w:rsid w:val="00B03F04"/>
    <w:rsid w:val="00B03F0D"/>
    <w:rsid w:val="00B03F6B"/>
    <w:rsid w:val="00B040AC"/>
    <w:rsid w:val="00B0410A"/>
    <w:rsid w:val="00B0436B"/>
    <w:rsid w:val="00B043A5"/>
    <w:rsid w:val="00B043C6"/>
    <w:rsid w:val="00B0442A"/>
    <w:rsid w:val="00B04489"/>
    <w:rsid w:val="00B044F2"/>
    <w:rsid w:val="00B044FC"/>
    <w:rsid w:val="00B04631"/>
    <w:rsid w:val="00B0472C"/>
    <w:rsid w:val="00B04861"/>
    <w:rsid w:val="00B04885"/>
    <w:rsid w:val="00B048CE"/>
    <w:rsid w:val="00B04941"/>
    <w:rsid w:val="00B04A28"/>
    <w:rsid w:val="00B04AB2"/>
    <w:rsid w:val="00B04AB6"/>
    <w:rsid w:val="00B04BCC"/>
    <w:rsid w:val="00B04BE3"/>
    <w:rsid w:val="00B04D0C"/>
    <w:rsid w:val="00B04DC7"/>
    <w:rsid w:val="00B04DF2"/>
    <w:rsid w:val="00B04F3D"/>
    <w:rsid w:val="00B05008"/>
    <w:rsid w:val="00B0502E"/>
    <w:rsid w:val="00B051D9"/>
    <w:rsid w:val="00B051EF"/>
    <w:rsid w:val="00B05203"/>
    <w:rsid w:val="00B05288"/>
    <w:rsid w:val="00B053EE"/>
    <w:rsid w:val="00B0553F"/>
    <w:rsid w:val="00B055C8"/>
    <w:rsid w:val="00B05614"/>
    <w:rsid w:val="00B0563B"/>
    <w:rsid w:val="00B05746"/>
    <w:rsid w:val="00B05761"/>
    <w:rsid w:val="00B058C1"/>
    <w:rsid w:val="00B05A9C"/>
    <w:rsid w:val="00B05D89"/>
    <w:rsid w:val="00B05DAC"/>
    <w:rsid w:val="00B05DB7"/>
    <w:rsid w:val="00B05DFB"/>
    <w:rsid w:val="00B05EB5"/>
    <w:rsid w:val="00B05ECE"/>
    <w:rsid w:val="00B060DA"/>
    <w:rsid w:val="00B0622C"/>
    <w:rsid w:val="00B06309"/>
    <w:rsid w:val="00B06552"/>
    <w:rsid w:val="00B06624"/>
    <w:rsid w:val="00B0663B"/>
    <w:rsid w:val="00B06750"/>
    <w:rsid w:val="00B0675D"/>
    <w:rsid w:val="00B06874"/>
    <w:rsid w:val="00B068D4"/>
    <w:rsid w:val="00B06936"/>
    <w:rsid w:val="00B0693E"/>
    <w:rsid w:val="00B06974"/>
    <w:rsid w:val="00B06A1E"/>
    <w:rsid w:val="00B06C51"/>
    <w:rsid w:val="00B06C8C"/>
    <w:rsid w:val="00B06DEA"/>
    <w:rsid w:val="00B06ED9"/>
    <w:rsid w:val="00B06F05"/>
    <w:rsid w:val="00B06F3B"/>
    <w:rsid w:val="00B06F99"/>
    <w:rsid w:val="00B06FD0"/>
    <w:rsid w:val="00B07002"/>
    <w:rsid w:val="00B07011"/>
    <w:rsid w:val="00B07021"/>
    <w:rsid w:val="00B073A1"/>
    <w:rsid w:val="00B0748F"/>
    <w:rsid w:val="00B07645"/>
    <w:rsid w:val="00B076C8"/>
    <w:rsid w:val="00B07766"/>
    <w:rsid w:val="00B07798"/>
    <w:rsid w:val="00B07890"/>
    <w:rsid w:val="00B078E5"/>
    <w:rsid w:val="00B079B8"/>
    <w:rsid w:val="00B07C5A"/>
    <w:rsid w:val="00B07C9B"/>
    <w:rsid w:val="00B07CDB"/>
    <w:rsid w:val="00B07D1D"/>
    <w:rsid w:val="00B07DC9"/>
    <w:rsid w:val="00B07DD8"/>
    <w:rsid w:val="00B07DF4"/>
    <w:rsid w:val="00B07E0F"/>
    <w:rsid w:val="00B07E10"/>
    <w:rsid w:val="00B07F2D"/>
    <w:rsid w:val="00B07F59"/>
    <w:rsid w:val="00B100DE"/>
    <w:rsid w:val="00B10206"/>
    <w:rsid w:val="00B1020E"/>
    <w:rsid w:val="00B10242"/>
    <w:rsid w:val="00B102A2"/>
    <w:rsid w:val="00B102D1"/>
    <w:rsid w:val="00B104AD"/>
    <w:rsid w:val="00B1053E"/>
    <w:rsid w:val="00B105C4"/>
    <w:rsid w:val="00B1069D"/>
    <w:rsid w:val="00B106CF"/>
    <w:rsid w:val="00B1097F"/>
    <w:rsid w:val="00B10985"/>
    <w:rsid w:val="00B109E3"/>
    <w:rsid w:val="00B109EF"/>
    <w:rsid w:val="00B10A1A"/>
    <w:rsid w:val="00B10A23"/>
    <w:rsid w:val="00B10B80"/>
    <w:rsid w:val="00B10C2C"/>
    <w:rsid w:val="00B10D3E"/>
    <w:rsid w:val="00B10D93"/>
    <w:rsid w:val="00B10E0F"/>
    <w:rsid w:val="00B10F11"/>
    <w:rsid w:val="00B10F81"/>
    <w:rsid w:val="00B10FED"/>
    <w:rsid w:val="00B11139"/>
    <w:rsid w:val="00B1130E"/>
    <w:rsid w:val="00B11330"/>
    <w:rsid w:val="00B1138E"/>
    <w:rsid w:val="00B113B4"/>
    <w:rsid w:val="00B113E3"/>
    <w:rsid w:val="00B11481"/>
    <w:rsid w:val="00B114E9"/>
    <w:rsid w:val="00B1151C"/>
    <w:rsid w:val="00B115EE"/>
    <w:rsid w:val="00B115FB"/>
    <w:rsid w:val="00B11696"/>
    <w:rsid w:val="00B11708"/>
    <w:rsid w:val="00B11764"/>
    <w:rsid w:val="00B117FF"/>
    <w:rsid w:val="00B1186F"/>
    <w:rsid w:val="00B1194E"/>
    <w:rsid w:val="00B11A09"/>
    <w:rsid w:val="00B11A5B"/>
    <w:rsid w:val="00B11AA6"/>
    <w:rsid w:val="00B11B59"/>
    <w:rsid w:val="00B11BA9"/>
    <w:rsid w:val="00B11BD2"/>
    <w:rsid w:val="00B11BD5"/>
    <w:rsid w:val="00B11C26"/>
    <w:rsid w:val="00B11D4A"/>
    <w:rsid w:val="00B11DDB"/>
    <w:rsid w:val="00B11DE8"/>
    <w:rsid w:val="00B11E04"/>
    <w:rsid w:val="00B11E97"/>
    <w:rsid w:val="00B11EB8"/>
    <w:rsid w:val="00B11F50"/>
    <w:rsid w:val="00B11FC6"/>
    <w:rsid w:val="00B1200A"/>
    <w:rsid w:val="00B121E2"/>
    <w:rsid w:val="00B122B0"/>
    <w:rsid w:val="00B123C6"/>
    <w:rsid w:val="00B12543"/>
    <w:rsid w:val="00B125F3"/>
    <w:rsid w:val="00B1261B"/>
    <w:rsid w:val="00B1292E"/>
    <w:rsid w:val="00B12964"/>
    <w:rsid w:val="00B129E2"/>
    <w:rsid w:val="00B12BE9"/>
    <w:rsid w:val="00B12C21"/>
    <w:rsid w:val="00B12C61"/>
    <w:rsid w:val="00B12C97"/>
    <w:rsid w:val="00B12D29"/>
    <w:rsid w:val="00B12EC8"/>
    <w:rsid w:val="00B13013"/>
    <w:rsid w:val="00B130D7"/>
    <w:rsid w:val="00B1317D"/>
    <w:rsid w:val="00B131AD"/>
    <w:rsid w:val="00B13202"/>
    <w:rsid w:val="00B13309"/>
    <w:rsid w:val="00B1331E"/>
    <w:rsid w:val="00B13384"/>
    <w:rsid w:val="00B133F1"/>
    <w:rsid w:val="00B1349D"/>
    <w:rsid w:val="00B134B4"/>
    <w:rsid w:val="00B13520"/>
    <w:rsid w:val="00B13603"/>
    <w:rsid w:val="00B13646"/>
    <w:rsid w:val="00B13801"/>
    <w:rsid w:val="00B13805"/>
    <w:rsid w:val="00B13811"/>
    <w:rsid w:val="00B138DB"/>
    <w:rsid w:val="00B138DC"/>
    <w:rsid w:val="00B13914"/>
    <w:rsid w:val="00B1397D"/>
    <w:rsid w:val="00B139C4"/>
    <w:rsid w:val="00B13A98"/>
    <w:rsid w:val="00B13AE0"/>
    <w:rsid w:val="00B13AF0"/>
    <w:rsid w:val="00B13C6E"/>
    <w:rsid w:val="00B13CC6"/>
    <w:rsid w:val="00B13CD0"/>
    <w:rsid w:val="00B13E49"/>
    <w:rsid w:val="00B13EE6"/>
    <w:rsid w:val="00B13FB0"/>
    <w:rsid w:val="00B13FD1"/>
    <w:rsid w:val="00B140CC"/>
    <w:rsid w:val="00B14253"/>
    <w:rsid w:val="00B14273"/>
    <w:rsid w:val="00B1427D"/>
    <w:rsid w:val="00B14339"/>
    <w:rsid w:val="00B143E7"/>
    <w:rsid w:val="00B1450F"/>
    <w:rsid w:val="00B14543"/>
    <w:rsid w:val="00B14563"/>
    <w:rsid w:val="00B14582"/>
    <w:rsid w:val="00B145A0"/>
    <w:rsid w:val="00B14763"/>
    <w:rsid w:val="00B1478A"/>
    <w:rsid w:val="00B1484C"/>
    <w:rsid w:val="00B149D1"/>
    <w:rsid w:val="00B14CF7"/>
    <w:rsid w:val="00B14E2C"/>
    <w:rsid w:val="00B14E7F"/>
    <w:rsid w:val="00B14EBC"/>
    <w:rsid w:val="00B14EFC"/>
    <w:rsid w:val="00B14F45"/>
    <w:rsid w:val="00B1512F"/>
    <w:rsid w:val="00B151EF"/>
    <w:rsid w:val="00B1530A"/>
    <w:rsid w:val="00B15328"/>
    <w:rsid w:val="00B153C2"/>
    <w:rsid w:val="00B154FD"/>
    <w:rsid w:val="00B1552D"/>
    <w:rsid w:val="00B15565"/>
    <w:rsid w:val="00B155D1"/>
    <w:rsid w:val="00B1563C"/>
    <w:rsid w:val="00B15742"/>
    <w:rsid w:val="00B15753"/>
    <w:rsid w:val="00B157A9"/>
    <w:rsid w:val="00B1585D"/>
    <w:rsid w:val="00B158CA"/>
    <w:rsid w:val="00B158DA"/>
    <w:rsid w:val="00B158EC"/>
    <w:rsid w:val="00B1597C"/>
    <w:rsid w:val="00B15BA2"/>
    <w:rsid w:val="00B15C93"/>
    <w:rsid w:val="00B15CDB"/>
    <w:rsid w:val="00B15D61"/>
    <w:rsid w:val="00B15D9F"/>
    <w:rsid w:val="00B15E83"/>
    <w:rsid w:val="00B15EDD"/>
    <w:rsid w:val="00B16071"/>
    <w:rsid w:val="00B16130"/>
    <w:rsid w:val="00B16176"/>
    <w:rsid w:val="00B161C5"/>
    <w:rsid w:val="00B1626F"/>
    <w:rsid w:val="00B162E2"/>
    <w:rsid w:val="00B164A7"/>
    <w:rsid w:val="00B16500"/>
    <w:rsid w:val="00B1663B"/>
    <w:rsid w:val="00B16655"/>
    <w:rsid w:val="00B1670D"/>
    <w:rsid w:val="00B16729"/>
    <w:rsid w:val="00B167A6"/>
    <w:rsid w:val="00B1688A"/>
    <w:rsid w:val="00B168AF"/>
    <w:rsid w:val="00B16AB7"/>
    <w:rsid w:val="00B16BCA"/>
    <w:rsid w:val="00B16BE9"/>
    <w:rsid w:val="00B16C69"/>
    <w:rsid w:val="00B16DA0"/>
    <w:rsid w:val="00B16E72"/>
    <w:rsid w:val="00B16EFF"/>
    <w:rsid w:val="00B16F3E"/>
    <w:rsid w:val="00B1701B"/>
    <w:rsid w:val="00B17033"/>
    <w:rsid w:val="00B171B4"/>
    <w:rsid w:val="00B171E4"/>
    <w:rsid w:val="00B172F8"/>
    <w:rsid w:val="00B175AC"/>
    <w:rsid w:val="00B175F2"/>
    <w:rsid w:val="00B1777C"/>
    <w:rsid w:val="00B177D9"/>
    <w:rsid w:val="00B177E8"/>
    <w:rsid w:val="00B1780F"/>
    <w:rsid w:val="00B178D4"/>
    <w:rsid w:val="00B17A28"/>
    <w:rsid w:val="00B17A70"/>
    <w:rsid w:val="00B17AD3"/>
    <w:rsid w:val="00B17D3F"/>
    <w:rsid w:val="00B17DC2"/>
    <w:rsid w:val="00B17E78"/>
    <w:rsid w:val="00B17E97"/>
    <w:rsid w:val="00B17EB8"/>
    <w:rsid w:val="00B17F02"/>
    <w:rsid w:val="00B17F53"/>
    <w:rsid w:val="00B17F76"/>
    <w:rsid w:val="00B17FAE"/>
    <w:rsid w:val="00B200D3"/>
    <w:rsid w:val="00B20158"/>
    <w:rsid w:val="00B201BC"/>
    <w:rsid w:val="00B203AA"/>
    <w:rsid w:val="00B204A1"/>
    <w:rsid w:val="00B2060E"/>
    <w:rsid w:val="00B207EE"/>
    <w:rsid w:val="00B20843"/>
    <w:rsid w:val="00B20871"/>
    <w:rsid w:val="00B20A7A"/>
    <w:rsid w:val="00B20BDC"/>
    <w:rsid w:val="00B20C48"/>
    <w:rsid w:val="00B20E43"/>
    <w:rsid w:val="00B210BF"/>
    <w:rsid w:val="00B210DB"/>
    <w:rsid w:val="00B2115A"/>
    <w:rsid w:val="00B2160B"/>
    <w:rsid w:val="00B216E3"/>
    <w:rsid w:val="00B217A9"/>
    <w:rsid w:val="00B217FA"/>
    <w:rsid w:val="00B21963"/>
    <w:rsid w:val="00B21970"/>
    <w:rsid w:val="00B21B13"/>
    <w:rsid w:val="00B21B63"/>
    <w:rsid w:val="00B21BA9"/>
    <w:rsid w:val="00B21BAD"/>
    <w:rsid w:val="00B21BCE"/>
    <w:rsid w:val="00B21BFF"/>
    <w:rsid w:val="00B21C31"/>
    <w:rsid w:val="00B21C5D"/>
    <w:rsid w:val="00B21C61"/>
    <w:rsid w:val="00B21D82"/>
    <w:rsid w:val="00B21D85"/>
    <w:rsid w:val="00B21EF9"/>
    <w:rsid w:val="00B21FF3"/>
    <w:rsid w:val="00B2205B"/>
    <w:rsid w:val="00B22168"/>
    <w:rsid w:val="00B22245"/>
    <w:rsid w:val="00B2228D"/>
    <w:rsid w:val="00B2233D"/>
    <w:rsid w:val="00B223D5"/>
    <w:rsid w:val="00B223F2"/>
    <w:rsid w:val="00B22493"/>
    <w:rsid w:val="00B225AE"/>
    <w:rsid w:val="00B22631"/>
    <w:rsid w:val="00B227B0"/>
    <w:rsid w:val="00B227D7"/>
    <w:rsid w:val="00B22847"/>
    <w:rsid w:val="00B22878"/>
    <w:rsid w:val="00B228AA"/>
    <w:rsid w:val="00B229AB"/>
    <w:rsid w:val="00B22C8F"/>
    <w:rsid w:val="00B22DE7"/>
    <w:rsid w:val="00B22E17"/>
    <w:rsid w:val="00B22E3A"/>
    <w:rsid w:val="00B2311F"/>
    <w:rsid w:val="00B2312A"/>
    <w:rsid w:val="00B23271"/>
    <w:rsid w:val="00B232F1"/>
    <w:rsid w:val="00B2332D"/>
    <w:rsid w:val="00B23432"/>
    <w:rsid w:val="00B23435"/>
    <w:rsid w:val="00B23563"/>
    <w:rsid w:val="00B2386F"/>
    <w:rsid w:val="00B239C3"/>
    <w:rsid w:val="00B23A98"/>
    <w:rsid w:val="00B23AB6"/>
    <w:rsid w:val="00B23B6C"/>
    <w:rsid w:val="00B23BDE"/>
    <w:rsid w:val="00B23C2D"/>
    <w:rsid w:val="00B23D9F"/>
    <w:rsid w:val="00B23E20"/>
    <w:rsid w:val="00B23FBA"/>
    <w:rsid w:val="00B23FD4"/>
    <w:rsid w:val="00B23FEC"/>
    <w:rsid w:val="00B2418E"/>
    <w:rsid w:val="00B2419B"/>
    <w:rsid w:val="00B24203"/>
    <w:rsid w:val="00B24286"/>
    <w:rsid w:val="00B2430C"/>
    <w:rsid w:val="00B2442B"/>
    <w:rsid w:val="00B244CC"/>
    <w:rsid w:val="00B2459F"/>
    <w:rsid w:val="00B24662"/>
    <w:rsid w:val="00B2479B"/>
    <w:rsid w:val="00B247B0"/>
    <w:rsid w:val="00B24838"/>
    <w:rsid w:val="00B248F8"/>
    <w:rsid w:val="00B24A7B"/>
    <w:rsid w:val="00B24AB5"/>
    <w:rsid w:val="00B24AC5"/>
    <w:rsid w:val="00B24BFF"/>
    <w:rsid w:val="00B24C59"/>
    <w:rsid w:val="00B24D0D"/>
    <w:rsid w:val="00B24E93"/>
    <w:rsid w:val="00B25024"/>
    <w:rsid w:val="00B2509B"/>
    <w:rsid w:val="00B250E7"/>
    <w:rsid w:val="00B252C4"/>
    <w:rsid w:val="00B25378"/>
    <w:rsid w:val="00B25390"/>
    <w:rsid w:val="00B2540B"/>
    <w:rsid w:val="00B254C8"/>
    <w:rsid w:val="00B2556D"/>
    <w:rsid w:val="00B255A8"/>
    <w:rsid w:val="00B25624"/>
    <w:rsid w:val="00B256C5"/>
    <w:rsid w:val="00B2572F"/>
    <w:rsid w:val="00B25973"/>
    <w:rsid w:val="00B259A7"/>
    <w:rsid w:val="00B25B10"/>
    <w:rsid w:val="00B25B48"/>
    <w:rsid w:val="00B25B69"/>
    <w:rsid w:val="00B25B7D"/>
    <w:rsid w:val="00B25C13"/>
    <w:rsid w:val="00B25EAA"/>
    <w:rsid w:val="00B25F6E"/>
    <w:rsid w:val="00B25F8C"/>
    <w:rsid w:val="00B2638E"/>
    <w:rsid w:val="00B264EE"/>
    <w:rsid w:val="00B265F6"/>
    <w:rsid w:val="00B26729"/>
    <w:rsid w:val="00B2675D"/>
    <w:rsid w:val="00B26779"/>
    <w:rsid w:val="00B267D6"/>
    <w:rsid w:val="00B26879"/>
    <w:rsid w:val="00B268C1"/>
    <w:rsid w:val="00B2696C"/>
    <w:rsid w:val="00B26A9E"/>
    <w:rsid w:val="00B26BB0"/>
    <w:rsid w:val="00B26C03"/>
    <w:rsid w:val="00B26C77"/>
    <w:rsid w:val="00B26CBF"/>
    <w:rsid w:val="00B26E8F"/>
    <w:rsid w:val="00B26FC8"/>
    <w:rsid w:val="00B270C0"/>
    <w:rsid w:val="00B27196"/>
    <w:rsid w:val="00B2721F"/>
    <w:rsid w:val="00B27221"/>
    <w:rsid w:val="00B27335"/>
    <w:rsid w:val="00B2756E"/>
    <w:rsid w:val="00B27626"/>
    <w:rsid w:val="00B27714"/>
    <w:rsid w:val="00B2777A"/>
    <w:rsid w:val="00B277C0"/>
    <w:rsid w:val="00B2785F"/>
    <w:rsid w:val="00B278A4"/>
    <w:rsid w:val="00B278C0"/>
    <w:rsid w:val="00B278D4"/>
    <w:rsid w:val="00B279CF"/>
    <w:rsid w:val="00B27A04"/>
    <w:rsid w:val="00B27B74"/>
    <w:rsid w:val="00B27D76"/>
    <w:rsid w:val="00B27DF5"/>
    <w:rsid w:val="00B27E7D"/>
    <w:rsid w:val="00B27F20"/>
    <w:rsid w:val="00B27FCE"/>
    <w:rsid w:val="00B30003"/>
    <w:rsid w:val="00B300A1"/>
    <w:rsid w:val="00B30212"/>
    <w:rsid w:val="00B302A8"/>
    <w:rsid w:val="00B30373"/>
    <w:rsid w:val="00B3047F"/>
    <w:rsid w:val="00B304B6"/>
    <w:rsid w:val="00B305DE"/>
    <w:rsid w:val="00B30625"/>
    <w:rsid w:val="00B307D4"/>
    <w:rsid w:val="00B30988"/>
    <w:rsid w:val="00B30A01"/>
    <w:rsid w:val="00B30AD4"/>
    <w:rsid w:val="00B30C05"/>
    <w:rsid w:val="00B30CC9"/>
    <w:rsid w:val="00B30CF5"/>
    <w:rsid w:val="00B30E34"/>
    <w:rsid w:val="00B30EF8"/>
    <w:rsid w:val="00B30EFB"/>
    <w:rsid w:val="00B31018"/>
    <w:rsid w:val="00B310CA"/>
    <w:rsid w:val="00B310D3"/>
    <w:rsid w:val="00B31177"/>
    <w:rsid w:val="00B31280"/>
    <w:rsid w:val="00B31282"/>
    <w:rsid w:val="00B3129F"/>
    <w:rsid w:val="00B31604"/>
    <w:rsid w:val="00B31640"/>
    <w:rsid w:val="00B3165C"/>
    <w:rsid w:val="00B3177A"/>
    <w:rsid w:val="00B317BA"/>
    <w:rsid w:val="00B31826"/>
    <w:rsid w:val="00B318C0"/>
    <w:rsid w:val="00B319D8"/>
    <w:rsid w:val="00B31B32"/>
    <w:rsid w:val="00B31BCB"/>
    <w:rsid w:val="00B31C24"/>
    <w:rsid w:val="00B31CA8"/>
    <w:rsid w:val="00B31D10"/>
    <w:rsid w:val="00B31D33"/>
    <w:rsid w:val="00B31F5B"/>
    <w:rsid w:val="00B31F75"/>
    <w:rsid w:val="00B31FD6"/>
    <w:rsid w:val="00B3205B"/>
    <w:rsid w:val="00B320D5"/>
    <w:rsid w:val="00B32182"/>
    <w:rsid w:val="00B3243B"/>
    <w:rsid w:val="00B32496"/>
    <w:rsid w:val="00B32515"/>
    <w:rsid w:val="00B325CA"/>
    <w:rsid w:val="00B32681"/>
    <w:rsid w:val="00B32692"/>
    <w:rsid w:val="00B32697"/>
    <w:rsid w:val="00B32930"/>
    <w:rsid w:val="00B32ABC"/>
    <w:rsid w:val="00B32B22"/>
    <w:rsid w:val="00B32B39"/>
    <w:rsid w:val="00B32B9A"/>
    <w:rsid w:val="00B32D00"/>
    <w:rsid w:val="00B32E33"/>
    <w:rsid w:val="00B32E59"/>
    <w:rsid w:val="00B32F08"/>
    <w:rsid w:val="00B32F53"/>
    <w:rsid w:val="00B33117"/>
    <w:rsid w:val="00B33231"/>
    <w:rsid w:val="00B332C4"/>
    <w:rsid w:val="00B332E4"/>
    <w:rsid w:val="00B3332A"/>
    <w:rsid w:val="00B3337A"/>
    <w:rsid w:val="00B3346E"/>
    <w:rsid w:val="00B33505"/>
    <w:rsid w:val="00B335EB"/>
    <w:rsid w:val="00B33904"/>
    <w:rsid w:val="00B339D7"/>
    <w:rsid w:val="00B339F2"/>
    <w:rsid w:val="00B33A15"/>
    <w:rsid w:val="00B33A6F"/>
    <w:rsid w:val="00B33B43"/>
    <w:rsid w:val="00B33BD1"/>
    <w:rsid w:val="00B33BF5"/>
    <w:rsid w:val="00B33C94"/>
    <w:rsid w:val="00B33DF4"/>
    <w:rsid w:val="00B33DF7"/>
    <w:rsid w:val="00B33E38"/>
    <w:rsid w:val="00B3403C"/>
    <w:rsid w:val="00B34060"/>
    <w:rsid w:val="00B340B8"/>
    <w:rsid w:val="00B34203"/>
    <w:rsid w:val="00B343BC"/>
    <w:rsid w:val="00B344D0"/>
    <w:rsid w:val="00B344F9"/>
    <w:rsid w:val="00B345D5"/>
    <w:rsid w:val="00B34609"/>
    <w:rsid w:val="00B348A6"/>
    <w:rsid w:val="00B34C3C"/>
    <w:rsid w:val="00B34D48"/>
    <w:rsid w:val="00B34D54"/>
    <w:rsid w:val="00B34EA2"/>
    <w:rsid w:val="00B34F34"/>
    <w:rsid w:val="00B34FAE"/>
    <w:rsid w:val="00B34FF0"/>
    <w:rsid w:val="00B3504B"/>
    <w:rsid w:val="00B351FE"/>
    <w:rsid w:val="00B35310"/>
    <w:rsid w:val="00B35390"/>
    <w:rsid w:val="00B354D9"/>
    <w:rsid w:val="00B35527"/>
    <w:rsid w:val="00B35594"/>
    <w:rsid w:val="00B357A0"/>
    <w:rsid w:val="00B357E6"/>
    <w:rsid w:val="00B35865"/>
    <w:rsid w:val="00B358A3"/>
    <w:rsid w:val="00B35905"/>
    <w:rsid w:val="00B35913"/>
    <w:rsid w:val="00B35962"/>
    <w:rsid w:val="00B35A84"/>
    <w:rsid w:val="00B35B8A"/>
    <w:rsid w:val="00B35C1B"/>
    <w:rsid w:val="00B35C42"/>
    <w:rsid w:val="00B35C47"/>
    <w:rsid w:val="00B35E27"/>
    <w:rsid w:val="00B35E35"/>
    <w:rsid w:val="00B35EEC"/>
    <w:rsid w:val="00B35F6B"/>
    <w:rsid w:val="00B35FB5"/>
    <w:rsid w:val="00B36059"/>
    <w:rsid w:val="00B360C7"/>
    <w:rsid w:val="00B361A3"/>
    <w:rsid w:val="00B361CD"/>
    <w:rsid w:val="00B361DE"/>
    <w:rsid w:val="00B3635C"/>
    <w:rsid w:val="00B36394"/>
    <w:rsid w:val="00B363FB"/>
    <w:rsid w:val="00B36458"/>
    <w:rsid w:val="00B364A4"/>
    <w:rsid w:val="00B364CD"/>
    <w:rsid w:val="00B36583"/>
    <w:rsid w:val="00B365F1"/>
    <w:rsid w:val="00B36633"/>
    <w:rsid w:val="00B3690D"/>
    <w:rsid w:val="00B369CE"/>
    <w:rsid w:val="00B369E1"/>
    <w:rsid w:val="00B36A81"/>
    <w:rsid w:val="00B36FE1"/>
    <w:rsid w:val="00B37046"/>
    <w:rsid w:val="00B3708E"/>
    <w:rsid w:val="00B37166"/>
    <w:rsid w:val="00B37365"/>
    <w:rsid w:val="00B37539"/>
    <w:rsid w:val="00B375E4"/>
    <w:rsid w:val="00B37606"/>
    <w:rsid w:val="00B37701"/>
    <w:rsid w:val="00B37795"/>
    <w:rsid w:val="00B37809"/>
    <w:rsid w:val="00B37872"/>
    <w:rsid w:val="00B378CB"/>
    <w:rsid w:val="00B37902"/>
    <w:rsid w:val="00B379C2"/>
    <w:rsid w:val="00B37A05"/>
    <w:rsid w:val="00B37A20"/>
    <w:rsid w:val="00B37B78"/>
    <w:rsid w:val="00B37B7B"/>
    <w:rsid w:val="00B37BCE"/>
    <w:rsid w:val="00B37CC3"/>
    <w:rsid w:val="00B37CD4"/>
    <w:rsid w:val="00B37DC6"/>
    <w:rsid w:val="00B37DF1"/>
    <w:rsid w:val="00B37DF3"/>
    <w:rsid w:val="00B37E5C"/>
    <w:rsid w:val="00B37E89"/>
    <w:rsid w:val="00B37E94"/>
    <w:rsid w:val="00B37EC3"/>
    <w:rsid w:val="00B37EF9"/>
    <w:rsid w:val="00B37F64"/>
    <w:rsid w:val="00B4005E"/>
    <w:rsid w:val="00B40194"/>
    <w:rsid w:val="00B40250"/>
    <w:rsid w:val="00B402EB"/>
    <w:rsid w:val="00B4044C"/>
    <w:rsid w:val="00B4053E"/>
    <w:rsid w:val="00B405C7"/>
    <w:rsid w:val="00B4066E"/>
    <w:rsid w:val="00B4067D"/>
    <w:rsid w:val="00B40783"/>
    <w:rsid w:val="00B40813"/>
    <w:rsid w:val="00B4088F"/>
    <w:rsid w:val="00B40896"/>
    <w:rsid w:val="00B408DB"/>
    <w:rsid w:val="00B409FC"/>
    <w:rsid w:val="00B40A48"/>
    <w:rsid w:val="00B40A70"/>
    <w:rsid w:val="00B40ADD"/>
    <w:rsid w:val="00B40BCE"/>
    <w:rsid w:val="00B40C26"/>
    <w:rsid w:val="00B40D04"/>
    <w:rsid w:val="00B40D44"/>
    <w:rsid w:val="00B40E22"/>
    <w:rsid w:val="00B40E6F"/>
    <w:rsid w:val="00B40F54"/>
    <w:rsid w:val="00B40FBB"/>
    <w:rsid w:val="00B40FE4"/>
    <w:rsid w:val="00B411D2"/>
    <w:rsid w:val="00B41210"/>
    <w:rsid w:val="00B4124E"/>
    <w:rsid w:val="00B41256"/>
    <w:rsid w:val="00B413BD"/>
    <w:rsid w:val="00B413C6"/>
    <w:rsid w:val="00B41572"/>
    <w:rsid w:val="00B41597"/>
    <w:rsid w:val="00B415C7"/>
    <w:rsid w:val="00B415E0"/>
    <w:rsid w:val="00B4162C"/>
    <w:rsid w:val="00B41685"/>
    <w:rsid w:val="00B41693"/>
    <w:rsid w:val="00B41714"/>
    <w:rsid w:val="00B4182E"/>
    <w:rsid w:val="00B41833"/>
    <w:rsid w:val="00B4183C"/>
    <w:rsid w:val="00B41886"/>
    <w:rsid w:val="00B418C0"/>
    <w:rsid w:val="00B41A8E"/>
    <w:rsid w:val="00B41ABA"/>
    <w:rsid w:val="00B41B1B"/>
    <w:rsid w:val="00B41B38"/>
    <w:rsid w:val="00B41D39"/>
    <w:rsid w:val="00B41DBF"/>
    <w:rsid w:val="00B41E33"/>
    <w:rsid w:val="00B42057"/>
    <w:rsid w:val="00B4206E"/>
    <w:rsid w:val="00B420A9"/>
    <w:rsid w:val="00B42303"/>
    <w:rsid w:val="00B42385"/>
    <w:rsid w:val="00B423F0"/>
    <w:rsid w:val="00B424BE"/>
    <w:rsid w:val="00B4257A"/>
    <w:rsid w:val="00B42628"/>
    <w:rsid w:val="00B426C6"/>
    <w:rsid w:val="00B42795"/>
    <w:rsid w:val="00B42989"/>
    <w:rsid w:val="00B429FB"/>
    <w:rsid w:val="00B42B17"/>
    <w:rsid w:val="00B42B84"/>
    <w:rsid w:val="00B42BDF"/>
    <w:rsid w:val="00B42E92"/>
    <w:rsid w:val="00B4304F"/>
    <w:rsid w:val="00B431A6"/>
    <w:rsid w:val="00B431CD"/>
    <w:rsid w:val="00B4322F"/>
    <w:rsid w:val="00B4325E"/>
    <w:rsid w:val="00B432CE"/>
    <w:rsid w:val="00B43526"/>
    <w:rsid w:val="00B43561"/>
    <w:rsid w:val="00B435AA"/>
    <w:rsid w:val="00B435B3"/>
    <w:rsid w:val="00B4375A"/>
    <w:rsid w:val="00B4385D"/>
    <w:rsid w:val="00B4394C"/>
    <w:rsid w:val="00B4397A"/>
    <w:rsid w:val="00B43A97"/>
    <w:rsid w:val="00B43AA4"/>
    <w:rsid w:val="00B43B82"/>
    <w:rsid w:val="00B43C15"/>
    <w:rsid w:val="00B43C72"/>
    <w:rsid w:val="00B43CA9"/>
    <w:rsid w:val="00B43CDB"/>
    <w:rsid w:val="00B43CFA"/>
    <w:rsid w:val="00B43D2B"/>
    <w:rsid w:val="00B43D78"/>
    <w:rsid w:val="00B43F8C"/>
    <w:rsid w:val="00B4402A"/>
    <w:rsid w:val="00B44178"/>
    <w:rsid w:val="00B44362"/>
    <w:rsid w:val="00B44375"/>
    <w:rsid w:val="00B44465"/>
    <w:rsid w:val="00B44493"/>
    <w:rsid w:val="00B44634"/>
    <w:rsid w:val="00B446E6"/>
    <w:rsid w:val="00B447E0"/>
    <w:rsid w:val="00B44923"/>
    <w:rsid w:val="00B44B10"/>
    <w:rsid w:val="00B44BC3"/>
    <w:rsid w:val="00B44C91"/>
    <w:rsid w:val="00B44CBB"/>
    <w:rsid w:val="00B44CC3"/>
    <w:rsid w:val="00B44D97"/>
    <w:rsid w:val="00B44F8C"/>
    <w:rsid w:val="00B45021"/>
    <w:rsid w:val="00B45042"/>
    <w:rsid w:val="00B45047"/>
    <w:rsid w:val="00B450CA"/>
    <w:rsid w:val="00B45176"/>
    <w:rsid w:val="00B451B2"/>
    <w:rsid w:val="00B45242"/>
    <w:rsid w:val="00B454E9"/>
    <w:rsid w:val="00B455BE"/>
    <w:rsid w:val="00B45634"/>
    <w:rsid w:val="00B456FB"/>
    <w:rsid w:val="00B4587F"/>
    <w:rsid w:val="00B458E4"/>
    <w:rsid w:val="00B45943"/>
    <w:rsid w:val="00B4599D"/>
    <w:rsid w:val="00B45A2C"/>
    <w:rsid w:val="00B45A5E"/>
    <w:rsid w:val="00B45A9E"/>
    <w:rsid w:val="00B45B6C"/>
    <w:rsid w:val="00B45C04"/>
    <w:rsid w:val="00B45C74"/>
    <w:rsid w:val="00B45D89"/>
    <w:rsid w:val="00B45E4F"/>
    <w:rsid w:val="00B45EDB"/>
    <w:rsid w:val="00B45F8A"/>
    <w:rsid w:val="00B461BC"/>
    <w:rsid w:val="00B461E5"/>
    <w:rsid w:val="00B4625B"/>
    <w:rsid w:val="00B462BF"/>
    <w:rsid w:val="00B4634E"/>
    <w:rsid w:val="00B463ED"/>
    <w:rsid w:val="00B4646B"/>
    <w:rsid w:val="00B46561"/>
    <w:rsid w:val="00B465C9"/>
    <w:rsid w:val="00B465DA"/>
    <w:rsid w:val="00B465ED"/>
    <w:rsid w:val="00B46615"/>
    <w:rsid w:val="00B466F6"/>
    <w:rsid w:val="00B46784"/>
    <w:rsid w:val="00B46786"/>
    <w:rsid w:val="00B4684E"/>
    <w:rsid w:val="00B46897"/>
    <w:rsid w:val="00B468FB"/>
    <w:rsid w:val="00B4692F"/>
    <w:rsid w:val="00B46993"/>
    <w:rsid w:val="00B469A1"/>
    <w:rsid w:val="00B46AC5"/>
    <w:rsid w:val="00B46C72"/>
    <w:rsid w:val="00B46D1F"/>
    <w:rsid w:val="00B46F0D"/>
    <w:rsid w:val="00B46FF7"/>
    <w:rsid w:val="00B47066"/>
    <w:rsid w:val="00B4709E"/>
    <w:rsid w:val="00B47172"/>
    <w:rsid w:val="00B4718E"/>
    <w:rsid w:val="00B471F2"/>
    <w:rsid w:val="00B47255"/>
    <w:rsid w:val="00B47283"/>
    <w:rsid w:val="00B47298"/>
    <w:rsid w:val="00B472E3"/>
    <w:rsid w:val="00B4730D"/>
    <w:rsid w:val="00B47367"/>
    <w:rsid w:val="00B474D0"/>
    <w:rsid w:val="00B475B5"/>
    <w:rsid w:val="00B4769B"/>
    <w:rsid w:val="00B47723"/>
    <w:rsid w:val="00B4773C"/>
    <w:rsid w:val="00B4774F"/>
    <w:rsid w:val="00B47834"/>
    <w:rsid w:val="00B479BB"/>
    <w:rsid w:val="00B479EB"/>
    <w:rsid w:val="00B47AD7"/>
    <w:rsid w:val="00B47B56"/>
    <w:rsid w:val="00B47C26"/>
    <w:rsid w:val="00B47C44"/>
    <w:rsid w:val="00B47CA5"/>
    <w:rsid w:val="00B47CAF"/>
    <w:rsid w:val="00B47EE3"/>
    <w:rsid w:val="00B47F08"/>
    <w:rsid w:val="00B47F32"/>
    <w:rsid w:val="00B50078"/>
    <w:rsid w:val="00B50082"/>
    <w:rsid w:val="00B5016A"/>
    <w:rsid w:val="00B50271"/>
    <w:rsid w:val="00B50349"/>
    <w:rsid w:val="00B503DC"/>
    <w:rsid w:val="00B50733"/>
    <w:rsid w:val="00B5079B"/>
    <w:rsid w:val="00B507AD"/>
    <w:rsid w:val="00B507CD"/>
    <w:rsid w:val="00B508A1"/>
    <w:rsid w:val="00B509B1"/>
    <w:rsid w:val="00B50BF7"/>
    <w:rsid w:val="00B50D20"/>
    <w:rsid w:val="00B50D8B"/>
    <w:rsid w:val="00B50DF2"/>
    <w:rsid w:val="00B50FAD"/>
    <w:rsid w:val="00B51162"/>
    <w:rsid w:val="00B51173"/>
    <w:rsid w:val="00B514A1"/>
    <w:rsid w:val="00B51536"/>
    <w:rsid w:val="00B51553"/>
    <w:rsid w:val="00B515EC"/>
    <w:rsid w:val="00B5164D"/>
    <w:rsid w:val="00B51699"/>
    <w:rsid w:val="00B51761"/>
    <w:rsid w:val="00B51784"/>
    <w:rsid w:val="00B51812"/>
    <w:rsid w:val="00B51825"/>
    <w:rsid w:val="00B519BC"/>
    <w:rsid w:val="00B51A20"/>
    <w:rsid w:val="00B51A3F"/>
    <w:rsid w:val="00B51A5B"/>
    <w:rsid w:val="00B51C0B"/>
    <w:rsid w:val="00B51C17"/>
    <w:rsid w:val="00B51C1A"/>
    <w:rsid w:val="00B51CF8"/>
    <w:rsid w:val="00B51D92"/>
    <w:rsid w:val="00B51F7C"/>
    <w:rsid w:val="00B51F8D"/>
    <w:rsid w:val="00B51FDA"/>
    <w:rsid w:val="00B51FE7"/>
    <w:rsid w:val="00B52053"/>
    <w:rsid w:val="00B522B5"/>
    <w:rsid w:val="00B52314"/>
    <w:rsid w:val="00B52455"/>
    <w:rsid w:val="00B52487"/>
    <w:rsid w:val="00B524B9"/>
    <w:rsid w:val="00B524C0"/>
    <w:rsid w:val="00B524FA"/>
    <w:rsid w:val="00B526B9"/>
    <w:rsid w:val="00B526C2"/>
    <w:rsid w:val="00B526CD"/>
    <w:rsid w:val="00B52721"/>
    <w:rsid w:val="00B52733"/>
    <w:rsid w:val="00B529A2"/>
    <w:rsid w:val="00B52B0B"/>
    <w:rsid w:val="00B52B8F"/>
    <w:rsid w:val="00B52E91"/>
    <w:rsid w:val="00B5317C"/>
    <w:rsid w:val="00B53204"/>
    <w:rsid w:val="00B53271"/>
    <w:rsid w:val="00B532D1"/>
    <w:rsid w:val="00B53366"/>
    <w:rsid w:val="00B533A1"/>
    <w:rsid w:val="00B53605"/>
    <w:rsid w:val="00B536E2"/>
    <w:rsid w:val="00B53ADF"/>
    <w:rsid w:val="00B53AED"/>
    <w:rsid w:val="00B53BEE"/>
    <w:rsid w:val="00B53F2B"/>
    <w:rsid w:val="00B53F68"/>
    <w:rsid w:val="00B53FAE"/>
    <w:rsid w:val="00B540EF"/>
    <w:rsid w:val="00B54110"/>
    <w:rsid w:val="00B5413C"/>
    <w:rsid w:val="00B54159"/>
    <w:rsid w:val="00B542BA"/>
    <w:rsid w:val="00B543E9"/>
    <w:rsid w:val="00B5469A"/>
    <w:rsid w:val="00B546B9"/>
    <w:rsid w:val="00B54775"/>
    <w:rsid w:val="00B5479E"/>
    <w:rsid w:val="00B547C1"/>
    <w:rsid w:val="00B548EB"/>
    <w:rsid w:val="00B549F6"/>
    <w:rsid w:val="00B54AB4"/>
    <w:rsid w:val="00B54AEA"/>
    <w:rsid w:val="00B54B23"/>
    <w:rsid w:val="00B54BC4"/>
    <w:rsid w:val="00B54BCC"/>
    <w:rsid w:val="00B54C01"/>
    <w:rsid w:val="00B54C45"/>
    <w:rsid w:val="00B54C8C"/>
    <w:rsid w:val="00B54CBA"/>
    <w:rsid w:val="00B54CC8"/>
    <w:rsid w:val="00B54D32"/>
    <w:rsid w:val="00B54D57"/>
    <w:rsid w:val="00B54D5A"/>
    <w:rsid w:val="00B54DD7"/>
    <w:rsid w:val="00B54E40"/>
    <w:rsid w:val="00B54EA0"/>
    <w:rsid w:val="00B54EC7"/>
    <w:rsid w:val="00B54EDA"/>
    <w:rsid w:val="00B55255"/>
    <w:rsid w:val="00B5528F"/>
    <w:rsid w:val="00B5542A"/>
    <w:rsid w:val="00B55564"/>
    <w:rsid w:val="00B5590C"/>
    <w:rsid w:val="00B5593C"/>
    <w:rsid w:val="00B55960"/>
    <w:rsid w:val="00B55C92"/>
    <w:rsid w:val="00B55DCB"/>
    <w:rsid w:val="00B55E14"/>
    <w:rsid w:val="00B55E8E"/>
    <w:rsid w:val="00B55F6D"/>
    <w:rsid w:val="00B55FE7"/>
    <w:rsid w:val="00B56240"/>
    <w:rsid w:val="00B56329"/>
    <w:rsid w:val="00B56336"/>
    <w:rsid w:val="00B564BB"/>
    <w:rsid w:val="00B565F6"/>
    <w:rsid w:val="00B56703"/>
    <w:rsid w:val="00B5671A"/>
    <w:rsid w:val="00B56933"/>
    <w:rsid w:val="00B56946"/>
    <w:rsid w:val="00B56991"/>
    <w:rsid w:val="00B569D9"/>
    <w:rsid w:val="00B56AC4"/>
    <w:rsid w:val="00B56BDD"/>
    <w:rsid w:val="00B56C87"/>
    <w:rsid w:val="00B56E6E"/>
    <w:rsid w:val="00B56EC3"/>
    <w:rsid w:val="00B56F47"/>
    <w:rsid w:val="00B5703D"/>
    <w:rsid w:val="00B5705C"/>
    <w:rsid w:val="00B570B1"/>
    <w:rsid w:val="00B570BC"/>
    <w:rsid w:val="00B571CA"/>
    <w:rsid w:val="00B5722C"/>
    <w:rsid w:val="00B57303"/>
    <w:rsid w:val="00B57402"/>
    <w:rsid w:val="00B57428"/>
    <w:rsid w:val="00B575CB"/>
    <w:rsid w:val="00B576C4"/>
    <w:rsid w:val="00B577AE"/>
    <w:rsid w:val="00B5781B"/>
    <w:rsid w:val="00B578A4"/>
    <w:rsid w:val="00B57909"/>
    <w:rsid w:val="00B57B04"/>
    <w:rsid w:val="00B57BFF"/>
    <w:rsid w:val="00B57C27"/>
    <w:rsid w:val="00B57C39"/>
    <w:rsid w:val="00B57C5B"/>
    <w:rsid w:val="00B57DA6"/>
    <w:rsid w:val="00B57E34"/>
    <w:rsid w:val="00B57E5C"/>
    <w:rsid w:val="00B57E7A"/>
    <w:rsid w:val="00B57EFD"/>
    <w:rsid w:val="00B57FD4"/>
    <w:rsid w:val="00B60008"/>
    <w:rsid w:val="00B6002C"/>
    <w:rsid w:val="00B6008E"/>
    <w:rsid w:val="00B600E8"/>
    <w:rsid w:val="00B60399"/>
    <w:rsid w:val="00B604B9"/>
    <w:rsid w:val="00B605F0"/>
    <w:rsid w:val="00B606B4"/>
    <w:rsid w:val="00B6082A"/>
    <w:rsid w:val="00B60AB9"/>
    <w:rsid w:val="00B60B39"/>
    <w:rsid w:val="00B60C82"/>
    <w:rsid w:val="00B60CAB"/>
    <w:rsid w:val="00B60DF2"/>
    <w:rsid w:val="00B60F1A"/>
    <w:rsid w:val="00B60F5E"/>
    <w:rsid w:val="00B60FD1"/>
    <w:rsid w:val="00B61016"/>
    <w:rsid w:val="00B6106F"/>
    <w:rsid w:val="00B6115F"/>
    <w:rsid w:val="00B6119B"/>
    <w:rsid w:val="00B611ED"/>
    <w:rsid w:val="00B612BC"/>
    <w:rsid w:val="00B61331"/>
    <w:rsid w:val="00B613DD"/>
    <w:rsid w:val="00B61493"/>
    <w:rsid w:val="00B61696"/>
    <w:rsid w:val="00B61786"/>
    <w:rsid w:val="00B617EF"/>
    <w:rsid w:val="00B61898"/>
    <w:rsid w:val="00B61907"/>
    <w:rsid w:val="00B61966"/>
    <w:rsid w:val="00B61A50"/>
    <w:rsid w:val="00B61AB3"/>
    <w:rsid w:val="00B61B19"/>
    <w:rsid w:val="00B61BCE"/>
    <w:rsid w:val="00B61C90"/>
    <w:rsid w:val="00B61C9E"/>
    <w:rsid w:val="00B61D45"/>
    <w:rsid w:val="00B61E3D"/>
    <w:rsid w:val="00B61ECF"/>
    <w:rsid w:val="00B62097"/>
    <w:rsid w:val="00B620C5"/>
    <w:rsid w:val="00B620E2"/>
    <w:rsid w:val="00B621A5"/>
    <w:rsid w:val="00B62239"/>
    <w:rsid w:val="00B62325"/>
    <w:rsid w:val="00B62415"/>
    <w:rsid w:val="00B6241B"/>
    <w:rsid w:val="00B62625"/>
    <w:rsid w:val="00B628A9"/>
    <w:rsid w:val="00B629AC"/>
    <w:rsid w:val="00B62A36"/>
    <w:rsid w:val="00B62C03"/>
    <w:rsid w:val="00B62C90"/>
    <w:rsid w:val="00B62E01"/>
    <w:rsid w:val="00B62E72"/>
    <w:rsid w:val="00B62F8D"/>
    <w:rsid w:val="00B63047"/>
    <w:rsid w:val="00B6309E"/>
    <w:rsid w:val="00B631B5"/>
    <w:rsid w:val="00B633F6"/>
    <w:rsid w:val="00B63441"/>
    <w:rsid w:val="00B636B4"/>
    <w:rsid w:val="00B63747"/>
    <w:rsid w:val="00B63816"/>
    <w:rsid w:val="00B639B3"/>
    <w:rsid w:val="00B63A69"/>
    <w:rsid w:val="00B63D63"/>
    <w:rsid w:val="00B63DB3"/>
    <w:rsid w:val="00B63E05"/>
    <w:rsid w:val="00B63E43"/>
    <w:rsid w:val="00B6401D"/>
    <w:rsid w:val="00B64074"/>
    <w:rsid w:val="00B6419D"/>
    <w:rsid w:val="00B643B2"/>
    <w:rsid w:val="00B64402"/>
    <w:rsid w:val="00B64432"/>
    <w:rsid w:val="00B64549"/>
    <w:rsid w:val="00B64635"/>
    <w:rsid w:val="00B64705"/>
    <w:rsid w:val="00B648E8"/>
    <w:rsid w:val="00B64A9D"/>
    <w:rsid w:val="00B64C2D"/>
    <w:rsid w:val="00B64C33"/>
    <w:rsid w:val="00B64C70"/>
    <w:rsid w:val="00B64CE4"/>
    <w:rsid w:val="00B64D2F"/>
    <w:rsid w:val="00B64DE6"/>
    <w:rsid w:val="00B64DFB"/>
    <w:rsid w:val="00B64EDE"/>
    <w:rsid w:val="00B64FA1"/>
    <w:rsid w:val="00B65018"/>
    <w:rsid w:val="00B650D6"/>
    <w:rsid w:val="00B650FC"/>
    <w:rsid w:val="00B6511A"/>
    <w:rsid w:val="00B6517D"/>
    <w:rsid w:val="00B651BC"/>
    <w:rsid w:val="00B651F8"/>
    <w:rsid w:val="00B6529A"/>
    <w:rsid w:val="00B65324"/>
    <w:rsid w:val="00B6547D"/>
    <w:rsid w:val="00B655CD"/>
    <w:rsid w:val="00B655E0"/>
    <w:rsid w:val="00B655F4"/>
    <w:rsid w:val="00B65688"/>
    <w:rsid w:val="00B656B6"/>
    <w:rsid w:val="00B6571D"/>
    <w:rsid w:val="00B65744"/>
    <w:rsid w:val="00B65799"/>
    <w:rsid w:val="00B65896"/>
    <w:rsid w:val="00B6597F"/>
    <w:rsid w:val="00B65A5D"/>
    <w:rsid w:val="00B65A7A"/>
    <w:rsid w:val="00B65A93"/>
    <w:rsid w:val="00B65ABE"/>
    <w:rsid w:val="00B65BF8"/>
    <w:rsid w:val="00B65C19"/>
    <w:rsid w:val="00B65C90"/>
    <w:rsid w:val="00B65C9A"/>
    <w:rsid w:val="00B65D98"/>
    <w:rsid w:val="00B65EAA"/>
    <w:rsid w:val="00B65F3D"/>
    <w:rsid w:val="00B65F57"/>
    <w:rsid w:val="00B65F6B"/>
    <w:rsid w:val="00B65FA2"/>
    <w:rsid w:val="00B66084"/>
    <w:rsid w:val="00B660B2"/>
    <w:rsid w:val="00B661BA"/>
    <w:rsid w:val="00B6625C"/>
    <w:rsid w:val="00B66400"/>
    <w:rsid w:val="00B6642C"/>
    <w:rsid w:val="00B66462"/>
    <w:rsid w:val="00B66557"/>
    <w:rsid w:val="00B666D1"/>
    <w:rsid w:val="00B666E8"/>
    <w:rsid w:val="00B66738"/>
    <w:rsid w:val="00B66764"/>
    <w:rsid w:val="00B6678C"/>
    <w:rsid w:val="00B6692A"/>
    <w:rsid w:val="00B669A8"/>
    <w:rsid w:val="00B669CB"/>
    <w:rsid w:val="00B66A1D"/>
    <w:rsid w:val="00B66C73"/>
    <w:rsid w:val="00B66D2D"/>
    <w:rsid w:val="00B66D6F"/>
    <w:rsid w:val="00B66E53"/>
    <w:rsid w:val="00B66FA9"/>
    <w:rsid w:val="00B66FB8"/>
    <w:rsid w:val="00B670F3"/>
    <w:rsid w:val="00B6718B"/>
    <w:rsid w:val="00B67238"/>
    <w:rsid w:val="00B67249"/>
    <w:rsid w:val="00B672AD"/>
    <w:rsid w:val="00B672BB"/>
    <w:rsid w:val="00B672C2"/>
    <w:rsid w:val="00B672E6"/>
    <w:rsid w:val="00B6734B"/>
    <w:rsid w:val="00B67425"/>
    <w:rsid w:val="00B67446"/>
    <w:rsid w:val="00B674B3"/>
    <w:rsid w:val="00B67509"/>
    <w:rsid w:val="00B675F3"/>
    <w:rsid w:val="00B67605"/>
    <w:rsid w:val="00B6769A"/>
    <w:rsid w:val="00B67776"/>
    <w:rsid w:val="00B677EC"/>
    <w:rsid w:val="00B6789E"/>
    <w:rsid w:val="00B678E2"/>
    <w:rsid w:val="00B67901"/>
    <w:rsid w:val="00B67907"/>
    <w:rsid w:val="00B679FD"/>
    <w:rsid w:val="00B67AE4"/>
    <w:rsid w:val="00B67B12"/>
    <w:rsid w:val="00B67D04"/>
    <w:rsid w:val="00B67E09"/>
    <w:rsid w:val="00B67EC3"/>
    <w:rsid w:val="00B70059"/>
    <w:rsid w:val="00B701F1"/>
    <w:rsid w:val="00B7033B"/>
    <w:rsid w:val="00B703F8"/>
    <w:rsid w:val="00B70553"/>
    <w:rsid w:val="00B705CF"/>
    <w:rsid w:val="00B7062C"/>
    <w:rsid w:val="00B709D2"/>
    <w:rsid w:val="00B70AC1"/>
    <w:rsid w:val="00B70B9D"/>
    <w:rsid w:val="00B70BE6"/>
    <w:rsid w:val="00B70C21"/>
    <w:rsid w:val="00B70E37"/>
    <w:rsid w:val="00B70EF2"/>
    <w:rsid w:val="00B71002"/>
    <w:rsid w:val="00B710AB"/>
    <w:rsid w:val="00B710D9"/>
    <w:rsid w:val="00B710DF"/>
    <w:rsid w:val="00B71337"/>
    <w:rsid w:val="00B713E6"/>
    <w:rsid w:val="00B7142C"/>
    <w:rsid w:val="00B7148E"/>
    <w:rsid w:val="00B7152A"/>
    <w:rsid w:val="00B7179F"/>
    <w:rsid w:val="00B717A6"/>
    <w:rsid w:val="00B717D3"/>
    <w:rsid w:val="00B718D7"/>
    <w:rsid w:val="00B71A00"/>
    <w:rsid w:val="00B71B99"/>
    <w:rsid w:val="00B71BC3"/>
    <w:rsid w:val="00B71BE9"/>
    <w:rsid w:val="00B71C1F"/>
    <w:rsid w:val="00B71C8E"/>
    <w:rsid w:val="00B71CEC"/>
    <w:rsid w:val="00B71D3B"/>
    <w:rsid w:val="00B71D98"/>
    <w:rsid w:val="00B71E69"/>
    <w:rsid w:val="00B71F4C"/>
    <w:rsid w:val="00B721CD"/>
    <w:rsid w:val="00B72235"/>
    <w:rsid w:val="00B723F8"/>
    <w:rsid w:val="00B7247A"/>
    <w:rsid w:val="00B72598"/>
    <w:rsid w:val="00B725E0"/>
    <w:rsid w:val="00B72627"/>
    <w:rsid w:val="00B72655"/>
    <w:rsid w:val="00B72656"/>
    <w:rsid w:val="00B726B8"/>
    <w:rsid w:val="00B72713"/>
    <w:rsid w:val="00B72762"/>
    <w:rsid w:val="00B72A59"/>
    <w:rsid w:val="00B72B89"/>
    <w:rsid w:val="00B72BC3"/>
    <w:rsid w:val="00B72BD5"/>
    <w:rsid w:val="00B72C68"/>
    <w:rsid w:val="00B72C6E"/>
    <w:rsid w:val="00B72D7D"/>
    <w:rsid w:val="00B72DD5"/>
    <w:rsid w:val="00B72DFD"/>
    <w:rsid w:val="00B72FB3"/>
    <w:rsid w:val="00B73059"/>
    <w:rsid w:val="00B73122"/>
    <w:rsid w:val="00B731D2"/>
    <w:rsid w:val="00B732BF"/>
    <w:rsid w:val="00B73317"/>
    <w:rsid w:val="00B7334A"/>
    <w:rsid w:val="00B73357"/>
    <w:rsid w:val="00B73359"/>
    <w:rsid w:val="00B7355C"/>
    <w:rsid w:val="00B7359F"/>
    <w:rsid w:val="00B73662"/>
    <w:rsid w:val="00B7396E"/>
    <w:rsid w:val="00B7397D"/>
    <w:rsid w:val="00B73AC0"/>
    <w:rsid w:val="00B73C2C"/>
    <w:rsid w:val="00B73C40"/>
    <w:rsid w:val="00B73C57"/>
    <w:rsid w:val="00B73CE5"/>
    <w:rsid w:val="00B73CF3"/>
    <w:rsid w:val="00B73D85"/>
    <w:rsid w:val="00B73D8C"/>
    <w:rsid w:val="00B73D91"/>
    <w:rsid w:val="00B73E8D"/>
    <w:rsid w:val="00B73F70"/>
    <w:rsid w:val="00B73F8D"/>
    <w:rsid w:val="00B73FAB"/>
    <w:rsid w:val="00B7425F"/>
    <w:rsid w:val="00B74293"/>
    <w:rsid w:val="00B74395"/>
    <w:rsid w:val="00B743A0"/>
    <w:rsid w:val="00B746CA"/>
    <w:rsid w:val="00B7473E"/>
    <w:rsid w:val="00B7487D"/>
    <w:rsid w:val="00B74B43"/>
    <w:rsid w:val="00B74CA6"/>
    <w:rsid w:val="00B74E52"/>
    <w:rsid w:val="00B74F26"/>
    <w:rsid w:val="00B74F41"/>
    <w:rsid w:val="00B7519B"/>
    <w:rsid w:val="00B751B3"/>
    <w:rsid w:val="00B75445"/>
    <w:rsid w:val="00B754B5"/>
    <w:rsid w:val="00B7551E"/>
    <w:rsid w:val="00B7555B"/>
    <w:rsid w:val="00B7563A"/>
    <w:rsid w:val="00B75709"/>
    <w:rsid w:val="00B757D8"/>
    <w:rsid w:val="00B757EA"/>
    <w:rsid w:val="00B75861"/>
    <w:rsid w:val="00B758AF"/>
    <w:rsid w:val="00B7597E"/>
    <w:rsid w:val="00B759AB"/>
    <w:rsid w:val="00B75A4C"/>
    <w:rsid w:val="00B75AC9"/>
    <w:rsid w:val="00B75BD4"/>
    <w:rsid w:val="00B75C8A"/>
    <w:rsid w:val="00B75E11"/>
    <w:rsid w:val="00B75E6D"/>
    <w:rsid w:val="00B75EFF"/>
    <w:rsid w:val="00B76097"/>
    <w:rsid w:val="00B760A6"/>
    <w:rsid w:val="00B760D3"/>
    <w:rsid w:val="00B760D4"/>
    <w:rsid w:val="00B761BA"/>
    <w:rsid w:val="00B76255"/>
    <w:rsid w:val="00B76378"/>
    <w:rsid w:val="00B76408"/>
    <w:rsid w:val="00B76494"/>
    <w:rsid w:val="00B7651A"/>
    <w:rsid w:val="00B765C1"/>
    <w:rsid w:val="00B7660A"/>
    <w:rsid w:val="00B76662"/>
    <w:rsid w:val="00B766C7"/>
    <w:rsid w:val="00B767B5"/>
    <w:rsid w:val="00B768B4"/>
    <w:rsid w:val="00B76927"/>
    <w:rsid w:val="00B76952"/>
    <w:rsid w:val="00B76974"/>
    <w:rsid w:val="00B76AA3"/>
    <w:rsid w:val="00B76ACB"/>
    <w:rsid w:val="00B76ADC"/>
    <w:rsid w:val="00B76B7E"/>
    <w:rsid w:val="00B76B97"/>
    <w:rsid w:val="00B76D55"/>
    <w:rsid w:val="00B76D63"/>
    <w:rsid w:val="00B76D66"/>
    <w:rsid w:val="00B76DBB"/>
    <w:rsid w:val="00B76E63"/>
    <w:rsid w:val="00B76EBB"/>
    <w:rsid w:val="00B76F51"/>
    <w:rsid w:val="00B76F74"/>
    <w:rsid w:val="00B76F81"/>
    <w:rsid w:val="00B7701A"/>
    <w:rsid w:val="00B771B4"/>
    <w:rsid w:val="00B771D1"/>
    <w:rsid w:val="00B7721E"/>
    <w:rsid w:val="00B7727A"/>
    <w:rsid w:val="00B772A8"/>
    <w:rsid w:val="00B772DD"/>
    <w:rsid w:val="00B7730B"/>
    <w:rsid w:val="00B773DE"/>
    <w:rsid w:val="00B7742F"/>
    <w:rsid w:val="00B776C6"/>
    <w:rsid w:val="00B77971"/>
    <w:rsid w:val="00B779F5"/>
    <w:rsid w:val="00B77BFA"/>
    <w:rsid w:val="00B77C0B"/>
    <w:rsid w:val="00B77CA0"/>
    <w:rsid w:val="00B77D57"/>
    <w:rsid w:val="00B77D6C"/>
    <w:rsid w:val="00B77E41"/>
    <w:rsid w:val="00B77E96"/>
    <w:rsid w:val="00B77EFF"/>
    <w:rsid w:val="00B77F61"/>
    <w:rsid w:val="00B77F95"/>
    <w:rsid w:val="00B80008"/>
    <w:rsid w:val="00B800EE"/>
    <w:rsid w:val="00B80211"/>
    <w:rsid w:val="00B80255"/>
    <w:rsid w:val="00B80363"/>
    <w:rsid w:val="00B803D8"/>
    <w:rsid w:val="00B80476"/>
    <w:rsid w:val="00B804B5"/>
    <w:rsid w:val="00B8067E"/>
    <w:rsid w:val="00B8071E"/>
    <w:rsid w:val="00B80744"/>
    <w:rsid w:val="00B8078B"/>
    <w:rsid w:val="00B80832"/>
    <w:rsid w:val="00B808AC"/>
    <w:rsid w:val="00B809AF"/>
    <w:rsid w:val="00B809B1"/>
    <w:rsid w:val="00B809F7"/>
    <w:rsid w:val="00B80B8A"/>
    <w:rsid w:val="00B80BAF"/>
    <w:rsid w:val="00B80BCE"/>
    <w:rsid w:val="00B80C3A"/>
    <w:rsid w:val="00B80CAD"/>
    <w:rsid w:val="00B80CE6"/>
    <w:rsid w:val="00B80D2A"/>
    <w:rsid w:val="00B80E04"/>
    <w:rsid w:val="00B80E86"/>
    <w:rsid w:val="00B80ECD"/>
    <w:rsid w:val="00B81089"/>
    <w:rsid w:val="00B810CB"/>
    <w:rsid w:val="00B812C7"/>
    <w:rsid w:val="00B813A1"/>
    <w:rsid w:val="00B813C2"/>
    <w:rsid w:val="00B81414"/>
    <w:rsid w:val="00B81418"/>
    <w:rsid w:val="00B8148B"/>
    <w:rsid w:val="00B81494"/>
    <w:rsid w:val="00B81603"/>
    <w:rsid w:val="00B816BA"/>
    <w:rsid w:val="00B8171D"/>
    <w:rsid w:val="00B81758"/>
    <w:rsid w:val="00B81768"/>
    <w:rsid w:val="00B81962"/>
    <w:rsid w:val="00B81ABA"/>
    <w:rsid w:val="00B81AF5"/>
    <w:rsid w:val="00B81B7F"/>
    <w:rsid w:val="00B81C78"/>
    <w:rsid w:val="00B81CA2"/>
    <w:rsid w:val="00B81CEC"/>
    <w:rsid w:val="00B81D65"/>
    <w:rsid w:val="00B81DB6"/>
    <w:rsid w:val="00B81DC7"/>
    <w:rsid w:val="00B81DF7"/>
    <w:rsid w:val="00B81EB7"/>
    <w:rsid w:val="00B81EDF"/>
    <w:rsid w:val="00B82046"/>
    <w:rsid w:val="00B82092"/>
    <w:rsid w:val="00B820E1"/>
    <w:rsid w:val="00B82254"/>
    <w:rsid w:val="00B82299"/>
    <w:rsid w:val="00B8229B"/>
    <w:rsid w:val="00B82427"/>
    <w:rsid w:val="00B82501"/>
    <w:rsid w:val="00B8267E"/>
    <w:rsid w:val="00B82752"/>
    <w:rsid w:val="00B82766"/>
    <w:rsid w:val="00B827CA"/>
    <w:rsid w:val="00B82807"/>
    <w:rsid w:val="00B82C08"/>
    <w:rsid w:val="00B82C0B"/>
    <w:rsid w:val="00B82C85"/>
    <w:rsid w:val="00B82F29"/>
    <w:rsid w:val="00B82FA7"/>
    <w:rsid w:val="00B82FE7"/>
    <w:rsid w:val="00B82FFB"/>
    <w:rsid w:val="00B8303E"/>
    <w:rsid w:val="00B831C3"/>
    <w:rsid w:val="00B83277"/>
    <w:rsid w:val="00B83287"/>
    <w:rsid w:val="00B832B5"/>
    <w:rsid w:val="00B834A6"/>
    <w:rsid w:val="00B8354D"/>
    <w:rsid w:val="00B835E7"/>
    <w:rsid w:val="00B836AD"/>
    <w:rsid w:val="00B83714"/>
    <w:rsid w:val="00B838C6"/>
    <w:rsid w:val="00B83936"/>
    <w:rsid w:val="00B83947"/>
    <w:rsid w:val="00B83980"/>
    <w:rsid w:val="00B8398E"/>
    <w:rsid w:val="00B83ACC"/>
    <w:rsid w:val="00B83AE9"/>
    <w:rsid w:val="00B83B29"/>
    <w:rsid w:val="00B83BD0"/>
    <w:rsid w:val="00B83BD5"/>
    <w:rsid w:val="00B83C6B"/>
    <w:rsid w:val="00B83E1C"/>
    <w:rsid w:val="00B83E8B"/>
    <w:rsid w:val="00B84069"/>
    <w:rsid w:val="00B84134"/>
    <w:rsid w:val="00B841C7"/>
    <w:rsid w:val="00B841E7"/>
    <w:rsid w:val="00B84234"/>
    <w:rsid w:val="00B84255"/>
    <w:rsid w:val="00B8431A"/>
    <w:rsid w:val="00B8433C"/>
    <w:rsid w:val="00B84360"/>
    <w:rsid w:val="00B84635"/>
    <w:rsid w:val="00B846D7"/>
    <w:rsid w:val="00B847A1"/>
    <w:rsid w:val="00B8485C"/>
    <w:rsid w:val="00B848F4"/>
    <w:rsid w:val="00B8496F"/>
    <w:rsid w:val="00B84979"/>
    <w:rsid w:val="00B84994"/>
    <w:rsid w:val="00B84A1C"/>
    <w:rsid w:val="00B84A44"/>
    <w:rsid w:val="00B84B57"/>
    <w:rsid w:val="00B84D41"/>
    <w:rsid w:val="00B84D53"/>
    <w:rsid w:val="00B84D74"/>
    <w:rsid w:val="00B84D78"/>
    <w:rsid w:val="00B84FCA"/>
    <w:rsid w:val="00B8506E"/>
    <w:rsid w:val="00B8513E"/>
    <w:rsid w:val="00B852A7"/>
    <w:rsid w:val="00B852F6"/>
    <w:rsid w:val="00B85342"/>
    <w:rsid w:val="00B853C4"/>
    <w:rsid w:val="00B854B3"/>
    <w:rsid w:val="00B8556B"/>
    <w:rsid w:val="00B855CD"/>
    <w:rsid w:val="00B8565E"/>
    <w:rsid w:val="00B8565F"/>
    <w:rsid w:val="00B8569D"/>
    <w:rsid w:val="00B856F4"/>
    <w:rsid w:val="00B8574D"/>
    <w:rsid w:val="00B85780"/>
    <w:rsid w:val="00B858E3"/>
    <w:rsid w:val="00B8598B"/>
    <w:rsid w:val="00B859E5"/>
    <w:rsid w:val="00B85A25"/>
    <w:rsid w:val="00B85A88"/>
    <w:rsid w:val="00B85AD2"/>
    <w:rsid w:val="00B85B02"/>
    <w:rsid w:val="00B85B8F"/>
    <w:rsid w:val="00B85C35"/>
    <w:rsid w:val="00B85CA9"/>
    <w:rsid w:val="00B85E08"/>
    <w:rsid w:val="00B85E37"/>
    <w:rsid w:val="00B85EE1"/>
    <w:rsid w:val="00B85F6D"/>
    <w:rsid w:val="00B85FF7"/>
    <w:rsid w:val="00B86028"/>
    <w:rsid w:val="00B86048"/>
    <w:rsid w:val="00B860EC"/>
    <w:rsid w:val="00B86222"/>
    <w:rsid w:val="00B86467"/>
    <w:rsid w:val="00B8648D"/>
    <w:rsid w:val="00B86518"/>
    <w:rsid w:val="00B865FF"/>
    <w:rsid w:val="00B86642"/>
    <w:rsid w:val="00B86751"/>
    <w:rsid w:val="00B867C3"/>
    <w:rsid w:val="00B8681B"/>
    <w:rsid w:val="00B86B39"/>
    <w:rsid w:val="00B86B7A"/>
    <w:rsid w:val="00B86BFC"/>
    <w:rsid w:val="00B86D3A"/>
    <w:rsid w:val="00B86D4A"/>
    <w:rsid w:val="00B86DEC"/>
    <w:rsid w:val="00B86E72"/>
    <w:rsid w:val="00B86EE2"/>
    <w:rsid w:val="00B87015"/>
    <w:rsid w:val="00B87025"/>
    <w:rsid w:val="00B87049"/>
    <w:rsid w:val="00B871CD"/>
    <w:rsid w:val="00B872C1"/>
    <w:rsid w:val="00B8732B"/>
    <w:rsid w:val="00B87336"/>
    <w:rsid w:val="00B873C9"/>
    <w:rsid w:val="00B873DE"/>
    <w:rsid w:val="00B8741E"/>
    <w:rsid w:val="00B8748E"/>
    <w:rsid w:val="00B8749D"/>
    <w:rsid w:val="00B8749E"/>
    <w:rsid w:val="00B87570"/>
    <w:rsid w:val="00B875B5"/>
    <w:rsid w:val="00B875C3"/>
    <w:rsid w:val="00B87660"/>
    <w:rsid w:val="00B876B8"/>
    <w:rsid w:val="00B87775"/>
    <w:rsid w:val="00B879C5"/>
    <w:rsid w:val="00B879D0"/>
    <w:rsid w:val="00B87D2D"/>
    <w:rsid w:val="00B87D82"/>
    <w:rsid w:val="00B87D90"/>
    <w:rsid w:val="00B87DDA"/>
    <w:rsid w:val="00B87F9C"/>
    <w:rsid w:val="00B9008E"/>
    <w:rsid w:val="00B900DA"/>
    <w:rsid w:val="00B901DE"/>
    <w:rsid w:val="00B901F8"/>
    <w:rsid w:val="00B902E5"/>
    <w:rsid w:val="00B903E5"/>
    <w:rsid w:val="00B90465"/>
    <w:rsid w:val="00B90473"/>
    <w:rsid w:val="00B9049A"/>
    <w:rsid w:val="00B9056F"/>
    <w:rsid w:val="00B906AE"/>
    <w:rsid w:val="00B906FD"/>
    <w:rsid w:val="00B907C3"/>
    <w:rsid w:val="00B908B9"/>
    <w:rsid w:val="00B908C0"/>
    <w:rsid w:val="00B90979"/>
    <w:rsid w:val="00B90A2D"/>
    <w:rsid w:val="00B90A5A"/>
    <w:rsid w:val="00B90CF8"/>
    <w:rsid w:val="00B90D85"/>
    <w:rsid w:val="00B90D89"/>
    <w:rsid w:val="00B90E2C"/>
    <w:rsid w:val="00B90EF2"/>
    <w:rsid w:val="00B9101F"/>
    <w:rsid w:val="00B9103B"/>
    <w:rsid w:val="00B91090"/>
    <w:rsid w:val="00B9111D"/>
    <w:rsid w:val="00B91189"/>
    <w:rsid w:val="00B9118C"/>
    <w:rsid w:val="00B9140C"/>
    <w:rsid w:val="00B915A0"/>
    <w:rsid w:val="00B915AC"/>
    <w:rsid w:val="00B916B9"/>
    <w:rsid w:val="00B919AC"/>
    <w:rsid w:val="00B919B7"/>
    <w:rsid w:val="00B91A6D"/>
    <w:rsid w:val="00B91A80"/>
    <w:rsid w:val="00B91ACB"/>
    <w:rsid w:val="00B91CA6"/>
    <w:rsid w:val="00B91CB2"/>
    <w:rsid w:val="00B91D9B"/>
    <w:rsid w:val="00B91DF7"/>
    <w:rsid w:val="00B91E38"/>
    <w:rsid w:val="00B91E73"/>
    <w:rsid w:val="00B91E7C"/>
    <w:rsid w:val="00B91F18"/>
    <w:rsid w:val="00B921B1"/>
    <w:rsid w:val="00B921EA"/>
    <w:rsid w:val="00B9220B"/>
    <w:rsid w:val="00B92421"/>
    <w:rsid w:val="00B9246F"/>
    <w:rsid w:val="00B9258A"/>
    <w:rsid w:val="00B92598"/>
    <w:rsid w:val="00B9260D"/>
    <w:rsid w:val="00B9261C"/>
    <w:rsid w:val="00B92681"/>
    <w:rsid w:val="00B926A0"/>
    <w:rsid w:val="00B9279E"/>
    <w:rsid w:val="00B928F3"/>
    <w:rsid w:val="00B9296E"/>
    <w:rsid w:val="00B92A27"/>
    <w:rsid w:val="00B92B8D"/>
    <w:rsid w:val="00B92C29"/>
    <w:rsid w:val="00B92C7C"/>
    <w:rsid w:val="00B92CBF"/>
    <w:rsid w:val="00B92CD6"/>
    <w:rsid w:val="00B92DFB"/>
    <w:rsid w:val="00B92EB0"/>
    <w:rsid w:val="00B92FFD"/>
    <w:rsid w:val="00B932C9"/>
    <w:rsid w:val="00B93433"/>
    <w:rsid w:val="00B9344A"/>
    <w:rsid w:val="00B93482"/>
    <w:rsid w:val="00B934EF"/>
    <w:rsid w:val="00B935AA"/>
    <w:rsid w:val="00B935F5"/>
    <w:rsid w:val="00B935FC"/>
    <w:rsid w:val="00B9364A"/>
    <w:rsid w:val="00B93683"/>
    <w:rsid w:val="00B93744"/>
    <w:rsid w:val="00B938BA"/>
    <w:rsid w:val="00B9397F"/>
    <w:rsid w:val="00B9399A"/>
    <w:rsid w:val="00B93A09"/>
    <w:rsid w:val="00B93A0C"/>
    <w:rsid w:val="00B93AED"/>
    <w:rsid w:val="00B93B42"/>
    <w:rsid w:val="00B93B64"/>
    <w:rsid w:val="00B93B6D"/>
    <w:rsid w:val="00B93BFB"/>
    <w:rsid w:val="00B93CCA"/>
    <w:rsid w:val="00B93F0E"/>
    <w:rsid w:val="00B940EF"/>
    <w:rsid w:val="00B94125"/>
    <w:rsid w:val="00B94227"/>
    <w:rsid w:val="00B94252"/>
    <w:rsid w:val="00B942D9"/>
    <w:rsid w:val="00B94358"/>
    <w:rsid w:val="00B94504"/>
    <w:rsid w:val="00B94574"/>
    <w:rsid w:val="00B94578"/>
    <w:rsid w:val="00B945A2"/>
    <w:rsid w:val="00B94680"/>
    <w:rsid w:val="00B946D1"/>
    <w:rsid w:val="00B946DB"/>
    <w:rsid w:val="00B946E2"/>
    <w:rsid w:val="00B94865"/>
    <w:rsid w:val="00B9487F"/>
    <w:rsid w:val="00B94AEA"/>
    <w:rsid w:val="00B94AEE"/>
    <w:rsid w:val="00B94B2D"/>
    <w:rsid w:val="00B94D75"/>
    <w:rsid w:val="00B94D7F"/>
    <w:rsid w:val="00B94E39"/>
    <w:rsid w:val="00B94EA2"/>
    <w:rsid w:val="00B94F96"/>
    <w:rsid w:val="00B94FEA"/>
    <w:rsid w:val="00B95114"/>
    <w:rsid w:val="00B95278"/>
    <w:rsid w:val="00B95299"/>
    <w:rsid w:val="00B952B8"/>
    <w:rsid w:val="00B95380"/>
    <w:rsid w:val="00B954C3"/>
    <w:rsid w:val="00B9556D"/>
    <w:rsid w:val="00B95595"/>
    <w:rsid w:val="00B95713"/>
    <w:rsid w:val="00B9575F"/>
    <w:rsid w:val="00B95774"/>
    <w:rsid w:val="00B9588D"/>
    <w:rsid w:val="00B959CE"/>
    <w:rsid w:val="00B95BE3"/>
    <w:rsid w:val="00B95C7B"/>
    <w:rsid w:val="00B95D3F"/>
    <w:rsid w:val="00B95E91"/>
    <w:rsid w:val="00B95F0C"/>
    <w:rsid w:val="00B95F91"/>
    <w:rsid w:val="00B960EC"/>
    <w:rsid w:val="00B96166"/>
    <w:rsid w:val="00B9618A"/>
    <w:rsid w:val="00B9625A"/>
    <w:rsid w:val="00B96263"/>
    <w:rsid w:val="00B9648C"/>
    <w:rsid w:val="00B9650E"/>
    <w:rsid w:val="00B96552"/>
    <w:rsid w:val="00B96689"/>
    <w:rsid w:val="00B96769"/>
    <w:rsid w:val="00B9676C"/>
    <w:rsid w:val="00B96796"/>
    <w:rsid w:val="00B96824"/>
    <w:rsid w:val="00B96898"/>
    <w:rsid w:val="00B96A8C"/>
    <w:rsid w:val="00B96ABC"/>
    <w:rsid w:val="00B96ABE"/>
    <w:rsid w:val="00B96B49"/>
    <w:rsid w:val="00B96BB1"/>
    <w:rsid w:val="00B96C1F"/>
    <w:rsid w:val="00B96C88"/>
    <w:rsid w:val="00B96D16"/>
    <w:rsid w:val="00B96D95"/>
    <w:rsid w:val="00B96DA9"/>
    <w:rsid w:val="00B96E1E"/>
    <w:rsid w:val="00B970C8"/>
    <w:rsid w:val="00B9712E"/>
    <w:rsid w:val="00B9716B"/>
    <w:rsid w:val="00B972BB"/>
    <w:rsid w:val="00B972C3"/>
    <w:rsid w:val="00B9732C"/>
    <w:rsid w:val="00B97503"/>
    <w:rsid w:val="00B975D4"/>
    <w:rsid w:val="00B97758"/>
    <w:rsid w:val="00B97762"/>
    <w:rsid w:val="00B977CD"/>
    <w:rsid w:val="00B977F6"/>
    <w:rsid w:val="00B97971"/>
    <w:rsid w:val="00B97A87"/>
    <w:rsid w:val="00B97AEE"/>
    <w:rsid w:val="00B97B11"/>
    <w:rsid w:val="00B97B52"/>
    <w:rsid w:val="00B97B60"/>
    <w:rsid w:val="00B97C5C"/>
    <w:rsid w:val="00B97DA4"/>
    <w:rsid w:val="00B97DB6"/>
    <w:rsid w:val="00B97E27"/>
    <w:rsid w:val="00BA002A"/>
    <w:rsid w:val="00BA006A"/>
    <w:rsid w:val="00BA00C4"/>
    <w:rsid w:val="00BA012D"/>
    <w:rsid w:val="00BA0145"/>
    <w:rsid w:val="00BA0180"/>
    <w:rsid w:val="00BA0338"/>
    <w:rsid w:val="00BA0362"/>
    <w:rsid w:val="00BA0438"/>
    <w:rsid w:val="00BA0464"/>
    <w:rsid w:val="00BA04E6"/>
    <w:rsid w:val="00BA0596"/>
    <w:rsid w:val="00BA0658"/>
    <w:rsid w:val="00BA07A2"/>
    <w:rsid w:val="00BA07C5"/>
    <w:rsid w:val="00BA09E3"/>
    <w:rsid w:val="00BA0AA6"/>
    <w:rsid w:val="00BA0C1C"/>
    <w:rsid w:val="00BA0DFB"/>
    <w:rsid w:val="00BA0E61"/>
    <w:rsid w:val="00BA0E7A"/>
    <w:rsid w:val="00BA0FBC"/>
    <w:rsid w:val="00BA1076"/>
    <w:rsid w:val="00BA1274"/>
    <w:rsid w:val="00BA1355"/>
    <w:rsid w:val="00BA1379"/>
    <w:rsid w:val="00BA1383"/>
    <w:rsid w:val="00BA14B4"/>
    <w:rsid w:val="00BA1528"/>
    <w:rsid w:val="00BA1573"/>
    <w:rsid w:val="00BA15A1"/>
    <w:rsid w:val="00BA15BC"/>
    <w:rsid w:val="00BA1614"/>
    <w:rsid w:val="00BA1640"/>
    <w:rsid w:val="00BA167F"/>
    <w:rsid w:val="00BA16A5"/>
    <w:rsid w:val="00BA1718"/>
    <w:rsid w:val="00BA1781"/>
    <w:rsid w:val="00BA182D"/>
    <w:rsid w:val="00BA184E"/>
    <w:rsid w:val="00BA18A2"/>
    <w:rsid w:val="00BA198C"/>
    <w:rsid w:val="00BA1ABD"/>
    <w:rsid w:val="00BA1B58"/>
    <w:rsid w:val="00BA1BD4"/>
    <w:rsid w:val="00BA1CFE"/>
    <w:rsid w:val="00BA1D8F"/>
    <w:rsid w:val="00BA1E89"/>
    <w:rsid w:val="00BA1EA4"/>
    <w:rsid w:val="00BA1ECA"/>
    <w:rsid w:val="00BA1ED5"/>
    <w:rsid w:val="00BA2092"/>
    <w:rsid w:val="00BA2098"/>
    <w:rsid w:val="00BA20B4"/>
    <w:rsid w:val="00BA20DE"/>
    <w:rsid w:val="00BA22F5"/>
    <w:rsid w:val="00BA241E"/>
    <w:rsid w:val="00BA2462"/>
    <w:rsid w:val="00BA2503"/>
    <w:rsid w:val="00BA25C6"/>
    <w:rsid w:val="00BA2640"/>
    <w:rsid w:val="00BA277B"/>
    <w:rsid w:val="00BA27AA"/>
    <w:rsid w:val="00BA282D"/>
    <w:rsid w:val="00BA283D"/>
    <w:rsid w:val="00BA2842"/>
    <w:rsid w:val="00BA2858"/>
    <w:rsid w:val="00BA288A"/>
    <w:rsid w:val="00BA2B41"/>
    <w:rsid w:val="00BA2B60"/>
    <w:rsid w:val="00BA2B98"/>
    <w:rsid w:val="00BA2BDC"/>
    <w:rsid w:val="00BA2BE3"/>
    <w:rsid w:val="00BA2D87"/>
    <w:rsid w:val="00BA2DF2"/>
    <w:rsid w:val="00BA2E08"/>
    <w:rsid w:val="00BA2E48"/>
    <w:rsid w:val="00BA2E95"/>
    <w:rsid w:val="00BA2EB5"/>
    <w:rsid w:val="00BA2EEB"/>
    <w:rsid w:val="00BA2F04"/>
    <w:rsid w:val="00BA2F0C"/>
    <w:rsid w:val="00BA311B"/>
    <w:rsid w:val="00BA3129"/>
    <w:rsid w:val="00BA3397"/>
    <w:rsid w:val="00BA3597"/>
    <w:rsid w:val="00BA35C1"/>
    <w:rsid w:val="00BA35D8"/>
    <w:rsid w:val="00BA3781"/>
    <w:rsid w:val="00BA3788"/>
    <w:rsid w:val="00BA37CF"/>
    <w:rsid w:val="00BA385F"/>
    <w:rsid w:val="00BA3999"/>
    <w:rsid w:val="00BA3AC1"/>
    <w:rsid w:val="00BA3B6C"/>
    <w:rsid w:val="00BA3B8C"/>
    <w:rsid w:val="00BA3BA4"/>
    <w:rsid w:val="00BA3BE2"/>
    <w:rsid w:val="00BA3C60"/>
    <w:rsid w:val="00BA3CA7"/>
    <w:rsid w:val="00BA3D50"/>
    <w:rsid w:val="00BA3E58"/>
    <w:rsid w:val="00BA3E93"/>
    <w:rsid w:val="00BA3ECA"/>
    <w:rsid w:val="00BA3F5B"/>
    <w:rsid w:val="00BA4006"/>
    <w:rsid w:val="00BA400C"/>
    <w:rsid w:val="00BA41D0"/>
    <w:rsid w:val="00BA4209"/>
    <w:rsid w:val="00BA4351"/>
    <w:rsid w:val="00BA43F8"/>
    <w:rsid w:val="00BA4484"/>
    <w:rsid w:val="00BA459D"/>
    <w:rsid w:val="00BA46B2"/>
    <w:rsid w:val="00BA46E8"/>
    <w:rsid w:val="00BA47A1"/>
    <w:rsid w:val="00BA48F9"/>
    <w:rsid w:val="00BA48FF"/>
    <w:rsid w:val="00BA491D"/>
    <w:rsid w:val="00BA49A9"/>
    <w:rsid w:val="00BA4A59"/>
    <w:rsid w:val="00BA4C2F"/>
    <w:rsid w:val="00BA4C3E"/>
    <w:rsid w:val="00BA4D13"/>
    <w:rsid w:val="00BA4E37"/>
    <w:rsid w:val="00BA4FBD"/>
    <w:rsid w:val="00BA51A1"/>
    <w:rsid w:val="00BA53FE"/>
    <w:rsid w:val="00BA5529"/>
    <w:rsid w:val="00BA55FA"/>
    <w:rsid w:val="00BA5629"/>
    <w:rsid w:val="00BA569B"/>
    <w:rsid w:val="00BA56D1"/>
    <w:rsid w:val="00BA572E"/>
    <w:rsid w:val="00BA574C"/>
    <w:rsid w:val="00BA5835"/>
    <w:rsid w:val="00BA5B73"/>
    <w:rsid w:val="00BA5CFB"/>
    <w:rsid w:val="00BA5D9C"/>
    <w:rsid w:val="00BA5EC2"/>
    <w:rsid w:val="00BA6032"/>
    <w:rsid w:val="00BA618B"/>
    <w:rsid w:val="00BA6355"/>
    <w:rsid w:val="00BA63A3"/>
    <w:rsid w:val="00BA64F5"/>
    <w:rsid w:val="00BA65A3"/>
    <w:rsid w:val="00BA65CD"/>
    <w:rsid w:val="00BA661F"/>
    <w:rsid w:val="00BA672E"/>
    <w:rsid w:val="00BA6732"/>
    <w:rsid w:val="00BA67F5"/>
    <w:rsid w:val="00BA68CE"/>
    <w:rsid w:val="00BA68DE"/>
    <w:rsid w:val="00BA6B5B"/>
    <w:rsid w:val="00BA6B94"/>
    <w:rsid w:val="00BA6BEF"/>
    <w:rsid w:val="00BA6C72"/>
    <w:rsid w:val="00BA6CBD"/>
    <w:rsid w:val="00BA6D04"/>
    <w:rsid w:val="00BA6D11"/>
    <w:rsid w:val="00BA6D1A"/>
    <w:rsid w:val="00BA6D1B"/>
    <w:rsid w:val="00BA6D69"/>
    <w:rsid w:val="00BA6DB6"/>
    <w:rsid w:val="00BA6FF7"/>
    <w:rsid w:val="00BA70E3"/>
    <w:rsid w:val="00BA713F"/>
    <w:rsid w:val="00BA71CC"/>
    <w:rsid w:val="00BA7294"/>
    <w:rsid w:val="00BA7312"/>
    <w:rsid w:val="00BA7317"/>
    <w:rsid w:val="00BA7366"/>
    <w:rsid w:val="00BA74FC"/>
    <w:rsid w:val="00BA756F"/>
    <w:rsid w:val="00BA7588"/>
    <w:rsid w:val="00BA7666"/>
    <w:rsid w:val="00BA7728"/>
    <w:rsid w:val="00BA777A"/>
    <w:rsid w:val="00BA7821"/>
    <w:rsid w:val="00BA7932"/>
    <w:rsid w:val="00BA7A1A"/>
    <w:rsid w:val="00BA7BF0"/>
    <w:rsid w:val="00BA7E5C"/>
    <w:rsid w:val="00BA7F4B"/>
    <w:rsid w:val="00BA926F"/>
    <w:rsid w:val="00BB0041"/>
    <w:rsid w:val="00BB007E"/>
    <w:rsid w:val="00BB0119"/>
    <w:rsid w:val="00BB02F3"/>
    <w:rsid w:val="00BB03DF"/>
    <w:rsid w:val="00BB046C"/>
    <w:rsid w:val="00BB04D5"/>
    <w:rsid w:val="00BB0788"/>
    <w:rsid w:val="00BB07AB"/>
    <w:rsid w:val="00BB0936"/>
    <w:rsid w:val="00BB0B11"/>
    <w:rsid w:val="00BB0BB9"/>
    <w:rsid w:val="00BB0C21"/>
    <w:rsid w:val="00BB0E32"/>
    <w:rsid w:val="00BB0FCC"/>
    <w:rsid w:val="00BB1103"/>
    <w:rsid w:val="00BB1117"/>
    <w:rsid w:val="00BB11C4"/>
    <w:rsid w:val="00BB1214"/>
    <w:rsid w:val="00BB1279"/>
    <w:rsid w:val="00BB139B"/>
    <w:rsid w:val="00BB1490"/>
    <w:rsid w:val="00BB188C"/>
    <w:rsid w:val="00BB1895"/>
    <w:rsid w:val="00BB19D4"/>
    <w:rsid w:val="00BB19F0"/>
    <w:rsid w:val="00BB1A03"/>
    <w:rsid w:val="00BB1BB7"/>
    <w:rsid w:val="00BB1BBF"/>
    <w:rsid w:val="00BB1C0A"/>
    <w:rsid w:val="00BB1CF2"/>
    <w:rsid w:val="00BB1D74"/>
    <w:rsid w:val="00BB1DBF"/>
    <w:rsid w:val="00BB1E61"/>
    <w:rsid w:val="00BB1EF6"/>
    <w:rsid w:val="00BB1F55"/>
    <w:rsid w:val="00BB20D0"/>
    <w:rsid w:val="00BB22F5"/>
    <w:rsid w:val="00BB2327"/>
    <w:rsid w:val="00BB23E5"/>
    <w:rsid w:val="00BB2413"/>
    <w:rsid w:val="00BB24B1"/>
    <w:rsid w:val="00BB2510"/>
    <w:rsid w:val="00BB2614"/>
    <w:rsid w:val="00BB2680"/>
    <w:rsid w:val="00BB273C"/>
    <w:rsid w:val="00BB2816"/>
    <w:rsid w:val="00BB2936"/>
    <w:rsid w:val="00BB2969"/>
    <w:rsid w:val="00BB29FA"/>
    <w:rsid w:val="00BB2A19"/>
    <w:rsid w:val="00BB2B8D"/>
    <w:rsid w:val="00BB2BE0"/>
    <w:rsid w:val="00BB2C5B"/>
    <w:rsid w:val="00BB2C8F"/>
    <w:rsid w:val="00BB2DE4"/>
    <w:rsid w:val="00BB2E1A"/>
    <w:rsid w:val="00BB2EEA"/>
    <w:rsid w:val="00BB312A"/>
    <w:rsid w:val="00BB31AF"/>
    <w:rsid w:val="00BB31D4"/>
    <w:rsid w:val="00BB3220"/>
    <w:rsid w:val="00BB3303"/>
    <w:rsid w:val="00BB33B6"/>
    <w:rsid w:val="00BB3506"/>
    <w:rsid w:val="00BB369F"/>
    <w:rsid w:val="00BB36E0"/>
    <w:rsid w:val="00BB374F"/>
    <w:rsid w:val="00BB3771"/>
    <w:rsid w:val="00BB377F"/>
    <w:rsid w:val="00BB3798"/>
    <w:rsid w:val="00BB393A"/>
    <w:rsid w:val="00BB3B2F"/>
    <w:rsid w:val="00BB3B45"/>
    <w:rsid w:val="00BB3BB5"/>
    <w:rsid w:val="00BB3BCE"/>
    <w:rsid w:val="00BB3C41"/>
    <w:rsid w:val="00BB3C71"/>
    <w:rsid w:val="00BB3C74"/>
    <w:rsid w:val="00BB3D5B"/>
    <w:rsid w:val="00BB3D63"/>
    <w:rsid w:val="00BB3E3C"/>
    <w:rsid w:val="00BB3ECC"/>
    <w:rsid w:val="00BB3F34"/>
    <w:rsid w:val="00BB3F7A"/>
    <w:rsid w:val="00BB4060"/>
    <w:rsid w:val="00BB4121"/>
    <w:rsid w:val="00BB415D"/>
    <w:rsid w:val="00BB4352"/>
    <w:rsid w:val="00BB4380"/>
    <w:rsid w:val="00BB4504"/>
    <w:rsid w:val="00BB456A"/>
    <w:rsid w:val="00BB4795"/>
    <w:rsid w:val="00BB4939"/>
    <w:rsid w:val="00BB496B"/>
    <w:rsid w:val="00BB499E"/>
    <w:rsid w:val="00BB4A6A"/>
    <w:rsid w:val="00BB4B00"/>
    <w:rsid w:val="00BB4B75"/>
    <w:rsid w:val="00BB4BDE"/>
    <w:rsid w:val="00BB4CEF"/>
    <w:rsid w:val="00BB4E83"/>
    <w:rsid w:val="00BB4F03"/>
    <w:rsid w:val="00BB4F42"/>
    <w:rsid w:val="00BB4FD5"/>
    <w:rsid w:val="00BB523F"/>
    <w:rsid w:val="00BB533D"/>
    <w:rsid w:val="00BB565F"/>
    <w:rsid w:val="00BB568B"/>
    <w:rsid w:val="00BB570D"/>
    <w:rsid w:val="00BB5AD2"/>
    <w:rsid w:val="00BB5AE3"/>
    <w:rsid w:val="00BB5B63"/>
    <w:rsid w:val="00BB5BA6"/>
    <w:rsid w:val="00BB5BAD"/>
    <w:rsid w:val="00BB5BFF"/>
    <w:rsid w:val="00BB5D25"/>
    <w:rsid w:val="00BB5E82"/>
    <w:rsid w:val="00BB5F1C"/>
    <w:rsid w:val="00BB5F9B"/>
    <w:rsid w:val="00BB5FB5"/>
    <w:rsid w:val="00BB6007"/>
    <w:rsid w:val="00BB604B"/>
    <w:rsid w:val="00BB60C7"/>
    <w:rsid w:val="00BB60FC"/>
    <w:rsid w:val="00BB61B1"/>
    <w:rsid w:val="00BB61C9"/>
    <w:rsid w:val="00BB6221"/>
    <w:rsid w:val="00BB6253"/>
    <w:rsid w:val="00BB6289"/>
    <w:rsid w:val="00BB62BD"/>
    <w:rsid w:val="00BB6592"/>
    <w:rsid w:val="00BB6595"/>
    <w:rsid w:val="00BB65FF"/>
    <w:rsid w:val="00BB666B"/>
    <w:rsid w:val="00BB6865"/>
    <w:rsid w:val="00BB68B2"/>
    <w:rsid w:val="00BB6932"/>
    <w:rsid w:val="00BB6936"/>
    <w:rsid w:val="00BB698F"/>
    <w:rsid w:val="00BB69D5"/>
    <w:rsid w:val="00BB6A52"/>
    <w:rsid w:val="00BB6D0F"/>
    <w:rsid w:val="00BB6DA2"/>
    <w:rsid w:val="00BB6DD6"/>
    <w:rsid w:val="00BB6E40"/>
    <w:rsid w:val="00BB6E49"/>
    <w:rsid w:val="00BB6E4F"/>
    <w:rsid w:val="00BB6EA8"/>
    <w:rsid w:val="00BB6EC2"/>
    <w:rsid w:val="00BB6FE1"/>
    <w:rsid w:val="00BB7018"/>
    <w:rsid w:val="00BB701E"/>
    <w:rsid w:val="00BB7045"/>
    <w:rsid w:val="00BB721A"/>
    <w:rsid w:val="00BB7264"/>
    <w:rsid w:val="00BB73B4"/>
    <w:rsid w:val="00BB751F"/>
    <w:rsid w:val="00BB755E"/>
    <w:rsid w:val="00BB77AE"/>
    <w:rsid w:val="00BB78EE"/>
    <w:rsid w:val="00BB7A66"/>
    <w:rsid w:val="00BB7AC0"/>
    <w:rsid w:val="00BB7B3C"/>
    <w:rsid w:val="00BB7B7F"/>
    <w:rsid w:val="00BB7BF9"/>
    <w:rsid w:val="00BB7CCF"/>
    <w:rsid w:val="00BB7D3B"/>
    <w:rsid w:val="00BB7D95"/>
    <w:rsid w:val="00BB7DCC"/>
    <w:rsid w:val="00BB7E10"/>
    <w:rsid w:val="00BB7EB0"/>
    <w:rsid w:val="00BB7ECF"/>
    <w:rsid w:val="00BB7FA2"/>
    <w:rsid w:val="00BC0001"/>
    <w:rsid w:val="00BC008B"/>
    <w:rsid w:val="00BC009C"/>
    <w:rsid w:val="00BC01E0"/>
    <w:rsid w:val="00BC027C"/>
    <w:rsid w:val="00BC02F3"/>
    <w:rsid w:val="00BC039F"/>
    <w:rsid w:val="00BC03F0"/>
    <w:rsid w:val="00BC0582"/>
    <w:rsid w:val="00BC05E4"/>
    <w:rsid w:val="00BC0603"/>
    <w:rsid w:val="00BC065C"/>
    <w:rsid w:val="00BC067E"/>
    <w:rsid w:val="00BC0717"/>
    <w:rsid w:val="00BC077E"/>
    <w:rsid w:val="00BC078C"/>
    <w:rsid w:val="00BC092F"/>
    <w:rsid w:val="00BC0976"/>
    <w:rsid w:val="00BC0AA4"/>
    <w:rsid w:val="00BC0B04"/>
    <w:rsid w:val="00BC0B0D"/>
    <w:rsid w:val="00BC0C10"/>
    <w:rsid w:val="00BC0C40"/>
    <w:rsid w:val="00BC0D47"/>
    <w:rsid w:val="00BC0D92"/>
    <w:rsid w:val="00BC0E17"/>
    <w:rsid w:val="00BC0F32"/>
    <w:rsid w:val="00BC108C"/>
    <w:rsid w:val="00BC10E3"/>
    <w:rsid w:val="00BC1122"/>
    <w:rsid w:val="00BC1276"/>
    <w:rsid w:val="00BC12E9"/>
    <w:rsid w:val="00BC138B"/>
    <w:rsid w:val="00BC13DD"/>
    <w:rsid w:val="00BC1503"/>
    <w:rsid w:val="00BC153E"/>
    <w:rsid w:val="00BC1553"/>
    <w:rsid w:val="00BC1608"/>
    <w:rsid w:val="00BC1629"/>
    <w:rsid w:val="00BC1827"/>
    <w:rsid w:val="00BC188A"/>
    <w:rsid w:val="00BC199C"/>
    <w:rsid w:val="00BC1AC8"/>
    <w:rsid w:val="00BC1AF6"/>
    <w:rsid w:val="00BC1DC7"/>
    <w:rsid w:val="00BC1E7D"/>
    <w:rsid w:val="00BC1EE3"/>
    <w:rsid w:val="00BC1EEF"/>
    <w:rsid w:val="00BC1FC7"/>
    <w:rsid w:val="00BC20E9"/>
    <w:rsid w:val="00BC213F"/>
    <w:rsid w:val="00BC2148"/>
    <w:rsid w:val="00BC21C7"/>
    <w:rsid w:val="00BC222B"/>
    <w:rsid w:val="00BC2290"/>
    <w:rsid w:val="00BC22B4"/>
    <w:rsid w:val="00BC22E7"/>
    <w:rsid w:val="00BC230E"/>
    <w:rsid w:val="00BC244A"/>
    <w:rsid w:val="00BC260A"/>
    <w:rsid w:val="00BC266E"/>
    <w:rsid w:val="00BC267F"/>
    <w:rsid w:val="00BC26DF"/>
    <w:rsid w:val="00BC275E"/>
    <w:rsid w:val="00BC278A"/>
    <w:rsid w:val="00BC27E2"/>
    <w:rsid w:val="00BC288C"/>
    <w:rsid w:val="00BC289E"/>
    <w:rsid w:val="00BC28DE"/>
    <w:rsid w:val="00BC297E"/>
    <w:rsid w:val="00BC2A65"/>
    <w:rsid w:val="00BC2D78"/>
    <w:rsid w:val="00BC3077"/>
    <w:rsid w:val="00BC30C2"/>
    <w:rsid w:val="00BC32A5"/>
    <w:rsid w:val="00BC32C6"/>
    <w:rsid w:val="00BC3360"/>
    <w:rsid w:val="00BC33C1"/>
    <w:rsid w:val="00BC349E"/>
    <w:rsid w:val="00BC3582"/>
    <w:rsid w:val="00BC366A"/>
    <w:rsid w:val="00BC3753"/>
    <w:rsid w:val="00BC378B"/>
    <w:rsid w:val="00BC379E"/>
    <w:rsid w:val="00BC3812"/>
    <w:rsid w:val="00BC3939"/>
    <w:rsid w:val="00BC398B"/>
    <w:rsid w:val="00BC399F"/>
    <w:rsid w:val="00BC3B33"/>
    <w:rsid w:val="00BC3C14"/>
    <w:rsid w:val="00BC3C4E"/>
    <w:rsid w:val="00BC3E72"/>
    <w:rsid w:val="00BC3F16"/>
    <w:rsid w:val="00BC3F30"/>
    <w:rsid w:val="00BC404E"/>
    <w:rsid w:val="00BC41A0"/>
    <w:rsid w:val="00BC430B"/>
    <w:rsid w:val="00BC4443"/>
    <w:rsid w:val="00BC447D"/>
    <w:rsid w:val="00BC44A5"/>
    <w:rsid w:val="00BC45AB"/>
    <w:rsid w:val="00BC460A"/>
    <w:rsid w:val="00BC4614"/>
    <w:rsid w:val="00BC4703"/>
    <w:rsid w:val="00BC4713"/>
    <w:rsid w:val="00BC47A6"/>
    <w:rsid w:val="00BC4849"/>
    <w:rsid w:val="00BC4950"/>
    <w:rsid w:val="00BC4A8B"/>
    <w:rsid w:val="00BC4C60"/>
    <w:rsid w:val="00BC4D63"/>
    <w:rsid w:val="00BC4E77"/>
    <w:rsid w:val="00BC4F5D"/>
    <w:rsid w:val="00BC4F76"/>
    <w:rsid w:val="00BC4F8B"/>
    <w:rsid w:val="00BC5182"/>
    <w:rsid w:val="00BC520F"/>
    <w:rsid w:val="00BC5232"/>
    <w:rsid w:val="00BC5272"/>
    <w:rsid w:val="00BC5387"/>
    <w:rsid w:val="00BC54DE"/>
    <w:rsid w:val="00BC56F6"/>
    <w:rsid w:val="00BC5789"/>
    <w:rsid w:val="00BC57D8"/>
    <w:rsid w:val="00BC58EF"/>
    <w:rsid w:val="00BC591F"/>
    <w:rsid w:val="00BC5A15"/>
    <w:rsid w:val="00BC5A56"/>
    <w:rsid w:val="00BC5A7B"/>
    <w:rsid w:val="00BC5A84"/>
    <w:rsid w:val="00BC5A8D"/>
    <w:rsid w:val="00BC5AE2"/>
    <w:rsid w:val="00BC5AE7"/>
    <w:rsid w:val="00BC5BE3"/>
    <w:rsid w:val="00BC5DEC"/>
    <w:rsid w:val="00BC5E9F"/>
    <w:rsid w:val="00BC5EAA"/>
    <w:rsid w:val="00BC5EBB"/>
    <w:rsid w:val="00BC5F4F"/>
    <w:rsid w:val="00BC5F99"/>
    <w:rsid w:val="00BC60BE"/>
    <w:rsid w:val="00BC60E1"/>
    <w:rsid w:val="00BC617E"/>
    <w:rsid w:val="00BC61CD"/>
    <w:rsid w:val="00BC627D"/>
    <w:rsid w:val="00BC6331"/>
    <w:rsid w:val="00BC642D"/>
    <w:rsid w:val="00BC647E"/>
    <w:rsid w:val="00BC658B"/>
    <w:rsid w:val="00BC670F"/>
    <w:rsid w:val="00BC6781"/>
    <w:rsid w:val="00BC6807"/>
    <w:rsid w:val="00BC6832"/>
    <w:rsid w:val="00BC687E"/>
    <w:rsid w:val="00BC68A2"/>
    <w:rsid w:val="00BC68AF"/>
    <w:rsid w:val="00BC6B10"/>
    <w:rsid w:val="00BC6BD8"/>
    <w:rsid w:val="00BC6C73"/>
    <w:rsid w:val="00BC6C76"/>
    <w:rsid w:val="00BC6CAD"/>
    <w:rsid w:val="00BC6CDF"/>
    <w:rsid w:val="00BC6D42"/>
    <w:rsid w:val="00BC6D68"/>
    <w:rsid w:val="00BC6F0A"/>
    <w:rsid w:val="00BC6F52"/>
    <w:rsid w:val="00BC7033"/>
    <w:rsid w:val="00BC70A4"/>
    <w:rsid w:val="00BC725C"/>
    <w:rsid w:val="00BC727F"/>
    <w:rsid w:val="00BC7282"/>
    <w:rsid w:val="00BC7454"/>
    <w:rsid w:val="00BC7471"/>
    <w:rsid w:val="00BC748E"/>
    <w:rsid w:val="00BC7677"/>
    <w:rsid w:val="00BC78B4"/>
    <w:rsid w:val="00BC7985"/>
    <w:rsid w:val="00BC79DD"/>
    <w:rsid w:val="00BC7A12"/>
    <w:rsid w:val="00BC7A3D"/>
    <w:rsid w:val="00BC7A8C"/>
    <w:rsid w:val="00BC7B5E"/>
    <w:rsid w:val="00BC7C4D"/>
    <w:rsid w:val="00BC7D12"/>
    <w:rsid w:val="00BC7E82"/>
    <w:rsid w:val="00BC7F8C"/>
    <w:rsid w:val="00BC7FD5"/>
    <w:rsid w:val="00BD00C7"/>
    <w:rsid w:val="00BD0327"/>
    <w:rsid w:val="00BD0368"/>
    <w:rsid w:val="00BD045C"/>
    <w:rsid w:val="00BD0469"/>
    <w:rsid w:val="00BD048A"/>
    <w:rsid w:val="00BD0539"/>
    <w:rsid w:val="00BD0578"/>
    <w:rsid w:val="00BD0646"/>
    <w:rsid w:val="00BD07B2"/>
    <w:rsid w:val="00BD07D0"/>
    <w:rsid w:val="00BD0980"/>
    <w:rsid w:val="00BD0989"/>
    <w:rsid w:val="00BD099B"/>
    <w:rsid w:val="00BD0A12"/>
    <w:rsid w:val="00BD0A65"/>
    <w:rsid w:val="00BD0A94"/>
    <w:rsid w:val="00BD0B4D"/>
    <w:rsid w:val="00BD0D6F"/>
    <w:rsid w:val="00BD0E45"/>
    <w:rsid w:val="00BD0EB7"/>
    <w:rsid w:val="00BD0EBA"/>
    <w:rsid w:val="00BD0F50"/>
    <w:rsid w:val="00BD0F77"/>
    <w:rsid w:val="00BD0FC3"/>
    <w:rsid w:val="00BD0FEC"/>
    <w:rsid w:val="00BD127B"/>
    <w:rsid w:val="00BD12DE"/>
    <w:rsid w:val="00BD1354"/>
    <w:rsid w:val="00BD13BA"/>
    <w:rsid w:val="00BD144F"/>
    <w:rsid w:val="00BD1572"/>
    <w:rsid w:val="00BD16F4"/>
    <w:rsid w:val="00BD170B"/>
    <w:rsid w:val="00BD1744"/>
    <w:rsid w:val="00BD18DB"/>
    <w:rsid w:val="00BD196E"/>
    <w:rsid w:val="00BD1C18"/>
    <w:rsid w:val="00BD1C46"/>
    <w:rsid w:val="00BD1C50"/>
    <w:rsid w:val="00BD1C91"/>
    <w:rsid w:val="00BD1CC4"/>
    <w:rsid w:val="00BD1D2E"/>
    <w:rsid w:val="00BD1EAA"/>
    <w:rsid w:val="00BD1F66"/>
    <w:rsid w:val="00BD1F7C"/>
    <w:rsid w:val="00BD2046"/>
    <w:rsid w:val="00BD2096"/>
    <w:rsid w:val="00BD20E4"/>
    <w:rsid w:val="00BD2135"/>
    <w:rsid w:val="00BD2136"/>
    <w:rsid w:val="00BD2137"/>
    <w:rsid w:val="00BD216E"/>
    <w:rsid w:val="00BD21F6"/>
    <w:rsid w:val="00BD225F"/>
    <w:rsid w:val="00BD2273"/>
    <w:rsid w:val="00BD23DC"/>
    <w:rsid w:val="00BD2473"/>
    <w:rsid w:val="00BD255A"/>
    <w:rsid w:val="00BD2727"/>
    <w:rsid w:val="00BD274E"/>
    <w:rsid w:val="00BD280B"/>
    <w:rsid w:val="00BD282A"/>
    <w:rsid w:val="00BD29D4"/>
    <w:rsid w:val="00BD2A1F"/>
    <w:rsid w:val="00BD2BB3"/>
    <w:rsid w:val="00BD2C89"/>
    <w:rsid w:val="00BD2FDA"/>
    <w:rsid w:val="00BD3000"/>
    <w:rsid w:val="00BD31B7"/>
    <w:rsid w:val="00BD31FA"/>
    <w:rsid w:val="00BD320E"/>
    <w:rsid w:val="00BD3256"/>
    <w:rsid w:val="00BD3329"/>
    <w:rsid w:val="00BD3377"/>
    <w:rsid w:val="00BD33DE"/>
    <w:rsid w:val="00BD3469"/>
    <w:rsid w:val="00BD350B"/>
    <w:rsid w:val="00BD3578"/>
    <w:rsid w:val="00BD35DF"/>
    <w:rsid w:val="00BD362D"/>
    <w:rsid w:val="00BD36CF"/>
    <w:rsid w:val="00BD37A7"/>
    <w:rsid w:val="00BD37B8"/>
    <w:rsid w:val="00BD38E4"/>
    <w:rsid w:val="00BD39B2"/>
    <w:rsid w:val="00BD3A86"/>
    <w:rsid w:val="00BD3AB5"/>
    <w:rsid w:val="00BD3BCD"/>
    <w:rsid w:val="00BD3D55"/>
    <w:rsid w:val="00BD3F79"/>
    <w:rsid w:val="00BD3FCF"/>
    <w:rsid w:val="00BD4280"/>
    <w:rsid w:val="00BD42C8"/>
    <w:rsid w:val="00BD4337"/>
    <w:rsid w:val="00BD4338"/>
    <w:rsid w:val="00BD43E6"/>
    <w:rsid w:val="00BD4543"/>
    <w:rsid w:val="00BD46CF"/>
    <w:rsid w:val="00BD4774"/>
    <w:rsid w:val="00BD485B"/>
    <w:rsid w:val="00BD4955"/>
    <w:rsid w:val="00BD4982"/>
    <w:rsid w:val="00BD4997"/>
    <w:rsid w:val="00BD49D9"/>
    <w:rsid w:val="00BD49E2"/>
    <w:rsid w:val="00BD4A0A"/>
    <w:rsid w:val="00BD4B6A"/>
    <w:rsid w:val="00BD4C2B"/>
    <w:rsid w:val="00BD4D38"/>
    <w:rsid w:val="00BD4D9D"/>
    <w:rsid w:val="00BD4E58"/>
    <w:rsid w:val="00BD4E71"/>
    <w:rsid w:val="00BD4F15"/>
    <w:rsid w:val="00BD4FBC"/>
    <w:rsid w:val="00BD52BC"/>
    <w:rsid w:val="00BD52CA"/>
    <w:rsid w:val="00BD5431"/>
    <w:rsid w:val="00BD546D"/>
    <w:rsid w:val="00BD55A5"/>
    <w:rsid w:val="00BD55B8"/>
    <w:rsid w:val="00BD5655"/>
    <w:rsid w:val="00BD56D8"/>
    <w:rsid w:val="00BD57C3"/>
    <w:rsid w:val="00BD57D8"/>
    <w:rsid w:val="00BD57DF"/>
    <w:rsid w:val="00BD57FF"/>
    <w:rsid w:val="00BD587E"/>
    <w:rsid w:val="00BD58B1"/>
    <w:rsid w:val="00BD596B"/>
    <w:rsid w:val="00BD5A1C"/>
    <w:rsid w:val="00BD5A88"/>
    <w:rsid w:val="00BD5C17"/>
    <w:rsid w:val="00BD5C2C"/>
    <w:rsid w:val="00BD5D53"/>
    <w:rsid w:val="00BD5E53"/>
    <w:rsid w:val="00BD6071"/>
    <w:rsid w:val="00BD6072"/>
    <w:rsid w:val="00BD6207"/>
    <w:rsid w:val="00BD6223"/>
    <w:rsid w:val="00BD6260"/>
    <w:rsid w:val="00BD645E"/>
    <w:rsid w:val="00BD6488"/>
    <w:rsid w:val="00BD648A"/>
    <w:rsid w:val="00BD648D"/>
    <w:rsid w:val="00BD6669"/>
    <w:rsid w:val="00BD6685"/>
    <w:rsid w:val="00BD67BD"/>
    <w:rsid w:val="00BD67DD"/>
    <w:rsid w:val="00BD6873"/>
    <w:rsid w:val="00BD6B93"/>
    <w:rsid w:val="00BD6BDB"/>
    <w:rsid w:val="00BD6DDB"/>
    <w:rsid w:val="00BD6E56"/>
    <w:rsid w:val="00BD6EB8"/>
    <w:rsid w:val="00BD7118"/>
    <w:rsid w:val="00BD7258"/>
    <w:rsid w:val="00BD72E4"/>
    <w:rsid w:val="00BD733D"/>
    <w:rsid w:val="00BD7376"/>
    <w:rsid w:val="00BD738C"/>
    <w:rsid w:val="00BD738F"/>
    <w:rsid w:val="00BD74D8"/>
    <w:rsid w:val="00BD75A7"/>
    <w:rsid w:val="00BD7619"/>
    <w:rsid w:val="00BD76FF"/>
    <w:rsid w:val="00BD772F"/>
    <w:rsid w:val="00BD78AD"/>
    <w:rsid w:val="00BD7971"/>
    <w:rsid w:val="00BD79A3"/>
    <w:rsid w:val="00BD7A7F"/>
    <w:rsid w:val="00BD7B12"/>
    <w:rsid w:val="00BD7C9D"/>
    <w:rsid w:val="00BD7E20"/>
    <w:rsid w:val="00BD7E4B"/>
    <w:rsid w:val="00BD7E73"/>
    <w:rsid w:val="00BE0086"/>
    <w:rsid w:val="00BE00A8"/>
    <w:rsid w:val="00BE00E4"/>
    <w:rsid w:val="00BE02CD"/>
    <w:rsid w:val="00BE0350"/>
    <w:rsid w:val="00BE0419"/>
    <w:rsid w:val="00BE048C"/>
    <w:rsid w:val="00BE04A3"/>
    <w:rsid w:val="00BE04D7"/>
    <w:rsid w:val="00BE0539"/>
    <w:rsid w:val="00BE053E"/>
    <w:rsid w:val="00BE059B"/>
    <w:rsid w:val="00BE05CE"/>
    <w:rsid w:val="00BE0776"/>
    <w:rsid w:val="00BE07C9"/>
    <w:rsid w:val="00BE08E8"/>
    <w:rsid w:val="00BE0917"/>
    <w:rsid w:val="00BE09C0"/>
    <w:rsid w:val="00BE09E9"/>
    <w:rsid w:val="00BE0AAA"/>
    <w:rsid w:val="00BE0AD4"/>
    <w:rsid w:val="00BE0B21"/>
    <w:rsid w:val="00BE0B59"/>
    <w:rsid w:val="00BE0C9E"/>
    <w:rsid w:val="00BE0DB6"/>
    <w:rsid w:val="00BE1173"/>
    <w:rsid w:val="00BE1215"/>
    <w:rsid w:val="00BE1267"/>
    <w:rsid w:val="00BE12CD"/>
    <w:rsid w:val="00BE13C8"/>
    <w:rsid w:val="00BE1529"/>
    <w:rsid w:val="00BE1570"/>
    <w:rsid w:val="00BE15A2"/>
    <w:rsid w:val="00BE16BE"/>
    <w:rsid w:val="00BE16CF"/>
    <w:rsid w:val="00BE1755"/>
    <w:rsid w:val="00BE17B5"/>
    <w:rsid w:val="00BE184D"/>
    <w:rsid w:val="00BE184E"/>
    <w:rsid w:val="00BE18D1"/>
    <w:rsid w:val="00BE18EC"/>
    <w:rsid w:val="00BE18F7"/>
    <w:rsid w:val="00BE1931"/>
    <w:rsid w:val="00BE1966"/>
    <w:rsid w:val="00BE19D0"/>
    <w:rsid w:val="00BE19E7"/>
    <w:rsid w:val="00BE1AAB"/>
    <w:rsid w:val="00BE1AE6"/>
    <w:rsid w:val="00BE1C3D"/>
    <w:rsid w:val="00BE1EE4"/>
    <w:rsid w:val="00BE1FB0"/>
    <w:rsid w:val="00BE2018"/>
    <w:rsid w:val="00BE2109"/>
    <w:rsid w:val="00BE2235"/>
    <w:rsid w:val="00BE22B7"/>
    <w:rsid w:val="00BE22E2"/>
    <w:rsid w:val="00BE247C"/>
    <w:rsid w:val="00BE24E0"/>
    <w:rsid w:val="00BE2501"/>
    <w:rsid w:val="00BE2504"/>
    <w:rsid w:val="00BE252A"/>
    <w:rsid w:val="00BE2570"/>
    <w:rsid w:val="00BE2638"/>
    <w:rsid w:val="00BE2755"/>
    <w:rsid w:val="00BE28CE"/>
    <w:rsid w:val="00BE28D2"/>
    <w:rsid w:val="00BE2A0B"/>
    <w:rsid w:val="00BE2A49"/>
    <w:rsid w:val="00BE2A51"/>
    <w:rsid w:val="00BE2B0C"/>
    <w:rsid w:val="00BE2C0D"/>
    <w:rsid w:val="00BE2D15"/>
    <w:rsid w:val="00BE2DED"/>
    <w:rsid w:val="00BE2E28"/>
    <w:rsid w:val="00BE2EB8"/>
    <w:rsid w:val="00BE2F2B"/>
    <w:rsid w:val="00BE2F79"/>
    <w:rsid w:val="00BE3035"/>
    <w:rsid w:val="00BE3219"/>
    <w:rsid w:val="00BE3238"/>
    <w:rsid w:val="00BE32C5"/>
    <w:rsid w:val="00BE33F4"/>
    <w:rsid w:val="00BE3465"/>
    <w:rsid w:val="00BE349E"/>
    <w:rsid w:val="00BE35FA"/>
    <w:rsid w:val="00BE364D"/>
    <w:rsid w:val="00BE3684"/>
    <w:rsid w:val="00BE37BA"/>
    <w:rsid w:val="00BE3AAA"/>
    <w:rsid w:val="00BE3B73"/>
    <w:rsid w:val="00BE3BCF"/>
    <w:rsid w:val="00BE3C3E"/>
    <w:rsid w:val="00BE3CC7"/>
    <w:rsid w:val="00BE3E24"/>
    <w:rsid w:val="00BE3EED"/>
    <w:rsid w:val="00BE3F4B"/>
    <w:rsid w:val="00BE3F4C"/>
    <w:rsid w:val="00BE4087"/>
    <w:rsid w:val="00BE40CA"/>
    <w:rsid w:val="00BE413B"/>
    <w:rsid w:val="00BE4191"/>
    <w:rsid w:val="00BE4199"/>
    <w:rsid w:val="00BE42AB"/>
    <w:rsid w:val="00BE42C8"/>
    <w:rsid w:val="00BE4323"/>
    <w:rsid w:val="00BE438F"/>
    <w:rsid w:val="00BE4465"/>
    <w:rsid w:val="00BE44EB"/>
    <w:rsid w:val="00BE465F"/>
    <w:rsid w:val="00BE466C"/>
    <w:rsid w:val="00BE47DC"/>
    <w:rsid w:val="00BE48CB"/>
    <w:rsid w:val="00BE4962"/>
    <w:rsid w:val="00BE4B88"/>
    <w:rsid w:val="00BE4C13"/>
    <w:rsid w:val="00BE4C6B"/>
    <w:rsid w:val="00BE4CEF"/>
    <w:rsid w:val="00BE4D06"/>
    <w:rsid w:val="00BE4D10"/>
    <w:rsid w:val="00BE4F11"/>
    <w:rsid w:val="00BE4F70"/>
    <w:rsid w:val="00BE4F7E"/>
    <w:rsid w:val="00BE5002"/>
    <w:rsid w:val="00BE50DB"/>
    <w:rsid w:val="00BE5226"/>
    <w:rsid w:val="00BE5259"/>
    <w:rsid w:val="00BE530B"/>
    <w:rsid w:val="00BE5316"/>
    <w:rsid w:val="00BE546C"/>
    <w:rsid w:val="00BE54B4"/>
    <w:rsid w:val="00BE54CB"/>
    <w:rsid w:val="00BE5505"/>
    <w:rsid w:val="00BE5587"/>
    <w:rsid w:val="00BE563C"/>
    <w:rsid w:val="00BE57A3"/>
    <w:rsid w:val="00BE57D9"/>
    <w:rsid w:val="00BE5847"/>
    <w:rsid w:val="00BE5901"/>
    <w:rsid w:val="00BE590C"/>
    <w:rsid w:val="00BE59D4"/>
    <w:rsid w:val="00BE5BCB"/>
    <w:rsid w:val="00BE5C1A"/>
    <w:rsid w:val="00BE5E3D"/>
    <w:rsid w:val="00BE5EAE"/>
    <w:rsid w:val="00BE62E1"/>
    <w:rsid w:val="00BE62F7"/>
    <w:rsid w:val="00BE6326"/>
    <w:rsid w:val="00BE635E"/>
    <w:rsid w:val="00BE6402"/>
    <w:rsid w:val="00BE6546"/>
    <w:rsid w:val="00BE6561"/>
    <w:rsid w:val="00BE65AF"/>
    <w:rsid w:val="00BE65B8"/>
    <w:rsid w:val="00BE65BB"/>
    <w:rsid w:val="00BE65E8"/>
    <w:rsid w:val="00BE65E9"/>
    <w:rsid w:val="00BE6628"/>
    <w:rsid w:val="00BE69EA"/>
    <w:rsid w:val="00BE6AFD"/>
    <w:rsid w:val="00BE6CB9"/>
    <w:rsid w:val="00BE6D87"/>
    <w:rsid w:val="00BE6D88"/>
    <w:rsid w:val="00BE6E3D"/>
    <w:rsid w:val="00BE6E54"/>
    <w:rsid w:val="00BE6E7D"/>
    <w:rsid w:val="00BE6E87"/>
    <w:rsid w:val="00BE6F05"/>
    <w:rsid w:val="00BE6FA3"/>
    <w:rsid w:val="00BE6FD5"/>
    <w:rsid w:val="00BE715F"/>
    <w:rsid w:val="00BE7295"/>
    <w:rsid w:val="00BE729F"/>
    <w:rsid w:val="00BE7335"/>
    <w:rsid w:val="00BE73E2"/>
    <w:rsid w:val="00BE73FA"/>
    <w:rsid w:val="00BE759D"/>
    <w:rsid w:val="00BE764F"/>
    <w:rsid w:val="00BE766D"/>
    <w:rsid w:val="00BE768A"/>
    <w:rsid w:val="00BE77D9"/>
    <w:rsid w:val="00BE780F"/>
    <w:rsid w:val="00BE781B"/>
    <w:rsid w:val="00BE7856"/>
    <w:rsid w:val="00BE78A7"/>
    <w:rsid w:val="00BE78C6"/>
    <w:rsid w:val="00BE7936"/>
    <w:rsid w:val="00BE79A8"/>
    <w:rsid w:val="00BE7BC3"/>
    <w:rsid w:val="00BE7C05"/>
    <w:rsid w:val="00BE7C16"/>
    <w:rsid w:val="00BE7D84"/>
    <w:rsid w:val="00BE7E39"/>
    <w:rsid w:val="00BE7E3D"/>
    <w:rsid w:val="00BE7EFB"/>
    <w:rsid w:val="00BF0033"/>
    <w:rsid w:val="00BF0054"/>
    <w:rsid w:val="00BF00DF"/>
    <w:rsid w:val="00BF0216"/>
    <w:rsid w:val="00BF02A5"/>
    <w:rsid w:val="00BF03B4"/>
    <w:rsid w:val="00BF03F3"/>
    <w:rsid w:val="00BF052B"/>
    <w:rsid w:val="00BF0559"/>
    <w:rsid w:val="00BF055F"/>
    <w:rsid w:val="00BF05CD"/>
    <w:rsid w:val="00BF05EF"/>
    <w:rsid w:val="00BF064A"/>
    <w:rsid w:val="00BF0717"/>
    <w:rsid w:val="00BF083F"/>
    <w:rsid w:val="00BF0A22"/>
    <w:rsid w:val="00BF0B67"/>
    <w:rsid w:val="00BF0C6B"/>
    <w:rsid w:val="00BF0CC0"/>
    <w:rsid w:val="00BF0DC5"/>
    <w:rsid w:val="00BF0E8A"/>
    <w:rsid w:val="00BF1007"/>
    <w:rsid w:val="00BF1084"/>
    <w:rsid w:val="00BF1126"/>
    <w:rsid w:val="00BF11D1"/>
    <w:rsid w:val="00BF12E6"/>
    <w:rsid w:val="00BF1351"/>
    <w:rsid w:val="00BF1355"/>
    <w:rsid w:val="00BF13F6"/>
    <w:rsid w:val="00BF1430"/>
    <w:rsid w:val="00BF14CE"/>
    <w:rsid w:val="00BF1502"/>
    <w:rsid w:val="00BF1656"/>
    <w:rsid w:val="00BF1843"/>
    <w:rsid w:val="00BF18DA"/>
    <w:rsid w:val="00BF18F6"/>
    <w:rsid w:val="00BF18FD"/>
    <w:rsid w:val="00BF1908"/>
    <w:rsid w:val="00BF1966"/>
    <w:rsid w:val="00BF1A52"/>
    <w:rsid w:val="00BF1C90"/>
    <w:rsid w:val="00BF1D04"/>
    <w:rsid w:val="00BF1D9B"/>
    <w:rsid w:val="00BF1E5B"/>
    <w:rsid w:val="00BF1E76"/>
    <w:rsid w:val="00BF1EE7"/>
    <w:rsid w:val="00BF1F77"/>
    <w:rsid w:val="00BF1FEC"/>
    <w:rsid w:val="00BF2214"/>
    <w:rsid w:val="00BF2224"/>
    <w:rsid w:val="00BF224D"/>
    <w:rsid w:val="00BF2279"/>
    <w:rsid w:val="00BF22AF"/>
    <w:rsid w:val="00BF22C4"/>
    <w:rsid w:val="00BF231D"/>
    <w:rsid w:val="00BF2425"/>
    <w:rsid w:val="00BF2515"/>
    <w:rsid w:val="00BF2611"/>
    <w:rsid w:val="00BF266E"/>
    <w:rsid w:val="00BF26A5"/>
    <w:rsid w:val="00BF26C6"/>
    <w:rsid w:val="00BF26F3"/>
    <w:rsid w:val="00BF29DF"/>
    <w:rsid w:val="00BF2AA4"/>
    <w:rsid w:val="00BF2B9B"/>
    <w:rsid w:val="00BF2BCA"/>
    <w:rsid w:val="00BF2D1A"/>
    <w:rsid w:val="00BF2EDA"/>
    <w:rsid w:val="00BF2F19"/>
    <w:rsid w:val="00BF2F67"/>
    <w:rsid w:val="00BF30F8"/>
    <w:rsid w:val="00BF313B"/>
    <w:rsid w:val="00BF3152"/>
    <w:rsid w:val="00BF3153"/>
    <w:rsid w:val="00BF31FB"/>
    <w:rsid w:val="00BF324B"/>
    <w:rsid w:val="00BF324D"/>
    <w:rsid w:val="00BF32FE"/>
    <w:rsid w:val="00BF339C"/>
    <w:rsid w:val="00BF33AD"/>
    <w:rsid w:val="00BF33ED"/>
    <w:rsid w:val="00BF3458"/>
    <w:rsid w:val="00BF34C9"/>
    <w:rsid w:val="00BF35AD"/>
    <w:rsid w:val="00BF3609"/>
    <w:rsid w:val="00BF3619"/>
    <w:rsid w:val="00BF3758"/>
    <w:rsid w:val="00BF3865"/>
    <w:rsid w:val="00BF38B1"/>
    <w:rsid w:val="00BF3919"/>
    <w:rsid w:val="00BF3930"/>
    <w:rsid w:val="00BF39B9"/>
    <w:rsid w:val="00BF39D5"/>
    <w:rsid w:val="00BF39DA"/>
    <w:rsid w:val="00BF3A81"/>
    <w:rsid w:val="00BF3AFF"/>
    <w:rsid w:val="00BF3D68"/>
    <w:rsid w:val="00BF3E46"/>
    <w:rsid w:val="00BF3FC1"/>
    <w:rsid w:val="00BF3FD5"/>
    <w:rsid w:val="00BF4172"/>
    <w:rsid w:val="00BF4215"/>
    <w:rsid w:val="00BF4242"/>
    <w:rsid w:val="00BF4249"/>
    <w:rsid w:val="00BF4255"/>
    <w:rsid w:val="00BF44ED"/>
    <w:rsid w:val="00BF4517"/>
    <w:rsid w:val="00BF45E9"/>
    <w:rsid w:val="00BF4986"/>
    <w:rsid w:val="00BF4AB7"/>
    <w:rsid w:val="00BF4B78"/>
    <w:rsid w:val="00BF4C04"/>
    <w:rsid w:val="00BF4C0B"/>
    <w:rsid w:val="00BF4D11"/>
    <w:rsid w:val="00BF4DAA"/>
    <w:rsid w:val="00BF4E4B"/>
    <w:rsid w:val="00BF4EF2"/>
    <w:rsid w:val="00BF4F71"/>
    <w:rsid w:val="00BF4F72"/>
    <w:rsid w:val="00BF4FC3"/>
    <w:rsid w:val="00BF5015"/>
    <w:rsid w:val="00BF504D"/>
    <w:rsid w:val="00BF50EF"/>
    <w:rsid w:val="00BF51B0"/>
    <w:rsid w:val="00BF520B"/>
    <w:rsid w:val="00BF54AD"/>
    <w:rsid w:val="00BF566F"/>
    <w:rsid w:val="00BF5689"/>
    <w:rsid w:val="00BF574B"/>
    <w:rsid w:val="00BF57B1"/>
    <w:rsid w:val="00BF57E7"/>
    <w:rsid w:val="00BF58AA"/>
    <w:rsid w:val="00BF5906"/>
    <w:rsid w:val="00BF599F"/>
    <w:rsid w:val="00BF5A30"/>
    <w:rsid w:val="00BF5AB0"/>
    <w:rsid w:val="00BF5B74"/>
    <w:rsid w:val="00BF5BD1"/>
    <w:rsid w:val="00BF5CA4"/>
    <w:rsid w:val="00BF5CF6"/>
    <w:rsid w:val="00BF5D9B"/>
    <w:rsid w:val="00BF604A"/>
    <w:rsid w:val="00BF612C"/>
    <w:rsid w:val="00BF61AB"/>
    <w:rsid w:val="00BF6384"/>
    <w:rsid w:val="00BF65DF"/>
    <w:rsid w:val="00BF6605"/>
    <w:rsid w:val="00BF6691"/>
    <w:rsid w:val="00BF6721"/>
    <w:rsid w:val="00BF68AF"/>
    <w:rsid w:val="00BF68BD"/>
    <w:rsid w:val="00BF68BF"/>
    <w:rsid w:val="00BF6987"/>
    <w:rsid w:val="00BF6A3B"/>
    <w:rsid w:val="00BF6B68"/>
    <w:rsid w:val="00BF6D46"/>
    <w:rsid w:val="00BF6D6C"/>
    <w:rsid w:val="00BF6DE4"/>
    <w:rsid w:val="00BF6E11"/>
    <w:rsid w:val="00BF6E38"/>
    <w:rsid w:val="00BF6F76"/>
    <w:rsid w:val="00BF703D"/>
    <w:rsid w:val="00BF704E"/>
    <w:rsid w:val="00BF7210"/>
    <w:rsid w:val="00BF729E"/>
    <w:rsid w:val="00BF72B2"/>
    <w:rsid w:val="00BF74E5"/>
    <w:rsid w:val="00BF7665"/>
    <w:rsid w:val="00BF77AD"/>
    <w:rsid w:val="00BF7889"/>
    <w:rsid w:val="00BF7897"/>
    <w:rsid w:val="00BF7925"/>
    <w:rsid w:val="00BF792C"/>
    <w:rsid w:val="00BF799B"/>
    <w:rsid w:val="00BF79C0"/>
    <w:rsid w:val="00BF7B23"/>
    <w:rsid w:val="00BF7CA0"/>
    <w:rsid w:val="00BF7E39"/>
    <w:rsid w:val="00C0009A"/>
    <w:rsid w:val="00C000FC"/>
    <w:rsid w:val="00C00164"/>
    <w:rsid w:val="00C0025C"/>
    <w:rsid w:val="00C00284"/>
    <w:rsid w:val="00C00285"/>
    <w:rsid w:val="00C002A2"/>
    <w:rsid w:val="00C002C7"/>
    <w:rsid w:val="00C002F8"/>
    <w:rsid w:val="00C005AA"/>
    <w:rsid w:val="00C005CA"/>
    <w:rsid w:val="00C006FC"/>
    <w:rsid w:val="00C008B3"/>
    <w:rsid w:val="00C00A58"/>
    <w:rsid w:val="00C00A74"/>
    <w:rsid w:val="00C00A7E"/>
    <w:rsid w:val="00C00AC9"/>
    <w:rsid w:val="00C00ACB"/>
    <w:rsid w:val="00C00BF8"/>
    <w:rsid w:val="00C00D1D"/>
    <w:rsid w:val="00C00FE5"/>
    <w:rsid w:val="00C010A6"/>
    <w:rsid w:val="00C0138D"/>
    <w:rsid w:val="00C013EF"/>
    <w:rsid w:val="00C01487"/>
    <w:rsid w:val="00C01542"/>
    <w:rsid w:val="00C015BC"/>
    <w:rsid w:val="00C018BE"/>
    <w:rsid w:val="00C018C5"/>
    <w:rsid w:val="00C018EE"/>
    <w:rsid w:val="00C01ABE"/>
    <w:rsid w:val="00C01AF0"/>
    <w:rsid w:val="00C01B59"/>
    <w:rsid w:val="00C01BBF"/>
    <w:rsid w:val="00C01C20"/>
    <w:rsid w:val="00C01C94"/>
    <w:rsid w:val="00C01D48"/>
    <w:rsid w:val="00C01D89"/>
    <w:rsid w:val="00C01DA2"/>
    <w:rsid w:val="00C01E54"/>
    <w:rsid w:val="00C01E66"/>
    <w:rsid w:val="00C01EA3"/>
    <w:rsid w:val="00C02086"/>
    <w:rsid w:val="00C020DF"/>
    <w:rsid w:val="00C020E4"/>
    <w:rsid w:val="00C021F4"/>
    <w:rsid w:val="00C022D6"/>
    <w:rsid w:val="00C02432"/>
    <w:rsid w:val="00C0246F"/>
    <w:rsid w:val="00C025F6"/>
    <w:rsid w:val="00C026A5"/>
    <w:rsid w:val="00C0277C"/>
    <w:rsid w:val="00C0278C"/>
    <w:rsid w:val="00C02940"/>
    <w:rsid w:val="00C02A1B"/>
    <w:rsid w:val="00C02AD0"/>
    <w:rsid w:val="00C02BFA"/>
    <w:rsid w:val="00C02C23"/>
    <w:rsid w:val="00C02C42"/>
    <w:rsid w:val="00C02D04"/>
    <w:rsid w:val="00C02D43"/>
    <w:rsid w:val="00C02EB5"/>
    <w:rsid w:val="00C03158"/>
    <w:rsid w:val="00C0315C"/>
    <w:rsid w:val="00C0328D"/>
    <w:rsid w:val="00C0329E"/>
    <w:rsid w:val="00C032B0"/>
    <w:rsid w:val="00C0338E"/>
    <w:rsid w:val="00C03497"/>
    <w:rsid w:val="00C0368C"/>
    <w:rsid w:val="00C036FD"/>
    <w:rsid w:val="00C03794"/>
    <w:rsid w:val="00C037B5"/>
    <w:rsid w:val="00C03804"/>
    <w:rsid w:val="00C0389B"/>
    <w:rsid w:val="00C03AA9"/>
    <w:rsid w:val="00C03B72"/>
    <w:rsid w:val="00C03D3A"/>
    <w:rsid w:val="00C03DF5"/>
    <w:rsid w:val="00C03E0F"/>
    <w:rsid w:val="00C03EAA"/>
    <w:rsid w:val="00C03EEC"/>
    <w:rsid w:val="00C03F5A"/>
    <w:rsid w:val="00C03F61"/>
    <w:rsid w:val="00C04006"/>
    <w:rsid w:val="00C0405B"/>
    <w:rsid w:val="00C0405D"/>
    <w:rsid w:val="00C040F0"/>
    <w:rsid w:val="00C0420D"/>
    <w:rsid w:val="00C0425E"/>
    <w:rsid w:val="00C04284"/>
    <w:rsid w:val="00C04308"/>
    <w:rsid w:val="00C0430A"/>
    <w:rsid w:val="00C04571"/>
    <w:rsid w:val="00C0487D"/>
    <w:rsid w:val="00C048C8"/>
    <w:rsid w:val="00C048D5"/>
    <w:rsid w:val="00C04999"/>
    <w:rsid w:val="00C04BAA"/>
    <w:rsid w:val="00C04BDD"/>
    <w:rsid w:val="00C04C53"/>
    <w:rsid w:val="00C04CE8"/>
    <w:rsid w:val="00C04E52"/>
    <w:rsid w:val="00C05105"/>
    <w:rsid w:val="00C05151"/>
    <w:rsid w:val="00C05173"/>
    <w:rsid w:val="00C05209"/>
    <w:rsid w:val="00C0535C"/>
    <w:rsid w:val="00C05387"/>
    <w:rsid w:val="00C053A8"/>
    <w:rsid w:val="00C054FD"/>
    <w:rsid w:val="00C0555D"/>
    <w:rsid w:val="00C055E0"/>
    <w:rsid w:val="00C05759"/>
    <w:rsid w:val="00C05761"/>
    <w:rsid w:val="00C0593D"/>
    <w:rsid w:val="00C05B13"/>
    <w:rsid w:val="00C05C57"/>
    <w:rsid w:val="00C05C5F"/>
    <w:rsid w:val="00C05D13"/>
    <w:rsid w:val="00C05D1B"/>
    <w:rsid w:val="00C05E95"/>
    <w:rsid w:val="00C05FBD"/>
    <w:rsid w:val="00C06143"/>
    <w:rsid w:val="00C06175"/>
    <w:rsid w:val="00C0621B"/>
    <w:rsid w:val="00C06232"/>
    <w:rsid w:val="00C062F6"/>
    <w:rsid w:val="00C06309"/>
    <w:rsid w:val="00C063E9"/>
    <w:rsid w:val="00C0646F"/>
    <w:rsid w:val="00C06497"/>
    <w:rsid w:val="00C064B8"/>
    <w:rsid w:val="00C06588"/>
    <w:rsid w:val="00C06725"/>
    <w:rsid w:val="00C06776"/>
    <w:rsid w:val="00C067B4"/>
    <w:rsid w:val="00C067D0"/>
    <w:rsid w:val="00C0696F"/>
    <w:rsid w:val="00C06A2F"/>
    <w:rsid w:val="00C06A86"/>
    <w:rsid w:val="00C06B0C"/>
    <w:rsid w:val="00C06B39"/>
    <w:rsid w:val="00C06B70"/>
    <w:rsid w:val="00C06DC6"/>
    <w:rsid w:val="00C06DD5"/>
    <w:rsid w:val="00C06E1B"/>
    <w:rsid w:val="00C06E38"/>
    <w:rsid w:val="00C06F92"/>
    <w:rsid w:val="00C07049"/>
    <w:rsid w:val="00C070D5"/>
    <w:rsid w:val="00C07107"/>
    <w:rsid w:val="00C07144"/>
    <w:rsid w:val="00C07160"/>
    <w:rsid w:val="00C07376"/>
    <w:rsid w:val="00C07439"/>
    <w:rsid w:val="00C07498"/>
    <w:rsid w:val="00C07503"/>
    <w:rsid w:val="00C07613"/>
    <w:rsid w:val="00C076A9"/>
    <w:rsid w:val="00C077A9"/>
    <w:rsid w:val="00C077E9"/>
    <w:rsid w:val="00C07823"/>
    <w:rsid w:val="00C078B7"/>
    <w:rsid w:val="00C07925"/>
    <w:rsid w:val="00C079DE"/>
    <w:rsid w:val="00C07B0B"/>
    <w:rsid w:val="00C07B56"/>
    <w:rsid w:val="00C07B73"/>
    <w:rsid w:val="00C07B77"/>
    <w:rsid w:val="00C07B99"/>
    <w:rsid w:val="00C07B9B"/>
    <w:rsid w:val="00C07B9D"/>
    <w:rsid w:val="00C07CF7"/>
    <w:rsid w:val="00C07CFE"/>
    <w:rsid w:val="00C07E07"/>
    <w:rsid w:val="00C07EB0"/>
    <w:rsid w:val="00C07F1A"/>
    <w:rsid w:val="00C07F30"/>
    <w:rsid w:val="00C07F38"/>
    <w:rsid w:val="00C07FE4"/>
    <w:rsid w:val="00C10100"/>
    <w:rsid w:val="00C101A9"/>
    <w:rsid w:val="00C1023D"/>
    <w:rsid w:val="00C1027E"/>
    <w:rsid w:val="00C102A5"/>
    <w:rsid w:val="00C1049B"/>
    <w:rsid w:val="00C10559"/>
    <w:rsid w:val="00C10560"/>
    <w:rsid w:val="00C10570"/>
    <w:rsid w:val="00C10643"/>
    <w:rsid w:val="00C106BA"/>
    <w:rsid w:val="00C106CF"/>
    <w:rsid w:val="00C10744"/>
    <w:rsid w:val="00C10758"/>
    <w:rsid w:val="00C1085D"/>
    <w:rsid w:val="00C108E7"/>
    <w:rsid w:val="00C109DB"/>
    <w:rsid w:val="00C10AC4"/>
    <w:rsid w:val="00C10B25"/>
    <w:rsid w:val="00C10E95"/>
    <w:rsid w:val="00C10EB0"/>
    <w:rsid w:val="00C10F2A"/>
    <w:rsid w:val="00C10F9E"/>
    <w:rsid w:val="00C10FBC"/>
    <w:rsid w:val="00C10FF8"/>
    <w:rsid w:val="00C11017"/>
    <w:rsid w:val="00C1105C"/>
    <w:rsid w:val="00C110ED"/>
    <w:rsid w:val="00C11134"/>
    <w:rsid w:val="00C11264"/>
    <w:rsid w:val="00C112F3"/>
    <w:rsid w:val="00C11316"/>
    <w:rsid w:val="00C1132E"/>
    <w:rsid w:val="00C114E1"/>
    <w:rsid w:val="00C114FD"/>
    <w:rsid w:val="00C1155D"/>
    <w:rsid w:val="00C115F6"/>
    <w:rsid w:val="00C1160D"/>
    <w:rsid w:val="00C116D6"/>
    <w:rsid w:val="00C11719"/>
    <w:rsid w:val="00C11778"/>
    <w:rsid w:val="00C1179A"/>
    <w:rsid w:val="00C118C0"/>
    <w:rsid w:val="00C118E0"/>
    <w:rsid w:val="00C118FB"/>
    <w:rsid w:val="00C11926"/>
    <w:rsid w:val="00C1195B"/>
    <w:rsid w:val="00C119D7"/>
    <w:rsid w:val="00C11A66"/>
    <w:rsid w:val="00C11A7F"/>
    <w:rsid w:val="00C11B33"/>
    <w:rsid w:val="00C11B82"/>
    <w:rsid w:val="00C11C3C"/>
    <w:rsid w:val="00C11D4E"/>
    <w:rsid w:val="00C11E2E"/>
    <w:rsid w:val="00C11EDD"/>
    <w:rsid w:val="00C11EE9"/>
    <w:rsid w:val="00C11FB8"/>
    <w:rsid w:val="00C11FD3"/>
    <w:rsid w:val="00C12058"/>
    <w:rsid w:val="00C1208F"/>
    <w:rsid w:val="00C120BE"/>
    <w:rsid w:val="00C12155"/>
    <w:rsid w:val="00C121C7"/>
    <w:rsid w:val="00C121D0"/>
    <w:rsid w:val="00C1225A"/>
    <w:rsid w:val="00C122D8"/>
    <w:rsid w:val="00C123EC"/>
    <w:rsid w:val="00C12455"/>
    <w:rsid w:val="00C1245E"/>
    <w:rsid w:val="00C12481"/>
    <w:rsid w:val="00C124A4"/>
    <w:rsid w:val="00C1270D"/>
    <w:rsid w:val="00C12836"/>
    <w:rsid w:val="00C129DF"/>
    <w:rsid w:val="00C12A2C"/>
    <w:rsid w:val="00C12AE9"/>
    <w:rsid w:val="00C12B21"/>
    <w:rsid w:val="00C12BD5"/>
    <w:rsid w:val="00C12C15"/>
    <w:rsid w:val="00C12CAF"/>
    <w:rsid w:val="00C12CC8"/>
    <w:rsid w:val="00C12D4C"/>
    <w:rsid w:val="00C12DBD"/>
    <w:rsid w:val="00C12DBE"/>
    <w:rsid w:val="00C12E8A"/>
    <w:rsid w:val="00C12E9A"/>
    <w:rsid w:val="00C12E9D"/>
    <w:rsid w:val="00C12EA9"/>
    <w:rsid w:val="00C13084"/>
    <w:rsid w:val="00C133AB"/>
    <w:rsid w:val="00C133B9"/>
    <w:rsid w:val="00C1343F"/>
    <w:rsid w:val="00C134C1"/>
    <w:rsid w:val="00C1353E"/>
    <w:rsid w:val="00C13622"/>
    <w:rsid w:val="00C136EC"/>
    <w:rsid w:val="00C13704"/>
    <w:rsid w:val="00C137AE"/>
    <w:rsid w:val="00C13803"/>
    <w:rsid w:val="00C13883"/>
    <w:rsid w:val="00C13885"/>
    <w:rsid w:val="00C138BA"/>
    <w:rsid w:val="00C1399B"/>
    <w:rsid w:val="00C1399F"/>
    <w:rsid w:val="00C139C4"/>
    <w:rsid w:val="00C13A72"/>
    <w:rsid w:val="00C13AAB"/>
    <w:rsid w:val="00C13DA8"/>
    <w:rsid w:val="00C13E3C"/>
    <w:rsid w:val="00C13EB4"/>
    <w:rsid w:val="00C13ED9"/>
    <w:rsid w:val="00C13EF2"/>
    <w:rsid w:val="00C13FB2"/>
    <w:rsid w:val="00C14026"/>
    <w:rsid w:val="00C1403C"/>
    <w:rsid w:val="00C14041"/>
    <w:rsid w:val="00C141A0"/>
    <w:rsid w:val="00C14382"/>
    <w:rsid w:val="00C143F6"/>
    <w:rsid w:val="00C14520"/>
    <w:rsid w:val="00C1469F"/>
    <w:rsid w:val="00C14830"/>
    <w:rsid w:val="00C1488A"/>
    <w:rsid w:val="00C148A1"/>
    <w:rsid w:val="00C14907"/>
    <w:rsid w:val="00C14912"/>
    <w:rsid w:val="00C1497B"/>
    <w:rsid w:val="00C149E1"/>
    <w:rsid w:val="00C149E6"/>
    <w:rsid w:val="00C14B17"/>
    <w:rsid w:val="00C14B21"/>
    <w:rsid w:val="00C14B33"/>
    <w:rsid w:val="00C14B3F"/>
    <w:rsid w:val="00C14B84"/>
    <w:rsid w:val="00C14BEA"/>
    <w:rsid w:val="00C14C6B"/>
    <w:rsid w:val="00C14CE3"/>
    <w:rsid w:val="00C14E3F"/>
    <w:rsid w:val="00C14E56"/>
    <w:rsid w:val="00C14E67"/>
    <w:rsid w:val="00C14EB3"/>
    <w:rsid w:val="00C14EFE"/>
    <w:rsid w:val="00C14F39"/>
    <w:rsid w:val="00C150D5"/>
    <w:rsid w:val="00C1520C"/>
    <w:rsid w:val="00C15244"/>
    <w:rsid w:val="00C15311"/>
    <w:rsid w:val="00C1540A"/>
    <w:rsid w:val="00C15449"/>
    <w:rsid w:val="00C154ED"/>
    <w:rsid w:val="00C15570"/>
    <w:rsid w:val="00C157C6"/>
    <w:rsid w:val="00C15854"/>
    <w:rsid w:val="00C15A71"/>
    <w:rsid w:val="00C15C0C"/>
    <w:rsid w:val="00C15D30"/>
    <w:rsid w:val="00C15D47"/>
    <w:rsid w:val="00C15D4A"/>
    <w:rsid w:val="00C15E7F"/>
    <w:rsid w:val="00C15EC8"/>
    <w:rsid w:val="00C15F27"/>
    <w:rsid w:val="00C15F38"/>
    <w:rsid w:val="00C15FD0"/>
    <w:rsid w:val="00C160CF"/>
    <w:rsid w:val="00C160E0"/>
    <w:rsid w:val="00C16160"/>
    <w:rsid w:val="00C161F8"/>
    <w:rsid w:val="00C1621F"/>
    <w:rsid w:val="00C16359"/>
    <w:rsid w:val="00C16559"/>
    <w:rsid w:val="00C16735"/>
    <w:rsid w:val="00C167A1"/>
    <w:rsid w:val="00C167F9"/>
    <w:rsid w:val="00C16874"/>
    <w:rsid w:val="00C16995"/>
    <w:rsid w:val="00C16A43"/>
    <w:rsid w:val="00C16B42"/>
    <w:rsid w:val="00C16B52"/>
    <w:rsid w:val="00C16B83"/>
    <w:rsid w:val="00C16BA4"/>
    <w:rsid w:val="00C16C17"/>
    <w:rsid w:val="00C16C46"/>
    <w:rsid w:val="00C16C78"/>
    <w:rsid w:val="00C16EFD"/>
    <w:rsid w:val="00C17035"/>
    <w:rsid w:val="00C170FB"/>
    <w:rsid w:val="00C17266"/>
    <w:rsid w:val="00C172FA"/>
    <w:rsid w:val="00C1738E"/>
    <w:rsid w:val="00C174B9"/>
    <w:rsid w:val="00C17658"/>
    <w:rsid w:val="00C17912"/>
    <w:rsid w:val="00C17981"/>
    <w:rsid w:val="00C17F0C"/>
    <w:rsid w:val="00C17FDA"/>
    <w:rsid w:val="00C20037"/>
    <w:rsid w:val="00C2007D"/>
    <w:rsid w:val="00C20185"/>
    <w:rsid w:val="00C20198"/>
    <w:rsid w:val="00C2023C"/>
    <w:rsid w:val="00C202A7"/>
    <w:rsid w:val="00C202AF"/>
    <w:rsid w:val="00C2035D"/>
    <w:rsid w:val="00C205AF"/>
    <w:rsid w:val="00C207C5"/>
    <w:rsid w:val="00C207EA"/>
    <w:rsid w:val="00C20806"/>
    <w:rsid w:val="00C2086A"/>
    <w:rsid w:val="00C2091F"/>
    <w:rsid w:val="00C209E0"/>
    <w:rsid w:val="00C20B62"/>
    <w:rsid w:val="00C20B9D"/>
    <w:rsid w:val="00C20D1D"/>
    <w:rsid w:val="00C20DBA"/>
    <w:rsid w:val="00C20DBC"/>
    <w:rsid w:val="00C20DD3"/>
    <w:rsid w:val="00C20F3D"/>
    <w:rsid w:val="00C2109C"/>
    <w:rsid w:val="00C210B5"/>
    <w:rsid w:val="00C210D0"/>
    <w:rsid w:val="00C21107"/>
    <w:rsid w:val="00C2113E"/>
    <w:rsid w:val="00C211AC"/>
    <w:rsid w:val="00C211F0"/>
    <w:rsid w:val="00C2122D"/>
    <w:rsid w:val="00C2128C"/>
    <w:rsid w:val="00C2134D"/>
    <w:rsid w:val="00C213DC"/>
    <w:rsid w:val="00C215D4"/>
    <w:rsid w:val="00C21614"/>
    <w:rsid w:val="00C217BF"/>
    <w:rsid w:val="00C2184A"/>
    <w:rsid w:val="00C21865"/>
    <w:rsid w:val="00C21873"/>
    <w:rsid w:val="00C21994"/>
    <w:rsid w:val="00C21AD9"/>
    <w:rsid w:val="00C21B39"/>
    <w:rsid w:val="00C21C5F"/>
    <w:rsid w:val="00C21C96"/>
    <w:rsid w:val="00C21C9E"/>
    <w:rsid w:val="00C21CFC"/>
    <w:rsid w:val="00C21DBE"/>
    <w:rsid w:val="00C21DF8"/>
    <w:rsid w:val="00C21F33"/>
    <w:rsid w:val="00C21F93"/>
    <w:rsid w:val="00C21FCC"/>
    <w:rsid w:val="00C21FFF"/>
    <w:rsid w:val="00C221D5"/>
    <w:rsid w:val="00C22230"/>
    <w:rsid w:val="00C22375"/>
    <w:rsid w:val="00C22627"/>
    <w:rsid w:val="00C227FB"/>
    <w:rsid w:val="00C228FE"/>
    <w:rsid w:val="00C2294C"/>
    <w:rsid w:val="00C22A0B"/>
    <w:rsid w:val="00C22A62"/>
    <w:rsid w:val="00C22AB7"/>
    <w:rsid w:val="00C22B1B"/>
    <w:rsid w:val="00C22B72"/>
    <w:rsid w:val="00C22B8F"/>
    <w:rsid w:val="00C22C31"/>
    <w:rsid w:val="00C22C5A"/>
    <w:rsid w:val="00C22D04"/>
    <w:rsid w:val="00C22D2F"/>
    <w:rsid w:val="00C22D79"/>
    <w:rsid w:val="00C22E23"/>
    <w:rsid w:val="00C23144"/>
    <w:rsid w:val="00C2333E"/>
    <w:rsid w:val="00C23397"/>
    <w:rsid w:val="00C233A9"/>
    <w:rsid w:val="00C234A7"/>
    <w:rsid w:val="00C23509"/>
    <w:rsid w:val="00C236AB"/>
    <w:rsid w:val="00C23710"/>
    <w:rsid w:val="00C238A2"/>
    <w:rsid w:val="00C23986"/>
    <w:rsid w:val="00C2399F"/>
    <w:rsid w:val="00C239AD"/>
    <w:rsid w:val="00C239B3"/>
    <w:rsid w:val="00C23A62"/>
    <w:rsid w:val="00C23A65"/>
    <w:rsid w:val="00C23B5C"/>
    <w:rsid w:val="00C23F8E"/>
    <w:rsid w:val="00C24128"/>
    <w:rsid w:val="00C24171"/>
    <w:rsid w:val="00C24376"/>
    <w:rsid w:val="00C243DE"/>
    <w:rsid w:val="00C2441B"/>
    <w:rsid w:val="00C24449"/>
    <w:rsid w:val="00C245A5"/>
    <w:rsid w:val="00C245A8"/>
    <w:rsid w:val="00C2494D"/>
    <w:rsid w:val="00C249E5"/>
    <w:rsid w:val="00C24A27"/>
    <w:rsid w:val="00C24A41"/>
    <w:rsid w:val="00C24AF3"/>
    <w:rsid w:val="00C24BFE"/>
    <w:rsid w:val="00C24CAC"/>
    <w:rsid w:val="00C24D2D"/>
    <w:rsid w:val="00C24D30"/>
    <w:rsid w:val="00C24D66"/>
    <w:rsid w:val="00C24DD5"/>
    <w:rsid w:val="00C24E50"/>
    <w:rsid w:val="00C250D0"/>
    <w:rsid w:val="00C2515B"/>
    <w:rsid w:val="00C251BE"/>
    <w:rsid w:val="00C25285"/>
    <w:rsid w:val="00C2530E"/>
    <w:rsid w:val="00C25313"/>
    <w:rsid w:val="00C253D8"/>
    <w:rsid w:val="00C2540E"/>
    <w:rsid w:val="00C25477"/>
    <w:rsid w:val="00C2548F"/>
    <w:rsid w:val="00C254C1"/>
    <w:rsid w:val="00C255A4"/>
    <w:rsid w:val="00C255A8"/>
    <w:rsid w:val="00C256E3"/>
    <w:rsid w:val="00C257F2"/>
    <w:rsid w:val="00C258AA"/>
    <w:rsid w:val="00C25973"/>
    <w:rsid w:val="00C25999"/>
    <w:rsid w:val="00C25A0D"/>
    <w:rsid w:val="00C25A12"/>
    <w:rsid w:val="00C25B86"/>
    <w:rsid w:val="00C25D57"/>
    <w:rsid w:val="00C25D73"/>
    <w:rsid w:val="00C25DFC"/>
    <w:rsid w:val="00C25EB6"/>
    <w:rsid w:val="00C25EFA"/>
    <w:rsid w:val="00C26017"/>
    <w:rsid w:val="00C26079"/>
    <w:rsid w:val="00C26174"/>
    <w:rsid w:val="00C26240"/>
    <w:rsid w:val="00C263F1"/>
    <w:rsid w:val="00C264B6"/>
    <w:rsid w:val="00C264ED"/>
    <w:rsid w:val="00C2654A"/>
    <w:rsid w:val="00C2665C"/>
    <w:rsid w:val="00C2668B"/>
    <w:rsid w:val="00C26933"/>
    <w:rsid w:val="00C269BE"/>
    <w:rsid w:val="00C26ABB"/>
    <w:rsid w:val="00C26AC6"/>
    <w:rsid w:val="00C26B8E"/>
    <w:rsid w:val="00C26BEA"/>
    <w:rsid w:val="00C26C25"/>
    <w:rsid w:val="00C26C46"/>
    <w:rsid w:val="00C26DD2"/>
    <w:rsid w:val="00C26E7E"/>
    <w:rsid w:val="00C26F12"/>
    <w:rsid w:val="00C26FA5"/>
    <w:rsid w:val="00C27039"/>
    <w:rsid w:val="00C27169"/>
    <w:rsid w:val="00C271F0"/>
    <w:rsid w:val="00C27242"/>
    <w:rsid w:val="00C2742A"/>
    <w:rsid w:val="00C2744C"/>
    <w:rsid w:val="00C27570"/>
    <w:rsid w:val="00C2771E"/>
    <w:rsid w:val="00C277B2"/>
    <w:rsid w:val="00C277D0"/>
    <w:rsid w:val="00C27840"/>
    <w:rsid w:val="00C278ED"/>
    <w:rsid w:val="00C27951"/>
    <w:rsid w:val="00C27991"/>
    <w:rsid w:val="00C27A0B"/>
    <w:rsid w:val="00C27AF4"/>
    <w:rsid w:val="00C27B38"/>
    <w:rsid w:val="00C27DC9"/>
    <w:rsid w:val="00C27E7B"/>
    <w:rsid w:val="00C27EAD"/>
    <w:rsid w:val="00C27ECC"/>
    <w:rsid w:val="00C27EEB"/>
    <w:rsid w:val="00C27F15"/>
    <w:rsid w:val="00C27F86"/>
    <w:rsid w:val="00C300CA"/>
    <w:rsid w:val="00C30158"/>
    <w:rsid w:val="00C3021F"/>
    <w:rsid w:val="00C3023B"/>
    <w:rsid w:val="00C3024D"/>
    <w:rsid w:val="00C3035B"/>
    <w:rsid w:val="00C30377"/>
    <w:rsid w:val="00C303CB"/>
    <w:rsid w:val="00C3054E"/>
    <w:rsid w:val="00C30691"/>
    <w:rsid w:val="00C30757"/>
    <w:rsid w:val="00C30849"/>
    <w:rsid w:val="00C308F3"/>
    <w:rsid w:val="00C30935"/>
    <w:rsid w:val="00C30981"/>
    <w:rsid w:val="00C309A0"/>
    <w:rsid w:val="00C30B1F"/>
    <w:rsid w:val="00C30BF3"/>
    <w:rsid w:val="00C30C16"/>
    <w:rsid w:val="00C30C2D"/>
    <w:rsid w:val="00C30D0F"/>
    <w:rsid w:val="00C30D17"/>
    <w:rsid w:val="00C30DE1"/>
    <w:rsid w:val="00C30E34"/>
    <w:rsid w:val="00C30F2B"/>
    <w:rsid w:val="00C30FA8"/>
    <w:rsid w:val="00C3120B"/>
    <w:rsid w:val="00C3131A"/>
    <w:rsid w:val="00C3136C"/>
    <w:rsid w:val="00C313DC"/>
    <w:rsid w:val="00C3140D"/>
    <w:rsid w:val="00C31512"/>
    <w:rsid w:val="00C3179C"/>
    <w:rsid w:val="00C3180A"/>
    <w:rsid w:val="00C31947"/>
    <w:rsid w:val="00C3199B"/>
    <w:rsid w:val="00C319D8"/>
    <w:rsid w:val="00C31AED"/>
    <w:rsid w:val="00C31B3D"/>
    <w:rsid w:val="00C31BEB"/>
    <w:rsid w:val="00C31C28"/>
    <w:rsid w:val="00C31E2F"/>
    <w:rsid w:val="00C31FB5"/>
    <w:rsid w:val="00C3202B"/>
    <w:rsid w:val="00C32212"/>
    <w:rsid w:val="00C32268"/>
    <w:rsid w:val="00C322A5"/>
    <w:rsid w:val="00C322A7"/>
    <w:rsid w:val="00C32382"/>
    <w:rsid w:val="00C32384"/>
    <w:rsid w:val="00C323D2"/>
    <w:rsid w:val="00C3246A"/>
    <w:rsid w:val="00C32491"/>
    <w:rsid w:val="00C324CF"/>
    <w:rsid w:val="00C32617"/>
    <w:rsid w:val="00C327E3"/>
    <w:rsid w:val="00C328C3"/>
    <w:rsid w:val="00C328CF"/>
    <w:rsid w:val="00C328DD"/>
    <w:rsid w:val="00C3293A"/>
    <w:rsid w:val="00C32997"/>
    <w:rsid w:val="00C32AF7"/>
    <w:rsid w:val="00C32AF9"/>
    <w:rsid w:val="00C32B08"/>
    <w:rsid w:val="00C32D89"/>
    <w:rsid w:val="00C32E49"/>
    <w:rsid w:val="00C32FA1"/>
    <w:rsid w:val="00C3302F"/>
    <w:rsid w:val="00C33033"/>
    <w:rsid w:val="00C33097"/>
    <w:rsid w:val="00C3310E"/>
    <w:rsid w:val="00C3314D"/>
    <w:rsid w:val="00C331A2"/>
    <w:rsid w:val="00C332DA"/>
    <w:rsid w:val="00C333BB"/>
    <w:rsid w:val="00C334B4"/>
    <w:rsid w:val="00C334D2"/>
    <w:rsid w:val="00C33655"/>
    <w:rsid w:val="00C336A1"/>
    <w:rsid w:val="00C3370D"/>
    <w:rsid w:val="00C33745"/>
    <w:rsid w:val="00C33800"/>
    <w:rsid w:val="00C33815"/>
    <w:rsid w:val="00C33943"/>
    <w:rsid w:val="00C339D7"/>
    <w:rsid w:val="00C33A03"/>
    <w:rsid w:val="00C33A4B"/>
    <w:rsid w:val="00C33A83"/>
    <w:rsid w:val="00C33A9B"/>
    <w:rsid w:val="00C33E45"/>
    <w:rsid w:val="00C33E4D"/>
    <w:rsid w:val="00C33F37"/>
    <w:rsid w:val="00C33F7D"/>
    <w:rsid w:val="00C34053"/>
    <w:rsid w:val="00C343D8"/>
    <w:rsid w:val="00C343F2"/>
    <w:rsid w:val="00C34482"/>
    <w:rsid w:val="00C3450E"/>
    <w:rsid w:val="00C34584"/>
    <w:rsid w:val="00C345B7"/>
    <w:rsid w:val="00C34608"/>
    <w:rsid w:val="00C34654"/>
    <w:rsid w:val="00C34677"/>
    <w:rsid w:val="00C346F6"/>
    <w:rsid w:val="00C34816"/>
    <w:rsid w:val="00C348AD"/>
    <w:rsid w:val="00C34904"/>
    <w:rsid w:val="00C34905"/>
    <w:rsid w:val="00C34989"/>
    <w:rsid w:val="00C34993"/>
    <w:rsid w:val="00C34A95"/>
    <w:rsid w:val="00C34BC8"/>
    <w:rsid w:val="00C34C97"/>
    <w:rsid w:val="00C34CA8"/>
    <w:rsid w:val="00C34D2A"/>
    <w:rsid w:val="00C34D2C"/>
    <w:rsid w:val="00C34D93"/>
    <w:rsid w:val="00C34E2C"/>
    <w:rsid w:val="00C34F24"/>
    <w:rsid w:val="00C34F32"/>
    <w:rsid w:val="00C34F3C"/>
    <w:rsid w:val="00C34FB4"/>
    <w:rsid w:val="00C350F1"/>
    <w:rsid w:val="00C351CB"/>
    <w:rsid w:val="00C35210"/>
    <w:rsid w:val="00C352F5"/>
    <w:rsid w:val="00C35380"/>
    <w:rsid w:val="00C353F3"/>
    <w:rsid w:val="00C353FA"/>
    <w:rsid w:val="00C355FB"/>
    <w:rsid w:val="00C35610"/>
    <w:rsid w:val="00C35642"/>
    <w:rsid w:val="00C358A3"/>
    <w:rsid w:val="00C35913"/>
    <w:rsid w:val="00C35A76"/>
    <w:rsid w:val="00C35ADD"/>
    <w:rsid w:val="00C35BEB"/>
    <w:rsid w:val="00C35C65"/>
    <w:rsid w:val="00C35CFE"/>
    <w:rsid w:val="00C35E34"/>
    <w:rsid w:val="00C35E74"/>
    <w:rsid w:val="00C3607C"/>
    <w:rsid w:val="00C3612B"/>
    <w:rsid w:val="00C3616A"/>
    <w:rsid w:val="00C36229"/>
    <w:rsid w:val="00C36244"/>
    <w:rsid w:val="00C36269"/>
    <w:rsid w:val="00C362A3"/>
    <w:rsid w:val="00C362D9"/>
    <w:rsid w:val="00C36389"/>
    <w:rsid w:val="00C363BD"/>
    <w:rsid w:val="00C363D3"/>
    <w:rsid w:val="00C3643D"/>
    <w:rsid w:val="00C36448"/>
    <w:rsid w:val="00C3656C"/>
    <w:rsid w:val="00C365B1"/>
    <w:rsid w:val="00C36643"/>
    <w:rsid w:val="00C36668"/>
    <w:rsid w:val="00C36680"/>
    <w:rsid w:val="00C3668E"/>
    <w:rsid w:val="00C36814"/>
    <w:rsid w:val="00C3681D"/>
    <w:rsid w:val="00C368BE"/>
    <w:rsid w:val="00C3691D"/>
    <w:rsid w:val="00C36934"/>
    <w:rsid w:val="00C36971"/>
    <w:rsid w:val="00C369E4"/>
    <w:rsid w:val="00C36A9A"/>
    <w:rsid w:val="00C36BF0"/>
    <w:rsid w:val="00C36C3C"/>
    <w:rsid w:val="00C36C89"/>
    <w:rsid w:val="00C36D75"/>
    <w:rsid w:val="00C36D7D"/>
    <w:rsid w:val="00C36DBC"/>
    <w:rsid w:val="00C36E83"/>
    <w:rsid w:val="00C37065"/>
    <w:rsid w:val="00C370B1"/>
    <w:rsid w:val="00C370E0"/>
    <w:rsid w:val="00C3742E"/>
    <w:rsid w:val="00C37460"/>
    <w:rsid w:val="00C37615"/>
    <w:rsid w:val="00C37642"/>
    <w:rsid w:val="00C37643"/>
    <w:rsid w:val="00C37740"/>
    <w:rsid w:val="00C378B9"/>
    <w:rsid w:val="00C37957"/>
    <w:rsid w:val="00C37966"/>
    <w:rsid w:val="00C37D67"/>
    <w:rsid w:val="00C37D76"/>
    <w:rsid w:val="00C37D8E"/>
    <w:rsid w:val="00C37D91"/>
    <w:rsid w:val="00C37DC9"/>
    <w:rsid w:val="00C37EE7"/>
    <w:rsid w:val="00C37EF5"/>
    <w:rsid w:val="00C40011"/>
    <w:rsid w:val="00C40144"/>
    <w:rsid w:val="00C4024C"/>
    <w:rsid w:val="00C40254"/>
    <w:rsid w:val="00C402ED"/>
    <w:rsid w:val="00C4038E"/>
    <w:rsid w:val="00C403E6"/>
    <w:rsid w:val="00C40547"/>
    <w:rsid w:val="00C40570"/>
    <w:rsid w:val="00C406CB"/>
    <w:rsid w:val="00C406E1"/>
    <w:rsid w:val="00C40787"/>
    <w:rsid w:val="00C4084F"/>
    <w:rsid w:val="00C40905"/>
    <w:rsid w:val="00C40987"/>
    <w:rsid w:val="00C409CF"/>
    <w:rsid w:val="00C40A16"/>
    <w:rsid w:val="00C40B17"/>
    <w:rsid w:val="00C40B6D"/>
    <w:rsid w:val="00C40C06"/>
    <w:rsid w:val="00C40C77"/>
    <w:rsid w:val="00C40C9C"/>
    <w:rsid w:val="00C40F3C"/>
    <w:rsid w:val="00C40F5B"/>
    <w:rsid w:val="00C40F84"/>
    <w:rsid w:val="00C41146"/>
    <w:rsid w:val="00C4123B"/>
    <w:rsid w:val="00C41266"/>
    <w:rsid w:val="00C412D4"/>
    <w:rsid w:val="00C41301"/>
    <w:rsid w:val="00C41418"/>
    <w:rsid w:val="00C415DD"/>
    <w:rsid w:val="00C41601"/>
    <w:rsid w:val="00C417DF"/>
    <w:rsid w:val="00C41953"/>
    <w:rsid w:val="00C419D5"/>
    <w:rsid w:val="00C41A8C"/>
    <w:rsid w:val="00C41AD5"/>
    <w:rsid w:val="00C41BB9"/>
    <w:rsid w:val="00C41CF8"/>
    <w:rsid w:val="00C41D43"/>
    <w:rsid w:val="00C41DFF"/>
    <w:rsid w:val="00C41E03"/>
    <w:rsid w:val="00C41E46"/>
    <w:rsid w:val="00C41EDF"/>
    <w:rsid w:val="00C41F71"/>
    <w:rsid w:val="00C41FA9"/>
    <w:rsid w:val="00C42092"/>
    <w:rsid w:val="00C421C6"/>
    <w:rsid w:val="00C421D7"/>
    <w:rsid w:val="00C42215"/>
    <w:rsid w:val="00C4221F"/>
    <w:rsid w:val="00C42397"/>
    <w:rsid w:val="00C423BA"/>
    <w:rsid w:val="00C423FE"/>
    <w:rsid w:val="00C4242E"/>
    <w:rsid w:val="00C42489"/>
    <w:rsid w:val="00C424C7"/>
    <w:rsid w:val="00C42528"/>
    <w:rsid w:val="00C42549"/>
    <w:rsid w:val="00C4256E"/>
    <w:rsid w:val="00C425B3"/>
    <w:rsid w:val="00C4262A"/>
    <w:rsid w:val="00C426A1"/>
    <w:rsid w:val="00C42733"/>
    <w:rsid w:val="00C4288D"/>
    <w:rsid w:val="00C4290E"/>
    <w:rsid w:val="00C42A80"/>
    <w:rsid w:val="00C42AD2"/>
    <w:rsid w:val="00C42B59"/>
    <w:rsid w:val="00C42BB7"/>
    <w:rsid w:val="00C42C36"/>
    <w:rsid w:val="00C42DC4"/>
    <w:rsid w:val="00C42DE1"/>
    <w:rsid w:val="00C42F6F"/>
    <w:rsid w:val="00C42FC4"/>
    <w:rsid w:val="00C430BB"/>
    <w:rsid w:val="00C430CB"/>
    <w:rsid w:val="00C4339D"/>
    <w:rsid w:val="00C434CD"/>
    <w:rsid w:val="00C4352C"/>
    <w:rsid w:val="00C43538"/>
    <w:rsid w:val="00C435BB"/>
    <w:rsid w:val="00C4363A"/>
    <w:rsid w:val="00C436AB"/>
    <w:rsid w:val="00C437BF"/>
    <w:rsid w:val="00C43864"/>
    <w:rsid w:val="00C4387B"/>
    <w:rsid w:val="00C438A1"/>
    <w:rsid w:val="00C4395A"/>
    <w:rsid w:val="00C43A0F"/>
    <w:rsid w:val="00C43A2E"/>
    <w:rsid w:val="00C43AE0"/>
    <w:rsid w:val="00C43AF4"/>
    <w:rsid w:val="00C43AF6"/>
    <w:rsid w:val="00C43B80"/>
    <w:rsid w:val="00C43B8F"/>
    <w:rsid w:val="00C43C0A"/>
    <w:rsid w:val="00C43C1B"/>
    <w:rsid w:val="00C43CF5"/>
    <w:rsid w:val="00C43D19"/>
    <w:rsid w:val="00C43E20"/>
    <w:rsid w:val="00C43ECA"/>
    <w:rsid w:val="00C43F59"/>
    <w:rsid w:val="00C43FF7"/>
    <w:rsid w:val="00C441A9"/>
    <w:rsid w:val="00C441CE"/>
    <w:rsid w:val="00C44225"/>
    <w:rsid w:val="00C44242"/>
    <w:rsid w:val="00C44308"/>
    <w:rsid w:val="00C44326"/>
    <w:rsid w:val="00C4434D"/>
    <w:rsid w:val="00C4437D"/>
    <w:rsid w:val="00C44396"/>
    <w:rsid w:val="00C443B8"/>
    <w:rsid w:val="00C444DF"/>
    <w:rsid w:val="00C444EF"/>
    <w:rsid w:val="00C4460A"/>
    <w:rsid w:val="00C44734"/>
    <w:rsid w:val="00C44BEA"/>
    <w:rsid w:val="00C44C11"/>
    <w:rsid w:val="00C44C88"/>
    <w:rsid w:val="00C44C8A"/>
    <w:rsid w:val="00C44CC1"/>
    <w:rsid w:val="00C44D15"/>
    <w:rsid w:val="00C44DC7"/>
    <w:rsid w:val="00C44E7D"/>
    <w:rsid w:val="00C44EAA"/>
    <w:rsid w:val="00C44F4B"/>
    <w:rsid w:val="00C451EE"/>
    <w:rsid w:val="00C452A4"/>
    <w:rsid w:val="00C454A8"/>
    <w:rsid w:val="00C45506"/>
    <w:rsid w:val="00C456A0"/>
    <w:rsid w:val="00C456E7"/>
    <w:rsid w:val="00C45709"/>
    <w:rsid w:val="00C45A17"/>
    <w:rsid w:val="00C45A20"/>
    <w:rsid w:val="00C45B09"/>
    <w:rsid w:val="00C45D0D"/>
    <w:rsid w:val="00C45FF1"/>
    <w:rsid w:val="00C46141"/>
    <w:rsid w:val="00C461A2"/>
    <w:rsid w:val="00C4625E"/>
    <w:rsid w:val="00C46277"/>
    <w:rsid w:val="00C46300"/>
    <w:rsid w:val="00C46314"/>
    <w:rsid w:val="00C46347"/>
    <w:rsid w:val="00C4637E"/>
    <w:rsid w:val="00C463C7"/>
    <w:rsid w:val="00C4645F"/>
    <w:rsid w:val="00C46487"/>
    <w:rsid w:val="00C46622"/>
    <w:rsid w:val="00C4669B"/>
    <w:rsid w:val="00C466E2"/>
    <w:rsid w:val="00C46815"/>
    <w:rsid w:val="00C46872"/>
    <w:rsid w:val="00C468E4"/>
    <w:rsid w:val="00C46A08"/>
    <w:rsid w:val="00C46A09"/>
    <w:rsid w:val="00C46A72"/>
    <w:rsid w:val="00C46A8F"/>
    <w:rsid w:val="00C46C0E"/>
    <w:rsid w:val="00C46D10"/>
    <w:rsid w:val="00C46D53"/>
    <w:rsid w:val="00C46DB4"/>
    <w:rsid w:val="00C46F39"/>
    <w:rsid w:val="00C46F55"/>
    <w:rsid w:val="00C46FBA"/>
    <w:rsid w:val="00C470A3"/>
    <w:rsid w:val="00C4716B"/>
    <w:rsid w:val="00C4725E"/>
    <w:rsid w:val="00C4726B"/>
    <w:rsid w:val="00C472C7"/>
    <w:rsid w:val="00C47444"/>
    <w:rsid w:val="00C47524"/>
    <w:rsid w:val="00C4754E"/>
    <w:rsid w:val="00C475B9"/>
    <w:rsid w:val="00C476DA"/>
    <w:rsid w:val="00C477AC"/>
    <w:rsid w:val="00C477D8"/>
    <w:rsid w:val="00C47843"/>
    <w:rsid w:val="00C47844"/>
    <w:rsid w:val="00C478BE"/>
    <w:rsid w:val="00C47998"/>
    <w:rsid w:val="00C47A23"/>
    <w:rsid w:val="00C47A2B"/>
    <w:rsid w:val="00C47B31"/>
    <w:rsid w:val="00C47BC0"/>
    <w:rsid w:val="00C47DD5"/>
    <w:rsid w:val="00C47F1C"/>
    <w:rsid w:val="00C5002F"/>
    <w:rsid w:val="00C50069"/>
    <w:rsid w:val="00C50092"/>
    <w:rsid w:val="00C500D0"/>
    <w:rsid w:val="00C5019E"/>
    <w:rsid w:val="00C501A5"/>
    <w:rsid w:val="00C50220"/>
    <w:rsid w:val="00C50259"/>
    <w:rsid w:val="00C50405"/>
    <w:rsid w:val="00C50576"/>
    <w:rsid w:val="00C50667"/>
    <w:rsid w:val="00C50704"/>
    <w:rsid w:val="00C50711"/>
    <w:rsid w:val="00C507A5"/>
    <w:rsid w:val="00C507F1"/>
    <w:rsid w:val="00C5082F"/>
    <w:rsid w:val="00C50851"/>
    <w:rsid w:val="00C5085E"/>
    <w:rsid w:val="00C5087E"/>
    <w:rsid w:val="00C509A3"/>
    <w:rsid w:val="00C50B3B"/>
    <w:rsid w:val="00C50BE2"/>
    <w:rsid w:val="00C50BE5"/>
    <w:rsid w:val="00C50E3F"/>
    <w:rsid w:val="00C50FD1"/>
    <w:rsid w:val="00C50FE4"/>
    <w:rsid w:val="00C5116A"/>
    <w:rsid w:val="00C51171"/>
    <w:rsid w:val="00C511C1"/>
    <w:rsid w:val="00C511DE"/>
    <w:rsid w:val="00C5132B"/>
    <w:rsid w:val="00C5153F"/>
    <w:rsid w:val="00C5180E"/>
    <w:rsid w:val="00C51874"/>
    <w:rsid w:val="00C519A9"/>
    <w:rsid w:val="00C51AE2"/>
    <w:rsid w:val="00C51CF5"/>
    <w:rsid w:val="00C51D08"/>
    <w:rsid w:val="00C51D87"/>
    <w:rsid w:val="00C51E0B"/>
    <w:rsid w:val="00C51E26"/>
    <w:rsid w:val="00C51E41"/>
    <w:rsid w:val="00C51F8D"/>
    <w:rsid w:val="00C51FD8"/>
    <w:rsid w:val="00C522F6"/>
    <w:rsid w:val="00C524F7"/>
    <w:rsid w:val="00C525C0"/>
    <w:rsid w:val="00C52681"/>
    <w:rsid w:val="00C52691"/>
    <w:rsid w:val="00C527DD"/>
    <w:rsid w:val="00C5280F"/>
    <w:rsid w:val="00C52840"/>
    <w:rsid w:val="00C52891"/>
    <w:rsid w:val="00C528A3"/>
    <w:rsid w:val="00C52971"/>
    <w:rsid w:val="00C529CC"/>
    <w:rsid w:val="00C52B53"/>
    <w:rsid w:val="00C52BE0"/>
    <w:rsid w:val="00C52CBA"/>
    <w:rsid w:val="00C52D64"/>
    <w:rsid w:val="00C52F4E"/>
    <w:rsid w:val="00C52F50"/>
    <w:rsid w:val="00C5301A"/>
    <w:rsid w:val="00C531D1"/>
    <w:rsid w:val="00C533DF"/>
    <w:rsid w:val="00C53401"/>
    <w:rsid w:val="00C53431"/>
    <w:rsid w:val="00C53530"/>
    <w:rsid w:val="00C53569"/>
    <w:rsid w:val="00C535A1"/>
    <w:rsid w:val="00C535C7"/>
    <w:rsid w:val="00C535DD"/>
    <w:rsid w:val="00C53604"/>
    <w:rsid w:val="00C53659"/>
    <w:rsid w:val="00C5378C"/>
    <w:rsid w:val="00C53857"/>
    <w:rsid w:val="00C53902"/>
    <w:rsid w:val="00C53952"/>
    <w:rsid w:val="00C5398B"/>
    <w:rsid w:val="00C539F3"/>
    <w:rsid w:val="00C53B18"/>
    <w:rsid w:val="00C53B32"/>
    <w:rsid w:val="00C53D67"/>
    <w:rsid w:val="00C53DA6"/>
    <w:rsid w:val="00C53EF2"/>
    <w:rsid w:val="00C53F0E"/>
    <w:rsid w:val="00C54007"/>
    <w:rsid w:val="00C54032"/>
    <w:rsid w:val="00C54184"/>
    <w:rsid w:val="00C541E5"/>
    <w:rsid w:val="00C5421D"/>
    <w:rsid w:val="00C54275"/>
    <w:rsid w:val="00C542B9"/>
    <w:rsid w:val="00C542DF"/>
    <w:rsid w:val="00C5430D"/>
    <w:rsid w:val="00C54318"/>
    <w:rsid w:val="00C543FD"/>
    <w:rsid w:val="00C5450E"/>
    <w:rsid w:val="00C545A9"/>
    <w:rsid w:val="00C54679"/>
    <w:rsid w:val="00C546C2"/>
    <w:rsid w:val="00C54718"/>
    <w:rsid w:val="00C5472E"/>
    <w:rsid w:val="00C5482E"/>
    <w:rsid w:val="00C549B5"/>
    <w:rsid w:val="00C549B8"/>
    <w:rsid w:val="00C549EE"/>
    <w:rsid w:val="00C54A8B"/>
    <w:rsid w:val="00C54ADE"/>
    <w:rsid w:val="00C54B3F"/>
    <w:rsid w:val="00C54BD3"/>
    <w:rsid w:val="00C54BD9"/>
    <w:rsid w:val="00C54C73"/>
    <w:rsid w:val="00C54DA6"/>
    <w:rsid w:val="00C54E3A"/>
    <w:rsid w:val="00C54EE3"/>
    <w:rsid w:val="00C54F3B"/>
    <w:rsid w:val="00C550A5"/>
    <w:rsid w:val="00C55116"/>
    <w:rsid w:val="00C55117"/>
    <w:rsid w:val="00C55180"/>
    <w:rsid w:val="00C551B1"/>
    <w:rsid w:val="00C5523F"/>
    <w:rsid w:val="00C552AB"/>
    <w:rsid w:val="00C5538A"/>
    <w:rsid w:val="00C553CE"/>
    <w:rsid w:val="00C553DA"/>
    <w:rsid w:val="00C5541F"/>
    <w:rsid w:val="00C55553"/>
    <w:rsid w:val="00C55561"/>
    <w:rsid w:val="00C556DE"/>
    <w:rsid w:val="00C556E9"/>
    <w:rsid w:val="00C55753"/>
    <w:rsid w:val="00C55776"/>
    <w:rsid w:val="00C5577B"/>
    <w:rsid w:val="00C557BB"/>
    <w:rsid w:val="00C55849"/>
    <w:rsid w:val="00C55B1F"/>
    <w:rsid w:val="00C55C3C"/>
    <w:rsid w:val="00C55C48"/>
    <w:rsid w:val="00C55D22"/>
    <w:rsid w:val="00C55E26"/>
    <w:rsid w:val="00C55E59"/>
    <w:rsid w:val="00C55FAA"/>
    <w:rsid w:val="00C55FFB"/>
    <w:rsid w:val="00C5614F"/>
    <w:rsid w:val="00C5628A"/>
    <w:rsid w:val="00C562ED"/>
    <w:rsid w:val="00C562FC"/>
    <w:rsid w:val="00C56362"/>
    <w:rsid w:val="00C563E9"/>
    <w:rsid w:val="00C563EB"/>
    <w:rsid w:val="00C56490"/>
    <w:rsid w:val="00C5654F"/>
    <w:rsid w:val="00C566F1"/>
    <w:rsid w:val="00C566FD"/>
    <w:rsid w:val="00C56728"/>
    <w:rsid w:val="00C56821"/>
    <w:rsid w:val="00C568AC"/>
    <w:rsid w:val="00C569B6"/>
    <w:rsid w:val="00C56A5A"/>
    <w:rsid w:val="00C56AA5"/>
    <w:rsid w:val="00C56B50"/>
    <w:rsid w:val="00C56D0D"/>
    <w:rsid w:val="00C56DA7"/>
    <w:rsid w:val="00C56E23"/>
    <w:rsid w:val="00C56F71"/>
    <w:rsid w:val="00C5701B"/>
    <w:rsid w:val="00C5702F"/>
    <w:rsid w:val="00C5704E"/>
    <w:rsid w:val="00C57185"/>
    <w:rsid w:val="00C571E9"/>
    <w:rsid w:val="00C5724E"/>
    <w:rsid w:val="00C573D1"/>
    <w:rsid w:val="00C57563"/>
    <w:rsid w:val="00C57592"/>
    <w:rsid w:val="00C5759C"/>
    <w:rsid w:val="00C575E7"/>
    <w:rsid w:val="00C576DC"/>
    <w:rsid w:val="00C578D4"/>
    <w:rsid w:val="00C57922"/>
    <w:rsid w:val="00C5792F"/>
    <w:rsid w:val="00C5793F"/>
    <w:rsid w:val="00C579FC"/>
    <w:rsid w:val="00C57A10"/>
    <w:rsid w:val="00C57AB3"/>
    <w:rsid w:val="00C57B2C"/>
    <w:rsid w:val="00C57C2A"/>
    <w:rsid w:val="00C57CA8"/>
    <w:rsid w:val="00C57E77"/>
    <w:rsid w:val="00C57E84"/>
    <w:rsid w:val="00C57FE5"/>
    <w:rsid w:val="00C600AB"/>
    <w:rsid w:val="00C600E9"/>
    <w:rsid w:val="00C6011D"/>
    <w:rsid w:val="00C60199"/>
    <w:rsid w:val="00C60236"/>
    <w:rsid w:val="00C602A7"/>
    <w:rsid w:val="00C6035D"/>
    <w:rsid w:val="00C60399"/>
    <w:rsid w:val="00C6039E"/>
    <w:rsid w:val="00C6049D"/>
    <w:rsid w:val="00C60576"/>
    <w:rsid w:val="00C60636"/>
    <w:rsid w:val="00C60652"/>
    <w:rsid w:val="00C60672"/>
    <w:rsid w:val="00C60675"/>
    <w:rsid w:val="00C60728"/>
    <w:rsid w:val="00C60801"/>
    <w:rsid w:val="00C608F0"/>
    <w:rsid w:val="00C60A58"/>
    <w:rsid w:val="00C60AE2"/>
    <w:rsid w:val="00C60C4C"/>
    <w:rsid w:val="00C60D55"/>
    <w:rsid w:val="00C60DA6"/>
    <w:rsid w:val="00C60E8A"/>
    <w:rsid w:val="00C60FB4"/>
    <w:rsid w:val="00C610A9"/>
    <w:rsid w:val="00C610E7"/>
    <w:rsid w:val="00C611E4"/>
    <w:rsid w:val="00C613BA"/>
    <w:rsid w:val="00C613FA"/>
    <w:rsid w:val="00C6152B"/>
    <w:rsid w:val="00C61636"/>
    <w:rsid w:val="00C61662"/>
    <w:rsid w:val="00C616B9"/>
    <w:rsid w:val="00C61902"/>
    <w:rsid w:val="00C619F0"/>
    <w:rsid w:val="00C61A46"/>
    <w:rsid w:val="00C61AD3"/>
    <w:rsid w:val="00C61B03"/>
    <w:rsid w:val="00C61CDC"/>
    <w:rsid w:val="00C61D9B"/>
    <w:rsid w:val="00C61E45"/>
    <w:rsid w:val="00C61E4F"/>
    <w:rsid w:val="00C61E58"/>
    <w:rsid w:val="00C61F75"/>
    <w:rsid w:val="00C61FB2"/>
    <w:rsid w:val="00C62045"/>
    <w:rsid w:val="00C62077"/>
    <w:rsid w:val="00C62298"/>
    <w:rsid w:val="00C6248E"/>
    <w:rsid w:val="00C624EF"/>
    <w:rsid w:val="00C62530"/>
    <w:rsid w:val="00C625BE"/>
    <w:rsid w:val="00C625CE"/>
    <w:rsid w:val="00C6265B"/>
    <w:rsid w:val="00C626B6"/>
    <w:rsid w:val="00C626CD"/>
    <w:rsid w:val="00C629D5"/>
    <w:rsid w:val="00C62A6F"/>
    <w:rsid w:val="00C62A8D"/>
    <w:rsid w:val="00C62B1A"/>
    <w:rsid w:val="00C62CEA"/>
    <w:rsid w:val="00C62D3B"/>
    <w:rsid w:val="00C62DEE"/>
    <w:rsid w:val="00C62E04"/>
    <w:rsid w:val="00C62E99"/>
    <w:rsid w:val="00C62ED3"/>
    <w:rsid w:val="00C62EF7"/>
    <w:rsid w:val="00C6306E"/>
    <w:rsid w:val="00C6309E"/>
    <w:rsid w:val="00C6319F"/>
    <w:rsid w:val="00C631FF"/>
    <w:rsid w:val="00C63216"/>
    <w:rsid w:val="00C6323E"/>
    <w:rsid w:val="00C633E1"/>
    <w:rsid w:val="00C6347C"/>
    <w:rsid w:val="00C637F1"/>
    <w:rsid w:val="00C6386F"/>
    <w:rsid w:val="00C638CC"/>
    <w:rsid w:val="00C63A64"/>
    <w:rsid w:val="00C63BA0"/>
    <w:rsid w:val="00C63D05"/>
    <w:rsid w:val="00C63D52"/>
    <w:rsid w:val="00C63E3D"/>
    <w:rsid w:val="00C63E87"/>
    <w:rsid w:val="00C63ECA"/>
    <w:rsid w:val="00C640D4"/>
    <w:rsid w:val="00C640F1"/>
    <w:rsid w:val="00C640F8"/>
    <w:rsid w:val="00C64114"/>
    <w:rsid w:val="00C64123"/>
    <w:rsid w:val="00C64141"/>
    <w:rsid w:val="00C641BA"/>
    <w:rsid w:val="00C641FD"/>
    <w:rsid w:val="00C6425B"/>
    <w:rsid w:val="00C6427E"/>
    <w:rsid w:val="00C6435A"/>
    <w:rsid w:val="00C643A0"/>
    <w:rsid w:val="00C6442F"/>
    <w:rsid w:val="00C645F5"/>
    <w:rsid w:val="00C64654"/>
    <w:rsid w:val="00C646FC"/>
    <w:rsid w:val="00C64826"/>
    <w:rsid w:val="00C64A55"/>
    <w:rsid w:val="00C64ADA"/>
    <w:rsid w:val="00C64B33"/>
    <w:rsid w:val="00C64B42"/>
    <w:rsid w:val="00C64C17"/>
    <w:rsid w:val="00C64C92"/>
    <w:rsid w:val="00C64CB7"/>
    <w:rsid w:val="00C64E1D"/>
    <w:rsid w:val="00C64E3E"/>
    <w:rsid w:val="00C64F1E"/>
    <w:rsid w:val="00C64F43"/>
    <w:rsid w:val="00C64F7A"/>
    <w:rsid w:val="00C64F9D"/>
    <w:rsid w:val="00C6510F"/>
    <w:rsid w:val="00C65123"/>
    <w:rsid w:val="00C652C6"/>
    <w:rsid w:val="00C6532E"/>
    <w:rsid w:val="00C6545C"/>
    <w:rsid w:val="00C654CC"/>
    <w:rsid w:val="00C654EF"/>
    <w:rsid w:val="00C6559A"/>
    <w:rsid w:val="00C65605"/>
    <w:rsid w:val="00C6563C"/>
    <w:rsid w:val="00C6566E"/>
    <w:rsid w:val="00C656F0"/>
    <w:rsid w:val="00C65729"/>
    <w:rsid w:val="00C6576C"/>
    <w:rsid w:val="00C6584D"/>
    <w:rsid w:val="00C6584F"/>
    <w:rsid w:val="00C65A66"/>
    <w:rsid w:val="00C65B9A"/>
    <w:rsid w:val="00C65C49"/>
    <w:rsid w:val="00C65C67"/>
    <w:rsid w:val="00C65CFF"/>
    <w:rsid w:val="00C65E82"/>
    <w:rsid w:val="00C65F70"/>
    <w:rsid w:val="00C6611C"/>
    <w:rsid w:val="00C66371"/>
    <w:rsid w:val="00C665CA"/>
    <w:rsid w:val="00C6660D"/>
    <w:rsid w:val="00C66674"/>
    <w:rsid w:val="00C66736"/>
    <w:rsid w:val="00C667AF"/>
    <w:rsid w:val="00C667BC"/>
    <w:rsid w:val="00C668EF"/>
    <w:rsid w:val="00C668F8"/>
    <w:rsid w:val="00C6698F"/>
    <w:rsid w:val="00C66A37"/>
    <w:rsid w:val="00C66CF1"/>
    <w:rsid w:val="00C66DA8"/>
    <w:rsid w:val="00C66E52"/>
    <w:rsid w:val="00C66F06"/>
    <w:rsid w:val="00C66F45"/>
    <w:rsid w:val="00C6700B"/>
    <w:rsid w:val="00C670AA"/>
    <w:rsid w:val="00C670CD"/>
    <w:rsid w:val="00C67187"/>
    <w:rsid w:val="00C67227"/>
    <w:rsid w:val="00C6728D"/>
    <w:rsid w:val="00C672A4"/>
    <w:rsid w:val="00C67373"/>
    <w:rsid w:val="00C67385"/>
    <w:rsid w:val="00C674A8"/>
    <w:rsid w:val="00C6781C"/>
    <w:rsid w:val="00C67902"/>
    <w:rsid w:val="00C67A56"/>
    <w:rsid w:val="00C67A8C"/>
    <w:rsid w:val="00C67A90"/>
    <w:rsid w:val="00C67A99"/>
    <w:rsid w:val="00C67B33"/>
    <w:rsid w:val="00C67CAE"/>
    <w:rsid w:val="00C67CCD"/>
    <w:rsid w:val="00C67CD4"/>
    <w:rsid w:val="00C67CF0"/>
    <w:rsid w:val="00C67D3D"/>
    <w:rsid w:val="00C67D4E"/>
    <w:rsid w:val="00C67DA4"/>
    <w:rsid w:val="00C67E47"/>
    <w:rsid w:val="00C67EAB"/>
    <w:rsid w:val="00C70077"/>
    <w:rsid w:val="00C70134"/>
    <w:rsid w:val="00C70359"/>
    <w:rsid w:val="00C703EC"/>
    <w:rsid w:val="00C703EF"/>
    <w:rsid w:val="00C7047C"/>
    <w:rsid w:val="00C704EB"/>
    <w:rsid w:val="00C704FB"/>
    <w:rsid w:val="00C707DF"/>
    <w:rsid w:val="00C70893"/>
    <w:rsid w:val="00C709F5"/>
    <w:rsid w:val="00C70B41"/>
    <w:rsid w:val="00C70C8E"/>
    <w:rsid w:val="00C70D07"/>
    <w:rsid w:val="00C70DD3"/>
    <w:rsid w:val="00C70DFB"/>
    <w:rsid w:val="00C70EAE"/>
    <w:rsid w:val="00C70EDB"/>
    <w:rsid w:val="00C70EE7"/>
    <w:rsid w:val="00C70F91"/>
    <w:rsid w:val="00C71226"/>
    <w:rsid w:val="00C7136F"/>
    <w:rsid w:val="00C713A8"/>
    <w:rsid w:val="00C713F4"/>
    <w:rsid w:val="00C714D4"/>
    <w:rsid w:val="00C714EE"/>
    <w:rsid w:val="00C71504"/>
    <w:rsid w:val="00C71576"/>
    <w:rsid w:val="00C7163B"/>
    <w:rsid w:val="00C716B5"/>
    <w:rsid w:val="00C71801"/>
    <w:rsid w:val="00C71847"/>
    <w:rsid w:val="00C718BB"/>
    <w:rsid w:val="00C71948"/>
    <w:rsid w:val="00C71ACD"/>
    <w:rsid w:val="00C71C19"/>
    <w:rsid w:val="00C71C3F"/>
    <w:rsid w:val="00C71C85"/>
    <w:rsid w:val="00C71CA1"/>
    <w:rsid w:val="00C71DAC"/>
    <w:rsid w:val="00C71EC0"/>
    <w:rsid w:val="00C71F74"/>
    <w:rsid w:val="00C71FB4"/>
    <w:rsid w:val="00C72080"/>
    <w:rsid w:val="00C720B4"/>
    <w:rsid w:val="00C7211E"/>
    <w:rsid w:val="00C72185"/>
    <w:rsid w:val="00C722D9"/>
    <w:rsid w:val="00C7234C"/>
    <w:rsid w:val="00C7236B"/>
    <w:rsid w:val="00C72381"/>
    <w:rsid w:val="00C72399"/>
    <w:rsid w:val="00C723AD"/>
    <w:rsid w:val="00C72506"/>
    <w:rsid w:val="00C7273F"/>
    <w:rsid w:val="00C727A1"/>
    <w:rsid w:val="00C728AC"/>
    <w:rsid w:val="00C7296C"/>
    <w:rsid w:val="00C72973"/>
    <w:rsid w:val="00C729B0"/>
    <w:rsid w:val="00C72AD6"/>
    <w:rsid w:val="00C72B32"/>
    <w:rsid w:val="00C72B67"/>
    <w:rsid w:val="00C72BC4"/>
    <w:rsid w:val="00C72C3D"/>
    <w:rsid w:val="00C72CB7"/>
    <w:rsid w:val="00C72CC7"/>
    <w:rsid w:val="00C72E55"/>
    <w:rsid w:val="00C72EF7"/>
    <w:rsid w:val="00C72F4C"/>
    <w:rsid w:val="00C73031"/>
    <w:rsid w:val="00C7311C"/>
    <w:rsid w:val="00C7330F"/>
    <w:rsid w:val="00C733D9"/>
    <w:rsid w:val="00C734D6"/>
    <w:rsid w:val="00C73527"/>
    <w:rsid w:val="00C73593"/>
    <w:rsid w:val="00C735E9"/>
    <w:rsid w:val="00C7362B"/>
    <w:rsid w:val="00C736ED"/>
    <w:rsid w:val="00C7374B"/>
    <w:rsid w:val="00C73A14"/>
    <w:rsid w:val="00C73A26"/>
    <w:rsid w:val="00C73A7C"/>
    <w:rsid w:val="00C73BEE"/>
    <w:rsid w:val="00C73D5C"/>
    <w:rsid w:val="00C73DA0"/>
    <w:rsid w:val="00C73DB2"/>
    <w:rsid w:val="00C73DF5"/>
    <w:rsid w:val="00C73F8C"/>
    <w:rsid w:val="00C74004"/>
    <w:rsid w:val="00C7413F"/>
    <w:rsid w:val="00C74262"/>
    <w:rsid w:val="00C74301"/>
    <w:rsid w:val="00C74331"/>
    <w:rsid w:val="00C74584"/>
    <w:rsid w:val="00C74627"/>
    <w:rsid w:val="00C7467D"/>
    <w:rsid w:val="00C7469A"/>
    <w:rsid w:val="00C747E3"/>
    <w:rsid w:val="00C747ED"/>
    <w:rsid w:val="00C7481B"/>
    <w:rsid w:val="00C7484E"/>
    <w:rsid w:val="00C74965"/>
    <w:rsid w:val="00C7496D"/>
    <w:rsid w:val="00C74A26"/>
    <w:rsid w:val="00C74AD9"/>
    <w:rsid w:val="00C74B20"/>
    <w:rsid w:val="00C74BE4"/>
    <w:rsid w:val="00C74BFB"/>
    <w:rsid w:val="00C74CFA"/>
    <w:rsid w:val="00C74D6B"/>
    <w:rsid w:val="00C74DCA"/>
    <w:rsid w:val="00C74E7D"/>
    <w:rsid w:val="00C75031"/>
    <w:rsid w:val="00C7503A"/>
    <w:rsid w:val="00C75045"/>
    <w:rsid w:val="00C750D5"/>
    <w:rsid w:val="00C75153"/>
    <w:rsid w:val="00C751EC"/>
    <w:rsid w:val="00C753D6"/>
    <w:rsid w:val="00C754F2"/>
    <w:rsid w:val="00C75545"/>
    <w:rsid w:val="00C7558E"/>
    <w:rsid w:val="00C756C9"/>
    <w:rsid w:val="00C757DF"/>
    <w:rsid w:val="00C757F5"/>
    <w:rsid w:val="00C75962"/>
    <w:rsid w:val="00C75A06"/>
    <w:rsid w:val="00C75A5A"/>
    <w:rsid w:val="00C75B72"/>
    <w:rsid w:val="00C75BB5"/>
    <w:rsid w:val="00C75C50"/>
    <w:rsid w:val="00C75CB3"/>
    <w:rsid w:val="00C75E26"/>
    <w:rsid w:val="00C75EAB"/>
    <w:rsid w:val="00C76074"/>
    <w:rsid w:val="00C76093"/>
    <w:rsid w:val="00C760DA"/>
    <w:rsid w:val="00C760E6"/>
    <w:rsid w:val="00C760E7"/>
    <w:rsid w:val="00C76191"/>
    <w:rsid w:val="00C76329"/>
    <w:rsid w:val="00C76403"/>
    <w:rsid w:val="00C764D0"/>
    <w:rsid w:val="00C764D7"/>
    <w:rsid w:val="00C76520"/>
    <w:rsid w:val="00C76573"/>
    <w:rsid w:val="00C7657A"/>
    <w:rsid w:val="00C765E7"/>
    <w:rsid w:val="00C7673E"/>
    <w:rsid w:val="00C767EB"/>
    <w:rsid w:val="00C7684A"/>
    <w:rsid w:val="00C768B1"/>
    <w:rsid w:val="00C76A52"/>
    <w:rsid w:val="00C76AB2"/>
    <w:rsid w:val="00C76B7C"/>
    <w:rsid w:val="00C76B8F"/>
    <w:rsid w:val="00C76C28"/>
    <w:rsid w:val="00C76C58"/>
    <w:rsid w:val="00C76CBD"/>
    <w:rsid w:val="00C76CBF"/>
    <w:rsid w:val="00C76CCC"/>
    <w:rsid w:val="00C76DCE"/>
    <w:rsid w:val="00C76F3F"/>
    <w:rsid w:val="00C76F82"/>
    <w:rsid w:val="00C76F8F"/>
    <w:rsid w:val="00C76FC1"/>
    <w:rsid w:val="00C77086"/>
    <w:rsid w:val="00C770EC"/>
    <w:rsid w:val="00C7714E"/>
    <w:rsid w:val="00C77256"/>
    <w:rsid w:val="00C7751E"/>
    <w:rsid w:val="00C775E2"/>
    <w:rsid w:val="00C776B0"/>
    <w:rsid w:val="00C776EC"/>
    <w:rsid w:val="00C77791"/>
    <w:rsid w:val="00C778D8"/>
    <w:rsid w:val="00C77AC8"/>
    <w:rsid w:val="00C77B8B"/>
    <w:rsid w:val="00C77BC7"/>
    <w:rsid w:val="00C77BCE"/>
    <w:rsid w:val="00C77C27"/>
    <w:rsid w:val="00C77CEB"/>
    <w:rsid w:val="00C77D99"/>
    <w:rsid w:val="00C77DB2"/>
    <w:rsid w:val="00C77E4C"/>
    <w:rsid w:val="00C77E5C"/>
    <w:rsid w:val="00C7EFB1"/>
    <w:rsid w:val="00C80185"/>
    <w:rsid w:val="00C8018C"/>
    <w:rsid w:val="00C80269"/>
    <w:rsid w:val="00C80335"/>
    <w:rsid w:val="00C804F4"/>
    <w:rsid w:val="00C8054A"/>
    <w:rsid w:val="00C8061C"/>
    <w:rsid w:val="00C80A5E"/>
    <w:rsid w:val="00C80B00"/>
    <w:rsid w:val="00C80B12"/>
    <w:rsid w:val="00C80B38"/>
    <w:rsid w:val="00C80C4C"/>
    <w:rsid w:val="00C80E8C"/>
    <w:rsid w:val="00C80E9A"/>
    <w:rsid w:val="00C80EA8"/>
    <w:rsid w:val="00C80ED4"/>
    <w:rsid w:val="00C80F7D"/>
    <w:rsid w:val="00C81018"/>
    <w:rsid w:val="00C811BF"/>
    <w:rsid w:val="00C81268"/>
    <w:rsid w:val="00C812FF"/>
    <w:rsid w:val="00C813CA"/>
    <w:rsid w:val="00C8143E"/>
    <w:rsid w:val="00C81608"/>
    <w:rsid w:val="00C8163D"/>
    <w:rsid w:val="00C81751"/>
    <w:rsid w:val="00C81754"/>
    <w:rsid w:val="00C81855"/>
    <w:rsid w:val="00C8191B"/>
    <w:rsid w:val="00C819C2"/>
    <w:rsid w:val="00C81A15"/>
    <w:rsid w:val="00C81C69"/>
    <w:rsid w:val="00C81CCE"/>
    <w:rsid w:val="00C81DDA"/>
    <w:rsid w:val="00C81E38"/>
    <w:rsid w:val="00C81EE4"/>
    <w:rsid w:val="00C81F82"/>
    <w:rsid w:val="00C82006"/>
    <w:rsid w:val="00C8200E"/>
    <w:rsid w:val="00C82011"/>
    <w:rsid w:val="00C8201B"/>
    <w:rsid w:val="00C82095"/>
    <w:rsid w:val="00C820A6"/>
    <w:rsid w:val="00C820C9"/>
    <w:rsid w:val="00C821A6"/>
    <w:rsid w:val="00C821BB"/>
    <w:rsid w:val="00C822E3"/>
    <w:rsid w:val="00C8235F"/>
    <w:rsid w:val="00C823BE"/>
    <w:rsid w:val="00C8258D"/>
    <w:rsid w:val="00C8267D"/>
    <w:rsid w:val="00C8286B"/>
    <w:rsid w:val="00C82909"/>
    <w:rsid w:val="00C8295B"/>
    <w:rsid w:val="00C829ED"/>
    <w:rsid w:val="00C82A0F"/>
    <w:rsid w:val="00C82A7F"/>
    <w:rsid w:val="00C82D11"/>
    <w:rsid w:val="00C82E2C"/>
    <w:rsid w:val="00C82ECB"/>
    <w:rsid w:val="00C82F9E"/>
    <w:rsid w:val="00C82FE1"/>
    <w:rsid w:val="00C83016"/>
    <w:rsid w:val="00C83151"/>
    <w:rsid w:val="00C83172"/>
    <w:rsid w:val="00C83432"/>
    <w:rsid w:val="00C83451"/>
    <w:rsid w:val="00C8351D"/>
    <w:rsid w:val="00C835F2"/>
    <w:rsid w:val="00C8379F"/>
    <w:rsid w:val="00C83864"/>
    <w:rsid w:val="00C8398B"/>
    <w:rsid w:val="00C839BF"/>
    <w:rsid w:val="00C83ABB"/>
    <w:rsid w:val="00C83ACE"/>
    <w:rsid w:val="00C83B6D"/>
    <w:rsid w:val="00C83B74"/>
    <w:rsid w:val="00C83C01"/>
    <w:rsid w:val="00C83C71"/>
    <w:rsid w:val="00C83F3A"/>
    <w:rsid w:val="00C83FC3"/>
    <w:rsid w:val="00C83FE2"/>
    <w:rsid w:val="00C84131"/>
    <w:rsid w:val="00C84160"/>
    <w:rsid w:val="00C841C0"/>
    <w:rsid w:val="00C84210"/>
    <w:rsid w:val="00C84340"/>
    <w:rsid w:val="00C843B7"/>
    <w:rsid w:val="00C84407"/>
    <w:rsid w:val="00C8451D"/>
    <w:rsid w:val="00C845B6"/>
    <w:rsid w:val="00C8466E"/>
    <w:rsid w:val="00C84697"/>
    <w:rsid w:val="00C8471F"/>
    <w:rsid w:val="00C84841"/>
    <w:rsid w:val="00C8486D"/>
    <w:rsid w:val="00C8487C"/>
    <w:rsid w:val="00C848B2"/>
    <w:rsid w:val="00C84963"/>
    <w:rsid w:val="00C84A2C"/>
    <w:rsid w:val="00C84A82"/>
    <w:rsid w:val="00C84B20"/>
    <w:rsid w:val="00C84B75"/>
    <w:rsid w:val="00C84B7C"/>
    <w:rsid w:val="00C84BDD"/>
    <w:rsid w:val="00C84CC5"/>
    <w:rsid w:val="00C84CE9"/>
    <w:rsid w:val="00C84E14"/>
    <w:rsid w:val="00C84EAD"/>
    <w:rsid w:val="00C84EC0"/>
    <w:rsid w:val="00C84F89"/>
    <w:rsid w:val="00C84FE8"/>
    <w:rsid w:val="00C84FF2"/>
    <w:rsid w:val="00C85057"/>
    <w:rsid w:val="00C8505F"/>
    <w:rsid w:val="00C85077"/>
    <w:rsid w:val="00C85084"/>
    <w:rsid w:val="00C8508B"/>
    <w:rsid w:val="00C851A4"/>
    <w:rsid w:val="00C851B0"/>
    <w:rsid w:val="00C851FC"/>
    <w:rsid w:val="00C85219"/>
    <w:rsid w:val="00C85392"/>
    <w:rsid w:val="00C854DE"/>
    <w:rsid w:val="00C8551D"/>
    <w:rsid w:val="00C8561B"/>
    <w:rsid w:val="00C857BD"/>
    <w:rsid w:val="00C858A6"/>
    <w:rsid w:val="00C858C5"/>
    <w:rsid w:val="00C85ABC"/>
    <w:rsid w:val="00C85AC2"/>
    <w:rsid w:val="00C85D29"/>
    <w:rsid w:val="00C85D8D"/>
    <w:rsid w:val="00C85E66"/>
    <w:rsid w:val="00C85FE1"/>
    <w:rsid w:val="00C860A7"/>
    <w:rsid w:val="00C860F6"/>
    <w:rsid w:val="00C86145"/>
    <w:rsid w:val="00C8625A"/>
    <w:rsid w:val="00C864AB"/>
    <w:rsid w:val="00C8682F"/>
    <w:rsid w:val="00C868DD"/>
    <w:rsid w:val="00C869AF"/>
    <w:rsid w:val="00C86A03"/>
    <w:rsid w:val="00C86A28"/>
    <w:rsid w:val="00C86B51"/>
    <w:rsid w:val="00C86B9B"/>
    <w:rsid w:val="00C86BE2"/>
    <w:rsid w:val="00C86BED"/>
    <w:rsid w:val="00C86BEF"/>
    <w:rsid w:val="00C86C1B"/>
    <w:rsid w:val="00C86D45"/>
    <w:rsid w:val="00C86FB9"/>
    <w:rsid w:val="00C86FC2"/>
    <w:rsid w:val="00C870AE"/>
    <w:rsid w:val="00C870CB"/>
    <w:rsid w:val="00C870E0"/>
    <w:rsid w:val="00C8713D"/>
    <w:rsid w:val="00C871F9"/>
    <w:rsid w:val="00C8735C"/>
    <w:rsid w:val="00C873C7"/>
    <w:rsid w:val="00C874BB"/>
    <w:rsid w:val="00C87539"/>
    <w:rsid w:val="00C875BA"/>
    <w:rsid w:val="00C8765A"/>
    <w:rsid w:val="00C87735"/>
    <w:rsid w:val="00C877EE"/>
    <w:rsid w:val="00C8780F"/>
    <w:rsid w:val="00C87896"/>
    <w:rsid w:val="00C87963"/>
    <w:rsid w:val="00C87A44"/>
    <w:rsid w:val="00C87C48"/>
    <w:rsid w:val="00C87D65"/>
    <w:rsid w:val="00C87E42"/>
    <w:rsid w:val="00C87E4F"/>
    <w:rsid w:val="00C87EA6"/>
    <w:rsid w:val="00C87F27"/>
    <w:rsid w:val="00C90087"/>
    <w:rsid w:val="00C900D5"/>
    <w:rsid w:val="00C900D6"/>
    <w:rsid w:val="00C9043D"/>
    <w:rsid w:val="00C904D4"/>
    <w:rsid w:val="00C9053C"/>
    <w:rsid w:val="00C905FC"/>
    <w:rsid w:val="00C9066C"/>
    <w:rsid w:val="00C906A3"/>
    <w:rsid w:val="00C90751"/>
    <w:rsid w:val="00C908F1"/>
    <w:rsid w:val="00C909A3"/>
    <w:rsid w:val="00C90A7F"/>
    <w:rsid w:val="00C90C34"/>
    <w:rsid w:val="00C90C9D"/>
    <w:rsid w:val="00C90DFF"/>
    <w:rsid w:val="00C90E51"/>
    <w:rsid w:val="00C90F7A"/>
    <w:rsid w:val="00C911E9"/>
    <w:rsid w:val="00C9125A"/>
    <w:rsid w:val="00C91266"/>
    <w:rsid w:val="00C9133E"/>
    <w:rsid w:val="00C91357"/>
    <w:rsid w:val="00C9136D"/>
    <w:rsid w:val="00C913F7"/>
    <w:rsid w:val="00C91400"/>
    <w:rsid w:val="00C91486"/>
    <w:rsid w:val="00C914AC"/>
    <w:rsid w:val="00C91548"/>
    <w:rsid w:val="00C91555"/>
    <w:rsid w:val="00C915C9"/>
    <w:rsid w:val="00C9162A"/>
    <w:rsid w:val="00C91667"/>
    <w:rsid w:val="00C916BD"/>
    <w:rsid w:val="00C916D7"/>
    <w:rsid w:val="00C91705"/>
    <w:rsid w:val="00C91774"/>
    <w:rsid w:val="00C9183A"/>
    <w:rsid w:val="00C91886"/>
    <w:rsid w:val="00C91A69"/>
    <w:rsid w:val="00C91A74"/>
    <w:rsid w:val="00C91AA2"/>
    <w:rsid w:val="00C91ADD"/>
    <w:rsid w:val="00C91C91"/>
    <w:rsid w:val="00C91E78"/>
    <w:rsid w:val="00C91EA7"/>
    <w:rsid w:val="00C91F42"/>
    <w:rsid w:val="00C9204A"/>
    <w:rsid w:val="00C92143"/>
    <w:rsid w:val="00C9217B"/>
    <w:rsid w:val="00C9233F"/>
    <w:rsid w:val="00C92424"/>
    <w:rsid w:val="00C9248C"/>
    <w:rsid w:val="00C924A3"/>
    <w:rsid w:val="00C92597"/>
    <w:rsid w:val="00C925E7"/>
    <w:rsid w:val="00C92650"/>
    <w:rsid w:val="00C926A1"/>
    <w:rsid w:val="00C928BC"/>
    <w:rsid w:val="00C92911"/>
    <w:rsid w:val="00C92A54"/>
    <w:rsid w:val="00C92AE7"/>
    <w:rsid w:val="00C92B82"/>
    <w:rsid w:val="00C92B98"/>
    <w:rsid w:val="00C92D10"/>
    <w:rsid w:val="00C92F9C"/>
    <w:rsid w:val="00C93035"/>
    <w:rsid w:val="00C93084"/>
    <w:rsid w:val="00C930C2"/>
    <w:rsid w:val="00C930EB"/>
    <w:rsid w:val="00C930F4"/>
    <w:rsid w:val="00C93103"/>
    <w:rsid w:val="00C93249"/>
    <w:rsid w:val="00C932C0"/>
    <w:rsid w:val="00C93353"/>
    <w:rsid w:val="00C933B2"/>
    <w:rsid w:val="00C935D6"/>
    <w:rsid w:val="00C93830"/>
    <w:rsid w:val="00C9386E"/>
    <w:rsid w:val="00C93A7B"/>
    <w:rsid w:val="00C93C50"/>
    <w:rsid w:val="00C93C5E"/>
    <w:rsid w:val="00C93CFD"/>
    <w:rsid w:val="00C93CFF"/>
    <w:rsid w:val="00C93DA4"/>
    <w:rsid w:val="00C93DF1"/>
    <w:rsid w:val="00C94122"/>
    <w:rsid w:val="00C941C9"/>
    <w:rsid w:val="00C9426B"/>
    <w:rsid w:val="00C94448"/>
    <w:rsid w:val="00C94459"/>
    <w:rsid w:val="00C9449E"/>
    <w:rsid w:val="00C9459A"/>
    <w:rsid w:val="00C9476C"/>
    <w:rsid w:val="00C9480B"/>
    <w:rsid w:val="00C9489D"/>
    <w:rsid w:val="00C94930"/>
    <w:rsid w:val="00C94973"/>
    <w:rsid w:val="00C94ACD"/>
    <w:rsid w:val="00C94B50"/>
    <w:rsid w:val="00C94BF8"/>
    <w:rsid w:val="00C94D1B"/>
    <w:rsid w:val="00C94EA5"/>
    <w:rsid w:val="00C94EA9"/>
    <w:rsid w:val="00C94F10"/>
    <w:rsid w:val="00C94F4E"/>
    <w:rsid w:val="00C94FB8"/>
    <w:rsid w:val="00C95023"/>
    <w:rsid w:val="00C9503D"/>
    <w:rsid w:val="00C95050"/>
    <w:rsid w:val="00C9506A"/>
    <w:rsid w:val="00C95076"/>
    <w:rsid w:val="00C951FA"/>
    <w:rsid w:val="00C951FC"/>
    <w:rsid w:val="00C95232"/>
    <w:rsid w:val="00C95331"/>
    <w:rsid w:val="00C95376"/>
    <w:rsid w:val="00C953B1"/>
    <w:rsid w:val="00C954A4"/>
    <w:rsid w:val="00C954CA"/>
    <w:rsid w:val="00C95560"/>
    <w:rsid w:val="00C95570"/>
    <w:rsid w:val="00C9560F"/>
    <w:rsid w:val="00C9568F"/>
    <w:rsid w:val="00C956A0"/>
    <w:rsid w:val="00C95897"/>
    <w:rsid w:val="00C958BF"/>
    <w:rsid w:val="00C959C7"/>
    <w:rsid w:val="00C959CD"/>
    <w:rsid w:val="00C95AD7"/>
    <w:rsid w:val="00C95B3A"/>
    <w:rsid w:val="00C95C68"/>
    <w:rsid w:val="00C95E38"/>
    <w:rsid w:val="00C95E4C"/>
    <w:rsid w:val="00C95F28"/>
    <w:rsid w:val="00C96031"/>
    <w:rsid w:val="00C9619C"/>
    <w:rsid w:val="00C9620E"/>
    <w:rsid w:val="00C96336"/>
    <w:rsid w:val="00C96345"/>
    <w:rsid w:val="00C96387"/>
    <w:rsid w:val="00C963D5"/>
    <w:rsid w:val="00C96435"/>
    <w:rsid w:val="00C96594"/>
    <w:rsid w:val="00C965AF"/>
    <w:rsid w:val="00C965B1"/>
    <w:rsid w:val="00C965DC"/>
    <w:rsid w:val="00C966D5"/>
    <w:rsid w:val="00C96727"/>
    <w:rsid w:val="00C9685C"/>
    <w:rsid w:val="00C96943"/>
    <w:rsid w:val="00C9694E"/>
    <w:rsid w:val="00C96A1E"/>
    <w:rsid w:val="00C96D10"/>
    <w:rsid w:val="00C96D12"/>
    <w:rsid w:val="00C96D41"/>
    <w:rsid w:val="00C96EEC"/>
    <w:rsid w:val="00C96F3D"/>
    <w:rsid w:val="00C96F68"/>
    <w:rsid w:val="00C97008"/>
    <w:rsid w:val="00C97028"/>
    <w:rsid w:val="00C9707E"/>
    <w:rsid w:val="00C97254"/>
    <w:rsid w:val="00C9727F"/>
    <w:rsid w:val="00C972A4"/>
    <w:rsid w:val="00C972B2"/>
    <w:rsid w:val="00C97436"/>
    <w:rsid w:val="00C9753B"/>
    <w:rsid w:val="00C9754B"/>
    <w:rsid w:val="00C975F8"/>
    <w:rsid w:val="00C97637"/>
    <w:rsid w:val="00C9774E"/>
    <w:rsid w:val="00C97865"/>
    <w:rsid w:val="00C9794F"/>
    <w:rsid w:val="00C97990"/>
    <w:rsid w:val="00C97A38"/>
    <w:rsid w:val="00C97B00"/>
    <w:rsid w:val="00C97C0F"/>
    <w:rsid w:val="00C97C75"/>
    <w:rsid w:val="00C97C97"/>
    <w:rsid w:val="00C97CC9"/>
    <w:rsid w:val="00C97D7C"/>
    <w:rsid w:val="00C97D97"/>
    <w:rsid w:val="00CA019C"/>
    <w:rsid w:val="00CA01DB"/>
    <w:rsid w:val="00CA022A"/>
    <w:rsid w:val="00CA02B4"/>
    <w:rsid w:val="00CA02DD"/>
    <w:rsid w:val="00CA037D"/>
    <w:rsid w:val="00CA0392"/>
    <w:rsid w:val="00CA03FF"/>
    <w:rsid w:val="00CA0451"/>
    <w:rsid w:val="00CA0486"/>
    <w:rsid w:val="00CA04BC"/>
    <w:rsid w:val="00CA04D6"/>
    <w:rsid w:val="00CA04E7"/>
    <w:rsid w:val="00CA0717"/>
    <w:rsid w:val="00CA077B"/>
    <w:rsid w:val="00CA080C"/>
    <w:rsid w:val="00CA089D"/>
    <w:rsid w:val="00CA094E"/>
    <w:rsid w:val="00CA0AE0"/>
    <w:rsid w:val="00CA0B55"/>
    <w:rsid w:val="00CA0B8E"/>
    <w:rsid w:val="00CA0BDD"/>
    <w:rsid w:val="00CA0BDF"/>
    <w:rsid w:val="00CA0C38"/>
    <w:rsid w:val="00CA0C3E"/>
    <w:rsid w:val="00CA0CD4"/>
    <w:rsid w:val="00CA0D18"/>
    <w:rsid w:val="00CA0DA8"/>
    <w:rsid w:val="00CA0E63"/>
    <w:rsid w:val="00CA1002"/>
    <w:rsid w:val="00CA1197"/>
    <w:rsid w:val="00CA1219"/>
    <w:rsid w:val="00CA127C"/>
    <w:rsid w:val="00CA12C4"/>
    <w:rsid w:val="00CA1448"/>
    <w:rsid w:val="00CA14E2"/>
    <w:rsid w:val="00CA1680"/>
    <w:rsid w:val="00CA1946"/>
    <w:rsid w:val="00CA19AD"/>
    <w:rsid w:val="00CA1A3E"/>
    <w:rsid w:val="00CA1AEA"/>
    <w:rsid w:val="00CA1B00"/>
    <w:rsid w:val="00CA1B86"/>
    <w:rsid w:val="00CA1CD6"/>
    <w:rsid w:val="00CA1CE1"/>
    <w:rsid w:val="00CA1DB8"/>
    <w:rsid w:val="00CA1E71"/>
    <w:rsid w:val="00CA1E93"/>
    <w:rsid w:val="00CA20DB"/>
    <w:rsid w:val="00CA2120"/>
    <w:rsid w:val="00CA214E"/>
    <w:rsid w:val="00CA2238"/>
    <w:rsid w:val="00CA2421"/>
    <w:rsid w:val="00CA24D0"/>
    <w:rsid w:val="00CA2731"/>
    <w:rsid w:val="00CA28A6"/>
    <w:rsid w:val="00CA2904"/>
    <w:rsid w:val="00CA2953"/>
    <w:rsid w:val="00CA2E5D"/>
    <w:rsid w:val="00CA2FB0"/>
    <w:rsid w:val="00CA2FC1"/>
    <w:rsid w:val="00CA3140"/>
    <w:rsid w:val="00CA32F3"/>
    <w:rsid w:val="00CA3442"/>
    <w:rsid w:val="00CA34DD"/>
    <w:rsid w:val="00CA3567"/>
    <w:rsid w:val="00CA3657"/>
    <w:rsid w:val="00CA3659"/>
    <w:rsid w:val="00CA369D"/>
    <w:rsid w:val="00CA383C"/>
    <w:rsid w:val="00CA3B12"/>
    <w:rsid w:val="00CA3B53"/>
    <w:rsid w:val="00CA3BFD"/>
    <w:rsid w:val="00CA3DB7"/>
    <w:rsid w:val="00CA3DF2"/>
    <w:rsid w:val="00CA3F4D"/>
    <w:rsid w:val="00CA4135"/>
    <w:rsid w:val="00CA41A2"/>
    <w:rsid w:val="00CA4238"/>
    <w:rsid w:val="00CA4329"/>
    <w:rsid w:val="00CA435C"/>
    <w:rsid w:val="00CA43A7"/>
    <w:rsid w:val="00CA441B"/>
    <w:rsid w:val="00CA44B8"/>
    <w:rsid w:val="00CA44F6"/>
    <w:rsid w:val="00CA455E"/>
    <w:rsid w:val="00CA458C"/>
    <w:rsid w:val="00CA4768"/>
    <w:rsid w:val="00CA477A"/>
    <w:rsid w:val="00CA48D6"/>
    <w:rsid w:val="00CA49BA"/>
    <w:rsid w:val="00CA4C5E"/>
    <w:rsid w:val="00CA4CAD"/>
    <w:rsid w:val="00CA4CDB"/>
    <w:rsid w:val="00CA4D0F"/>
    <w:rsid w:val="00CA4D26"/>
    <w:rsid w:val="00CA4D8F"/>
    <w:rsid w:val="00CA4DFF"/>
    <w:rsid w:val="00CA5010"/>
    <w:rsid w:val="00CA5082"/>
    <w:rsid w:val="00CA5159"/>
    <w:rsid w:val="00CA5182"/>
    <w:rsid w:val="00CA51F9"/>
    <w:rsid w:val="00CA5263"/>
    <w:rsid w:val="00CA529A"/>
    <w:rsid w:val="00CA52D7"/>
    <w:rsid w:val="00CA549F"/>
    <w:rsid w:val="00CA54C5"/>
    <w:rsid w:val="00CA5560"/>
    <w:rsid w:val="00CA568E"/>
    <w:rsid w:val="00CA56E5"/>
    <w:rsid w:val="00CA5704"/>
    <w:rsid w:val="00CA5928"/>
    <w:rsid w:val="00CA59E3"/>
    <w:rsid w:val="00CA5AC7"/>
    <w:rsid w:val="00CA5BC2"/>
    <w:rsid w:val="00CA5C30"/>
    <w:rsid w:val="00CA5C71"/>
    <w:rsid w:val="00CA5D04"/>
    <w:rsid w:val="00CA5D5E"/>
    <w:rsid w:val="00CA5D68"/>
    <w:rsid w:val="00CA5D7E"/>
    <w:rsid w:val="00CA5E37"/>
    <w:rsid w:val="00CA5E5F"/>
    <w:rsid w:val="00CA5E85"/>
    <w:rsid w:val="00CA5F0A"/>
    <w:rsid w:val="00CA5F83"/>
    <w:rsid w:val="00CA5F94"/>
    <w:rsid w:val="00CA62EF"/>
    <w:rsid w:val="00CA6473"/>
    <w:rsid w:val="00CA6502"/>
    <w:rsid w:val="00CA6503"/>
    <w:rsid w:val="00CA659B"/>
    <w:rsid w:val="00CA6648"/>
    <w:rsid w:val="00CA66D7"/>
    <w:rsid w:val="00CA66E1"/>
    <w:rsid w:val="00CA6735"/>
    <w:rsid w:val="00CA676B"/>
    <w:rsid w:val="00CA67EE"/>
    <w:rsid w:val="00CA68A7"/>
    <w:rsid w:val="00CA693A"/>
    <w:rsid w:val="00CA6A2A"/>
    <w:rsid w:val="00CA6CFE"/>
    <w:rsid w:val="00CA6D2D"/>
    <w:rsid w:val="00CA6DCB"/>
    <w:rsid w:val="00CA6EDB"/>
    <w:rsid w:val="00CA6F25"/>
    <w:rsid w:val="00CA6FE3"/>
    <w:rsid w:val="00CA7007"/>
    <w:rsid w:val="00CA7181"/>
    <w:rsid w:val="00CA7296"/>
    <w:rsid w:val="00CA72AB"/>
    <w:rsid w:val="00CA72C9"/>
    <w:rsid w:val="00CA73C6"/>
    <w:rsid w:val="00CA73FA"/>
    <w:rsid w:val="00CA73FD"/>
    <w:rsid w:val="00CA74CE"/>
    <w:rsid w:val="00CA75AD"/>
    <w:rsid w:val="00CA7661"/>
    <w:rsid w:val="00CA7743"/>
    <w:rsid w:val="00CA779C"/>
    <w:rsid w:val="00CA77BE"/>
    <w:rsid w:val="00CA7887"/>
    <w:rsid w:val="00CA78D8"/>
    <w:rsid w:val="00CA78FD"/>
    <w:rsid w:val="00CA7BB8"/>
    <w:rsid w:val="00CA7BDF"/>
    <w:rsid w:val="00CA7C1C"/>
    <w:rsid w:val="00CA7C25"/>
    <w:rsid w:val="00CA7C31"/>
    <w:rsid w:val="00CA7C7C"/>
    <w:rsid w:val="00CA7D87"/>
    <w:rsid w:val="00CA7E95"/>
    <w:rsid w:val="00CB0073"/>
    <w:rsid w:val="00CB012F"/>
    <w:rsid w:val="00CB0215"/>
    <w:rsid w:val="00CB026F"/>
    <w:rsid w:val="00CB02B2"/>
    <w:rsid w:val="00CB038F"/>
    <w:rsid w:val="00CB049A"/>
    <w:rsid w:val="00CB051A"/>
    <w:rsid w:val="00CB057C"/>
    <w:rsid w:val="00CB05B8"/>
    <w:rsid w:val="00CB063F"/>
    <w:rsid w:val="00CB0674"/>
    <w:rsid w:val="00CB0791"/>
    <w:rsid w:val="00CB0820"/>
    <w:rsid w:val="00CB09EF"/>
    <w:rsid w:val="00CB0A75"/>
    <w:rsid w:val="00CB0B0F"/>
    <w:rsid w:val="00CB0B74"/>
    <w:rsid w:val="00CB0BC7"/>
    <w:rsid w:val="00CB0C38"/>
    <w:rsid w:val="00CB0D64"/>
    <w:rsid w:val="00CB0D91"/>
    <w:rsid w:val="00CB0DA8"/>
    <w:rsid w:val="00CB0DD7"/>
    <w:rsid w:val="00CB0DE7"/>
    <w:rsid w:val="00CB0E78"/>
    <w:rsid w:val="00CB0EE6"/>
    <w:rsid w:val="00CB1039"/>
    <w:rsid w:val="00CB1124"/>
    <w:rsid w:val="00CB11E9"/>
    <w:rsid w:val="00CB131C"/>
    <w:rsid w:val="00CB1449"/>
    <w:rsid w:val="00CB14AC"/>
    <w:rsid w:val="00CB14D0"/>
    <w:rsid w:val="00CB150C"/>
    <w:rsid w:val="00CB161F"/>
    <w:rsid w:val="00CB163C"/>
    <w:rsid w:val="00CB1642"/>
    <w:rsid w:val="00CB16F9"/>
    <w:rsid w:val="00CB172F"/>
    <w:rsid w:val="00CB1734"/>
    <w:rsid w:val="00CB183D"/>
    <w:rsid w:val="00CB18DE"/>
    <w:rsid w:val="00CB193C"/>
    <w:rsid w:val="00CB1A23"/>
    <w:rsid w:val="00CB1D5D"/>
    <w:rsid w:val="00CB1E86"/>
    <w:rsid w:val="00CB1EC6"/>
    <w:rsid w:val="00CB2003"/>
    <w:rsid w:val="00CB206D"/>
    <w:rsid w:val="00CB2150"/>
    <w:rsid w:val="00CB217E"/>
    <w:rsid w:val="00CB21C4"/>
    <w:rsid w:val="00CB2218"/>
    <w:rsid w:val="00CB2254"/>
    <w:rsid w:val="00CB22CF"/>
    <w:rsid w:val="00CB24FC"/>
    <w:rsid w:val="00CB25A0"/>
    <w:rsid w:val="00CB27B9"/>
    <w:rsid w:val="00CB283B"/>
    <w:rsid w:val="00CB2922"/>
    <w:rsid w:val="00CB2A2E"/>
    <w:rsid w:val="00CB2A61"/>
    <w:rsid w:val="00CB2A63"/>
    <w:rsid w:val="00CB2B81"/>
    <w:rsid w:val="00CB2BD0"/>
    <w:rsid w:val="00CB2C27"/>
    <w:rsid w:val="00CB2C76"/>
    <w:rsid w:val="00CB2CC6"/>
    <w:rsid w:val="00CB2CD2"/>
    <w:rsid w:val="00CB2F55"/>
    <w:rsid w:val="00CB2F6D"/>
    <w:rsid w:val="00CB2FC5"/>
    <w:rsid w:val="00CB3001"/>
    <w:rsid w:val="00CB314D"/>
    <w:rsid w:val="00CB31DF"/>
    <w:rsid w:val="00CB3277"/>
    <w:rsid w:val="00CB32BC"/>
    <w:rsid w:val="00CB3385"/>
    <w:rsid w:val="00CB3404"/>
    <w:rsid w:val="00CB350F"/>
    <w:rsid w:val="00CB35E5"/>
    <w:rsid w:val="00CB3684"/>
    <w:rsid w:val="00CB36AD"/>
    <w:rsid w:val="00CB3729"/>
    <w:rsid w:val="00CB384F"/>
    <w:rsid w:val="00CB3863"/>
    <w:rsid w:val="00CB3A13"/>
    <w:rsid w:val="00CB3A7C"/>
    <w:rsid w:val="00CB3AA5"/>
    <w:rsid w:val="00CB3B94"/>
    <w:rsid w:val="00CB3BD0"/>
    <w:rsid w:val="00CB3F1F"/>
    <w:rsid w:val="00CB3F45"/>
    <w:rsid w:val="00CB3F68"/>
    <w:rsid w:val="00CB3FD5"/>
    <w:rsid w:val="00CB3FE4"/>
    <w:rsid w:val="00CB4213"/>
    <w:rsid w:val="00CB4222"/>
    <w:rsid w:val="00CB4272"/>
    <w:rsid w:val="00CB441E"/>
    <w:rsid w:val="00CB4533"/>
    <w:rsid w:val="00CB4574"/>
    <w:rsid w:val="00CB45ED"/>
    <w:rsid w:val="00CB4760"/>
    <w:rsid w:val="00CB47B2"/>
    <w:rsid w:val="00CB4871"/>
    <w:rsid w:val="00CB48D7"/>
    <w:rsid w:val="00CB4992"/>
    <w:rsid w:val="00CB4AC1"/>
    <w:rsid w:val="00CB4B66"/>
    <w:rsid w:val="00CB4BAF"/>
    <w:rsid w:val="00CB4DA9"/>
    <w:rsid w:val="00CB4DC1"/>
    <w:rsid w:val="00CB4E24"/>
    <w:rsid w:val="00CB4FB8"/>
    <w:rsid w:val="00CB5183"/>
    <w:rsid w:val="00CB5258"/>
    <w:rsid w:val="00CB5294"/>
    <w:rsid w:val="00CB529E"/>
    <w:rsid w:val="00CB52B2"/>
    <w:rsid w:val="00CB52F0"/>
    <w:rsid w:val="00CB53B9"/>
    <w:rsid w:val="00CB54A9"/>
    <w:rsid w:val="00CB5533"/>
    <w:rsid w:val="00CB558B"/>
    <w:rsid w:val="00CB55C8"/>
    <w:rsid w:val="00CB55E9"/>
    <w:rsid w:val="00CB568C"/>
    <w:rsid w:val="00CB56CE"/>
    <w:rsid w:val="00CB589F"/>
    <w:rsid w:val="00CB5AA1"/>
    <w:rsid w:val="00CB5AE6"/>
    <w:rsid w:val="00CB5B9C"/>
    <w:rsid w:val="00CB5D5C"/>
    <w:rsid w:val="00CB5D7F"/>
    <w:rsid w:val="00CB5EAF"/>
    <w:rsid w:val="00CB60EC"/>
    <w:rsid w:val="00CB6101"/>
    <w:rsid w:val="00CB6156"/>
    <w:rsid w:val="00CB6174"/>
    <w:rsid w:val="00CB61A9"/>
    <w:rsid w:val="00CB6201"/>
    <w:rsid w:val="00CB63D4"/>
    <w:rsid w:val="00CB6492"/>
    <w:rsid w:val="00CB64D3"/>
    <w:rsid w:val="00CB666F"/>
    <w:rsid w:val="00CB6841"/>
    <w:rsid w:val="00CB68BA"/>
    <w:rsid w:val="00CB6917"/>
    <w:rsid w:val="00CB69CB"/>
    <w:rsid w:val="00CB6B04"/>
    <w:rsid w:val="00CB6B84"/>
    <w:rsid w:val="00CB6B86"/>
    <w:rsid w:val="00CB6C4B"/>
    <w:rsid w:val="00CB6CD5"/>
    <w:rsid w:val="00CB6D0D"/>
    <w:rsid w:val="00CB6DE5"/>
    <w:rsid w:val="00CB6F19"/>
    <w:rsid w:val="00CB703E"/>
    <w:rsid w:val="00CB70CE"/>
    <w:rsid w:val="00CB72C2"/>
    <w:rsid w:val="00CB7363"/>
    <w:rsid w:val="00CB73C0"/>
    <w:rsid w:val="00CB741E"/>
    <w:rsid w:val="00CB75C8"/>
    <w:rsid w:val="00CB76AC"/>
    <w:rsid w:val="00CB76ED"/>
    <w:rsid w:val="00CB7763"/>
    <w:rsid w:val="00CB77A4"/>
    <w:rsid w:val="00CB77BF"/>
    <w:rsid w:val="00CB7883"/>
    <w:rsid w:val="00CB78C1"/>
    <w:rsid w:val="00CB7969"/>
    <w:rsid w:val="00CB797E"/>
    <w:rsid w:val="00CB7A12"/>
    <w:rsid w:val="00CB7AC8"/>
    <w:rsid w:val="00CB7B5A"/>
    <w:rsid w:val="00CB7BDB"/>
    <w:rsid w:val="00CB7C48"/>
    <w:rsid w:val="00CB7DFA"/>
    <w:rsid w:val="00CB7E64"/>
    <w:rsid w:val="00CB7F0E"/>
    <w:rsid w:val="00CB7F34"/>
    <w:rsid w:val="00CC0062"/>
    <w:rsid w:val="00CC0073"/>
    <w:rsid w:val="00CC02B5"/>
    <w:rsid w:val="00CC0506"/>
    <w:rsid w:val="00CC05CE"/>
    <w:rsid w:val="00CC0603"/>
    <w:rsid w:val="00CC063C"/>
    <w:rsid w:val="00CC0676"/>
    <w:rsid w:val="00CC0783"/>
    <w:rsid w:val="00CC0960"/>
    <w:rsid w:val="00CC0BC0"/>
    <w:rsid w:val="00CC0CDB"/>
    <w:rsid w:val="00CC0D62"/>
    <w:rsid w:val="00CC104A"/>
    <w:rsid w:val="00CC1229"/>
    <w:rsid w:val="00CC127A"/>
    <w:rsid w:val="00CC14DC"/>
    <w:rsid w:val="00CC152A"/>
    <w:rsid w:val="00CC171B"/>
    <w:rsid w:val="00CC1721"/>
    <w:rsid w:val="00CC176F"/>
    <w:rsid w:val="00CC188D"/>
    <w:rsid w:val="00CC18F2"/>
    <w:rsid w:val="00CC19E4"/>
    <w:rsid w:val="00CC1A38"/>
    <w:rsid w:val="00CC1A70"/>
    <w:rsid w:val="00CC1A71"/>
    <w:rsid w:val="00CC1CA0"/>
    <w:rsid w:val="00CC1D6B"/>
    <w:rsid w:val="00CC1EB3"/>
    <w:rsid w:val="00CC1EF0"/>
    <w:rsid w:val="00CC1F51"/>
    <w:rsid w:val="00CC20DD"/>
    <w:rsid w:val="00CC213B"/>
    <w:rsid w:val="00CC2289"/>
    <w:rsid w:val="00CC23B0"/>
    <w:rsid w:val="00CC23D9"/>
    <w:rsid w:val="00CC2550"/>
    <w:rsid w:val="00CC2602"/>
    <w:rsid w:val="00CC2655"/>
    <w:rsid w:val="00CC2684"/>
    <w:rsid w:val="00CC2713"/>
    <w:rsid w:val="00CC2775"/>
    <w:rsid w:val="00CC27A3"/>
    <w:rsid w:val="00CC28D6"/>
    <w:rsid w:val="00CC2B77"/>
    <w:rsid w:val="00CC2D96"/>
    <w:rsid w:val="00CC2E73"/>
    <w:rsid w:val="00CC2E89"/>
    <w:rsid w:val="00CC2F72"/>
    <w:rsid w:val="00CC2FA7"/>
    <w:rsid w:val="00CC3066"/>
    <w:rsid w:val="00CC30BC"/>
    <w:rsid w:val="00CC30C1"/>
    <w:rsid w:val="00CC30E7"/>
    <w:rsid w:val="00CC3164"/>
    <w:rsid w:val="00CC3178"/>
    <w:rsid w:val="00CC320C"/>
    <w:rsid w:val="00CC3262"/>
    <w:rsid w:val="00CC331C"/>
    <w:rsid w:val="00CC332B"/>
    <w:rsid w:val="00CC33DF"/>
    <w:rsid w:val="00CC341D"/>
    <w:rsid w:val="00CC3468"/>
    <w:rsid w:val="00CC3511"/>
    <w:rsid w:val="00CC3543"/>
    <w:rsid w:val="00CC3554"/>
    <w:rsid w:val="00CC355E"/>
    <w:rsid w:val="00CC35B1"/>
    <w:rsid w:val="00CC36D8"/>
    <w:rsid w:val="00CC37AE"/>
    <w:rsid w:val="00CC37DE"/>
    <w:rsid w:val="00CC37EF"/>
    <w:rsid w:val="00CC381E"/>
    <w:rsid w:val="00CC3824"/>
    <w:rsid w:val="00CC3931"/>
    <w:rsid w:val="00CC3A1A"/>
    <w:rsid w:val="00CC3A70"/>
    <w:rsid w:val="00CC3BD2"/>
    <w:rsid w:val="00CC3C13"/>
    <w:rsid w:val="00CC3CF5"/>
    <w:rsid w:val="00CC3D29"/>
    <w:rsid w:val="00CC3ED8"/>
    <w:rsid w:val="00CC3F81"/>
    <w:rsid w:val="00CC3F9E"/>
    <w:rsid w:val="00CC3FB0"/>
    <w:rsid w:val="00CC40B2"/>
    <w:rsid w:val="00CC416F"/>
    <w:rsid w:val="00CC41A7"/>
    <w:rsid w:val="00CC424B"/>
    <w:rsid w:val="00CC43A6"/>
    <w:rsid w:val="00CC4491"/>
    <w:rsid w:val="00CC44E2"/>
    <w:rsid w:val="00CC452E"/>
    <w:rsid w:val="00CC460C"/>
    <w:rsid w:val="00CC46D4"/>
    <w:rsid w:val="00CC4778"/>
    <w:rsid w:val="00CC4850"/>
    <w:rsid w:val="00CC4858"/>
    <w:rsid w:val="00CC48A1"/>
    <w:rsid w:val="00CC4962"/>
    <w:rsid w:val="00CC4987"/>
    <w:rsid w:val="00CC4BD1"/>
    <w:rsid w:val="00CC4C14"/>
    <w:rsid w:val="00CC4C84"/>
    <w:rsid w:val="00CC4CE6"/>
    <w:rsid w:val="00CC4CF4"/>
    <w:rsid w:val="00CC4D5D"/>
    <w:rsid w:val="00CC4DC9"/>
    <w:rsid w:val="00CC4FB9"/>
    <w:rsid w:val="00CC506E"/>
    <w:rsid w:val="00CC5110"/>
    <w:rsid w:val="00CC5119"/>
    <w:rsid w:val="00CC512D"/>
    <w:rsid w:val="00CC51D1"/>
    <w:rsid w:val="00CC52CB"/>
    <w:rsid w:val="00CC52E3"/>
    <w:rsid w:val="00CC543B"/>
    <w:rsid w:val="00CC544B"/>
    <w:rsid w:val="00CC56EC"/>
    <w:rsid w:val="00CC56F1"/>
    <w:rsid w:val="00CC572A"/>
    <w:rsid w:val="00CC575D"/>
    <w:rsid w:val="00CC57D7"/>
    <w:rsid w:val="00CC57DB"/>
    <w:rsid w:val="00CC5826"/>
    <w:rsid w:val="00CC5898"/>
    <w:rsid w:val="00CC5950"/>
    <w:rsid w:val="00CC5981"/>
    <w:rsid w:val="00CC59A3"/>
    <w:rsid w:val="00CC5A05"/>
    <w:rsid w:val="00CC5A7B"/>
    <w:rsid w:val="00CC5ABB"/>
    <w:rsid w:val="00CC5B00"/>
    <w:rsid w:val="00CC5B7E"/>
    <w:rsid w:val="00CC5BA0"/>
    <w:rsid w:val="00CC5C20"/>
    <w:rsid w:val="00CC5C8A"/>
    <w:rsid w:val="00CC5D5B"/>
    <w:rsid w:val="00CC5EAD"/>
    <w:rsid w:val="00CC5EDE"/>
    <w:rsid w:val="00CC5FF1"/>
    <w:rsid w:val="00CC6044"/>
    <w:rsid w:val="00CC60BB"/>
    <w:rsid w:val="00CC61CB"/>
    <w:rsid w:val="00CC627D"/>
    <w:rsid w:val="00CC6340"/>
    <w:rsid w:val="00CC664A"/>
    <w:rsid w:val="00CC6804"/>
    <w:rsid w:val="00CC68D4"/>
    <w:rsid w:val="00CC69B7"/>
    <w:rsid w:val="00CC6C47"/>
    <w:rsid w:val="00CC6CD5"/>
    <w:rsid w:val="00CC6CE4"/>
    <w:rsid w:val="00CC6E8C"/>
    <w:rsid w:val="00CC6ED2"/>
    <w:rsid w:val="00CC6F0C"/>
    <w:rsid w:val="00CC6F19"/>
    <w:rsid w:val="00CC6FA4"/>
    <w:rsid w:val="00CC704B"/>
    <w:rsid w:val="00CC7117"/>
    <w:rsid w:val="00CC71D9"/>
    <w:rsid w:val="00CC726C"/>
    <w:rsid w:val="00CC72D7"/>
    <w:rsid w:val="00CC73D5"/>
    <w:rsid w:val="00CC73F3"/>
    <w:rsid w:val="00CC7443"/>
    <w:rsid w:val="00CC74B0"/>
    <w:rsid w:val="00CC758F"/>
    <w:rsid w:val="00CC7603"/>
    <w:rsid w:val="00CC7908"/>
    <w:rsid w:val="00CC791F"/>
    <w:rsid w:val="00CC7963"/>
    <w:rsid w:val="00CC7C11"/>
    <w:rsid w:val="00CC7C53"/>
    <w:rsid w:val="00CC7CF2"/>
    <w:rsid w:val="00CC7D91"/>
    <w:rsid w:val="00CC7DE5"/>
    <w:rsid w:val="00CC7EAF"/>
    <w:rsid w:val="00CC7EDD"/>
    <w:rsid w:val="00CC7F01"/>
    <w:rsid w:val="00CC7FB5"/>
    <w:rsid w:val="00CD0090"/>
    <w:rsid w:val="00CD01DC"/>
    <w:rsid w:val="00CD03A5"/>
    <w:rsid w:val="00CD03B6"/>
    <w:rsid w:val="00CD0441"/>
    <w:rsid w:val="00CD0522"/>
    <w:rsid w:val="00CD0529"/>
    <w:rsid w:val="00CD0579"/>
    <w:rsid w:val="00CD06C0"/>
    <w:rsid w:val="00CD06DA"/>
    <w:rsid w:val="00CD0814"/>
    <w:rsid w:val="00CD09BB"/>
    <w:rsid w:val="00CD0A34"/>
    <w:rsid w:val="00CD0B6A"/>
    <w:rsid w:val="00CD0B6D"/>
    <w:rsid w:val="00CD0CC8"/>
    <w:rsid w:val="00CD0E91"/>
    <w:rsid w:val="00CD0EE2"/>
    <w:rsid w:val="00CD0F65"/>
    <w:rsid w:val="00CD0FAB"/>
    <w:rsid w:val="00CD108F"/>
    <w:rsid w:val="00CD1112"/>
    <w:rsid w:val="00CD1199"/>
    <w:rsid w:val="00CD135D"/>
    <w:rsid w:val="00CD13AB"/>
    <w:rsid w:val="00CD140C"/>
    <w:rsid w:val="00CD141D"/>
    <w:rsid w:val="00CD1482"/>
    <w:rsid w:val="00CD149E"/>
    <w:rsid w:val="00CD14C6"/>
    <w:rsid w:val="00CD1559"/>
    <w:rsid w:val="00CD1767"/>
    <w:rsid w:val="00CD17EF"/>
    <w:rsid w:val="00CD1833"/>
    <w:rsid w:val="00CD18FC"/>
    <w:rsid w:val="00CD1AB9"/>
    <w:rsid w:val="00CD1C0A"/>
    <w:rsid w:val="00CD1CC3"/>
    <w:rsid w:val="00CD1CFD"/>
    <w:rsid w:val="00CD1D1A"/>
    <w:rsid w:val="00CD1D47"/>
    <w:rsid w:val="00CD1EE8"/>
    <w:rsid w:val="00CD1F5E"/>
    <w:rsid w:val="00CD200C"/>
    <w:rsid w:val="00CD20AD"/>
    <w:rsid w:val="00CD20B3"/>
    <w:rsid w:val="00CD20D5"/>
    <w:rsid w:val="00CD21AD"/>
    <w:rsid w:val="00CD2336"/>
    <w:rsid w:val="00CD2508"/>
    <w:rsid w:val="00CD2526"/>
    <w:rsid w:val="00CD2591"/>
    <w:rsid w:val="00CD25C7"/>
    <w:rsid w:val="00CD25D5"/>
    <w:rsid w:val="00CD2697"/>
    <w:rsid w:val="00CD2746"/>
    <w:rsid w:val="00CD284F"/>
    <w:rsid w:val="00CD2A23"/>
    <w:rsid w:val="00CD2A7D"/>
    <w:rsid w:val="00CD2AEA"/>
    <w:rsid w:val="00CD2B12"/>
    <w:rsid w:val="00CD2BA1"/>
    <w:rsid w:val="00CD2C43"/>
    <w:rsid w:val="00CD2C97"/>
    <w:rsid w:val="00CD2D0C"/>
    <w:rsid w:val="00CD2E5B"/>
    <w:rsid w:val="00CD2EFD"/>
    <w:rsid w:val="00CD2F6A"/>
    <w:rsid w:val="00CD2FBD"/>
    <w:rsid w:val="00CD303E"/>
    <w:rsid w:val="00CD304E"/>
    <w:rsid w:val="00CD30F3"/>
    <w:rsid w:val="00CD319E"/>
    <w:rsid w:val="00CD31C8"/>
    <w:rsid w:val="00CD3267"/>
    <w:rsid w:val="00CD3322"/>
    <w:rsid w:val="00CD3381"/>
    <w:rsid w:val="00CD33F2"/>
    <w:rsid w:val="00CD341C"/>
    <w:rsid w:val="00CD348A"/>
    <w:rsid w:val="00CD36C2"/>
    <w:rsid w:val="00CD374F"/>
    <w:rsid w:val="00CD3BDA"/>
    <w:rsid w:val="00CD3C27"/>
    <w:rsid w:val="00CD3C98"/>
    <w:rsid w:val="00CD3DC3"/>
    <w:rsid w:val="00CD3E4A"/>
    <w:rsid w:val="00CD3E9F"/>
    <w:rsid w:val="00CD3F0C"/>
    <w:rsid w:val="00CD3F27"/>
    <w:rsid w:val="00CD3F65"/>
    <w:rsid w:val="00CD40BE"/>
    <w:rsid w:val="00CD40F0"/>
    <w:rsid w:val="00CD416E"/>
    <w:rsid w:val="00CD43E4"/>
    <w:rsid w:val="00CD43FB"/>
    <w:rsid w:val="00CD468B"/>
    <w:rsid w:val="00CD4720"/>
    <w:rsid w:val="00CD49B1"/>
    <w:rsid w:val="00CD4A29"/>
    <w:rsid w:val="00CD4A2C"/>
    <w:rsid w:val="00CD4AE4"/>
    <w:rsid w:val="00CD4B1D"/>
    <w:rsid w:val="00CD4BAE"/>
    <w:rsid w:val="00CD4D99"/>
    <w:rsid w:val="00CD4E54"/>
    <w:rsid w:val="00CD4E58"/>
    <w:rsid w:val="00CD4E68"/>
    <w:rsid w:val="00CD4E69"/>
    <w:rsid w:val="00CD4F47"/>
    <w:rsid w:val="00CD504E"/>
    <w:rsid w:val="00CD53AB"/>
    <w:rsid w:val="00CD53BE"/>
    <w:rsid w:val="00CD53CA"/>
    <w:rsid w:val="00CD54A9"/>
    <w:rsid w:val="00CD54B7"/>
    <w:rsid w:val="00CD5602"/>
    <w:rsid w:val="00CD5607"/>
    <w:rsid w:val="00CD5649"/>
    <w:rsid w:val="00CD5732"/>
    <w:rsid w:val="00CD577E"/>
    <w:rsid w:val="00CD5793"/>
    <w:rsid w:val="00CD57A2"/>
    <w:rsid w:val="00CD583A"/>
    <w:rsid w:val="00CD5845"/>
    <w:rsid w:val="00CD589F"/>
    <w:rsid w:val="00CD58C0"/>
    <w:rsid w:val="00CD58F7"/>
    <w:rsid w:val="00CD593F"/>
    <w:rsid w:val="00CD5986"/>
    <w:rsid w:val="00CD59D1"/>
    <w:rsid w:val="00CD5AFA"/>
    <w:rsid w:val="00CD5C79"/>
    <w:rsid w:val="00CD5CC5"/>
    <w:rsid w:val="00CD5D23"/>
    <w:rsid w:val="00CD5E21"/>
    <w:rsid w:val="00CD5E40"/>
    <w:rsid w:val="00CD5EC5"/>
    <w:rsid w:val="00CD5F87"/>
    <w:rsid w:val="00CD5FBE"/>
    <w:rsid w:val="00CD5FD2"/>
    <w:rsid w:val="00CD6126"/>
    <w:rsid w:val="00CD61DF"/>
    <w:rsid w:val="00CD623F"/>
    <w:rsid w:val="00CD6331"/>
    <w:rsid w:val="00CD63DB"/>
    <w:rsid w:val="00CD649F"/>
    <w:rsid w:val="00CD6572"/>
    <w:rsid w:val="00CD65C2"/>
    <w:rsid w:val="00CD66E5"/>
    <w:rsid w:val="00CD684E"/>
    <w:rsid w:val="00CD6A1E"/>
    <w:rsid w:val="00CD6A85"/>
    <w:rsid w:val="00CD6A8E"/>
    <w:rsid w:val="00CD6BE3"/>
    <w:rsid w:val="00CD6C48"/>
    <w:rsid w:val="00CD6D26"/>
    <w:rsid w:val="00CD6D30"/>
    <w:rsid w:val="00CD6EBA"/>
    <w:rsid w:val="00CD6FE3"/>
    <w:rsid w:val="00CD6FF9"/>
    <w:rsid w:val="00CD7015"/>
    <w:rsid w:val="00CD7045"/>
    <w:rsid w:val="00CD70BB"/>
    <w:rsid w:val="00CD7180"/>
    <w:rsid w:val="00CD7331"/>
    <w:rsid w:val="00CD73C4"/>
    <w:rsid w:val="00CD73E0"/>
    <w:rsid w:val="00CD74C9"/>
    <w:rsid w:val="00CD74F2"/>
    <w:rsid w:val="00CD75A6"/>
    <w:rsid w:val="00CD75A8"/>
    <w:rsid w:val="00CD75EA"/>
    <w:rsid w:val="00CD761B"/>
    <w:rsid w:val="00CD7659"/>
    <w:rsid w:val="00CD76CB"/>
    <w:rsid w:val="00CD77B5"/>
    <w:rsid w:val="00CD77DC"/>
    <w:rsid w:val="00CD77FA"/>
    <w:rsid w:val="00CD7885"/>
    <w:rsid w:val="00CD7AF8"/>
    <w:rsid w:val="00CD7D9D"/>
    <w:rsid w:val="00CD7DBB"/>
    <w:rsid w:val="00CD7DF7"/>
    <w:rsid w:val="00CE007C"/>
    <w:rsid w:val="00CE008A"/>
    <w:rsid w:val="00CE00C8"/>
    <w:rsid w:val="00CE012E"/>
    <w:rsid w:val="00CE028F"/>
    <w:rsid w:val="00CE02A0"/>
    <w:rsid w:val="00CE0328"/>
    <w:rsid w:val="00CE0540"/>
    <w:rsid w:val="00CE05AD"/>
    <w:rsid w:val="00CE06D3"/>
    <w:rsid w:val="00CE06EF"/>
    <w:rsid w:val="00CE06F9"/>
    <w:rsid w:val="00CE0872"/>
    <w:rsid w:val="00CE0912"/>
    <w:rsid w:val="00CE0A56"/>
    <w:rsid w:val="00CE0A9E"/>
    <w:rsid w:val="00CE0AC2"/>
    <w:rsid w:val="00CE0B70"/>
    <w:rsid w:val="00CE0BE8"/>
    <w:rsid w:val="00CE0C34"/>
    <w:rsid w:val="00CE0D1B"/>
    <w:rsid w:val="00CE0DB7"/>
    <w:rsid w:val="00CE0F6A"/>
    <w:rsid w:val="00CE0FA7"/>
    <w:rsid w:val="00CE1078"/>
    <w:rsid w:val="00CE1254"/>
    <w:rsid w:val="00CE1291"/>
    <w:rsid w:val="00CE13B4"/>
    <w:rsid w:val="00CE1620"/>
    <w:rsid w:val="00CE18BF"/>
    <w:rsid w:val="00CE1ACA"/>
    <w:rsid w:val="00CE1AD0"/>
    <w:rsid w:val="00CE1AF2"/>
    <w:rsid w:val="00CE1B4C"/>
    <w:rsid w:val="00CE1CBC"/>
    <w:rsid w:val="00CE1CBF"/>
    <w:rsid w:val="00CE1ED9"/>
    <w:rsid w:val="00CE1F11"/>
    <w:rsid w:val="00CE1F27"/>
    <w:rsid w:val="00CE1F64"/>
    <w:rsid w:val="00CE1F7C"/>
    <w:rsid w:val="00CE2084"/>
    <w:rsid w:val="00CE212D"/>
    <w:rsid w:val="00CE2151"/>
    <w:rsid w:val="00CE2209"/>
    <w:rsid w:val="00CE22C3"/>
    <w:rsid w:val="00CE2310"/>
    <w:rsid w:val="00CE252D"/>
    <w:rsid w:val="00CE25F2"/>
    <w:rsid w:val="00CE2626"/>
    <w:rsid w:val="00CE2645"/>
    <w:rsid w:val="00CE26D3"/>
    <w:rsid w:val="00CE2711"/>
    <w:rsid w:val="00CE27FB"/>
    <w:rsid w:val="00CE2804"/>
    <w:rsid w:val="00CE298A"/>
    <w:rsid w:val="00CE29E2"/>
    <w:rsid w:val="00CE29E8"/>
    <w:rsid w:val="00CE2A20"/>
    <w:rsid w:val="00CE2B00"/>
    <w:rsid w:val="00CE2C61"/>
    <w:rsid w:val="00CE2CD5"/>
    <w:rsid w:val="00CE2D5A"/>
    <w:rsid w:val="00CE2E66"/>
    <w:rsid w:val="00CE2EA3"/>
    <w:rsid w:val="00CE3143"/>
    <w:rsid w:val="00CE33EC"/>
    <w:rsid w:val="00CE3532"/>
    <w:rsid w:val="00CE35F4"/>
    <w:rsid w:val="00CE361C"/>
    <w:rsid w:val="00CE3671"/>
    <w:rsid w:val="00CE372B"/>
    <w:rsid w:val="00CE395E"/>
    <w:rsid w:val="00CE3B43"/>
    <w:rsid w:val="00CE3C0B"/>
    <w:rsid w:val="00CE3C2C"/>
    <w:rsid w:val="00CE3C57"/>
    <w:rsid w:val="00CE3C8A"/>
    <w:rsid w:val="00CE3D12"/>
    <w:rsid w:val="00CE40BF"/>
    <w:rsid w:val="00CE40F8"/>
    <w:rsid w:val="00CE4128"/>
    <w:rsid w:val="00CE416E"/>
    <w:rsid w:val="00CE4244"/>
    <w:rsid w:val="00CE425A"/>
    <w:rsid w:val="00CE426A"/>
    <w:rsid w:val="00CE433F"/>
    <w:rsid w:val="00CE43FA"/>
    <w:rsid w:val="00CE4404"/>
    <w:rsid w:val="00CE44B8"/>
    <w:rsid w:val="00CE44EF"/>
    <w:rsid w:val="00CE45D8"/>
    <w:rsid w:val="00CE4626"/>
    <w:rsid w:val="00CE471B"/>
    <w:rsid w:val="00CE4798"/>
    <w:rsid w:val="00CE479A"/>
    <w:rsid w:val="00CE47A9"/>
    <w:rsid w:val="00CE4814"/>
    <w:rsid w:val="00CE4822"/>
    <w:rsid w:val="00CE499F"/>
    <w:rsid w:val="00CE49DC"/>
    <w:rsid w:val="00CE4A5A"/>
    <w:rsid w:val="00CE4AFC"/>
    <w:rsid w:val="00CE4B85"/>
    <w:rsid w:val="00CE4C06"/>
    <w:rsid w:val="00CE4CF7"/>
    <w:rsid w:val="00CE4D18"/>
    <w:rsid w:val="00CE4F3C"/>
    <w:rsid w:val="00CE5061"/>
    <w:rsid w:val="00CE508F"/>
    <w:rsid w:val="00CE5213"/>
    <w:rsid w:val="00CE521C"/>
    <w:rsid w:val="00CE5233"/>
    <w:rsid w:val="00CE53B3"/>
    <w:rsid w:val="00CE53F1"/>
    <w:rsid w:val="00CE5471"/>
    <w:rsid w:val="00CE563A"/>
    <w:rsid w:val="00CE564B"/>
    <w:rsid w:val="00CE5680"/>
    <w:rsid w:val="00CE56DD"/>
    <w:rsid w:val="00CE57BC"/>
    <w:rsid w:val="00CE5896"/>
    <w:rsid w:val="00CE5B07"/>
    <w:rsid w:val="00CE5CFE"/>
    <w:rsid w:val="00CE5E98"/>
    <w:rsid w:val="00CE5ECE"/>
    <w:rsid w:val="00CE605F"/>
    <w:rsid w:val="00CE61F2"/>
    <w:rsid w:val="00CE6269"/>
    <w:rsid w:val="00CE6271"/>
    <w:rsid w:val="00CE62F4"/>
    <w:rsid w:val="00CE63E5"/>
    <w:rsid w:val="00CE63E9"/>
    <w:rsid w:val="00CE650C"/>
    <w:rsid w:val="00CE6575"/>
    <w:rsid w:val="00CE6577"/>
    <w:rsid w:val="00CE660B"/>
    <w:rsid w:val="00CE6624"/>
    <w:rsid w:val="00CE6855"/>
    <w:rsid w:val="00CE686B"/>
    <w:rsid w:val="00CE68A8"/>
    <w:rsid w:val="00CE68E9"/>
    <w:rsid w:val="00CE694A"/>
    <w:rsid w:val="00CE69AD"/>
    <w:rsid w:val="00CE6B02"/>
    <w:rsid w:val="00CE6B0C"/>
    <w:rsid w:val="00CE6C6E"/>
    <w:rsid w:val="00CE6CA7"/>
    <w:rsid w:val="00CE6D89"/>
    <w:rsid w:val="00CE6EAE"/>
    <w:rsid w:val="00CE6EFF"/>
    <w:rsid w:val="00CE6F22"/>
    <w:rsid w:val="00CE7251"/>
    <w:rsid w:val="00CE730E"/>
    <w:rsid w:val="00CE732A"/>
    <w:rsid w:val="00CE7400"/>
    <w:rsid w:val="00CE7458"/>
    <w:rsid w:val="00CE746D"/>
    <w:rsid w:val="00CE74AF"/>
    <w:rsid w:val="00CE74CD"/>
    <w:rsid w:val="00CE74F3"/>
    <w:rsid w:val="00CE763A"/>
    <w:rsid w:val="00CE7644"/>
    <w:rsid w:val="00CE7792"/>
    <w:rsid w:val="00CE77A5"/>
    <w:rsid w:val="00CE781A"/>
    <w:rsid w:val="00CE78F1"/>
    <w:rsid w:val="00CE7AB8"/>
    <w:rsid w:val="00CE7AC2"/>
    <w:rsid w:val="00CE7C18"/>
    <w:rsid w:val="00CE7C39"/>
    <w:rsid w:val="00CE7C41"/>
    <w:rsid w:val="00CE7D10"/>
    <w:rsid w:val="00CE7D1A"/>
    <w:rsid w:val="00CF00BD"/>
    <w:rsid w:val="00CF01AB"/>
    <w:rsid w:val="00CF020C"/>
    <w:rsid w:val="00CF028F"/>
    <w:rsid w:val="00CF02BE"/>
    <w:rsid w:val="00CF0351"/>
    <w:rsid w:val="00CF0354"/>
    <w:rsid w:val="00CF0364"/>
    <w:rsid w:val="00CF051F"/>
    <w:rsid w:val="00CF0579"/>
    <w:rsid w:val="00CF0726"/>
    <w:rsid w:val="00CF084A"/>
    <w:rsid w:val="00CF09B2"/>
    <w:rsid w:val="00CF0BDC"/>
    <w:rsid w:val="00CF0C55"/>
    <w:rsid w:val="00CF0EAC"/>
    <w:rsid w:val="00CF0ED0"/>
    <w:rsid w:val="00CF0F87"/>
    <w:rsid w:val="00CF0F9B"/>
    <w:rsid w:val="00CF103C"/>
    <w:rsid w:val="00CF119D"/>
    <w:rsid w:val="00CF1239"/>
    <w:rsid w:val="00CF1261"/>
    <w:rsid w:val="00CF1588"/>
    <w:rsid w:val="00CF15E0"/>
    <w:rsid w:val="00CF1704"/>
    <w:rsid w:val="00CF1747"/>
    <w:rsid w:val="00CF179E"/>
    <w:rsid w:val="00CF1825"/>
    <w:rsid w:val="00CF184C"/>
    <w:rsid w:val="00CF186B"/>
    <w:rsid w:val="00CF19EB"/>
    <w:rsid w:val="00CF1AA0"/>
    <w:rsid w:val="00CF1C45"/>
    <w:rsid w:val="00CF1D2F"/>
    <w:rsid w:val="00CF1D96"/>
    <w:rsid w:val="00CF1E16"/>
    <w:rsid w:val="00CF1E55"/>
    <w:rsid w:val="00CF1F37"/>
    <w:rsid w:val="00CF2007"/>
    <w:rsid w:val="00CF20C2"/>
    <w:rsid w:val="00CF21A3"/>
    <w:rsid w:val="00CF2265"/>
    <w:rsid w:val="00CF226D"/>
    <w:rsid w:val="00CF22F2"/>
    <w:rsid w:val="00CF2367"/>
    <w:rsid w:val="00CF23AF"/>
    <w:rsid w:val="00CF23BA"/>
    <w:rsid w:val="00CF2565"/>
    <w:rsid w:val="00CF25BC"/>
    <w:rsid w:val="00CF277A"/>
    <w:rsid w:val="00CF27BC"/>
    <w:rsid w:val="00CF27FB"/>
    <w:rsid w:val="00CF2A51"/>
    <w:rsid w:val="00CF2BB1"/>
    <w:rsid w:val="00CF2C4A"/>
    <w:rsid w:val="00CF2CA1"/>
    <w:rsid w:val="00CF2CC8"/>
    <w:rsid w:val="00CF2DAC"/>
    <w:rsid w:val="00CF2E5C"/>
    <w:rsid w:val="00CF2E72"/>
    <w:rsid w:val="00CF2FC4"/>
    <w:rsid w:val="00CF3141"/>
    <w:rsid w:val="00CF31B6"/>
    <w:rsid w:val="00CF3224"/>
    <w:rsid w:val="00CF3339"/>
    <w:rsid w:val="00CF3573"/>
    <w:rsid w:val="00CF363E"/>
    <w:rsid w:val="00CF3647"/>
    <w:rsid w:val="00CF364D"/>
    <w:rsid w:val="00CF377C"/>
    <w:rsid w:val="00CF37A9"/>
    <w:rsid w:val="00CF37CC"/>
    <w:rsid w:val="00CF386E"/>
    <w:rsid w:val="00CF38D3"/>
    <w:rsid w:val="00CF3A07"/>
    <w:rsid w:val="00CF3A1A"/>
    <w:rsid w:val="00CF3A4F"/>
    <w:rsid w:val="00CF3B0A"/>
    <w:rsid w:val="00CF3D90"/>
    <w:rsid w:val="00CF3DF1"/>
    <w:rsid w:val="00CF3E96"/>
    <w:rsid w:val="00CF3E9A"/>
    <w:rsid w:val="00CF3F03"/>
    <w:rsid w:val="00CF3FC8"/>
    <w:rsid w:val="00CF3FE0"/>
    <w:rsid w:val="00CF3FEF"/>
    <w:rsid w:val="00CF421C"/>
    <w:rsid w:val="00CF42D0"/>
    <w:rsid w:val="00CF4424"/>
    <w:rsid w:val="00CF44E1"/>
    <w:rsid w:val="00CF44F8"/>
    <w:rsid w:val="00CF4552"/>
    <w:rsid w:val="00CF4597"/>
    <w:rsid w:val="00CF4647"/>
    <w:rsid w:val="00CF4668"/>
    <w:rsid w:val="00CF469D"/>
    <w:rsid w:val="00CF46C6"/>
    <w:rsid w:val="00CF46D1"/>
    <w:rsid w:val="00CF46E8"/>
    <w:rsid w:val="00CF4755"/>
    <w:rsid w:val="00CF47CB"/>
    <w:rsid w:val="00CF48BE"/>
    <w:rsid w:val="00CF48C0"/>
    <w:rsid w:val="00CF48DA"/>
    <w:rsid w:val="00CF4934"/>
    <w:rsid w:val="00CF49B7"/>
    <w:rsid w:val="00CF49E7"/>
    <w:rsid w:val="00CF4A26"/>
    <w:rsid w:val="00CF4AB7"/>
    <w:rsid w:val="00CF4ADE"/>
    <w:rsid w:val="00CF4BF7"/>
    <w:rsid w:val="00CF4C21"/>
    <w:rsid w:val="00CF4F2A"/>
    <w:rsid w:val="00CF51EB"/>
    <w:rsid w:val="00CF5368"/>
    <w:rsid w:val="00CF5452"/>
    <w:rsid w:val="00CF54F7"/>
    <w:rsid w:val="00CF56F2"/>
    <w:rsid w:val="00CF5738"/>
    <w:rsid w:val="00CF5789"/>
    <w:rsid w:val="00CF5791"/>
    <w:rsid w:val="00CF5797"/>
    <w:rsid w:val="00CF5805"/>
    <w:rsid w:val="00CF5943"/>
    <w:rsid w:val="00CF5BCE"/>
    <w:rsid w:val="00CF5CA4"/>
    <w:rsid w:val="00CF5D0F"/>
    <w:rsid w:val="00CF5DF1"/>
    <w:rsid w:val="00CF5E86"/>
    <w:rsid w:val="00CF5EFC"/>
    <w:rsid w:val="00CF5FFD"/>
    <w:rsid w:val="00CF6018"/>
    <w:rsid w:val="00CF6090"/>
    <w:rsid w:val="00CF6134"/>
    <w:rsid w:val="00CF613B"/>
    <w:rsid w:val="00CF61C6"/>
    <w:rsid w:val="00CF62E0"/>
    <w:rsid w:val="00CF62EE"/>
    <w:rsid w:val="00CF634F"/>
    <w:rsid w:val="00CF6477"/>
    <w:rsid w:val="00CF64FB"/>
    <w:rsid w:val="00CF65A3"/>
    <w:rsid w:val="00CF65C4"/>
    <w:rsid w:val="00CF6606"/>
    <w:rsid w:val="00CF66BF"/>
    <w:rsid w:val="00CF6777"/>
    <w:rsid w:val="00CF6AC4"/>
    <w:rsid w:val="00CF6B68"/>
    <w:rsid w:val="00CF6C30"/>
    <w:rsid w:val="00CF6C45"/>
    <w:rsid w:val="00CF6FD3"/>
    <w:rsid w:val="00CF6FE3"/>
    <w:rsid w:val="00CF7049"/>
    <w:rsid w:val="00CF7073"/>
    <w:rsid w:val="00CF70CC"/>
    <w:rsid w:val="00CF7118"/>
    <w:rsid w:val="00CF717A"/>
    <w:rsid w:val="00CF72F5"/>
    <w:rsid w:val="00CF7352"/>
    <w:rsid w:val="00CF74D1"/>
    <w:rsid w:val="00CF74EB"/>
    <w:rsid w:val="00CF7582"/>
    <w:rsid w:val="00CF759D"/>
    <w:rsid w:val="00CF75D5"/>
    <w:rsid w:val="00CF7607"/>
    <w:rsid w:val="00CF76A4"/>
    <w:rsid w:val="00CF76F9"/>
    <w:rsid w:val="00CF7758"/>
    <w:rsid w:val="00CF7844"/>
    <w:rsid w:val="00CF7878"/>
    <w:rsid w:val="00CF790D"/>
    <w:rsid w:val="00CF791F"/>
    <w:rsid w:val="00CF79A4"/>
    <w:rsid w:val="00CF79BB"/>
    <w:rsid w:val="00CF7C2B"/>
    <w:rsid w:val="00CF7DAA"/>
    <w:rsid w:val="00CF7E3C"/>
    <w:rsid w:val="00CF7E55"/>
    <w:rsid w:val="00CF7ECB"/>
    <w:rsid w:val="00CF7F49"/>
    <w:rsid w:val="00CF7FD6"/>
    <w:rsid w:val="00D00066"/>
    <w:rsid w:val="00D00142"/>
    <w:rsid w:val="00D00146"/>
    <w:rsid w:val="00D0021C"/>
    <w:rsid w:val="00D00476"/>
    <w:rsid w:val="00D004DE"/>
    <w:rsid w:val="00D00581"/>
    <w:rsid w:val="00D005E1"/>
    <w:rsid w:val="00D00662"/>
    <w:rsid w:val="00D0076B"/>
    <w:rsid w:val="00D0087C"/>
    <w:rsid w:val="00D0087E"/>
    <w:rsid w:val="00D008AE"/>
    <w:rsid w:val="00D008DF"/>
    <w:rsid w:val="00D00969"/>
    <w:rsid w:val="00D00A11"/>
    <w:rsid w:val="00D00A27"/>
    <w:rsid w:val="00D00A4A"/>
    <w:rsid w:val="00D00B7E"/>
    <w:rsid w:val="00D00CB5"/>
    <w:rsid w:val="00D00FD6"/>
    <w:rsid w:val="00D01004"/>
    <w:rsid w:val="00D011B3"/>
    <w:rsid w:val="00D01245"/>
    <w:rsid w:val="00D012A4"/>
    <w:rsid w:val="00D0147F"/>
    <w:rsid w:val="00D01592"/>
    <w:rsid w:val="00D01621"/>
    <w:rsid w:val="00D01782"/>
    <w:rsid w:val="00D0180C"/>
    <w:rsid w:val="00D01A6A"/>
    <w:rsid w:val="00D01B2A"/>
    <w:rsid w:val="00D01B97"/>
    <w:rsid w:val="00D01BD3"/>
    <w:rsid w:val="00D01C4D"/>
    <w:rsid w:val="00D01D93"/>
    <w:rsid w:val="00D01DB3"/>
    <w:rsid w:val="00D01E97"/>
    <w:rsid w:val="00D01F51"/>
    <w:rsid w:val="00D01F74"/>
    <w:rsid w:val="00D02152"/>
    <w:rsid w:val="00D022B3"/>
    <w:rsid w:val="00D0234F"/>
    <w:rsid w:val="00D0244D"/>
    <w:rsid w:val="00D024D8"/>
    <w:rsid w:val="00D026A8"/>
    <w:rsid w:val="00D02713"/>
    <w:rsid w:val="00D0273A"/>
    <w:rsid w:val="00D02959"/>
    <w:rsid w:val="00D029AB"/>
    <w:rsid w:val="00D02B57"/>
    <w:rsid w:val="00D02C47"/>
    <w:rsid w:val="00D02D9C"/>
    <w:rsid w:val="00D02DB5"/>
    <w:rsid w:val="00D03034"/>
    <w:rsid w:val="00D03096"/>
    <w:rsid w:val="00D030D0"/>
    <w:rsid w:val="00D03104"/>
    <w:rsid w:val="00D031AF"/>
    <w:rsid w:val="00D032F5"/>
    <w:rsid w:val="00D0334B"/>
    <w:rsid w:val="00D0337C"/>
    <w:rsid w:val="00D033BF"/>
    <w:rsid w:val="00D033CA"/>
    <w:rsid w:val="00D0352D"/>
    <w:rsid w:val="00D03576"/>
    <w:rsid w:val="00D03686"/>
    <w:rsid w:val="00D036E8"/>
    <w:rsid w:val="00D03760"/>
    <w:rsid w:val="00D037E2"/>
    <w:rsid w:val="00D03834"/>
    <w:rsid w:val="00D03941"/>
    <w:rsid w:val="00D03998"/>
    <w:rsid w:val="00D039F7"/>
    <w:rsid w:val="00D03A75"/>
    <w:rsid w:val="00D03AAF"/>
    <w:rsid w:val="00D03B36"/>
    <w:rsid w:val="00D03C28"/>
    <w:rsid w:val="00D03C4B"/>
    <w:rsid w:val="00D03C93"/>
    <w:rsid w:val="00D03C94"/>
    <w:rsid w:val="00D03D08"/>
    <w:rsid w:val="00D03D1F"/>
    <w:rsid w:val="00D03DB1"/>
    <w:rsid w:val="00D03E26"/>
    <w:rsid w:val="00D03E36"/>
    <w:rsid w:val="00D03F47"/>
    <w:rsid w:val="00D03F77"/>
    <w:rsid w:val="00D0401D"/>
    <w:rsid w:val="00D04031"/>
    <w:rsid w:val="00D04047"/>
    <w:rsid w:val="00D04137"/>
    <w:rsid w:val="00D04140"/>
    <w:rsid w:val="00D041BE"/>
    <w:rsid w:val="00D0427B"/>
    <w:rsid w:val="00D04349"/>
    <w:rsid w:val="00D0436B"/>
    <w:rsid w:val="00D0437F"/>
    <w:rsid w:val="00D04400"/>
    <w:rsid w:val="00D04485"/>
    <w:rsid w:val="00D044D0"/>
    <w:rsid w:val="00D04545"/>
    <w:rsid w:val="00D0463D"/>
    <w:rsid w:val="00D0466D"/>
    <w:rsid w:val="00D046EB"/>
    <w:rsid w:val="00D047A3"/>
    <w:rsid w:val="00D0498F"/>
    <w:rsid w:val="00D04A7A"/>
    <w:rsid w:val="00D04BD8"/>
    <w:rsid w:val="00D04C17"/>
    <w:rsid w:val="00D04CAB"/>
    <w:rsid w:val="00D04D95"/>
    <w:rsid w:val="00D04DEA"/>
    <w:rsid w:val="00D04E7F"/>
    <w:rsid w:val="00D04E99"/>
    <w:rsid w:val="00D04EAD"/>
    <w:rsid w:val="00D04ECD"/>
    <w:rsid w:val="00D04F5F"/>
    <w:rsid w:val="00D05089"/>
    <w:rsid w:val="00D050F0"/>
    <w:rsid w:val="00D05225"/>
    <w:rsid w:val="00D05238"/>
    <w:rsid w:val="00D052E8"/>
    <w:rsid w:val="00D05314"/>
    <w:rsid w:val="00D0535E"/>
    <w:rsid w:val="00D05374"/>
    <w:rsid w:val="00D0540D"/>
    <w:rsid w:val="00D05499"/>
    <w:rsid w:val="00D055B4"/>
    <w:rsid w:val="00D0561C"/>
    <w:rsid w:val="00D05625"/>
    <w:rsid w:val="00D05639"/>
    <w:rsid w:val="00D058F4"/>
    <w:rsid w:val="00D05931"/>
    <w:rsid w:val="00D0594A"/>
    <w:rsid w:val="00D059A1"/>
    <w:rsid w:val="00D059E3"/>
    <w:rsid w:val="00D05AE9"/>
    <w:rsid w:val="00D05B03"/>
    <w:rsid w:val="00D05B08"/>
    <w:rsid w:val="00D05BD9"/>
    <w:rsid w:val="00D05C09"/>
    <w:rsid w:val="00D05D92"/>
    <w:rsid w:val="00D05E31"/>
    <w:rsid w:val="00D05FD1"/>
    <w:rsid w:val="00D060C5"/>
    <w:rsid w:val="00D061F6"/>
    <w:rsid w:val="00D06232"/>
    <w:rsid w:val="00D0641D"/>
    <w:rsid w:val="00D06669"/>
    <w:rsid w:val="00D066EC"/>
    <w:rsid w:val="00D067BD"/>
    <w:rsid w:val="00D068CE"/>
    <w:rsid w:val="00D06917"/>
    <w:rsid w:val="00D06C1B"/>
    <w:rsid w:val="00D06E30"/>
    <w:rsid w:val="00D06F90"/>
    <w:rsid w:val="00D07033"/>
    <w:rsid w:val="00D0704E"/>
    <w:rsid w:val="00D070B2"/>
    <w:rsid w:val="00D0714B"/>
    <w:rsid w:val="00D071AC"/>
    <w:rsid w:val="00D071B4"/>
    <w:rsid w:val="00D071C7"/>
    <w:rsid w:val="00D07417"/>
    <w:rsid w:val="00D0744D"/>
    <w:rsid w:val="00D07506"/>
    <w:rsid w:val="00D075B0"/>
    <w:rsid w:val="00D07662"/>
    <w:rsid w:val="00D07835"/>
    <w:rsid w:val="00D0790F"/>
    <w:rsid w:val="00D07989"/>
    <w:rsid w:val="00D07A26"/>
    <w:rsid w:val="00D07BBB"/>
    <w:rsid w:val="00D07C61"/>
    <w:rsid w:val="00D07C95"/>
    <w:rsid w:val="00D07D5A"/>
    <w:rsid w:val="00D07DA4"/>
    <w:rsid w:val="00D07E48"/>
    <w:rsid w:val="00D07EA7"/>
    <w:rsid w:val="00D07F24"/>
    <w:rsid w:val="00D07F2D"/>
    <w:rsid w:val="00D07F61"/>
    <w:rsid w:val="00D07FC4"/>
    <w:rsid w:val="00D07FF2"/>
    <w:rsid w:val="00D10004"/>
    <w:rsid w:val="00D10055"/>
    <w:rsid w:val="00D100A5"/>
    <w:rsid w:val="00D10162"/>
    <w:rsid w:val="00D103E7"/>
    <w:rsid w:val="00D1041C"/>
    <w:rsid w:val="00D104B2"/>
    <w:rsid w:val="00D104D4"/>
    <w:rsid w:val="00D10661"/>
    <w:rsid w:val="00D10686"/>
    <w:rsid w:val="00D108ED"/>
    <w:rsid w:val="00D1098D"/>
    <w:rsid w:val="00D109DA"/>
    <w:rsid w:val="00D10C04"/>
    <w:rsid w:val="00D10CA3"/>
    <w:rsid w:val="00D10CE4"/>
    <w:rsid w:val="00D10D0D"/>
    <w:rsid w:val="00D10DD0"/>
    <w:rsid w:val="00D10E11"/>
    <w:rsid w:val="00D10E44"/>
    <w:rsid w:val="00D10E7B"/>
    <w:rsid w:val="00D10EAE"/>
    <w:rsid w:val="00D10FA0"/>
    <w:rsid w:val="00D11032"/>
    <w:rsid w:val="00D110E4"/>
    <w:rsid w:val="00D111D1"/>
    <w:rsid w:val="00D1125C"/>
    <w:rsid w:val="00D1132C"/>
    <w:rsid w:val="00D11492"/>
    <w:rsid w:val="00D11576"/>
    <w:rsid w:val="00D11752"/>
    <w:rsid w:val="00D117E4"/>
    <w:rsid w:val="00D11851"/>
    <w:rsid w:val="00D11908"/>
    <w:rsid w:val="00D11964"/>
    <w:rsid w:val="00D119FB"/>
    <w:rsid w:val="00D11D7A"/>
    <w:rsid w:val="00D11D87"/>
    <w:rsid w:val="00D11FCE"/>
    <w:rsid w:val="00D11FF8"/>
    <w:rsid w:val="00D12092"/>
    <w:rsid w:val="00D12101"/>
    <w:rsid w:val="00D121B9"/>
    <w:rsid w:val="00D12211"/>
    <w:rsid w:val="00D1226C"/>
    <w:rsid w:val="00D1230C"/>
    <w:rsid w:val="00D12390"/>
    <w:rsid w:val="00D12463"/>
    <w:rsid w:val="00D124C0"/>
    <w:rsid w:val="00D124D7"/>
    <w:rsid w:val="00D12619"/>
    <w:rsid w:val="00D12804"/>
    <w:rsid w:val="00D1296F"/>
    <w:rsid w:val="00D129C3"/>
    <w:rsid w:val="00D129CA"/>
    <w:rsid w:val="00D12AE0"/>
    <w:rsid w:val="00D12B2A"/>
    <w:rsid w:val="00D12BCE"/>
    <w:rsid w:val="00D12C9D"/>
    <w:rsid w:val="00D12CE6"/>
    <w:rsid w:val="00D12D68"/>
    <w:rsid w:val="00D12DB4"/>
    <w:rsid w:val="00D12DED"/>
    <w:rsid w:val="00D12E54"/>
    <w:rsid w:val="00D12E89"/>
    <w:rsid w:val="00D12F85"/>
    <w:rsid w:val="00D12FF9"/>
    <w:rsid w:val="00D1307E"/>
    <w:rsid w:val="00D13141"/>
    <w:rsid w:val="00D131E3"/>
    <w:rsid w:val="00D1330C"/>
    <w:rsid w:val="00D1340F"/>
    <w:rsid w:val="00D1343E"/>
    <w:rsid w:val="00D1346A"/>
    <w:rsid w:val="00D1363A"/>
    <w:rsid w:val="00D136C8"/>
    <w:rsid w:val="00D1371F"/>
    <w:rsid w:val="00D1373A"/>
    <w:rsid w:val="00D13852"/>
    <w:rsid w:val="00D138AF"/>
    <w:rsid w:val="00D138D3"/>
    <w:rsid w:val="00D13939"/>
    <w:rsid w:val="00D13962"/>
    <w:rsid w:val="00D13982"/>
    <w:rsid w:val="00D13BA2"/>
    <w:rsid w:val="00D13BD3"/>
    <w:rsid w:val="00D13BE0"/>
    <w:rsid w:val="00D13C3B"/>
    <w:rsid w:val="00D13C5C"/>
    <w:rsid w:val="00D13C9D"/>
    <w:rsid w:val="00D13CBA"/>
    <w:rsid w:val="00D13CDA"/>
    <w:rsid w:val="00D13EC4"/>
    <w:rsid w:val="00D13F10"/>
    <w:rsid w:val="00D13FEB"/>
    <w:rsid w:val="00D14026"/>
    <w:rsid w:val="00D141A8"/>
    <w:rsid w:val="00D141D8"/>
    <w:rsid w:val="00D14214"/>
    <w:rsid w:val="00D1423C"/>
    <w:rsid w:val="00D142F6"/>
    <w:rsid w:val="00D1430E"/>
    <w:rsid w:val="00D14349"/>
    <w:rsid w:val="00D143F6"/>
    <w:rsid w:val="00D145A5"/>
    <w:rsid w:val="00D145B6"/>
    <w:rsid w:val="00D145E5"/>
    <w:rsid w:val="00D14635"/>
    <w:rsid w:val="00D14655"/>
    <w:rsid w:val="00D1474A"/>
    <w:rsid w:val="00D14750"/>
    <w:rsid w:val="00D147C4"/>
    <w:rsid w:val="00D147D3"/>
    <w:rsid w:val="00D147E5"/>
    <w:rsid w:val="00D14902"/>
    <w:rsid w:val="00D14972"/>
    <w:rsid w:val="00D149DE"/>
    <w:rsid w:val="00D14B0B"/>
    <w:rsid w:val="00D14B9B"/>
    <w:rsid w:val="00D14B9D"/>
    <w:rsid w:val="00D14BAD"/>
    <w:rsid w:val="00D14C82"/>
    <w:rsid w:val="00D14D8A"/>
    <w:rsid w:val="00D14E00"/>
    <w:rsid w:val="00D1505E"/>
    <w:rsid w:val="00D15200"/>
    <w:rsid w:val="00D15232"/>
    <w:rsid w:val="00D15404"/>
    <w:rsid w:val="00D15455"/>
    <w:rsid w:val="00D1547D"/>
    <w:rsid w:val="00D154BD"/>
    <w:rsid w:val="00D1557A"/>
    <w:rsid w:val="00D1560D"/>
    <w:rsid w:val="00D157D5"/>
    <w:rsid w:val="00D158B3"/>
    <w:rsid w:val="00D158D8"/>
    <w:rsid w:val="00D158EF"/>
    <w:rsid w:val="00D15961"/>
    <w:rsid w:val="00D15A5B"/>
    <w:rsid w:val="00D15C91"/>
    <w:rsid w:val="00D15E39"/>
    <w:rsid w:val="00D15E3A"/>
    <w:rsid w:val="00D15E8A"/>
    <w:rsid w:val="00D16019"/>
    <w:rsid w:val="00D160B8"/>
    <w:rsid w:val="00D160BB"/>
    <w:rsid w:val="00D161D9"/>
    <w:rsid w:val="00D1622A"/>
    <w:rsid w:val="00D162B1"/>
    <w:rsid w:val="00D162F6"/>
    <w:rsid w:val="00D1641A"/>
    <w:rsid w:val="00D16466"/>
    <w:rsid w:val="00D164A7"/>
    <w:rsid w:val="00D16540"/>
    <w:rsid w:val="00D1664D"/>
    <w:rsid w:val="00D166F6"/>
    <w:rsid w:val="00D167A9"/>
    <w:rsid w:val="00D16900"/>
    <w:rsid w:val="00D16921"/>
    <w:rsid w:val="00D16D5A"/>
    <w:rsid w:val="00D16DE0"/>
    <w:rsid w:val="00D16DF3"/>
    <w:rsid w:val="00D16E0A"/>
    <w:rsid w:val="00D16EA0"/>
    <w:rsid w:val="00D16EB1"/>
    <w:rsid w:val="00D16FB0"/>
    <w:rsid w:val="00D16FBB"/>
    <w:rsid w:val="00D17010"/>
    <w:rsid w:val="00D17056"/>
    <w:rsid w:val="00D1719B"/>
    <w:rsid w:val="00D17243"/>
    <w:rsid w:val="00D17256"/>
    <w:rsid w:val="00D1747F"/>
    <w:rsid w:val="00D174BA"/>
    <w:rsid w:val="00D17523"/>
    <w:rsid w:val="00D1758E"/>
    <w:rsid w:val="00D17597"/>
    <w:rsid w:val="00D1762C"/>
    <w:rsid w:val="00D176D0"/>
    <w:rsid w:val="00D17777"/>
    <w:rsid w:val="00D177BD"/>
    <w:rsid w:val="00D17882"/>
    <w:rsid w:val="00D17AD6"/>
    <w:rsid w:val="00D17AE7"/>
    <w:rsid w:val="00D17BD7"/>
    <w:rsid w:val="00D17E09"/>
    <w:rsid w:val="00D17EC1"/>
    <w:rsid w:val="00D17F04"/>
    <w:rsid w:val="00D17F42"/>
    <w:rsid w:val="00D17FAB"/>
    <w:rsid w:val="00D17FB2"/>
    <w:rsid w:val="00D200BB"/>
    <w:rsid w:val="00D201A8"/>
    <w:rsid w:val="00D20396"/>
    <w:rsid w:val="00D203C2"/>
    <w:rsid w:val="00D206A3"/>
    <w:rsid w:val="00D20790"/>
    <w:rsid w:val="00D20829"/>
    <w:rsid w:val="00D208BB"/>
    <w:rsid w:val="00D20CA5"/>
    <w:rsid w:val="00D20D7E"/>
    <w:rsid w:val="00D20E44"/>
    <w:rsid w:val="00D20F72"/>
    <w:rsid w:val="00D2107F"/>
    <w:rsid w:val="00D210BE"/>
    <w:rsid w:val="00D2111D"/>
    <w:rsid w:val="00D21171"/>
    <w:rsid w:val="00D211B3"/>
    <w:rsid w:val="00D21255"/>
    <w:rsid w:val="00D213AD"/>
    <w:rsid w:val="00D214C1"/>
    <w:rsid w:val="00D215E3"/>
    <w:rsid w:val="00D216F0"/>
    <w:rsid w:val="00D21701"/>
    <w:rsid w:val="00D2176C"/>
    <w:rsid w:val="00D2177C"/>
    <w:rsid w:val="00D21780"/>
    <w:rsid w:val="00D217E9"/>
    <w:rsid w:val="00D217F5"/>
    <w:rsid w:val="00D21B82"/>
    <w:rsid w:val="00D21BCE"/>
    <w:rsid w:val="00D21C08"/>
    <w:rsid w:val="00D21C25"/>
    <w:rsid w:val="00D21CCC"/>
    <w:rsid w:val="00D21E18"/>
    <w:rsid w:val="00D21E7E"/>
    <w:rsid w:val="00D21EA4"/>
    <w:rsid w:val="00D21EA5"/>
    <w:rsid w:val="00D220CD"/>
    <w:rsid w:val="00D22163"/>
    <w:rsid w:val="00D221B3"/>
    <w:rsid w:val="00D221F5"/>
    <w:rsid w:val="00D223CD"/>
    <w:rsid w:val="00D223D4"/>
    <w:rsid w:val="00D2245F"/>
    <w:rsid w:val="00D225A5"/>
    <w:rsid w:val="00D22611"/>
    <w:rsid w:val="00D2269F"/>
    <w:rsid w:val="00D227CC"/>
    <w:rsid w:val="00D227CF"/>
    <w:rsid w:val="00D22939"/>
    <w:rsid w:val="00D2296F"/>
    <w:rsid w:val="00D22A5F"/>
    <w:rsid w:val="00D22A62"/>
    <w:rsid w:val="00D22B0A"/>
    <w:rsid w:val="00D22B0F"/>
    <w:rsid w:val="00D22B46"/>
    <w:rsid w:val="00D22B5E"/>
    <w:rsid w:val="00D22B7D"/>
    <w:rsid w:val="00D22BA9"/>
    <w:rsid w:val="00D22C72"/>
    <w:rsid w:val="00D22D2F"/>
    <w:rsid w:val="00D22D34"/>
    <w:rsid w:val="00D22D9A"/>
    <w:rsid w:val="00D22DDD"/>
    <w:rsid w:val="00D22E71"/>
    <w:rsid w:val="00D22F5E"/>
    <w:rsid w:val="00D231A1"/>
    <w:rsid w:val="00D231DD"/>
    <w:rsid w:val="00D232E0"/>
    <w:rsid w:val="00D23361"/>
    <w:rsid w:val="00D23475"/>
    <w:rsid w:val="00D2358B"/>
    <w:rsid w:val="00D23768"/>
    <w:rsid w:val="00D2381A"/>
    <w:rsid w:val="00D23899"/>
    <w:rsid w:val="00D238F7"/>
    <w:rsid w:val="00D23919"/>
    <w:rsid w:val="00D239BD"/>
    <w:rsid w:val="00D23E8D"/>
    <w:rsid w:val="00D2411F"/>
    <w:rsid w:val="00D24143"/>
    <w:rsid w:val="00D24151"/>
    <w:rsid w:val="00D2420D"/>
    <w:rsid w:val="00D2422E"/>
    <w:rsid w:val="00D242DE"/>
    <w:rsid w:val="00D243D7"/>
    <w:rsid w:val="00D24496"/>
    <w:rsid w:val="00D244E3"/>
    <w:rsid w:val="00D24583"/>
    <w:rsid w:val="00D245B3"/>
    <w:rsid w:val="00D24632"/>
    <w:rsid w:val="00D24641"/>
    <w:rsid w:val="00D2488D"/>
    <w:rsid w:val="00D24A06"/>
    <w:rsid w:val="00D24C01"/>
    <w:rsid w:val="00D24D3F"/>
    <w:rsid w:val="00D24DFF"/>
    <w:rsid w:val="00D24E0D"/>
    <w:rsid w:val="00D24E54"/>
    <w:rsid w:val="00D24ECE"/>
    <w:rsid w:val="00D24F98"/>
    <w:rsid w:val="00D24FA3"/>
    <w:rsid w:val="00D24FA6"/>
    <w:rsid w:val="00D25164"/>
    <w:rsid w:val="00D251E1"/>
    <w:rsid w:val="00D251F7"/>
    <w:rsid w:val="00D2538A"/>
    <w:rsid w:val="00D25451"/>
    <w:rsid w:val="00D2548E"/>
    <w:rsid w:val="00D25573"/>
    <w:rsid w:val="00D25575"/>
    <w:rsid w:val="00D256E3"/>
    <w:rsid w:val="00D257EE"/>
    <w:rsid w:val="00D25803"/>
    <w:rsid w:val="00D258D6"/>
    <w:rsid w:val="00D25941"/>
    <w:rsid w:val="00D25993"/>
    <w:rsid w:val="00D259C7"/>
    <w:rsid w:val="00D259E4"/>
    <w:rsid w:val="00D25AD3"/>
    <w:rsid w:val="00D25CDD"/>
    <w:rsid w:val="00D25DCF"/>
    <w:rsid w:val="00D25DF8"/>
    <w:rsid w:val="00D25E09"/>
    <w:rsid w:val="00D25E4F"/>
    <w:rsid w:val="00D25E8E"/>
    <w:rsid w:val="00D25EF1"/>
    <w:rsid w:val="00D25FD3"/>
    <w:rsid w:val="00D2609A"/>
    <w:rsid w:val="00D262AE"/>
    <w:rsid w:val="00D26341"/>
    <w:rsid w:val="00D263D6"/>
    <w:rsid w:val="00D26524"/>
    <w:rsid w:val="00D26596"/>
    <w:rsid w:val="00D265F6"/>
    <w:rsid w:val="00D266A7"/>
    <w:rsid w:val="00D26717"/>
    <w:rsid w:val="00D2674B"/>
    <w:rsid w:val="00D26809"/>
    <w:rsid w:val="00D2680A"/>
    <w:rsid w:val="00D268EA"/>
    <w:rsid w:val="00D2695B"/>
    <w:rsid w:val="00D269B3"/>
    <w:rsid w:val="00D26B7F"/>
    <w:rsid w:val="00D26C20"/>
    <w:rsid w:val="00D26CCC"/>
    <w:rsid w:val="00D26D12"/>
    <w:rsid w:val="00D26D59"/>
    <w:rsid w:val="00D26DD5"/>
    <w:rsid w:val="00D26E96"/>
    <w:rsid w:val="00D26F4D"/>
    <w:rsid w:val="00D26FE4"/>
    <w:rsid w:val="00D27018"/>
    <w:rsid w:val="00D2715B"/>
    <w:rsid w:val="00D27256"/>
    <w:rsid w:val="00D272F2"/>
    <w:rsid w:val="00D27388"/>
    <w:rsid w:val="00D27436"/>
    <w:rsid w:val="00D274C4"/>
    <w:rsid w:val="00D274D9"/>
    <w:rsid w:val="00D27505"/>
    <w:rsid w:val="00D27587"/>
    <w:rsid w:val="00D275A0"/>
    <w:rsid w:val="00D275B0"/>
    <w:rsid w:val="00D2770D"/>
    <w:rsid w:val="00D277D6"/>
    <w:rsid w:val="00D27864"/>
    <w:rsid w:val="00D27886"/>
    <w:rsid w:val="00D2790F"/>
    <w:rsid w:val="00D279E6"/>
    <w:rsid w:val="00D27A42"/>
    <w:rsid w:val="00D27AFB"/>
    <w:rsid w:val="00D27B15"/>
    <w:rsid w:val="00D27BF7"/>
    <w:rsid w:val="00D27C08"/>
    <w:rsid w:val="00D27C87"/>
    <w:rsid w:val="00D27D72"/>
    <w:rsid w:val="00D27DD2"/>
    <w:rsid w:val="00D27E03"/>
    <w:rsid w:val="00D304AE"/>
    <w:rsid w:val="00D304C4"/>
    <w:rsid w:val="00D305AA"/>
    <w:rsid w:val="00D30888"/>
    <w:rsid w:val="00D308BD"/>
    <w:rsid w:val="00D308FA"/>
    <w:rsid w:val="00D309F6"/>
    <w:rsid w:val="00D30ACB"/>
    <w:rsid w:val="00D30BD6"/>
    <w:rsid w:val="00D30D06"/>
    <w:rsid w:val="00D30D35"/>
    <w:rsid w:val="00D30E28"/>
    <w:rsid w:val="00D30E46"/>
    <w:rsid w:val="00D30E71"/>
    <w:rsid w:val="00D30F6B"/>
    <w:rsid w:val="00D31102"/>
    <w:rsid w:val="00D31130"/>
    <w:rsid w:val="00D311BC"/>
    <w:rsid w:val="00D311E0"/>
    <w:rsid w:val="00D3121F"/>
    <w:rsid w:val="00D3122E"/>
    <w:rsid w:val="00D3124A"/>
    <w:rsid w:val="00D31266"/>
    <w:rsid w:val="00D31299"/>
    <w:rsid w:val="00D312C1"/>
    <w:rsid w:val="00D31365"/>
    <w:rsid w:val="00D313C9"/>
    <w:rsid w:val="00D313E4"/>
    <w:rsid w:val="00D31481"/>
    <w:rsid w:val="00D314B8"/>
    <w:rsid w:val="00D31557"/>
    <w:rsid w:val="00D3155C"/>
    <w:rsid w:val="00D315C6"/>
    <w:rsid w:val="00D318C4"/>
    <w:rsid w:val="00D31963"/>
    <w:rsid w:val="00D3199A"/>
    <w:rsid w:val="00D31C16"/>
    <w:rsid w:val="00D31C55"/>
    <w:rsid w:val="00D31CA1"/>
    <w:rsid w:val="00D31E16"/>
    <w:rsid w:val="00D31E25"/>
    <w:rsid w:val="00D3202C"/>
    <w:rsid w:val="00D320F7"/>
    <w:rsid w:val="00D3220A"/>
    <w:rsid w:val="00D32211"/>
    <w:rsid w:val="00D322DA"/>
    <w:rsid w:val="00D32323"/>
    <w:rsid w:val="00D323A8"/>
    <w:rsid w:val="00D324DC"/>
    <w:rsid w:val="00D32607"/>
    <w:rsid w:val="00D32696"/>
    <w:rsid w:val="00D326A3"/>
    <w:rsid w:val="00D3286C"/>
    <w:rsid w:val="00D3297D"/>
    <w:rsid w:val="00D32AB2"/>
    <w:rsid w:val="00D32AD9"/>
    <w:rsid w:val="00D32C63"/>
    <w:rsid w:val="00D32D13"/>
    <w:rsid w:val="00D32D97"/>
    <w:rsid w:val="00D32E8B"/>
    <w:rsid w:val="00D32EA5"/>
    <w:rsid w:val="00D32EEE"/>
    <w:rsid w:val="00D33094"/>
    <w:rsid w:val="00D330B9"/>
    <w:rsid w:val="00D332A3"/>
    <w:rsid w:val="00D33323"/>
    <w:rsid w:val="00D33366"/>
    <w:rsid w:val="00D33573"/>
    <w:rsid w:val="00D335F3"/>
    <w:rsid w:val="00D3363C"/>
    <w:rsid w:val="00D33771"/>
    <w:rsid w:val="00D337B2"/>
    <w:rsid w:val="00D337D8"/>
    <w:rsid w:val="00D337EB"/>
    <w:rsid w:val="00D339B8"/>
    <w:rsid w:val="00D339EC"/>
    <w:rsid w:val="00D33A1F"/>
    <w:rsid w:val="00D33C3A"/>
    <w:rsid w:val="00D33C67"/>
    <w:rsid w:val="00D33CB0"/>
    <w:rsid w:val="00D33CC5"/>
    <w:rsid w:val="00D33EBC"/>
    <w:rsid w:val="00D33FB9"/>
    <w:rsid w:val="00D33FFC"/>
    <w:rsid w:val="00D341B3"/>
    <w:rsid w:val="00D341B8"/>
    <w:rsid w:val="00D342C7"/>
    <w:rsid w:val="00D34554"/>
    <w:rsid w:val="00D34576"/>
    <w:rsid w:val="00D34600"/>
    <w:rsid w:val="00D34721"/>
    <w:rsid w:val="00D3474C"/>
    <w:rsid w:val="00D34777"/>
    <w:rsid w:val="00D34780"/>
    <w:rsid w:val="00D34824"/>
    <w:rsid w:val="00D34828"/>
    <w:rsid w:val="00D34894"/>
    <w:rsid w:val="00D348C3"/>
    <w:rsid w:val="00D34A12"/>
    <w:rsid w:val="00D34A37"/>
    <w:rsid w:val="00D34AD0"/>
    <w:rsid w:val="00D34AFB"/>
    <w:rsid w:val="00D34BD3"/>
    <w:rsid w:val="00D34BE5"/>
    <w:rsid w:val="00D34C40"/>
    <w:rsid w:val="00D34D5B"/>
    <w:rsid w:val="00D34D91"/>
    <w:rsid w:val="00D34E7D"/>
    <w:rsid w:val="00D34EC9"/>
    <w:rsid w:val="00D34EEF"/>
    <w:rsid w:val="00D34F33"/>
    <w:rsid w:val="00D3501E"/>
    <w:rsid w:val="00D35116"/>
    <w:rsid w:val="00D351F2"/>
    <w:rsid w:val="00D35292"/>
    <w:rsid w:val="00D352FD"/>
    <w:rsid w:val="00D35373"/>
    <w:rsid w:val="00D359C6"/>
    <w:rsid w:val="00D359FA"/>
    <w:rsid w:val="00D35AC5"/>
    <w:rsid w:val="00D35B73"/>
    <w:rsid w:val="00D35C03"/>
    <w:rsid w:val="00D35D53"/>
    <w:rsid w:val="00D35DD7"/>
    <w:rsid w:val="00D3617E"/>
    <w:rsid w:val="00D361E9"/>
    <w:rsid w:val="00D3622B"/>
    <w:rsid w:val="00D363B1"/>
    <w:rsid w:val="00D363C7"/>
    <w:rsid w:val="00D36508"/>
    <w:rsid w:val="00D3661A"/>
    <w:rsid w:val="00D3664C"/>
    <w:rsid w:val="00D3665D"/>
    <w:rsid w:val="00D367FE"/>
    <w:rsid w:val="00D369CC"/>
    <w:rsid w:val="00D369D9"/>
    <w:rsid w:val="00D369F7"/>
    <w:rsid w:val="00D36ABF"/>
    <w:rsid w:val="00D36ADB"/>
    <w:rsid w:val="00D36B83"/>
    <w:rsid w:val="00D36B94"/>
    <w:rsid w:val="00D36CDA"/>
    <w:rsid w:val="00D36D55"/>
    <w:rsid w:val="00D36DFC"/>
    <w:rsid w:val="00D36E26"/>
    <w:rsid w:val="00D36E38"/>
    <w:rsid w:val="00D36E42"/>
    <w:rsid w:val="00D36F18"/>
    <w:rsid w:val="00D36FE6"/>
    <w:rsid w:val="00D3703D"/>
    <w:rsid w:val="00D37081"/>
    <w:rsid w:val="00D370F9"/>
    <w:rsid w:val="00D3723C"/>
    <w:rsid w:val="00D37256"/>
    <w:rsid w:val="00D3750A"/>
    <w:rsid w:val="00D375B7"/>
    <w:rsid w:val="00D375C2"/>
    <w:rsid w:val="00D3765A"/>
    <w:rsid w:val="00D37725"/>
    <w:rsid w:val="00D3773E"/>
    <w:rsid w:val="00D37744"/>
    <w:rsid w:val="00D3777A"/>
    <w:rsid w:val="00D3797D"/>
    <w:rsid w:val="00D379CB"/>
    <w:rsid w:val="00D37A97"/>
    <w:rsid w:val="00D37ABC"/>
    <w:rsid w:val="00D37B06"/>
    <w:rsid w:val="00D37B16"/>
    <w:rsid w:val="00D37B59"/>
    <w:rsid w:val="00D37B70"/>
    <w:rsid w:val="00D37C0B"/>
    <w:rsid w:val="00D37CD8"/>
    <w:rsid w:val="00D37D0B"/>
    <w:rsid w:val="00D37D9B"/>
    <w:rsid w:val="00D37EF8"/>
    <w:rsid w:val="00D37EFF"/>
    <w:rsid w:val="00D37F0F"/>
    <w:rsid w:val="00D37F1B"/>
    <w:rsid w:val="00D400DB"/>
    <w:rsid w:val="00D401B3"/>
    <w:rsid w:val="00D402A2"/>
    <w:rsid w:val="00D402A5"/>
    <w:rsid w:val="00D4035C"/>
    <w:rsid w:val="00D403CB"/>
    <w:rsid w:val="00D403EE"/>
    <w:rsid w:val="00D40502"/>
    <w:rsid w:val="00D40701"/>
    <w:rsid w:val="00D40927"/>
    <w:rsid w:val="00D40B59"/>
    <w:rsid w:val="00D40C17"/>
    <w:rsid w:val="00D40D90"/>
    <w:rsid w:val="00D40DF9"/>
    <w:rsid w:val="00D40EE0"/>
    <w:rsid w:val="00D40F4E"/>
    <w:rsid w:val="00D410A6"/>
    <w:rsid w:val="00D41182"/>
    <w:rsid w:val="00D411EB"/>
    <w:rsid w:val="00D41209"/>
    <w:rsid w:val="00D412AC"/>
    <w:rsid w:val="00D41390"/>
    <w:rsid w:val="00D41542"/>
    <w:rsid w:val="00D41556"/>
    <w:rsid w:val="00D416F9"/>
    <w:rsid w:val="00D4191D"/>
    <w:rsid w:val="00D41986"/>
    <w:rsid w:val="00D41A5E"/>
    <w:rsid w:val="00D41A9B"/>
    <w:rsid w:val="00D41ADF"/>
    <w:rsid w:val="00D41CEE"/>
    <w:rsid w:val="00D41D58"/>
    <w:rsid w:val="00D41E59"/>
    <w:rsid w:val="00D41E6C"/>
    <w:rsid w:val="00D4208B"/>
    <w:rsid w:val="00D4210B"/>
    <w:rsid w:val="00D421BF"/>
    <w:rsid w:val="00D42231"/>
    <w:rsid w:val="00D422EB"/>
    <w:rsid w:val="00D42324"/>
    <w:rsid w:val="00D4241E"/>
    <w:rsid w:val="00D424B2"/>
    <w:rsid w:val="00D42702"/>
    <w:rsid w:val="00D42723"/>
    <w:rsid w:val="00D427B5"/>
    <w:rsid w:val="00D427DE"/>
    <w:rsid w:val="00D428AF"/>
    <w:rsid w:val="00D4293D"/>
    <w:rsid w:val="00D4298F"/>
    <w:rsid w:val="00D42BD7"/>
    <w:rsid w:val="00D42BE4"/>
    <w:rsid w:val="00D42BEF"/>
    <w:rsid w:val="00D42F43"/>
    <w:rsid w:val="00D42FD4"/>
    <w:rsid w:val="00D42FF7"/>
    <w:rsid w:val="00D430FA"/>
    <w:rsid w:val="00D43279"/>
    <w:rsid w:val="00D4338E"/>
    <w:rsid w:val="00D43493"/>
    <w:rsid w:val="00D434D6"/>
    <w:rsid w:val="00D43547"/>
    <w:rsid w:val="00D4357F"/>
    <w:rsid w:val="00D43652"/>
    <w:rsid w:val="00D437BB"/>
    <w:rsid w:val="00D438FB"/>
    <w:rsid w:val="00D43944"/>
    <w:rsid w:val="00D43992"/>
    <w:rsid w:val="00D439F1"/>
    <w:rsid w:val="00D43A58"/>
    <w:rsid w:val="00D43B97"/>
    <w:rsid w:val="00D43C06"/>
    <w:rsid w:val="00D43C19"/>
    <w:rsid w:val="00D43C1D"/>
    <w:rsid w:val="00D43C5B"/>
    <w:rsid w:val="00D43D50"/>
    <w:rsid w:val="00D43D81"/>
    <w:rsid w:val="00D43E44"/>
    <w:rsid w:val="00D43EEF"/>
    <w:rsid w:val="00D44071"/>
    <w:rsid w:val="00D441DB"/>
    <w:rsid w:val="00D441F1"/>
    <w:rsid w:val="00D44285"/>
    <w:rsid w:val="00D44369"/>
    <w:rsid w:val="00D443C9"/>
    <w:rsid w:val="00D44403"/>
    <w:rsid w:val="00D445CB"/>
    <w:rsid w:val="00D44611"/>
    <w:rsid w:val="00D4467C"/>
    <w:rsid w:val="00D446DF"/>
    <w:rsid w:val="00D44711"/>
    <w:rsid w:val="00D447ED"/>
    <w:rsid w:val="00D44800"/>
    <w:rsid w:val="00D44811"/>
    <w:rsid w:val="00D44820"/>
    <w:rsid w:val="00D44A0F"/>
    <w:rsid w:val="00D44A1D"/>
    <w:rsid w:val="00D44A74"/>
    <w:rsid w:val="00D44C53"/>
    <w:rsid w:val="00D44D88"/>
    <w:rsid w:val="00D44ED8"/>
    <w:rsid w:val="00D44EE6"/>
    <w:rsid w:val="00D44EFE"/>
    <w:rsid w:val="00D44F33"/>
    <w:rsid w:val="00D44FD5"/>
    <w:rsid w:val="00D44FE5"/>
    <w:rsid w:val="00D45096"/>
    <w:rsid w:val="00D45185"/>
    <w:rsid w:val="00D451C7"/>
    <w:rsid w:val="00D45352"/>
    <w:rsid w:val="00D4543D"/>
    <w:rsid w:val="00D454FF"/>
    <w:rsid w:val="00D45507"/>
    <w:rsid w:val="00D45515"/>
    <w:rsid w:val="00D4558B"/>
    <w:rsid w:val="00D4562B"/>
    <w:rsid w:val="00D45649"/>
    <w:rsid w:val="00D456C9"/>
    <w:rsid w:val="00D456F5"/>
    <w:rsid w:val="00D45706"/>
    <w:rsid w:val="00D457C2"/>
    <w:rsid w:val="00D45814"/>
    <w:rsid w:val="00D45820"/>
    <w:rsid w:val="00D45856"/>
    <w:rsid w:val="00D4597C"/>
    <w:rsid w:val="00D45989"/>
    <w:rsid w:val="00D459A3"/>
    <w:rsid w:val="00D45A1B"/>
    <w:rsid w:val="00D45AC0"/>
    <w:rsid w:val="00D45B39"/>
    <w:rsid w:val="00D45B3C"/>
    <w:rsid w:val="00D45BA4"/>
    <w:rsid w:val="00D45BE2"/>
    <w:rsid w:val="00D45C0D"/>
    <w:rsid w:val="00D45C45"/>
    <w:rsid w:val="00D45C57"/>
    <w:rsid w:val="00D45C68"/>
    <w:rsid w:val="00D46007"/>
    <w:rsid w:val="00D46027"/>
    <w:rsid w:val="00D4606E"/>
    <w:rsid w:val="00D46074"/>
    <w:rsid w:val="00D461A3"/>
    <w:rsid w:val="00D461B4"/>
    <w:rsid w:val="00D463AC"/>
    <w:rsid w:val="00D4641A"/>
    <w:rsid w:val="00D4649B"/>
    <w:rsid w:val="00D46511"/>
    <w:rsid w:val="00D46679"/>
    <w:rsid w:val="00D466B2"/>
    <w:rsid w:val="00D46716"/>
    <w:rsid w:val="00D4675C"/>
    <w:rsid w:val="00D4676C"/>
    <w:rsid w:val="00D46825"/>
    <w:rsid w:val="00D46A09"/>
    <w:rsid w:val="00D46A17"/>
    <w:rsid w:val="00D46A33"/>
    <w:rsid w:val="00D46B6D"/>
    <w:rsid w:val="00D46BBF"/>
    <w:rsid w:val="00D46C8B"/>
    <w:rsid w:val="00D46CA8"/>
    <w:rsid w:val="00D46D50"/>
    <w:rsid w:val="00D46DA2"/>
    <w:rsid w:val="00D46DDA"/>
    <w:rsid w:val="00D46E20"/>
    <w:rsid w:val="00D46E58"/>
    <w:rsid w:val="00D46EA5"/>
    <w:rsid w:val="00D46FD5"/>
    <w:rsid w:val="00D47057"/>
    <w:rsid w:val="00D4708A"/>
    <w:rsid w:val="00D471F6"/>
    <w:rsid w:val="00D4720C"/>
    <w:rsid w:val="00D4724B"/>
    <w:rsid w:val="00D47285"/>
    <w:rsid w:val="00D47330"/>
    <w:rsid w:val="00D4737D"/>
    <w:rsid w:val="00D47514"/>
    <w:rsid w:val="00D4753F"/>
    <w:rsid w:val="00D476F3"/>
    <w:rsid w:val="00D47750"/>
    <w:rsid w:val="00D4788E"/>
    <w:rsid w:val="00D478E0"/>
    <w:rsid w:val="00D478F8"/>
    <w:rsid w:val="00D47992"/>
    <w:rsid w:val="00D479BB"/>
    <w:rsid w:val="00D47A47"/>
    <w:rsid w:val="00D47A72"/>
    <w:rsid w:val="00D47A99"/>
    <w:rsid w:val="00D47B04"/>
    <w:rsid w:val="00D47C15"/>
    <w:rsid w:val="00D47D0E"/>
    <w:rsid w:val="00D47EE8"/>
    <w:rsid w:val="00D47F12"/>
    <w:rsid w:val="00D47F7D"/>
    <w:rsid w:val="00D5006D"/>
    <w:rsid w:val="00D5007C"/>
    <w:rsid w:val="00D500C4"/>
    <w:rsid w:val="00D50123"/>
    <w:rsid w:val="00D50126"/>
    <w:rsid w:val="00D50149"/>
    <w:rsid w:val="00D50274"/>
    <w:rsid w:val="00D50279"/>
    <w:rsid w:val="00D502C2"/>
    <w:rsid w:val="00D502FB"/>
    <w:rsid w:val="00D5038D"/>
    <w:rsid w:val="00D5049A"/>
    <w:rsid w:val="00D504E4"/>
    <w:rsid w:val="00D5053E"/>
    <w:rsid w:val="00D505A3"/>
    <w:rsid w:val="00D50608"/>
    <w:rsid w:val="00D50959"/>
    <w:rsid w:val="00D50961"/>
    <w:rsid w:val="00D50A3D"/>
    <w:rsid w:val="00D50BC4"/>
    <w:rsid w:val="00D50C06"/>
    <w:rsid w:val="00D50C19"/>
    <w:rsid w:val="00D50C90"/>
    <w:rsid w:val="00D50CD0"/>
    <w:rsid w:val="00D50CE3"/>
    <w:rsid w:val="00D50D70"/>
    <w:rsid w:val="00D510EE"/>
    <w:rsid w:val="00D512AB"/>
    <w:rsid w:val="00D51309"/>
    <w:rsid w:val="00D5139E"/>
    <w:rsid w:val="00D513A7"/>
    <w:rsid w:val="00D51490"/>
    <w:rsid w:val="00D514A1"/>
    <w:rsid w:val="00D514AA"/>
    <w:rsid w:val="00D515DC"/>
    <w:rsid w:val="00D51603"/>
    <w:rsid w:val="00D5174B"/>
    <w:rsid w:val="00D51816"/>
    <w:rsid w:val="00D519F7"/>
    <w:rsid w:val="00D51A9E"/>
    <w:rsid w:val="00D51C02"/>
    <w:rsid w:val="00D51C52"/>
    <w:rsid w:val="00D51D49"/>
    <w:rsid w:val="00D51E44"/>
    <w:rsid w:val="00D51F09"/>
    <w:rsid w:val="00D51F9F"/>
    <w:rsid w:val="00D51FD3"/>
    <w:rsid w:val="00D52043"/>
    <w:rsid w:val="00D52052"/>
    <w:rsid w:val="00D52053"/>
    <w:rsid w:val="00D52088"/>
    <w:rsid w:val="00D52234"/>
    <w:rsid w:val="00D52292"/>
    <w:rsid w:val="00D522A0"/>
    <w:rsid w:val="00D522A6"/>
    <w:rsid w:val="00D5238F"/>
    <w:rsid w:val="00D5239E"/>
    <w:rsid w:val="00D523BC"/>
    <w:rsid w:val="00D523E1"/>
    <w:rsid w:val="00D52689"/>
    <w:rsid w:val="00D526B9"/>
    <w:rsid w:val="00D52A71"/>
    <w:rsid w:val="00D52B3C"/>
    <w:rsid w:val="00D52CA9"/>
    <w:rsid w:val="00D52DF6"/>
    <w:rsid w:val="00D52E61"/>
    <w:rsid w:val="00D52F34"/>
    <w:rsid w:val="00D52F77"/>
    <w:rsid w:val="00D52FAB"/>
    <w:rsid w:val="00D52FCA"/>
    <w:rsid w:val="00D53159"/>
    <w:rsid w:val="00D531D6"/>
    <w:rsid w:val="00D53220"/>
    <w:rsid w:val="00D53231"/>
    <w:rsid w:val="00D53319"/>
    <w:rsid w:val="00D53561"/>
    <w:rsid w:val="00D53587"/>
    <w:rsid w:val="00D53838"/>
    <w:rsid w:val="00D5385C"/>
    <w:rsid w:val="00D53882"/>
    <w:rsid w:val="00D538C8"/>
    <w:rsid w:val="00D53B3D"/>
    <w:rsid w:val="00D53CAF"/>
    <w:rsid w:val="00D53D08"/>
    <w:rsid w:val="00D53D68"/>
    <w:rsid w:val="00D53F24"/>
    <w:rsid w:val="00D53F44"/>
    <w:rsid w:val="00D53F8E"/>
    <w:rsid w:val="00D53FD8"/>
    <w:rsid w:val="00D54051"/>
    <w:rsid w:val="00D540E9"/>
    <w:rsid w:val="00D54152"/>
    <w:rsid w:val="00D542DC"/>
    <w:rsid w:val="00D5443A"/>
    <w:rsid w:val="00D54497"/>
    <w:rsid w:val="00D5449D"/>
    <w:rsid w:val="00D54591"/>
    <w:rsid w:val="00D545C8"/>
    <w:rsid w:val="00D5463A"/>
    <w:rsid w:val="00D54793"/>
    <w:rsid w:val="00D547A2"/>
    <w:rsid w:val="00D5480A"/>
    <w:rsid w:val="00D54826"/>
    <w:rsid w:val="00D548FA"/>
    <w:rsid w:val="00D54920"/>
    <w:rsid w:val="00D5496F"/>
    <w:rsid w:val="00D54A91"/>
    <w:rsid w:val="00D54AF2"/>
    <w:rsid w:val="00D54CBD"/>
    <w:rsid w:val="00D54CF4"/>
    <w:rsid w:val="00D54D1D"/>
    <w:rsid w:val="00D54D9C"/>
    <w:rsid w:val="00D54E80"/>
    <w:rsid w:val="00D54F44"/>
    <w:rsid w:val="00D54F6A"/>
    <w:rsid w:val="00D55057"/>
    <w:rsid w:val="00D55112"/>
    <w:rsid w:val="00D5514B"/>
    <w:rsid w:val="00D552E2"/>
    <w:rsid w:val="00D55329"/>
    <w:rsid w:val="00D553A2"/>
    <w:rsid w:val="00D553D7"/>
    <w:rsid w:val="00D553E6"/>
    <w:rsid w:val="00D55552"/>
    <w:rsid w:val="00D55590"/>
    <w:rsid w:val="00D55641"/>
    <w:rsid w:val="00D556AB"/>
    <w:rsid w:val="00D5581C"/>
    <w:rsid w:val="00D55898"/>
    <w:rsid w:val="00D55926"/>
    <w:rsid w:val="00D55963"/>
    <w:rsid w:val="00D55A01"/>
    <w:rsid w:val="00D55AF1"/>
    <w:rsid w:val="00D55B2C"/>
    <w:rsid w:val="00D55B33"/>
    <w:rsid w:val="00D55C18"/>
    <w:rsid w:val="00D55C72"/>
    <w:rsid w:val="00D55DF9"/>
    <w:rsid w:val="00D55F56"/>
    <w:rsid w:val="00D55FBB"/>
    <w:rsid w:val="00D56165"/>
    <w:rsid w:val="00D56225"/>
    <w:rsid w:val="00D56255"/>
    <w:rsid w:val="00D562E3"/>
    <w:rsid w:val="00D563B5"/>
    <w:rsid w:val="00D56404"/>
    <w:rsid w:val="00D56410"/>
    <w:rsid w:val="00D56434"/>
    <w:rsid w:val="00D564E3"/>
    <w:rsid w:val="00D564EA"/>
    <w:rsid w:val="00D56564"/>
    <w:rsid w:val="00D565A4"/>
    <w:rsid w:val="00D567FD"/>
    <w:rsid w:val="00D56827"/>
    <w:rsid w:val="00D56925"/>
    <w:rsid w:val="00D56980"/>
    <w:rsid w:val="00D569B2"/>
    <w:rsid w:val="00D56A91"/>
    <w:rsid w:val="00D56BD1"/>
    <w:rsid w:val="00D56BDF"/>
    <w:rsid w:val="00D56C82"/>
    <w:rsid w:val="00D56D94"/>
    <w:rsid w:val="00D56DC3"/>
    <w:rsid w:val="00D56DFF"/>
    <w:rsid w:val="00D56E81"/>
    <w:rsid w:val="00D56E9A"/>
    <w:rsid w:val="00D56FB4"/>
    <w:rsid w:val="00D570DE"/>
    <w:rsid w:val="00D5712B"/>
    <w:rsid w:val="00D57137"/>
    <w:rsid w:val="00D57179"/>
    <w:rsid w:val="00D5731B"/>
    <w:rsid w:val="00D5737C"/>
    <w:rsid w:val="00D573D9"/>
    <w:rsid w:val="00D5756D"/>
    <w:rsid w:val="00D57622"/>
    <w:rsid w:val="00D57631"/>
    <w:rsid w:val="00D57688"/>
    <w:rsid w:val="00D577DC"/>
    <w:rsid w:val="00D577F6"/>
    <w:rsid w:val="00D57884"/>
    <w:rsid w:val="00D578B2"/>
    <w:rsid w:val="00D578FE"/>
    <w:rsid w:val="00D57951"/>
    <w:rsid w:val="00D5796C"/>
    <w:rsid w:val="00D57A84"/>
    <w:rsid w:val="00D57B60"/>
    <w:rsid w:val="00D57B6B"/>
    <w:rsid w:val="00D57D2D"/>
    <w:rsid w:val="00D57E05"/>
    <w:rsid w:val="00D57E39"/>
    <w:rsid w:val="00D57FD7"/>
    <w:rsid w:val="00D60163"/>
    <w:rsid w:val="00D6019D"/>
    <w:rsid w:val="00D60517"/>
    <w:rsid w:val="00D6054E"/>
    <w:rsid w:val="00D6060A"/>
    <w:rsid w:val="00D6060D"/>
    <w:rsid w:val="00D60638"/>
    <w:rsid w:val="00D606C7"/>
    <w:rsid w:val="00D60722"/>
    <w:rsid w:val="00D60776"/>
    <w:rsid w:val="00D607ED"/>
    <w:rsid w:val="00D609FD"/>
    <w:rsid w:val="00D60A0F"/>
    <w:rsid w:val="00D60ABF"/>
    <w:rsid w:val="00D60B76"/>
    <w:rsid w:val="00D60C76"/>
    <w:rsid w:val="00D60D1D"/>
    <w:rsid w:val="00D60D3E"/>
    <w:rsid w:val="00D60DC5"/>
    <w:rsid w:val="00D60E15"/>
    <w:rsid w:val="00D60E28"/>
    <w:rsid w:val="00D60E8E"/>
    <w:rsid w:val="00D610DA"/>
    <w:rsid w:val="00D6117F"/>
    <w:rsid w:val="00D61204"/>
    <w:rsid w:val="00D61328"/>
    <w:rsid w:val="00D613B2"/>
    <w:rsid w:val="00D61409"/>
    <w:rsid w:val="00D61410"/>
    <w:rsid w:val="00D61514"/>
    <w:rsid w:val="00D61563"/>
    <w:rsid w:val="00D61676"/>
    <w:rsid w:val="00D616D0"/>
    <w:rsid w:val="00D61735"/>
    <w:rsid w:val="00D617DC"/>
    <w:rsid w:val="00D617EE"/>
    <w:rsid w:val="00D61809"/>
    <w:rsid w:val="00D61894"/>
    <w:rsid w:val="00D619A5"/>
    <w:rsid w:val="00D619F8"/>
    <w:rsid w:val="00D61A3A"/>
    <w:rsid w:val="00D61C3B"/>
    <w:rsid w:val="00D61C63"/>
    <w:rsid w:val="00D61CB7"/>
    <w:rsid w:val="00D61D01"/>
    <w:rsid w:val="00D61D61"/>
    <w:rsid w:val="00D61DEC"/>
    <w:rsid w:val="00D61EC8"/>
    <w:rsid w:val="00D61ECC"/>
    <w:rsid w:val="00D61F4C"/>
    <w:rsid w:val="00D61F54"/>
    <w:rsid w:val="00D62091"/>
    <w:rsid w:val="00D620BE"/>
    <w:rsid w:val="00D620EC"/>
    <w:rsid w:val="00D621B7"/>
    <w:rsid w:val="00D6246F"/>
    <w:rsid w:val="00D62484"/>
    <w:rsid w:val="00D6248A"/>
    <w:rsid w:val="00D6253B"/>
    <w:rsid w:val="00D6254D"/>
    <w:rsid w:val="00D625C8"/>
    <w:rsid w:val="00D6260E"/>
    <w:rsid w:val="00D6261A"/>
    <w:rsid w:val="00D6263F"/>
    <w:rsid w:val="00D62698"/>
    <w:rsid w:val="00D6274F"/>
    <w:rsid w:val="00D6275E"/>
    <w:rsid w:val="00D62814"/>
    <w:rsid w:val="00D628D2"/>
    <w:rsid w:val="00D62916"/>
    <w:rsid w:val="00D6292D"/>
    <w:rsid w:val="00D62962"/>
    <w:rsid w:val="00D62975"/>
    <w:rsid w:val="00D62B5C"/>
    <w:rsid w:val="00D62C90"/>
    <w:rsid w:val="00D62D6D"/>
    <w:rsid w:val="00D62E25"/>
    <w:rsid w:val="00D62F6A"/>
    <w:rsid w:val="00D63020"/>
    <w:rsid w:val="00D63105"/>
    <w:rsid w:val="00D6311E"/>
    <w:rsid w:val="00D632D8"/>
    <w:rsid w:val="00D632F1"/>
    <w:rsid w:val="00D6340A"/>
    <w:rsid w:val="00D6344B"/>
    <w:rsid w:val="00D634A3"/>
    <w:rsid w:val="00D634B7"/>
    <w:rsid w:val="00D635A6"/>
    <w:rsid w:val="00D635B1"/>
    <w:rsid w:val="00D635EA"/>
    <w:rsid w:val="00D636A4"/>
    <w:rsid w:val="00D636CA"/>
    <w:rsid w:val="00D636FC"/>
    <w:rsid w:val="00D6373E"/>
    <w:rsid w:val="00D6378E"/>
    <w:rsid w:val="00D63844"/>
    <w:rsid w:val="00D6398B"/>
    <w:rsid w:val="00D6398E"/>
    <w:rsid w:val="00D63B13"/>
    <w:rsid w:val="00D63B75"/>
    <w:rsid w:val="00D63C7E"/>
    <w:rsid w:val="00D63CDA"/>
    <w:rsid w:val="00D63CDE"/>
    <w:rsid w:val="00D63CF1"/>
    <w:rsid w:val="00D63E5F"/>
    <w:rsid w:val="00D63EB0"/>
    <w:rsid w:val="00D63F73"/>
    <w:rsid w:val="00D64033"/>
    <w:rsid w:val="00D64133"/>
    <w:rsid w:val="00D64135"/>
    <w:rsid w:val="00D641E9"/>
    <w:rsid w:val="00D64248"/>
    <w:rsid w:val="00D64279"/>
    <w:rsid w:val="00D6432F"/>
    <w:rsid w:val="00D643B8"/>
    <w:rsid w:val="00D643DC"/>
    <w:rsid w:val="00D64452"/>
    <w:rsid w:val="00D6446D"/>
    <w:rsid w:val="00D6452A"/>
    <w:rsid w:val="00D646CB"/>
    <w:rsid w:val="00D6477A"/>
    <w:rsid w:val="00D6479B"/>
    <w:rsid w:val="00D647DA"/>
    <w:rsid w:val="00D647E0"/>
    <w:rsid w:val="00D647EB"/>
    <w:rsid w:val="00D64B47"/>
    <w:rsid w:val="00D64BDB"/>
    <w:rsid w:val="00D64BEA"/>
    <w:rsid w:val="00D64C5C"/>
    <w:rsid w:val="00D64C97"/>
    <w:rsid w:val="00D64CDD"/>
    <w:rsid w:val="00D64D00"/>
    <w:rsid w:val="00D64D8E"/>
    <w:rsid w:val="00D64E50"/>
    <w:rsid w:val="00D64E8C"/>
    <w:rsid w:val="00D64EAD"/>
    <w:rsid w:val="00D64FA9"/>
    <w:rsid w:val="00D652C3"/>
    <w:rsid w:val="00D65301"/>
    <w:rsid w:val="00D65367"/>
    <w:rsid w:val="00D65426"/>
    <w:rsid w:val="00D65482"/>
    <w:rsid w:val="00D65486"/>
    <w:rsid w:val="00D654C1"/>
    <w:rsid w:val="00D6567F"/>
    <w:rsid w:val="00D65836"/>
    <w:rsid w:val="00D65887"/>
    <w:rsid w:val="00D658C5"/>
    <w:rsid w:val="00D65BEE"/>
    <w:rsid w:val="00D65C1A"/>
    <w:rsid w:val="00D65D3B"/>
    <w:rsid w:val="00D65D4A"/>
    <w:rsid w:val="00D65D70"/>
    <w:rsid w:val="00D65DFE"/>
    <w:rsid w:val="00D65E01"/>
    <w:rsid w:val="00D65E1A"/>
    <w:rsid w:val="00D65EB4"/>
    <w:rsid w:val="00D65EB8"/>
    <w:rsid w:val="00D65FC0"/>
    <w:rsid w:val="00D66002"/>
    <w:rsid w:val="00D6601F"/>
    <w:rsid w:val="00D660E6"/>
    <w:rsid w:val="00D66109"/>
    <w:rsid w:val="00D661EF"/>
    <w:rsid w:val="00D6625D"/>
    <w:rsid w:val="00D663A8"/>
    <w:rsid w:val="00D663D5"/>
    <w:rsid w:val="00D66474"/>
    <w:rsid w:val="00D664EA"/>
    <w:rsid w:val="00D665E1"/>
    <w:rsid w:val="00D665F6"/>
    <w:rsid w:val="00D66608"/>
    <w:rsid w:val="00D66717"/>
    <w:rsid w:val="00D667C6"/>
    <w:rsid w:val="00D66912"/>
    <w:rsid w:val="00D66BC0"/>
    <w:rsid w:val="00D66C51"/>
    <w:rsid w:val="00D66E2A"/>
    <w:rsid w:val="00D66F23"/>
    <w:rsid w:val="00D67059"/>
    <w:rsid w:val="00D6718B"/>
    <w:rsid w:val="00D6733A"/>
    <w:rsid w:val="00D67386"/>
    <w:rsid w:val="00D673E8"/>
    <w:rsid w:val="00D675F9"/>
    <w:rsid w:val="00D6772F"/>
    <w:rsid w:val="00D677AB"/>
    <w:rsid w:val="00D677B7"/>
    <w:rsid w:val="00D677DD"/>
    <w:rsid w:val="00D67804"/>
    <w:rsid w:val="00D6793F"/>
    <w:rsid w:val="00D6797F"/>
    <w:rsid w:val="00D67A05"/>
    <w:rsid w:val="00D67A38"/>
    <w:rsid w:val="00D67A77"/>
    <w:rsid w:val="00D67B0D"/>
    <w:rsid w:val="00D67B9D"/>
    <w:rsid w:val="00D67C32"/>
    <w:rsid w:val="00D67C4E"/>
    <w:rsid w:val="00D67D4E"/>
    <w:rsid w:val="00D67DC7"/>
    <w:rsid w:val="00D67E8B"/>
    <w:rsid w:val="00D67EEB"/>
    <w:rsid w:val="00D67FAD"/>
    <w:rsid w:val="00D700B1"/>
    <w:rsid w:val="00D70303"/>
    <w:rsid w:val="00D7030C"/>
    <w:rsid w:val="00D703C7"/>
    <w:rsid w:val="00D703CA"/>
    <w:rsid w:val="00D70531"/>
    <w:rsid w:val="00D705AB"/>
    <w:rsid w:val="00D705F2"/>
    <w:rsid w:val="00D706B2"/>
    <w:rsid w:val="00D707FC"/>
    <w:rsid w:val="00D70875"/>
    <w:rsid w:val="00D709EA"/>
    <w:rsid w:val="00D70B6F"/>
    <w:rsid w:val="00D70CBB"/>
    <w:rsid w:val="00D70EB8"/>
    <w:rsid w:val="00D70EC8"/>
    <w:rsid w:val="00D70EDA"/>
    <w:rsid w:val="00D7100F"/>
    <w:rsid w:val="00D7103E"/>
    <w:rsid w:val="00D71071"/>
    <w:rsid w:val="00D7111D"/>
    <w:rsid w:val="00D711F8"/>
    <w:rsid w:val="00D712EF"/>
    <w:rsid w:val="00D712F1"/>
    <w:rsid w:val="00D71475"/>
    <w:rsid w:val="00D71496"/>
    <w:rsid w:val="00D71772"/>
    <w:rsid w:val="00D718D8"/>
    <w:rsid w:val="00D719C3"/>
    <w:rsid w:val="00D71A89"/>
    <w:rsid w:val="00D71B27"/>
    <w:rsid w:val="00D71B83"/>
    <w:rsid w:val="00D71B99"/>
    <w:rsid w:val="00D71BCE"/>
    <w:rsid w:val="00D71CDD"/>
    <w:rsid w:val="00D71D2E"/>
    <w:rsid w:val="00D71D3F"/>
    <w:rsid w:val="00D71D4E"/>
    <w:rsid w:val="00D71DD8"/>
    <w:rsid w:val="00D71EAB"/>
    <w:rsid w:val="00D7211B"/>
    <w:rsid w:val="00D7211D"/>
    <w:rsid w:val="00D72164"/>
    <w:rsid w:val="00D7217B"/>
    <w:rsid w:val="00D721B8"/>
    <w:rsid w:val="00D7224B"/>
    <w:rsid w:val="00D7224E"/>
    <w:rsid w:val="00D72447"/>
    <w:rsid w:val="00D724F6"/>
    <w:rsid w:val="00D72515"/>
    <w:rsid w:val="00D72661"/>
    <w:rsid w:val="00D72683"/>
    <w:rsid w:val="00D726DB"/>
    <w:rsid w:val="00D72739"/>
    <w:rsid w:val="00D7278C"/>
    <w:rsid w:val="00D7285A"/>
    <w:rsid w:val="00D72861"/>
    <w:rsid w:val="00D72913"/>
    <w:rsid w:val="00D72B80"/>
    <w:rsid w:val="00D72BF7"/>
    <w:rsid w:val="00D72CE8"/>
    <w:rsid w:val="00D72D96"/>
    <w:rsid w:val="00D72DB4"/>
    <w:rsid w:val="00D72E2F"/>
    <w:rsid w:val="00D72EF2"/>
    <w:rsid w:val="00D72FA0"/>
    <w:rsid w:val="00D72FD5"/>
    <w:rsid w:val="00D73075"/>
    <w:rsid w:val="00D730F9"/>
    <w:rsid w:val="00D730FE"/>
    <w:rsid w:val="00D73169"/>
    <w:rsid w:val="00D732BA"/>
    <w:rsid w:val="00D7353A"/>
    <w:rsid w:val="00D7367C"/>
    <w:rsid w:val="00D736BA"/>
    <w:rsid w:val="00D7373D"/>
    <w:rsid w:val="00D7377F"/>
    <w:rsid w:val="00D737A7"/>
    <w:rsid w:val="00D7385E"/>
    <w:rsid w:val="00D73A05"/>
    <w:rsid w:val="00D73B0B"/>
    <w:rsid w:val="00D73B4E"/>
    <w:rsid w:val="00D73BB7"/>
    <w:rsid w:val="00D73BB9"/>
    <w:rsid w:val="00D73CA4"/>
    <w:rsid w:val="00D73D3C"/>
    <w:rsid w:val="00D73D67"/>
    <w:rsid w:val="00D73DB5"/>
    <w:rsid w:val="00D73E4E"/>
    <w:rsid w:val="00D73E8F"/>
    <w:rsid w:val="00D73F0D"/>
    <w:rsid w:val="00D73F86"/>
    <w:rsid w:val="00D73FA5"/>
    <w:rsid w:val="00D74144"/>
    <w:rsid w:val="00D74409"/>
    <w:rsid w:val="00D7444B"/>
    <w:rsid w:val="00D74480"/>
    <w:rsid w:val="00D7459A"/>
    <w:rsid w:val="00D745BB"/>
    <w:rsid w:val="00D74655"/>
    <w:rsid w:val="00D746BF"/>
    <w:rsid w:val="00D74728"/>
    <w:rsid w:val="00D747BB"/>
    <w:rsid w:val="00D7484F"/>
    <w:rsid w:val="00D748EB"/>
    <w:rsid w:val="00D748F1"/>
    <w:rsid w:val="00D7493A"/>
    <w:rsid w:val="00D749AC"/>
    <w:rsid w:val="00D74A1D"/>
    <w:rsid w:val="00D74A21"/>
    <w:rsid w:val="00D74A26"/>
    <w:rsid w:val="00D74A40"/>
    <w:rsid w:val="00D74A76"/>
    <w:rsid w:val="00D74C87"/>
    <w:rsid w:val="00D74D10"/>
    <w:rsid w:val="00D74DAB"/>
    <w:rsid w:val="00D74E5F"/>
    <w:rsid w:val="00D74EFA"/>
    <w:rsid w:val="00D750C5"/>
    <w:rsid w:val="00D751A2"/>
    <w:rsid w:val="00D751D5"/>
    <w:rsid w:val="00D7535D"/>
    <w:rsid w:val="00D75543"/>
    <w:rsid w:val="00D755F0"/>
    <w:rsid w:val="00D756C3"/>
    <w:rsid w:val="00D7587A"/>
    <w:rsid w:val="00D75894"/>
    <w:rsid w:val="00D75954"/>
    <w:rsid w:val="00D75BC1"/>
    <w:rsid w:val="00D75C37"/>
    <w:rsid w:val="00D75D26"/>
    <w:rsid w:val="00D75D64"/>
    <w:rsid w:val="00D75EB6"/>
    <w:rsid w:val="00D75ED0"/>
    <w:rsid w:val="00D75F02"/>
    <w:rsid w:val="00D76119"/>
    <w:rsid w:val="00D76182"/>
    <w:rsid w:val="00D7620C"/>
    <w:rsid w:val="00D7636A"/>
    <w:rsid w:val="00D7643A"/>
    <w:rsid w:val="00D76472"/>
    <w:rsid w:val="00D7664B"/>
    <w:rsid w:val="00D766FB"/>
    <w:rsid w:val="00D76714"/>
    <w:rsid w:val="00D76836"/>
    <w:rsid w:val="00D76A6B"/>
    <w:rsid w:val="00D76AAB"/>
    <w:rsid w:val="00D76B77"/>
    <w:rsid w:val="00D76B7F"/>
    <w:rsid w:val="00D76C00"/>
    <w:rsid w:val="00D76C4F"/>
    <w:rsid w:val="00D76CCC"/>
    <w:rsid w:val="00D76DEA"/>
    <w:rsid w:val="00D76ED2"/>
    <w:rsid w:val="00D76F25"/>
    <w:rsid w:val="00D77074"/>
    <w:rsid w:val="00D770CD"/>
    <w:rsid w:val="00D7715C"/>
    <w:rsid w:val="00D771ED"/>
    <w:rsid w:val="00D771F6"/>
    <w:rsid w:val="00D7729E"/>
    <w:rsid w:val="00D773A1"/>
    <w:rsid w:val="00D77431"/>
    <w:rsid w:val="00D774A3"/>
    <w:rsid w:val="00D774D9"/>
    <w:rsid w:val="00D7755D"/>
    <w:rsid w:val="00D775C6"/>
    <w:rsid w:val="00D775F9"/>
    <w:rsid w:val="00D7766F"/>
    <w:rsid w:val="00D7768C"/>
    <w:rsid w:val="00D776EE"/>
    <w:rsid w:val="00D777A2"/>
    <w:rsid w:val="00D7781B"/>
    <w:rsid w:val="00D77827"/>
    <w:rsid w:val="00D7794B"/>
    <w:rsid w:val="00D77A25"/>
    <w:rsid w:val="00D77A48"/>
    <w:rsid w:val="00D77B3D"/>
    <w:rsid w:val="00D77DAA"/>
    <w:rsid w:val="00D77E17"/>
    <w:rsid w:val="00D77F7F"/>
    <w:rsid w:val="00D77F9D"/>
    <w:rsid w:val="00D80062"/>
    <w:rsid w:val="00D80196"/>
    <w:rsid w:val="00D8032D"/>
    <w:rsid w:val="00D8034E"/>
    <w:rsid w:val="00D8035C"/>
    <w:rsid w:val="00D8040A"/>
    <w:rsid w:val="00D805AB"/>
    <w:rsid w:val="00D805B4"/>
    <w:rsid w:val="00D8060F"/>
    <w:rsid w:val="00D80642"/>
    <w:rsid w:val="00D8068B"/>
    <w:rsid w:val="00D806AF"/>
    <w:rsid w:val="00D80A95"/>
    <w:rsid w:val="00D80ABE"/>
    <w:rsid w:val="00D80BDE"/>
    <w:rsid w:val="00D80C22"/>
    <w:rsid w:val="00D80C50"/>
    <w:rsid w:val="00D80CC3"/>
    <w:rsid w:val="00D80DF3"/>
    <w:rsid w:val="00D80E4F"/>
    <w:rsid w:val="00D80F3B"/>
    <w:rsid w:val="00D8103B"/>
    <w:rsid w:val="00D810E0"/>
    <w:rsid w:val="00D81114"/>
    <w:rsid w:val="00D81129"/>
    <w:rsid w:val="00D81253"/>
    <w:rsid w:val="00D813B8"/>
    <w:rsid w:val="00D813E1"/>
    <w:rsid w:val="00D81472"/>
    <w:rsid w:val="00D81496"/>
    <w:rsid w:val="00D81653"/>
    <w:rsid w:val="00D8172A"/>
    <w:rsid w:val="00D81779"/>
    <w:rsid w:val="00D81828"/>
    <w:rsid w:val="00D81846"/>
    <w:rsid w:val="00D819B7"/>
    <w:rsid w:val="00D81A46"/>
    <w:rsid w:val="00D81A56"/>
    <w:rsid w:val="00D81A70"/>
    <w:rsid w:val="00D81AEF"/>
    <w:rsid w:val="00D81BDE"/>
    <w:rsid w:val="00D81D77"/>
    <w:rsid w:val="00D81E0C"/>
    <w:rsid w:val="00D81E2D"/>
    <w:rsid w:val="00D81E74"/>
    <w:rsid w:val="00D81F99"/>
    <w:rsid w:val="00D81FEC"/>
    <w:rsid w:val="00D8205A"/>
    <w:rsid w:val="00D82067"/>
    <w:rsid w:val="00D82299"/>
    <w:rsid w:val="00D82300"/>
    <w:rsid w:val="00D823E3"/>
    <w:rsid w:val="00D8246B"/>
    <w:rsid w:val="00D82496"/>
    <w:rsid w:val="00D825D5"/>
    <w:rsid w:val="00D825F0"/>
    <w:rsid w:val="00D826F6"/>
    <w:rsid w:val="00D8278C"/>
    <w:rsid w:val="00D82892"/>
    <w:rsid w:val="00D82950"/>
    <w:rsid w:val="00D829AC"/>
    <w:rsid w:val="00D82C1C"/>
    <w:rsid w:val="00D82CEE"/>
    <w:rsid w:val="00D82D3E"/>
    <w:rsid w:val="00D82D50"/>
    <w:rsid w:val="00D82E15"/>
    <w:rsid w:val="00D82F59"/>
    <w:rsid w:val="00D82F7E"/>
    <w:rsid w:val="00D83045"/>
    <w:rsid w:val="00D8315C"/>
    <w:rsid w:val="00D831BA"/>
    <w:rsid w:val="00D8322A"/>
    <w:rsid w:val="00D83246"/>
    <w:rsid w:val="00D8336A"/>
    <w:rsid w:val="00D8353F"/>
    <w:rsid w:val="00D83563"/>
    <w:rsid w:val="00D83591"/>
    <w:rsid w:val="00D83630"/>
    <w:rsid w:val="00D836FB"/>
    <w:rsid w:val="00D838AA"/>
    <w:rsid w:val="00D8391E"/>
    <w:rsid w:val="00D839FB"/>
    <w:rsid w:val="00D83A00"/>
    <w:rsid w:val="00D83A43"/>
    <w:rsid w:val="00D83DC1"/>
    <w:rsid w:val="00D83E00"/>
    <w:rsid w:val="00D83E1B"/>
    <w:rsid w:val="00D83ED8"/>
    <w:rsid w:val="00D84047"/>
    <w:rsid w:val="00D840D4"/>
    <w:rsid w:val="00D842A6"/>
    <w:rsid w:val="00D84357"/>
    <w:rsid w:val="00D84363"/>
    <w:rsid w:val="00D84547"/>
    <w:rsid w:val="00D847AB"/>
    <w:rsid w:val="00D84805"/>
    <w:rsid w:val="00D84873"/>
    <w:rsid w:val="00D848CC"/>
    <w:rsid w:val="00D848DA"/>
    <w:rsid w:val="00D8492A"/>
    <w:rsid w:val="00D8494C"/>
    <w:rsid w:val="00D849A9"/>
    <w:rsid w:val="00D84B5C"/>
    <w:rsid w:val="00D84C46"/>
    <w:rsid w:val="00D84C69"/>
    <w:rsid w:val="00D84CB5"/>
    <w:rsid w:val="00D84DAF"/>
    <w:rsid w:val="00D84F59"/>
    <w:rsid w:val="00D84FAC"/>
    <w:rsid w:val="00D85183"/>
    <w:rsid w:val="00D85286"/>
    <w:rsid w:val="00D853BC"/>
    <w:rsid w:val="00D853E6"/>
    <w:rsid w:val="00D85401"/>
    <w:rsid w:val="00D855CF"/>
    <w:rsid w:val="00D85610"/>
    <w:rsid w:val="00D85644"/>
    <w:rsid w:val="00D85764"/>
    <w:rsid w:val="00D85967"/>
    <w:rsid w:val="00D85A25"/>
    <w:rsid w:val="00D85A7E"/>
    <w:rsid w:val="00D85B02"/>
    <w:rsid w:val="00D85C84"/>
    <w:rsid w:val="00D85C8F"/>
    <w:rsid w:val="00D85CE3"/>
    <w:rsid w:val="00D85F6E"/>
    <w:rsid w:val="00D860C6"/>
    <w:rsid w:val="00D860D4"/>
    <w:rsid w:val="00D86100"/>
    <w:rsid w:val="00D861A9"/>
    <w:rsid w:val="00D86259"/>
    <w:rsid w:val="00D8625F"/>
    <w:rsid w:val="00D86277"/>
    <w:rsid w:val="00D864E9"/>
    <w:rsid w:val="00D8658C"/>
    <w:rsid w:val="00D865CB"/>
    <w:rsid w:val="00D867A9"/>
    <w:rsid w:val="00D86895"/>
    <w:rsid w:val="00D868C5"/>
    <w:rsid w:val="00D868E3"/>
    <w:rsid w:val="00D869D6"/>
    <w:rsid w:val="00D86A46"/>
    <w:rsid w:val="00D86A8A"/>
    <w:rsid w:val="00D86AEB"/>
    <w:rsid w:val="00D86BE3"/>
    <w:rsid w:val="00D86C75"/>
    <w:rsid w:val="00D86C79"/>
    <w:rsid w:val="00D86C80"/>
    <w:rsid w:val="00D86DCA"/>
    <w:rsid w:val="00D86E20"/>
    <w:rsid w:val="00D86FC7"/>
    <w:rsid w:val="00D87032"/>
    <w:rsid w:val="00D8717F"/>
    <w:rsid w:val="00D8721F"/>
    <w:rsid w:val="00D8730B"/>
    <w:rsid w:val="00D87318"/>
    <w:rsid w:val="00D87364"/>
    <w:rsid w:val="00D87386"/>
    <w:rsid w:val="00D8743A"/>
    <w:rsid w:val="00D874B1"/>
    <w:rsid w:val="00D874F3"/>
    <w:rsid w:val="00D87651"/>
    <w:rsid w:val="00D87652"/>
    <w:rsid w:val="00D8778A"/>
    <w:rsid w:val="00D877D8"/>
    <w:rsid w:val="00D877DC"/>
    <w:rsid w:val="00D878C5"/>
    <w:rsid w:val="00D87941"/>
    <w:rsid w:val="00D87971"/>
    <w:rsid w:val="00D8798F"/>
    <w:rsid w:val="00D879F7"/>
    <w:rsid w:val="00D87A38"/>
    <w:rsid w:val="00D87AAA"/>
    <w:rsid w:val="00D87AFE"/>
    <w:rsid w:val="00D87B71"/>
    <w:rsid w:val="00D87B72"/>
    <w:rsid w:val="00D87C1D"/>
    <w:rsid w:val="00D87C95"/>
    <w:rsid w:val="00D87CE0"/>
    <w:rsid w:val="00D87DF8"/>
    <w:rsid w:val="00D87F04"/>
    <w:rsid w:val="00D90013"/>
    <w:rsid w:val="00D90043"/>
    <w:rsid w:val="00D9015A"/>
    <w:rsid w:val="00D901F5"/>
    <w:rsid w:val="00D902FC"/>
    <w:rsid w:val="00D90390"/>
    <w:rsid w:val="00D9039B"/>
    <w:rsid w:val="00D903A6"/>
    <w:rsid w:val="00D903CC"/>
    <w:rsid w:val="00D9042C"/>
    <w:rsid w:val="00D904D9"/>
    <w:rsid w:val="00D90571"/>
    <w:rsid w:val="00D905F1"/>
    <w:rsid w:val="00D907D9"/>
    <w:rsid w:val="00D9082F"/>
    <w:rsid w:val="00D9085D"/>
    <w:rsid w:val="00D909A1"/>
    <w:rsid w:val="00D90A4C"/>
    <w:rsid w:val="00D90ADA"/>
    <w:rsid w:val="00D90B0C"/>
    <w:rsid w:val="00D90C19"/>
    <w:rsid w:val="00D90CD7"/>
    <w:rsid w:val="00D90D38"/>
    <w:rsid w:val="00D90E70"/>
    <w:rsid w:val="00D90EB1"/>
    <w:rsid w:val="00D90ED7"/>
    <w:rsid w:val="00D90F1F"/>
    <w:rsid w:val="00D91176"/>
    <w:rsid w:val="00D9118E"/>
    <w:rsid w:val="00D911AC"/>
    <w:rsid w:val="00D911FC"/>
    <w:rsid w:val="00D913C4"/>
    <w:rsid w:val="00D914CF"/>
    <w:rsid w:val="00D914E5"/>
    <w:rsid w:val="00D91529"/>
    <w:rsid w:val="00D9159B"/>
    <w:rsid w:val="00D91666"/>
    <w:rsid w:val="00D9174E"/>
    <w:rsid w:val="00D91767"/>
    <w:rsid w:val="00D91832"/>
    <w:rsid w:val="00D918A0"/>
    <w:rsid w:val="00D918A8"/>
    <w:rsid w:val="00D918C3"/>
    <w:rsid w:val="00D91AA9"/>
    <w:rsid w:val="00D91CE6"/>
    <w:rsid w:val="00D91F1B"/>
    <w:rsid w:val="00D920AB"/>
    <w:rsid w:val="00D9214D"/>
    <w:rsid w:val="00D921C3"/>
    <w:rsid w:val="00D922C1"/>
    <w:rsid w:val="00D922F2"/>
    <w:rsid w:val="00D923E9"/>
    <w:rsid w:val="00D923F1"/>
    <w:rsid w:val="00D92505"/>
    <w:rsid w:val="00D92515"/>
    <w:rsid w:val="00D92520"/>
    <w:rsid w:val="00D9266F"/>
    <w:rsid w:val="00D92672"/>
    <w:rsid w:val="00D926EC"/>
    <w:rsid w:val="00D927CE"/>
    <w:rsid w:val="00D928E0"/>
    <w:rsid w:val="00D9293A"/>
    <w:rsid w:val="00D92966"/>
    <w:rsid w:val="00D92A11"/>
    <w:rsid w:val="00D92A96"/>
    <w:rsid w:val="00D92B3E"/>
    <w:rsid w:val="00D92BE1"/>
    <w:rsid w:val="00D92C4E"/>
    <w:rsid w:val="00D92C6F"/>
    <w:rsid w:val="00D92D02"/>
    <w:rsid w:val="00D92E13"/>
    <w:rsid w:val="00D92E5E"/>
    <w:rsid w:val="00D92F3F"/>
    <w:rsid w:val="00D92F58"/>
    <w:rsid w:val="00D9301F"/>
    <w:rsid w:val="00D93035"/>
    <w:rsid w:val="00D93125"/>
    <w:rsid w:val="00D9312B"/>
    <w:rsid w:val="00D93183"/>
    <w:rsid w:val="00D931C7"/>
    <w:rsid w:val="00D932E8"/>
    <w:rsid w:val="00D93340"/>
    <w:rsid w:val="00D934A3"/>
    <w:rsid w:val="00D93542"/>
    <w:rsid w:val="00D93600"/>
    <w:rsid w:val="00D93606"/>
    <w:rsid w:val="00D9361A"/>
    <w:rsid w:val="00D93726"/>
    <w:rsid w:val="00D93788"/>
    <w:rsid w:val="00D938C0"/>
    <w:rsid w:val="00D9391D"/>
    <w:rsid w:val="00D93BAA"/>
    <w:rsid w:val="00D93BBF"/>
    <w:rsid w:val="00D93C2A"/>
    <w:rsid w:val="00D93DC4"/>
    <w:rsid w:val="00D93DCF"/>
    <w:rsid w:val="00D93E22"/>
    <w:rsid w:val="00D93EB5"/>
    <w:rsid w:val="00D93FB7"/>
    <w:rsid w:val="00D93FDD"/>
    <w:rsid w:val="00D9409C"/>
    <w:rsid w:val="00D9411A"/>
    <w:rsid w:val="00D941F7"/>
    <w:rsid w:val="00D942A6"/>
    <w:rsid w:val="00D94355"/>
    <w:rsid w:val="00D943A0"/>
    <w:rsid w:val="00D94480"/>
    <w:rsid w:val="00D94491"/>
    <w:rsid w:val="00D94498"/>
    <w:rsid w:val="00D94504"/>
    <w:rsid w:val="00D9450F"/>
    <w:rsid w:val="00D94513"/>
    <w:rsid w:val="00D945AB"/>
    <w:rsid w:val="00D945EB"/>
    <w:rsid w:val="00D947C1"/>
    <w:rsid w:val="00D947C7"/>
    <w:rsid w:val="00D94830"/>
    <w:rsid w:val="00D948E4"/>
    <w:rsid w:val="00D949CD"/>
    <w:rsid w:val="00D94A1D"/>
    <w:rsid w:val="00D94B59"/>
    <w:rsid w:val="00D94B5C"/>
    <w:rsid w:val="00D94B91"/>
    <w:rsid w:val="00D94C59"/>
    <w:rsid w:val="00D950DE"/>
    <w:rsid w:val="00D95187"/>
    <w:rsid w:val="00D951B0"/>
    <w:rsid w:val="00D9520E"/>
    <w:rsid w:val="00D95304"/>
    <w:rsid w:val="00D95312"/>
    <w:rsid w:val="00D9531E"/>
    <w:rsid w:val="00D95618"/>
    <w:rsid w:val="00D956CA"/>
    <w:rsid w:val="00D958D3"/>
    <w:rsid w:val="00D9594A"/>
    <w:rsid w:val="00D959F6"/>
    <w:rsid w:val="00D95B5A"/>
    <w:rsid w:val="00D95BDB"/>
    <w:rsid w:val="00D95C20"/>
    <w:rsid w:val="00D95C37"/>
    <w:rsid w:val="00D95CE5"/>
    <w:rsid w:val="00D95D2F"/>
    <w:rsid w:val="00D95E09"/>
    <w:rsid w:val="00D95E2B"/>
    <w:rsid w:val="00D95E57"/>
    <w:rsid w:val="00D95E64"/>
    <w:rsid w:val="00D95E91"/>
    <w:rsid w:val="00D95EA1"/>
    <w:rsid w:val="00D95F60"/>
    <w:rsid w:val="00D9644E"/>
    <w:rsid w:val="00D965B2"/>
    <w:rsid w:val="00D965E2"/>
    <w:rsid w:val="00D966C3"/>
    <w:rsid w:val="00D96865"/>
    <w:rsid w:val="00D969BA"/>
    <w:rsid w:val="00D969F8"/>
    <w:rsid w:val="00D96B78"/>
    <w:rsid w:val="00D96C0D"/>
    <w:rsid w:val="00D96CEB"/>
    <w:rsid w:val="00D96D5F"/>
    <w:rsid w:val="00D96F66"/>
    <w:rsid w:val="00D9712F"/>
    <w:rsid w:val="00D9728E"/>
    <w:rsid w:val="00D9729F"/>
    <w:rsid w:val="00D973A8"/>
    <w:rsid w:val="00D97419"/>
    <w:rsid w:val="00D9747A"/>
    <w:rsid w:val="00D97539"/>
    <w:rsid w:val="00D975A8"/>
    <w:rsid w:val="00D97627"/>
    <w:rsid w:val="00D97683"/>
    <w:rsid w:val="00D97838"/>
    <w:rsid w:val="00D97A31"/>
    <w:rsid w:val="00D97A46"/>
    <w:rsid w:val="00D97AA8"/>
    <w:rsid w:val="00D97AC5"/>
    <w:rsid w:val="00D97BBB"/>
    <w:rsid w:val="00D97C22"/>
    <w:rsid w:val="00D97CB7"/>
    <w:rsid w:val="00D97CDF"/>
    <w:rsid w:val="00D97DCD"/>
    <w:rsid w:val="00D97FAA"/>
    <w:rsid w:val="00DA00AB"/>
    <w:rsid w:val="00DA0159"/>
    <w:rsid w:val="00DA01D9"/>
    <w:rsid w:val="00DA037D"/>
    <w:rsid w:val="00DA03F1"/>
    <w:rsid w:val="00DA06D3"/>
    <w:rsid w:val="00DA08BA"/>
    <w:rsid w:val="00DA08D6"/>
    <w:rsid w:val="00DA09B6"/>
    <w:rsid w:val="00DA0A5A"/>
    <w:rsid w:val="00DA0AD1"/>
    <w:rsid w:val="00DA0B31"/>
    <w:rsid w:val="00DA0C2C"/>
    <w:rsid w:val="00DA0E00"/>
    <w:rsid w:val="00DA0E6E"/>
    <w:rsid w:val="00DA0E93"/>
    <w:rsid w:val="00DA1223"/>
    <w:rsid w:val="00DA1243"/>
    <w:rsid w:val="00DA130E"/>
    <w:rsid w:val="00DA13FB"/>
    <w:rsid w:val="00DA1499"/>
    <w:rsid w:val="00DA14A7"/>
    <w:rsid w:val="00DA14E0"/>
    <w:rsid w:val="00DA16AE"/>
    <w:rsid w:val="00DA16BB"/>
    <w:rsid w:val="00DA188B"/>
    <w:rsid w:val="00DA18F0"/>
    <w:rsid w:val="00DA1903"/>
    <w:rsid w:val="00DA1961"/>
    <w:rsid w:val="00DA19F7"/>
    <w:rsid w:val="00DA1A59"/>
    <w:rsid w:val="00DA1A83"/>
    <w:rsid w:val="00DA1AD9"/>
    <w:rsid w:val="00DA1B20"/>
    <w:rsid w:val="00DA1BA7"/>
    <w:rsid w:val="00DA1EEA"/>
    <w:rsid w:val="00DA1F1B"/>
    <w:rsid w:val="00DA1F3A"/>
    <w:rsid w:val="00DA1F98"/>
    <w:rsid w:val="00DA1F9B"/>
    <w:rsid w:val="00DA1FA4"/>
    <w:rsid w:val="00DA1FE6"/>
    <w:rsid w:val="00DA2049"/>
    <w:rsid w:val="00DA2135"/>
    <w:rsid w:val="00DA23CD"/>
    <w:rsid w:val="00DA2459"/>
    <w:rsid w:val="00DA2466"/>
    <w:rsid w:val="00DA2470"/>
    <w:rsid w:val="00DA259D"/>
    <w:rsid w:val="00DA25D3"/>
    <w:rsid w:val="00DA26A8"/>
    <w:rsid w:val="00DA28B0"/>
    <w:rsid w:val="00DA2942"/>
    <w:rsid w:val="00DA2A4D"/>
    <w:rsid w:val="00DA2A79"/>
    <w:rsid w:val="00DA2B74"/>
    <w:rsid w:val="00DA2D54"/>
    <w:rsid w:val="00DA2DC1"/>
    <w:rsid w:val="00DA2DF7"/>
    <w:rsid w:val="00DA2E30"/>
    <w:rsid w:val="00DA2E8F"/>
    <w:rsid w:val="00DA2F56"/>
    <w:rsid w:val="00DA2FA0"/>
    <w:rsid w:val="00DA30B9"/>
    <w:rsid w:val="00DA3120"/>
    <w:rsid w:val="00DA3184"/>
    <w:rsid w:val="00DA3192"/>
    <w:rsid w:val="00DA3235"/>
    <w:rsid w:val="00DA3380"/>
    <w:rsid w:val="00DA33E8"/>
    <w:rsid w:val="00DA3436"/>
    <w:rsid w:val="00DA3497"/>
    <w:rsid w:val="00DA3797"/>
    <w:rsid w:val="00DA3805"/>
    <w:rsid w:val="00DA3961"/>
    <w:rsid w:val="00DA3A56"/>
    <w:rsid w:val="00DA3B12"/>
    <w:rsid w:val="00DA3B40"/>
    <w:rsid w:val="00DA3BDB"/>
    <w:rsid w:val="00DA3C35"/>
    <w:rsid w:val="00DA3D55"/>
    <w:rsid w:val="00DA3D71"/>
    <w:rsid w:val="00DA3E0E"/>
    <w:rsid w:val="00DA3FAA"/>
    <w:rsid w:val="00DA40BE"/>
    <w:rsid w:val="00DA4136"/>
    <w:rsid w:val="00DA41F5"/>
    <w:rsid w:val="00DA42CB"/>
    <w:rsid w:val="00DA4366"/>
    <w:rsid w:val="00DA43F0"/>
    <w:rsid w:val="00DA441A"/>
    <w:rsid w:val="00DA4454"/>
    <w:rsid w:val="00DA44E5"/>
    <w:rsid w:val="00DA47D7"/>
    <w:rsid w:val="00DA48D2"/>
    <w:rsid w:val="00DA48EB"/>
    <w:rsid w:val="00DA4979"/>
    <w:rsid w:val="00DA4A14"/>
    <w:rsid w:val="00DA4A6C"/>
    <w:rsid w:val="00DA4AED"/>
    <w:rsid w:val="00DA4BA6"/>
    <w:rsid w:val="00DA4C56"/>
    <w:rsid w:val="00DA4CAC"/>
    <w:rsid w:val="00DA4DD0"/>
    <w:rsid w:val="00DA4E3C"/>
    <w:rsid w:val="00DA4ECB"/>
    <w:rsid w:val="00DA4F79"/>
    <w:rsid w:val="00DA4FB2"/>
    <w:rsid w:val="00DA4FCE"/>
    <w:rsid w:val="00DA5078"/>
    <w:rsid w:val="00DA50CE"/>
    <w:rsid w:val="00DA50CF"/>
    <w:rsid w:val="00DA51CB"/>
    <w:rsid w:val="00DA51CC"/>
    <w:rsid w:val="00DA5243"/>
    <w:rsid w:val="00DA535E"/>
    <w:rsid w:val="00DA547B"/>
    <w:rsid w:val="00DA5768"/>
    <w:rsid w:val="00DA5803"/>
    <w:rsid w:val="00DA5837"/>
    <w:rsid w:val="00DA583D"/>
    <w:rsid w:val="00DA584E"/>
    <w:rsid w:val="00DA5886"/>
    <w:rsid w:val="00DA589E"/>
    <w:rsid w:val="00DA5908"/>
    <w:rsid w:val="00DA5A34"/>
    <w:rsid w:val="00DA5B2A"/>
    <w:rsid w:val="00DA5BE4"/>
    <w:rsid w:val="00DA5C2D"/>
    <w:rsid w:val="00DA5E2B"/>
    <w:rsid w:val="00DA5FE2"/>
    <w:rsid w:val="00DA6080"/>
    <w:rsid w:val="00DA60C1"/>
    <w:rsid w:val="00DA60C8"/>
    <w:rsid w:val="00DA6299"/>
    <w:rsid w:val="00DA636D"/>
    <w:rsid w:val="00DA6465"/>
    <w:rsid w:val="00DA64AD"/>
    <w:rsid w:val="00DA66EA"/>
    <w:rsid w:val="00DA6723"/>
    <w:rsid w:val="00DA6793"/>
    <w:rsid w:val="00DA68DB"/>
    <w:rsid w:val="00DA6A3D"/>
    <w:rsid w:val="00DA6B3D"/>
    <w:rsid w:val="00DA6BA9"/>
    <w:rsid w:val="00DA6C52"/>
    <w:rsid w:val="00DA6CFA"/>
    <w:rsid w:val="00DA6CFB"/>
    <w:rsid w:val="00DA6D3F"/>
    <w:rsid w:val="00DA6D45"/>
    <w:rsid w:val="00DA6DFB"/>
    <w:rsid w:val="00DA6E20"/>
    <w:rsid w:val="00DA6FEF"/>
    <w:rsid w:val="00DA706E"/>
    <w:rsid w:val="00DA70DE"/>
    <w:rsid w:val="00DA70E7"/>
    <w:rsid w:val="00DA7190"/>
    <w:rsid w:val="00DA71CF"/>
    <w:rsid w:val="00DA730A"/>
    <w:rsid w:val="00DA737B"/>
    <w:rsid w:val="00DA7556"/>
    <w:rsid w:val="00DA7650"/>
    <w:rsid w:val="00DA7699"/>
    <w:rsid w:val="00DA77B5"/>
    <w:rsid w:val="00DA77FF"/>
    <w:rsid w:val="00DA7873"/>
    <w:rsid w:val="00DA7890"/>
    <w:rsid w:val="00DA78F7"/>
    <w:rsid w:val="00DA796A"/>
    <w:rsid w:val="00DA79D8"/>
    <w:rsid w:val="00DA79ED"/>
    <w:rsid w:val="00DA79F6"/>
    <w:rsid w:val="00DA7A19"/>
    <w:rsid w:val="00DA7E46"/>
    <w:rsid w:val="00DA7E4A"/>
    <w:rsid w:val="00DA7F04"/>
    <w:rsid w:val="00DA7F56"/>
    <w:rsid w:val="00DA7FEA"/>
    <w:rsid w:val="00DB00A6"/>
    <w:rsid w:val="00DB023F"/>
    <w:rsid w:val="00DB02C8"/>
    <w:rsid w:val="00DB0343"/>
    <w:rsid w:val="00DB03F7"/>
    <w:rsid w:val="00DB0400"/>
    <w:rsid w:val="00DB05DD"/>
    <w:rsid w:val="00DB0688"/>
    <w:rsid w:val="00DB06B0"/>
    <w:rsid w:val="00DB0784"/>
    <w:rsid w:val="00DB079E"/>
    <w:rsid w:val="00DB07D4"/>
    <w:rsid w:val="00DB0852"/>
    <w:rsid w:val="00DB0913"/>
    <w:rsid w:val="00DB0968"/>
    <w:rsid w:val="00DB09EF"/>
    <w:rsid w:val="00DB0A32"/>
    <w:rsid w:val="00DB0ABE"/>
    <w:rsid w:val="00DB0B1D"/>
    <w:rsid w:val="00DB0B4E"/>
    <w:rsid w:val="00DB0C4D"/>
    <w:rsid w:val="00DB0C59"/>
    <w:rsid w:val="00DB0E68"/>
    <w:rsid w:val="00DB0E98"/>
    <w:rsid w:val="00DB0F1A"/>
    <w:rsid w:val="00DB0F96"/>
    <w:rsid w:val="00DB10B9"/>
    <w:rsid w:val="00DB10BF"/>
    <w:rsid w:val="00DB1180"/>
    <w:rsid w:val="00DB119D"/>
    <w:rsid w:val="00DB1237"/>
    <w:rsid w:val="00DB124D"/>
    <w:rsid w:val="00DB1300"/>
    <w:rsid w:val="00DB1489"/>
    <w:rsid w:val="00DB1492"/>
    <w:rsid w:val="00DB1544"/>
    <w:rsid w:val="00DB16DA"/>
    <w:rsid w:val="00DB17A7"/>
    <w:rsid w:val="00DB1915"/>
    <w:rsid w:val="00DB1A1E"/>
    <w:rsid w:val="00DB1B25"/>
    <w:rsid w:val="00DB1B37"/>
    <w:rsid w:val="00DB1BEF"/>
    <w:rsid w:val="00DB1C5C"/>
    <w:rsid w:val="00DB1CE2"/>
    <w:rsid w:val="00DB1D2E"/>
    <w:rsid w:val="00DB1E23"/>
    <w:rsid w:val="00DB1EEC"/>
    <w:rsid w:val="00DB1F42"/>
    <w:rsid w:val="00DB1F45"/>
    <w:rsid w:val="00DB1F99"/>
    <w:rsid w:val="00DB1FC3"/>
    <w:rsid w:val="00DB2031"/>
    <w:rsid w:val="00DB205B"/>
    <w:rsid w:val="00DB20CF"/>
    <w:rsid w:val="00DB2223"/>
    <w:rsid w:val="00DB2230"/>
    <w:rsid w:val="00DB2549"/>
    <w:rsid w:val="00DB2585"/>
    <w:rsid w:val="00DB25AF"/>
    <w:rsid w:val="00DB2681"/>
    <w:rsid w:val="00DB295C"/>
    <w:rsid w:val="00DB29DC"/>
    <w:rsid w:val="00DB2AA7"/>
    <w:rsid w:val="00DB2AB5"/>
    <w:rsid w:val="00DB2B3E"/>
    <w:rsid w:val="00DB2B82"/>
    <w:rsid w:val="00DB2D46"/>
    <w:rsid w:val="00DB2D4B"/>
    <w:rsid w:val="00DB2E8E"/>
    <w:rsid w:val="00DB2E9B"/>
    <w:rsid w:val="00DB30EA"/>
    <w:rsid w:val="00DB3178"/>
    <w:rsid w:val="00DB31C5"/>
    <w:rsid w:val="00DB337E"/>
    <w:rsid w:val="00DB339D"/>
    <w:rsid w:val="00DB340E"/>
    <w:rsid w:val="00DB34E0"/>
    <w:rsid w:val="00DB34F9"/>
    <w:rsid w:val="00DB3559"/>
    <w:rsid w:val="00DB3730"/>
    <w:rsid w:val="00DB3757"/>
    <w:rsid w:val="00DB3758"/>
    <w:rsid w:val="00DB379B"/>
    <w:rsid w:val="00DB3819"/>
    <w:rsid w:val="00DB3853"/>
    <w:rsid w:val="00DB38A1"/>
    <w:rsid w:val="00DB3A28"/>
    <w:rsid w:val="00DB3A89"/>
    <w:rsid w:val="00DB3B14"/>
    <w:rsid w:val="00DB3BA6"/>
    <w:rsid w:val="00DB3BF4"/>
    <w:rsid w:val="00DB3C05"/>
    <w:rsid w:val="00DB3EED"/>
    <w:rsid w:val="00DB3F55"/>
    <w:rsid w:val="00DB3FBB"/>
    <w:rsid w:val="00DB3FF9"/>
    <w:rsid w:val="00DB402C"/>
    <w:rsid w:val="00DB4109"/>
    <w:rsid w:val="00DB4215"/>
    <w:rsid w:val="00DB4222"/>
    <w:rsid w:val="00DB4240"/>
    <w:rsid w:val="00DB443F"/>
    <w:rsid w:val="00DB4586"/>
    <w:rsid w:val="00DB45A1"/>
    <w:rsid w:val="00DB4670"/>
    <w:rsid w:val="00DB485B"/>
    <w:rsid w:val="00DB48A0"/>
    <w:rsid w:val="00DB49B7"/>
    <w:rsid w:val="00DB4B86"/>
    <w:rsid w:val="00DB4C34"/>
    <w:rsid w:val="00DB4CA1"/>
    <w:rsid w:val="00DB4D17"/>
    <w:rsid w:val="00DB4D4A"/>
    <w:rsid w:val="00DB4F62"/>
    <w:rsid w:val="00DB4F66"/>
    <w:rsid w:val="00DB4FF3"/>
    <w:rsid w:val="00DB4FFE"/>
    <w:rsid w:val="00DB50EE"/>
    <w:rsid w:val="00DB51FE"/>
    <w:rsid w:val="00DB5214"/>
    <w:rsid w:val="00DB5223"/>
    <w:rsid w:val="00DB5289"/>
    <w:rsid w:val="00DB533F"/>
    <w:rsid w:val="00DB544B"/>
    <w:rsid w:val="00DB562A"/>
    <w:rsid w:val="00DB5638"/>
    <w:rsid w:val="00DB56C0"/>
    <w:rsid w:val="00DB575E"/>
    <w:rsid w:val="00DB5787"/>
    <w:rsid w:val="00DB57E2"/>
    <w:rsid w:val="00DB5804"/>
    <w:rsid w:val="00DB5817"/>
    <w:rsid w:val="00DB5962"/>
    <w:rsid w:val="00DB59D2"/>
    <w:rsid w:val="00DB59D3"/>
    <w:rsid w:val="00DB5C36"/>
    <w:rsid w:val="00DB5C69"/>
    <w:rsid w:val="00DB5CA0"/>
    <w:rsid w:val="00DB5EB9"/>
    <w:rsid w:val="00DB5FF9"/>
    <w:rsid w:val="00DB6015"/>
    <w:rsid w:val="00DB6120"/>
    <w:rsid w:val="00DB617B"/>
    <w:rsid w:val="00DB61BE"/>
    <w:rsid w:val="00DB6229"/>
    <w:rsid w:val="00DB62AF"/>
    <w:rsid w:val="00DB6334"/>
    <w:rsid w:val="00DB6353"/>
    <w:rsid w:val="00DB6460"/>
    <w:rsid w:val="00DB651A"/>
    <w:rsid w:val="00DB6551"/>
    <w:rsid w:val="00DB658E"/>
    <w:rsid w:val="00DB659E"/>
    <w:rsid w:val="00DB65F3"/>
    <w:rsid w:val="00DB6640"/>
    <w:rsid w:val="00DB66EB"/>
    <w:rsid w:val="00DB674F"/>
    <w:rsid w:val="00DB6769"/>
    <w:rsid w:val="00DB67D2"/>
    <w:rsid w:val="00DB67DE"/>
    <w:rsid w:val="00DB67F8"/>
    <w:rsid w:val="00DB688C"/>
    <w:rsid w:val="00DB688E"/>
    <w:rsid w:val="00DB6976"/>
    <w:rsid w:val="00DB6985"/>
    <w:rsid w:val="00DB69EC"/>
    <w:rsid w:val="00DB6A28"/>
    <w:rsid w:val="00DB6A2D"/>
    <w:rsid w:val="00DB6AD7"/>
    <w:rsid w:val="00DB6C47"/>
    <w:rsid w:val="00DB6D0E"/>
    <w:rsid w:val="00DB6D3B"/>
    <w:rsid w:val="00DB6DC9"/>
    <w:rsid w:val="00DB6F68"/>
    <w:rsid w:val="00DB720A"/>
    <w:rsid w:val="00DB72E1"/>
    <w:rsid w:val="00DB72FD"/>
    <w:rsid w:val="00DB7359"/>
    <w:rsid w:val="00DB73DF"/>
    <w:rsid w:val="00DB744D"/>
    <w:rsid w:val="00DB7501"/>
    <w:rsid w:val="00DB75BE"/>
    <w:rsid w:val="00DB768A"/>
    <w:rsid w:val="00DB76C8"/>
    <w:rsid w:val="00DB775D"/>
    <w:rsid w:val="00DB7787"/>
    <w:rsid w:val="00DB7923"/>
    <w:rsid w:val="00DB7992"/>
    <w:rsid w:val="00DB79D6"/>
    <w:rsid w:val="00DB7A50"/>
    <w:rsid w:val="00DB7D05"/>
    <w:rsid w:val="00DB7D8B"/>
    <w:rsid w:val="00DB7FF5"/>
    <w:rsid w:val="00DC0029"/>
    <w:rsid w:val="00DC00BB"/>
    <w:rsid w:val="00DC00F3"/>
    <w:rsid w:val="00DC0104"/>
    <w:rsid w:val="00DC01FA"/>
    <w:rsid w:val="00DC037F"/>
    <w:rsid w:val="00DC0521"/>
    <w:rsid w:val="00DC055A"/>
    <w:rsid w:val="00DC0676"/>
    <w:rsid w:val="00DC075C"/>
    <w:rsid w:val="00DC086F"/>
    <w:rsid w:val="00DC090E"/>
    <w:rsid w:val="00DC0B2C"/>
    <w:rsid w:val="00DC0C0E"/>
    <w:rsid w:val="00DC0C2B"/>
    <w:rsid w:val="00DC0CA0"/>
    <w:rsid w:val="00DC0D92"/>
    <w:rsid w:val="00DC0DAD"/>
    <w:rsid w:val="00DC0F37"/>
    <w:rsid w:val="00DC0F44"/>
    <w:rsid w:val="00DC0F67"/>
    <w:rsid w:val="00DC116B"/>
    <w:rsid w:val="00DC11C1"/>
    <w:rsid w:val="00DC123A"/>
    <w:rsid w:val="00DC12A5"/>
    <w:rsid w:val="00DC12F6"/>
    <w:rsid w:val="00DC1414"/>
    <w:rsid w:val="00DC14F9"/>
    <w:rsid w:val="00DC1691"/>
    <w:rsid w:val="00DC16B5"/>
    <w:rsid w:val="00DC1706"/>
    <w:rsid w:val="00DC1799"/>
    <w:rsid w:val="00DC1849"/>
    <w:rsid w:val="00DC1918"/>
    <w:rsid w:val="00DC1927"/>
    <w:rsid w:val="00DC19CB"/>
    <w:rsid w:val="00DC1B54"/>
    <w:rsid w:val="00DC1B9D"/>
    <w:rsid w:val="00DC1BB8"/>
    <w:rsid w:val="00DC1DCF"/>
    <w:rsid w:val="00DC1DF9"/>
    <w:rsid w:val="00DC1E57"/>
    <w:rsid w:val="00DC1E89"/>
    <w:rsid w:val="00DC1ED9"/>
    <w:rsid w:val="00DC1F92"/>
    <w:rsid w:val="00DC2027"/>
    <w:rsid w:val="00DC224C"/>
    <w:rsid w:val="00DC2288"/>
    <w:rsid w:val="00DC22E3"/>
    <w:rsid w:val="00DC2300"/>
    <w:rsid w:val="00DC243F"/>
    <w:rsid w:val="00DC247D"/>
    <w:rsid w:val="00DC255B"/>
    <w:rsid w:val="00DC2667"/>
    <w:rsid w:val="00DC26B1"/>
    <w:rsid w:val="00DC26CF"/>
    <w:rsid w:val="00DC270D"/>
    <w:rsid w:val="00DC2769"/>
    <w:rsid w:val="00DC28A4"/>
    <w:rsid w:val="00DC294E"/>
    <w:rsid w:val="00DC2983"/>
    <w:rsid w:val="00DC29F5"/>
    <w:rsid w:val="00DC2C4F"/>
    <w:rsid w:val="00DC2C97"/>
    <w:rsid w:val="00DC2CF0"/>
    <w:rsid w:val="00DC2D60"/>
    <w:rsid w:val="00DC2DDF"/>
    <w:rsid w:val="00DC2EA0"/>
    <w:rsid w:val="00DC2ED3"/>
    <w:rsid w:val="00DC2ED7"/>
    <w:rsid w:val="00DC2EDA"/>
    <w:rsid w:val="00DC2FE9"/>
    <w:rsid w:val="00DC30B3"/>
    <w:rsid w:val="00DC3173"/>
    <w:rsid w:val="00DC3186"/>
    <w:rsid w:val="00DC323C"/>
    <w:rsid w:val="00DC32A7"/>
    <w:rsid w:val="00DC32FB"/>
    <w:rsid w:val="00DC3380"/>
    <w:rsid w:val="00DC34B0"/>
    <w:rsid w:val="00DC34CD"/>
    <w:rsid w:val="00DC34F5"/>
    <w:rsid w:val="00DC3657"/>
    <w:rsid w:val="00DC3732"/>
    <w:rsid w:val="00DC3780"/>
    <w:rsid w:val="00DC3798"/>
    <w:rsid w:val="00DC386A"/>
    <w:rsid w:val="00DC38F1"/>
    <w:rsid w:val="00DC3976"/>
    <w:rsid w:val="00DC3983"/>
    <w:rsid w:val="00DC39EF"/>
    <w:rsid w:val="00DC3AB3"/>
    <w:rsid w:val="00DC3C16"/>
    <w:rsid w:val="00DC3CA5"/>
    <w:rsid w:val="00DC3CAA"/>
    <w:rsid w:val="00DC42D8"/>
    <w:rsid w:val="00DC42F8"/>
    <w:rsid w:val="00DC434A"/>
    <w:rsid w:val="00DC4410"/>
    <w:rsid w:val="00DC443C"/>
    <w:rsid w:val="00DC44F1"/>
    <w:rsid w:val="00DC452D"/>
    <w:rsid w:val="00DC4614"/>
    <w:rsid w:val="00DC4840"/>
    <w:rsid w:val="00DC48A1"/>
    <w:rsid w:val="00DC48F6"/>
    <w:rsid w:val="00DC49CA"/>
    <w:rsid w:val="00DC4B48"/>
    <w:rsid w:val="00DC4D39"/>
    <w:rsid w:val="00DC4DD0"/>
    <w:rsid w:val="00DC4DF1"/>
    <w:rsid w:val="00DC4E7F"/>
    <w:rsid w:val="00DC4ED7"/>
    <w:rsid w:val="00DC4FBC"/>
    <w:rsid w:val="00DC4FEC"/>
    <w:rsid w:val="00DC5024"/>
    <w:rsid w:val="00DC50B8"/>
    <w:rsid w:val="00DC50F3"/>
    <w:rsid w:val="00DC5119"/>
    <w:rsid w:val="00DC51B0"/>
    <w:rsid w:val="00DC52C6"/>
    <w:rsid w:val="00DC5350"/>
    <w:rsid w:val="00DC53CC"/>
    <w:rsid w:val="00DC53F6"/>
    <w:rsid w:val="00DC5471"/>
    <w:rsid w:val="00DC5503"/>
    <w:rsid w:val="00DC5583"/>
    <w:rsid w:val="00DC558F"/>
    <w:rsid w:val="00DC5667"/>
    <w:rsid w:val="00DC5695"/>
    <w:rsid w:val="00DC5705"/>
    <w:rsid w:val="00DC57BE"/>
    <w:rsid w:val="00DC586F"/>
    <w:rsid w:val="00DC590E"/>
    <w:rsid w:val="00DC5955"/>
    <w:rsid w:val="00DC5A3D"/>
    <w:rsid w:val="00DC5A70"/>
    <w:rsid w:val="00DC5B9F"/>
    <w:rsid w:val="00DC5CB0"/>
    <w:rsid w:val="00DC5F90"/>
    <w:rsid w:val="00DC617A"/>
    <w:rsid w:val="00DC62EB"/>
    <w:rsid w:val="00DC631C"/>
    <w:rsid w:val="00DC6321"/>
    <w:rsid w:val="00DC6343"/>
    <w:rsid w:val="00DC636E"/>
    <w:rsid w:val="00DC6444"/>
    <w:rsid w:val="00DC6448"/>
    <w:rsid w:val="00DC64BE"/>
    <w:rsid w:val="00DC6723"/>
    <w:rsid w:val="00DC6754"/>
    <w:rsid w:val="00DC6760"/>
    <w:rsid w:val="00DC6822"/>
    <w:rsid w:val="00DC687B"/>
    <w:rsid w:val="00DC687C"/>
    <w:rsid w:val="00DC6963"/>
    <w:rsid w:val="00DC6977"/>
    <w:rsid w:val="00DC6A2A"/>
    <w:rsid w:val="00DC6AE9"/>
    <w:rsid w:val="00DC6D0B"/>
    <w:rsid w:val="00DC6D36"/>
    <w:rsid w:val="00DC6EA9"/>
    <w:rsid w:val="00DC6FE3"/>
    <w:rsid w:val="00DC6FE6"/>
    <w:rsid w:val="00DC7066"/>
    <w:rsid w:val="00DC7111"/>
    <w:rsid w:val="00DC71CA"/>
    <w:rsid w:val="00DC7300"/>
    <w:rsid w:val="00DC737C"/>
    <w:rsid w:val="00DC7409"/>
    <w:rsid w:val="00DC765D"/>
    <w:rsid w:val="00DC76AB"/>
    <w:rsid w:val="00DC7893"/>
    <w:rsid w:val="00DC7A59"/>
    <w:rsid w:val="00DC7B4F"/>
    <w:rsid w:val="00DC7C00"/>
    <w:rsid w:val="00DC7CD0"/>
    <w:rsid w:val="00DC7CD4"/>
    <w:rsid w:val="00DC7E0D"/>
    <w:rsid w:val="00DC7EF5"/>
    <w:rsid w:val="00DC7FD9"/>
    <w:rsid w:val="00DD0056"/>
    <w:rsid w:val="00DD0098"/>
    <w:rsid w:val="00DD0142"/>
    <w:rsid w:val="00DD015B"/>
    <w:rsid w:val="00DD01A3"/>
    <w:rsid w:val="00DD0260"/>
    <w:rsid w:val="00DD02FB"/>
    <w:rsid w:val="00DD032B"/>
    <w:rsid w:val="00DD03C6"/>
    <w:rsid w:val="00DD05EA"/>
    <w:rsid w:val="00DD0626"/>
    <w:rsid w:val="00DD06C2"/>
    <w:rsid w:val="00DD087F"/>
    <w:rsid w:val="00DD0952"/>
    <w:rsid w:val="00DD097C"/>
    <w:rsid w:val="00DD0985"/>
    <w:rsid w:val="00DD099D"/>
    <w:rsid w:val="00DD09D2"/>
    <w:rsid w:val="00DD0A74"/>
    <w:rsid w:val="00DD0A97"/>
    <w:rsid w:val="00DD0ADC"/>
    <w:rsid w:val="00DD0B67"/>
    <w:rsid w:val="00DD0BD6"/>
    <w:rsid w:val="00DD0D38"/>
    <w:rsid w:val="00DD0D3A"/>
    <w:rsid w:val="00DD0F03"/>
    <w:rsid w:val="00DD0F19"/>
    <w:rsid w:val="00DD0F9E"/>
    <w:rsid w:val="00DD1044"/>
    <w:rsid w:val="00DD110C"/>
    <w:rsid w:val="00DD123D"/>
    <w:rsid w:val="00DD13B1"/>
    <w:rsid w:val="00DD1458"/>
    <w:rsid w:val="00DD14DA"/>
    <w:rsid w:val="00DD1528"/>
    <w:rsid w:val="00DD157A"/>
    <w:rsid w:val="00DD15DB"/>
    <w:rsid w:val="00DD1618"/>
    <w:rsid w:val="00DD19A1"/>
    <w:rsid w:val="00DD1A19"/>
    <w:rsid w:val="00DD1A2E"/>
    <w:rsid w:val="00DD1ACC"/>
    <w:rsid w:val="00DD1C6E"/>
    <w:rsid w:val="00DD1D4D"/>
    <w:rsid w:val="00DD1DF3"/>
    <w:rsid w:val="00DD1F32"/>
    <w:rsid w:val="00DD1FD3"/>
    <w:rsid w:val="00DD20F1"/>
    <w:rsid w:val="00DD22EE"/>
    <w:rsid w:val="00DD23A7"/>
    <w:rsid w:val="00DD23C7"/>
    <w:rsid w:val="00DD24E2"/>
    <w:rsid w:val="00DD2598"/>
    <w:rsid w:val="00DD263A"/>
    <w:rsid w:val="00DD2884"/>
    <w:rsid w:val="00DD28F4"/>
    <w:rsid w:val="00DD2A75"/>
    <w:rsid w:val="00DD2A79"/>
    <w:rsid w:val="00DD2AED"/>
    <w:rsid w:val="00DD2B63"/>
    <w:rsid w:val="00DD2B75"/>
    <w:rsid w:val="00DD2BDB"/>
    <w:rsid w:val="00DD2BF4"/>
    <w:rsid w:val="00DD2CC1"/>
    <w:rsid w:val="00DD2CC6"/>
    <w:rsid w:val="00DD2D33"/>
    <w:rsid w:val="00DD2D41"/>
    <w:rsid w:val="00DD2E9C"/>
    <w:rsid w:val="00DD2EF6"/>
    <w:rsid w:val="00DD2F42"/>
    <w:rsid w:val="00DD2F9B"/>
    <w:rsid w:val="00DD2FA1"/>
    <w:rsid w:val="00DD3035"/>
    <w:rsid w:val="00DD30D1"/>
    <w:rsid w:val="00DD3172"/>
    <w:rsid w:val="00DD317C"/>
    <w:rsid w:val="00DD3191"/>
    <w:rsid w:val="00DD32CB"/>
    <w:rsid w:val="00DD32DC"/>
    <w:rsid w:val="00DD33B6"/>
    <w:rsid w:val="00DD3484"/>
    <w:rsid w:val="00DD353A"/>
    <w:rsid w:val="00DD3632"/>
    <w:rsid w:val="00DD363B"/>
    <w:rsid w:val="00DD367F"/>
    <w:rsid w:val="00DD368E"/>
    <w:rsid w:val="00DD36A8"/>
    <w:rsid w:val="00DD374A"/>
    <w:rsid w:val="00DD381C"/>
    <w:rsid w:val="00DD38A3"/>
    <w:rsid w:val="00DD3947"/>
    <w:rsid w:val="00DD3994"/>
    <w:rsid w:val="00DD39A4"/>
    <w:rsid w:val="00DD3A6A"/>
    <w:rsid w:val="00DD3BBA"/>
    <w:rsid w:val="00DD3BCB"/>
    <w:rsid w:val="00DD3D11"/>
    <w:rsid w:val="00DD3E06"/>
    <w:rsid w:val="00DD3E35"/>
    <w:rsid w:val="00DD3EAA"/>
    <w:rsid w:val="00DD3FA8"/>
    <w:rsid w:val="00DD4051"/>
    <w:rsid w:val="00DD4058"/>
    <w:rsid w:val="00DD41CD"/>
    <w:rsid w:val="00DD42FD"/>
    <w:rsid w:val="00DD4375"/>
    <w:rsid w:val="00DD43CB"/>
    <w:rsid w:val="00DD441E"/>
    <w:rsid w:val="00DD4487"/>
    <w:rsid w:val="00DD44A7"/>
    <w:rsid w:val="00DD45B2"/>
    <w:rsid w:val="00DD4640"/>
    <w:rsid w:val="00DD4795"/>
    <w:rsid w:val="00DD480E"/>
    <w:rsid w:val="00DD4866"/>
    <w:rsid w:val="00DD4896"/>
    <w:rsid w:val="00DD499A"/>
    <w:rsid w:val="00DD4B8A"/>
    <w:rsid w:val="00DD4BA0"/>
    <w:rsid w:val="00DD4C5C"/>
    <w:rsid w:val="00DD4CAD"/>
    <w:rsid w:val="00DD4CF1"/>
    <w:rsid w:val="00DD4D82"/>
    <w:rsid w:val="00DD4E54"/>
    <w:rsid w:val="00DD4F5D"/>
    <w:rsid w:val="00DD4F76"/>
    <w:rsid w:val="00DD4FDF"/>
    <w:rsid w:val="00DD5071"/>
    <w:rsid w:val="00DD51E7"/>
    <w:rsid w:val="00DD5244"/>
    <w:rsid w:val="00DD5248"/>
    <w:rsid w:val="00DD5288"/>
    <w:rsid w:val="00DD52C2"/>
    <w:rsid w:val="00DD52CD"/>
    <w:rsid w:val="00DD52E3"/>
    <w:rsid w:val="00DD5371"/>
    <w:rsid w:val="00DD5430"/>
    <w:rsid w:val="00DD5440"/>
    <w:rsid w:val="00DD5451"/>
    <w:rsid w:val="00DD552D"/>
    <w:rsid w:val="00DD555F"/>
    <w:rsid w:val="00DD55C9"/>
    <w:rsid w:val="00DD566B"/>
    <w:rsid w:val="00DD56FC"/>
    <w:rsid w:val="00DD5985"/>
    <w:rsid w:val="00DD59CE"/>
    <w:rsid w:val="00DD5ADA"/>
    <w:rsid w:val="00DD5BAF"/>
    <w:rsid w:val="00DD5BEA"/>
    <w:rsid w:val="00DD5C24"/>
    <w:rsid w:val="00DD5CA6"/>
    <w:rsid w:val="00DD5DBC"/>
    <w:rsid w:val="00DD5DFC"/>
    <w:rsid w:val="00DD5E14"/>
    <w:rsid w:val="00DD5FA1"/>
    <w:rsid w:val="00DD5FE3"/>
    <w:rsid w:val="00DD6017"/>
    <w:rsid w:val="00DD613A"/>
    <w:rsid w:val="00DD6145"/>
    <w:rsid w:val="00DD630B"/>
    <w:rsid w:val="00DD6334"/>
    <w:rsid w:val="00DD6369"/>
    <w:rsid w:val="00DD655B"/>
    <w:rsid w:val="00DD6583"/>
    <w:rsid w:val="00DD66AB"/>
    <w:rsid w:val="00DD66B8"/>
    <w:rsid w:val="00DD6746"/>
    <w:rsid w:val="00DD6950"/>
    <w:rsid w:val="00DD6AFF"/>
    <w:rsid w:val="00DD6D5D"/>
    <w:rsid w:val="00DD6D64"/>
    <w:rsid w:val="00DD6DA0"/>
    <w:rsid w:val="00DD6EA1"/>
    <w:rsid w:val="00DD706B"/>
    <w:rsid w:val="00DD709B"/>
    <w:rsid w:val="00DD71AA"/>
    <w:rsid w:val="00DD71AF"/>
    <w:rsid w:val="00DD72C2"/>
    <w:rsid w:val="00DD734A"/>
    <w:rsid w:val="00DD75BC"/>
    <w:rsid w:val="00DD7644"/>
    <w:rsid w:val="00DD77B2"/>
    <w:rsid w:val="00DD7975"/>
    <w:rsid w:val="00DD79AB"/>
    <w:rsid w:val="00DD7B00"/>
    <w:rsid w:val="00DD7B6C"/>
    <w:rsid w:val="00DD7BBC"/>
    <w:rsid w:val="00DD7C25"/>
    <w:rsid w:val="00DD7C8F"/>
    <w:rsid w:val="00DD7D28"/>
    <w:rsid w:val="00DD7DD2"/>
    <w:rsid w:val="00DD7DF1"/>
    <w:rsid w:val="00DD7E99"/>
    <w:rsid w:val="00DD7F03"/>
    <w:rsid w:val="00DD7F14"/>
    <w:rsid w:val="00DD7F4F"/>
    <w:rsid w:val="00DD7F75"/>
    <w:rsid w:val="00DDCCDE"/>
    <w:rsid w:val="00DE0061"/>
    <w:rsid w:val="00DE00C6"/>
    <w:rsid w:val="00DE01B6"/>
    <w:rsid w:val="00DE01D4"/>
    <w:rsid w:val="00DE01EA"/>
    <w:rsid w:val="00DE0219"/>
    <w:rsid w:val="00DE0320"/>
    <w:rsid w:val="00DE037E"/>
    <w:rsid w:val="00DE0454"/>
    <w:rsid w:val="00DE0507"/>
    <w:rsid w:val="00DE053C"/>
    <w:rsid w:val="00DE05AA"/>
    <w:rsid w:val="00DE0644"/>
    <w:rsid w:val="00DE08A7"/>
    <w:rsid w:val="00DE08F2"/>
    <w:rsid w:val="00DE0913"/>
    <w:rsid w:val="00DE09AE"/>
    <w:rsid w:val="00DE0AC5"/>
    <w:rsid w:val="00DE0CA9"/>
    <w:rsid w:val="00DE0E3C"/>
    <w:rsid w:val="00DE0F7C"/>
    <w:rsid w:val="00DE0F82"/>
    <w:rsid w:val="00DE10ED"/>
    <w:rsid w:val="00DE1125"/>
    <w:rsid w:val="00DE119F"/>
    <w:rsid w:val="00DE1215"/>
    <w:rsid w:val="00DE1312"/>
    <w:rsid w:val="00DE141C"/>
    <w:rsid w:val="00DE143B"/>
    <w:rsid w:val="00DE14B4"/>
    <w:rsid w:val="00DE14E7"/>
    <w:rsid w:val="00DE1578"/>
    <w:rsid w:val="00DE15CD"/>
    <w:rsid w:val="00DE16DF"/>
    <w:rsid w:val="00DE186D"/>
    <w:rsid w:val="00DE1915"/>
    <w:rsid w:val="00DE1A8E"/>
    <w:rsid w:val="00DE1C8C"/>
    <w:rsid w:val="00DE1CDF"/>
    <w:rsid w:val="00DE1CF0"/>
    <w:rsid w:val="00DE1D0E"/>
    <w:rsid w:val="00DE1D69"/>
    <w:rsid w:val="00DE1E32"/>
    <w:rsid w:val="00DE1F1A"/>
    <w:rsid w:val="00DE1F2B"/>
    <w:rsid w:val="00DE2074"/>
    <w:rsid w:val="00DE20E2"/>
    <w:rsid w:val="00DE2252"/>
    <w:rsid w:val="00DE2367"/>
    <w:rsid w:val="00DE2380"/>
    <w:rsid w:val="00DE23F3"/>
    <w:rsid w:val="00DE2584"/>
    <w:rsid w:val="00DE2593"/>
    <w:rsid w:val="00DE260F"/>
    <w:rsid w:val="00DE26C8"/>
    <w:rsid w:val="00DE279C"/>
    <w:rsid w:val="00DE292E"/>
    <w:rsid w:val="00DE2AE7"/>
    <w:rsid w:val="00DE2BCB"/>
    <w:rsid w:val="00DE2E04"/>
    <w:rsid w:val="00DE2E0B"/>
    <w:rsid w:val="00DE2E47"/>
    <w:rsid w:val="00DE2F8F"/>
    <w:rsid w:val="00DE3062"/>
    <w:rsid w:val="00DE3282"/>
    <w:rsid w:val="00DE3298"/>
    <w:rsid w:val="00DE32AB"/>
    <w:rsid w:val="00DE32B8"/>
    <w:rsid w:val="00DE32D2"/>
    <w:rsid w:val="00DE33AF"/>
    <w:rsid w:val="00DE33F3"/>
    <w:rsid w:val="00DE3442"/>
    <w:rsid w:val="00DE3531"/>
    <w:rsid w:val="00DE36CD"/>
    <w:rsid w:val="00DE376C"/>
    <w:rsid w:val="00DE38C9"/>
    <w:rsid w:val="00DE3924"/>
    <w:rsid w:val="00DE399C"/>
    <w:rsid w:val="00DE3A24"/>
    <w:rsid w:val="00DE3AE0"/>
    <w:rsid w:val="00DE3B2F"/>
    <w:rsid w:val="00DE3B5C"/>
    <w:rsid w:val="00DE3B6B"/>
    <w:rsid w:val="00DE3C0E"/>
    <w:rsid w:val="00DE3C25"/>
    <w:rsid w:val="00DE3FC8"/>
    <w:rsid w:val="00DE404E"/>
    <w:rsid w:val="00DE408B"/>
    <w:rsid w:val="00DE40AE"/>
    <w:rsid w:val="00DE4182"/>
    <w:rsid w:val="00DE432B"/>
    <w:rsid w:val="00DE442F"/>
    <w:rsid w:val="00DE444A"/>
    <w:rsid w:val="00DE44B0"/>
    <w:rsid w:val="00DE4710"/>
    <w:rsid w:val="00DE4736"/>
    <w:rsid w:val="00DE49A3"/>
    <w:rsid w:val="00DE49D1"/>
    <w:rsid w:val="00DE4A1D"/>
    <w:rsid w:val="00DE4A7E"/>
    <w:rsid w:val="00DE4B5B"/>
    <w:rsid w:val="00DE4D17"/>
    <w:rsid w:val="00DE4D1D"/>
    <w:rsid w:val="00DE4D5B"/>
    <w:rsid w:val="00DE4DAB"/>
    <w:rsid w:val="00DE4DCA"/>
    <w:rsid w:val="00DE4E2D"/>
    <w:rsid w:val="00DE4ED9"/>
    <w:rsid w:val="00DE4F84"/>
    <w:rsid w:val="00DE50C9"/>
    <w:rsid w:val="00DE50F4"/>
    <w:rsid w:val="00DE5317"/>
    <w:rsid w:val="00DE53B5"/>
    <w:rsid w:val="00DE541D"/>
    <w:rsid w:val="00DE5515"/>
    <w:rsid w:val="00DE5591"/>
    <w:rsid w:val="00DE5698"/>
    <w:rsid w:val="00DE569F"/>
    <w:rsid w:val="00DE56C0"/>
    <w:rsid w:val="00DE56F6"/>
    <w:rsid w:val="00DE577A"/>
    <w:rsid w:val="00DE5879"/>
    <w:rsid w:val="00DE59DD"/>
    <w:rsid w:val="00DE5A10"/>
    <w:rsid w:val="00DE5A3C"/>
    <w:rsid w:val="00DE5A52"/>
    <w:rsid w:val="00DE5B46"/>
    <w:rsid w:val="00DE5B8B"/>
    <w:rsid w:val="00DE5C7B"/>
    <w:rsid w:val="00DE5E00"/>
    <w:rsid w:val="00DE5F9A"/>
    <w:rsid w:val="00DE5FCC"/>
    <w:rsid w:val="00DE60DA"/>
    <w:rsid w:val="00DE6151"/>
    <w:rsid w:val="00DE61A3"/>
    <w:rsid w:val="00DE61C0"/>
    <w:rsid w:val="00DE6278"/>
    <w:rsid w:val="00DE62D6"/>
    <w:rsid w:val="00DE655F"/>
    <w:rsid w:val="00DE658F"/>
    <w:rsid w:val="00DE68BB"/>
    <w:rsid w:val="00DE68E7"/>
    <w:rsid w:val="00DE6983"/>
    <w:rsid w:val="00DE69CE"/>
    <w:rsid w:val="00DE6B78"/>
    <w:rsid w:val="00DE6C89"/>
    <w:rsid w:val="00DE6CAA"/>
    <w:rsid w:val="00DE6D13"/>
    <w:rsid w:val="00DE6DAE"/>
    <w:rsid w:val="00DE6DDE"/>
    <w:rsid w:val="00DE6E14"/>
    <w:rsid w:val="00DE6F0F"/>
    <w:rsid w:val="00DE6FBF"/>
    <w:rsid w:val="00DE709A"/>
    <w:rsid w:val="00DE710C"/>
    <w:rsid w:val="00DE713E"/>
    <w:rsid w:val="00DE72D2"/>
    <w:rsid w:val="00DE7371"/>
    <w:rsid w:val="00DE7382"/>
    <w:rsid w:val="00DE7469"/>
    <w:rsid w:val="00DE752B"/>
    <w:rsid w:val="00DE7615"/>
    <w:rsid w:val="00DE763E"/>
    <w:rsid w:val="00DE7667"/>
    <w:rsid w:val="00DE77D0"/>
    <w:rsid w:val="00DE7866"/>
    <w:rsid w:val="00DE7A3A"/>
    <w:rsid w:val="00DE7CAC"/>
    <w:rsid w:val="00DE7D61"/>
    <w:rsid w:val="00DE7FD1"/>
    <w:rsid w:val="00DF034F"/>
    <w:rsid w:val="00DF03CA"/>
    <w:rsid w:val="00DF03D8"/>
    <w:rsid w:val="00DF03E8"/>
    <w:rsid w:val="00DF0482"/>
    <w:rsid w:val="00DF04E4"/>
    <w:rsid w:val="00DF04EE"/>
    <w:rsid w:val="00DF0517"/>
    <w:rsid w:val="00DF0574"/>
    <w:rsid w:val="00DF064C"/>
    <w:rsid w:val="00DF0758"/>
    <w:rsid w:val="00DF0A42"/>
    <w:rsid w:val="00DF0ADB"/>
    <w:rsid w:val="00DF0B8D"/>
    <w:rsid w:val="00DF0BCF"/>
    <w:rsid w:val="00DF0C62"/>
    <w:rsid w:val="00DF0E56"/>
    <w:rsid w:val="00DF0E62"/>
    <w:rsid w:val="00DF0F28"/>
    <w:rsid w:val="00DF0F3D"/>
    <w:rsid w:val="00DF1054"/>
    <w:rsid w:val="00DF1082"/>
    <w:rsid w:val="00DF108D"/>
    <w:rsid w:val="00DF10A1"/>
    <w:rsid w:val="00DF147F"/>
    <w:rsid w:val="00DF14F0"/>
    <w:rsid w:val="00DF168C"/>
    <w:rsid w:val="00DF1785"/>
    <w:rsid w:val="00DF18B9"/>
    <w:rsid w:val="00DF1939"/>
    <w:rsid w:val="00DF198E"/>
    <w:rsid w:val="00DF1A88"/>
    <w:rsid w:val="00DF1B2A"/>
    <w:rsid w:val="00DF1BA0"/>
    <w:rsid w:val="00DF1C41"/>
    <w:rsid w:val="00DF1DED"/>
    <w:rsid w:val="00DF1E1B"/>
    <w:rsid w:val="00DF1E46"/>
    <w:rsid w:val="00DF1E7A"/>
    <w:rsid w:val="00DF2098"/>
    <w:rsid w:val="00DF20F4"/>
    <w:rsid w:val="00DF214C"/>
    <w:rsid w:val="00DF221F"/>
    <w:rsid w:val="00DF2384"/>
    <w:rsid w:val="00DF24C0"/>
    <w:rsid w:val="00DF24E2"/>
    <w:rsid w:val="00DF2562"/>
    <w:rsid w:val="00DF25D1"/>
    <w:rsid w:val="00DF265A"/>
    <w:rsid w:val="00DF277C"/>
    <w:rsid w:val="00DF288F"/>
    <w:rsid w:val="00DF28A0"/>
    <w:rsid w:val="00DF28BC"/>
    <w:rsid w:val="00DF28D9"/>
    <w:rsid w:val="00DF290C"/>
    <w:rsid w:val="00DF2A48"/>
    <w:rsid w:val="00DF2BA5"/>
    <w:rsid w:val="00DF2C88"/>
    <w:rsid w:val="00DF2E7D"/>
    <w:rsid w:val="00DF2F11"/>
    <w:rsid w:val="00DF2F15"/>
    <w:rsid w:val="00DF3058"/>
    <w:rsid w:val="00DF3063"/>
    <w:rsid w:val="00DF30E5"/>
    <w:rsid w:val="00DF30F1"/>
    <w:rsid w:val="00DF3794"/>
    <w:rsid w:val="00DF3852"/>
    <w:rsid w:val="00DF38F3"/>
    <w:rsid w:val="00DF3A52"/>
    <w:rsid w:val="00DF3B9A"/>
    <w:rsid w:val="00DF3BE5"/>
    <w:rsid w:val="00DF3C04"/>
    <w:rsid w:val="00DF3CF6"/>
    <w:rsid w:val="00DF3E21"/>
    <w:rsid w:val="00DF3E2E"/>
    <w:rsid w:val="00DF3F9C"/>
    <w:rsid w:val="00DF3FF0"/>
    <w:rsid w:val="00DF41AA"/>
    <w:rsid w:val="00DF4238"/>
    <w:rsid w:val="00DF4257"/>
    <w:rsid w:val="00DF42AA"/>
    <w:rsid w:val="00DF4378"/>
    <w:rsid w:val="00DF44A3"/>
    <w:rsid w:val="00DF44BB"/>
    <w:rsid w:val="00DF46D1"/>
    <w:rsid w:val="00DF46D8"/>
    <w:rsid w:val="00DF46F4"/>
    <w:rsid w:val="00DF4705"/>
    <w:rsid w:val="00DF48E5"/>
    <w:rsid w:val="00DF493C"/>
    <w:rsid w:val="00DF4A01"/>
    <w:rsid w:val="00DF4A38"/>
    <w:rsid w:val="00DF4A66"/>
    <w:rsid w:val="00DF4BC6"/>
    <w:rsid w:val="00DF4BF6"/>
    <w:rsid w:val="00DF4C2B"/>
    <w:rsid w:val="00DF4C4C"/>
    <w:rsid w:val="00DF4C4E"/>
    <w:rsid w:val="00DF4D3C"/>
    <w:rsid w:val="00DF4DBD"/>
    <w:rsid w:val="00DF4F3A"/>
    <w:rsid w:val="00DF4FF8"/>
    <w:rsid w:val="00DF5008"/>
    <w:rsid w:val="00DF502F"/>
    <w:rsid w:val="00DF522E"/>
    <w:rsid w:val="00DF5296"/>
    <w:rsid w:val="00DF52BD"/>
    <w:rsid w:val="00DF52E2"/>
    <w:rsid w:val="00DF5328"/>
    <w:rsid w:val="00DF5359"/>
    <w:rsid w:val="00DF53B4"/>
    <w:rsid w:val="00DF552E"/>
    <w:rsid w:val="00DF55BD"/>
    <w:rsid w:val="00DF562D"/>
    <w:rsid w:val="00DF56D8"/>
    <w:rsid w:val="00DF572E"/>
    <w:rsid w:val="00DF5761"/>
    <w:rsid w:val="00DF5865"/>
    <w:rsid w:val="00DF5871"/>
    <w:rsid w:val="00DF58EF"/>
    <w:rsid w:val="00DF596C"/>
    <w:rsid w:val="00DF5A20"/>
    <w:rsid w:val="00DF5BBD"/>
    <w:rsid w:val="00DF5C1B"/>
    <w:rsid w:val="00DF5CB9"/>
    <w:rsid w:val="00DF5E43"/>
    <w:rsid w:val="00DF6009"/>
    <w:rsid w:val="00DF621B"/>
    <w:rsid w:val="00DF627A"/>
    <w:rsid w:val="00DF62DC"/>
    <w:rsid w:val="00DF6454"/>
    <w:rsid w:val="00DF6464"/>
    <w:rsid w:val="00DF646F"/>
    <w:rsid w:val="00DF648A"/>
    <w:rsid w:val="00DF6533"/>
    <w:rsid w:val="00DF6600"/>
    <w:rsid w:val="00DF6615"/>
    <w:rsid w:val="00DF663C"/>
    <w:rsid w:val="00DF66BC"/>
    <w:rsid w:val="00DF66C6"/>
    <w:rsid w:val="00DF66ED"/>
    <w:rsid w:val="00DF69CA"/>
    <w:rsid w:val="00DF6A12"/>
    <w:rsid w:val="00DF6A49"/>
    <w:rsid w:val="00DF6AA1"/>
    <w:rsid w:val="00DF6AEA"/>
    <w:rsid w:val="00DF6C47"/>
    <w:rsid w:val="00DF6D6D"/>
    <w:rsid w:val="00DF6DBD"/>
    <w:rsid w:val="00DF6E8C"/>
    <w:rsid w:val="00DF6E9F"/>
    <w:rsid w:val="00DF6EF5"/>
    <w:rsid w:val="00DF6FEF"/>
    <w:rsid w:val="00DF7070"/>
    <w:rsid w:val="00DF7086"/>
    <w:rsid w:val="00DF71B0"/>
    <w:rsid w:val="00DF7205"/>
    <w:rsid w:val="00DF7262"/>
    <w:rsid w:val="00DF72E3"/>
    <w:rsid w:val="00DF7365"/>
    <w:rsid w:val="00DF74FB"/>
    <w:rsid w:val="00DF7792"/>
    <w:rsid w:val="00DF782D"/>
    <w:rsid w:val="00DF79C2"/>
    <w:rsid w:val="00DF79E9"/>
    <w:rsid w:val="00DF7A21"/>
    <w:rsid w:val="00DF7A70"/>
    <w:rsid w:val="00DF7A71"/>
    <w:rsid w:val="00DF7B50"/>
    <w:rsid w:val="00DF7B5A"/>
    <w:rsid w:val="00DF7BA3"/>
    <w:rsid w:val="00DF7C96"/>
    <w:rsid w:val="00DF7CB2"/>
    <w:rsid w:val="00DF7CF2"/>
    <w:rsid w:val="00DF7D7E"/>
    <w:rsid w:val="00DF7E2A"/>
    <w:rsid w:val="00E0002F"/>
    <w:rsid w:val="00E001B8"/>
    <w:rsid w:val="00E001BF"/>
    <w:rsid w:val="00E00251"/>
    <w:rsid w:val="00E002C8"/>
    <w:rsid w:val="00E00365"/>
    <w:rsid w:val="00E00381"/>
    <w:rsid w:val="00E003FF"/>
    <w:rsid w:val="00E005EB"/>
    <w:rsid w:val="00E00737"/>
    <w:rsid w:val="00E007E5"/>
    <w:rsid w:val="00E00869"/>
    <w:rsid w:val="00E008AE"/>
    <w:rsid w:val="00E0093E"/>
    <w:rsid w:val="00E0094F"/>
    <w:rsid w:val="00E0097E"/>
    <w:rsid w:val="00E00B7C"/>
    <w:rsid w:val="00E00BDE"/>
    <w:rsid w:val="00E00C98"/>
    <w:rsid w:val="00E00D31"/>
    <w:rsid w:val="00E00DA0"/>
    <w:rsid w:val="00E00E11"/>
    <w:rsid w:val="00E010B2"/>
    <w:rsid w:val="00E0110D"/>
    <w:rsid w:val="00E01181"/>
    <w:rsid w:val="00E011B3"/>
    <w:rsid w:val="00E01218"/>
    <w:rsid w:val="00E014B7"/>
    <w:rsid w:val="00E0152E"/>
    <w:rsid w:val="00E01567"/>
    <w:rsid w:val="00E0156A"/>
    <w:rsid w:val="00E01598"/>
    <w:rsid w:val="00E01663"/>
    <w:rsid w:val="00E0179A"/>
    <w:rsid w:val="00E018D6"/>
    <w:rsid w:val="00E0192D"/>
    <w:rsid w:val="00E01936"/>
    <w:rsid w:val="00E01AA1"/>
    <w:rsid w:val="00E01BE5"/>
    <w:rsid w:val="00E01C4D"/>
    <w:rsid w:val="00E01DBD"/>
    <w:rsid w:val="00E01FB3"/>
    <w:rsid w:val="00E01FDF"/>
    <w:rsid w:val="00E02032"/>
    <w:rsid w:val="00E02052"/>
    <w:rsid w:val="00E02170"/>
    <w:rsid w:val="00E021BF"/>
    <w:rsid w:val="00E02211"/>
    <w:rsid w:val="00E022A6"/>
    <w:rsid w:val="00E02364"/>
    <w:rsid w:val="00E0238D"/>
    <w:rsid w:val="00E0247E"/>
    <w:rsid w:val="00E02680"/>
    <w:rsid w:val="00E0285C"/>
    <w:rsid w:val="00E02864"/>
    <w:rsid w:val="00E02872"/>
    <w:rsid w:val="00E028D7"/>
    <w:rsid w:val="00E028E7"/>
    <w:rsid w:val="00E02903"/>
    <w:rsid w:val="00E02A77"/>
    <w:rsid w:val="00E02B26"/>
    <w:rsid w:val="00E02B53"/>
    <w:rsid w:val="00E02B7F"/>
    <w:rsid w:val="00E02CEA"/>
    <w:rsid w:val="00E02D47"/>
    <w:rsid w:val="00E02D74"/>
    <w:rsid w:val="00E02D80"/>
    <w:rsid w:val="00E02DC5"/>
    <w:rsid w:val="00E02EEB"/>
    <w:rsid w:val="00E030E4"/>
    <w:rsid w:val="00E03143"/>
    <w:rsid w:val="00E031CB"/>
    <w:rsid w:val="00E0325B"/>
    <w:rsid w:val="00E0325E"/>
    <w:rsid w:val="00E0331C"/>
    <w:rsid w:val="00E0357A"/>
    <w:rsid w:val="00E037C9"/>
    <w:rsid w:val="00E03818"/>
    <w:rsid w:val="00E0388B"/>
    <w:rsid w:val="00E038B2"/>
    <w:rsid w:val="00E038C2"/>
    <w:rsid w:val="00E0393A"/>
    <w:rsid w:val="00E03967"/>
    <w:rsid w:val="00E03AB3"/>
    <w:rsid w:val="00E03AE3"/>
    <w:rsid w:val="00E03B39"/>
    <w:rsid w:val="00E03C1B"/>
    <w:rsid w:val="00E03C29"/>
    <w:rsid w:val="00E03CF3"/>
    <w:rsid w:val="00E03E9C"/>
    <w:rsid w:val="00E0424D"/>
    <w:rsid w:val="00E043F2"/>
    <w:rsid w:val="00E04473"/>
    <w:rsid w:val="00E044F0"/>
    <w:rsid w:val="00E047AB"/>
    <w:rsid w:val="00E047E4"/>
    <w:rsid w:val="00E04809"/>
    <w:rsid w:val="00E0492A"/>
    <w:rsid w:val="00E04AD8"/>
    <w:rsid w:val="00E04B13"/>
    <w:rsid w:val="00E04B2C"/>
    <w:rsid w:val="00E04B61"/>
    <w:rsid w:val="00E04C28"/>
    <w:rsid w:val="00E04C88"/>
    <w:rsid w:val="00E04D6A"/>
    <w:rsid w:val="00E04D76"/>
    <w:rsid w:val="00E04E49"/>
    <w:rsid w:val="00E04EB1"/>
    <w:rsid w:val="00E04FC9"/>
    <w:rsid w:val="00E05000"/>
    <w:rsid w:val="00E05086"/>
    <w:rsid w:val="00E0516F"/>
    <w:rsid w:val="00E0519F"/>
    <w:rsid w:val="00E051AC"/>
    <w:rsid w:val="00E051F8"/>
    <w:rsid w:val="00E05494"/>
    <w:rsid w:val="00E054C0"/>
    <w:rsid w:val="00E05538"/>
    <w:rsid w:val="00E05580"/>
    <w:rsid w:val="00E05586"/>
    <w:rsid w:val="00E05805"/>
    <w:rsid w:val="00E058A8"/>
    <w:rsid w:val="00E05976"/>
    <w:rsid w:val="00E059B9"/>
    <w:rsid w:val="00E05A5E"/>
    <w:rsid w:val="00E05BC9"/>
    <w:rsid w:val="00E05D53"/>
    <w:rsid w:val="00E05EC7"/>
    <w:rsid w:val="00E05F81"/>
    <w:rsid w:val="00E060F0"/>
    <w:rsid w:val="00E06149"/>
    <w:rsid w:val="00E06168"/>
    <w:rsid w:val="00E06170"/>
    <w:rsid w:val="00E06219"/>
    <w:rsid w:val="00E06314"/>
    <w:rsid w:val="00E0631C"/>
    <w:rsid w:val="00E0638C"/>
    <w:rsid w:val="00E063DE"/>
    <w:rsid w:val="00E0645B"/>
    <w:rsid w:val="00E06568"/>
    <w:rsid w:val="00E06593"/>
    <w:rsid w:val="00E06678"/>
    <w:rsid w:val="00E06710"/>
    <w:rsid w:val="00E0679B"/>
    <w:rsid w:val="00E067B4"/>
    <w:rsid w:val="00E069F6"/>
    <w:rsid w:val="00E06A20"/>
    <w:rsid w:val="00E06AA2"/>
    <w:rsid w:val="00E06BC9"/>
    <w:rsid w:val="00E06CFD"/>
    <w:rsid w:val="00E06EE2"/>
    <w:rsid w:val="00E0703F"/>
    <w:rsid w:val="00E07043"/>
    <w:rsid w:val="00E07047"/>
    <w:rsid w:val="00E07090"/>
    <w:rsid w:val="00E070BF"/>
    <w:rsid w:val="00E070DE"/>
    <w:rsid w:val="00E07133"/>
    <w:rsid w:val="00E0718E"/>
    <w:rsid w:val="00E071D4"/>
    <w:rsid w:val="00E07237"/>
    <w:rsid w:val="00E073BB"/>
    <w:rsid w:val="00E073E1"/>
    <w:rsid w:val="00E074BC"/>
    <w:rsid w:val="00E0752E"/>
    <w:rsid w:val="00E07649"/>
    <w:rsid w:val="00E076E2"/>
    <w:rsid w:val="00E07709"/>
    <w:rsid w:val="00E0773E"/>
    <w:rsid w:val="00E077C5"/>
    <w:rsid w:val="00E078AE"/>
    <w:rsid w:val="00E078BA"/>
    <w:rsid w:val="00E07911"/>
    <w:rsid w:val="00E07B7A"/>
    <w:rsid w:val="00E07BB1"/>
    <w:rsid w:val="00E07C1F"/>
    <w:rsid w:val="00E07C27"/>
    <w:rsid w:val="00E07C7A"/>
    <w:rsid w:val="00E07E17"/>
    <w:rsid w:val="00E07E8A"/>
    <w:rsid w:val="00E07EF2"/>
    <w:rsid w:val="00E07F2C"/>
    <w:rsid w:val="00E10023"/>
    <w:rsid w:val="00E10063"/>
    <w:rsid w:val="00E10139"/>
    <w:rsid w:val="00E102A5"/>
    <w:rsid w:val="00E102EF"/>
    <w:rsid w:val="00E10302"/>
    <w:rsid w:val="00E1039D"/>
    <w:rsid w:val="00E10524"/>
    <w:rsid w:val="00E10549"/>
    <w:rsid w:val="00E105DA"/>
    <w:rsid w:val="00E10646"/>
    <w:rsid w:val="00E107E4"/>
    <w:rsid w:val="00E107F1"/>
    <w:rsid w:val="00E108CF"/>
    <w:rsid w:val="00E10AA2"/>
    <w:rsid w:val="00E10C34"/>
    <w:rsid w:val="00E10D4E"/>
    <w:rsid w:val="00E10D80"/>
    <w:rsid w:val="00E10F5D"/>
    <w:rsid w:val="00E10F6B"/>
    <w:rsid w:val="00E10FC8"/>
    <w:rsid w:val="00E110CD"/>
    <w:rsid w:val="00E110E4"/>
    <w:rsid w:val="00E113CA"/>
    <w:rsid w:val="00E114AA"/>
    <w:rsid w:val="00E11617"/>
    <w:rsid w:val="00E116F4"/>
    <w:rsid w:val="00E11765"/>
    <w:rsid w:val="00E117B0"/>
    <w:rsid w:val="00E1180A"/>
    <w:rsid w:val="00E11A03"/>
    <w:rsid w:val="00E11E79"/>
    <w:rsid w:val="00E11E7C"/>
    <w:rsid w:val="00E11ECC"/>
    <w:rsid w:val="00E11FA9"/>
    <w:rsid w:val="00E12063"/>
    <w:rsid w:val="00E120D4"/>
    <w:rsid w:val="00E121C0"/>
    <w:rsid w:val="00E122F1"/>
    <w:rsid w:val="00E12479"/>
    <w:rsid w:val="00E12485"/>
    <w:rsid w:val="00E12492"/>
    <w:rsid w:val="00E125FC"/>
    <w:rsid w:val="00E12732"/>
    <w:rsid w:val="00E127D9"/>
    <w:rsid w:val="00E12820"/>
    <w:rsid w:val="00E12827"/>
    <w:rsid w:val="00E12881"/>
    <w:rsid w:val="00E128BA"/>
    <w:rsid w:val="00E128D0"/>
    <w:rsid w:val="00E129D2"/>
    <w:rsid w:val="00E129F3"/>
    <w:rsid w:val="00E12A23"/>
    <w:rsid w:val="00E12A64"/>
    <w:rsid w:val="00E12AFF"/>
    <w:rsid w:val="00E12DC7"/>
    <w:rsid w:val="00E12E47"/>
    <w:rsid w:val="00E13104"/>
    <w:rsid w:val="00E13191"/>
    <w:rsid w:val="00E131CA"/>
    <w:rsid w:val="00E13240"/>
    <w:rsid w:val="00E132D6"/>
    <w:rsid w:val="00E13301"/>
    <w:rsid w:val="00E133B3"/>
    <w:rsid w:val="00E134A3"/>
    <w:rsid w:val="00E13507"/>
    <w:rsid w:val="00E1369C"/>
    <w:rsid w:val="00E136A7"/>
    <w:rsid w:val="00E137A3"/>
    <w:rsid w:val="00E1382F"/>
    <w:rsid w:val="00E13835"/>
    <w:rsid w:val="00E13946"/>
    <w:rsid w:val="00E13B26"/>
    <w:rsid w:val="00E13E04"/>
    <w:rsid w:val="00E13F04"/>
    <w:rsid w:val="00E14029"/>
    <w:rsid w:val="00E1406B"/>
    <w:rsid w:val="00E14085"/>
    <w:rsid w:val="00E1412B"/>
    <w:rsid w:val="00E141A8"/>
    <w:rsid w:val="00E14384"/>
    <w:rsid w:val="00E1439B"/>
    <w:rsid w:val="00E1439F"/>
    <w:rsid w:val="00E14559"/>
    <w:rsid w:val="00E145F8"/>
    <w:rsid w:val="00E1467F"/>
    <w:rsid w:val="00E147F3"/>
    <w:rsid w:val="00E14890"/>
    <w:rsid w:val="00E148AF"/>
    <w:rsid w:val="00E149F5"/>
    <w:rsid w:val="00E149FC"/>
    <w:rsid w:val="00E14AE0"/>
    <w:rsid w:val="00E14B19"/>
    <w:rsid w:val="00E14B70"/>
    <w:rsid w:val="00E14BFC"/>
    <w:rsid w:val="00E14DAC"/>
    <w:rsid w:val="00E14DEE"/>
    <w:rsid w:val="00E14E47"/>
    <w:rsid w:val="00E14FE8"/>
    <w:rsid w:val="00E1506D"/>
    <w:rsid w:val="00E150C0"/>
    <w:rsid w:val="00E1519C"/>
    <w:rsid w:val="00E15394"/>
    <w:rsid w:val="00E154DD"/>
    <w:rsid w:val="00E15560"/>
    <w:rsid w:val="00E15571"/>
    <w:rsid w:val="00E155A4"/>
    <w:rsid w:val="00E155B2"/>
    <w:rsid w:val="00E15773"/>
    <w:rsid w:val="00E15791"/>
    <w:rsid w:val="00E1580D"/>
    <w:rsid w:val="00E15841"/>
    <w:rsid w:val="00E15847"/>
    <w:rsid w:val="00E159A3"/>
    <w:rsid w:val="00E15A3B"/>
    <w:rsid w:val="00E15B27"/>
    <w:rsid w:val="00E15C3C"/>
    <w:rsid w:val="00E15C93"/>
    <w:rsid w:val="00E15CC0"/>
    <w:rsid w:val="00E15D5F"/>
    <w:rsid w:val="00E15DC1"/>
    <w:rsid w:val="00E15E86"/>
    <w:rsid w:val="00E15F91"/>
    <w:rsid w:val="00E15FAD"/>
    <w:rsid w:val="00E16052"/>
    <w:rsid w:val="00E16095"/>
    <w:rsid w:val="00E1610E"/>
    <w:rsid w:val="00E16399"/>
    <w:rsid w:val="00E163E8"/>
    <w:rsid w:val="00E164A0"/>
    <w:rsid w:val="00E165DB"/>
    <w:rsid w:val="00E16737"/>
    <w:rsid w:val="00E16AFC"/>
    <w:rsid w:val="00E16B31"/>
    <w:rsid w:val="00E16B3D"/>
    <w:rsid w:val="00E16C3B"/>
    <w:rsid w:val="00E16C9E"/>
    <w:rsid w:val="00E16CB3"/>
    <w:rsid w:val="00E16CFA"/>
    <w:rsid w:val="00E16DCA"/>
    <w:rsid w:val="00E16FAB"/>
    <w:rsid w:val="00E16FCB"/>
    <w:rsid w:val="00E171E9"/>
    <w:rsid w:val="00E17296"/>
    <w:rsid w:val="00E172D7"/>
    <w:rsid w:val="00E17409"/>
    <w:rsid w:val="00E17416"/>
    <w:rsid w:val="00E17438"/>
    <w:rsid w:val="00E17469"/>
    <w:rsid w:val="00E174E6"/>
    <w:rsid w:val="00E175D2"/>
    <w:rsid w:val="00E176AF"/>
    <w:rsid w:val="00E176D4"/>
    <w:rsid w:val="00E1784C"/>
    <w:rsid w:val="00E178A2"/>
    <w:rsid w:val="00E178B4"/>
    <w:rsid w:val="00E17992"/>
    <w:rsid w:val="00E17A42"/>
    <w:rsid w:val="00E17B97"/>
    <w:rsid w:val="00E17E0B"/>
    <w:rsid w:val="00E17FED"/>
    <w:rsid w:val="00E200D0"/>
    <w:rsid w:val="00E2026B"/>
    <w:rsid w:val="00E202DF"/>
    <w:rsid w:val="00E20317"/>
    <w:rsid w:val="00E20403"/>
    <w:rsid w:val="00E20506"/>
    <w:rsid w:val="00E20601"/>
    <w:rsid w:val="00E2060E"/>
    <w:rsid w:val="00E20619"/>
    <w:rsid w:val="00E20685"/>
    <w:rsid w:val="00E206A8"/>
    <w:rsid w:val="00E206BC"/>
    <w:rsid w:val="00E206ED"/>
    <w:rsid w:val="00E2079C"/>
    <w:rsid w:val="00E20864"/>
    <w:rsid w:val="00E208A6"/>
    <w:rsid w:val="00E209C8"/>
    <w:rsid w:val="00E20A46"/>
    <w:rsid w:val="00E20A6E"/>
    <w:rsid w:val="00E20A7C"/>
    <w:rsid w:val="00E20A9F"/>
    <w:rsid w:val="00E20B18"/>
    <w:rsid w:val="00E20B1F"/>
    <w:rsid w:val="00E20B46"/>
    <w:rsid w:val="00E20B47"/>
    <w:rsid w:val="00E20BA8"/>
    <w:rsid w:val="00E20CF3"/>
    <w:rsid w:val="00E20D07"/>
    <w:rsid w:val="00E20DAB"/>
    <w:rsid w:val="00E20E24"/>
    <w:rsid w:val="00E20E3F"/>
    <w:rsid w:val="00E20EA3"/>
    <w:rsid w:val="00E20EC8"/>
    <w:rsid w:val="00E21194"/>
    <w:rsid w:val="00E211C1"/>
    <w:rsid w:val="00E21225"/>
    <w:rsid w:val="00E212F2"/>
    <w:rsid w:val="00E212FF"/>
    <w:rsid w:val="00E21315"/>
    <w:rsid w:val="00E21366"/>
    <w:rsid w:val="00E213FA"/>
    <w:rsid w:val="00E21493"/>
    <w:rsid w:val="00E214A5"/>
    <w:rsid w:val="00E214BA"/>
    <w:rsid w:val="00E2165B"/>
    <w:rsid w:val="00E21989"/>
    <w:rsid w:val="00E21A30"/>
    <w:rsid w:val="00E21B09"/>
    <w:rsid w:val="00E21B0A"/>
    <w:rsid w:val="00E21BC7"/>
    <w:rsid w:val="00E21C87"/>
    <w:rsid w:val="00E21D27"/>
    <w:rsid w:val="00E21D31"/>
    <w:rsid w:val="00E21DB4"/>
    <w:rsid w:val="00E21FBD"/>
    <w:rsid w:val="00E22016"/>
    <w:rsid w:val="00E22039"/>
    <w:rsid w:val="00E22120"/>
    <w:rsid w:val="00E2218F"/>
    <w:rsid w:val="00E22203"/>
    <w:rsid w:val="00E222B6"/>
    <w:rsid w:val="00E22301"/>
    <w:rsid w:val="00E223EC"/>
    <w:rsid w:val="00E224AC"/>
    <w:rsid w:val="00E225F0"/>
    <w:rsid w:val="00E22668"/>
    <w:rsid w:val="00E22867"/>
    <w:rsid w:val="00E2288E"/>
    <w:rsid w:val="00E229A6"/>
    <w:rsid w:val="00E229ED"/>
    <w:rsid w:val="00E22A21"/>
    <w:rsid w:val="00E22A3E"/>
    <w:rsid w:val="00E22A44"/>
    <w:rsid w:val="00E22C3E"/>
    <w:rsid w:val="00E22C70"/>
    <w:rsid w:val="00E22CDB"/>
    <w:rsid w:val="00E22E18"/>
    <w:rsid w:val="00E22E3A"/>
    <w:rsid w:val="00E22E3B"/>
    <w:rsid w:val="00E22F5D"/>
    <w:rsid w:val="00E23065"/>
    <w:rsid w:val="00E23194"/>
    <w:rsid w:val="00E231AE"/>
    <w:rsid w:val="00E231B3"/>
    <w:rsid w:val="00E23613"/>
    <w:rsid w:val="00E23691"/>
    <w:rsid w:val="00E236B6"/>
    <w:rsid w:val="00E236C6"/>
    <w:rsid w:val="00E236EF"/>
    <w:rsid w:val="00E23701"/>
    <w:rsid w:val="00E23770"/>
    <w:rsid w:val="00E2378E"/>
    <w:rsid w:val="00E23798"/>
    <w:rsid w:val="00E237A1"/>
    <w:rsid w:val="00E23914"/>
    <w:rsid w:val="00E2392E"/>
    <w:rsid w:val="00E23B4E"/>
    <w:rsid w:val="00E23B80"/>
    <w:rsid w:val="00E23B9C"/>
    <w:rsid w:val="00E23C8E"/>
    <w:rsid w:val="00E23DDF"/>
    <w:rsid w:val="00E2405B"/>
    <w:rsid w:val="00E24320"/>
    <w:rsid w:val="00E2435D"/>
    <w:rsid w:val="00E24591"/>
    <w:rsid w:val="00E245B8"/>
    <w:rsid w:val="00E245BB"/>
    <w:rsid w:val="00E2467C"/>
    <w:rsid w:val="00E246EA"/>
    <w:rsid w:val="00E247A2"/>
    <w:rsid w:val="00E248BA"/>
    <w:rsid w:val="00E2491D"/>
    <w:rsid w:val="00E24929"/>
    <w:rsid w:val="00E249AA"/>
    <w:rsid w:val="00E249F9"/>
    <w:rsid w:val="00E24A5A"/>
    <w:rsid w:val="00E24AD6"/>
    <w:rsid w:val="00E24B57"/>
    <w:rsid w:val="00E24B6E"/>
    <w:rsid w:val="00E24C36"/>
    <w:rsid w:val="00E24C50"/>
    <w:rsid w:val="00E24FB6"/>
    <w:rsid w:val="00E250B8"/>
    <w:rsid w:val="00E251E5"/>
    <w:rsid w:val="00E2539A"/>
    <w:rsid w:val="00E255DF"/>
    <w:rsid w:val="00E25609"/>
    <w:rsid w:val="00E256B4"/>
    <w:rsid w:val="00E257EA"/>
    <w:rsid w:val="00E2581B"/>
    <w:rsid w:val="00E25A17"/>
    <w:rsid w:val="00E25AEB"/>
    <w:rsid w:val="00E25B26"/>
    <w:rsid w:val="00E25B7B"/>
    <w:rsid w:val="00E25B85"/>
    <w:rsid w:val="00E25BBA"/>
    <w:rsid w:val="00E25C4F"/>
    <w:rsid w:val="00E25C6D"/>
    <w:rsid w:val="00E25CE8"/>
    <w:rsid w:val="00E25FCE"/>
    <w:rsid w:val="00E26103"/>
    <w:rsid w:val="00E26490"/>
    <w:rsid w:val="00E264A3"/>
    <w:rsid w:val="00E264DD"/>
    <w:rsid w:val="00E26548"/>
    <w:rsid w:val="00E2681A"/>
    <w:rsid w:val="00E2682C"/>
    <w:rsid w:val="00E268CF"/>
    <w:rsid w:val="00E26926"/>
    <w:rsid w:val="00E26B58"/>
    <w:rsid w:val="00E26BE4"/>
    <w:rsid w:val="00E26BED"/>
    <w:rsid w:val="00E26BFC"/>
    <w:rsid w:val="00E26D45"/>
    <w:rsid w:val="00E26D50"/>
    <w:rsid w:val="00E26DBA"/>
    <w:rsid w:val="00E26DC3"/>
    <w:rsid w:val="00E26E07"/>
    <w:rsid w:val="00E26F0C"/>
    <w:rsid w:val="00E26F39"/>
    <w:rsid w:val="00E26F95"/>
    <w:rsid w:val="00E26F98"/>
    <w:rsid w:val="00E26F9D"/>
    <w:rsid w:val="00E26FE6"/>
    <w:rsid w:val="00E27064"/>
    <w:rsid w:val="00E27193"/>
    <w:rsid w:val="00E27336"/>
    <w:rsid w:val="00E2733D"/>
    <w:rsid w:val="00E276D9"/>
    <w:rsid w:val="00E277B6"/>
    <w:rsid w:val="00E27869"/>
    <w:rsid w:val="00E278C5"/>
    <w:rsid w:val="00E27932"/>
    <w:rsid w:val="00E2793B"/>
    <w:rsid w:val="00E279C0"/>
    <w:rsid w:val="00E279C2"/>
    <w:rsid w:val="00E27A66"/>
    <w:rsid w:val="00E27A77"/>
    <w:rsid w:val="00E27ACA"/>
    <w:rsid w:val="00E27B05"/>
    <w:rsid w:val="00E27B1C"/>
    <w:rsid w:val="00E27C36"/>
    <w:rsid w:val="00E27D1D"/>
    <w:rsid w:val="00E27EA9"/>
    <w:rsid w:val="00E27EBE"/>
    <w:rsid w:val="00E27FA9"/>
    <w:rsid w:val="00E27FDF"/>
    <w:rsid w:val="00E3007F"/>
    <w:rsid w:val="00E30126"/>
    <w:rsid w:val="00E301D2"/>
    <w:rsid w:val="00E30217"/>
    <w:rsid w:val="00E30365"/>
    <w:rsid w:val="00E3038A"/>
    <w:rsid w:val="00E303A5"/>
    <w:rsid w:val="00E303BC"/>
    <w:rsid w:val="00E303DA"/>
    <w:rsid w:val="00E3040B"/>
    <w:rsid w:val="00E30746"/>
    <w:rsid w:val="00E30809"/>
    <w:rsid w:val="00E30832"/>
    <w:rsid w:val="00E308BC"/>
    <w:rsid w:val="00E30A05"/>
    <w:rsid w:val="00E30B27"/>
    <w:rsid w:val="00E30FB6"/>
    <w:rsid w:val="00E31124"/>
    <w:rsid w:val="00E3113B"/>
    <w:rsid w:val="00E311AE"/>
    <w:rsid w:val="00E311D2"/>
    <w:rsid w:val="00E31297"/>
    <w:rsid w:val="00E31326"/>
    <w:rsid w:val="00E31342"/>
    <w:rsid w:val="00E313E4"/>
    <w:rsid w:val="00E3145D"/>
    <w:rsid w:val="00E314CC"/>
    <w:rsid w:val="00E31512"/>
    <w:rsid w:val="00E3151F"/>
    <w:rsid w:val="00E3182D"/>
    <w:rsid w:val="00E31888"/>
    <w:rsid w:val="00E318E9"/>
    <w:rsid w:val="00E3193F"/>
    <w:rsid w:val="00E319CE"/>
    <w:rsid w:val="00E31A4D"/>
    <w:rsid w:val="00E31A5D"/>
    <w:rsid w:val="00E31A97"/>
    <w:rsid w:val="00E31AA6"/>
    <w:rsid w:val="00E31AB6"/>
    <w:rsid w:val="00E31BD8"/>
    <w:rsid w:val="00E31BFA"/>
    <w:rsid w:val="00E31CC1"/>
    <w:rsid w:val="00E31D8D"/>
    <w:rsid w:val="00E31ED0"/>
    <w:rsid w:val="00E31F52"/>
    <w:rsid w:val="00E31F5A"/>
    <w:rsid w:val="00E32087"/>
    <w:rsid w:val="00E320EC"/>
    <w:rsid w:val="00E3210B"/>
    <w:rsid w:val="00E322B8"/>
    <w:rsid w:val="00E32319"/>
    <w:rsid w:val="00E323BB"/>
    <w:rsid w:val="00E32403"/>
    <w:rsid w:val="00E32693"/>
    <w:rsid w:val="00E32766"/>
    <w:rsid w:val="00E3282F"/>
    <w:rsid w:val="00E32ACB"/>
    <w:rsid w:val="00E32BDD"/>
    <w:rsid w:val="00E32C0E"/>
    <w:rsid w:val="00E32CD0"/>
    <w:rsid w:val="00E32CEF"/>
    <w:rsid w:val="00E32DA3"/>
    <w:rsid w:val="00E32E44"/>
    <w:rsid w:val="00E32E93"/>
    <w:rsid w:val="00E3308A"/>
    <w:rsid w:val="00E330EA"/>
    <w:rsid w:val="00E330EE"/>
    <w:rsid w:val="00E33109"/>
    <w:rsid w:val="00E33240"/>
    <w:rsid w:val="00E333EE"/>
    <w:rsid w:val="00E334FB"/>
    <w:rsid w:val="00E33523"/>
    <w:rsid w:val="00E3355F"/>
    <w:rsid w:val="00E33629"/>
    <w:rsid w:val="00E33695"/>
    <w:rsid w:val="00E336A1"/>
    <w:rsid w:val="00E336B3"/>
    <w:rsid w:val="00E336DE"/>
    <w:rsid w:val="00E3384A"/>
    <w:rsid w:val="00E33DAB"/>
    <w:rsid w:val="00E33FA9"/>
    <w:rsid w:val="00E33FAD"/>
    <w:rsid w:val="00E3409D"/>
    <w:rsid w:val="00E340BF"/>
    <w:rsid w:val="00E342AD"/>
    <w:rsid w:val="00E342F6"/>
    <w:rsid w:val="00E34405"/>
    <w:rsid w:val="00E344B8"/>
    <w:rsid w:val="00E34688"/>
    <w:rsid w:val="00E34696"/>
    <w:rsid w:val="00E348E3"/>
    <w:rsid w:val="00E34A20"/>
    <w:rsid w:val="00E34A4F"/>
    <w:rsid w:val="00E34BE8"/>
    <w:rsid w:val="00E34C92"/>
    <w:rsid w:val="00E34C96"/>
    <w:rsid w:val="00E34CFA"/>
    <w:rsid w:val="00E34D37"/>
    <w:rsid w:val="00E34FFA"/>
    <w:rsid w:val="00E350F4"/>
    <w:rsid w:val="00E35142"/>
    <w:rsid w:val="00E3532B"/>
    <w:rsid w:val="00E3542A"/>
    <w:rsid w:val="00E35468"/>
    <w:rsid w:val="00E356A3"/>
    <w:rsid w:val="00E356B2"/>
    <w:rsid w:val="00E35723"/>
    <w:rsid w:val="00E35742"/>
    <w:rsid w:val="00E357A7"/>
    <w:rsid w:val="00E3587B"/>
    <w:rsid w:val="00E3592F"/>
    <w:rsid w:val="00E35A7F"/>
    <w:rsid w:val="00E35AA4"/>
    <w:rsid w:val="00E35BE5"/>
    <w:rsid w:val="00E35C0D"/>
    <w:rsid w:val="00E35D95"/>
    <w:rsid w:val="00E35E3C"/>
    <w:rsid w:val="00E35EBD"/>
    <w:rsid w:val="00E36046"/>
    <w:rsid w:val="00E36115"/>
    <w:rsid w:val="00E361B9"/>
    <w:rsid w:val="00E36291"/>
    <w:rsid w:val="00E363FB"/>
    <w:rsid w:val="00E3645F"/>
    <w:rsid w:val="00E364E9"/>
    <w:rsid w:val="00E36579"/>
    <w:rsid w:val="00E365D6"/>
    <w:rsid w:val="00E36635"/>
    <w:rsid w:val="00E366B1"/>
    <w:rsid w:val="00E366CC"/>
    <w:rsid w:val="00E36741"/>
    <w:rsid w:val="00E36750"/>
    <w:rsid w:val="00E3680C"/>
    <w:rsid w:val="00E36839"/>
    <w:rsid w:val="00E3684C"/>
    <w:rsid w:val="00E36922"/>
    <w:rsid w:val="00E36A0B"/>
    <w:rsid w:val="00E36B66"/>
    <w:rsid w:val="00E36B68"/>
    <w:rsid w:val="00E36BDF"/>
    <w:rsid w:val="00E36D20"/>
    <w:rsid w:val="00E36D42"/>
    <w:rsid w:val="00E36DAB"/>
    <w:rsid w:val="00E36E2D"/>
    <w:rsid w:val="00E36EFD"/>
    <w:rsid w:val="00E36F82"/>
    <w:rsid w:val="00E37050"/>
    <w:rsid w:val="00E3706E"/>
    <w:rsid w:val="00E37221"/>
    <w:rsid w:val="00E372B8"/>
    <w:rsid w:val="00E372B9"/>
    <w:rsid w:val="00E372F8"/>
    <w:rsid w:val="00E37382"/>
    <w:rsid w:val="00E37403"/>
    <w:rsid w:val="00E37421"/>
    <w:rsid w:val="00E3752D"/>
    <w:rsid w:val="00E376CC"/>
    <w:rsid w:val="00E37746"/>
    <w:rsid w:val="00E3781A"/>
    <w:rsid w:val="00E378F2"/>
    <w:rsid w:val="00E37B87"/>
    <w:rsid w:val="00E37B9E"/>
    <w:rsid w:val="00E37BD5"/>
    <w:rsid w:val="00E37BDF"/>
    <w:rsid w:val="00E37C20"/>
    <w:rsid w:val="00E37C3A"/>
    <w:rsid w:val="00E37CB3"/>
    <w:rsid w:val="00E37CC0"/>
    <w:rsid w:val="00E37CE2"/>
    <w:rsid w:val="00E37CF7"/>
    <w:rsid w:val="00E37D25"/>
    <w:rsid w:val="00E37DA1"/>
    <w:rsid w:val="00E37E90"/>
    <w:rsid w:val="00E37F21"/>
    <w:rsid w:val="00E37F49"/>
    <w:rsid w:val="00E37F88"/>
    <w:rsid w:val="00E37FA4"/>
    <w:rsid w:val="00E40074"/>
    <w:rsid w:val="00E400C8"/>
    <w:rsid w:val="00E400F0"/>
    <w:rsid w:val="00E40118"/>
    <w:rsid w:val="00E40260"/>
    <w:rsid w:val="00E404B8"/>
    <w:rsid w:val="00E40567"/>
    <w:rsid w:val="00E4062C"/>
    <w:rsid w:val="00E4063A"/>
    <w:rsid w:val="00E406EF"/>
    <w:rsid w:val="00E40753"/>
    <w:rsid w:val="00E4076B"/>
    <w:rsid w:val="00E4079C"/>
    <w:rsid w:val="00E407EC"/>
    <w:rsid w:val="00E407FD"/>
    <w:rsid w:val="00E4083E"/>
    <w:rsid w:val="00E40842"/>
    <w:rsid w:val="00E408B2"/>
    <w:rsid w:val="00E4096D"/>
    <w:rsid w:val="00E40A66"/>
    <w:rsid w:val="00E40C35"/>
    <w:rsid w:val="00E40CAA"/>
    <w:rsid w:val="00E40D2A"/>
    <w:rsid w:val="00E40D35"/>
    <w:rsid w:val="00E40D62"/>
    <w:rsid w:val="00E40DB3"/>
    <w:rsid w:val="00E40E51"/>
    <w:rsid w:val="00E41027"/>
    <w:rsid w:val="00E410CE"/>
    <w:rsid w:val="00E4118B"/>
    <w:rsid w:val="00E4119E"/>
    <w:rsid w:val="00E4121A"/>
    <w:rsid w:val="00E4128D"/>
    <w:rsid w:val="00E41557"/>
    <w:rsid w:val="00E416FB"/>
    <w:rsid w:val="00E41731"/>
    <w:rsid w:val="00E41732"/>
    <w:rsid w:val="00E4173E"/>
    <w:rsid w:val="00E41799"/>
    <w:rsid w:val="00E41925"/>
    <w:rsid w:val="00E41985"/>
    <w:rsid w:val="00E4198C"/>
    <w:rsid w:val="00E419AD"/>
    <w:rsid w:val="00E41AD0"/>
    <w:rsid w:val="00E41C41"/>
    <w:rsid w:val="00E41C7F"/>
    <w:rsid w:val="00E41E91"/>
    <w:rsid w:val="00E41EAD"/>
    <w:rsid w:val="00E41F38"/>
    <w:rsid w:val="00E41FA9"/>
    <w:rsid w:val="00E4203E"/>
    <w:rsid w:val="00E421AB"/>
    <w:rsid w:val="00E424B6"/>
    <w:rsid w:val="00E424C4"/>
    <w:rsid w:val="00E426DF"/>
    <w:rsid w:val="00E42BEF"/>
    <w:rsid w:val="00E42C4D"/>
    <w:rsid w:val="00E42D92"/>
    <w:rsid w:val="00E42DB8"/>
    <w:rsid w:val="00E42F4A"/>
    <w:rsid w:val="00E42FA1"/>
    <w:rsid w:val="00E43106"/>
    <w:rsid w:val="00E43255"/>
    <w:rsid w:val="00E43266"/>
    <w:rsid w:val="00E434B4"/>
    <w:rsid w:val="00E4351C"/>
    <w:rsid w:val="00E435AC"/>
    <w:rsid w:val="00E435ED"/>
    <w:rsid w:val="00E435FD"/>
    <w:rsid w:val="00E4366D"/>
    <w:rsid w:val="00E436AE"/>
    <w:rsid w:val="00E436DE"/>
    <w:rsid w:val="00E43798"/>
    <w:rsid w:val="00E439E2"/>
    <w:rsid w:val="00E439F2"/>
    <w:rsid w:val="00E43A6B"/>
    <w:rsid w:val="00E43BA4"/>
    <w:rsid w:val="00E43BFD"/>
    <w:rsid w:val="00E43D18"/>
    <w:rsid w:val="00E43DFD"/>
    <w:rsid w:val="00E43EA6"/>
    <w:rsid w:val="00E43F83"/>
    <w:rsid w:val="00E44135"/>
    <w:rsid w:val="00E44283"/>
    <w:rsid w:val="00E44342"/>
    <w:rsid w:val="00E443D5"/>
    <w:rsid w:val="00E44492"/>
    <w:rsid w:val="00E44669"/>
    <w:rsid w:val="00E446E6"/>
    <w:rsid w:val="00E44745"/>
    <w:rsid w:val="00E44798"/>
    <w:rsid w:val="00E4479A"/>
    <w:rsid w:val="00E44955"/>
    <w:rsid w:val="00E449FD"/>
    <w:rsid w:val="00E44A24"/>
    <w:rsid w:val="00E44A54"/>
    <w:rsid w:val="00E44AA7"/>
    <w:rsid w:val="00E44B5B"/>
    <w:rsid w:val="00E44B77"/>
    <w:rsid w:val="00E44B9D"/>
    <w:rsid w:val="00E44BE3"/>
    <w:rsid w:val="00E44CB1"/>
    <w:rsid w:val="00E44CE4"/>
    <w:rsid w:val="00E44D14"/>
    <w:rsid w:val="00E44D2D"/>
    <w:rsid w:val="00E450B3"/>
    <w:rsid w:val="00E45253"/>
    <w:rsid w:val="00E452DB"/>
    <w:rsid w:val="00E4533D"/>
    <w:rsid w:val="00E45668"/>
    <w:rsid w:val="00E45760"/>
    <w:rsid w:val="00E458EC"/>
    <w:rsid w:val="00E4593D"/>
    <w:rsid w:val="00E45986"/>
    <w:rsid w:val="00E459AC"/>
    <w:rsid w:val="00E45A3B"/>
    <w:rsid w:val="00E45AF0"/>
    <w:rsid w:val="00E45C02"/>
    <w:rsid w:val="00E45C37"/>
    <w:rsid w:val="00E45D00"/>
    <w:rsid w:val="00E45DF2"/>
    <w:rsid w:val="00E45E36"/>
    <w:rsid w:val="00E45F67"/>
    <w:rsid w:val="00E45FDF"/>
    <w:rsid w:val="00E4600C"/>
    <w:rsid w:val="00E462F1"/>
    <w:rsid w:val="00E4630D"/>
    <w:rsid w:val="00E464C8"/>
    <w:rsid w:val="00E4650E"/>
    <w:rsid w:val="00E4656C"/>
    <w:rsid w:val="00E465C9"/>
    <w:rsid w:val="00E466FC"/>
    <w:rsid w:val="00E46776"/>
    <w:rsid w:val="00E467AC"/>
    <w:rsid w:val="00E4688D"/>
    <w:rsid w:val="00E469F9"/>
    <w:rsid w:val="00E469FF"/>
    <w:rsid w:val="00E46A93"/>
    <w:rsid w:val="00E46AD6"/>
    <w:rsid w:val="00E46B00"/>
    <w:rsid w:val="00E46C54"/>
    <w:rsid w:val="00E46C91"/>
    <w:rsid w:val="00E46E5E"/>
    <w:rsid w:val="00E46EEC"/>
    <w:rsid w:val="00E47037"/>
    <w:rsid w:val="00E4704F"/>
    <w:rsid w:val="00E47073"/>
    <w:rsid w:val="00E47098"/>
    <w:rsid w:val="00E470D2"/>
    <w:rsid w:val="00E470F5"/>
    <w:rsid w:val="00E47358"/>
    <w:rsid w:val="00E4735B"/>
    <w:rsid w:val="00E473B0"/>
    <w:rsid w:val="00E473BE"/>
    <w:rsid w:val="00E4754E"/>
    <w:rsid w:val="00E4776B"/>
    <w:rsid w:val="00E477FE"/>
    <w:rsid w:val="00E4789F"/>
    <w:rsid w:val="00E478D6"/>
    <w:rsid w:val="00E47A17"/>
    <w:rsid w:val="00E47B61"/>
    <w:rsid w:val="00E47D24"/>
    <w:rsid w:val="00E47DBD"/>
    <w:rsid w:val="00E47EF5"/>
    <w:rsid w:val="00E47F17"/>
    <w:rsid w:val="00E47F9C"/>
    <w:rsid w:val="00E47FF0"/>
    <w:rsid w:val="00E500E4"/>
    <w:rsid w:val="00E50147"/>
    <w:rsid w:val="00E501BF"/>
    <w:rsid w:val="00E5024A"/>
    <w:rsid w:val="00E505A5"/>
    <w:rsid w:val="00E505F1"/>
    <w:rsid w:val="00E50846"/>
    <w:rsid w:val="00E5088C"/>
    <w:rsid w:val="00E509F5"/>
    <w:rsid w:val="00E50A2D"/>
    <w:rsid w:val="00E50AC5"/>
    <w:rsid w:val="00E50C80"/>
    <w:rsid w:val="00E50C9F"/>
    <w:rsid w:val="00E50D4C"/>
    <w:rsid w:val="00E50D96"/>
    <w:rsid w:val="00E50DA8"/>
    <w:rsid w:val="00E50DD9"/>
    <w:rsid w:val="00E50E11"/>
    <w:rsid w:val="00E50E5F"/>
    <w:rsid w:val="00E50F0E"/>
    <w:rsid w:val="00E50F19"/>
    <w:rsid w:val="00E50F9D"/>
    <w:rsid w:val="00E50FCA"/>
    <w:rsid w:val="00E510B9"/>
    <w:rsid w:val="00E510C6"/>
    <w:rsid w:val="00E510E8"/>
    <w:rsid w:val="00E51219"/>
    <w:rsid w:val="00E512A3"/>
    <w:rsid w:val="00E512B7"/>
    <w:rsid w:val="00E51336"/>
    <w:rsid w:val="00E513B9"/>
    <w:rsid w:val="00E51416"/>
    <w:rsid w:val="00E51507"/>
    <w:rsid w:val="00E5155D"/>
    <w:rsid w:val="00E515E4"/>
    <w:rsid w:val="00E5171E"/>
    <w:rsid w:val="00E51966"/>
    <w:rsid w:val="00E51972"/>
    <w:rsid w:val="00E5198E"/>
    <w:rsid w:val="00E519F7"/>
    <w:rsid w:val="00E51B3C"/>
    <w:rsid w:val="00E51CFA"/>
    <w:rsid w:val="00E51D38"/>
    <w:rsid w:val="00E51D86"/>
    <w:rsid w:val="00E51E2C"/>
    <w:rsid w:val="00E51E95"/>
    <w:rsid w:val="00E51ECA"/>
    <w:rsid w:val="00E51F60"/>
    <w:rsid w:val="00E51F80"/>
    <w:rsid w:val="00E51F8B"/>
    <w:rsid w:val="00E5208D"/>
    <w:rsid w:val="00E520F8"/>
    <w:rsid w:val="00E520FE"/>
    <w:rsid w:val="00E52264"/>
    <w:rsid w:val="00E52275"/>
    <w:rsid w:val="00E522B0"/>
    <w:rsid w:val="00E52331"/>
    <w:rsid w:val="00E523B8"/>
    <w:rsid w:val="00E5241A"/>
    <w:rsid w:val="00E52492"/>
    <w:rsid w:val="00E524C0"/>
    <w:rsid w:val="00E52672"/>
    <w:rsid w:val="00E5268B"/>
    <w:rsid w:val="00E526DA"/>
    <w:rsid w:val="00E52756"/>
    <w:rsid w:val="00E527AF"/>
    <w:rsid w:val="00E52925"/>
    <w:rsid w:val="00E52ADD"/>
    <w:rsid w:val="00E52B23"/>
    <w:rsid w:val="00E52C9A"/>
    <w:rsid w:val="00E52CAE"/>
    <w:rsid w:val="00E52CC3"/>
    <w:rsid w:val="00E52D82"/>
    <w:rsid w:val="00E52DA9"/>
    <w:rsid w:val="00E530BA"/>
    <w:rsid w:val="00E530C5"/>
    <w:rsid w:val="00E53164"/>
    <w:rsid w:val="00E5326C"/>
    <w:rsid w:val="00E5336E"/>
    <w:rsid w:val="00E53516"/>
    <w:rsid w:val="00E5357F"/>
    <w:rsid w:val="00E53649"/>
    <w:rsid w:val="00E53839"/>
    <w:rsid w:val="00E53ADC"/>
    <w:rsid w:val="00E53B34"/>
    <w:rsid w:val="00E53C74"/>
    <w:rsid w:val="00E53C79"/>
    <w:rsid w:val="00E53D3F"/>
    <w:rsid w:val="00E53D8C"/>
    <w:rsid w:val="00E53EA2"/>
    <w:rsid w:val="00E53EB6"/>
    <w:rsid w:val="00E53EE3"/>
    <w:rsid w:val="00E541BF"/>
    <w:rsid w:val="00E541FC"/>
    <w:rsid w:val="00E54221"/>
    <w:rsid w:val="00E542A8"/>
    <w:rsid w:val="00E54329"/>
    <w:rsid w:val="00E5454E"/>
    <w:rsid w:val="00E546A5"/>
    <w:rsid w:val="00E54748"/>
    <w:rsid w:val="00E54749"/>
    <w:rsid w:val="00E54777"/>
    <w:rsid w:val="00E54819"/>
    <w:rsid w:val="00E54861"/>
    <w:rsid w:val="00E548C0"/>
    <w:rsid w:val="00E549D5"/>
    <w:rsid w:val="00E54AF2"/>
    <w:rsid w:val="00E54C5F"/>
    <w:rsid w:val="00E54C6B"/>
    <w:rsid w:val="00E54D50"/>
    <w:rsid w:val="00E54E53"/>
    <w:rsid w:val="00E54F68"/>
    <w:rsid w:val="00E5531C"/>
    <w:rsid w:val="00E55402"/>
    <w:rsid w:val="00E55416"/>
    <w:rsid w:val="00E5544C"/>
    <w:rsid w:val="00E55493"/>
    <w:rsid w:val="00E554C9"/>
    <w:rsid w:val="00E55525"/>
    <w:rsid w:val="00E5557D"/>
    <w:rsid w:val="00E55ACF"/>
    <w:rsid w:val="00E55CE3"/>
    <w:rsid w:val="00E55E5F"/>
    <w:rsid w:val="00E55EF2"/>
    <w:rsid w:val="00E55F27"/>
    <w:rsid w:val="00E55F6E"/>
    <w:rsid w:val="00E55FE6"/>
    <w:rsid w:val="00E560C3"/>
    <w:rsid w:val="00E56112"/>
    <w:rsid w:val="00E5611C"/>
    <w:rsid w:val="00E56151"/>
    <w:rsid w:val="00E56173"/>
    <w:rsid w:val="00E56229"/>
    <w:rsid w:val="00E56333"/>
    <w:rsid w:val="00E56395"/>
    <w:rsid w:val="00E563E8"/>
    <w:rsid w:val="00E56438"/>
    <w:rsid w:val="00E564E6"/>
    <w:rsid w:val="00E5655C"/>
    <w:rsid w:val="00E565F2"/>
    <w:rsid w:val="00E56606"/>
    <w:rsid w:val="00E56610"/>
    <w:rsid w:val="00E566A0"/>
    <w:rsid w:val="00E566AB"/>
    <w:rsid w:val="00E5672D"/>
    <w:rsid w:val="00E567BC"/>
    <w:rsid w:val="00E567D0"/>
    <w:rsid w:val="00E567D1"/>
    <w:rsid w:val="00E56811"/>
    <w:rsid w:val="00E568D0"/>
    <w:rsid w:val="00E568D4"/>
    <w:rsid w:val="00E568DE"/>
    <w:rsid w:val="00E56920"/>
    <w:rsid w:val="00E56B0E"/>
    <w:rsid w:val="00E56B4C"/>
    <w:rsid w:val="00E56BA9"/>
    <w:rsid w:val="00E56CAF"/>
    <w:rsid w:val="00E56D00"/>
    <w:rsid w:val="00E56F09"/>
    <w:rsid w:val="00E56F29"/>
    <w:rsid w:val="00E56F61"/>
    <w:rsid w:val="00E56F9C"/>
    <w:rsid w:val="00E56FF9"/>
    <w:rsid w:val="00E57011"/>
    <w:rsid w:val="00E57053"/>
    <w:rsid w:val="00E57261"/>
    <w:rsid w:val="00E5728F"/>
    <w:rsid w:val="00E57309"/>
    <w:rsid w:val="00E57376"/>
    <w:rsid w:val="00E57386"/>
    <w:rsid w:val="00E573E0"/>
    <w:rsid w:val="00E574CE"/>
    <w:rsid w:val="00E57666"/>
    <w:rsid w:val="00E57678"/>
    <w:rsid w:val="00E576C6"/>
    <w:rsid w:val="00E5785F"/>
    <w:rsid w:val="00E57946"/>
    <w:rsid w:val="00E579BE"/>
    <w:rsid w:val="00E579F1"/>
    <w:rsid w:val="00E57A24"/>
    <w:rsid w:val="00E57AB6"/>
    <w:rsid w:val="00E57B15"/>
    <w:rsid w:val="00E57BB3"/>
    <w:rsid w:val="00E57C58"/>
    <w:rsid w:val="00E57C85"/>
    <w:rsid w:val="00E57C91"/>
    <w:rsid w:val="00E57D21"/>
    <w:rsid w:val="00E57D4F"/>
    <w:rsid w:val="00E57E72"/>
    <w:rsid w:val="00E57E96"/>
    <w:rsid w:val="00E60001"/>
    <w:rsid w:val="00E6011E"/>
    <w:rsid w:val="00E60156"/>
    <w:rsid w:val="00E601EC"/>
    <w:rsid w:val="00E6020F"/>
    <w:rsid w:val="00E60321"/>
    <w:rsid w:val="00E60330"/>
    <w:rsid w:val="00E605A0"/>
    <w:rsid w:val="00E605A2"/>
    <w:rsid w:val="00E605C1"/>
    <w:rsid w:val="00E606DE"/>
    <w:rsid w:val="00E6074E"/>
    <w:rsid w:val="00E6086A"/>
    <w:rsid w:val="00E60882"/>
    <w:rsid w:val="00E60935"/>
    <w:rsid w:val="00E60AFE"/>
    <w:rsid w:val="00E60B02"/>
    <w:rsid w:val="00E60B95"/>
    <w:rsid w:val="00E60C1E"/>
    <w:rsid w:val="00E60C8A"/>
    <w:rsid w:val="00E60CFD"/>
    <w:rsid w:val="00E60D88"/>
    <w:rsid w:val="00E60DAC"/>
    <w:rsid w:val="00E60DCC"/>
    <w:rsid w:val="00E60E13"/>
    <w:rsid w:val="00E60E54"/>
    <w:rsid w:val="00E60E6B"/>
    <w:rsid w:val="00E60E9B"/>
    <w:rsid w:val="00E60ECD"/>
    <w:rsid w:val="00E60F69"/>
    <w:rsid w:val="00E60F70"/>
    <w:rsid w:val="00E610B3"/>
    <w:rsid w:val="00E610F8"/>
    <w:rsid w:val="00E611C4"/>
    <w:rsid w:val="00E611F5"/>
    <w:rsid w:val="00E61223"/>
    <w:rsid w:val="00E61249"/>
    <w:rsid w:val="00E61289"/>
    <w:rsid w:val="00E612AA"/>
    <w:rsid w:val="00E612B0"/>
    <w:rsid w:val="00E61397"/>
    <w:rsid w:val="00E6159C"/>
    <w:rsid w:val="00E6176D"/>
    <w:rsid w:val="00E6183E"/>
    <w:rsid w:val="00E6185B"/>
    <w:rsid w:val="00E6190D"/>
    <w:rsid w:val="00E61CDF"/>
    <w:rsid w:val="00E61CF5"/>
    <w:rsid w:val="00E61D0F"/>
    <w:rsid w:val="00E61DAA"/>
    <w:rsid w:val="00E61DBC"/>
    <w:rsid w:val="00E61F39"/>
    <w:rsid w:val="00E61FB8"/>
    <w:rsid w:val="00E61FF0"/>
    <w:rsid w:val="00E621A4"/>
    <w:rsid w:val="00E621F6"/>
    <w:rsid w:val="00E62272"/>
    <w:rsid w:val="00E627C8"/>
    <w:rsid w:val="00E62A51"/>
    <w:rsid w:val="00E62AAA"/>
    <w:rsid w:val="00E62BCD"/>
    <w:rsid w:val="00E62CAF"/>
    <w:rsid w:val="00E62D57"/>
    <w:rsid w:val="00E62F23"/>
    <w:rsid w:val="00E62F95"/>
    <w:rsid w:val="00E631C1"/>
    <w:rsid w:val="00E63228"/>
    <w:rsid w:val="00E63244"/>
    <w:rsid w:val="00E632E6"/>
    <w:rsid w:val="00E633EF"/>
    <w:rsid w:val="00E63474"/>
    <w:rsid w:val="00E6347B"/>
    <w:rsid w:val="00E63650"/>
    <w:rsid w:val="00E63812"/>
    <w:rsid w:val="00E6389C"/>
    <w:rsid w:val="00E63900"/>
    <w:rsid w:val="00E63A36"/>
    <w:rsid w:val="00E63BD5"/>
    <w:rsid w:val="00E63C92"/>
    <w:rsid w:val="00E63E06"/>
    <w:rsid w:val="00E63EAC"/>
    <w:rsid w:val="00E63EEE"/>
    <w:rsid w:val="00E63F52"/>
    <w:rsid w:val="00E63FAE"/>
    <w:rsid w:val="00E6400C"/>
    <w:rsid w:val="00E64036"/>
    <w:rsid w:val="00E6406D"/>
    <w:rsid w:val="00E6407C"/>
    <w:rsid w:val="00E64182"/>
    <w:rsid w:val="00E64329"/>
    <w:rsid w:val="00E643ED"/>
    <w:rsid w:val="00E645D3"/>
    <w:rsid w:val="00E64616"/>
    <w:rsid w:val="00E6463F"/>
    <w:rsid w:val="00E64717"/>
    <w:rsid w:val="00E647A7"/>
    <w:rsid w:val="00E64825"/>
    <w:rsid w:val="00E64921"/>
    <w:rsid w:val="00E64A3F"/>
    <w:rsid w:val="00E64C97"/>
    <w:rsid w:val="00E64CE7"/>
    <w:rsid w:val="00E64D82"/>
    <w:rsid w:val="00E64D89"/>
    <w:rsid w:val="00E64F17"/>
    <w:rsid w:val="00E64F59"/>
    <w:rsid w:val="00E64F62"/>
    <w:rsid w:val="00E650BD"/>
    <w:rsid w:val="00E651CA"/>
    <w:rsid w:val="00E651F9"/>
    <w:rsid w:val="00E6521F"/>
    <w:rsid w:val="00E65390"/>
    <w:rsid w:val="00E65394"/>
    <w:rsid w:val="00E6542E"/>
    <w:rsid w:val="00E6548C"/>
    <w:rsid w:val="00E659E4"/>
    <w:rsid w:val="00E65B9F"/>
    <w:rsid w:val="00E65BFA"/>
    <w:rsid w:val="00E65CCF"/>
    <w:rsid w:val="00E65E03"/>
    <w:rsid w:val="00E65F4C"/>
    <w:rsid w:val="00E65F5E"/>
    <w:rsid w:val="00E66075"/>
    <w:rsid w:val="00E66141"/>
    <w:rsid w:val="00E66148"/>
    <w:rsid w:val="00E66192"/>
    <w:rsid w:val="00E66277"/>
    <w:rsid w:val="00E6628E"/>
    <w:rsid w:val="00E662E1"/>
    <w:rsid w:val="00E663F2"/>
    <w:rsid w:val="00E66431"/>
    <w:rsid w:val="00E664BB"/>
    <w:rsid w:val="00E664F6"/>
    <w:rsid w:val="00E66587"/>
    <w:rsid w:val="00E6659C"/>
    <w:rsid w:val="00E665DC"/>
    <w:rsid w:val="00E66697"/>
    <w:rsid w:val="00E666A9"/>
    <w:rsid w:val="00E66715"/>
    <w:rsid w:val="00E66800"/>
    <w:rsid w:val="00E6680C"/>
    <w:rsid w:val="00E6688A"/>
    <w:rsid w:val="00E66B12"/>
    <w:rsid w:val="00E66BDC"/>
    <w:rsid w:val="00E66C30"/>
    <w:rsid w:val="00E670BF"/>
    <w:rsid w:val="00E67143"/>
    <w:rsid w:val="00E67356"/>
    <w:rsid w:val="00E67392"/>
    <w:rsid w:val="00E6743F"/>
    <w:rsid w:val="00E675DD"/>
    <w:rsid w:val="00E67638"/>
    <w:rsid w:val="00E6768B"/>
    <w:rsid w:val="00E676C3"/>
    <w:rsid w:val="00E676E6"/>
    <w:rsid w:val="00E67795"/>
    <w:rsid w:val="00E677CE"/>
    <w:rsid w:val="00E677DC"/>
    <w:rsid w:val="00E67995"/>
    <w:rsid w:val="00E67D54"/>
    <w:rsid w:val="00E67D6D"/>
    <w:rsid w:val="00E67F32"/>
    <w:rsid w:val="00E70091"/>
    <w:rsid w:val="00E70213"/>
    <w:rsid w:val="00E70239"/>
    <w:rsid w:val="00E703AA"/>
    <w:rsid w:val="00E703D6"/>
    <w:rsid w:val="00E7055C"/>
    <w:rsid w:val="00E708A4"/>
    <w:rsid w:val="00E70C0F"/>
    <w:rsid w:val="00E70C8F"/>
    <w:rsid w:val="00E70D20"/>
    <w:rsid w:val="00E70D54"/>
    <w:rsid w:val="00E70DE5"/>
    <w:rsid w:val="00E70F26"/>
    <w:rsid w:val="00E70FA0"/>
    <w:rsid w:val="00E71144"/>
    <w:rsid w:val="00E711A6"/>
    <w:rsid w:val="00E71202"/>
    <w:rsid w:val="00E71278"/>
    <w:rsid w:val="00E71323"/>
    <w:rsid w:val="00E71339"/>
    <w:rsid w:val="00E71467"/>
    <w:rsid w:val="00E71485"/>
    <w:rsid w:val="00E71489"/>
    <w:rsid w:val="00E71660"/>
    <w:rsid w:val="00E716BB"/>
    <w:rsid w:val="00E71867"/>
    <w:rsid w:val="00E71910"/>
    <w:rsid w:val="00E71965"/>
    <w:rsid w:val="00E71F9A"/>
    <w:rsid w:val="00E71FDC"/>
    <w:rsid w:val="00E720AB"/>
    <w:rsid w:val="00E72154"/>
    <w:rsid w:val="00E723F5"/>
    <w:rsid w:val="00E723FE"/>
    <w:rsid w:val="00E7244B"/>
    <w:rsid w:val="00E72485"/>
    <w:rsid w:val="00E724E5"/>
    <w:rsid w:val="00E72553"/>
    <w:rsid w:val="00E725A8"/>
    <w:rsid w:val="00E726C2"/>
    <w:rsid w:val="00E726EA"/>
    <w:rsid w:val="00E72737"/>
    <w:rsid w:val="00E7275D"/>
    <w:rsid w:val="00E72798"/>
    <w:rsid w:val="00E72849"/>
    <w:rsid w:val="00E7297E"/>
    <w:rsid w:val="00E72983"/>
    <w:rsid w:val="00E729CF"/>
    <w:rsid w:val="00E729E2"/>
    <w:rsid w:val="00E72B05"/>
    <w:rsid w:val="00E72BAC"/>
    <w:rsid w:val="00E72BC9"/>
    <w:rsid w:val="00E72BE5"/>
    <w:rsid w:val="00E72C9E"/>
    <w:rsid w:val="00E72CE6"/>
    <w:rsid w:val="00E72F72"/>
    <w:rsid w:val="00E72FDF"/>
    <w:rsid w:val="00E73226"/>
    <w:rsid w:val="00E7334A"/>
    <w:rsid w:val="00E733D2"/>
    <w:rsid w:val="00E734A4"/>
    <w:rsid w:val="00E73562"/>
    <w:rsid w:val="00E73581"/>
    <w:rsid w:val="00E73591"/>
    <w:rsid w:val="00E7383F"/>
    <w:rsid w:val="00E7391D"/>
    <w:rsid w:val="00E7394E"/>
    <w:rsid w:val="00E73A01"/>
    <w:rsid w:val="00E73AE8"/>
    <w:rsid w:val="00E73C14"/>
    <w:rsid w:val="00E73DC0"/>
    <w:rsid w:val="00E73DD4"/>
    <w:rsid w:val="00E73DEA"/>
    <w:rsid w:val="00E73E8A"/>
    <w:rsid w:val="00E73F9A"/>
    <w:rsid w:val="00E73FB1"/>
    <w:rsid w:val="00E74017"/>
    <w:rsid w:val="00E74041"/>
    <w:rsid w:val="00E7406F"/>
    <w:rsid w:val="00E7408E"/>
    <w:rsid w:val="00E742A3"/>
    <w:rsid w:val="00E743A8"/>
    <w:rsid w:val="00E74483"/>
    <w:rsid w:val="00E744F7"/>
    <w:rsid w:val="00E7456F"/>
    <w:rsid w:val="00E74650"/>
    <w:rsid w:val="00E74674"/>
    <w:rsid w:val="00E7468A"/>
    <w:rsid w:val="00E74828"/>
    <w:rsid w:val="00E74866"/>
    <w:rsid w:val="00E7490B"/>
    <w:rsid w:val="00E7499C"/>
    <w:rsid w:val="00E74A00"/>
    <w:rsid w:val="00E74A52"/>
    <w:rsid w:val="00E74B24"/>
    <w:rsid w:val="00E74BC0"/>
    <w:rsid w:val="00E74BCE"/>
    <w:rsid w:val="00E74E3A"/>
    <w:rsid w:val="00E74F09"/>
    <w:rsid w:val="00E74F67"/>
    <w:rsid w:val="00E75017"/>
    <w:rsid w:val="00E7513B"/>
    <w:rsid w:val="00E75147"/>
    <w:rsid w:val="00E752FE"/>
    <w:rsid w:val="00E75696"/>
    <w:rsid w:val="00E75770"/>
    <w:rsid w:val="00E75798"/>
    <w:rsid w:val="00E7593D"/>
    <w:rsid w:val="00E75A38"/>
    <w:rsid w:val="00E75AA0"/>
    <w:rsid w:val="00E75AC5"/>
    <w:rsid w:val="00E75ADB"/>
    <w:rsid w:val="00E75BA0"/>
    <w:rsid w:val="00E75C2B"/>
    <w:rsid w:val="00E75D5F"/>
    <w:rsid w:val="00E75DCD"/>
    <w:rsid w:val="00E75DE6"/>
    <w:rsid w:val="00E75FC9"/>
    <w:rsid w:val="00E75FDB"/>
    <w:rsid w:val="00E7604C"/>
    <w:rsid w:val="00E760AF"/>
    <w:rsid w:val="00E760FC"/>
    <w:rsid w:val="00E7620D"/>
    <w:rsid w:val="00E7629E"/>
    <w:rsid w:val="00E76351"/>
    <w:rsid w:val="00E76395"/>
    <w:rsid w:val="00E763A5"/>
    <w:rsid w:val="00E763FE"/>
    <w:rsid w:val="00E765BC"/>
    <w:rsid w:val="00E765F4"/>
    <w:rsid w:val="00E76749"/>
    <w:rsid w:val="00E76989"/>
    <w:rsid w:val="00E76ADD"/>
    <w:rsid w:val="00E76BCC"/>
    <w:rsid w:val="00E76C17"/>
    <w:rsid w:val="00E76C53"/>
    <w:rsid w:val="00E76E0B"/>
    <w:rsid w:val="00E76E15"/>
    <w:rsid w:val="00E76F07"/>
    <w:rsid w:val="00E76F8C"/>
    <w:rsid w:val="00E76FBF"/>
    <w:rsid w:val="00E76FD5"/>
    <w:rsid w:val="00E7701F"/>
    <w:rsid w:val="00E770CE"/>
    <w:rsid w:val="00E77142"/>
    <w:rsid w:val="00E77179"/>
    <w:rsid w:val="00E771E7"/>
    <w:rsid w:val="00E7724F"/>
    <w:rsid w:val="00E772D1"/>
    <w:rsid w:val="00E772E6"/>
    <w:rsid w:val="00E77320"/>
    <w:rsid w:val="00E7747D"/>
    <w:rsid w:val="00E774B7"/>
    <w:rsid w:val="00E775A3"/>
    <w:rsid w:val="00E77620"/>
    <w:rsid w:val="00E77641"/>
    <w:rsid w:val="00E7771C"/>
    <w:rsid w:val="00E77831"/>
    <w:rsid w:val="00E77832"/>
    <w:rsid w:val="00E778A5"/>
    <w:rsid w:val="00E77980"/>
    <w:rsid w:val="00E77998"/>
    <w:rsid w:val="00E77A3F"/>
    <w:rsid w:val="00E77B27"/>
    <w:rsid w:val="00E77CD6"/>
    <w:rsid w:val="00E77D37"/>
    <w:rsid w:val="00E77D60"/>
    <w:rsid w:val="00E77DE7"/>
    <w:rsid w:val="00E77FDF"/>
    <w:rsid w:val="00E80326"/>
    <w:rsid w:val="00E80441"/>
    <w:rsid w:val="00E804C1"/>
    <w:rsid w:val="00E8059B"/>
    <w:rsid w:val="00E806CC"/>
    <w:rsid w:val="00E807B3"/>
    <w:rsid w:val="00E808E2"/>
    <w:rsid w:val="00E809EE"/>
    <w:rsid w:val="00E80CB6"/>
    <w:rsid w:val="00E80CD0"/>
    <w:rsid w:val="00E80D20"/>
    <w:rsid w:val="00E80D76"/>
    <w:rsid w:val="00E80E22"/>
    <w:rsid w:val="00E80E56"/>
    <w:rsid w:val="00E80F55"/>
    <w:rsid w:val="00E80F58"/>
    <w:rsid w:val="00E80FD9"/>
    <w:rsid w:val="00E8115C"/>
    <w:rsid w:val="00E81193"/>
    <w:rsid w:val="00E812C8"/>
    <w:rsid w:val="00E8146B"/>
    <w:rsid w:val="00E814AD"/>
    <w:rsid w:val="00E8158C"/>
    <w:rsid w:val="00E8165A"/>
    <w:rsid w:val="00E81755"/>
    <w:rsid w:val="00E81796"/>
    <w:rsid w:val="00E8179C"/>
    <w:rsid w:val="00E817B6"/>
    <w:rsid w:val="00E817F9"/>
    <w:rsid w:val="00E81896"/>
    <w:rsid w:val="00E81956"/>
    <w:rsid w:val="00E8196F"/>
    <w:rsid w:val="00E819BC"/>
    <w:rsid w:val="00E81D0D"/>
    <w:rsid w:val="00E81D9F"/>
    <w:rsid w:val="00E81E0C"/>
    <w:rsid w:val="00E81E1E"/>
    <w:rsid w:val="00E820FB"/>
    <w:rsid w:val="00E821B1"/>
    <w:rsid w:val="00E8225F"/>
    <w:rsid w:val="00E822DD"/>
    <w:rsid w:val="00E823AE"/>
    <w:rsid w:val="00E823FD"/>
    <w:rsid w:val="00E82441"/>
    <w:rsid w:val="00E82599"/>
    <w:rsid w:val="00E826A6"/>
    <w:rsid w:val="00E8273A"/>
    <w:rsid w:val="00E8286F"/>
    <w:rsid w:val="00E82AB8"/>
    <w:rsid w:val="00E82D7D"/>
    <w:rsid w:val="00E82DB2"/>
    <w:rsid w:val="00E82F54"/>
    <w:rsid w:val="00E8306D"/>
    <w:rsid w:val="00E8312B"/>
    <w:rsid w:val="00E83276"/>
    <w:rsid w:val="00E83278"/>
    <w:rsid w:val="00E832C3"/>
    <w:rsid w:val="00E8330E"/>
    <w:rsid w:val="00E8334D"/>
    <w:rsid w:val="00E8347A"/>
    <w:rsid w:val="00E83559"/>
    <w:rsid w:val="00E83614"/>
    <w:rsid w:val="00E836DF"/>
    <w:rsid w:val="00E837A7"/>
    <w:rsid w:val="00E8381C"/>
    <w:rsid w:val="00E83849"/>
    <w:rsid w:val="00E8387F"/>
    <w:rsid w:val="00E83928"/>
    <w:rsid w:val="00E839ED"/>
    <w:rsid w:val="00E83B38"/>
    <w:rsid w:val="00E83B58"/>
    <w:rsid w:val="00E83B9A"/>
    <w:rsid w:val="00E83BAE"/>
    <w:rsid w:val="00E83C74"/>
    <w:rsid w:val="00E83CE2"/>
    <w:rsid w:val="00E83DDB"/>
    <w:rsid w:val="00E83E4B"/>
    <w:rsid w:val="00E83E67"/>
    <w:rsid w:val="00E83F0E"/>
    <w:rsid w:val="00E83F6F"/>
    <w:rsid w:val="00E8402C"/>
    <w:rsid w:val="00E8407D"/>
    <w:rsid w:val="00E84142"/>
    <w:rsid w:val="00E8419D"/>
    <w:rsid w:val="00E841FA"/>
    <w:rsid w:val="00E84222"/>
    <w:rsid w:val="00E842AE"/>
    <w:rsid w:val="00E842C8"/>
    <w:rsid w:val="00E8431E"/>
    <w:rsid w:val="00E84394"/>
    <w:rsid w:val="00E84422"/>
    <w:rsid w:val="00E844A5"/>
    <w:rsid w:val="00E846AD"/>
    <w:rsid w:val="00E846DA"/>
    <w:rsid w:val="00E84714"/>
    <w:rsid w:val="00E847A5"/>
    <w:rsid w:val="00E847AC"/>
    <w:rsid w:val="00E847D2"/>
    <w:rsid w:val="00E848B2"/>
    <w:rsid w:val="00E84A11"/>
    <w:rsid w:val="00E84A53"/>
    <w:rsid w:val="00E84AD7"/>
    <w:rsid w:val="00E84B13"/>
    <w:rsid w:val="00E84C9C"/>
    <w:rsid w:val="00E84CB0"/>
    <w:rsid w:val="00E84CD2"/>
    <w:rsid w:val="00E84D4D"/>
    <w:rsid w:val="00E84E85"/>
    <w:rsid w:val="00E84F74"/>
    <w:rsid w:val="00E84F95"/>
    <w:rsid w:val="00E85044"/>
    <w:rsid w:val="00E85053"/>
    <w:rsid w:val="00E850D6"/>
    <w:rsid w:val="00E851B0"/>
    <w:rsid w:val="00E852A3"/>
    <w:rsid w:val="00E852EB"/>
    <w:rsid w:val="00E85434"/>
    <w:rsid w:val="00E85547"/>
    <w:rsid w:val="00E8557E"/>
    <w:rsid w:val="00E855A3"/>
    <w:rsid w:val="00E85771"/>
    <w:rsid w:val="00E858D9"/>
    <w:rsid w:val="00E859C1"/>
    <w:rsid w:val="00E85A83"/>
    <w:rsid w:val="00E85BD7"/>
    <w:rsid w:val="00E85BF3"/>
    <w:rsid w:val="00E85D7C"/>
    <w:rsid w:val="00E85D8E"/>
    <w:rsid w:val="00E85F4B"/>
    <w:rsid w:val="00E85F96"/>
    <w:rsid w:val="00E8621D"/>
    <w:rsid w:val="00E86291"/>
    <w:rsid w:val="00E864A1"/>
    <w:rsid w:val="00E86569"/>
    <w:rsid w:val="00E865B2"/>
    <w:rsid w:val="00E865ED"/>
    <w:rsid w:val="00E86872"/>
    <w:rsid w:val="00E86927"/>
    <w:rsid w:val="00E86942"/>
    <w:rsid w:val="00E86AB9"/>
    <w:rsid w:val="00E86C6B"/>
    <w:rsid w:val="00E86C73"/>
    <w:rsid w:val="00E86C9D"/>
    <w:rsid w:val="00E86CB8"/>
    <w:rsid w:val="00E86DC9"/>
    <w:rsid w:val="00E86E1A"/>
    <w:rsid w:val="00E86EC2"/>
    <w:rsid w:val="00E86FB8"/>
    <w:rsid w:val="00E86FBF"/>
    <w:rsid w:val="00E87266"/>
    <w:rsid w:val="00E87351"/>
    <w:rsid w:val="00E87396"/>
    <w:rsid w:val="00E87503"/>
    <w:rsid w:val="00E87542"/>
    <w:rsid w:val="00E87733"/>
    <w:rsid w:val="00E877B7"/>
    <w:rsid w:val="00E8782F"/>
    <w:rsid w:val="00E87845"/>
    <w:rsid w:val="00E879BD"/>
    <w:rsid w:val="00E87A26"/>
    <w:rsid w:val="00E87AA5"/>
    <w:rsid w:val="00E87AF9"/>
    <w:rsid w:val="00E87B83"/>
    <w:rsid w:val="00E87BBE"/>
    <w:rsid w:val="00E87C49"/>
    <w:rsid w:val="00E87C7C"/>
    <w:rsid w:val="00E87E00"/>
    <w:rsid w:val="00E87EE4"/>
    <w:rsid w:val="00E87F58"/>
    <w:rsid w:val="00E87FBE"/>
    <w:rsid w:val="00E900F9"/>
    <w:rsid w:val="00E9013B"/>
    <w:rsid w:val="00E90193"/>
    <w:rsid w:val="00E901B1"/>
    <w:rsid w:val="00E90346"/>
    <w:rsid w:val="00E90527"/>
    <w:rsid w:val="00E906F4"/>
    <w:rsid w:val="00E90866"/>
    <w:rsid w:val="00E90BA0"/>
    <w:rsid w:val="00E90C86"/>
    <w:rsid w:val="00E90CCE"/>
    <w:rsid w:val="00E9107D"/>
    <w:rsid w:val="00E910B2"/>
    <w:rsid w:val="00E910F6"/>
    <w:rsid w:val="00E912DE"/>
    <w:rsid w:val="00E913FD"/>
    <w:rsid w:val="00E915A7"/>
    <w:rsid w:val="00E915E7"/>
    <w:rsid w:val="00E915FF"/>
    <w:rsid w:val="00E91683"/>
    <w:rsid w:val="00E91688"/>
    <w:rsid w:val="00E918FC"/>
    <w:rsid w:val="00E919A1"/>
    <w:rsid w:val="00E919D5"/>
    <w:rsid w:val="00E91A0E"/>
    <w:rsid w:val="00E91A5C"/>
    <w:rsid w:val="00E91B9C"/>
    <w:rsid w:val="00E91D59"/>
    <w:rsid w:val="00E92015"/>
    <w:rsid w:val="00E92065"/>
    <w:rsid w:val="00E92069"/>
    <w:rsid w:val="00E9212A"/>
    <w:rsid w:val="00E921B6"/>
    <w:rsid w:val="00E921BD"/>
    <w:rsid w:val="00E9223B"/>
    <w:rsid w:val="00E9228D"/>
    <w:rsid w:val="00E922A6"/>
    <w:rsid w:val="00E9230C"/>
    <w:rsid w:val="00E9267B"/>
    <w:rsid w:val="00E926CF"/>
    <w:rsid w:val="00E927CD"/>
    <w:rsid w:val="00E927F4"/>
    <w:rsid w:val="00E92851"/>
    <w:rsid w:val="00E928F2"/>
    <w:rsid w:val="00E92B4C"/>
    <w:rsid w:val="00E92C66"/>
    <w:rsid w:val="00E92C9E"/>
    <w:rsid w:val="00E92CA0"/>
    <w:rsid w:val="00E92CC5"/>
    <w:rsid w:val="00E92CEA"/>
    <w:rsid w:val="00E92D63"/>
    <w:rsid w:val="00E92D8D"/>
    <w:rsid w:val="00E92E08"/>
    <w:rsid w:val="00E92E3E"/>
    <w:rsid w:val="00E92E58"/>
    <w:rsid w:val="00E92F1E"/>
    <w:rsid w:val="00E92FD3"/>
    <w:rsid w:val="00E931A9"/>
    <w:rsid w:val="00E93208"/>
    <w:rsid w:val="00E9326E"/>
    <w:rsid w:val="00E93398"/>
    <w:rsid w:val="00E93459"/>
    <w:rsid w:val="00E93475"/>
    <w:rsid w:val="00E9363B"/>
    <w:rsid w:val="00E9378E"/>
    <w:rsid w:val="00E93876"/>
    <w:rsid w:val="00E939B0"/>
    <w:rsid w:val="00E93A6F"/>
    <w:rsid w:val="00E93B0A"/>
    <w:rsid w:val="00E93B5A"/>
    <w:rsid w:val="00E93B75"/>
    <w:rsid w:val="00E93BD1"/>
    <w:rsid w:val="00E93C58"/>
    <w:rsid w:val="00E93C76"/>
    <w:rsid w:val="00E93C7F"/>
    <w:rsid w:val="00E93CC7"/>
    <w:rsid w:val="00E93CE5"/>
    <w:rsid w:val="00E93D25"/>
    <w:rsid w:val="00E93F62"/>
    <w:rsid w:val="00E94025"/>
    <w:rsid w:val="00E94034"/>
    <w:rsid w:val="00E94242"/>
    <w:rsid w:val="00E943C9"/>
    <w:rsid w:val="00E944A0"/>
    <w:rsid w:val="00E94508"/>
    <w:rsid w:val="00E9463E"/>
    <w:rsid w:val="00E946F4"/>
    <w:rsid w:val="00E94823"/>
    <w:rsid w:val="00E94853"/>
    <w:rsid w:val="00E9488F"/>
    <w:rsid w:val="00E94930"/>
    <w:rsid w:val="00E949D4"/>
    <w:rsid w:val="00E94A13"/>
    <w:rsid w:val="00E94B93"/>
    <w:rsid w:val="00E94BE7"/>
    <w:rsid w:val="00E94D75"/>
    <w:rsid w:val="00E94DA9"/>
    <w:rsid w:val="00E94EA3"/>
    <w:rsid w:val="00E94EAD"/>
    <w:rsid w:val="00E94EE8"/>
    <w:rsid w:val="00E94F1F"/>
    <w:rsid w:val="00E94FBD"/>
    <w:rsid w:val="00E950D6"/>
    <w:rsid w:val="00E951C5"/>
    <w:rsid w:val="00E95275"/>
    <w:rsid w:val="00E9527A"/>
    <w:rsid w:val="00E95284"/>
    <w:rsid w:val="00E953E0"/>
    <w:rsid w:val="00E95514"/>
    <w:rsid w:val="00E95568"/>
    <w:rsid w:val="00E95593"/>
    <w:rsid w:val="00E955F3"/>
    <w:rsid w:val="00E95630"/>
    <w:rsid w:val="00E95729"/>
    <w:rsid w:val="00E957A5"/>
    <w:rsid w:val="00E95880"/>
    <w:rsid w:val="00E95A94"/>
    <w:rsid w:val="00E95AB7"/>
    <w:rsid w:val="00E95ABD"/>
    <w:rsid w:val="00E95B7E"/>
    <w:rsid w:val="00E95CA5"/>
    <w:rsid w:val="00E95CC8"/>
    <w:rsid w:val="00E95D55"/>
    <w:rsid w:val="00E95D6B"/>
    <w:rsid w:val="00E95D70"/>
    <w:rsid w:val="00E95F0F"/>
    <w:rsid w:val="00E95F6A"/>
    <w:rsid w:val="00E95F85"/>
    <w:rsid w:val="00E95F8C"/>
    <w:rsid w:val="00E96060"/>
    <w:rsid w:val="00E960C6"/>
    <w:rsid w:val="00E96189"/>
    <w:rsid w:val="00E96268"/>
    <w:rsid w:val="00E96291"/>
    <w:rsid w:val="00E962BE"/>
    <w:rsid w:val="00E962FB"/>
    <w:rsid w:val="00E964BE"/>
    <w:rsid w:val="00E96524"/>
    <w:rsid w:val="00E96822"/>
    <w:rsid w:val="00E9684B"/>
    <w:rsid w:val="00E96878"/>
    <w:rsid w:val="00E96886"/>
    <w:rsid w:val="00E9690B"/>
    <w:rsid w:val="00E96B0C"/>
    <w:rsid w:val="00E96BC1"/>
    <w:rsid w:val="00E96D92"/>
    <w:rsid w:val="00E96E25"/>
    <w:rsid w:val="00E96F71"/>
    <w:rsid w:val="00E96FA2"/>
    <w:rsid w:val="00E96FD4"/>
    <w:rsid w:val="00E96FDC"/>
    <w:rsid w:val="00E96FED"/>
    <w:rsid w:val="00E9718E"/>
    <w:rsid w:val="00E9726C"/>
    <w:rsid w:val="00E97309"/>
    <w:rsid w:val="00E9741F"/>
    <w:rsid w:val="00E9751E"/>
    <w:rsid w:val="00E975B2"/>
    <w:rsid w:val="00E976B1"/>
    <w:rsid w:val="00E976DE"/>
    <w:rsid w:val="00E977C5"/>
    <w:rsid w:val="00E978F4"/>
    <w:rsid w:val="00E97AA3"/>
    <w:rsid w:val="00E97B58"/>
    <w:rsid w:val="00E97B80"/>
    <w:rsid w:val="00E97BF4"/>
    <w:rsid w:val="00E97C26"/>
    <w:rsid w:val="00E97C79"/>
    <w:rsid w:val="00E97CCB"/>
    <w:rsid w:val="00E97E74"/>
    <w:rsid w:val="00E97F41"/>
    <w:rsid w:val="00E97F5B"/>
    <w:rsid w:val="00EA0054"/>
    <w:rsid w:val="00EA008F"/>
    <w:rsid w:val="00EA013D"/>
    <w:rsid w:val="00EA02D9"/>
    <w:rsid w:val="00EA0320"/>
    <w:rsid w:val="00EA035E"/>
    <w:rsid w:val="00EA03AA"/>
    <w:rsid w:val="00EA0434"/>
    <w:rsid w:val="00EA0627"/>
    <w:rsid w:val="00EA06BE"/>
    <w:rsid w:val="00EA06F1"/>
    <w:rsid w:val="00EA07EA"/>
    <w:rsid w:val="00EA08D1"/>
    <w:rsid w:val="00EA09BE"/>
    <w:rsid w:val="00EA09DA"/>
    <w:rsid w:val="00EA0A74"/>
    <w:rsid w:val="00EA0C06"/>
    <w:rsid w:val="00EA0C61"/>
    <w:rsid w:val="00EA0D23"/>
    <w:rsid w:val="00EA0DB7"/>
    <w:rsid w:val="00EA0E51"/>
    <w:rsid w:val="00EA0EA4"/>
    <w:rsid w:val="00EA0FF0"/>
    <w:rsid w:val="00EA1040"/>
    <w:rsid w:val="00EA1207"/>
    <w:rsid w:val="00EA1212"/>
    <w:rsid w:val="00EA12F0"/>
    <w:rsid w:val="00EA1486"/>
    <w:rsid w:val="00EA14A3"/>
    <w:rsid w:val="00EA14EF"/>
    <w:rsid w:val="00EA153B"/>
    <w:rsid w:val="00EA1579"/>
    <w:rsid w:val="00EA15D2"/>
    <w:rsid w:val="00EA1699"/>
    <w:rsid w:val="00EA186E"/>
    <w:rsid w:val="00EA18AA"/>
    <w:rsid w:val="00EA18CE"/>
    <w:rsid w:val="00EA1992"/>
    <w:rsid w:val="00EA1AE2"/>
    <w:rsid w:val="00EA1B9A"/>
    <w:rsid w:val="00EA1BAB"/>
    <w:rsid w:val="00EA1CEC"/>
    <w:rsid w:val="00EA1D9C"/>
    <w:rsid w:val="00EA1ED9"/>
    <w:rsid w:val="00EA1F22"/>
    <w:rsid w:val="00EA1F32"/>
    <w:rsid w:val="00EA1F42"/>
    <w:rsid w:val="00EA1F59"/>
    <w:rsid w:val="00EA2076"/>
    <w:rsid w:val="00EA21FA"/>
    <w:rsid w:val="00EA22E8"/>
    <w:rsid w:val="00EA2439"/>
    <w:rsid w:val="00EA2488"/>
    <w:rsid w:val="00EA2679"/>
    <w:rsid w:val="00EA26DE"/>
    <w:rsid w:val="00EA280C"/>
    <w:rsid w:val="00EA2851"/>
    <w:rsid w:val="00EA293D"/>
    <w:rsid w:val="00EA29B6"/>
    <w:rsid w:val="00EA29FA"/>
    <w:rsid w:val="00EA2A2E"/>
    <w:rsid w:val="00EA2A48"/>
    <w:rsid w:val="00EA2BB3"/>
    <w:rsid w:val="00EA2DC2"/>
    <w:rsid w:val="00EA2DF6"/>
    <w:rsid w:val="00EA2E7C"/>
    <w:rsid w:val="00EA2EC9"/>
    <w:rsid w:val="00EA2EF2"/>
    <w:rsid w:val="00EA2FCC"/>
    <w:rsid w:val="00EA30F6"/>
    <w:rsid w:val="00EA313D"/>
    <w:rsid w:val="00EA3154"/>
    <w:rsid w:val="00EA319E"/>
    <w:rsid w:val="00EA3477"/>
    <w:rsid w:val="00EA36CA"/>
    <w:rsid w:val="00EA380A"/>
    <w:rsid w:val="00EA38C6"/>
    <w:rsid w:val="00EA3956"/>
    <w:rsid w:val="00EA398C"/>
    <w:rsid w:val="00EA39E8"/>
    <w:rsid w:val="00EA3A60"/>
    <w:rsid w:val="00EA3AAB"/>
    <w:rsid w:val="00EA3B20"/>
    <w:rsid w:val="00EA3CCF"/>
    <w:rsid w:val="00EA3CD0"/>
    <w:rsid w:val="00EA3D3E"/>
    <w:rsid w:val="00EA3EF4"/>
    <w:rsid w:val="00EA3F39"/>
    <w:rsid w:val="00EA3F78"/>
    <w:rsid w:val="00EA3F82"/>
    <w:rsid w:val="00EA3FCF"/>
    <w:rsid w:val="00EA4057"/>
    <w:rsid w:val="00EA40AE"/>
    <w:rsid w:val="00EA40E8"/>
    <w:rsid w:val="00EA4152"/>
    <w:rsid w:val="00EA41B9"/>
    <w:rsid w:val="00EA41D2"/>
    <w:rsid w:val="00EA426B"/>
    <w:rsid w:val="00EA4345"/>
    <w:rsid w:val="00EA44C2"/>
    <w:rsid w:val="00EA4769"/>
    <w:rsid w:val="00EA47EE"/>
    <w:rsid w:val="00EA484C"/>
    <w:rsid w:val="00EA4896"/>
    <w:rsid w:val="00EA48BE"/>
    <w:rsid w:val="00EA48D0"/>
    <w:rsid w:val="00EA4A0E"/>
    <w:rsid w:val="00EA4A21"/>
    <w:rsid w:val="00EA4AC4"/>
    <w:rsid w:val="00EA4B17"/>
    <w:rsid w:val="00EA4C17"/>
    <w:rsid w:val="00EA4C41"/>
    <w:rsid w:val="00EA4CEA"/>
    <w:rsid w:val="00EA4D16"/>
    <w:rsid w:val="00EA4EAC"/>
    <w:rsid w:val="00EA4FD7"/>
    <w:rsid w:val="00EA50D4"/>
    <w:rsid w:val="00EA5168"/>
    <w:rsid w:val="00EA5472"/>
    <w:rsid w:val="00EA5694"/>
    <w:rsid w:val="00EA5735"/>
    <w:rsid w:val="00EA5749"/>
    <w:rsid w:val="00EA5802"/>
    <w:rsid w:val="00EA58A0"/>
    <w:rsid w:val="00EA58C1"/>
    <w:rsid w:val="00EA58CC"/>
    <w:rsid w:val="00EA593D"/>
    <w:rsid w:val="00EA59F9"/>
    <w:rsid w:val="00EA5A87"/>
    <w:rsid w:val="00EA5ACC"/>
    <w:rsid w:val="00EA5B83"/>
    <w:rsid w:val="00EA5C32"/>
    <w:rsid w:val="00EA5C50"/>
    <w:rsid w:val="00EA5DA6"/>
    <w:rsid w:val="00EA5E3C"/>
    <w:rsid w:val="00EA5EDB"/>
    <w:rsid w:val="00EA5FAC"/>
    <w:rsid w:val="00EA6037"/>
    <w:rsid w:val="00EA60F0"/>
    <w:rsid w:val="00EA6173"/>
    <w:rsid w:val="00EA6197"/>
    <w:rsid w:val="00EA629D"/>
    <w:rsid w:val="00EA62E9"/>
    <w:rsid w:val="00EA6327"/>
    <w:rsid w:val="00EA643A"/>
    <w:rsid w:val="00EA653C"/>
    <w:rsid w:val="00EA65B1"/>
    <w:rsid w:val="00EA65C5"/>
    <w:rsid w:val="00EA66B6"/>
    <w:rsid w:val="00EA683B"/>
    <w:rsid w:val="00EA6846"/>
    <w:rsid w:val="00EA6856"/>
    <w:rsid w:val="00EA6886"/>
    <w:rsid w:val="00EA6A3E"/>
    <w:rsid w:val="00EA6B2B"/>
    <w:rsid w:val="00EA6B40"/>
    <w:rsid w:val="00EA6C77"/>
    <w:rsid w:val="00EA6CB8"/>
    <w:rsid w:val="00EA6D8E"/>
    <w:rsid w:val="00EA6D92"/>
    <w:rsid w:val="00EA6E08"/>
    <w:rsid w:val="00EA6E0B"/>
    <w:rsid w:val="00EA6EA5"/>
    <w:rsid w:val="00EA72DE"/>
    <w:rsid w:val="00EA738F"/>
    <w:rsid w:val="00EA73F2"/>
    <w:rsid w:val="00EA7414"/>
    <w:rsid w:val="00EA7467"/>
    <w:rsid w:val="00EA7531"/>
    <w:rsid w:val="00EA7570"/>
    <w:rsid w:val="00EA7625"/>
    <w:rsid w:val="00EA76EC"/>
    <w:rsid w:val="00EA7722"/>
    <w:rsid w:val="00EA7749"/>
    <w:rsid w:val="00EA774B"/>
    <w:rsid w:val="00EA783A"/>
    <w:rsid w:val="00EA789D"/>
    <w:rsid w:val="00EA7904"/>
    <w:rsid w:val="00EA7917"/>
    <w:rsid w:val="00EA7945"/>
    <w:rsid w:val="00EA7AE9"/>
    <w:rsid w:val="00EA7BFA"/>
    <w:rsid w:val="00EA7C1A"/>
    <w:rsid w:val="00EA7CAB"/>
    <w:rsid w:val="00EA7CB2"/>
    <w:rsid w:val="00EA7D24"/>
    <w:rsid w:val="00EA7DA4"/>
    <w:rsid w:val="00EA7EDF"/>
    <w:rsid w:val="00EA7F25"/>
    <w:rsid w:val="00EA7F34"/>
    <w:rsid w:val="00EA7FB4"/>
    <w:rsid w:val="00EA7FB9"/>
    <w:rsid w:val="00EB00BE"/>
    <w:rsid w:val="00EB049B"/>
    <w:rsid w:val="00EB050B"/>
    <w:rsid w:val="00EB063F"/>
    <w:rsid w:val="00EB0952"/>
    <w:rsid w:val="00EB0958"/>
    <w:rsid w:val="00EB0A52"/>
    <w:rsid w:val="00EB0A55"/>
    <w:rsid w:val="00EB0A70"/>
    <w:rsid w:val="00EB0A81"/>
    <w:rsid w:val="00EB0C3E"/>
    <w:rsid w:val="00EB0F4D"/>
    <w:rsid w:val="00EB0F53"/>
    <w:rsid w:val="00EB0F61"/>
    <w:rsid w:val="00EB0FCF"/>
    <w:rsid w:val="00EB111C"/>
    <w:rsid w:val="00EB11AA"/>
    <w:rsid w:val="00EB11AC"/>
    <w:rsid w:val="00EB1334"/>
    <w:rsid w:val="00EB13B2"/>
    <w:rsid w:val="00EB1480"/>
    <w:rsid w:val="00EB14A0"/>
    <w:rsid w:val="00EB14CA"/>
    <w:rsid w:val="00EB14CB"/>
    <w:rsid w:val="00EB1599"/>
    <w:rsid w:val="00EB1744"/>
    <w:rsid w:val="00EB1819"/>
    <w:rsid w:val="00EB1929"/>
    <w:rsid w:val="00EB1B5D"/>
    <w:rsid w:val="00EB1C83"/>
    <w:rsid w:val="00EB1CAA"/>
    <w:rsid w:val="00EB1D14"/>
    <w:rsid w:val="00EB1DD9"/>
    <w:rsid w:val="00EB1F5B"/>
    <w:rsid w:val="00EB1F68"/>
    <w:rsid w:val="00EB1FCB"/>
    <w:rsid w:val="00EB20CA"/>
    <w:rsid w:val="00EB227F"/>
    <w:rsid w:val="00EB22E2"/>
    <w:rsid w:val="00EB2314"/>
    <w:rsid w:val="00EB2460"/>
    <w:rsid w:val="00EB2548"/>
    <w:rsid w:val="00EB261C"/>
    <w:rsid w:val="00EB2636"/>
    <w:rsid w:val="00EB26C5"/>
    <w:rsid w:val="00EB27CD"/>
    <w:rsid w:val="00EB2916"/>
    <w:rsid w:val="00EB29A6"/>
    <w:rsid w:val="00EB2B62"/>
    <w:rsid w:val="00EB2B7E"/>
    <w:rsid w:val="00EB2CA0"/>
    <w:rsid w:val="00EB2D36"/>
    <w:rsid w:val="00EB2DB8"/>
    <w:rsid w:val="00EB2EBF"/>
    <w:rsid w:val="00EB2ED1"/>
    <w:rsid w:val="00EB2EFE"/>
    <w:rsid w:val="00EB2F0D"/>
    <w:rsid w:val="00EB2F79"/>
    <w:rsid w:val="00EB2F89"/>
    <w:rsid w:val="00EB3060"/>
    <w:rsid w:val="00EB3095"/>
    <w:rsid w:val="00EB3109"/>
    <w:rsid w:val="00EB32E2"/>
    <w:rsid w:val="00EB33AA"/>
    <w:rsid w:val="00EB3469"/>
    <w:rsid w:val="00EB34BF"/>
    <w:rsid w:val="00EB3586"/>
    <w:rsid w:val="00EB3840"/>
    <w:rsid w:val="00EB3A1B"/>
    <w:rsid w:val="00EB3A7C"/>
    <w:rsid w:val="00EB3AD0"/>
    <w:rsid w:val="00EB3BF2"/>
    <w:rsid w:val="00EB3C43"/>
    <w:rsid w:val="00EB3CCB"/>
    <w:rsid w:val="00EB3D58"/>
    <w:rsid w:val="00EB3D8B"/>
    <w:rsid w:val="00EB3DA0"/>
    <w:rsid w:val="00EB3E1E"/>
    <w:rsid w:val="00EB3FF0"/>
    <w:rsid w:val="00EB40B1"/>
    <w:rsid w:val="00EB40E2"/>
    <w:rsid w:val="00EB4148"/>
    <w:rsid w:val="00EB41C0"/>
    <w:rsid w:val="00EB41CC"/>
    <w:rsid w:val="00EB4250"/>
    <w:rsid w:val="00EB4283"/>
    <w:rsid w:val="00EB43A9"/>
    <w:rsid w:val="00EB43B5"/>
    <w:rsid w:val="00EB442D"/>
    <w:rsid w:val="00EB4496"/>
    <w:rsid w:val="00EB454B"/>
    <w:rsid w:val="00EB463E"/>
    <w:rsid w:val="00EB4646"/>
    <w:rsid w:val="00EB495B"/>
    <w:rsid w:val="00EB495C"/>
    <w:rsid w:val="00EB4A76"/>
    <w:rsid w:val="00EB4D6F"/>
    <w:rsid w:val="00EB4E0F"/>
    <w:rsid w:val="00EB4E4E"/>
    <w:rsid w:val="00EB4E5C"/>
    <w:rsid w:val="00EB4E76"/>
    <w:rsid w:val="00EB4EAC"/>
    <w:rsid w:val="00EB4EC4"/>
    <w:rsid w:val="00EB4F46"/>
    <w:rsid w:val="00EB4F7F"/>
    <w:rsid w:val="00EB4FEB"/>
    <w:rsid w:val="00EB4FFE"/>
    <w:rsid w:val="00EB507C"/>
    <w:rsid w:val="00EB50BD"/>
    <w:rsid w:val="00EB5304"/>
    <w:rsid w:val="00EB5310"/>
    <w:rsid w:val="00EB5772"/>
    <w:rsid w:val="00EB5797"/>
    <w:rsid w:val="00EB57A6"/>
    <w:rsid w:val="00EB58DD"/>
    <w:rsid w:val="00EB597A"/>
    <w:rsid w:val="00EB59BA"/>
    <w:rsid w:val="00EB5A19"/>
    <w:rsid w:val="00EB5A2A"/>
    <w:rsid w:val="00EB5BE3"/>
    <w:rsid w:val="00EB5C24"/>
    <w:rsid w:val="00EB5C48"/>
    <w:rsid w:val="00EB5CF5"/>
    <w:rsid w:val="00EB5DC4"/>
    <w:rsid w:val="00EB5ED6"/>
    <w:rsid w:val="00EB5F02"/>
    <w:rsid w:val="00EB5F3F"/>
    <w:rsid w:val="00EB5FC7"/>
    <w:rsid w:val="00EB5FF8"/>
    <w:rsid w:val="00EB6092"/>
    <w:rsid w:val="00EB617C"/>
    <w:rsid w:val="00EB6211"/>
    <w:rsid w:val="00EB638E"/>
    <w:rsid w:val="00EB6426"/>
    <w:rsid w:val="00EB6435"/>
    <w:rsid w:val="00EB6444"/>
    <w:rsid w:val="00EB6467"/>
    <w:rsid w:val="00EB6470"/>
    <w:rsid w:val="00EB64A5"/>
    <w:rsid w:val="00EB64C3"/>
    <w:rsid w:val="00EB64CB"/>
    <w:rsid w:val="00EB6588"/>
    <w:rsid w:val="00EB65D7"/>
    <w:rsid w:val="00EB65F4"/>
    <w:rsid w:val="00EB6651"/>
    <w:rsid w:val="00EB6789"/>
    <w:rsid w:val="00EB6797"/>
    <w:rsid w:val="00EB67F2"/>
    <w:rsid w:val="00EB6857"/>
    <w:rsid w:val="00EB69FC"/>
    <w:rsid w:val="00EB6AB2"/>
    <w:rsid w:val="00EB6B58"/>
    <w:rsid w:val="00EB6C6F"/>
    <w:rsid w:val="00EB6CF6"/>
    <w:rsid w:val="00EB6D7A"/>
    <w:rsid w:val="00EB6D92"/>
    <w:rsid w:val="00EB6E16"/>
    <w:rsid w:val="00EB6E6D"/>
    <w:rsid w:val="00EB6E79"/>
    <w:rsid w:val="00EB6F0D"/>
    <w:rsid w:val="00EB6FE8"/>
    <w:rsid w:val="00EB73C0"/>
    <w:rsid w:val="00EB7433"/>
    <w:rsid w:val="00EB7474"/>
    <w:rsid w:val="00EB74B8"/>
    <w:rsid w:val="00EB74E3"/>
    <w:rsid w:val="00EB74EA"/>
    <w:rsid w:val="00EB75EB"/>
    <w:rsid w:val="00EB7761"/>
    <w:rsid w:val="00EB77F1"/>
    <w:rsid w:val="00EB7805"/>
    <w:rsid w:val="00EB780D"/>
    <w:rsid w:val="00EB7905"/>
    <w:rsid w:val="00EB7971"/>
    <w:rsid w:val="00EB7A6E"/>
    <w:rsid w:val="00EB7A7C"/>
    <w:rsid w:val="00EB7ADC"/>
    <w:rsid w:val="00EB7AE3"/>
    <w:rsid w:val="00EB7CB4"/>
    <w:rsid w:val="00EB7CC6"/>
    <w:rsid w:val="00EB7E28"/>
    <w:rsid w:val="00EB7E78"/>
    <w:rsid w:val="00EB7F72"/>
    <w:rsid w:val="00EC0219"/>
    <w:rsid w:val="00EC035B"/>
    <w:rsid w:val="00EC0485"/>
    <w:rsid w:val="00EC052E"/>
    <w:rsid w:val="00EC053E"/>
    <w:rsid w:val="00EC05B1"/>
    <w:rsid w:val="00EC062E"/>
    <w:rsid w:val="00EC0841"/>
    <w:rsid w:val="00EC0903"/>
    <w:rsid w:val="00EC099F"/>
    <w:rsid w:val="00EC0A09"/>
    <w:rsid w:val="00EC0A59"/>
    <w:rsid w:val="00EC0AC3"/>
    <w:rsid w:val="00EC0B7A"/>
    <w:rsid w:val="00EC0C9B"/>
    <w:rsid w:val="00EC0CAB"/>
    <w:rsid w:val="00EC0D18"/>
    <w:rsid w:val="00EC0EC3"/>
    <w:rsid w:val="00EC0F34"/>
    <w:rsid w:val="00EC1093"/>
    <w:rsid w:val="00EC10E0"/>
    <w:rsid w:val="00EC111A"/>
    <w:rsid w:val="00EC12B0"/>
    <w:rsid w:val="00EC147B"/>
    <w:rsid w:val="00EC1480"/>
    <w:rsid w:val="00EC1547"/>
    <w:rsid w:val="00EC15FF"/>
    <w:rsid w:val="00EC16AE"/>
    <w:rsid w:val="00EC1770"/>
    <w:rsid w:val="00EC195D"/>
    <w:rsid w:val="00EC1A72"/>
    <w:rsid w:val="00EC1A75"/>
    <w:rsid w:val="00EC1BEE"/>
    <w:rsid w:val="00EC1C93"/>
    <w:rsid w:val="00EC1CE6"/>
    <w:rsid w:val="00EC1CEB"/>
    <w:rsid w:val="00EC1DA3"/>
    <w:rsid w:val="00EC1EEA"/>
    <w:rsid w:val="00EC1F40"/>
    <w:rsid w:val="00EC1F46"/>
    <w:rsid w:val="00EC1F59"/>
    <w:rsid w:val="00EC1FC2"/>
    <w:rsid w:val="00EC2012"/>
    <w:rsid w:val="00EC20B8"/>
    <w:rsid w:val="00EC2202"/>
    <w:rsid w:val="00EC22B0"/>
    <w:rsid w:val="00EC2344"/>
    <w:rsid w:val="00EC23AB"/>
    <w:rsid w:val="00EC248D"/>
    <w:rsid w:val="00EC24A7"/>
    <w:rsid w:val="00EC24D9"/>
    <w:rsid w:val="00EC2510"/>
    <w:rsid w:val="00EC28C3"/>
    <w:rsid w:val="00EC2925"/>
    <w:rsid w:val="00EC2A1E"/>
    <w:rsid w:val="00EC2AEB"/>
    <w:rsid w:val="00EC2B50"/>
    <w:rsid w:val="00EC2C49"/>
    <w:rsid w:val="00EC2E60"/>
    <w:rsid w:val="00EC2EBF"/>
    <w:rsid w:val="00EC2ECD"/>
    <w:rsid w:val="00EC2EF1"/>
    <w:rsid w:val="00EC2F1E"/>
    <w:rsid w:val="00EC2FE6"/>
    <w:rsid w:val="00EC30FC"/>
    <w:rsid w:val="00EC321E"/>
    <w:rsid w:val="00EC343C"/>
    <w:rsid w:val="00EC3466"/>
    <w:rsid w:val="00EC34DE"/>
    <w:rsid w:val="00EC35C6"/>
    <w:rsid w:val="00EC366B"/>
    <w:rsid w:val="00EC37D5"/>
    <w:rsid w:val="00EC37E4"/>
    <w:rsid w:val="00EC38AD"/>
    <w:rsid w:val="00EC3959"/>
    <w:rsid w:val="00EC39B3"/>
    <w:rsid w:val="00EC39C3"/>
    <w:rsid w:val="00EC3AB7"/>
    <w:rsid w:val="00EC3B4E"/>
    <w:rsid w:val="00EC3C16"/>
    <w:rsid w:val="00EC3C58"/>
    <w:rsid w:val="00EC3CBD"/>
    <w:rsid w:val="00EC3D67"/>
    <w:rsid w:val="00EC3DCB"/>
    <w:rsid w:val="00EC3E45"/>
    <w:rsid w:val="00EC3F93"/>
    <w:rsid w:val="00EC3F98"/>
    <w:rsid w:val="00EC40BC"/>
    <w:rsid w:val="00EC4200"/>
    <w:rsid w:val="00EC4215"/>
    <w:rsid w:val="00EC422B"/>
    <w:rsid w:val="00EC42C2"/>
    <w:rsid w:val="00EC4307"/>
    <w:rsid w:val="00EC4383"/>
    <w:rsid w:val="00EC43DA"/>
    <w:rsid w:val="00EC43E6"/>
    <w:rsid w:val="00EC43E7"/>
    <w:rsid w:val="00EC44CC"/>
    <w:rsid w:val="00EC45D0"/>
    <w:rsid w:val="00EC4628"/>
    <w:rsid w:val="00EC474B"/>
    <w:rsid w:val="00EC4753"/>
    <w:rsid w:val="00EC477B"/>
    <w:rsid w:val="00EC481A"/>
    <w:rsid w:val="00EC49FD"/>
    <w:rsid w:val="00EC4B59"/>
    <w:rsid w:val="00EC4C22"/>
    <w:rsid w:val="00EC4C9A"/>
    <w:rsid w:val="00EC4CBC"/>
    <w:rsid w:val="00EC4D5C"/>
    <w:rsid w:val="00EC4DD6"/>
    <w:rsid w:val="00EC4EF0"/>
    <w:rsid w:val="00EC4F67"/>
    <w:rsid w:val="00EC4F84"/>
    <w:rsid w:val="00EC5073"/>
    <w:rsid w:val="00EC508A"/>
    <w:rsid w:val="00EC51D3"/>
    <w:rsid w:val="00EC5367"/>
    <w:rsid w:val="00EC5417"/>
    <w:rsid w:val="00EC5590"/>
    <w:rsid w:val="00EC55F1"/>
    <w:rsid w:val="00EC59BA"/>
    <w:rsid w:val="00EC5B12"/>
    <w:rsid w:val="00EC5DD3"/>
    <w:rsid w:val="00EC5DDD"/>
    <w:rsid w:val="00EC5DF9"/>
    <w:rsid w:val="00EC5E93"/>
    <w:rsid w:val="00EC5F66"/>
    <w:rsid w:val="00EC5FB3"/>
    <w:rsid w:val="00EC60FC"/>
    <w:rsid w:val="00EC62A2"/>
    <w:rsid w:val="00EC62AB"/>
    <w:rsid w:val="00EC6309"/>
    <w:rsid w:val="00EC644B"/>
    <w:rsid w:val="00EC671E"/>
    <w:rsid w:val="00EC67B6"/>
    <w:rsid w:val="00EC68AA"/>
    <w:rsid w:val="00EC6A39"/>
    <w:rsid w:val="00EC6A72"/>
    <w:rsid w:val="00EC6ADD"/>
    <w:rsid w:val="00EC6D5B"/>
    <w:rsid w:val="00EC6D71"/>
    <w:rsid w:val="00EC6D8B"/>
    <w:rsid w:val="00EC6EEB"/>
    <w:rsid w:val="00EC6FA3"/>
    <w:rsid w:val="00EC709F"/>
    <w:rsid w:val="00EC70BC"/>
    <w:rsid w:val="00EC70FB"/>
    <w:rsid w:val="00EC71F7"/>
    <w:rsid w:val="00EC724E"/>
    <w:rsid w:val="00EC72C6"/>
    <w:rsid w:val="00EC7343"/>
    <w:rsid w:val="00EC73C3"/>
    <w:rsid w:val="00EC73FB"/>
    <w:rsid w:val="00EC7539"/>
    <w:rsid w:val="00EC754E"/>
    <w:rsid w:val="00EC757D"/>
    <w:rsid w:val="00EC75D0"/>
    <w:rsid w:val="00EC7694"/>
    <w:rsid w:val="00EC781C"/>
    <w:rsid w:val="00EC789E"/>
    <w:rsid w:val="00EC78A3"/>
    <w:rsid w:val="00EC7A2B"/>
    <w:rsid w:val="00EC7D94"/>
    <w:rsid w:val="00EC7DED"/>
    <w:rsid w:val="00EC7E6A"/>
    <w:rsid w:val="00ED0123"/>
    <w:rsid w:val="00ED0297"/>
    <w:rsid w:val="00ED02DE"/>
    <w:rsid w:val="00ED02E8"/>
    <w:rsid w:val="00ED0420"/>
    <w:rsid w:val="00ED0447"/>
    <w:rsid w:val="00ED044D"/>
    <w:rsid w:val="00ED084B"/>
    <w:rsid w:val="00ED08B9"/>
    <w:rsid w:val="00ED0AC7"/>
    <w:rsid w:val="00ED0BD2"/>
    <w:rsid w:val="00ED0BEF"/>
    <w:rsid w:val="00ED0C86"/>
    <w:rsid w:val="00ED0D81"/>
    <w:rsid w:val="00ED0D99"/>
    <w:rsid w:val="00ED0E59"/>
    <w:rsid w:val="00ED0EDE"/>
    <w:rsid w:val="00ED110D"/>
    <w:rsid w:val="00ED11A4"/>
    <w:rsid w:val="00ED12D0"/>
    <w:rsid w:val="00ED12D4"/>
    <w:rsid w:val="00ED1322"/>
    <w:rsid w:val="00ED1372"/>
    <w:rsid w:val="00ED154C"/>
    <w:rsid w:val="00ED159B"/>
    <w:rsid w:val="00ED163C"/>
    <w:rsid w:val="00ED17AF"/>
    <w:rsid w:val="00ED17C6"/>
    <w:rsid w:val="00ED17E1"/>
    <w:rsid w:val="00ED1886"/>
    <w:rsid w:val="00ED18B6"/>
    <w:rsid w:val="00ED1902"/>
    <w:rsid w:val="00ED199A"/>
    <w:rsid w:val="00ED19C4"/>
    <w:rsid w:val="00ED1C77"/>
    <w:rsid w:val="00ED1C92"/>
    <w:rsid w:val="00ED1CCC"/>
    <w:rsid w:val="00ED1E1A"/>
    <w:rsid w:val="00ED1ED1"/>
    <w:rsid w:val="00ED1EE1"/>
    <w:rsid w:val="00ED1F84"/>
    <w:rsid w:val="00ED1FDB"/>
    <w:rsid w:val="00ED2030"/>
    <w:rsid w:val="00ED212D"/>
    <w:rsid w:val="00ED218E"/>
    <w:rsid w:val="00ED2211"/>
    <w:rsid w:val="00ED22A7"/>
    <w:rsid w:val="00ED2457"/>
    <w:rsid w:val="00ED257A"/>
    <w:rsid w:val="00ED26AD"/>
    <w:rsid w:val="00ED26C9"/>
    <w:rsid w:val="00ED27AB"/>
    <w:rsid w:val="00ED27EC"/>
    <w:rsid w:val="00ED28AA"/>
    <w:rsid w:val="00ED290A"/>
    <w:rsid w:val="00ED297D"/>
    <w:rsid w:val="00ED29B8"/>
    <w:rsid w:val="00ED2AEF"/>
    <w:rsid w:val="00ED2B41"/>
    <w:rsid w:val="00ED2BF8"/>
    <w:rsid w:val="00ED2D05"/>
    <w:rsid w:val="00ED2D4B"/>
    <w:rsid w:val="00ED2D69"/>
    <w:rsid w:val="00ED2D73"/>
    <w:rsid w:val="00ED2E00"/>
    <w:rsid w:val="00ED2E40"/>
    <w:rsid w:val="00ED2E48"/>
    <w:rsid w:val="00ED2EE8"/>
    <w:rsid w:val="00ED2F58"/>
    <w:rsid w:val="00ED2FE5"/>
    <w:rsid w:val="00ED3003"/>
    <w:rsid w:val="00ED30CC"/>
    <w:rsid w:val="00ED30EC"/>
    <w:rsid w:val="00ED31D2"/>
    <w:rsid w:val="00ED342F"/>
    <w:rsid w:val="00ED3516"/>
    <w:rsid w:val="00ED358F"/>
    <w:rsid w:val="00ED3635"/>
    <w:rsid w:val="00ED366F"/>
    <w:rsid w:val="00ED385E"/>
    <w:rsid w:val="00ED3959"/>
    <w:rsid w:val="00ED3988"/>
    <w:rsid w:val="00ED3AE4"/>
    <w:rsid w:val="00ED3B1C"/>
    <w:rsid w:val="00ED3BEA"/>
    <w:rsid w:val="00ED3C39"/>
    <w:rsid w:val="00ED3C8E"/>
    <w:rsid w:val="00ED3C9B"/>
    <w:rsid w:val="00ED3D1D"/>
    <w:rsid w:val="00ED3E1E"/>
    <w:rsid w:val="00ED3F01"/>
    <w:rsid w:val="00ED3F1B"/>
    <w:rsid w:val="00ED4063"/>
    <w:rsid w:val="00ED406C"/>
    <w:rsid w:val="00ED4150"/>
    <w:rsid w:val="00ED42F6"/>
    <w:rsid w:val="00ED4331"/>
    <w:rsid w:val="00ED43A0"/>
    <w:rsid w:val="00ED44B3"/>
    <w:rsid w:val="00ED44B6"/>
    <w:rsid w:val="00ED44FF"/>
    <w:rsid w:val="00ED45B8"/>
    <w:rsid w:val="00ED466E"/>
    <w:rsid w:val="00ED46BD"/>
    <w:rsid w:val="00ED474A"/>
    <w:rsid w:val="00ED47B3"/>
    <w:rsid w:val="00ED4882"/>
    <w:rsid w:val="00ED4905"/>
    <w:rsid w:val="00ED4964"/>
    <w:rsid w:val="00ED499A"/>
    <w:rsid w:val="00ED4A00"/>
    <w:rsid w:val="00ED4B6F"/>
    <w:rsid w:val="00ED4D24"/>
    <w:rsid w:val="00ED4D49"/>
    <w:rsid w:val="00ED4DEE"/>
    <w:rsid w:val="00ED4E54"/>
    <w:rsid w:val="00ED4F84"/>
    <w:rsid w:val="00ED4FAF"/>
    <w:rsid w:val="00ED5035"/>
    <w:rsid w:val="00ED5175"/>
    <w:rsid w:val="00ED51A6"/>
    <w:rsid w:val="00ED52E1"/>
    <w:rsid w:val="00ED534C"/>
    <w:rsid w:val="00ED5538"/>
    <w:rsid w:val="00ED55C7"/>
    <w:rsid w:val="00ED561C"/>
    <w:rsid w:val="00ED5743"/>
    <w:rsid w:val="00ED57BA"/>
    <w:rsid w:val="00ED5812"/>
    <w:rsid w:val="00ED5995"/>
    <w:rsid w:val="00ED5B6F"/>
    <w:rsid w:val="00ED5C85"/>
    <w:rsid w:val="00ED5CFF"/>
    <w:rsid w:val="00ED5D58"/>
    <w:rsid w:val="00ED5DF4"/>
    <w:rsid w:val="00ED5F79"/>
    <w:rsid w:val="00ED629E"/>
    <w:rsid w:val="00ED63BB"/>
    <w:rsid w:val="00ED6499"/>
    <w:rsid w:val="00ED655A"/>
    <w:rsid w:val="00ED66DC"/>
    <w:rsid w:val="00ED683A"/>
    <w:rsid w:val="00ED6880"/>
    <w:rsid w:val="00ED6959"/>
    <w:rsid w:val="00ED6A67"/>
    <w:rsid w:val="00ED6A9D"/>
    <w:rsid w:val="00ED6BF3"/>
    <w:rsid w:val="00ED6C4E"/>
    <w:rsid w:val="00ED6C9B"/>
    <w:rsid w:val="00ED6CC3"/>
    <w:rsid w:val="00ED6D84"/>
    <w:rsid w:val="00ED6E93"/>
    <w:rsid w:val="00ED6EBA"/>
    <w:rsid w:val="00ED7003"/>
    <w:rsid w:val="00ED7140"/>
    <w:rsid w:val="00ED7322"/>
    <w:rsid w:val="00ED73C6"/>
    <w:rsid w:val="00ED76D2"/>
    <w:rsid w:val="00ED7755"/>
    <w:rsid w:val="00ED7869"/>
    <w:rsid w:val="00ED78E4"/>
    <w:rsid w:val="00ED7993"/>
    <w:rsid w:val="00ED79E3"/>
    <w:rsid w:val="00ED7A5E"/>
    <w:rsid w:val="00ED7A82"/>
    <w:rsid w:val="00ED7B86"/>
    <w:rsid w:val="00ED7BAB"/>
    <w:rsid w:val="00ED7BF1"/>
    <w:rsid w:val="00ED7EB2"/>
    <w:rsid w:val="00ED7EE3"/>
    <w:rsid w:val="00EE0043"/>
    <w:rsid w:val="00EE00C2"/>
    <w:rsid w:val="00EE0117"/>
    <w:rsid w:val="00EE0169"/>
    <w:rsid w:val="00EE018D"/>
    <w:rsid w:val="00EE0344"/>
    <w:rsid w:val="00EE04BD"/>
    <w:rsid w:val="00EE05F6"/>
    <w:rsid w:val="00EE0687"/>
    <w:rsid w:val="00EE06D6"/>
    <w:rsid w:val="00EE0701"/>
    <w:rsid w:val="00EE089F"/>
    <w:rsid w:val="00EE08B4"/>
    <w:rsid w:val="00EE08F2"/>
    <w:rsid w:val="00EE0975"/>
    <w:rsid w:val="00EE09CD"/>
    <w:rsid w:val="00EE09D2"/>
    <w:rsid w:val="00EE0A67"/>
    <w:rsid w:val="00EE0B47"/>
    <w:rsid w:val="00EE0D02"/>
    <w:rsid w:val="00EE0E88"/>
    <w:rsid w:val="00EE0EA5"/>
    <w:rsid w:val="00EE0EF5"/>
    <w:rsid w:val="00EE0F5E"/>
    <w:rsid w:val="00EE0F60"/>
    <w:rsid w:val="00EE0FF5"/>
    <w:rsid w:val="00EE10E1"/>
    <w:rsid w:val="00EE1271"/>
    <w:rsid w:val="00EE1300"/>
    <w:rsid w:val="00EE13FB"/>
    <w:rsid w:val="00EE1400"/>
    <w:rsid w:val="00EE1484"/>
    <w:rsid w:val="00EE1559"/>
    <w:rsid w:val="00EE1563"/>
    <w:rsid w:val="00EE1679"/>
    <w:rsid w:val="00EE1703"/>
    <w:rsid w:val="00EE1718"/>
    <w:rsid w:val="00EE1744"/>
    <w:rsid w:val="00EE17CC"/>
    <w:rsid w:val="00EE1841"/>
    <w:rsid w:val="00EE1AAD"/>
    <w:rsid w:val="00EE1BDE"/>
    <w:rsid w:val="00EE1C33"/>
    <w:rsid w:val="00EE1CB2"/>
    <w:rsid w:val="00EE1D42"/>
    <w:rsid w:val="00EE1D59"/>
    <w:rsid w:val="00EE1E81"/>
    <w:rsid w:val="00EE1F5E"/>
    <w:rsid w:val="00EE1FA4"/>
    <w:rsid w:val="00EE21FE"/>
    <w:rsid w:val="00EE2211"/>
    <w:rsid w:val="00EE2243"/>
    <w:rsid w:val="00EE22B3"/>
    <w:rsid w:val="00EE22F4"/>
    <w:rsid w:val="00EE23E5"/>
    <w:rsid w:val="00EE2412"/>
    <w:rsid w:val="00EE2469"/>
    <w:rsid w:val="00EE2566"/>
    <w:rsid w:val="00EE25E2"/>
    <w:rsid w:val="00EE2690"/>
    <w:rsid w:val="00EE26D8"/>
    <w:rsid w:val="00EE2731"/>
    <w:rsid w:val="00EE273F"/>
    <w:rsid w:val="00EE274A"/>
    <w:rsid w:val="00EE2752"/>
    <w:rsid w:val="00EE27D2"/>
    <w:rsid w:val="00EE28BB"/>
    <w:rsid w:val="00EE293C"/>
    <w:rsid w:val="00EE2A01"/>
    <w:rsid w:val="00EE2A84"/>
    <w:rsid w:val="00EE2B41"/>
    <w:rsid w:val="00EE2B65"/>
    <w:rsid w:val="00EE2DAD"/>
    <w:rsid w:val="00EE2DDF"/>
    <w:rsid w:val="00EE2F46"/>
    <w:rsid w:val="00EE2F60"/>
    <w:rsid w:val="00EE2FF5"/>
    <w:rsid w:val="00EE3131"/>
    <w:rsid w:val="00EE3227"/>
    <w:rsid w:val="00EE324F"/>
    <w:rsid w:val="00EE328B"/>
    <w:rsid w:val="00EE33A9"/>
    <w:rsid w:val="00EE34A5"/>
    <w:rsid w:val="00EE35EB"/>
    <w:rsid w:val="00EE35F6"/>
    <w:rsid w:val="00EE360E"/>
    <w:rsid w:val="00EE3674"/>
    <w:rsid w:val="00EE369D"/>
    <w:rsid w:val="00EE36BA"/>
    <w:rsid w:val="00EE36E3"/>
    <w:rsid w:val="00EE3703"/>
    <w:rsid w:val="00EE3868"/>
    <w:rsid w:val="00EE3902"/>
    <w:rsid w:val="00EE3ABE"/>
    <w:rsid w:val="00EE3B32"/>
    <w:rsid w:val="00EE3C02"/>
    <w:rsid w:val="00EE3C16"/>
    <w:rsid w:val="00EE3C52"/>
    <w:rsid w:val="00EE3C61"/>
    <w:rsid w:val="00EE3D8B"/>
    <w:rsid w:val="00EE3DCA"/>
    <w:rsid w:val="00EE3EC4"/>
    <w:rsid w:val="00EE3EDA"/>
    <w:rsid w:val="00EE3F23"/>
    <w:rsid w:val="00EE4054"/>
    <w:rsid w:val="00EE4168"/>
    <w:rsid w:val="00EE4223"/>
    <w:rsid w:val="00EE4424"/>
    <w:rsid w:val="00EE4451"/>
    <w:rsid w:val="00EE4495"/>
    <w:rsid w:val="00EE4510"/>
    <w:rsid w:val="00EE4542"/>
    <w:rsid w:val="00EE455C"/>
    <w:rsid w:val="00EE4611"/>
    <w:rsid w:val="00EE4616"/>
    <w:rsid w:val="00EE4630"/>
    <w:rsid w:val="00EE4857"/>
    <w:rsid w:val="00EE4B31"/>
    <w:rsid w:val="00EE4BA9"/>
    <w:rsid w:val="00EE4C63"/>
    <w:rsid w:val="00EE4CC0"/>
    <w:rsid w:val="00EE4DC8"/>
    <w:rsid w:val="00EE4F55"/>
    <w:rsid w:val="00EE4F88"/>
    <w:rsid w:val="00EE4F96"/>
    <w:rsid w:val="00EE5045"/>
    <w:rsid w:val="00EE505A"/>
    <w:rsid w:val="00EE529C"/>
    <w:rsid w:val="00EE52C6"/>
    <w:rsid w:val="00EE5332"/>
    <w:rsid w:val="00EE549E"/>
    <w:rsid w:val="00EE54C4"/>
    <w:rsid w:val="00EE55EA"/>
    <w:rsid w:val="00EE55FD"/>
    <w:rsid w:val="00EE5EC1"/>
    <w:rsid w:val="00EE5F3A"/>
    <w:rsid w:val="00EE611A"/>
    <w:rsid w:val="00EE6176"/>
    <w:rsid w:val="00EE624B"/>
    <w:rsid w:val="00EE634A"/>
    <w:rsid w:val="00EE63A2"/>
    <w:rsid w:val="00EE6451"/>
    <w:rsid w:val="00EE64D1"/>
    <w:rsid w:val="00EE6560"/>
    <w:rsid w:val="00EE659E"/>
    <w:rsid w:val="00EE65F8"/>
    <w:rsid w:val="00EE666A"/>
    <w:rsid w:val="00EE67FD"/>
    <w:rsid w:val="00EE6857"/>
    <w:rsid w:val="00EE6864"/>
    <w:rsid w:val="00EE696B"/>
    <w:rsid w:val="00EE69AC"/>
    <w:rsid w:val="00EE6AAB"/>
    <w:rsid w:val="00EE6B1B"/>
    <w:rsid w:val="00EE6C10"/>
    <w:rsid w:val="00EE6C15"/>
    <w:rsid w:val="00EE6C51"/>
    <w:rsid w:val="00EE6DA5"/>
    <w:rsid w:val="00EE6EC6"/>
    <w:rsid w:val="00EE6F15"/>
    <w:rsid w:val="00EE7047"/>
    <w:rsid w:val="00EE7083"/>
    <w:rsid w:val="00EE708C"/>
    <w:rsid w:val="00EE7158"/>
    <w:rsid w:val="00EE7170"/>
    <w:rsid w:val="00EE7174"/>
    <w:rsid w:val="00EE733C"/>
    <w:rsid w:val="00EE74A6"/>
    <w:rsid w:val="00EE7524"/>
    <w:rsid w:val="00EE77B3"/>
    <w:rsid w:val="00EE78A3"/>
    <w:rsid w:val="00EE78E5"/>
    <w:rsid w:val="00EE7939"/>
    <w:rsid w:val="00EE7953"/>
    <w:rsid w:val="00EE79D6"/>
    <w:rsid w:val="00EE7AB8"/>
    <w:rsid w:val="00EE7B9B"/>
    <w:rsid w:val="00EE7C1B"/>
    <w:rsid w:val="00EE7C50"/>
    <w:rsid w:val="00EE7C52"/>
    <w:rsid w:val="00EE7D02"/>
    <w:rsid w:val="00EE7D69"/>
    <w:rsid w:val="00EE7E7C"/>
    <w:rsid w:val="00EE7F0C"/>
    <w:rsid w:val="00EF0131"/>
    <w:rsid w:val="00EF01A7"/>
    <w:rsid w:val="00EF01CA"/>
    <w:rsid w:val="00EF027B"/>
    <w:rsid w:val="00EF0383"/>
    <w:rsid w:val="00EF0397"/>
    <w:rsid w:val="00EF0579"/>
    <w:rsid w:val="00EF0581"/>
    <w:rsid w:val="00EF0596"/>
    <w:rsid w:val="00EF05A8"/>
    <w:rsid w:val="00EF0742"/>
    <w:rsid w:val="00EF0755"/>
    <w:rsid w:val="00EF078E"/>
    <w:rsid w:val="00EF07A5"/>
    <w:rsid w:val="00EF0804"/>
    <w:rsid w:val="00EF08D1"/>
    <w:rsid w:val="00EF091D"/>
    <w:rsid w:val="00EF0924"/>
    <w:rsid w:val="00EF093D"/>
    <w:rsid w:val="00EF0BEE"/>
    <w:rsid w:val="00EF0C44"/>
    <w:rsid w:val="00EF0C90"/>
    <w:rsid w:val="00EF0CC6"/>
    <w:rsid w:val="00EF0CFF"/>
    <w:rsid w:val="00EF0D4D"/>
    <w:rsid w:val="00EF0EC2"/>
    <w:rsid w:val="00EF1034"/>
    <w:rsid w:val="00EF11DC"/>
    <w:rsid w:val="00EF1230"/>
    <w:rsid w:val="00EF145C"/>
    <w:rsid w:val="00EF1540"/>
    <w:rsid w:val="00EF1567"/>
    <w:rsid w:val="00EF17A1"/>
    <w:rsid w:val="00EF18A6"/>
    <w:rsid w:val="00EF19BF"/>
    <w:rsid w:val="00EF1A39"/>
    <w:rsid w:val="00EF1B85"/>
    <w:rsid w:val="00EF1BC5"/>
    <w:rsid w:val="00EF1E43"/>
    <w:rsid w:val="00EF1EA6"/>
    <w:rsid w:val="00EF1ED4"/>
    <w:rsid w:val="00EF1EE7"/>
    <w:rsid w:val="00EF1F0F"/>
    <w:rsid w:val="00EF22E5"/>
    <w:rsid w:val="00EF2350"/>
    <w:rsid w:val="00EF23D5"/>
    <w:rsid w:val="00EF24FA"/>
    <w:rsid w:val="00EF2508"/>
    <w:rsid w:val="00EF253E"/>
    <w:rsid w:val="00EF25C4"/>
    <w:rsid w:val="00EF2744"/>
    <w:rsid w:val="00EF27B6"/>
    <w:rsid w:val="00EF27DF"/>
    <w:rsid w:val="00EF2817"/>
    <w:rsid w:val="00EF299C"/>
    <w:rsid w:val="00EF2A61"/>
    <w:rsid w:val="00EF2AEA"/>
    <w:rsid w:val="00EF2BB0"/>
    <w:rsid w:val="00EF2BEC"/>
    <w:rsid w:val="00EF2C33"/>
    <w:rsid w:val="00EF2C6E"/>
    <w:rsid w:val="00EF2D43"/>
    <w:rsid w:val="00EF2D5C"/>
    <w:rsid w:val="00EF2D77"/>
    <w:rsid w:val="00EF2D96"/>
    <w:rsid w:val="00EF2DB3"/>
    <w:rsid w:val="00EF2DC9"/>
    <w:rsid w:val="00EF2F47"/>
    <w:rsid w:val="00EF2F94"/>
    <w:rsid w:val="00EF2FA6"/>
    <w:rsid w:val="00EF30E6"/>
    <w:rsid w:val="00EF3112"/>
    <w:rsid w:val="00EF31CA"/>
    <w:rsid w:val="00EF32C5"/>
    <w:rsid w:val="00EF32D3"/>
    <w:rsid w:val="00EF32E3"/>
    <w:rsid w:val="00EF3300"/>
    <w:rsid w:val="00EF3481"/>
    <w:rsid w:val="00EF356C"/>
    <w:rsid w:val="00EF3629"/>
    <w:rsid w:val="00EF3656"/>
    <w:rsid w:val="00EF3695"/>
    <w:rsid w:val="00EF3774"/>
    <w:rsid w:val="00EF39FF"/>
    <w:rsid w:val="00EF3A31"/>
    <w:rsid w:val="00EF3D22"/>
    <w:rsid w:val="00EF3DF5"/>
    <w:rsid w:val="00EF3EF9"/>
    <w:rsid w:val="00EF3FC5"/>
    <w:rsid w:val="00EF4055"/>
    <w:rsid w:val="00EF40AE"/>
    <w:rsid w:val="00EF421A"/>
    <w:rsid w:val="00EF423C"/>
    <w:rsid w:val="00EF429B"/>
    <w:rsid w:val="00EF4381"/>
    <w:rsid w:val="00EF4389"/>
    <w:rsid w:val="00EF43AC"/>
    <w:rsid w:val="00EF44B6"/>
    <w:rsid w:val="00EF461E"/>
    <w:rsid w:val="00EF4652"/>
    <w:rsid w:val="00EF4687"/>
    <w:rsid w:val="00EF46E1"/>
    <w:rsid w:val="00EF4764"/>
    <w:rsid w:val="00EF481A"/>
    <w:rsid w:val="00EF4910"/>
    <w:rsid w:val="00EF4944"/>
    <w:rsid w:val="00EF4A5D"/>
    <w:rsid w:val="00EF4B36"/>
    <w:rsid w:val="00EF4C12"/>
    <w:rsid w:val="00EF4DE7"/>
    <w:rsid w:val="00EF4F0F"/>
    <w:rsid w:val="00EF5255"/>
    <w:rsid w:val="00EF5265"/>
    <w:rsid w:val="00EF5289"/>
    <w:rsid w:val="00EF54DC"/>
    <w:rsid w:val="00EF5609"/>
    <w:rsid w:val="00EF56BF"/>
    <w:rsid w:val="00EF56EE"/>
    <w:rsid w:val="00EF570C"/>
    <w:rsid w:val="00EF589C"/>
    <w:rsid w:val="00EF5A3C"/>
    <w:rsid w:val="00EF5A96"/>
    <w:rsid w:val="00EF5B56"/>
    <w:rsid w:val="00EF5B72"/>
    <w:rsid w:val="00EF5C50"/>
    <w:rsid w:val="00EF5D4E"/>
    <w:rsid w:val="00EF5DD6"/>
    <w:rsid w:val="00EF5EC5"/>
    <w:rsid w:val="00EF5F4F"/>
    <w:rsid w:val="00EF5FFB"/>
    <w:rsid w:val="00EF6172"/>
    <w:rsid w:val="00EF61AC"/>
    <w:rsid w:val="00EF62C3"/>
    <w:rsid w:val="00EF62E0"/>
    <w:rsid w:val="00EF6309"/>
    <w:rsid w:val="00EF632B"/>
    <w:rsid w:val="00EF650E"/>
    <w:rsid w:val="00EF6731"/>
    <w:rsid w:val="00EF6814"/>
    <w:rsid w:val="00EF684A"/>
    <w:rsid w:val="00EF6911"/>
    <w:rsid w:val="00EF6917"/>
    <w:rsid w:val="00EF69A1"/>
    <w:rsid w:val="00EF6A76"/>
    <w:rsid w:val="00EF6C19"/>
    <w:rsid w:val="00EF6CE2"/>
    <w:rsid w:val="00EF6DC0"/>
    <w:rsid w:val="00EF6E60"/>
    <w:rsid w:val="00EF6E71"/>
    <w:rsid w:val="00EF700D"/>
    <w:rsid w:val="00EF716D"/>
    <w:rsid w:val="00EF7389"/>
    <w:rsid w:val="00EF73A6"/>
    <w:rsid w:val="00EF73B3"/>
    <w:rsid w:val="00EF746E"/>
    <w:rsid w:val="00EF762E"/>
    <w:rsid w:val="00EF7653"/>
    <w:rsid w:val="00EF76D0"/>
    <w:rsid w:val="00EF786E"/>
    <w:rsid w:val="00EF7A04"/>
    <w:rsid w:val="00EF7AE8"/>
    <w:rsid w:val="00EF7BAB"/>
    <w:rsid w:val="00EF7CC2"/>
    <w:rsid w:val="00EF7D30"/>
    <w:rsid w:val="00EF7D47"/>
    <w:rsid w:val="00EF7FC8"/>
    <w:rsid w:val="00F0001E"/>
    <w:rsid w:val="00F0006C"/>
    <w:rsid w:val="00F001EE"/>
    <w:rsid w:val="00F00223"/>
    <w:rsid w:val="00F0022F"/>
    <w:rsid w:val="00F0036C"/>
    <w:rsid w:val="00F0037C"/>
    <w:rsid w:val="00F0043F"/>
    <w:rsid w:val="00F0047E"/>
    <w:rsid w:val="00F006C3"/>
    <w:rsid w:val="00F0070A"/>
    <w:rsid w:val="00F007F3"/>
    <w:rsid w:val="00F008BF"/>
    <w:rsid w:val="00F00924"/>
    <w:rsid w:val="00F009C4"/>
    <w:rsid w:val="00F00A23"/>
    <w:rsid w:val="00F00BCD"/>
    <w:rsid w:val="00F00C0E"/>
    <w:rsid w:val="00F00C0F"/>
    <w:rsid w:val="00F00C26"/>
    <w:rsid w:val="00F00D44"/>
    <w:rsid w:val="00F00EA4"/>
    <w:rsid w:val="00F00FAF"/>
    <w:rsid w:val="00F010A1"/>
    <w:rsid w:val="00F010E2"/>
    <w:rsid w:val="00F010F3"/>
    <w:rsid w:val="00F01227"/>
    <w:rsid w:val="00F01315"/>
    <w:rsid w:val="00F013CE"/>
    <w:rsid w:val="00F013E9"/>
    <w:rsid w:val="00F0149D"/>
    <w:rsid w:val="00F01521"/>
    <w:rsid w:val="00F015C3"/>
    <w:rsid w:val="00F015CD"/>
    <w:rsid w:val="00F016C3"/>
    <w:rsid w:val="00F0171F"/>
    <w:rsid w:val="00F01756"/>
    <w:rsid w:val="00F0177B"/>
    <w:rsid w:val="00F017FB"/>
    <w:rsid w:val="00F018DB"/>
    <w:rsid w:val="00F01ABB"/>
    <w:rsid w:val="00F01B1C"/>
    <w:rsid w:val="00F01BCF"/>
    <w:rsid w:val="00F01C6B"/>
    <w:rsid w:val="00F01CE5"/>
    <w:rsid w:val="00F01CF0"/>
    <w:rsid w:val="00F01E56"/>
    <w:rsid w:val="00F02084"/>
    <w:rsid w:val="00F02097"/>
    <w:rsid w:val="00F021DD"/>
    <w:rsid w:val="00F022DA"/>
    <w:rsid w:val="00F022DE"/>
    <w:rsid w:val="00F02347"/>
    <w:rsid w:val="00F02369"/>
    <w:rsid w:val="00F02499"/>
    <w:rsid w:val="00F024F3"/>
    <w:rsid w:val="00F025DD"/>
    <w:rsid w:val="00F026D4"/>
    <w:rsid w:val="00F026E1"/>
    <w:rsid w:val="00F02761"/>
    <w:rsid w:val="00F02762"/>
    <w:rsid w:val="00F02789"/>
    <w:rsid w:val="00F0287A"/>
    <w:rsid w:val="00F028F8"/>
    <w:rsid w:val="00F029B3"/>
    <w:rsid w:val="00F029CA"/>
    <w:rsid w:val="00F02A55"/>
    <w:rsid w:val="00F02ADC"/>
    <w:rsid w:val="00F02B6F"/>
    <w:rsid w:val="00F02D71"/>
    <w:rsid w:val="00F02DA6"/>
    <w:rsid w:val="00F02E5E"/>
    <w:rsid w:val="00F0301E"/>
    <w:rsid w:val="00F0303F"/>
    <w:rsid w:val="00F03084"/>
    <w:rsid w:val="00F0319E"/>
    <w:rsid w:val="00F03244"/>
    <w:rsid w:val="00F0344D"/>
    <w:rsid w:val="00F034B5"/>
    <w:rsid w:val="00F03568"/>
    <w:rsid w:val="00F035A0"/>
    <w:rsid w:val="00F03639"/>
    <w:rsid w:val="00F03780"/>
    <w:rsid w:val="00F037A5"/>
    <w:rsid w:val="00F037CC"/>
    <w:rsid w:val="00F03816"/>
    <w:rsid w:val="00F03949"/>
    <w:rsid w:val="00F03B91"/>
    <w:rsid w:val="00F03BB1"/>
    <w:rsid w:val="00F03BF2"/>
    <w:rsid w:val="00F03CA9"/>
    <w:rsid w:val="00F03CD1"/>
    <w:rsid w:val="00F03E81"/>
    <w:rsid w:val="00F03F1B"/>
    <w:rsid w:val="00F03F58"/>
    <w:rsid w:val="00F04192"/>
    <w:rsid w:val="00F041FC"/>
    <w:rsid w:val="00F042FE"/>
    <w:rsid w:val="00F04334"/>
    <w:rsid w:val="00F04366"/>
    <w:rsid w:val="00F0473D"/>
    <w:rsid w:val="00F047CB"/>
    <w:rsid w:val="00F04858"/>
    <w:rsid w:val="00F048C4"/>
    <w:rsid w:val="00F048EA"/>
    <w:rsid w:val="00F048FC"/>
    <w:rsid w:val="00F0491B"/>
    <w:rsid w:val="00F049D2"/>
    <w:rsid w:val="00F04BB8"/>
    <w:rsid w:val="00F04C33"/>
    <w:rsid w:val="00F04C77"/>
    <w:rsid w:val="00F04E57"/>
    <w:rsid w:val="00F04E70"/>
    <w:rsid w:val="00F04F26"/>
    <w:rsid w:val="00F04FE7"/>
    <w:rsid w:val="00F05089"/>
    <w:rsid w:val="00F050AE"/>
    <w:rsid w:val="00F05119"/>
    <w:rsid w:val="00F051C2"/>
    <w:rsid w:val="00F05298"/>
    <w:rsid w:val="00F052B4"/>
    <w:rsid w:val="00F0548F"/>
    <w:rsid w:val="00F054A4"/>
    <w:rsid w:val="00F054B2"/>
    <w:rsid w:val="00F054F0"/>
    <w:rsid w:val="00F05502"/>
    <w:rsid w:val="00F0553D"/>
    <w:rsid w:val="00F05549"/>
    <w:rsid w:val="00F0555F"/>
    <w:rsid w:val="00F05594"/>
    <w:rsid w:val="00F056C8"/>
    <w:rsid w:val="00F05719"/>
    <w:rsid w:val="00F05765"/>
    <w:rsid w:val="00F05896"/>
    <w:rsid w:val="00F05902"/>
    <w:rsid w:val="00F059A8"/>
    <w:rsid w:val="00F059BB"/>
    <w:rsid w:val="00F05A9D"/>
    <w:rsid w:val="00F05ACA"/>
    <w:rsid w:val="00F05B63"/>
    <w:rsid w:val="00F05B77"/>
    <w:rsid w:val="00F05BA7"/>
    <w:rsid w:val="00F05DC1"/>
    <w:rsid w:val="00F05DCD"/>
    <w:rsid w:val="00F05E93"/>
    <w:rsid w:val="00F05FC4"/>
    <w:rsid w:val="00F06037"/>
    <w:rsid w:val="00F060AF"/>
    <w:rsid w:val="00F060F3"/>
    <w:rsid w:val="00F06109"/>
    <w:rsid w:val="00F06175"/>
    <w:rsid w:val="00F06179"/>
    <w:rsid w:val="00F0620D"/>
    <w:rsid w:val="00F06235"/>
    <w:rsid w:val="00F0627E"/>
    <w:rsid w:val="00F0645E"/>
    <w:rsid w:val="00F066C3"/>
    <w:rsid w:val="00F0670E"/>
    <w:rsid w:val="00F06744"/>
    <w:rsid w:val="00F0675D"/>
    <w:rsid w:val="00F06781"/>
    <w:rsid w:val="00F06823"/>
    <w:rsid w:val="00F068BD"/>
    <w:rsid w:val="00F0696E"/>
    <w:rsid w:val="00F06A20"/>
    <w:rsid w:val="00F06A24"/>
    <w:rsid w:val="00F06AA5"/>
    <w:rsid w:val="00F06B50"/>
    <w:rsid w:val="00F06B80"/>
    <w:rsid w:val="00F06B85"/>
    <w:rsid w:val="00F06C1B"/>
    <w:rsid w:val="00F06C1E"/>
    <w:rsid w:val="00F06CB7"/>
    <w:rsid w:val="00F06D4D"/>
    <w:rsid w:val="00F06E66"/>
    <w:rsid w:val="00F06F5A"/>
    <w:rsid w:val="00F06FB2"/>
    <w:rsid w:val="00F0709A"/>
    <w:rsid w:val="00F070B1"/>
    <w:rsid w:val="00F07216"/>
    <w:rsid w:val="00F07366"/>
    <w:rsid w:val="00F073C4"/>
    <w:rsid w:val="00F0741F"/>
    <w:rsid w:val="00F07424"/>
    <w:rsid w:val="00F07625"/>
    <w:rsid w:val="00F0764A"/>
    <w:rsid w:val="00F07674"/>
    <w:rsid w:val="00F076B0"/>
    <w:rsid w:val="00F0775A"/>
    <w:rsid w:val="00F078B2"/>
    <w:rsid w:val="00F07902"/>
    <w:rsid w:val="00F07A4A"/>
    <w:rsid w:val="00F07B8F"/>
    <w:rsid w:val="00F07C8F"/>
    <w:rsid w:val="00F07C9D"/>
    <w:rsid w:val="00F07D0A"/>
    <w:rsid w:val="00F07DFA"/>
    <w:rsid w:val="00F07F15"/>
    <w:rsid w:val="00F07FA0"/>
    <w:rsid w:val="00F07FA9"/>
    <w:rsid w:val="00F10014"/>
    <w:rsid w:val="00F1004E"/>
    <w:rsid w:val="00F1009A"/>
    <w:rsid w:val="00F100EE"/>
    <w:rsid w:val="00F100F3"/>
    <w:rsid w:val="00F1021D"/>
    <w:rsid w:val="00F10406"/>
    <w:rsid w:val="00F10442"/>
    <w:rsid w:val="00F106B8"/>
    <w:rsid w:val="00F106C5"/>
    <w:rsid w:val="00F10781"/>
    <w:rsid w:val="00F107E8"/>
    <w:rsid w:val="00F107F1"/>
    <w:rsid w:val="00F107F7"/>
    <w:rsid w:val="00F10928"/>
    <w:rsid w:val="00F109B2"/>
    <w:rsid w:val="00F109E9"/>
    <w:rsid w:val="00F10A7E"/>
    <w:rsid w:val="00F10AE4"/>
    <w:rsid w:val="00F10BE9"/>
    <w:rsid w:val="00F10C67"/>
    <w:rsid w:val="00F10C8F"/>
    <w:rsid w:val="00F10CF9"/>
    <w:rsid w:val="00F10D29"/>
    <w:rsid w:val="00F10DE6"/>
    <w:rsid w:val="00F10E01"/>
    <w:rsid w:val="00F10FD1"/>
    <w:rsid w:val="00F10FF7"/>
    <w:rsid w:val="00F11093"/>
    <w:rsid w:val="00F110A4"/>
    <w:rsid w:val="00F110C6"/>
    <w:rsid w:val="00F110DF"/>
    <w:rsid w:val="00F11122"/>
    <w:rsid w:val="00F11160"/>
    <w:rsid w:val="00F1127B"/>
    <w:rsid w:val="00F1129F"/>
    <w:rsid w:val="00F112A7"/>
    <w:rsid w:val="00F113A5"/>
    <w:rsid w:val="00F11473"/>
    <w:rsid w:val="00F11552"/>
    <w:rsid w:val="00F1161A"/>
    <w:rsid w:val="00F1177A"/>
    <w:rsid w:val="00F1182C"/>
    <w:rsid w:val="00F11882"/>
    <w:rsid w:val="00F11A66"/>
    <w:rsid w:val="00F11C44"/>
    <w:rsid w:val="00F11C52"/>
    <w:rsid w:val="00F11D08"/>
    <w:rsid w:val="00F11D3E"/>
    <w:rsid w:val="00F11E98"/>
    <w:rsid w:val="00F11E99"/>
    <w:rsid w:val="00F1202E"/>
    <w:rsid w:val="00F12054"/>
    <w:rsid w:val="00F120B3"/>
    <w:rsid w:val="00F121B2"/>
    <w:rsid w:val="00F12240"/>
    <w:rsid w:val="00F1228E"/>
    <w:rsid w:val="00F122F7"/>
    <w:rsid w:val="00F12377"/>
    <w:rsid w:val="00F12537"/>
    <w:rsid w:val="00F125DF"/>
    <w:rsid w:val="00F125F8"/>
    <w:rsid w:val="00F1268B"/>
    <w:rsid w:val="00F12698"/>
    <w:rsid w:val="00F12980"/>
    <w:rsid w:val="00F12A12"/>
    <w:rsid w:val="00F12BCF"/>
    <w:rsid w:val="00F12D3B"/>
    <w:rsid w:val="00F12DDC"/>
    <w:rsid w:val="00F130F3"/>
    <w:rsid w:val="00F13136"/>
    <w:rsid w:val="00F1330D"/>
    <w:rsid w:val="00F13445"/>
    <w:rsid w:val="00F13455"/>
    <w:rsid w:val="00F134D0"/>
    <w:rsid w:val="00F13505"/>
    <w:rsid w:val="00F13570"/>
    <w:rsid w:val="00F1357A"/>
    <w:rsid w:val="00F135E5"/>
    <w:rsid w:val="00F136FE"/>
    <w:rsid w:val="00F13736"/>
    <w:rsid w:val="00F13894"/>
    <w:rsid w:val="00F138D9"/>
    <w:rsid w:val="00F139AC"/>
    <w:rsid w:val="00F13B24"/>
    <w:rsid w:val="00F13B76"/>
    <w:rsid w:val="00F13BB4"/>
    <w:rsid w:val="00F13BE4"/>
    <w:rsid w:val="00F13D31"/>
    <w:rsid w:val="00F13D79"/>
    <w:rsid w:val="00F13DA4"/>
    <w:rsid w:val="00F13DF0"/>
    <w:rsid w:val="00F13E03"/>
    <w:rsid w:val="00F13E4B"/>
    <w:rsid w:val="00F13EBC"/>
    <w:rsid w:val="00F13F16"/>
    <w:rsid w:val="00F14091"/>
    <w:rsid w:val="00F140A5"/>
    <w:rsid w:val="00F140D8"/>
    <w:rsid w:val="00F14113"/>
    <w:rsid w:val="00F14114"/>
    <w:rsid w:val="00F142E2"/>
    <w:rsid w:val="00F14317"/>
    <w:rsid w:val="00F143E2"/>
    <w:rsid w:val="00F144CE"/>
    <w:rsid w:val="00F14562"/>
    <w:rsid w:val="00F14734"/>
    <w:rsid w:val="00F1486B"/>
    <w:rsid w:val="00F149ED"/>
    <w:rsid w:val="00F14A55"/>
    <w:rsid w:val="00F14A5D"/>
    <w:rsid w:val="00F14A6C"/>
    <w:rsid w:val="00F14C5B"/>
    <w:rsid w:val="00F14E51"/>
    <w:rsid w:val="00F14E91"/>
    <w:rsid w:val="00F14EC4"/>
    <w:rsid w:val="00F14F04"/>
    <w:rsid w:val="00F15036"/>
    <w:rsid w:val="00F15088"/>
    <w:rsid w:val="00F150C1"/>
    <w:rsid w:val="00F151C0"/>
    <w:rsid w:val="00F151F8"/>
    <w:rsid w:val="00F152E7"/>
    <w:rsid w:val="00F152EC"/>
    <w:rsid w:val="00F15305"/>
    <w:rsid w:val="00F15318"/>
    <w:rsid w:val="00F15386"/>
    <w:rsid w:val="00F1549F"/>
    <w:rsid w:val="00F15512"/>
    <w:rsid w:val="00F1558D"/>
    <w:rsid w:val="00F155CD"/>
    <w:rsid w:val="00F157A6"/>
    <w:rsid w:val="00F15806"/>
    <w:rsid w:val="00F15808"/>
    <w:rsid w:val="00F15861"/>
    <w:rsid w:val="00F15922"/>
    <w:rsid w:val="00F15ADF"/>
    <w:rsid w:val="00F15BDF"/>
    <w:rsid w:val="00F15C2E"/>
    <w:rsid w:val="00F15C83"/>
    <w:rsid w:val="00F15CB9"/>
    <w:rsid w:val="00F15D8E"/>
    <w:rsid w:val="00F15DD8"/>
    <w:rsid w:val="00F16071"/>
    <w:rsid w:val="00F161E0"/>
    <w:rsid w:val="00F16390"/>
    <w:rsid w:val="00F163AB"/>
    <w:rsid w:val="00F1647A"/>
    <w:rsid w:val="00F165CD"/>
    <w:rsid w:val="00F1662D"/>
    <w:rsid w:val="00F1664A"/>
    <w:rsid w:val="00F16770"/>
    <w:rsid w:val="00F16A5F"/>
    <w:rsid w:val="00F16AB2"/>
    <w:rsid w:val="00F16BC1"/>
    <w:rsid w:val="00F16C59"/>
    <w:rsid w:val="00F16D88"/>
    <w:rsid w:val="00F16EAF"/>
    <w:rsid w:val="00F16EB6"/>
    <w:rsid w:val="00F17247"/>
    <w:rsid w:val="00F17400"/>
    <w:rsid w:val="00F17405"/>
    <w:rsid w:val="00F175FA"/>
    <w:rsid w:val="00F17693"/>
    <w:rsid w:val="00F1769B"/>
    <w:rsid w:val="00F177FA"/>
    <w:rsid w:val="00F17801"/>
    <w:rsid w:val="00F178F7"/>
    <w:rsid w:val="00F179C3"/>
    <w:rsid w:val="00F17A60"/>
    <w:rsid w:val="00F17AAB"/>
    <w:rsid w:val="00F17B67"/>
    <w:rsid w:val="00F17B97"/>
    <w:rsid w:val="00F17D22"/>
    <w:rsid w:val="00F17D31"/>
    <w:rsid w:val="00F17EA9"/>
    <w:rsid w:val="00F17F11"/>
    <w:rsid w:val="00F17F6C"/>
    <w:rsid w:val="00F2009D"/>
    <w:rsid w:val="00F20160"/>
    <w:rsid w:val="00F20165"/>
    <w:rsid w:val="00F2022D"/>
    <w:rsid w:val="00F2027F"/>
    <w:rsid w:val="00F20284"/>
    <w:rsid w:val="00F204AD"/>
    <w:rsid w:val="00F20507"/>
    <w:rsid w:val="00F2056D"/>
    <w:rsid w:val="00F20592"/>
    <w:rsid w:val="00F2083B"/>
    <w:rsid w:val="00F2083E"/>
    <w:rsid w:val="00F208A9"/>
    <w:rsid w:val="00F20903"/>
    <w:rsid w:val="00F2096E"/>
    <w:rsid w:val="00F209AB"/>
    <w:rsid w:val="00F209AF"/>
    <w:rsid w:val="00F209B3"/>
    <w:rsid w:val="00F20A35"/>
    <w:rsid w:val="00F20A93"/>
    <w:rsid w:val="00F20B98"/>
    <w:rsid w:val="00F20B99"/>
    <w:rsid w:val="00F20BCC"/>
    <w:rsid w:val="00F20BFB"/>
    <w:rsid w:val="00F21093"/>
    <w:rsid w:val="00F21160"/>
    <w:rsid w:val="00F211B0"/>
    <w:rsid w:val="00F211C2"/>
    <w:rsid w:val="00F21281"/>
    <w:rsid w:val="00F212AC"/>
    <w:rsid w:val="00F2144D"/>
    <w:rsid w:val="00F2155F"/>
    <w:rsid w:val="00F215A5"/>
    <w:rsid w:val="00F21623"/>
    <w:rsid w:val="00F2167E"/>
    <w:rsid w:val="00F216EA"/>
    <w:rsid w:val="00F21789"/>
    <w:rsid w:val="00F21910"/>
    <w:rsid w:val="00F2194E"/>
    <w:rsid w:val="00F219F9"/>
    <w:rsid w:val="00F21A25"/>
    <w:rsid w:val="00F21A66"/>
    <w:rsid w:val="00F21A85"/>
    <w:rsid w:val="00F21AC0"/>
    <w:rsid w:val="00F21AF4"/>
    <w:rsid w:val="00F21B17"/>
    <w:rsid w:val="00F21B73"/>
    <w:rsid w:val="00F21BB9"/>
    <w:rsid w:val="00F21BED"/>
    <w:rsid w:val="00F21CD0"/>
    <w:rsid w:val="00F21D1A"/>
    <w:rsid w:val="00F21D24"/>
    <w:rsid w:val="00F21EC0"/>
    <w:rsid w:val="00F21EC1"/>
    <w:rsid w:val="00F22124"/>
    <w:rsid w:val="00F2216E"/>
    <w:rsid w:val="00F2237F"/>
    <w:rsid w:val="00F22399"/>
    <w:rsid w:val="00F22535"/>
    <w:rsid w:val="00F225D4"/>
    <w:rsid w:val="00F22600"/>
    <w:rsid w:val="00F22637"/>
    <w:rsid w:val="00F226FE"/>
    <w:rsid w:val="00F22725"/>
    <w:rsid w:val="00F22744"/>
    <w:rsid w:val="00F227B1"/>
    <w:rsid w:val="00F2282A"/>
    <w:rsid w:val="00F22A8C"/>
    <w:rsid w:val="00F22BC5"/>
    <w:rsid w:val="00F22C29"/>
    <w:rsid w:val="00F22C8D"/>
    <w:rsid w:val="00F22D70"/>
    <w:rsid w:val="00F22DE9"/>
    <w:rsid w:val="00F22E95"/>
    <w:rsid w:val="00F22E9F"/>
    <w:rsid w:val="00F22F10"/>
    <w:rsid w:val="00F22F30"/>
    <w:rsid w:val="00F22F7B"/>
    <w:rsid w:val="00F2306C"/>
    <w:rsid w:val="00F230B6"/>
    <w:rsid w:val="00F230E8"/>
    <w:rsid w:val="00F230F7"/>
    <w:rsid w:val="00F231AE"/>
    <w:rsid w:val="00F231B4"/>
    <w:rsid w:val="00F2324C"/>
    <w:rsid w:val="00F23282"/>
    <w:rsid w:val="00F233CF"/>
    <w:rsid w:val="00F23413"/>
    <w:rsid w:val="00F2350A"/>
    <w:rsid w:val="00F23591"/>
    <w:rsid w:val="00F2360A"/>
    <w:rsid w:val="00F236A5"/>
    <w:rsid w:val="00F236B5"/>
    <w:rsid w:val="00F236C6"/>
    <w:rsid w:val="00F23766"/>
    <w:rsid w:val="00F23797"/>
    <w:rsid w:val="00F237B2"/>
    <w:rsid w:val="00F237E5"/>
    <w:rsid w:val="00F23872"/>
    <w:rsid w:val="00F2388A"/>
    <w:rsid w:val="00F238C3"/>
    <w:rsid w:val="00F23A38"/>
    <w:rsid w:val="00F23AE8"/>
    <w:rsid w:val="00F23B15"/>
    <w:rsid w:val="00F23B88"/>
    <w:rsid w:val="00F23C45"/>
    <w:rsid w:val="00F23C52"/>
    <w:rsid w:val="00F23CF1"/>
    <w:rsid w:val="00F23CF9"/>
    <w:rsid w:val="00F23F2B"/>
    <w:rsid w:val="00F23FDD"/>
    <w:rsid w:val="00F24059"/>
    <w:rsid w:val="00F240EE"/>
    <w:rsid w:val="00F24159"/>
    <w:rsid w:val="00F24170"/>
    <w:rsid w:val="00F24191"/>
    <w:rsid w:val="00F2420E"/>
    <w:rsid w:val="00F24260"/>
    <w:rsid w:val="00F2427C"/>
    <w:rsid w:val="00F2439B"/>
    <w:rsid w:val="00F245C8"/>
    <w:rsid w:val="00F245DC"/>
    <w:rsid w:val="00F245E4"/>
    <w:rsid w:val="00F247B0"/>
    <w:rsid w:val="00F24885"/>
    <w:rsid w:val="00F248D8"/>
    <w:rsid w:val="00F249B3"/>
    <w:rsid w:val="00F24C9C"/>
    <w:rsid w:val="00F24CD5"/>
    <w:rsid w:val="00F24CE9"/>
    <w:rsid w:val="00F24D06"/>
    <w:rsid w:val="00F24DAC"/>
    <w:rsid w:val="00F24E55"/>
    <w:rsid w:val="00F24F0F"/>
    <w:rsid w:val="00F24F3E"/>
    <w:rsid w:val="00F24F6F"/>
    <w:rsid w:val="00F24F9A"/>
    <w:rsid w:val="00F24F9F"/>
    <w:rsid w:val="00F2505B"/>
    <w:rsid w:val="00F25137"/>
    <w:rsid w:val="00F2522E"/>
    <w:rsid w:val="00F25378"/>
    <w:rsid w:val="00F253B0"/>
    <w:rsid w:val="00F254D4"/>
    <w:rsid w:val="00F2554F"/>
    <w:rsid w:val="00F2561F"/>
    <w:rsid w:val="00F25653"/>
    <w:rsid w:val="00F256D3"/>
    <w:rsid w:val="00F2571A"/>
    <w:rsid w:val="00F257DA"/>
    <w:rsid w:val="00F2582F"/>
    <w:rsid w:val="00F258E2"/>
    <w:rsid w:val="00F258F7"/>
    <w:rsid w:val="00F25904"/>
    <w:rsid w:val="00F2594C"/>
    <w:rsid w:val="00F25BC0"/>
    <w:rsid w:val="00F25BE5"/>
    <w:rsid w:val="00F25C8F"/>
    <w:rsid w:val="00F25DB5"/>
    <w:rsid w:val="00F25DC1"/>
    <w:rsid w:val="00F25DE8"/>
    <w:rsid w:val="00F25E07"/>
    <w:rsid w:val="00F25E22"/>
    <w:rsid w:val="00F25F4A"/>
    <w:rsid w:val="00F2601B"/>
    <w:rsid w:val="00F2605F"/>
    <w:rsid w:val="00F2612F"/>
    <w:rsid w:val="00F26184"/>
    <w:rsid w:val="00F26421"/>
    <w:rsid w:val="00F264E1"/>
    <w:rsid w:val="00F2659D"/>
    <w:rsid w:val="00F266FE"/>
    <w:rsid w:val="00F26859"/>
    <w:rsid w:val="00F26AB9"/>
    <w:rsid w:val="00F26B72"/>
    <w:rsid w:val="00F26BF6"/>
    <w:rsid w:val="00F26C28"/>
    <w:rsid w:val="00F26D17"/>
    <w:rsid w:val="00F26D45"/>
    <w:rsid w:val="00F26D46"/>
    <w:rsid w:val="00F26E12"/>
    <w:rsid w:val="00F26FA8"/>
    <w:rsid w:val="00F26FFF"/>
    <w:rsid w:val="00F272E4"/>
    <w:rsid w:val="00F272F2"/>
    <w:rsid w:val="00F273D7"/>
    <w:rsid w:val="00F27405"/>
    <w:rsid w:val="00F27472"/>
    <w:rsid w:val="00F27521"/>
    <w:rsid w:val="00F2760E"/>
    <w:rsid w:val="00F276E0"/>
    <w:rsid w:val="00F276FB"/>
    <w:rsid w:val="00F277C2"/>
    <w:rsid w:val="00F27940"/>
    <w:rsid w:val="00F279BE"/>
    <w:rsid w:val="00F27A53"/>
    <w:rsid w:val="00F27B1F"/>
    <w:rsid w:val="00F27BBC"/>
    <w:rsid w:val="00F27C8A"/>
    <w:rsid w:val="00F27C96"/>
    <w:rsid w:val="00F27D1B"/>
    <w:rsid w:val="00F27D7B"/>
    <w:rsid w:val="00F27E3D"/>
    <w:rsid w:val="00F27ED3"/>
    <w:rsid w:val="00F27F82"/>
    <w:rsid w:val="00F30028"/>
    <w:rsid w:val="00F3024F"/>
    <w:rsid w:val="00F302BD"/>
    <w:rsid w:val="00F3041C"/>
    <w:rsid w:val="00F30518"/>
    <w:rsid w:val="00F3070C"/>
    <w:rsid w:val="00F30736"/>
    <w:rsid w:val="00F30787"/>
    <w:rsid w:val="00F30936"/>
    <w:rsid w:val="00F3093A"/>
    <w:rsid w:val="00F30ADA"/>
    <w:rsid w:val="00F30B14"/>
    <w:rsid w:val="00F30B22"/>
    <w:rsid w:val="00F30C57"/>
    <w:rsid w:val="00F30CB6"/>
    <w:rsid w:val="00F30D0F"/>
    <w:rsid w:val="00F30D20"/>
    <w:rsid w:val="00F30D28"/>
    <w:rsid w:val="00F30D31"/>
    <w:rsid w:val="00F30D7C"/>
    <w:rsid w:val="00F30DF1"/>
    <w:rsid w:val="00F30F0B"/>
    <w:rsid w:val="00F30F95"/>
    <w:rsid w:val="00F30FE1"/>
    <w:rsid w:val="00F310CE"/>
    <w:rsid w:val="00F311DA"/>
    <w:rsid w:val="00F31360"/>
    <w:rsid w:val="00F3136A"/>
    <w:rsid w:val="00F313A6"/>
    <w:rsid w:val="00F3141C"/>
    <w:rsid w:val="00F314B7"/>
    <w:rsid w:val="00F31618"/>
    <w:rsid w:val="00F316D5"/>
    <w:rsid w:val="00F316FC"/>
    <w:rsid w:val="00F3170B"/>
    <w:rsid w:val="00F3174C"/>
    <w:rsid w:val="00F317A0"/>
    <w:rsid w:val="00F31909"/>
    <w:rsid w:val="00F31996"/>
    <w:rsid w:val="00F31A04"/>
    <w:rsid w:val="00F31A13"/>
    <w:rsid w:val="00F31AD2"/>
    <w:rsid w:val="00F31B5B"/>
    <w:rsid w:val="00F31C11"/>
    <w:rsid w:val="00F31CC8"/>
    <w:rsid w:val="00F31CF1"/>
    <w:rsid w:val="00F31E84"/>
    <w:rsid w:val="00F31F51"/>
    <w:rsid w:val="00F32056"/>
    <w:rsid w:val="00F3221C"/>
    <w:rsid w:val="00F3226D"/>
    <w:rsid w:val="00F322F8"/>
    <w:rsid w:val="00F3242F"/>
    <w:rsid w:val="00F324B1"/>
    <w:rsid w:val="00F326F4"/>
    <w:rsid w:val="00F3271F"/>
    <w:rsid w:val="00F3275E"/>
    <w:rsid w:val="00F32A3F"/>
    <w:rsid w:val="00F32AB4"/>
    <w:rsid w:val="00F32AEF"/>
    <w:rsid w:val="00F32AF2"/>
    <w:rsid w:val="00F32B19"/>
    <w:rsid w:val="00F32B20"/>
    <w:rsid w:val="00F32D04"/>
    <w:rsid w:val="00F32D18"/>
    <w:rsid w:val="00F32D88"/>
    <w:rsid w:val="00F32DB2"/>
    <w:rsid w:val="00F33273"/>
    <w:rsid w:val="00F3329C"/>
    <w:rsid w:val="00F33526"/>
    <w:rsid w:val="00F335C6"/>
    <w:rsid w:val="00F335D6"/>
    <w:rsid w:val="00F33745"/>
    <w:rsid w:val="00F33855"/>
    <w:rsid w:val="00F338CD"/>
    <w:rsid w:val="00F33938"/>
    <w:rsid w:val="00F339A1"/>
    <w:rsid w:val="00F339BC"/>
    <w:rsid w:val="00F339E9"/>
    <w:rsid w:val="00F33A3D"/>
    <w:rsid w:val="00F33AD1"/>
    <w:rsid w:val="00F33B80"/>
    <w:rsid w:val="00F33BBD"/>
    <w:rsid w:val="00F33BF1"/>
    <w:rsid w:val="00F33D0E"/>
    <w:rsid w:val="00F33E18"/>
    <w:rsid w:val="00F33F65"/>
    <w:rsid w:val="00F33FDE"/>
    <w:rsid w:val="00F33FF7"/>
    <w:rsid w:val="00F34022"/>
    <w:rsid w:val="00F34148"/>
    <w:rsid w:val="00F341B4"/>
    <w:rsid w:val="00F341D5"/>
    <w:rsid w:val="00F3422B"/>
    <w:rsid w:val="00F342E7"/>
    <w:rsid w:val="00F343E5"/>
    <w:rsid w:val="00F3442D"/>
    <w:rsid w:val="00F34437"/>
    <w:rsid w:val="00F3458F"/>
    <w:rsid w:val="00F345E2"/>
    <w:rsid w:val="00F34801"/>
    <w:rsid w:val="00F34856"/>
    <w:rsid w:val="00F3498D"/>
    <w:rsid w:val="00F34A2D"/>
    <w:rsid w:val="00F34B29"/>
    <w:rsid w:val="00F34C47"/>
    <w:rsid w:val="00F34C9E"/>
    <w:rsid w:val="00F34CB3"/>
    <w:rsid w:val="00F34D3D"/>
    <w:rsid w:val="00F34D9D"/>
    <w:rsid w:val="00F34DCA"/>
    <w:rsid w:val="00F351DB"/>
    <w:rsid w:val="00F351FF"/>
    <w:rsid w:val="00F35337"/>
    <w:rsid w:val="00F35456"/>
    <w:rsid w:val="00F35607"/>
    <w:rsid w:val="00F35775"/>
    <w:rsid w:val="00F3582F"/>
    <w:rsid w:val="00F3584C"/>
    <w:rsid w:val="00F359A3"/>
    <w:rsid w:val="00F35B85"/>
    <w:rsid w:val="00F35BBD"/>
    <w:rsid w:val="00F35CF0"/>
    <w:rsid w:val="00F35D47"/>
    <w:rsid w:val="00F35DEB"/>
    <w:rsid w:val="00F35DF1"/>
    <w:rsid w:val="00F35FAC"/>
    <w:rsid w:val="00F35FB0"/>
    <w:rsid w:val="00F36084"/>
    <w:rsid w:val="00F360BE"/>
    <w:rsid w:val="00F360C1"/>
    <w:rsid w:val="00F3612E"/>
    <w:rsid w:val="00F361C7"/>
    <w:rsid w:val="00F3626F"/>
    <w:rsid w:val="00F363AF"/>
    <w:rsid w:val="00F36462"/>
    <w:rsid w:val="00F3648A"/>
    <w:rsid w:val="00F364B2"/>
    <w:rsid w:val="00F36542"/>
    <w:rsid w:val="00F365D8"/>
    <w:rsid w:val="00F365E4"/>
    <w:rsid w:val="00F36726"/>
    <w:rsid w:val="00F36766"/>
    <w:rsid w:val="00F367E9"/>
    <w:rsid w:val="00F36827"/>
    <w:rsid w:val="00F368D9"/>
    <w:rsid w:val="00F36979"/>
    <w:rsid w:val="00F36A0A"/>
    <w:rsid w:val="00F36AC1"/>
    <w:rsid w:val="00F36C8F"/>
    <w:rsid w:val="00F36D05"/>
    <w:rsid w:val="00F36F26"/>
    <w:rsid w:val="00F36F8A"/>
    <w:rsid w:val="00F37020"/>
    <w:rsid w:val="00F37103"/>
    <w:rsid w:val="00F37126"/>
    <w:rsid w:val="00F372F1"/>
    <w:rsid w:val="00F3749B"/>
    <w:rsid w:val="00F374B6"/>
    <w:rsid w:val="00F37658"/>
    <w:rsid w:val="00F3766A"/>
    <w:rsid w:val="00F3784B"/>
    <w:rsid w:val="00F378E5"/>
    <w:rsid w:val="00F37994"/>
    <w:rsid w:val="00F379A6"/>
    <w:rsid w:val="00F37B9F"/>
    <w:rsid w:val="00F37C66"/>
    <w:rsid w:val="00F37CC3"/>
    <w:rsid w:val="00F37D6D"/>
    <w:rsid w:val="00F37D89"/>
    <w:rsid w:val="00F37F0D"/>
    <w:rsid w:val="00F4014F"/>
    <w:rsid w:val="00F402A8"/>
    <w:rsid w:val="00F4037B"/>
    <w:rsid w:val="00F4039C"/>
    <w:rsid w:val="00F403D6"/>
    <w:rsid w:val="00F4046D"/>
    <w:rsid w:val="00F404F8"/>
    <w:rsid w:val="00F405B8"/>
    <w:rsid w:val="00F40757"/>
    <w:rsid w:val="00F407D4"/>
    <w:rsid w:val="00F40814"/>
    <w:rsid w:val="00F40895"/>
    <w:rsid w:val="00F409A1"/>
    <w:rsid w:val="00F40A27"/>
    <w:rsid w:val="00F40A65"/>
    <w:rsid w:val="00F40B3F"/>
    <w:rsid w:val="00F40C0F"/>
    <w:rsid w:val="00F40C2F"/>
    <w:rsid w:val="00F40CC7"/>
    <w:rsid w:val="00F40D3B"/>
    <w:rsid w:val="00F40D47"/>
    <w:rsid w:val="00F40D72"/>
    <w:rsid w:val="00F40EF6"/>
    <w:rsid w:val="00F41155"/>
    <w:rsid w:val="00F41174"/>
    <w:rsid w:val="00F411D0"/>
    <w:rsid w:val="00F41252"/>
    <w:rsid w:val="00F41253"/>
    <w:rsid w:val="00F412AE"/>
    <w:rsid w:val="00F41474"/>
    <w:rsid w:val="00F414CF"/>
    <w:rsid w:val="00F414D3"/>
    <w:rsid w:val="00F415A7"/>
    <w:rsid w:val="00F416B7"/>
    <w:rsid w:val="00F417A6"/>
    <w:rsid w:val="00F417A8"/>
    <w:rsid w:val="00F417B9"/>
    <w:rsid w:val="00F417C4"/>
    <w:rsid w:val="00F4186E"/>
    <w:rsid w:val="00F41870"/>
    <w:rsid w:val="00F41B02"/>
    <w:rsid w:val="00F41BC7"/>
    <w:rsid w:val="00F41BF5"/>
    <w:rsid w:val="00F41C87"/>
    <w:rsid w:val="00F41F89"/>
    <w:rsid w:val="00F41F8E"/>
    <w:rsid w:val="00F41FC2"/>
    <w:rsid w:val="00F4202C"/>
    <w:rsid w:val="00F42084"/>
    <w:rsid w:val="00F420A1"/>
    <w:rsid w:val="00F423A1"/>
    <w:rsid w:val="00F42408"/>
    <w:rsid w:val="00F4252D"/>
    <w:rsid w:val="00F42709"/>
    <w:rsid w:val="00F42785"/>
    <w:rsid w:val="00F427D4"/>
    <w:rsid w:val="00F42808"/>
    <w:rsid w:val="00F4284B"/>
    <w:rsid w:val="00F42924"/>
    <w:rsid w:val="00F42A4D"/>
    <w:rsid w:val="00F42B84"/>
    <w:rsid w:val="00F42BAD"/>
    <w:rsid w:val="00F42CDA"/>
    <w:rsid w:val="00F42CDF"/>
    <w:rsid w:val="00F42DBC"/>
    <w:rsid w:val="00F42E06"/>
    <w:rsid w:val="00F42E35"/>
    <w:rsid w:val="00F42E5C"/>
    <w:rsid w:val="00F42E9E"/>
    <w:rsid w:val="00F42F31"/>
    <w:rsid w:val="00F42F3D"/>
    <w:rsid w:val="00F4306F"/>
    <w:rsid w:val="00F43077"/>
    <w:rsid w:val="00F430EF"/>
    <w:rsid w:val="00F430FB"/>
    <w:rsid w:val="00F431BC"/>
    <w:rsid w:val="00F4323F"/>
    <w:rsid w:val="00F43269"/>
    <w:rsid w:val="00F43459"/>
    <w:rsid w:val="00F434CA"/>
    <w:rsid w:val="00F4353A"/>
    <w:rsid w:val="00F4379B"/>
    <w:rsid w:val="00F43805"/>
    <w:rsid w:val="00F43837"/>
    <w:rsid w:val="00F43899"/>
    <w:rsid w:val="00F438DA"/>
    <w:rsid w:val="00F4393E"/>
    <w:rsid w:val="00F43A73"/>
    <w:rsid w:val="00F43B3E"/>
    <w:rsid w:val="00F43B96"/>
    <w:rsid w:val="00F43BD6"/>
    <w:rsid w:val="00F43D7D"/>
    <w:rsid w:val="00F43DC1"/>
    <w:rsid w:val="00F43DC3"/>
    <w:rsid w:val="00F43F22"/>
    <w:rsid w:val="00F43F7F"/>
    <w:rsid w:val="00F44065"/>
    <w:rsid w:val="00F44077"/>
    <w:rsid w:val="00F44130"/>
    <w:rsid w:val="00F441C9"/>
    <w:rsid w:val="00F441D9"/>
    <w:rsid w:val="00F44336"/>
    <w:rsid w:val="00F44455"/>
    <w:rsid w:val="00F4446B"/>
    <w:rsid w:val="00F444ED"/>
    <w:rsid w:val="00F44560"/>
    <w:rsid w:val="00F445CC"/>
    <w:rsid w:val="00F445DA"/>
    <w:rsid w:val="00F44600"/>
    <w:rsid w:val="00F4463F"/>
    <w:rsid w:val="00F446C2"/>
    <w:rsid w:val="00F446DC"/>
    <w:rsid w:val="00F446EE"/>
    <w:rsid w:val="00F4486F"/>
    <w:rsid w:val="00F44907"/>
    <w:rsid w:val="00F44974"/>
    <w:rsid w:val="00F449C0"/>
    <w:rsid w:val="00F44A82"/>
    <w:rsid w:val="00F44A97"/>
    <w:rsid w:val="00F44AA2"/>
    <w:rsid w:val="00F44AFC"/>
    <w:rsid w:val="00F44BE7"/>
    <w:rsid w:val="00F44C42"/>
    <w:rsid w:val="00F44CCF"/>
    <w:rsid w:val="00F44DFA"/>
    <w:rsid w:val="00F44E7B"/>
    <w:rsid w:val="00F44FAB"/>
    <w:rsid w:val="00F44FEC"/>
    <w:rsid w:val="00F4507F"/>
    <w:rsid w:val="00F4509F"/>
    <w:rsid w:val="00F450A4"/>
    <w:rsid w:val="00F4510B"/>
    <w:rsid w:val="00F4515D"/>
    <w:rsid w:val="00F451CD"/>
    <w:rsid w:val="00F4554C"/>
    <w:rsid w:val="00F457B9"/>
    <w:rsid w:val="00F457C3"/>
    <w:rsid w:val="00F457CA"/>
    <w:rsid w:val="00F459D3"/>
    <w:rsid w:val="00F45ACF"/>
    <w:rsid w:val="00F45AFC"/>
    <w:rsid w:val="00F45BAD"/>
    <w:rsid w:val="00F45C0C"/>
    <w:rsid w:val="00F45C1F"/>
    <w:rsid w:val="00F45D0C"/>
    <w:rsid w:val="00F45FBB"/>
    <w:rsid w:val="00F460D7"/>
    <w:rsid w:val="00F46193"/>
    <w:rsid w:val="00F46256"/>
    <w:rsid w:val="00F46315"/>
    <w:rsid w:val="00F4633C"/>
    <w:rsid w:val="00F46352"/>
    <w:rsid w:val="00F463E7"/>
    <w:rsid w:val="00F46443"/>
    <w:rsid w:val="00F4650C"/>
    <w:rsid w:val="00F46561"/>
    <w:rsid w:val="00F4665F"/>
    <w:rsid w:val="00F4675E"/>
    <w:rsid w:val="00F46844"/>
    <w:rsid w:val="00F468A9"/>
    <w:rsid w:val="00F468C2"/>
    <w:rsid w:val="00F4690C"/>
    <w:rsid w:val="00F46AB6"/>
    <w:rsid w:val="00F46B52"/>
    <w:rsid w:val="00F46BF0"/>
    <w:rsid w:val="00F46C42"/>
    <w:rsid w:val="00F46C56"/>
    <w:rsid w:val="00F46CDB"/>
    <w:rsid w:val="00F46DC4"/>
    <w:rsid w:val="00F46DD2"/>
    <w:rsid w:val="00F46E79"/>
    <w:rsid w:val="00F46F8A"/>
    <w:rsid w:val="00F46FDF"/>
    <w:rsid w:val="00F4700E"/>
    <w:rsid w:val="00F4719C"/>
    <w:rsid w:val="00F471E0"/>
    <w:rsid w:val="00F472F7"/>
    <w:rsid w:val="00F4730D"/>
    <w:rsid w:val="00F4740B"/>
    <w:rsid w:val="00F4742B"/>
    <w:rsid w:val="00F474C9"/>
    <w:rsid w:val="00F47526"/>
    <w:rsid w:val="00F475A6"/>
    <w:rsid w:val="00F4763C"/>
    <w:rsid w:val="00F4768D"/>
    <w:rsid w:val="00F476F0"/>
    <w:rsid w:val="00F4779C"/>
    <w:rsid w:val="00F47805"/>
    <w:rsid w:val="00F478CA"/>
    <w:rsid w:val="00F478EE"/>
    <w:rsid w:val="00F478F7"/>
    <w:rsid w:val="00F47A82"/>
    <w:rsid w:val="00F47AD1"/>
    <w:rsid w:val="00F47ADC"/>
    <w:rsid w:val="00F47D60"/>
    <w:rsid w:val="00F47DDA"/>
    <w:rsid w:val="00F47E6E"/>
    <w:rsid w:val="00F47FF1"/>
    <w:rsid w:val="00F5004E"/>
    <w:rsid w:val="00F50084"/>
    <w:rsid w:val="00F50167"/>
    <w:rsid w:val="00F501D5"/>
    <w:rsid w:val="00F50220"/>
    <w:rsid w:val="00F5032E"/>
    <w:rsid w:val="00F503DE"/>
    <w:rsid w:val="00F5045C"/>
    <w:rsid w:val="00F504AD"/>
    <w:rsid w:val="00F504FC"/>
    <w:rsid w:val="00F50528"/>
    <w:rsid w:val="00F5063E"/>
    <w:rsid w:val="00F5065C"/>
    <w:rsid w:val="00F506C7"/>
    <w:rsid w:val="00F50800"/>
    <w:rsid w:val="00F5086D"/>
    <w:rsid w:val="00F5096A"/>
    <w:rsid w:val="00F509B7"/>
    <w:rsid w:val="00F509C1"/>
    <w:rsid w:val="00F509E9"/>
    <w:rsid w:val="00F50AF3"/>
    <w:rsid w:val="00F50BB1"/>
    <w:rsid w:val="00F50BD0"/>
    <w:rsid w:val="00F510A0"/>
    <w:rsid w:val="00F51135"/>
    <w:rsid w:val="00F5113C"/>
    <w:rsid w:val="00F511BB"/>
    <w:rsid w:val="00F51200"/>
    <w:rsid w:val="00F5130E"/>
    <w:rsid w:val="00F514FF"/>
    <w:rsid w:val="00F516A2"/>
    <w:rsid w:val="00F517B8"/>
    <w:rsid w:val="00F51816"/>
    <w:rsid w:val="00F5182B"/>
    <w:rsid w:val="00F51906"/>
    <w:rsid w:val="00F51926"/>
    <w:rsid w:val="00F51A36"/>
    <w:rsid w:val="00F51A3F"/>
    <w:rsid w:val="00F51AD5"/>
    <w:rsid w:val="00F51BA4"/>
    <w:rsid w:val="00F51BA6"/>
    <w:rsid w:val="00F51BB6"/>
    <w:rsid w:val="00F51C2E"/>
    <w:rsid w:val="00F51CB0"/>
    <w:rsid w:val="00F51CE8"/>
    <w:rsid w:val="00F51D65"/>
    <w:rsid w:val="00F51D93"/>
    <w:rsid w:val="00F51EEC"/>
    <w:rsid w:val="00F51F1D"/>
    <w:rsid w:val="00F51F4F"/>
    <w:rsid w:val="00F51FB3"/>
    <w:rsid w:val="00F52474"/>
    <w:rsid w:val="00F52489"/>
    <w:rsid w:val="00F5260A"/>
    <w:rsid w:val="00F5274B"/>
    <w:rsid w:val="00F52891"/>
    <w:rsid w:val="00F52ABC"/>
    <w:rsid w:val="00F52AC3"/>
    <w:rsid w:val="00F52B6F"/>
    <w:rsid w:val="00F52CB4"/>
    <w:rsid w:val="00F52CF0"/>
    <w:rsid w:val="00F52D0B"/>
    <w:rsid w:val="00F52E30"/>
    <w:rsid w:val="00F53005"/>
    <w:rsid w:val="00F53014"/>
    <w:rsid w:val="00F5305A"/>
    <w:rsid w:val="00F5312B"/>
    <w:rsid w:val="00F531D7"/>
    <w:rsid w:val="00F533B4"/>
    <w:rsid w:val="00F534C5"/>
    <w:rsid w:val="00F534E9"/>
    <w:rsid w:val="00F5370E"/>
    <w:rsid w:val="00F537A8"/>
    <w:rsid w:val="00F53865"/>
    <w:rsid w:val="00F538CB"/>
    <w:rsid w:val="00F539BE"/>
    <w:rsid w:val="00F53AE6"/>
    <w:rsid w:val="00F53C79"/>
    <w:rsid w:val="00F53C88"/>
    <w:rsid w:val="00F53C8E"/>
    <w:rsid w:val="00F53D0C"/>
    <w:rsid w:val="00F53D67"/>
    <w:rsid w:val="00F53F00"/>
    <w:rsid w:val="00F53F8C"/>
    <w:rsid w:val="00F540D3"/>
    <w:rsid w:val="00F54245"/>
    <w:rsid w:val="00F54315"/>
    <w:rsid w:val="00F543A7"/>
    <w:rsid w:val="00F54448"/>
    <w:rsid w:val="00F54496"/>
    <w:rsid w:val="00F545A5"/>
    <w:rsid w:val="00F5460D"/>
    <w:rsid w:val="00F54632"/>
    <w:rsid w:val="00F546B9"/>
    <w:rsid w:val="00F54841"/>
    <w:rsid w:val="00F5490E"/>
    <w:rsid w:val="00F54D07"/>
    <w:rsid w:val="00F54D99"/>
    <w:rsid w:val="00F54DD5"/>
    <w:rsid w:val="00F54E25"/>
    <w:rsid w:val="00F54E5D"/>
    <w:rsid w:val="00F54EEC"/>
    <w:rsid w:val="00F55078"/>
    <w:rsid w:val="00F55192"/>
    <w:rsid w:val="00F551E7"/>
    <w:rsid w:val="00F55210"/>
    <w:rsid w:val="00F5521E"/>
    <w:rsid w:val="00F5536C"/>
    <w:rsid w:val="00F553BF"/>
    <w:rsid w:val="00F5553A"/>
    <w:rsid w:val="00F5557F"/>
    <w:rsid w:val="00F555D5"/>
    <w:rsid w:val="00F555E1"/>
    <w:rsid w:val="00F555E3"/>
    <w:rsid w:val="00F555F8"/>
    <w:rsid w:val="00F55677"/>
    <w:rsid w:val="00F5570B"/>
    <w:rsid w:val="00F557DC"/>
    <w:rsid w:val="00F55872"/>
    <w:rsid w:val="00F558D5"/>
    <w:rsid w:val="00F5591A"/>
    <w:rsid w:val="00F5593F"/>
    <w:rsid w:val="00F559F9"/>
    <w:rsid w:val="00F55A01"/>
    <w:rsid w:val="00F55A51"/>
    <w:rsid w:val="00F55AB8"/>
    <w:rsid w:val="00F55B1F"/>
    <w:rsid w:val="00F55B88"/>
    <w:rsid w:val="00F55BC5"/>
    <w:rsid w:val="00F55BF7"/>
    <w:rsid w:val="00F55C93"/>
    <w:rsid w:val="00F55D16"/>
    <w:rsid w:val="00F55D4A"/>
    <w:rsid w:val="00F55DA5"/>
    <w:rsid w:val="00F55F28"/>
    <w:rsid w:val="00F56014"/>
    <w:rsid w:val="00F561F8"/>
    <w:rsid w:val="00F563D1"/>
    <w:rsid w:val="00F563EE"/>
    <w:rsid w:val="00F564C2"/>
    <w:rsid w:val="00F5657F"/>
    <w:rsid w:val="00F5660A"/>
    <w:rsid w:val="00F56626"/>
    <w:rsid w:val="00F56724"/>
    <w:rsid w:val="00F56806"/>
    <w:rsid w:val="00F568BD"/>
    <w:rsid w:val="00F56A0E"/>
    <w:rsid w:val="00F56A24"/>
    <w:rsid w:val="00F56B10"/>
    <w:rsid w:val="00F56B78"/>
    <w:rsid w:val="00F56D37"/>
    <w:rsid w:val="00F56D46"/>
    <w:rsid w:val="00F56D84"/>
    <w:rsid w:val="00F56E86"/>
    <w:rsid w:val="00F56EDD"/>
    <w:rsid w:val="00F56EFA"/>
    <w:rsid w:val="00F56F74"/>
    <w:rsid w:val="00F56FEE"/>
    <w:rsid w:val="00F57000"/>
    <w:rsid w:val="00F570A8"/>
    <w:rsid w:val="00F57166"/>
    <w:rsid w:val="00F571D0"/>
    <w:rsid w:val="00F571D2"/>
    <w:rsid w:val="00F5737E"/>
    <w:rsid w:val="00F57429"/>
    <w:rsid w:val="00F574F0"/>
    <w:rsid w:val="00F57528"/>
    <w:rsid w:val="00F576A3"/>
    <w:rsid w:val="00F57714"/>
    <w:rsid w:val="00F577F4"/>
    <w:rsid w:val="00F57906"/>
    <w:rsid w:val="00F579F0"/>
    <w:rsid w:val="00F57B8C"/>
    <w:rsid w:val="00F57BCB"/>
    <w:rsid w:val="00F57BDC"/>
    <w:rsid w:val="00F57C0C"/>
    <w:rsid w:val="00F57CAD"/>
    <w:rsid w:val="00F57D79"/>
    <w:rsid w:val="00F57DDE"/>
    <w:rsid w:val="00F57E1A"/>
    <w:rsid w:val="00F57EC7"/>
    <w:rsid w:val="00F57FD9"/>
    <w:rsid w:val="00F60017"/>
    <w:rsid w:val="00F60019"/>
    <w:rsid w:val="00F600AD"/>
    <w:rsid w:val="00F6024C"/>
    <w:rsid w:val="00F602A0"/>
    <w:rsid w:val="00F60371"/>
    <w:rsid w:val="00F60488"/>
    <w:rsid w:val="00F604D8"/>
    <w:rsid w:val="00F6051B"/>
    <w:rsid w:val="00F605A7"/>
    <w:rsid w:val="00F605EB"/>
    <w:rsid w:val="00F606A0"/>
    <w:rsid w:val="00F606CB"/>
    <w:rsid w:val="00F606E3"/>
    <w:rsid w:val="00F606E7"/>
    <w:rsid w:val="00F606FD"/>
    <w:rsid w:val="00F60727"/>
    <w:rsid w:val="00F6073C"/>
    <w:rsid w:val="00F6077C"/>
    <w:rsid w:val="00F60781"/>
    <w:rsid w:val="00F607C4"/>
    <w:rsid w:val="00F6088E"/>
    <w:rsid w:val="00F609CF"/>
    <w:rsid w:val="00F60A3F"/>
    <w:rsid w:val="00F60B89"/>
    <w:rsid w:val="00F60BC8"/>
    <w:rsid w:val="00F60BD6"/>
    <w:rsid w:val="00F60C21"/>
    <w:rsid w:val="00F60C25"/>
    <w:rsid w:val="00F60EEB"/>
    <w:rsid w:val="00F60EFA"/>
    <w:rsid w:val="00F60F84"/>
    <w:rsid w:val="00F60F8E"/>
    <w:rsid w:val="00F60FB4"/>
    <w:rsid w:val="00F6101B"/>
    <w:rsid w:val="00F61191"/>
    <w:rsid w:val="00F611BB"/>
    <w:rsid w:val="00F612D2"/>
    <w:rsid w:val="00F61552"/>
    <w:rsid w:val="00F61564"/>
    <w:rsid w:val="00F615C9"/>
    <w:rsid w:val="00F616A8"/>
    <w:rsid w:val="00F616E5"/>
    <w:rsid w:val="00F61731"/>
    <w:rsid w:val="00F61778"/>
    <w:rsid w:val="00F61820"/>
    <w:rsid w:val="00F61828"/>
    <w:rsid w:val="00F6191F"/>
    <w:rsid w:val="00F61B42"/>
    <w:rsid w:val="00F61C68"/>
    <w:rsid w:val="00F61C8D"/>
    <w:rsid w:val="00F61DFC"/>
    <w:rsid w:val="00F61FFA"/>
    <w:rsid w:val="00F620F4"/>
    <w:rsid w:val="00F621E6"/>
    <w:rsid w:val="00F62238"/>
    <w:rsid w:val="00F623F1"/>
    <w:rsid w:val="00F6246B"/>
    <w:rsid w:val="00F624CF"/>
    <w:rsid w:val="00F624DE"/>
    <w:rsid w:val="00F6258B"/>
    <w:rsid w:val="00F6258C"/>
    <w:rsid w:val="00F62831"/>
    <w:rsid w:val="00F6289A"/>
    <w:rsid w:val="00F62947"/>
    <w:rsid w:val="00F6297F"/>
    <w:rsid w:val="00F62B63"/>
    <w:rsid w:val="00F62B6D"/>
    <w:rsid w:val="00F62B75"/>
    <w:rsid w:val="00F62B77"/>
    <w:rsid w:val="00F62BBE"/>
    <w:rsid w:val="00F62BF6"/>
    <w:rsid w:val="00F62CCE"/>
    <w:rsid w:val="00F62D9F"/>
    <w:rsid w:val="00F62E01"/>
    <w:rsid w:val="00F62FCD"/>
    <w:rsid w:val="00F63059"/>
    <w:rsid w:val="00F630F2"/>
    <w:rsid w:val="00F63115"/>
    <w:rsid w:val="00F631B6"/>
    <w:rsid w:val="00F631C3"/>
    <w:rsid w:val="00F631EA"/>
    <w:rsid w:val="00F631F8"/>
    <w:rsid w:val="00F63294"/>
    <w:rsid w:val="00F63381"/>
    <w:rsid w:val="00F63415"/>
    <w:rsid w:val="00F6342A"/>
    <w:rsid w:val="00F634A2"/>
    <w:rsid w:val="00F6356D"/>
    <w:rsid w:val="00F63702"/>
    <w:rsid w:val="00F63764"/>
    <w:rsid w:val="00F6378E"/>
    <w:rsid w:val="00F63848"/>
    <w:rsid w:val="00F63964"/>
    <w:rsid w:val="00F63B8F"/>
    <w:rsid w:val="00F63C99"/>
    <w:rsid w:val="00F63CEA"/>
    <w:rsid w:val="00F63D92"/>
    <w:rsid w:val="00F63E27"/>
    <w:rsid w:val="00F6404E"/>
    <w:rsid w:val="00F640C9"/>
    <w:rsid w:val="00F641C8"/>
    <w:rsid w:val="00F64233"/>
    <w:rsid w:val="00F642D0"/>
    <w:rsid w:val="00F6433A"/>
    <w:rsid w:val="00F6444B"/>
    <w:rsid w:val="00F644A8"/>
    <w:rsid w:val="00F645F8"/>
    <w:rsid w:val="00F64624"/>
    <w:rsid w:val="00F6475A"/>
    <w:rsid w:val="00F647A3"/>
    <w:rsid w:val="00F647DC"/>
    <w:rsid w:val="00F647E4"/>
    <w:rsid w:val="00F64839"/>
    <w:rsid w:val="00F64886"/>
    <w:rsid w:val="00F64923"/>
    <w:rsid w:val="00F64A9E"/>
    <w:rsid w:val="00F64BB9"/>
    <w:rsid w:val="00F64C37"/>
    <w:rsid w:val="00F64CAC"/>
    <w:rsid w:val="00F64CCD"/>
    <w:rsid w:val="00F64D3E"/>
    <w:rsid w:val="00F64DA7"/>
    <w:rsid w:val="00F64DBA"/>
    <w:rsid w:val="00F64DCC"/>
    <w:rsid w:val="00F64E4B"/>
    <w:rsid w:val="00F64F3F"/>
    <w:rsid w:val="00F64F5D"/>
    <w:rsid w:val="00F64F61"/>
    <w:rsid w:val="00F64FAF"/>
    <w:rsid w:val="00F65022"/>
    <w:rsid w:val="00F65034"/>
    <w:rsid w:val="00F65209"/>
    <w:rsid w:val="00F65237"/>
    <w:rsid w:val="00F652C7"/>
    <w:rsid w:val="00F65338"/>
    <w:rsid w:val="00F65570"/>
    <w:rsid w:val="00F655F6"/>
    <w:rsid w:val="00F656F8"/>
    <w:rsid w:val="00F65824"/>
    <w:rsid w:val="00F6583B"/>
    <w:rsid w:val="00F65D5B"/>
    <w:rsid w:val="00F65DDF"/>
    <w:rsid w:val="00F65EC6"/>
    <w:rsid w:val="00F65ECD"/>
    <w:rsid w:val="00F661FF"/>
    <w:rsid w:val="00F66234"/>
    <w:rsid w:val="00F6628D"/>
    <w:rsid w:val="00F66291"/>
    <w:rsid w:val="00F66345"/>
    <w:rsid w:val="00F6636A"/>
    <w:rsid w:val="00F66518"/>
    <w:rsid w:val="00F666CF"/>
    <w:rsid w:val="00F66A13"/>
    <w:rsid w:val="00F66A37"/>
    <w:rsid w:val="00F66AF7"/>
    <w:rsid w:val="00F66C1D"/>
    <w:rsid w:val="00F66D21"/>
    <w:rsid w:val="00F66D3E"/>
    <w:rsid w:val="00F66D64"/>
    <w:rsid w:val="00F66D6A"/>
    <w:rsid w:val="00F66F0C"/>
    <w:rsid w:val="00F66FA8"/>
    <w:rsid w:val="00F66FE5"/>
    <w:rsid w:val="00F670E4"/>
    <w:rsid w:val="00F67111"/>
    <w:rsid w:val="00F672B4"/>
    <w:rsid w:val="00F673D5"/>
    <w:rsid w:val="00F673F6"/>
    <w:rsid w:val="00F67481"/>
    <w:rsid w:val="00F67490"/>
    <w:rsid w:val="00F677B4"/>
    <w:rsid w:val="00F678A2"/>
    <w:rsid w:val="00F678F6"/>
    <w:rsid w:val="00F67A9F"/>
    <w:rsid w:val="00F67BAA"/>
    <w:rsid w:val="00F67CD1"/>
    <w:rsid w:val="00F67DEC"/>
    <w:rsid w:val="00F67F83"/>
    <w:rsid w:val="00F67FE2"/>
    <w:rsid w:val="00F70058"/>
    <w:rsid w:val="00F700CA"/>
    <w:rsid w:val="00F701C6"/>
    <w:rsid w:val="00F7023C"/>
    <w:rsid w:val="00F70274"/>
    <w:rsid w:val="00F702AC"/>
    <w:rsid w:val="00F702FE"/>
    <w:rsid w:val="00F70461"/>
    <w:rsid w:val="00F7050C"/>
    <w:rsid w:val="00F70743"/>
    <w:rsid w:val="00F70837"/>
    <w:rsid w:val="00F70933"/>
    <w:rsid w:val="00F709F5"/>
    <w:rsid w:val="00F70A29"/>
    <w:rsid w:val="00F70B3C"/>
    <w:rsid w:val="00F70BF8"/>
    <w:rsid w:val="00F70CA9"/>
    <w:rsid w:val="00F70D40"/>
    <w:rsid w:val="00F70D6A"/>
    <w:rsid w:val="00F70E27"/>
    <w:rsid w:val="00F70E9B"/>
    <w:rsid w:val="00F71011"/>
    <w:rsid w:val="00F7104E"/>
    <w:rsid w:val="00F71056"/>
    <w:rsid w:val="00F710CC"/>
    <w:rsid w:val="00F710D6"/>
    <w:rsid w:val="00F7113A"/>
    <w:rsid w:val="00F71200"/>
    <w:rsid w:val="00F7141E"/>
    <w:rsid w:val="00F7144D"/>
    <w:rsid w:val="00F714FD"/>
    <w:rsid w:val="00F7171C"/>
    <w:rsid w:val="00F71767"/>
    <w:rsid w:val="00F717E5"/>
    <w:rsid w:val="00F71821"/>
    <w:rsid w:val="00F7185E"/>
    <w:rsid w:val="00F71971"/>
    <w:rsid w:val="00F71ACE"/>
    <w:rsid w:val="00F71B72"/>
    <w:rsid w:val="00F71C34"/>
    <w:rsid w:val="00F71C61"/>
    <w:rsid w:val="00F71CBF"/>
    <w:rsid w:val="00F71CE7"/>
    <w:rsid w:val="00F71E3F"/>
    <w:rsid w:val="00F71E81"/>
    <w:rsid w:val="00F71F65"/>
    <w:rsid w:val="00F71FBD"/>
    <w:rsid w:val="00F71FE8"/>
    <w:rsid w:val="00F71FEB"/>
    <w:rsid w:val="00F72019"/>
    <w:rsid w:val="00F7213C"/>
    <w:rsid w:val="00F72144"/>
    <w:rsid w:val="00F72239"/>
    <w:rsid w:val="00F722B1"/>
    <w:rsid w:val="00F72319"/>
    <w:rsid w:val="00F72413"/>
    <w:rsid w:val="00F72422"/>
    <w:rsid w:val="00F724D2"/>
    <w:rsid w:val="00F725A1"/>
    <w:rsid w:val="00F725B3"/>
    <w:rsid w:val="00F72774"/>
    <w:rsid w:val="00F727B5"/>
    <w:rsid w:val="00F72B46"/>
    <w:rsid w:val="00F72B97"/>
    <w:rsid w:val="00F72BFD"/>
    <w:rsid w:val="00F72C63"/>
    <w:rsid w:val="00F72C71"/>
    <w:rsid w:val="00F72CC6"/>
    <w:rsid w:val="00F72D6B"/>
    <w:rsid w:val="00F72D7E"/>
    <w:rsid w:val="00F72DBF"/>
    <w:rsid w:val="00F72E7B"/>
    <w:rsid w:val="00F72FB8"/>
    <w:rsid w:val="00F7305C"/>
    <w:rsid w:val="00F732D4"/>
    <w:rsid w:val="00F732F2"/>
    <w:rsid w:val="00F732F4"/>
    <w:rsid w:val="00F7334B"/>
    <w:rsid w:val="00F7337E"/>
    <w:rsid w:val="00F733A3"/>
    <w:rsid w:val="00F733A8"/>
    <w:rsid w:val="00F73427"/>
    <w:rsid w:val="00F73452"/>
    <w:rsid w:val="00F73494"/>
    <w:rsid w:val="00F73570"/>
    <w:rsid w:val="00F73707"/>
    <w:rsid w:val="00F738A1"/>
    <w:rsid w:val="00F739BD"/>
    <w:rsid w:val="00F73A20"/>
    <w:rsid w:val="00F73A23"/>
    <w:rsid w:val="00F73A57"/>
    <w:rsid w:val="00F73A88"/>
    <w:rsid w:val="00F73AC7"/>
    <w:rsid w:val="00F73BA1"/>
    <w:rsid w:val="00F73D18"/>
    <w:rsid w:val="00F73D1D"/>
    <w:rsid w:val="00F73DE9"/>
    <w:rsid w:val="00F73EB8"/>
    <w:rsid w:val="00F740E1"/>
    <w:rsid w:val="00F74230"/>
    <w:rsid w:val="00F7440C"/>
    <w:rsid w:val="00F74422"/>
    <w:rsid w:val="00F7446C"/>
    <w:rsid w:val="00F744E9"/>
    <w:rsid w:val="00F74564"/>
    <w:rsid w:val="00F745B6"/>
    <w:rsid w:val="00F74605"/>
    <w:rsid w:val="00F7460C"/>
    <w:rsid w:val="00F746E9"/>
    <w:rsid w:val="00F74C18"/>
    <w:rsid w:val="00F74D00"/>
    <w:rsid w:val="00F74D89"/>
    <w:rsid w:val="00F74E12"/>
    <w:rsid w:val="00F74E78"/>
    <w:rsid w:val="00F7507F"/>
    <w:rsid w:val="00F75251"/>
    <w:rsid w:val="00F752D5"/>
    <w:rsid w:val="00F752DE"/>
    <w:rsid w:val="00F752F2"/>
    <w:rsid w:val="00F75562"/>
    <w:rsid w:val="00F75649"/>
    <w:rsid w:val="00F75664"/>
    <w:rsid w:val="00F75746"/>
    <w:rsid w:val="00F758CD"/>
    <w:rsid w:val="00F75986"/>
    <w:rsid w:val="00F75B44"/>
    <w:rsid w:val="00F75B53"/>
    <w:rsid w:val="00F75B5C"/>
    <w:rsid w:val="00F75B61"/>
    <w:rsid w:val="00F75B7C"/>
    <w:rsid w:val="00F75C00"/>
    <w:rsid w:val="00F75C09"/>
    <w:rsid w:val="00F75CA1"/>
    <w:rsid w:val="00F75D03"/>
    <w:rsid w:val="00F75D37"/>
    <w:rsid w:val="00F75DD9"/>
    <w:rsid w:val="00F75F92"/>
    <w:rsid w:val="00F75FF0"/>
    <w:rsid w:val="00F76008"/>
    <w:rsid w:val="00F76066"/>
    <w:rsid w:val="00F76171"/>
    <w:rsid w:val="00F7626E"/>
    <w:rsid w:val="00F76303"/>
    <w:rsid w:val="00F76315"/>
    <w:rsid w:val="00F76452"/>
    <w:rsid w:val="00F764C2"/>
    <w:rsid w:val="00F76626"/>
    <w:rsid w:val="00F76679"/>
    <w:rsid w:val="00F766BA"/>
    <w:rsid w:val="00F768E0"/>
    <w:rsid w:val="00F768F8"/>
    <w:rsid w:val="00F76992"/>
    <w:rsid w:val="00F769D6"/>
    <w:rsid w:val="00F76A3E"/>
    <w:rsid w:val="00F76A65"/>
    <w:rsid w:val="00F76AD8"/>
    <w:rsid w:val="00F76B00"/>
    <w:rsid w:val="00F76B44"/>
    <w:rsid w:val="00F76E42"/>
    <w:rsid w:val="00F76E43"/>
    <w:rsid w:val="00F76F76"/>
    <w:rsid w:val="00F76FFD"/>
    <w:rsid w:val="00F7705C"/>
    <w:rsid w:val="00F770B2"/>
    <w:rsid w:val="00F77100"/>
    <w:rsid w:val="00F7713C"/>
    <w:rsid w:val="00F77145"/>
    <w:rsid w:val="00F771BC"/>
    <w:rsid w:val="00F77215"/>
    <w:rsid w:val="00F7730F"/>
    <w:rsid w:val="00F7731E"/>
    <w:rsid w:val="00F77465"/>
    <w:rsid w:val="00F77491"/>
    <w:rsid w:val="00F774F5"/>
    <w:rsid w:val="00F77545"/>
    <w:rsid w:val="00F77571"/>
    <w:rsid w:val="00F775AA"/>
    <w:rsid w:val="00F776F9"/>
    <w:rsid w:val="00F777F3"/>
    <w:rsid w:val="00F77A5A"/>
    <w:rsid w:val="00F77AFF"/>
    <w:rsid w:val="00F77B06"/>
    <w:rsid w:val="00F77CBC"/>
    <w:rsid w:val="00F77E7C"/>
    <w:rsid w:val="00F77FA4"/>
    <w:rsid w:val="00F77FBB"/>
    <w:rsid w:val="00F77FF9"/>
    <w:rsid w:val="00F80108"/>
    <w:rsid w:val="00F8018A"/>
    <w:rsid w:val="00F8031B"/>
    <w:rsid w:val="00F8036F"/>
    <w:rsid w:val="00F803FE"/>
    <w:rsid w:val="00F8043B"/>
    <w:rsid w:val="00F8049C"/>
    <w:rsid w:val="00F80553"/>
    <w:rsid w:val="00F805C4"/>
    <w:rsid w:val="00F80669"/>
    <w:rsid w:val="00F806F2"/>
    <w:rsid w:val="00F80719"/>
    <w:rsid w:val="00F80768"/>
    <w:rsid w:val="00F809B3"/>
    <w:rsid w:val="00F809F2"/>
    <w:rsid w:val="00F80A64"/>
    <w:rsid w:val="00F80A65"/>
    <w:rsid w:val="00F80B84"/>
    <w:rsid w:val="00F80D40"/>
    <w:rsid w:val="00F80D69"/>
    <w:rsid w:val="00F80EAE"/>
    <w:rsid w:val="00F80ED9"/>
    <w:rsid w:val="00F80F8A"/>
    <w:rsid w:val="00F80FA5"/>
    <w:rsid w:val="00F8106F"/>
    <w:rsid w:val="00F81305"/>
    <w:rsid w:val="00F813AA"/>
    <w:rsid w:val="00F81419"/>
    <w:rsid w:val="00F814E3"/>
    <w:rsid w:val="00F814E6"/>
    <w:rsid w:val="00F8150F"/>
    <w:rsid w:val="00F815F1"/>
    <w:rsid w:val="00F816BA"/>
    <w:rsid w:val="00F8176B"/>
    <w:rsid w:val="00F817DF"/>
    <w:rsid w:val="00F81857"/>
    <w:rsid w:val="00F818A4"/>
    <w:rsid w:val="00F8197E"/>
    <w:rsid w:val="00F819AA"/>
    <w:rsid w:val="00F81ADB"/>
    <w:rsid w:val="00F81B21"/>
    <w:rsid w:val="00F81BCF"/>
    <w:rsid w:val="00F81BF9"/>
    <w:rsid w:val="00F81E53"/>
    <w:rsid w:val="00F81EE6"/>
    <w:rsid w:val="00F820D9"/>
    <w:rsid w:val="00F82112"/>
    <w:rsid w:val="00F82226"/>
    <w:rsid w:val="00F82228"/>
    <w:rsid w:val="00F82252"/>
    <w:rsid w:val="00F822B7"/>
    <w:rsid w:val="00F82393"/>
    <w:rsid w:val="00F823D1"/>
    <w:rsid w:val="00F823E7"/>
    <w:rsid w:val="00F8246E"/>
    <w:rsid w:val="00F8249A"/>
    <w:rsid w:val="00F82520"/>
    <w:rsid w:val="00F825B4"/>
    <w:rsid w:val="00F825B5"/>
    <w:rsid w:val="00F82693"/>
    <w:rsid w:val="00F826C5"/>
    <w:rsid w:val="00F82795"/>
    <w:rsid w:val="00F8283E"/>
    <w:rsid w:val="00F8289F"/>
    <w:rsid w:val="00F82964"/>
    <w:rsid w:val="00F82B85"/>
    <w:rsid w:val="00F82B92"/>
    <w:rsid w:val="00F82D26"/>
    <w:rsid w:val="00F82D82"/>
    <w:rsid w:val="00F82E06"/>
    <w:rsid w:val="00F8305D"/>
    <w:rsid w:val="00F83339"/>
    <w:rsid w:val="00F8334D"/>
    <w:rsid w:val="00F8338C"/>
    <w:rsid w:val="00F83561"/>
    <w:rsid w:val="00F835C8"/>
    <w:rsid w:val="00F836AC"/>
    <w:rsid w:val="00F836B9"/>
    <w:rsid w:val="00F8374E"/>
    <w:rsid w:val="00F83751"/>
    <w:rsid w:val="00F8377C"/>
    <w:rsid w:val="00F8382E"/>
    <w:rsid w:val="00F83879"/>
    <w:rsid w:val="00F838A7"/>
    <w:rsid w:val="00F8391A"/>
    <w:rsid w:val="00F83A15"/>
    <w:rsid w:val="00F83A79"/>
    <w:rsid w:val="00F83AFE"/>
    <w:rsid w:val="00F83B62"/>
    <w:rsid w:val="00F83D87"/>
    <w:rsid w:val="00F83E4E"/>
    <w:rsid w:val="00F83E87"/>
    <w:rsid w:val="00F83FFF"/>
    <w:rsid w:val="00F84019"/>
    <w:rsid w:val="00F840E3"/>
    <w:rsid w:val="00F84121"/>
    <w:rsid w:val="00F84246"/>
    <w:rsid w:val="00F843B2"/>
    <w:rsid w:val="00F84482"/>
    <w:rsid w:val="00F844A2"/>
    <w:rsid w:val="00F844F0"/>
    <w:rsid w:val="00F8457D"/>
    <w:rsid w:val="00F845A9"/>
    <w:rsid w:val="00F845DD"/>
    <w:rsid w:val="00F84618"/>
    <w:rsid w:val="00F846C5"/>
    <w:rsid w:val="00F8470A"/>
    <w:rsid w:val="00F84846"/>
    <w:rsid w:val="00F84A12"/>
    <w:rsid w:val="00F84A1F"/>
    <w:rsid w:val="00F84B7C"/>
    <w:rsid w:val="00F84BE2"/>
    <w:rsid w:val="00F84C5D"/>
    <w:rsid w:val="00F84E90"/>
    <w:rsid w:val="00F84FDE"/>
    <w:rsid w:val="00F850E0"/>
    <w:rsid w:val="00F85134"/>
    <w:rsid w:val="00F852DD"/>
    <w:rsid w:val="00F85358"/>
    <w:rsid w:val="00F853C7"/>
    <w:rsid w:val="00F85585"/>
    <w:rsid w:val="00F85676"/>
    <w:rsid w:val="00F8569F"/>
    <w:rsid w:val="00F85714"/>
    <w:rsid w:val="00F8571D"/>
    <w:rsid w:val="00F8571F"/>
    <w:rsid w:val="00F85721"/>
    <w:rsid w:val="00F85917"/>
    <w:rsid w:val="00F8597D"/>
    <w:rsid w:val="00F85990"/>
    <w:rsid w:val="00F859CE"/>
    <w:rsid w:val="00F85AC9"/>
    <w:rsid w:val="00F85B08"/>
    <w:rsid w:val="00F85BC3"/>
    <w:rsid w:val="00F85C78"/>
    <w:rsid w:val="00F85DDE"/>
    <w:rsid w:val="00F85E0B"/>
    <w:rsid w:val="00F85E92"/>
    <w:rsid w:val="00F85F15"/>
    <w:rsid w:val="00F85F2D"/>
    <w:rsid w:val="00F860E5"/>
    <w:rsid w:val="00F8610E"/>
    <w:rsid w:val="00F86214"/>
    <w:rsid w:val="00F862BA"/>
    <w:rsid w:val="00F86382"/>
    <w:rsid w:val="00F863CD"/>
    <w:rsid w:val="00F86416"/>
    <w:rsid w:val="00F864C6"/>
    <w:rsid w:val="00F86552"/>
    <w:rsid w:val="00F865BD"/>
    <w:rsid w:val="00F865D7"/>
    <w:rsid w:val="00F8669E"/>
    <w:rsid w:val="00F866E4"/>
    <w:rsid w:val="00F867C7"/>
    <w:rsid w:val="00F86980"/>
    <w:rsid w:val="00F86B3F"/>
    <w:rsid w:val="00F86C1E"/>
    <w:rsid w:val="00F86C99"/>
    <w:rsid w:val="00F86D36"/>
    <w:rsid w:val="00F86D5E"/>
    <w:rsid w:val="00F86ECC"/>
    <w:rsid w:val="00F86F71"/>
    <w:rsid w:val="00F86F85"/>
    <w:rsid w:val="00F87096"/>
    <w:rsid w:val="00F870B6"/>
    <w:rsid w:val="00F87115"/>
    <w:rsid w:val="00F871B5"/>
    <w:rsid w:val="00F871F8"/>
    <w:rsid w:val="00F871FC"/>
    <w:rsid w:val="00F872BC"/>
    <w:rsid w:val="00F87346"/>
    <w:rsid w:val="00F8736C"/>
    <w:rsid w:val="00F873C5"/>
    <w:rsid w:val="00F87424"/>
    <w:rsid w:val="00F8748D"/>
    <w:rsid w:val="00F8753A"/>
    <w:rsid w:val="00F8754B"/>
    <w:rsid w:val="00F87704"/>
    <w:rsid w:val="00F87778"/>
    <w:rsid w:val="00F87886"/>
    <w:rsid w:val="00F87897"/>
    <w:rsid w:val="00F87A81"/>
    <w:rsid w:val="00F87B02"/>
    <w:rsid w:val="00F87B66"/>
    <w:rsid w:val="00F87C1A"/>
    <w:rsid w:val="00F87C2A"/>
    <w:rsid w:val="00F87C65"/>
    <w:rsid w:val="00F87D26"/>
    <w:rsid w:val="00F87D2C"/>
    <w:rsid w:val="00F87DB4"/>
    <w:rsid w:val="00F87E16"/>
    <w:rsid w:val="00F87E34"/>
    <w:rsid w:val="00F87E43"/>
    <w:rsid w:val="00F87F40"/>
    <w:rsid w:val="00F87FD4"/>
    <w:rsid w:val="00F90001"/>
    <w:rsid w:val="00F900AC"/>
    <w:rsid w:val="00F900BE"/>
    <w:rsid w:val="00F901AB"/>
    <w:rsid w:val="00F90201"/>
    <w:rsid w:val="00F90298"/>
    <w:rsid w:val="00F902C9"/>
    <w:rsid w:val="00F9039A"/>
    <w:rsid w:val="00F903B6"/>
    <w:rsid w:val="00F90466"/>
    <w:rsid w:val="00F90541"/>
    <w:rsid w:val="00F905BD"/>
    <w:rsid w:val="00F905FD"/>
    <w:rsid w:val="00F90634"/>
    <w:rsid w:val="00F90665"/>
    <w:rsid w:val="00F906DB"/>
    <w:rsid w:val="00F90762"/>
    <w:rsid w:val="00F908B4"/>
    <w:rsid w:val="00F90A55"/>
    <w:rsid w:val="00F90A7B"/>
    <w:rsid w:val="00F90ABE"/>
    <w:rsid w:val="00F90ACC"/>
    <w:rsid w:val="00F90BD7"/>
    <w:rsid w:val="00F90BFB"/>
    <w:rsid w:val="00F90DC1"/>
    <w:rsid w:val="00F90EB2"/>
    <w:rsid w:val="00F90F66"/>
    <w:rsid w:val="00F9106E"/>
    <w:rsid w:val="00F91211"/>
    <w:rsid w:val="00F9129A"/>
    <w:rsid w:val="00F912AD"/>
    <w:rsid w:val="00F91373"/>
    <w:rsid w:val="00F9153F"/>
    <w:rsid w:val="00F91556"/>
    <w:rsid w:val="00F91664"/>
    <w:rsid w:val="00F916C7"/>
    <w:rsid w:val="00F91826"/>
    <w:rsid w:val="00F9183E"/>
    <w:rsid w:val="00F9184C"/>
    <w:rsid w:val="00F91910"/>
    <w:rsid w:val="00F9192A"/>
    <w:rsid w:val="00F91A02"/>
    <w:rsid w:val="00F91A3A"/>
    <w:rsid w:val="00F91B4E"/>
    <w:rsid w:val="00F91EF2"/>
    <w:rsid w:val="00F91F51"/>
    <w:rsid w:val="00F920E9"/>
    <w:rsid w:val="00F92166"/>
    <w:rsid w:val="00F92247"/>
    <w:rsid w:val="00F922D7"/>
    <w:rsid w:val="00F92508"/>
    <w:rsid w:val="00F925FC"/>
    <w:rsid w:val="00F92637"/>
    <w:rsid w:val="00F926A9"/>
    <w:rsid w:val="00F926B6"/>
    <w:rsid w:val="00F92730"/>
    <w:rsid w:val="00F927E8"/>
    <w:rsid w:val="00F927FD"/>
    <w:rsid w:val="00F92824"/>
    <w:rsid w:val="00F92892"/>
    <w:rsid w:val="00F928D0"/>
    <w:rsid w:val="00F9292F"/>
    <w:rsid w:val="00F9295E"/>
    <w:rsid w:val="00F92B64"/>
    <w:rsid w:val="00F92CDE"/>
    <w:rsid w:val="00F92CF3"/>
    <w:rsid w:val="00F92D51"/>
    <w:rsid w:val="00F92D65"/>
    <w:rsid w:val="00F92D7E"/>
    <w:rsid w:val="00F92EF7"/>
    <w:rsid w:val="00F92FDE"/>
    <w:rsid w:val="00F93246"/>
    <w:rsid w:val="00F933A3"/>
    <w:rsid w:val="00F933E8"/>
    <w:rsid w:val="00F9341A"/>
    <w:rsid w:val="00F934AF"/>
    <w:rsid w:val="00F9359A"/>
    <w:rsid w:val="00F93787"/>
    <w:rsid w:val="00F937F5"/>
    <w:rsid w:val="00F9381A"/>
    <w:rsid w:val="00F93845"/>
    <w:rsid w:val="00F93897"/>
    <w:rsid w:val="00F939BB"/>
    <w:rsid w:val="00F939EB"/>
    <w:rsid w:val="00F93AC8"/>
    <w:rsid w:val="00F93B86"/>
    <w:rsid w:val="00F93C77"/>
    <w:rsid w:val="00F93CCD"/>
    <w:rsid w:val="00F93D4B"/>
    <w:rsid w:val="00F93D54"/>
    <w:rsid w:val="00F93DA2"/>
    <w:rsid w:val="00F93E78"/>
    <w:rsid w:val="00F93ECA"/>
    <w:rsid w:val="00F9400A"/>
    <w:rsid w:val="00F94089"/>
    <w:rsid w:val="00F940D4"/>
    <w:rsid w:val="00F940E7"/>
    <w:rsid w:val="00F94119"/>
    <w:rsid w:val="00F9438E"/>
    <w:rsid w:val="00F945F0"/>
    <w:rsid w:val="00F94686"/>
    <w:rsid w:val="00F946F1"/>
    <w:rsid w:val="00F94731"/>
    <w:rsid w:val="00F9477E"/>
    <w:rsid w:val="00F9480C"/>
    <w:rsid w:val="00F94827"/>
    <w:rsid w:val="00F94848"/>
    <w:rsid w:val="00F9484F"/>
    <w:rsid w:val="00F948D9"/>
    <w:rsid w:val="00F948EF"/>
    <w:rsid w:val="00F94908"/>
    <w:rsid w:val="00F94946"/>
    <w:rsid w:val="00F94A90"/>
    <w:rsid w:val="00F94AB9"/>
    <w:rsid w:val="00F94B5D"/>
    <w:rsid w:val="00F94C24"/>
    <w:rsid w:val="00F94C4A"/>
    <w:rsid w:val="00F94DC8"/>
    <w:rsid w:val="00F94E9B"/>
    <w:rsid w:val="00F94F21"/>
    <w:rsid w:val="00F94F7D"/>
    <w:rsid w:val="00F9510D"/>
    <w:rsid w:val="00F9515C"/>
    <w:rsid w:val="00F95287"/>
    <w:rsid w:val="00F952B4"/>
    <w:rsid w:val="00F952F9"/>
    <w:rsid w:val="00F952FB"/>
    <w:rsid w:val="00F95375"/>
    <w:rsid w:val="00F954D6"/>
    <w:rsid w:val="00F955BB"/>
    <w:rsid w:val="00F95664"/>
    <w:rsid w:val="00F9567E"/>
    <w:rsid w:val="00F9577A"/>
    <w:rsid w:val="00F95800"/>
    <w:rsid w:val="00F9581E"/>
    <w:rsid w:val="00F95B27"/>
    <w:rsid w:val="00F95B88"/>
    <w:rsid w:val="00F95BA4"/>
    <w:rsid w:val="00F95C14"/>
    <w:rsid w:val="00F95C29"/>
    <w:rsid w:val="00F95C88"/>
    <w:rsid w:val="00F95CEA"/>
    <w:rsid w:val="00F95D23"/>
    <w:rsid w:val="00F95D6E"/>
    <w:rsid w:val="00F95DFC"/>
    <w:rsid w:val="00F95E49"/>
    <w:rsid w:val="00F95EE7"/>
    <w:rsid w:val="00F95FC5"/>
    <w:rsid w:val="00F9607C"/>
    <w:rsid w:val="00F9608D"/>
    <w:rsid w:val="00F96250"/>
    <w:rsid w:val="00F96517"/>
    <w:rsid w:val="00F96564"/>
    <w:rsid w:val="00F965ED"/>
    <w:rsid w:val="00F965F1"/>
    <w:rsid w:val="00F96607"/>
    <w:rsid w:val="00F9661E"/>
    <w:rsid w:val="00F966BC"/>
    <w:rsid w:val="00F9671A"/>
    <w:rsid w:val="00F9684D"/>
    <w:rsid w:val="00F96861"/>
    <w:rsid w:val="00F968B0"/>
    <w:rsid w:val="00F96A7E"/>
    <w:rsid w:val="00F96AF6"/>
    <w:rsid w:val="00F96B5B"/>
    <w:rsid w:val="00F96BE2"/>
    <w:rsid w:val="00F96E14"/>
    <w:rsid w:val="00F96E7B"/>
    <w:rsid w:val="00F96F16"/>
    <w:rsid w:val="00F96F42"/>
    <w:rsid w:val="00F96FF9"/>
    <w:rsid w:val="00F9701F"/>
    <w:rsid w:val="00F970E4"/>
    <w:rsid w:val="00F9715C"/>
    <w:rsid w:val="00F9717B"/>
    <w:rsid w:val="00F97211"/>
    <w:rsid w:val="00F97280"/>
    <w:rsid w:val="00F972DA"/>
    <w:rsid w:val="00F97374"/>
    <w:rsid w:val="00F97430"/>
    <w:rsid w:val="00F97483"/>
    <w:rsid w:val="00F9749B"/>
    <w:rsid w:val="00F974CB"/>
    <w:rsid w:val="00F975A5"/>
    <w:rsid w:val="00F9763C"/>
    <w:rsid w:val="00F97786"/>
    <w:rsid w:val="00F977FD"/>
    <w:rsid w:val="00F97804"/>
    <w:rsid w:val="00F97810"/>
    <w:rsid w:val="00F97833"/>
    <w:rsid w:val="00F9787B"/>
    <w:rsid w:val="00F9787D"/>
    <w:rsid w:val="00F97971"/>
    <w:rsid w:val="00F9798F"/>
    <w:rsid w:val="00F979D1"/>
    <w:rsid w:val="00F979F3"/>
    <w:rsid w:val="00F97ADD"/>
    <w:rsid w:val="00F97C7B"/>
    <w:rsid w:val="00F97DDD"/>
    <w:rsid w:val="00F97F2E"/>
    <w:rsid w:val="00F97FB8"/>
    <w:rsid w:val="00FA0125"/>
    <w:rsid w:val="00FA01D8"/>
    <w:rsid w:val="00FA035D"/>
    <w:rsid w:val="00FA0417"/>
    <w:rsid w:val="00FA0457"/>
    <w:rsid w:val="00FA0494"/>
    <w:rsid w:val="00FA04D4"/>
    <w:rsid w:val="00FA0518"/>
    <w:rsid w:val="00FA05C5"/>
    <w:rsid w:val="00FA060E"/>
    <w:rsid w:val="00FA06E8"/>
    <w:rsid w:val="00FA071B"/>
    <w:rsid w:val="00FA0967"/>
    <w:rsid w:val="00FA0971"/>
    <w:rsid w:val="00FA09A8"/>
    <w:rsid w:val="00FA0A3D"/>
    <w:rsid w:val="00FA0A66"/>
    <w:rsid w:val="00FA0A84"/>
    <w:rsid w:val="00FA0AB2"/>
    <w:rsid w:val="00FA0CBD"/>
    <w:rsid w:val="00FA0D07"/>
    <w:rsid w:val="00FA0E3E"/>
    <w:rsid w:val="00FA0FC4"/>
    <w:rsid w:val="00FA1036"/>
    <w:rsid w:val="00FA113D"/>
    <w:rsid w:val="00FA1142"/>
    <w:rsid w:val="00FA11DD"/>
    <w:rsid w:val="00FA122F"/>
    <w:rsid w:val="00FA1282"/>
    <w:rsid w:val="00FA1297"/>
    <w:rsid w:val="00FA129C"/>
    <w:rsid w:val="00FA1542"/>
    <w:rsid w:val="00FA160F"/>
    <w:rsid w:val="00FA17A5"/>
    <w:rsid w:val="00FA1868"/>
    <w:rsid w:val="00FA1968"/>
    <w:rsid w:val="00FA1992"/>
    <w:rsid w:val="00FA1B27"/>
    <w:rsid w:val="00FA1B78"/>
    <w:rsid w:val="00FA1DB3"/>
    <w:rsid w:val="00FA1E69"/>
    <w:rsid w:val="00FA1FE8"/>
    <w:rsid w:val="00FA221F"/>
    <w:rsid w:val="00FA23E7"/>
    <w:rsid w:val="00FA23E9"/>
    <w:rsid w:val="00FA24CC"/>
    <w:rsid w:val="00FA2532"/>
    <w:rsid w:val="00FA25EC"/>
    <w:rsid w:val="00FA25EE"/>
    <w:rsid w:val="00FA25F5"/>
    <w:rsid w:val="00FA266B"/>
    <w:rsid w:val="00FA26E7"/>
    <w:rsid w:val="00FA29F7"/>
    <w:rsid w:val="00FA2A23"/>
    <w:rsid w:val="00FA2BDC"/>
    <w:rsid w:val="00FA2C5F"/>
    <w:rsid w:val="00FA2CAB"/>
    <w:rsid w:val="00FA2CF8"/>
    <w:rsid w:val="00FA2DAB"/>
    <w:rsid w:val="00FA2DAD"/>
    <w:rsid w:val="00FA2E2B"/>
    <w:rsid w:val="00FA2F3C"/>
    <w:rsid w:val="00FA2FA1"/>
    <w:rsid w:val="00FA300A"/>
    <w:rsid w:val="00FA30CD"/>
    <w:rsid w:val="00FA312D"/>
    <w:rsid w:val="00FA31B5"/>
    <w:rsid w:val="00FA32C9"/>
    <w:rsid w:val="00FA3355"/>
    <w:rsid w:val="00FA3367"/>
    <w:rsid w:val="00FA33CA"/>
    <w:rsid w:val="00FA3416"/>
    <w:rsid w:val="00FA343A"/>
    <w:rsid w:val="00FA3511"/>
    <w:rsid w:val="00FA3527"/>
    <w:rsid w:val="00FA37D4"/>
    <w:rsid w:val="00FA3D43"/>
    <w:rsid w:val="00FA3E02"/>
    <w:rsid w:val="00FA3E78"/>
    <w:rsid w:val="00FA3EF5"/>
    <w:rsid w:val="00FA3FC7"/>
    <w:rsid w:val="00FA400F"/>
    <w:rsid w:val="00FA411A"/>
    <w:rsid w:val="00FA4334"/>
    <w:rsid w:val="00FA4388"/>
    <w:rsid w:val="00FA43BB"/>
    <w:rsid w:val="00FA43BC"/>
    <w:rsid w:val="00FA44E6"/>
    <w:rsid w:val="00FA44EF"/>
    <w:rsid w:val="00FA458E"/>
    <w:rsid w:val="00FA475E"/>
    <w:rsid w:val="00FA47C6"/>
    <w:rsid w:val="00FA47D8"/>
    <w:rsid w:val="00FA48FE"/>
    <w:rsid w:val="00FA49DF"/>
    <w:rsid w:val="00FA4A22"/>
    <w:rsid w:val="00FA4A55"/>
    <w:rsid w:val="00FA4ABF"/>
    <w:rsid w:val="00FA4BA1"/>
    <w:rsid w:val="00FA4C44"/>
    <w:rsid w:val="00FA4CBD"/>
    <w:rsid w:val="00FA4CF1"/>
    <w:rsid w:val="00FA4CF6"/>
    <w:rsid w:val="00FA4D1A"/>
    <w:rsid w:val="00FA4D9B"/>
    <w:rsid w:val="00FA4DBC"/>
    <w:rsid w:val="00FA4E2D"/>
    <w:rsid w:val="00FA4ECE"/>
    <w:rsid w:val="00FA4F35"/>
    <w:rsid w:val="00FA4F5C"/>
    <w:rsid w:val="00FA4FB1"/>
    <w:rsid w:val="00FA4FF1"/>
    <w:rsid w:val="00FA5097"/>
    <w:rsid w:val="00FA5182"/>
    <w:rsid w:val="00FA5294"/>
    <w:rsid w:val="00FA52AD"/>
    <w:rsid w:val="00FA52C8"/>
    <w:rsid w:val="00FA52DF"/>
    <w:rsid w:val="00FA52EA"/>
    <w:rsid w:val="00FA5309"/>
    <w:rsid w:val="00FA5369"/>
    <w:rsid w:val="00FA559D"/>
    <w:rsid w:val="00FA56DF"/>
    <w:rsid w:val="00FA56FF"/>
    <w:rsid w:val="00FA5750"/>
    <w:rsid w:val="00FA584F"/>
    <w:rsid w:val="00FA592C"/>
    <w:rsid w:val="00FA5A37"/>
    <w:rsid w:val="00FA5B98"/>
    <w:rsid w:val="00FA5BA8"/>
    <w:rsid w:val="00FA5BFC"/>
    <w:rsid w:val="00FA5CAF"/>
    <w:rsid w:val="00FA5E28"/>
    <w:rsid w:val="00FA5E3C"/>
    <w:rsid w:val="00FA5E62"/>
    <w:rsid w:val="00FA5F08"/>
    <w:rsid w:val="00FA6050"/>
    <w:rsid w:val="00FA6258"/>
    <w:rsid w:val="00FA6290"/>
    <w:rsid w:val="00FA6340"/>
    <w:rsid w:val="00FA638E"/>
    <w:rsid w:val="00FA63B2"/>
    <w:rsid w:val="00FA6403"/>
    <w:rsid w:val="00FA65B5"/>
    <w:rsid w:val="00FA65B7"/>
    <w:rsid w:val="00FA65DB"/>
    <w:rsid w:val="00FA660D"/>
    <w:rsid w:val="00FA67C6"/>
    <w:rsid w:val="00FA684A"/>
    <w:rsid w:val="00FA6877"/>
    <w:rsid w:val="00FA68ED"/>
    <w:rsid w:val="00FA68F6"/>
    <w:rsid w:val="00FA6A5A"/>
    <w:rsid w:val="00FA6A6A"/>
    <w:rsid w:val="00FA6B8A"/>
    <w:rsid w:val="00FA6BA7"/>
    <w:rsid w:val="00FA6C54"/>
    <w:rsid w:val="00FA6CB2"/>
    <w:rsid w:val="00FA6E9C"/>
    <w:rsid w:val="00FA6F1C"/>
    <w:rsid w:val="00FA6F40"/>
    <w:rsid w:val="00FA6F60"/>
    <w:rsid w:val="00FA6F8C"/>
    <w:rsid w:val="00FA6F97"/>
    <w:rsid w:val="00FA6FA1"/>
    <w:rsid w:val="00FA6FE4"/>
    <w:rsid w:val="00FA6FE7"/>
    <w:rsid w:val="00FA703E"/>
    <w:rsid w:val="00FA7079"/>
    <w:rsid w:val="00FA7085"/>
    <w:rsid w:val="00FA7128"/>
    <w:rsid w:val="00FA713F"/>
    <w:rsid w:val="00FA72A4"/>
    <w:rsid w:val="00FA7423"/>
    <w:rsid w:val="00FA74EA"/>
    <w:rsid w:val="00FA750E"/>
    <w:rsid w:val="00FA7545"/>
    <w:rsid w:val="00FA7555"/>
    <w:rsid w:val="00FA7560"/>
    <w:rsid w:val="00FA769D"/>
    <w:rsid w:val="00FA76FF"/>
    <w:rsid w:val="00FA778D"/>
    <w:rsid w:val="00FA77B0"/>
    <w:rsid w:val="00FA77C9"/>
    <w:rsid w:val="00FA7801"/>
    <w:rsid w:val="00FA79D6"/>
    <w:rsid w:val="00FA7A60"/>
    <w:rsid w:val="00FA7ABA"/>
    <w:rsid w:val="00FA7BD4"/>
    <w:rsid w:val="00FA7BF7"/>
    <w:rsid w:val="00FA7C23"/>
    <w:rsid w:val="00FA7C90"/>
    <w:rsid w:val="00FA7CB5"/>
    <w:rsid w:val="00FA7D66"/>
    <w:rsid w:val="00FA7F67"/>
    <w:rsid w:val="00FA7F80"/>
    <w:rsid w:val="00FA7F93"/>
    <w:rsid w:val="00FB0029"/>
    <w:rsid w:val="00FB0082"/>
    <w:rsid w:val="00FB00A7"/>
    <w:rsid w:val="00FB0116"/>
    <w:rsid w:val="00FB026B"/>
    <w:rsid w:val="00FB0286"/>
    <w:rsid w:val="00FB0308"/>
    <w:rsid w:val="00FB03C0"/>
    <w:rsid w:val="00FB03DB"/>
    <w:rsid w:val="00FB0679"/>
    <w:rsid w:val="00FB087E"/>
    <w:rsid w:val="00FB09BF"/>
    <w:rsid w:val="00FB0A27"/>
    <w:rsid w:val="00FB0ACD"/>
    <w:rsid w:val="00FB0CB0"/>
    <w:rsid w:val="00FB0CDF"/>
    <w:rsid w:val="00FB0CF4"/>
    <w:rsid w:val="00FB0D36"/>
    <w:rsid w:val="00FB0F51"/>
    <w:rsid w:val="00FB1060"/>
    <w:rsid w:val="00FB1177"/>
    <w:rsid w:val="00FB11AF"/>
    <w:rsid w:val="00FB12BF"/>
    <w:rsid w:val="00FB1404"/>
    <w:rsid w:val="00FB1443"/>
    <w:rsid w:val="00FB1582"/>
    <w:rsid w:val="00FB165C"/>
    <w:rsid w:val="00FB1767"/>
    <w:rsid w:val="00FB17E1"/>
    <w:rsid w:val="00FB18F0"/>
    <w:rsid w:val="00FB19B4"/>
    <w:rsid w:val="00FB19D7"/>
    <w:rsid w:val="00FB1A43"/>
    <w:rsid w:val="00FB1DBF"/>
    <w:rsid w:val="00FB1E2D"/>
    <w:rsid w:val="00FB1E7F"/>
    <w:rsid w:val="00FB1FC6"/>
    <w:rsid w:val="00FB201B"/>
    <w:rsid w:val="00FB20A7"/>
    <w:rsid w:val="00FB20C8"/>
    <w:rsid w:val="00FB21D8"/>
    <w:rsid w:val="00FB2318"/>
    <w:rsid w:val="00FB2349"/>
    <w:rsid w:val="00FB2362"/>
    <w:rsid w:val="00FB2444"/>
    <w:rsid w:val="00FB24BD"/>
    <w:rsid w:val="00FB24EB"/>
    <w:rsid w:val="00FB2525"/>
    <w:rsid w:val="00FB25A4"/>
    <w:rsid w:val="00FB2681"/>
    <w:rsid w:val="00FB27BA"/>
    <w:rsid w:val="00FB285E"/>
    <w:rsid w:val="00FB2860"/>
    <w:rsid w:val="00FB291F"/>
    <w:rsid w:val="00FB2932"/>
    <w:rsid w:val="00FB2B3B"/>
    <w:rsid w:val="00FB2B74"/>
    <w:rsid w:val="00FB2B90"/>
    <w:rsid w:val="00FB2C23"/>
    <w:rsid w:val="00FB2CD9"/>
    <w:rsid w:val="00FB2D2E"/>
    <w:rsid w:val="00FB2D57"/>
    <w:rsid w:val="00FB2E5D"/>
    <w:rsid w:val="00FB2F02"/>
    <w:rsid w:val="00FB2F75"/>
    <w:rsid w:val="00FB30A5"/>
    <w:rsid w:val="00FB31B2"/>
    <w:rsid w:val="00FB3289"/>
    <w:rsid w:val="00FB32A0"/>
    <w:rsid w:val="00FB3353"/>
    <w:rsid w:val="00FB33E9"/>
    <w:rsid w:val="00FB345B"/>
    <w:rsid w:val="00FB34D4"/>
    <w:rsid w:val="00FB381A"/>
    <w:rsid w:val="00FB395A"/>
    <w:rsid w:val="00FB3C5E"/>
    <w:rsid w:val="00FB3D5F"/>
    <w:rsid w:val="00FB3F01"/>
    <w:rsid w:val="00FB3F44"/>
    <w:rsid w:val="00FB3F74"/>
    <w:rsid w:val="00FB4017"/>
    <w:rsid w:val="00FB4382"/>
    <w:rsid w:val="00FB43E0"/>
    <w:rsid w:val="00FB44BB"/>
    <w:rsid w:val="00FB4521"/>
    <w:rsid w:val="00FB4556"/>
    <w:rsid w:val="00FB45C4"/>
    <w:rsid w:val="00FB46CB"/>
    <w:rsid w:val="00FB484A"/>
    <w:rsid w:val="00FB48E6"/>
    <w:rsid w:val="00FB4958"/>
    <w:rsid w:val="00FB495B"/>
    <w:rsid w:val="00FB4A29"/>
    <w:rsid w:val="00FB4B28"/>
    <w:rsid w:val="00FB4D58"/>
    <w:rsid w:val="00FB4E23"/>
    <w:rsid w:val="00FB4E25"/>
    <w:rsid w:val="00FB4F6D"/>
    <w:rsid w:val="00FB4F71"/>
    <w:rsid w:val="00FB4F98"/>
    <w:rsid w:val="00FB512E"/>
    <w:rsid w:val="00FB51E1"/>
    <w:rsid w:val="00FB52BE"/>
    <w:rsid w:val="00FB52FE"/>
    <w:rsid w:val="00FB5362"/>
    <w:rsid w:val="00FB538F"/>
    <w:rsid w:val="00FB544A"/>
    <w:rsid w:val="00FB55C1"/>
    <w:rsid w:val="00FB5758"/>
    <w:rsid w:val="00FB57A3"/>
    <w:rsid w:val="00FB583B"/>
    <w:rsid w:val="00FB584B"/>
    <w:rsid w:val="00FB58F6"/>
    <w:rsid w:val="00FB592D"/>
    <w:rsid w:val="00FB5936"/>
    <w:rsid w:val="00FB59B2"/>
    <w:rsid w:val="00FB5A44"/>
    <w:rsid w:val="00FB5A99"/>
    <w:rsid w:val="00FB5A9B"/>
    <w:rsid w:val="00FB5ACE"/>
    <w:rsid w:val="00FB5B1D"/>
    <w:rsid w:val="00FB5B21"/>
    <w:rsid w:val="00FB5BFA"/>
    <w:rsid w:val="00FB5CB9"/>
    <w:rsid w:val="00FB5DE0"/>
    <w:rsid w:val="00FB5E56"/>
    <w:rsid w:val="00FB620F"/>
    <w:rsid w:val="00FB6255"/>
    <w:rsid w:val="00FB62E0"/>
    <w:rsid w:val="00FB65CD"/>
    <w:rsid w:val="00FB65E7"/>
    <w:rsid w:val="00FB66A0"/>
    <w:rsid w:val="00FB67FC"/>
    <w:rsid w:val="00FB68EE"/>
    <w:rsid w:val="00FB6970"/>
    <w:rsid w:val="00FB6994"/>
    <w:rsid w:val="00FB6AB5"/>
    <w:rsid w:val="00FB6B70"/>
    <w:rsid w:val="00FB6BA2"/>
    <w:rsid w:val="00FB6CAC"/>
    <w:rsid w:val="00FB6DF5"/>
    <w:rsid w:val="00FB6E38"/>
    <w:rsid w:val="00FB7014"/>
    <w:rsid w:val="00FB7033"/>
    <w:rsid w:val="00FB7063"/>
    <w:rsid w:val="00FB706A"/>
    <w:rsid w:val="00FB70DC"/>
    <w:rsid w:val="00FB70EC"/>
    <w:rsid w:val="00FB711D"/>
    <w:rsid w:val="00FB7157"/>
    <w:rsid w:val="00FB720A"/>
    <w:rsid w:val="00FB7244"/>
    <w:rsid w:val="00FB7263"/>
    <w:rsid w:val="00FB75E2"/>
    <w:rsid w:val="00FB7696"/>
    <w:rsid w:val="00FB769A"/>
    <w:rsid w:val="00FB76A2"/>
    <w:rsid w:val="00FB777C"/>
    <w:rsid w:val="00FB7801"/>
    <w:rsid w:val="00FB788B"/>
    <w:rsid w:val="00FB78FB"/>
    <w:rsid w:val="00FB7988"/>
    <w:rsid w:val="00FB79E7"/>
    <w:rsid w:val="00FB7A28"/>
    <w:rsid w:val="00FB7A8B"/>
    <w:rsid w:val="00FB7A97"/>
    <w:rsid w:val="00FB7B17"/>
    <w:rsid w:val="00FB7BCD"/>
    <w:rsid w:val="00FB7CCE"/>
    <w:rsid w:val="00FB7D4A"/>
    <w:rsid w:val="00FB7D94"/>
    <w:rsid w:val="00FB7E36"/>
    <w:rsid w:val="00FB7E64"/>
    <w:rsid w:val="00FB7FF2"/>
    <w:rsid w:val="00FC000A"/>
    <w:rsid w:val="00FC0065"/>
    <w:rsid w:val="00FC01E9"/>
    <w:rsid w:val="00FC028F"/>
    <w:rsid w:val="00FC0316"/>
    <w:rsid w:val="00FC03B8"/>
    <w:rsid w:val="00FC03FD"/>
    <w:rsid w:val="00FC06BD"/>
    <w:rsid w:val="00FC0717"/>
    <w:rsid w:val="00FC07C6"/>
    <w:rsid w:val="00FC0841"/>
    <w:rsid w:val="00FC08E8"/>
    <w:rsid w:val="00FC0941"/>
    <w:rsid w:val="00FC0DED"/>
    <w:rsid w:val="00FC0FEB"/>
    <w:rsid w:val="00FC0FF2"/>
    <w:rsid w:val="00FC1393"/>
    <w:rsid w:val="00FC13F3"/>
    <w:rsid w:val="00FC15A5"/>
    <w:rsid w:val="00FC1647"/>
    <w:rsid w:val="00FC16B6"/>
    <w:rsid w:val="00FC16BB"/>
    <w:rsid w:val="00FC1738"/>
    <w:rsid w:val="00FC179C"/>
    <w:rsid w:val="00FC17C7"/>
    <w:rsid w:val="00FC17E9"/>
    <w:rsid w:val="00FC1895"/>
    <w:rsid w:val="00FC1911"/>
    <w:rsid w:val="00FC1967"/>
    <w:rsid w:val="00FC19E3"/>
    <w:rsid w:val="00FC19F3"/>
    <w:rsid w:val="00FC19F4"/>
    <w:rsid w:val="00FC1A66"/>
    <w:rsid w:val="00FC1BF3"/>
    <w:rsid w:val="00FC1CD8"/>
    <w:rsid w:val="00FC1D9A"/>
    <w:rsid w:val="00FC1E74"/>
    <w:rsid w:val="00FC1EC8"/>
    <w:rsid w:val="00FC20E9"/>
    <w:rsid w:val="00FC20FA"/>
    <w:rsid w:val="00FC2101"/>
    <w:rsid w:val="00FC215A"/>
    <w:rsid w:val="00FC2225"/>
    <w:rsid w:val="00FC2296"/>
    <w:rsid w:val="00FC230E"/>
    <w:rsid w:val="00FC2323"/>
    <w:rsid w:val="00FC23D0"/>
    <w:rsid w:val="00FC23E1"/>
    <w:rsid w:val="00FC24C1"/>
    <w:rsid w:val="00FC24CE"/>
    <w:rsid w:val="00FC2506"/>
    <w:rsid w:val="00FC2610"/>
    <w:rsid w:val="00FC2642"/>
    <w:rsid w:val="00FC2777"/>
    <w:rsid w:val="00FC2778"/>
    <w:rsid w:val="00FC27FC"/>
    <w:rsid w:val="00FC28A6"/>
    <w:rsid w:val="00FC28EA"/>
    <w:rsid w:val="00FC291D"/>
    <w:rsid w:val="00FC2929"/>
    <w:rsid w:val="00FC2983"/>
    <w:rsid w:val="00FC298A"/>
    <w:rsid w:val="00FC2A1B"/>
    <w:rsid w:val="00FC2A75"/>
    <w:rsid w:val="00FC2AFA"/>
    <w:rsid w:val="00FC2B79"/>
    <w:rsid w:val="00FC2BF6"/>
    <w:rsid w:val="00FC2C9A"/>
    <w:rsid w:val="00FC2CA9"/>
    <w:rsid w:val="00FC2DA5"/>
    <w:rsid w:val="00FC2DC6"/>
    <w:rsid w:val="00FC2ED5"/>
    <w:rsid w:val="00FC2F0D"/>
    <w:rsid w:val="00FC2F62"/>
    <w:rsid w:val="00FC2FB8"/>
    <w:rsid w:val="00FC3237"/>
    <w:rsid w:val="00FC3422"/>
    <w:rsid w:val="00FC35BC"/>
    <w:rsid w:val="00FC3691"/>
    <w:rsid w:val="00FC36FF"/>
    <w:rsid w:val="00FC3866"/>
    <w:rsid w:val="00FC3869"/>
    <w:rsid w:val="00FC38AE"/>
    <w:rsid w:val="00FC3AD0"/>
    <w:rsid w:val="00FC3B7C"/>
    <w:rsid w:val="00FC3DE8"/>
    <w:rsid w:val="00FC3EC7"/>
    <w:rsid w:val="00FC3F44"/>
    <w:rsid w:val="00FC3F79"/>
    <w:rsid w:val="00FC3F9B"/>
    <w:rsid w:val="00FC3F9F"/>
    <w:rsid w:val="00FC4162"/>
    <w:rsid w:val="00FC420C"/>
    <w:rsid w:val="00FC42E9"/>
    <w:rsid w:val="00FC4462"/>
    <w:rsid w:val="00FC45EF"/>
    <w:rsid w:val="00FC4613"/>
    <w:rsid w:val="00FC4679"/>
    <w:rsid w:val="00FC46B0"/>
    <w:rsid w:val="00FC46D9"/>
    <w:rsid w:val="00FC4860"/>
    <w:rsid w:val="00FC4874"/>
    <w:rsid w:val="00FC493F"/>
    <w:rsid w:val="00FC49D4"/>
    <w:rsid w:val="00FC4A53"/>
    <w:rsid w:val="00FC4A6F"/>
    <w:rsid w:val="00FC4B94"/>
    <w:rsid w:val="00FC4D7E"/>
    <w:rsid w:val="00FC4DB9"/>
    <w:rsid w:val="00FC4FE1"/>
    <w:rsid w:val="00FC503C"/>
    <w:rsid w:val="00FC50D9"/>
    <w:rsid w:val="00FC519C"/>
    <w:rsid w:val="00FC521C"/>
    <w:rsid w:val="00FC52F3"/>
    <w:rsid w:val="00FC538C"/>
    <w:rsid w:val="00FC53CB"/>
    <w:rsid w:val="00FC5433"/>
    <w:rsid w:val="00FC548F"/>
    <w:rsid w:val="00FC54DB"/>
    <w:rsid w:val="00FC550C"/>
    <w:rsid w:val="00FC5516"/>
    <w:rsid w:val="00FC5523"/>
    <w:rsid w:val="00FC5679"/>
    <w:rsid w:val="00FC56CC"/>
    <w:rsid w:val="00FC573A"/>
    <w:rsid w:val="00FC5789"/>
    <w:rsid w:val="00FC578E"/>
    <w:rsid w:val="00FC57A9"/>
    <w:rsid w:val="00FC5806"/>
    <w:rsid w:val="00FC58C0"/>
    <w:rsid w:val="00FC5910"/>
    <w:rsid w:val="00FC595B"/>
    <w:rsid w:val="00FC59C0"/>
    <w:rsid w:val="00FC59E7"/>
    <w:rsid w:val="00FC5AB3"/>
    <w:rsid w:val="00FC5CAE"/>
    <w:rsid w:val="00FC5D23"/>
    <w:rsid w:val="00FC5D3C"/>
    <w:rsid w:val="00FC5D53"/>
    <w:rsid w:val="00FC5DF8"/>
    <w:rsid w:val="00FC5FEC"/>
    <w:rsid w:val="00FC604A"/>
    <w:rsid w:val="00FC615A"/>
    <w:rsid w:val="00FC61E7"/>
    <w:rsid w:val="00FC621C"/>
    <w:rsid w:val="00FC64D3"/>
    <w:rsid w:val="00FC6691"/>
    <w:rsid w:val="00FC6727"/>
    <w:rsid w:val="00FC674D"/>
    <w:rsid w:val="00FC675C"/>
    <w:rsid w:val="00FC678A"/>
    <w:rsid w:val="00FC6862"/>
    <w:rsid w:val="00FC694B"/>
    <w:rsid w:val="00FC6BB0"/>
    <w:rsid w:val="00FC6DB7"/>
    <w:rsid w:val="00FC6F3B"/>
    <w:rsid w:val="00FC6F6D"/>
    <w:rsid w:val="00FC709D"/>
    <w:rsid w:val="00FC70DE"/>
    <w:rsid w:val="00FC7140"/>
    <w:rsid w:val="00FC7213"/>
    <w:rsid w:val="00FC740D"/>
    <w:rsid w:val="00FC74A9"/>
    <w:rsid w:val="00FC7546"/>
    <w:rsid w:val="00FC75ED"/>
    <w:rsid w:val="00FC760A"/>
    <w:rsid w:val="00FC76A5"/>
    <w:rsid w:val="00FC76B6"/>
    <w:rsid w:val="00FC774C"/>
    <w:rsid w:val="00FC7777"/>
    <w:rsid w:val="00FC785D"/>
    <w:rsid w:val="00FC7956"/>
    <w:rsid w:val="00FC7A0A"/>
    <w:rsid w:val="00FC7A6C"/>
    <w:rsid w:val="00FC7A8C"/>
    <w:rsid w:val="00FC7C8F"/>
    <w:rsid w:val="00FC7F55"/>
    <w:rsid w:val="00FC9490"/>
    <w:rsid w:val="00FD003C"/>
    <w:rsid w:val="00FD003E"/>
    <w:rsid w:val="00FD005E"/>
    <w:rsid w:val="00FD02A3"/>
    <w:rsid w:val="00FD02B3"/>
    <w:rsid w:val="00FD0376"/>
    <w:rsid w:val="00FD05FD"/>
    <w:rsid w:val="00FD073B"/>
    <w:rsid w:val="00FD0810"/>
    <w:rsid w:val="00FD088D"/>
    <w:rsid w:val="00FD08D7"/>
    <w:rsid w:val="00FD09B8"/>
    <w:rsid w:val="00FD09BE"/>
    <w:rsid w:val="00FD0AA5"/>
    <w:rsid w:val="00FD0B8A"/>
    <w:rsid w:val="00FD0BA0"/>
    <w:rsid w:val="00FD0CA6"/>
    <w:rsid w:val="00FD0CF8"/>
    <w:rsid w:val="00FD0D02"/>
    <w:rsid w:val="00FD0D16"/>
    <w:rsid w:val="00FD0E21"/>
    <w:rsid w:val="00FD0EBE"/>
    <w:rsid w:val="00FD0F2B"/>
    <w:rsid w:val="00FD0F6C"/>
    <w:rsid w:val="00FD0FC9"/>
    <w:rsid w:val="00FD0FD3"/>
    <w:rsid w:val="00FD1101"/>
    <w:rsid w:val="00FD1157"/>
    <w:rsid w:val="00FD115B"/>
    <w:rsid w:val="00FD1392"/>
    <w:rsid w:val="00FD154E"/>
    <w:rsid w:val="00FD1581"/>
    <w:rsid w:val="00FD167B"/>
    <w:rsid w:val="00FD168A"/>
    <w:rsid w:val="00FD16B9"/>
    <w:rsid w:val="00FD17D3"/>
    <w:rsid w:val="00FD19CF"/>
    <w:rsid w:val="00FD1A06"/>
    <w:rsid w:val="00FD1A0B"/>
    <w:rsid w:val="00FD1ABB"/>
    <w:rsid w:val="00FD1B4C"/>
    <w:rsid w:val="00FD1B63"/>
    <w:rsid w:val="00FD1C41"/>
    <w:rsid w:val="00FD1CF6"/>
    <w:rsid w:val="00FD1D07"/>
    <w:rsid w:val="00FD1DD1"/>
    <w:rsid w:val="00FD1EEE"/>
    <w:rsid w:val="00FD1F40"/>
    <w:rsid w:val="00FD1F61"/>
    <w:rsid w:val="00FD214B"/>
    <w:rsid w:val="00FD219F"/>
    <w:rsid w:val="00FD21D4"/>
    <w:rsid w:val="00FD2288"/>
    <w:rsid w:val="00FD22CF"/>
    <w:rsid w:val="00FD230E"/>
    <w:rsid w:val="00FD23CB"/>
    <w:rsid w:val="00FD24A3"/>
    <w:rsid w:val="00FD24B5"/>
    <w:rsid w:val="00FD2718"/>
    <w:rsid w:val="00FD271E"/>
    <w:rsid w:val="00FD29F3"/>
    <w:rsid w:val="00FD2A26"/>
    <w:rsid w:val="00FD2B1A"/>
    <w:rsid w:val="00FD2C28"/>
    <w:rsid w:val="00FD2CD2"/>
    <w:rsid w:val="00FD2CDF"/>
    <w:rsid w:val="00FD2D51"/>
    <w:rsid w:val="00FD2E3F"/>
    <w:rsid w:val="00FD2ED0"/>
    <w:rsid w:val="00FD2FB8"/>
    <w:rsid w:val="00FD3001"/>
    <w:rsid w:val="00FD310D"/>
    <w:rsid w:val="00FD3136"/>
    <w:rsid w:val="00FD317B"/>
    <w:rsid w:val="00FD317F"/>
    <w:rsid w:val="00FD3268"/>
    <w:rsid w:val="00FD32DF"/>
    <w:rsid w:val="00FD3303"/>
    <w:rsid w:val="00FD335A"/>
    <w:rsid w:val="00FD339C"/>
    <w:rsid w:val="00FD3435"/>
    <w:rsid w:val="00FD345B"/>
    <w:rsid w:val="00FD3594"/>
    <w:rsid w:val="00FD3602"/>
    <w:rsid w:val="00FD381A"/>
    <w:rsid w:val="00FD3837"/>
    <w:rsid w:val="00FD38E3"/>
    <w:rsid w:val="00FD39CC"/>
    <w:rsid w:val="00FD3B94"/>
    <w:rsid w:val="00FD3C79"/>
    <w:rsid w:val="00FD3D37"/>
    <w:rsid w:val="00FD3D53"/>
    <w:rsid w:val="00FD406A"/>
    <w:rsid w:val="00FD40F6"/>
    <w:rsid w:val="00FD4166"/>
    <w:rsid w:val="00FD42E4"/>
    <w:rsid w:val="00FD4361"/>
    <w:rsid w:val="00FD4434"/>
    <w:rsid w:val="00FD4577"/>
    <w:rsid w:val="00FD4658"/>
    <w:rsid w:val="00FD477B"/>
    <w:rsid w:val="00FD47AE"/>
    <w:rsid w:val="00FD47ED"/>
    <w:rsid w:val="00FD496B"/>
    <w:rsid w:val="00FD4979"/>
    <w:rsid w:val="00FD498D"/>
    <w:rsid w:val="00FD4B48"/>
    <w:rsid w:val="00FD4DD6"/>
    <w:rsid w:val="00FD4E1A"/>
    <w:rsid w:val="00FD4F3D"/>
    <w:rsid w:val="00FD5074"/>
    <w:rsid w:val="00FD507C"/>
    <w:rsid w:val="00FD51CA"/>
    <w:rsid w:val="00FD51CF"/>
    <w:rsid w:val="00FD51F7"/>
    <w:rsid w:val="00FD53D5"/>
    <w:rsid w:val="00FD5409"/>
    <w:rsid w:val="00FD5684"/>
    <w:rsid w:val="00FD5846"/>
    <w:rsid w:val="00FD585A"/>
    <w:rsid w:val="00FD58C4"/>
    <w:rsid w:val="00FD58D4"/>
    <w:rsid w:val="00FD58E0"/>
    <w:rsid w:val="00FD591F"/>
    <w:rsid w:val="00FD5AE3"/>
    <w:rsid w:val="00FD5B1B"/>
    <w:rsid w:val="00FD5B54"/>
    <w:rsid w:val="00FD5B65"/>
    <w:rsid w:val="00FD5B85"/>
    <w:rsid w:val="00FD5BFF"/>
    <w:rsid w:val="00FD5C29"/>
    <w:rsid w:val="00FD5D4F"/>
    <w:rsid w:val="00FD5D71"/>
    <w:rsid w:val="00FD5D97"/>
    <w:rsid w:val="00FD5DC9"/>
    <w:rsid w:val="00FD5EDD"/>
    <w:rsid w:val="00FD5F37"/>
    <w:rsid w:val="00FD5F6B"/>
    <w:rsid w:val="00FD612A"/>
    <w:rsid w:val="00FD61D7"/>
    <w:rsid w:val="00FD6221"/>
    <w:rsid w:val="00FD6238"/>
    <w:rsid w:val="00FD62EB"/>
    <w:rsid w:val="00FD630D"/>
    <w:rsid w:val="00FD6317"/>
    <w:rsid w:val="00FD63F0"/>
    <w:rsid w:val="00FD653E"/>
    <w:rsid w:val="00FD664F"/>
    <w:rsid w:val="00FD6680"/>
    <w:rsid w:val="00FD681E"/>
    <w:rsid w:val="00FD6B45"/>
    <w:rsid w:val="00FD6C08"/>
    <w:rsid w:val="00FD6C76"/>
    <w:rsid w:val="00FD6D37"/>
    <w:rsid w:val="00FD6E7A"/>
    <w:rsid w:val="00FD7045"/>
    <w:rsid w:val="00FD70CA"/>
    <w:rsid w:val="00FD70DC"/>
    <w:rsid w:val="00FD71D7"/>
    <w:rsid w:val="00FD7224"/>
    <w:rsid w:val="00FD726D"/>
    <w:rsid w:val="00FD72E1"/>
    <w:rsid w:val="00FD7377"/>
    <w:rsid w:val="00FD73AE"/>
    <w:rsid w:val="00FD73F8"/>
    <w:rsid w:val="00FD741F"/>
    <w:rsid w:val="00FD747A"/>
    <w:rsid w:val="00FD7497"/>
    <w:rsid w:val="00FD749A"/>
    <w:rsid w:val="00FD755F"/>
    <w:rsid w:val="00FD75A1"/>
    <w:rsid w:val="00FD761C"/>
    <w:rsid w:val="00FD7626"/>
    <w:rsid w:val="00FD762B"/>
    <w:rsid w:val="00FD76CA"/>
    <w:rsid w:val="00FD76F6"/>
    <w:rsid w:val="00FD77F4"/>
    <w:rsid w:val="00FD78D8"/>
    <w:rsid w:val="00FD7990"/>
    <w:rsid w:val="00FD79A3"/>
    <w:rsid w:val="00FD7CA0"/>
    <w:rsid w:val="00FD7CC0"/>
    <w:rsid w:val="00FD7D5B"/>
    <w:rsid w:val="00FD7DD4"/>
    <w:rsid w:val="00FD7E60"/>
    <w:rsid w:val="00FD7EA6"/>
    <w:rsid w:val="00FD7EF3"/>
    <w:rsid w:val="00FD7F2C"/>
    <w:rsid w:val="00FE0086"/>
    <w:rsid w:val="00FE0185"/>
    <w:rsid w:val="00FE0402"/>
    <w:rsid w:val="00FE0490"/>
    <w:rsid w:val="00FE0586"/>
    <w:rsid w:val="00FE05AC"/>
    <w:rsid w:val="00FE0685"/>
    <w:rsid w:val="00FE06E5"/>
    <w:rsid w:val="00FE06F2"/>
    <w:rsid w:val="00FE08BC"/>
    <w:rsid w:val="00FE08E4"/>
    <w:rsid w:val="00FE0A9D"/>
    <w:rsid w:val="00FE0ADB"/>
    <w:rsid w:val="00FE0B89"/>
    <w:rsid w:val="00FE0BDB"/>
    <w:rsid w:val="00FE0BE6"/>
    <w:rsid w:val="00FE0CBD"/>
    <w:rsid w:val="00FE0D4D"/>
    <w:rsid w:val="00FE0DBD"/>
    <w:rsid w:val="00FE0F54"/>
    <w:rsid w:val="00FE0FBA"/>
    <w:rsid w:val="00FE0FD0"/>
    <w:rsid w:val="00FE104F"/>
    <w:rsid w:val="00FE109F"/>
    <w:rsid w:val="00FE1109"/>
    <w:rsid w:val="00FE1114"/>
    <w:rsid w:val="00FE115C"/>
    <w:rsid w:val="00FE11A9"/>
    <w:rsid w:val="00FE134D"/>
    <w:rsid w:val="00FE138F"/>
    <w:rsid w:val="00FE13F8"/>
    <w:rsid w:val="00FE1485"/>
    <w:rsid w:val="00FE15DA"/>
    <w:rsid w:val="00FE1673"/>
    <w:rsid w:val="00FE16E6"/>
    <w:rsid w:val="00FE1829"/>
    <w:rsid w:val="00FE19B3"/>
    <w:rsid w:val="00FE1AB2"/>
    <w:rsid w:val="00FE1B27"/>
    <w:rsid w:val="00FE1B31"/>
    <w:rsid w:val="00FE1CE0"/>
    <w:rsid w:val="00FE1E94"/>
    <w:rsid w:val="00FE1F68"/>
    <w:rsid w:val="00FE1FC9"/>
    <w:rsid w:val="00FE2057"/>
    <w:rsid w:val="00FE21EB"/>
    <w:rsid w:val="00FE21F2"/>
    <w:rsid w:val="00FE225F"/>
    <w:rsid w:val="00FE2260"/>
    <w:rsid w:val="00FE2364"/>
    <w:rsid w:val="00FE2389"/>
    <w:rsid w:val="00FE2390"/>
    <w:rsid w:val="00FE248B"/>
    <w:rsid w:val="00FE248D"/>
    <w:rsid w:val="00FE249B"/>
    <w:rsid w:val="00FE2525"/>
    <w:rsid w:val="00FE262D"/>
    <w:rsid w:val="00FE27F7"/>
    <w:rsid w:val="00FE28A4"/>
    <w:rsid w:val="00FE28F8"/>
    <w:rsid w:val="00FE2925"/>
    <w:rsid w:val="00FE2947"/>
    <w:rsid w:val="00FE2A9B"/>
    <w:rsid w:val="00FE2AB3"/>
    <w:rsid w:val="00FE2AD5"/>
    <w:rsid w:val="00FE2B1C"/>
    <w:rsid w:val="00FE2BEA"/>
    <w:rsid w:val="00FE2C7E"/>
    <w:rsid w:val="00FE2D98"/>
    <w:rsid w:val="00FE2E8E"/>
    <w:rsid w:val="00FE2F7D"/>
    <w:rsid w:val="00FE3040"/>
    <w:rsid w:val="00FE3251"/>
    <w:rsid w:val="00FE327B"/>
    <w:rsid w:val="00FE32BD"/>
    <w:rsid w:val="00FE3355"/>
    <w:rsid w:val="00FE33F6"/>
    <w:rsid w:val="00FE341E"/>
    <w:rsid w:val="00FE3641"/>
    <w:rsid w:val="00FE37CD"/>
    <w:rsid w:val="00FE380D"/>
    <w:rsid w:val="00FE38A1"/>
    <w:rsid w:val="00FE394E"/>
    <w:rsid w:val="00FE3A41"/>
    <w:rsid w:val="00FE3AF6"/>
    <w:rsid w:val="00FE3B67"/>
    <w:rsid w:val="00FE3C32"/>
    <w:rsid w:val="00FE3C74"/>
    <w:rsid w:val="00FE3CEE"/>
    <w:rsid w:val="00FE3DF6"/>
    <w:rsid w:val="00FE3E58"/>
    <w:rsid w:val="00FE3F57"/>
    <w:rsid w:val="00FE3FDB"/>
    <w:rsid w:val="00FE40E3"/>
    <w:rsid w:val="00FE416E"/>
    <w:rsid w:val="00FE4192"/>
    <w:rsid w:val="00FE42C0"/>
    <w:rsid w:val="00FE4393"/>
    <w:rsid w:val="00FE443D"/>
    <w:rsid w:val="00FE4545"/>
    <w:rsid w:val="00FE460E"/>
    <w:rsid w:val="00FE4651"/>
    <w:rsid w:val="00FE4658"/>
    <w:rsid w:val="00FE468D"/>
    <w:rsid w:val="00FE470C"/>
    <w:rsid w:val="00FE48AD"/>
    <w:rsid w:val="00FE48AE"/>
    <w:rsid w:val="00FE4A22"/>
    <w:rsid w:val="00FE4A93"/>
    <w:rsid w:val="00FE4B36"/>
    <w:rsid w:val="00FE4C0C"/>
    <w:rsid w:val="00FE4C5A"/>
    <w:rsid w:val="00FE4EC9"/>
    <w:rsid w:val="00FE4F2A"/>
    <w:rsid w:val="00FE522D"/>
    <w:rsid w:val="00FE52B8"/>
    <w:rsid w:val="00FE52C2"/>
    <w:rsid w:val="00FE5338"/>
    <w:rsid w:val="00FE551B"/>
    <w:rsid w:val="00FE55B6"/>
    <w:rsid w:val="00FE5695"/>
    <w:rsid w:val="00FE569E"/>
    <w:rsid w:val="00FE56D3"/>
    <w:rsid w:val="00FE5706"/>
    <w:rsid w:val="00FE577B"/>
    <w:rsid w:val="00FE57A3"/>
    <w:rsid w:val="00FE57E6"/>
    <w:rsid w:val="00FE5858"/>
    <w:rsid w:val="00FE58F7"/>
    <w:rsid w:val="00FE59EB"/>
    <w:rsid w:val="00FE5A5D"/>
    <w:rsid w:val="00FE5A5E"/>
    <w:rsid w:val="00FE5A67"/>
    <w:rsid w:val="00FE5A70"/>
    <w:rsid w:val="00FE5ADE"/>
    <w:rsid w:val="00FE5AF9"/>
    <w:rsid w:val="00FE5B0A"/>
    <w:rsid w:val="00FE5BC9"/>
    <w:rsid w:val="00FE5DB3"/>
    <w:rsid w:val="00FE5EBA"/>
    <w:rsid w:val="00FE5F75"/>
    <w:rsid w:val="00FE6044"/>
    <w:rsid w:val="00FE6049"/>
    <w:rsid w:val="00FE604A"/>
    <w:rsid w:val="00FE6070"/>
    <w:rsid w:val="00FE60D7"/>
    <w:rsid w:val="00FE60E6"/>
    <w:rsid w:val="00FE610B"/>
    <w:rsid w:val="00FE61BC"/>
    <w:rsid w:val="00FE6234"/>
    <w:rsid w:val="00FE62CF"/>
    <w:rsid w:val="00FE6302"/>
    <w:rsid w:val="00FE64C2"/>
    <w:rsid w:val="00FE6634"/>
    <w:rsid w:val="00FE677B"/>
    <w:rsid w:val="00FE68DA"/>
    <w:rsid w:val="00FE6912"/>
    <w:rsid w:val="00FE698F"/>
    <w:rsid w:val="00FE69FC"/>
    <w:rsid w:val="00FE6BA6"/>
    <w:rsid w:val="00FE6D31"/>
    <w:rsid w:val="00FE6D5A"/>
    <w:rsid w:val="00FE6D81"/>
    <w:rsid w:val="00FE6D83"/>
    <w:rsid w:val="00FE6DB2"/>
    <w:rsid w:val="00FE6E7E"/>
    <w:rsid w:val="00FE6EF1"/>
    <w:rsid w:val="00FE6FD1"/>
    <w:rsid w:val="00FE6FE8"/>
    <w:rsid w:val="00FE7039"/>
    <w:rsid w:val="00FE70D2"/>
    <w:rsid w:val="00FE7247"/>
    <w:rsid w:val="00FE7252"/>
    <w:rsid w:val="00FE72C1"/>
    <w:rsid w:val="00FE73C1"/>
    <w:rsid w:val="00FE73C7"/>
    <w:rsid w:val="00FE73FE"/>
    <w:rsid w:val="00FE7469"/>
    <w:rsid w:val="00FE74BA"/>
    <w:rsid w:val="00FE75C9"/>
    <w:rsid w:val="00FE75F4"/>
    <w:rsid w:val="00FE75F6"/>
    <w:rsid w:val="00FE763B"/>
    <w:rsid w:val="00FE76C4"/>
    <w:rsid w:val="00FE76D0"/>
    <w:rsid w:val="00FE7832"/>
    <w:rsid w:val="00FE78D4"/>
    <w:rsid w:val="00FE7920"/>
    <w:rsid w:val="00FE7955"/>
    <w:rsid w:val="00FE799D"/>
    <w:rsid w:val="00FE7A6A"/>
    <w:rsid w:val="00FE7B28"/>
    <w:rsid w:val="00FE7D8D"/>
    <w:rsid w:val="00FE7E1F"/>
    <w:rsid w:val="00FF0005"/>
    <w:rsid w:val="00FF001E"/>
    <w:rsid w:val="00FF00C1"/>
    <w:rsid w:val="00FF00EC"/>
    <w:rsid w:val="00FF00F3"/>
    <w:rsid w:val="00FF0122"/>
    <w:rsid w:val="00FF016D"/>
    <w:rsid w:val="00FF01CD"/>
    <w:rsid w:val="00FF01D8"/>
    <w:rsid w:val="00FF03A1"/>
    <w:rsid w:val="00FF0432"/>
    <w:rsid w:val="00FF0465"/>
    <w:rsid w:val="00FF05D0"/>
    <w:rsid w:val="00FF0840"/>
    <w:rsid w:val="00FF086F"/>
    <w:rsid w:val="00FF09BB"/>
    <w:rsid w:val="00FF0AE4"/>
    <w:rsid w:val="00FF0AFE"/>
    <w:rsid w:val="00FF0C9F"/>
    <w:rsid w:val="00FF0DD0"/>
    <w:rsid w:val="00FF0E7A"/>
    <w:rsid w:val="00FF0F04"/>
    <w:rsid w:val="00FF0F1F"/>
    <w:rsid w:val="00FF1045"/>
    <w:rsid w:val="00FF105F"/>
    <w:rsid w:val="00FF10B1"/>
    <w:rsid w:val="00FF10B7"/>
    <w:rsid w:val="00FF1124"/>
    <w:rsid w:val="00FF11FB"/>
    <w:rsid w:val="00FF1208"/>
    <w:rsid w:val="00FF1240"/>
    <w:rsid w:val="00FF12AB"/>
    <w:rsid w:val="00FF1522"/>
    <w:rsid w:val="00FF15ED"/>
    <w:rsid w:val="00FF163C"/>
    <w:rsid w:val="00FF1762"/>
    <w:rsid w:val="00FF1A7B"/>
    <w:rsid w:val="00FF1A86"/>
    <w:rsid w:val="00FF1ADA"/>
    <w:rsid w:val="00FF1AE5"/>
    <w:rsid w:val="00FF1BF4"/>
    <w:rsid w:val="00FF1CA8"/>
    <w:rsid w:val="00FF1CF2"/>
    <w:rsid w:val="00FF1DC0"/>
    <w:rsid w:val="00FF1DF9"/>
    <w:rsid w:val="00FF1EC5"/>
    <w:rsid w:val="00FF1EC8"/>
    <w:rsid w:val="00FF20CD"/>
    <w:rsid w:val="00FF20FE"/>
    <w:rsid w:val="00FF2179"/>
    <w:rsid w:val="00FF21FD"/>
    <w:rsid w:val="00FF242D"/>
    <w:rsid w:val="00FF2452"/>
    <w:rsid w:val="00FF25A3"/>
    <w:rsid w:val="00FF25C0"/>
    <w:rsid w:val="00FF2666"/>
    <w:rsid w:val="00FF270F"/>
    <w:rsid w:val="00FF2821"/>
    <w:rsid w:val="00FF2824"/>
    <w:rsid w:val="00FF2960"/>
    <w:rsid w:val="00FF2A3B"/>
    <w:rsid w:val="00FF2B57"/>
    <w:rsid w:val="00FF2BBD"/>
    <w:rsid w:val="00FF2BC8"/>
    <w:rsid w:val="00FF2C65"/>
    <w:rsid w:val="00FF2E26"/>
    <w:rsid w:val="00FF2EBD"/>
    <w:rsid w:val="00FF30AC"/>
    <w:rsid w:val="00FF313C"/>
    <w:rsid w:val="00FF31C0"/>
    <w:rsid w:val="00FF323F"/>
    <w:rsid w:val="00FF33FF"/>
    <w:rsid w:val="00FF3492"/>
    <w:rsid w:val="00FF3512"/>
    <w:rsid w:val="00FF3517"/>
    <w:rsid w:val="00FF35F2"/>
    <w:rsid w:val="00FF3638"/>
    <w:rsid w:val="00FF36CA"/>
    <w:rsid w:val="00FF3926"/>
    <w:rsid w:val="00FF394E"/>
    <w:rsid w:val="00FF39BF"/>
    <w:rsid w:val="00FF39C3"/>
    <w:rsid w:val="00FF39CF"/>
    <w:rsid w:val="00FF3AF5"/>
    <w:rsid w:val="00FF3B14"/>
    <w:rsid w:val="00FF3BF5"/>
    <w:rsid w:val="00FF3C91"/>
    <w:rsid w:val="00FF3D04"/>
    <w:rsid w:val="00FF3DD7"/>
    <w:rsid w:val="00FF3EA9"/>
    <w:rsid w:val="00FF3EE2"/>
    <w:rsid w:val="00FF402C"/>
    <w:rsid w:val="00FF414B"/>
    <w:rsid w:val="00FF4206"/>
    <w:rsid w:val="00FF420C"/>
    <w:rsid w:val="00FF42C6"/>
    <w:rsid w:val="00FF4305"/>
    <w:rsid w:val="00FF4357"/>
    <w:rsid w:val="00FF435D"/>
    <w:rsid w:val="00FF443D"/>
    <w:rsid w:val="00FF473F"/>
    <w:rsid w:val="00FF47F3"/>
    <w:rsid w:val="00FF493C"/>
    <w:rsid w:val="00FF4D2B"/>
    <w:rsid w:val="00FF4E48"/>
    <w:rsid w:val="00FF4E63"/>
    <w:rsid w:val="00FF4E82"/>
    <w:rsid w:val="00FF4E84"/>
    <w:rsid w:val="00FF4E85"/>
    <w:rsid w:val="00FF5265"/>
    <w:rsid w:val="00FF52D6"/>
    <w:rsid w:val="00FF52E2"/>
    <w:rsid w:val="00FF5363"/>
    <w:rsid w:val="00FF5390"/>
    <w:rsid w:val="00FF53A9"/>
    <w:rsid w:val="00FF547E"/>
    <w:rsid w:val="00FF54B6"/>
    <w:rsid w:val="00FF5511"/>
    <w:rsid w:val="00FF55BF"/>
    <w:rsid w:val="00FF57A1"/>
    <w:rsid w:val="00FF57E2"/>
    <w:rsid w:val="00FF596B"/>
    <w:rsid w:val="00FF5A33"/>
    <w:rsid w:val="00FF5ADC"/>
    <w:rsid w:val="00FF5BCB"/>
    <w:rsid w:val="00FF5D74"/>
    <w:rsid w:val="00FF5F15"/>
    <w:rsid w:val="00FF605C"/>
    <w:rsid w:val="00FF6106"/>
    <w:rsid w:val="00FF6148"/>
    <w:rsid w:val="00FF620F"/>
    <w:rsid w:val="00FF62DC"/>
    <w:rsid w:val="00FF6394"/>
    <w:rsid w:val="00FF6424"/>
    <w:rsid w:val="00FF6468"/>
    <w:rsid w:val="00FF6499"/>
    <w:rsid w:val="00FF6546"/>
    <w:rsid w:val="00FF662E"/>
    <w:rsid w:val="00FF6731"/>
    <w:rsid w:val="00FF6A97"/>
    <w:rsid w:val="00FF6B59"/>
    <w:rsid w:val="00FF6C06"/>
    <w:rsid w:val="00FF6C0A"/>
    <w:rsid w:val="00FF6D0D"/>
    <w:rsid w:val="00FF6D14"/>
    <w:rsid w:val="00FF6D57"/>
    <w:rsid w:val="00FF6DF5"/>
    <w:rsid w:val="00FF6DF8"/>
    <w:rsid w:val="00FF71D0"/>
    <w:rsid w:val="00FF7382"/>
    <w:rsid w:val="00FF73BC"/>
    <w:rsid w:val="00FF73BF"/>
    <w:rsid w:val="00FF741E"/>
    <w:rsid w:val="00FF749B"/>
    <w:rsid w:val="00FF773D"/>
    <w:rsid w:val="00FF779D"/>
    <w:rsid w:val="00FF77CA"/>
    <w:rsid w:val="00FF79D0"/>
    <w:rsid w:val="00FF7A4E"/>
    <w:rsid w:val="00FF7C72"/>
    <w:rsid w:val="00FF7CF6"/>
    <w:rsid w:val="00FF7D43"/>
    <w:rsid w:val="00FF7E12"/>
    <w:rsid w:val="00FF7F05"/>
    <w:rsid w:val="00FF7F1A"/>
    <w:rsid w:val="010F04BC"/>
    <w:rsid w:val="01100CD7"/>
    <w:rsid w:val="0115DADD"/>
    <w:rsid w:val="01206BBF"/>
    <w:rsid w:val="0122B1BC"/>
    <w:rsid w:val="012ACB33"/>
    <w:rsid w:val="013172EC"/>
    <w:rsid w:val="0132C5E7"/>
    <w:rsid w:val="013FB19A"/>
    <w:rsid w:val="01451991"/>
    <w:rsid w:val="014AFC3A"/>
    <w:rsid w:val="014D7574"/>
    <w:rsid w:val="014E8F40"/>
    <w:rsid w:val="01516BB8"/>
    <w:rsid w:val="015EDB1B"/>
    <w:rsid w:val="015F037D"/>
    <w:rsid w:val="016AFBF5"/>
    <w:rsid w:val="016BAC03"/>
    <w:rsid w:val="016D99A9"/>
    <w:rsid w:val="01720DE5"/>
    <w:rsid w:val="01763AEE"/>
    <w:rsid w:val="017AFA6F"/>
    <w:rsid w:val="0189768D"/>
    <w:rsid w:val="018CA36E"/>
    <w:rsid w:val="01A11ADE"/>
    <w:rsid w:val="01A2857A"/>
    <w:rsid w:val="01A3AEA0"/>
    <w:rsid w:val="01A69A11"/>
    <w:rsid w:val="01AA4FFC"/>
    <w:rsid w:val="01AE0C6B"/>
    <w:rsid w:val="01B425DE"/>
    <w:rsid w:val="01BAF337"/>
    <w:rsid w:val="01C45C4B"/>
    <w:rsid w:val="01C759FE"/>
    <w:rsid w:val="01E84DF2"/>
    <w:rsid w:val="01F5768D"/>
    <w:rsid w:val="01FA3472"/>
    <w:rsid w:val="01FB8A27"/>
    <w:rsid w:val="0202A4DD"/>
    <w:rsid w:val="020CEE2D"/>
    <w:rsid w:val="020E5E1B"/>
    <w:rsid w:val="021D3B30"/>
    <w:rsid w:val="02310E7D"/>
    <w:rsid w:val="0232A644"/>
    <w:rsid w:val="0237C3B9"/>
    <w:rsid w:val="025A22B5"/>
    <w:rsid w:val="025EB2D8"/>
    <w:rsid w:val="027C4A1C"/>
    <w:rsid w:val="028868C5"/>
    <w:rsid w:val="028DCC56"/>
    <w:rsid w:val="02B05B3C"/>
    <w:rsid w:val="02B1B19E"/>
    <w:rsid w:val="02BDE5BE"/>
    <w:rsid w:val="02C78390"/>
    <w:rsid w:val="02CA80CE"/>
    <w:rsid w:val="02E9A6F9"/>
    <w:rsid w:val="02EEBE28"/>
    <w:rsid w:val="02F9E72A"/>
    <w:rsid w:val="030A6A5E"/>
    <w:rsid w:val="030D3082"/>
    <w:rsid w:val="031310D4"/>
    <w:rsid w:val="031DC89F"/>
    <w:rsid w:val="0327BF6B"/>
    <w:rsid w:val="034A2434"/>
    <w:rsid w:val="034F0309"/>
    <w:rsid w:val="0368B493"/>
    <w:rsid w:val="036A5F8F"/>
    <w:rsid w:val="037A4EAB"/>
    <w:rsid w:val="037E8189"/>
    <w:rsid w:val="03A28B94"/>
    <w:rsid w:val="03B9F768"/>
    <w:rsid w:val="03BBEB96"/>
    <w:rsid w:val="03C4538D"/>
    <w:rsid w:val="03C8DDD0"/>
    <w:rsid w:val="03C903E1"/>
    <w:rsid w:val="03CDD353"/>
    <w:rsid w:val="03CEB101"/>
    <w:rsid w:val="03EA399F"/>
    <w:rsid w:val="03EC7BE8"/>
    <w:rsid w:val="03F15A2D"/>
    <w:rsid w:val="03F23E70"/>
    <w:rsid w:val="03FB9038"/>
    <w:rsid w:val="03FC6361"/>
    <w:rsid w:val="03FECD17"/>
    <w:rsid w:val="040AD6C8"/>
    <w:rsid w:val="0412B6F8"/>
    <w:rsid w:val="042095A7"/>
    <w:rsid w:val="0421D913"/>
    <w:rsid w:val="04224EC3"/>
    <w:rsid w:val="042B235D"/>
    <w:rsid w:val="042B7524"/>
    <w:rsid w:val="0436EBE9"/>
    <w:rsid w:val="044A5221"/>
    <w:rsid w:val="044E4E5D"/>
    <w:rsid w:val="044F148F"/>
    <w:rsid w:val="0450500C"/>
    <w:rsid w:val="0450F731"/>
    <w:rsid w:val="0453C0CD"/>
    <w:rsid w:val="0458CDBB"/>
    <w:rsid w:val="045DA65B"/>
    <w:rsid w:val="045F7469"/>
    <w:rsid w:val="046FFC16"/>
    <w:rsid w:val="0496B970"/>
    <w:rsid w:val="049DC024"/>
    <w:rsid w:val="049E6E1C"/>
    <w:rsid w:val="04B2D89D"/>
    <w:rsid w:val="04BEE00A"/>
    <w:rsid w:val="04C4BF54"/>
    <w:rsid w:val="04D43093"/>
    <w:rsid w:val="04D7CC11"/>
    <w:rsid w:val="04D9FD76"/>
    <w:rsid w:val="04E4134D"/>
    <w:rsid w:val="04E80407"/>
    <w:rsid w:val="0505631E"/>
    <w:rsid w:val="0514C296"/>
    <w:rsid w:val="052E32DC"/>
    <w:rsid w:val="053AF7B8"/>
    <w:rsid w:val="054B2D64"/>
    <w:rsid w:val="05554685"/>
    <w:rsid w:val="0557CAE4"/>
    <w:rsid w:val="055E6F09"/>
    <w:rsid w:val="056563BF"/>
    <w:rsid w:val="0573978C"/>
    <w:rsid w:val="05883C0D"/>
    <w:rsid w:val="05A8DF6A"/>
    <w:rsid w:val="05AD0162"/>
    <w:rsid w:val="05C492DC"/>
    <w:rsid w:val="05C51F84"/>
    <w:rsid w:val="05CCE0B1"/>
    <w:rsid w:val="05D471FA"/>
    <w:rsid w:val="05D8F066"/>
    <w:rsid w:val="05F02358"/>
    <w:rsid w:val="0603819A"/>
    <w:rsid w:val="060F0F7F"/>
    <w:rsid w:val="063057AA"/>
    <w:rsid w:val="0638CAA8"/>
    <w:rsid w:val="0655444B"/>
    <w:rsid w:val="065965DD"/>
    <w:rsid w:val="065D66E9"/>
    <w:rsid w:val="065E0C9D"/>
    <w:rsid w:val="067AD46E"/>
    <w:rsid w:val="067DA489"/>
    <w:rsid w:val="068B5D80"/>
    <w:rsid w:val="0692543F"/>
    <w:rsid w:val="0693510D"/>
    <w:rsid w:val="06A442DA"/>
    <w:rsid w:val="06A94E68"/>
    <w:rsid w:val="06B5EF90"/>
    <w:rsid w:val="06BAB9F2"/>
    <w:rsid w:val="06C29798"/>
    <w:rsid w:val="06CBF129"/>
    <w:rsid w:val="06D0D6FC"/>
    <w:rsid w:val="06D183F8"/>
    <w:rsid w:val="06D2C643"/>
    <w:rsid w:val="06DD5788"/>
    <w:rsid w:val="06F1D4BE"/>
    <w:rsid w:val="06F4D860"/>
    <w:rsid w:val="0701D244"/>
    <w:rsid w:val="07178E74"/>
    <w:rsid w:val="0725BDF7"/>
    <w:rsid w:val="07273953"/>
    <w:rsid w:val="0729BD26"/>
    <w:rsid w:val="072B7F73"/>
    <w:rsid w:val="072FA28F"/>
    <w:rsid w:val="073984E5"/>
    <w:rsid w:val="073B3F73"/>
    <w:rsid w:val="073F0DB0"/>
    <w:rsid w:val="075801A9"/>
    <w:rsid w:val="075DBC72"/>
    <w:rsid w:val="075E77B0"/>
    <w:rsid w:val="0765523E"/>
    <w:rsid w:val="076947D4"/>
    <w:rsid w:val="0769A83B"/>
    <w:rsid w:val="076AD8F0"/>
    <w:rsid w:val="0772C357"/>
    <w:rsid w:val="077CC49E"/>
    <w:rsid w:val="078062E6"/>
    <w:rsid w:val="078925D6"/>
    <w:rsid w:val="07934C70"/>
    <w:rsid w:val="0796F938"/>
    <w:rsid w:val="0799066A"/>
    <w:rsid w:val="07994F61"/>
    <w:rsid w:val="079DFFBB"/>
    <w:rsid w:val="07A28202"/>
    <w:rsid w:val="07A357A2"/>
    <w:rsid w:val="07B03DCE"/>
    <w:rsid w:val="07B08465"/>
    <w:rsid w:val="07B4612B"/>
    <w:rsid w:val="07B8BE80"/>
    <w:rsid w:val="07B9B9B3"/>
    <w:rsid w:val="07BEBE52"/>
    <w:rsid w:val="07C9E07F"/>
    <w:rsid w:val="07D0CBD4"/>
    <w:rsid w:val="07D873EF"/>
    <w:rsid w:val="07DA7CEF"/>
    <w:rsid w:val="07DC8A84"/>
    <w:rsid w:val="07EAE552"/>
    <w:rsid w:val="0805A2E3"/>
    <w:rsid w:val="0814AB3C"/>
    <w:rsid w:val="081B4CE8"/>
    <w:rsid w:val="08233BED"/>
    <w:rsid w:val="0823CB6A"/>
    <w:rsid w:val="082E50CE"/>
    <w:rsid w:val="0839D4FC"/>
    <w:rsid w:val="08538B65"/>
    <w:rsid w:val="08560DAA"/>
    <w:rsid w:val="08594819"/>
    <w:rsid w:val="0872BFC4"/>
    <w:rsid w:val="0872E245"/>
    <w:rsid w:val="087315CC"/>
    <w:rsid w:val="087E8CFA"/>
    <w:rsid w:val="088A21F5"/>
    <w:rsid w:val="088C66AD"/>
    <w:rsid w:val="0896E9D1"/>
    <w:rsid w:val="0899FC38"/>
    <w:rsid w:val="089C9E67"/>
    <w:rsid w:val="08B32B94"/>
    <w:rsid w:val="08B52F09"/>
    <w:rsid w:val="08B688F6"/>
    <w:rsid w:val="08B7492B"/>
    <w:rsid w:val="08C4CEE2"/>
    <w:rsid w:val="08C8B195"/>
    <w:rsid w:val="08D022B4"/>
    <w:rsid w:val="08D2A3A0"/>
    <w:rsid w:val="08E69FA9"/>
    <w:rsid w:val="08E9B93E"/>
    <w:rsid w:val="08EB85DD"/>
    <w:rsid w:val="08F5A38B"/>
    <w:rsid w:val="08F92388"/>
    <w:rsid w:val="09128B24"/>
    <w:rsid w:val="091623A2"/>
    <w:rsid w:val="0918D7D4"/>
    <w:rsid w:val="0919CF2D"/>
    <w:rsid w:val="092B3B97"/>
    <w:rsid w:val="093243CC"/>
    <w:rsid w:val="0934383B"/>
    <w:rsid w:val="09358198"/>
    <w:rsid w:val="0941ED93"/>
    <w:rsid w:val="09436DD7"/>
    <w:rsid w:val="0952C0DE"/>
    <w:rsid w:val="0954CD99"/>
    <w:rsid w:val="095B0F55"/>
    <w:rsid w:val="095B8A9C"/>
    <w:rsid w:val="095D78BE"/>
    <w:rsid w:val="0965BA2C"/>
    <w:rsid w:val="0967EEC6"/>
    <w:rsid w:val="096EB9F1"/>
    <w:rsid w:val="096EE3D7"/>
    <w:rsid w:val="096F6F2C"/>
    <w:rsid w:val="0970A908"/>
    <w:rsid w:val="0977B53A"/>
    <w:rsid w:val="097EE01B"/>
    <w:rsid w:val="0984000D"/>
    <w:rsid w:val="0985C318"/>
    <w:rsid w:val="0987E89D"/>
    <w:rsid w:val="098FF3D7"/>
    <w:rsid w:val="09917212"/>
    <w:rsid w:val="0998A4F6"/>
    <w:rsid w:val="099C009F"/>
    <w:rsid w:val="09BCE5FA"/>
    <w:rsid w:val="09C195FA"/>
    <w:rsid w:val="09D4444C"/>
    <w:rsid w:val="09DC3247"/>
    <w:rsid w:val="09DF45DD"/>
    <w:rsid w:val="09E1FAD9"/>
    <w:rsid w:val="09E5B990"/>
    <w:rsid w:val="09F62348"/>
    <w:rsid w:val="0A0FB0CC"/>
    <w:rsid w:val="0A16A02C"/>
    <w:rsid w:val="0A191A65"/>
    <w:rsid w:val="0A24CAEE"/>
    <w:rsid w:val="0A24DCE4"/>
    <w:rsid w:val="0A2BE73C"/>
    <w:rsid w:val="0A322795"/>
    <w:rsid w:val="0A38017B"/>
    <w:rsid w:val="0A3EE018"/>
    <w:rsid w:val="0A4093B3"/>
    <w:rsid w:val="0A4D4C5B"/>
    <w:rsid w:val="0A4DCAFD"/>
    <w:rsid w:val="0A4EE81A"/>
    <w:rsid w:val="0A4F4B10"/>
    <w:rsid w:val="0A5C5794"/>
    <w:rsid w:val="0A68966E"/>
    <w:rsid w:val="0A6B9C9A"/>
    <w:rsid w:val="0A7CCD06"/>
    <w:rsid w:val="0A97E895"/>
    <w:rsid w:val="0A9A5E2D"/>
    <w:rsid w:val="0AA24286"/>
    <w:rsid w:val="0AA77FAC"/>
    <w:rsid w:val="0AC0FEA6"/>
    <w:rsid w:val="0AD847B5"/>
    <w:rsid w:val="0B19E8DC"/>
    <w:rsid w:val="0B1AF58A"/>
    <w:rsid w:val="0B1CC262"/>
    <w:rsid w:val="0B1F1155"/>
    <w:rsid w:val="0B2012FC"/>
    <w:rsid w:val="0B233B1F"/>
    <w:rsid w:val="0B29201B"/>
    <w:rsid w:val="0B3984BF"/>
    <w:rsid w:val="0B453F56"/>
    <w:rsid w:val="0B5646F9"/>
    <w:rsid w:val="0B612936"/>
    <w:rsid w:val="0B87DCB9"/>
    <w:rsid w:val="0B92BC5F"/>
    <w:rsid w:val="0B9AE5AA"/>
    <w:rsid w:val="0BA78C51"/>
    <w:rsid w:val="0BB46AFC"/>
    <w:rsid w:val="0BBED361"/>
    <w:rsid w:val="0BC0E8DD"/>
    <w:rsid w:val="0BC9BC7D"/>
    <w:rsid w:val="0BD1084E"/>
    <w:rsid w:val="0BD26980"/>
    <w:rsid w:val="0BD29B0C"/>
    <w:rsid w:val="0BD8DECA"/>
    <w:rsid w:val="0BDDC0E9"/>
    <w:rsid w:val="0BE55A51"/>
    <w:rsid w:val="0BF1FF6F"/>
    <w:rsid w:val="0BF73817"/>
    <w:rsid w:val="0BFE9F4B"/>
    <w:rsid w:val="0C17CF5D"/>
    <w:rsid w:val="0C186C87"/>
    <w:rsid w:val="0C196A84"/>
    <w:rsid w:val="0C2265D4"/>
    <w:rsid w:val="0C250FD7"/>
    <w:rsid w:val="0C28FBBC"/>
    <w:rsid w:val="0C2E9D4A"/>
    <w:rsid w:val="0C38B464"/>
    <w:rsid w:val="0C50BD46"/>
    <w:rsid w:val="0C56C5A8"/>
    <w:rsid w:val="0C5B86A4"/>
    <w:rsid w:val="0C6F822B"/>
    <w:rsid w:val="0C701367"/>
    <w:rsid w:val="0C773B3F"/>
    <w:rsid w:val="0C890030"/>
    <w:rsid w:val="0C8AA807"/>
    <w:rsid w:val="0C8EFDD8"/>
    <w:rsid w:val="0C97947A"/>
    <w:rsid w:val="0CA0F7D5"/>
    <w:rsid w:val="0CA507DB"/>
    <w:rsid w:val="0CAF8902"/>
    <w:rsid w:val="0CB2776E"/>
    <w:rsid w:val="0CC573AF"/>
    <w:rsid w:val="0CC64F29"/>
    <w:rsid w:val="0CCA1937"/>
    <w:rsid w:val="0CD111AC"/>
    <w:rsid w:val="0CD540FF"/>
    <w:rsid w:val="0CD5E007"/>
    <w:rsid w:val="0CDB5B49"/>
    <w:rsid w:val="0CE7A83C"/>
    <w:rsid w:val="0CEC4C87"/>
    <w:rsid w:val="0CED1CA4"/>
    <w:rsid w:val="0CF0F3B2"/>
    <w:rsid w:val="0CFD266C"/>
    <w:rsid w:val="0D0CC278"/>
    <w:rsid w:val="0D15203F"/>
    <w:rsid w:val="0D2E7E5E"/>
    <w:rsid w:val="0D3E42CE"/>
    <w:rsid w:val="0D44B312"/>
    <w:rsid w:val="0D4CD56E"/>
    <w:rsid w:val="0D4CE69B"/>
    <w:rsid w:val="0D4E144F"/>
    <w:rsid w:val="0D57DB6B"/>
    <w:rsid w:val="0D5A4E39"/>
    <w:rsid w:val="0D5ABE2F"/>
    <w:rsid w:val="0D7D35BF"/>
    <w:rsid w:val="0D7DC85C"/>
    <w:rsid w:val="0D8460A7"/>
    <w:rsid w:val="0D8EB9BD"/>
    <w:rsid w:val="0D94B709"/>
    <w:rsid w:val="0D95DEC7"/>
    <w:rsid w:val="0D977C83"/>
    <w:rsid w:val="0DA8FF53"/>
    <w:rsid w:val="0DAA0720"/>
    <w:rsid w:val="0DD35D5C"/>
    <w:rsid w:val="0DDA6095"/>
    <w:rsid w:val="0DE5BD73"/>
    <w:rsid w:val="0DE71909"/>
    <w:rsid w:val="0E00FF9F"/>
    <w:rsid w:val="0E066D99"/>
    <w:rsid w:val="0E0E86B6"/>
    <w:rsid w:val="0E0F0E92"/>
    <w:rsid w:val="0E13EAEC"/>
    <w:rsid w:val="0E17AEBE"/>
    <w:rsid w:val="0E294727"/>
    <w:rsid w:val="0E2B8A56"/>
    <w:rsid w:val="0E433E30"/>
    <w:rsid w:val="0E4633FE"/>
    <w:rsid w:val="0E4D6B2A"/>
    <w:rsid w:val="0E5225DF"/>
    <w:rsid w:val="0E56C2A6"/>
    <w:rsid w:val="0E614B0F"/>
    <w:rsid w:val="0E61E050"/>
    <w:rsid w:val="0E691A46"/>
    <w:rsid w:val="0E6B37C8"/>
    <w:rsid w:val="0E6ED61C"/>
    <w:rsid w:val="0E786581"/>
    <w:rsid w:val="0E83E3A6"/>
    <w:rsid w:val="0E93A2B1"/>
    <w:rsid w:val="0E9A7FE9"/>
    <w:rsid w:val="0E9FC30A"/>
    <w:rsid w:val="0EA8760E"/>
    <w:rsid w:val="0EA878E0"/>
    <w:rsid w:val="0EACA726"/>
    <w:rsid w:val="0EB57E0C"/>
    <w:rsid w:val="0EB85042"/>
    <w:rsid w:val="0EC3B126"/>
    <w:rsid w:val="0EC62C17"/>
    <w:rsid w:val="0EC778E3"/>
    <w:rsid w:val="0EE27920"/>
    <w:rsid w:val="0EE39E7A"/>
    <w:rsid w:val="0EE5BBEC"/>
    <w:rsid w:val="0F0BD20D"/>
    <w:rsid w:val="0F124AAA"/>
    <w:rsid w:val="0F1A622E"/>
    <w:rsid w:val="0F211C33"/>
    <w:rsid w:val="0F252B2D"/>
    <w:rsid w:val="0F35CD29"/>
    <w:rsid w:val="0F378D77"/>
    <w:rsid w:val="0F3F8006"/>
    <w:rsid w:val="0F4D8FED"/>
    <w:rsid w:val="0F51C447"/>
    <w:rsid w:val="0F52BECD"/>
    <w:rsid w:val="0F5A26D6"/>
    <w:rsid w:val="0F5BD3BD"/>
    <w:rsid w:val="0F5E3061"/>
    <w:rsid w:val="0F6AE8E8"/>
    <w:rsid w:val="0F6B648A"/>
    <w:rsid w:val="0F6B8C0B"/>
    <w:rsid w:val="0F6D832E"/>
    <w:rsid w:val="0F72F29B"/>
    <w:rsid w:val="0F73FBF8"/>
    <w:rsid w:val="0F797089"/>
    <w:rsid w:val="0F7A65D6"/>
    <w:rsid w:val="0FAA558D"/>
    <w:rsid w:val="0FB6F6ED"/>
    <w:rsid w:val="0FC21197"/>
    <w:rsid w:val="0FC4B377"/>
    <w:rsid w:val="0FC9182E"/>
    <w:rsid w:val="0FD84D41"/>
    <w:rsid w:val="0FDB290D"/>
    <w:rsid w:val="0FF08EA3"/>
    <w:rsid w:val="0FF65C6B"/>
    <w:rsid w:val="0FF76D14"/>
    <w:rsid w:val="100719BE"/>
    <w:rsid w:val="100E9D20"/>
    <w:rsid w:val="1020B690"/>
    <w:rsid w:val="1020DA04"/>
    <w:rsid w:val="1022CB5D"/>
    <w:rsid w:val="1028C617"/>
    <w:rsid w:val="102966E8"/>
    <w:rsid w:val="1033A8AE"/>
    <w:rsid w:val="1035995E"/>
    <w:rsid w:val="10422DB3"/>
    <w:rsid w:val="10432BCD"/>
    <w:rsid w:val="104E4FFF"/>
    <w:rsid w:val="105057AC"/>
    <w:rsid w:val="1058BEE8"/>
    <w:rsid w:val="105D7E64"/>
    <w:rsid w:val="10684726"/>
    <w:rsid w:val="106EEB28"/>
    <w:rsid w:val="106FEB8F"/>
    <w:rsid w:val="1071C74D"/>
    <w:rsid w:val="1073BFB2"/>
    <w:rsid w:val="1083F5E4"/>
    <w:rsid w:val="1086A553"/>
    <w:rsid w:val="10903145"/>
    <w:rsid w:val="1093F325"/>
    <w:rsid w:val="109A3394"/>
    <w:rsid w:val="109DC889"/>
    <w:rsid w:val="10A3AB3C"/>
    <w:rsid w:val="10ABDDE5"/>
    <w:rsid w:val="10AC9BD8"/>
    <w:rsid w:val="10BCD042"/>
    <w:rsid w:val="10C5D9F1"/>
    <w:rsid w:val="10DCBE1C"/>
    <w:rsid w:val="10DF840B"/>
    <w:rsid w:val="10E05C8F"/>
    <w:rsid w:val="10E17C62"/>
    <w:rsid w:val="10E43870"/>
    <w:rsid w:val="10EDD70F"/>
    <w:rsid w:val="10FDCCFE"/>
    <w:rsid w:val="1111E227"/>
    <w:rsid w:val="111A6483"/>
    <w:rsid w:val="111E27F2"/>
    <w:rsid w:val="111E7D3D"/>
    <w:rsid w:val="1126C5ED"/>
    <w:rsid w:val="113E7AA6"/>
    <w:rsid w:val="1141686D"/>
    <w:rsid w:val="114617DF"/>
    <w:rsid w:val="11522C71"/>
    <w:rsid w:val="1166DF09"/>
    <w:rsid w:val="116BD057"/>
    <w:rsid w:val="117CEB81"/>
    <w:rsid w:val="11812605"/>
    <w:rsid w:val="1189B0AE"/>
    <w:rsid w:val="118CA81E"/>
    <w:rsid w:val="11A4D26B"/>
    <w:rsid w:val="11A7F494"/>
    <w:rsid w:val="11BE2976"/>
    <w:rsid w:val="11CF48CA"/>
    <w:rsid w:val="11D2BD87"/>
    <w:rsid w:val="11F24985"/>
    <w:rsid w:val="1200DDB9"/>
    <w:rsid w:val="120114C8"/>
    <w:rsid w:val="1229CA2D"/>
    <w:rsid w:val="122CD64D"/>
    <w:rsid w:val="124A582E"/>
    <w:rsid w:val="12565FD2"/>
    <w:rsid w:val="125ACEDE"/>
    <w:rsid w:val="125BA20C"/>
    <w:rsid w:val="125F7532"/>
    <w:rsid w:val="1261797D"/>
    <w:rsid w:val="1268DBD6"/>
    <w:rsid w:val="12773960"/>
    <w:rsid w:val="127CA46B"/>
    <w:rsid w:val="1288E292"/>
    <w:rsid w:val="129232F9"/>
    <w:rsid w:val="12947F10"/>
    <w:rsid w:val="129E24D5"/>
    <w:rsid w:val="12A69BD8"/>
    <w:rsid w:val="12BA9928"/>
    <w:rsid w:val="12BB52BE"/>
    <w:rsid w:val="12BF6D4E"/>
    <w:rsid w:val="12BFF809"/>
    <w:rsid w:val="12D0896F"/>
    <w:rsid w:val="12E09C58"/>
    <w:rsid w:val="12ED0D3E"/>
    <w:rsid w:val="1310539F"/>
    <w:rsid w:val="13163270"/>
    <w:rsid w:val="13190749"/>
    <w:rsid w:val="131ED98C"/>
    <w:rsid w:val="1325F2D0"/>
    <w:rsid w:val="132C1E28"/>
    <w:rsid w:val="133BFE9C"/>
    <w:rsid w:val="134190D2"/>
    <w:rsid w:val="13475B4A"/>
    <w:rsid w:val="13477E29"/>
    <w:rsid w:val="134E223D"/>
    <w:rsid w:val="1353EC2D"/>
    <w:rsid w:val="1357B6ED"/>
    <w:rsid w:val="13606922"/>
    <w:rsid w:val="1368013F"/>
    <w:rsid w:val="13681BD1"/>
    <w:rsid w:val="13696C59"/>
    <w:rsid w:val="13696D58"/>
    <w:rsid w:val="136A43B5"/>
    <w:rsid w:val="136C651B"/>
    <w:rsid w:val="136CDBE5"/>
    <w:rsid w:val="13702FC5"/>
    <w:rsid w:val="13725D17"/>
    <w:rsid w:val="137D340F"/>
    <w:rsid w:val="13871E1D"/>
    <w:rsid w:val="138CFEA8"/>
    <w:rsid w:val="1398E526"/>
    <w:rsid w:val="13B28A23"/>
    <w:rsid w:val="13B9B383"/>
    <w:rsid w:val="13D295F9"/>
    <w:rsid w:val="13D57211"/>
    <w:rsid w:val="13D9AC74"/>
    <w:rsid w:val="13F3C8E6"/>
    <w:rsid w:val="13FA2EFB"/>
    <w:rsid w:val="140D3A38"/>
    <w:rsid w:val="140E6976"/>
    <w:rsid w:val="14144D39"/>
    <w:rsid w:val="141866CC"/>
    <w:rsid w:val="142D4D74"/>
    <w:rsid w:val="143732CE"/>
    <w:rsid w:val="143BF5E8"/>
    <w:rsid w:val="14452899"/>
    <w:rsid w:val="144F3733"/>
    <w:rsid w:val="14510911"/>
    <w:rsid w:val="145135A3"/>
    <w:rsid w:val="14534C77"/>
    <w:rsid w:val="14535011"/>
    <w:rsid w:val="145A4EE8"/>
    <w:rsid w:val="145D42A1"/>
    <w:rsid w:val="1462A426"/>
    <w:rsid w:val="1469512D"/>
    <w:rsid w:val="146AC456"/>
    <w:rsid w:val="146FA5CC"/>
    <w:rsid w:val="1474D3AF"/>
    <w:rsid w:val="147E264B"/>
    <w:rsid w:val="14836C7F"/>
    <w:rsid w:val="1485EEA8"/>
    <w:rsid w:val="1491C6DA"/>
    <w:rsid w:val="14AE9F8A"/>
    <w:rsid w:val="14CEA082"/>
    <w:rsid w:val="14D03E9E"/>
    <w:rsid w:val="14D0C022"/>
    <w:rsid w:val="14DAA2A7"/>
    <w:rsid w:val="14EA7170"/>
    <w:rsid w:val="14F043F5"/>
    <w:rsid w:val="14F459DD"/>
    <w:rsid w:val="14F730D5"/>
    <w:rsid w:val="15023262"/>
    <w:rsid w:val="1511D812"/>
    <w:rsid w:val="1514811A"/>
    <w:rsid w:val="15174A5B"/>
    <w:rsid w:val="1519D684"/>
    <w:rsid w:val="151EF405"/>
    <w:rsid w:val="151FCDAB"/>
    <w:rsid w:val="152D5129"/>
    <w:rsid w:val="15386A28"/>
    <w:rsid w:val="153C1143"/>
    <w:rsid w:val="1540A3CB"/>
    <w:rsid w:val="1540FB90"/>
    <w:rsid w:val="154D8838"/>
    <w:rsid w:val="1551C85A"/>
    <w:rsid w:val="1553A46A"/>
    <w:rsid w:val="15628BFA"/>
    <w:rsid w:val="156BBBBD"/>
    <w:rsid w:val="156BC85C"/>
    <w:rsid w:val="156DA28D"/>
    <w:rsid w:val="156E205A"/>
    <w:rsid w:val="15784A94"/>
    <w:rsid w:val="157FBBA2"/>
    <w:rsid w:val="1585C88D"/>
    <w:rsid w:val="158955D8"/>
    <w:rsid w:val="158AAF00"/>
    <w:rsid w:val="158D9BD8"/>
    <w:rsid w:val="15903792"/>
    <w:rsid w:val="15B68F60"/>
    <w:rsid w:val="15BFFA15"/>
    <w:rsid w:val="15CAA6B3"/>
    <w:rsid w:val="15D28924"/>
    <w:rsid w:val="15D4EA5A"/>
    <w:rsid w:val="15ED1B84"/>
    <w:rsid w:val="15F8E811"/>
    <w:rsid w:val="1604A47C"/>
    <w:rsid w:val="160E8B79"/>
    <w:rsid w:val="16142C79"/>
    <w:rsid w:val="16192EF5"/>
    <w:rsid w:val="162A0FE2"/>
    <w:rsid w:val="162A61CC"/>
    <w:rsid w:val="162C66EE"/>
    <w:rsid w:val="1649C9B9"/>
    <w:rsid w:val="164E5321"/>
    <w:rsid w:val="1662354A"/>
    <w:rsid w:val="16670F38"/>
    <w:rsid w:val="166F268A"/>
    <w:rsid w:val="16726B9D"/>
    <w:rsid w:val="167921C1"/>
    <w:rsid w:val="167E42F9"/>
    <w:rsid w:val="1694CC24"/>
    <w:rsid w:val="16A56F1A"/>
    <w:rsid w:val="16AA08A6"/>
    <w:rsid w:val="16AE7170"/>
    <w:rsid w:val="16B293BC"/>
    <w:rsid w:val="16BAF69F"/>
    <w:rsid w:val="16BEF8C1"/>
    <w:rsid w:val="16CAB82B"/>
    <w:rsid w:val="16D0086A"/>
    <w:rsid w:val="16D90F10"/>
    <w:rsid w:val="16E74CF4"/>
    <w:rsid w:val="16EB0EF7"/>
    <w:rsid w:val="16EE1D75"/>
    <w:rsid w:val="16F0FE91"/>
    <w:rsid w:val="16F2726B"/>
    <w:rsid w:val="16F8880E"/>
    <w:rsid w:val="16FC70C1"/>
    <w:rsid w:val="1714DA54"/>
    <w:rsid w:val="1731D366"/>
    <w:rsid w:val="1733FA67"/>
    <w:rsid w:val="1738378D"/>
    <w:rsid w:val="173B8711"/>
    <w:rsid w:val="1742D8BE"/>
    <w:rsid w:val="17491C7B"/>
    <w:rsid w:val="1763B809"/>
    <w:rsid w:val="177ED4C0"/>
    <w:rsid w:val="177EF407"/>
    <w:rsid w:val="179A7154"/>
    <w:rsid w:val="179AA856"/>
    <w:rsid w:val="17A382B2"/>
    <w:rsid w:val="17B0967E"/>
    <w:rsid w:val="17B164D5"/>
    <w:rsid w:val="17B4A945"/>
    <w:rsid w:val="17B72F16"/>
    <w:rsid w:val="17BAA067"/>
    <w:rsid w:val="17C6A6A3"/>
    <w:rsid w:val="17C8A05C"/>
    <w:rsid w:val="17D45262"/>
    <w:rsid w:val="17D9A4C4"/>
    <w:rsid w:val="17E30F4A"/>
    <w:rsid w:val="17E62AB9"/>
    <w:rsid w:val="17F66F4B"/>
    <w:rsid w:val="17F9480E"/>
    <w:rsid w:val="17FAEDEC"/>
    <w:rsid w:val="180212A4"/>
    <w:rsid w:val="181DED39"/>
    <w:rsid w:val="182042BE"/>
    <w:rsid w:val="182778E6"/>
    <w:rsid w:val="1834056A"/>
    <w:rsid w:val="1837CEA8"/>
    <w:rsid w:val="184D3935"/>
    <w:rsid w:val="184EFCBC"/>
    <w:rsid w:val="184FC313"/>
    <w:rsid w:val="1851FC6A"/>
    <w:rsid w:val="1852F4D9"/>
    <w:rsid w:val="1853F486"/>
    <w:rsid w:val="186A8C2C"/>
    <w:rsid w:val="186DA61E"/>
    <w:rsid w:val="186F3261"/>
    <w:rsid w:val="187CA9B9"/>
    <w:rsid w:val="18907076"/>
    <w:rsid w:val="18936555"/>
    <w:rsid w:val="1896FD85"/>
    <w:rsid w:val="189BB124"/>
    <w:rsid w:val="18C16E70"/>
    <w:rsid w:val="18D80496"/>
    <w:rsid w:val="18DAD8DF"/>
    <w:rsid w:val="18E80363"/>
    <w:rsid w:val="18EC857A"/>
    <w:rsid w:val="18F4C5CD"/>
    <w:rsid w:val="18F50708"/>
    <w:rsid w:val="18FE588D"/>
    <w:rsid w:val="1903196C"/>
    <w:rsid w:val="190F6B1F"/>
    <w:rsid w:val="19103636"/>
    <w:rsid w:val="191B7FF3"/>
    <w:rsid w:val="191D3D60"/>
    <w:rsid w:val="192D906E"/>
    <w:rsid w:val="1938E055"/>
    <w:rsid w:val="193C3467"/>
    <w:rsid w:val="194B0A35"/>
    <w:rsid w:val="195F3323"/>
    <w:rsid w:val="195FE430"/>
    <w:rsid w:val="19656F65"/>
    <w:rsid w:val="19682BC5"/>
    <w:rsid w:val="196EF2C2"/>
    <w:rsid w:val="197AA215"/>
    <w:rsid w:val="19816246"/>
    <w:rsid w:val="1982359A"/>
    <w:rsid w:val="1986EC3E"/>
    <w:rsid w:val="19873C91"/>
    <w:rsid w:val="19972A20"/>
    <w:rsid w:val="19A75CDA"/>
    <w:rsid w:val="19B88742"/>
    <w:rsid w:val="19B97403"/>
    <w:rsid w:val="19BB5248"/>
    <w:rsid w:val="19DA2C3E"/>
    <w:rsid w:val="19E5E192"/>
    <w:rsid w:val="19EDE7BD"/>
    <w:rsid w:val="19F640A9"/>
    <w:rsid w:val="1A130CE3"/>
    <w:rsid w:val="1A1524F6"/>
    <w:rsid w:val="1A1819A3"/>
    <w:rsid w:val="1A1C9CE8"/>
    <w:rsid w:val="1A24DA5C"/>
    <w:rsid w:val="1A28D3A7"/>
    <w:rsid w:val="1A427E4F"/>
    <w:rsid w:val="1A49E845"/>
    <w:rsid w:val="1A4DE273"/>
    <w:rsid w:val="1A4EADBF"/>
    <w:rsid w:val="1A4F2DF1"/>
    <w:rsid w:val="1A516CA8"/>
    <w:rsid w:val="1A6762AB"/>
    <w:rsid w:val="1A86ADA9"/>
    <w:rsid w:val="1A878068"/>
    <w:rsid w:val="1A92FDAA"/>
    <w:rsid w:val="1AAA791A"/>
    <w:rsid w:val="1AB447E6"/>
    <w:rsid w:val="1ABCD947"/>
    <w:rsid w:val="1ACA425A"/>
    <w:rsid w:val="1ADAF717"/>
    <w:rsid w:val="1AE2B54B"/>
    <w:rsid w:val="1AE5D7C3"/>
    <w:rsid w:val="1AE5EA65"/>
    <w:rsid w:val="1AE62C2E"/>
    <w:rsid w:val="1AE6978B"/>
    <w:rsid w:val="1AEACD08"/>
    <w:rsid w:val="1AEF794B"/>
    <w:rsid w:val="1AF651D6"/>
    <w:rsid w:val="1B11994B"/>
    <w:rsid w:val="1B218308"/>
    <w:rsid w:val="1B26E113"/>
    <w:rsid w:val="1B379CE1"/>
    <w:rsid w:val="1B476075"/>
    <w:rsid w:val="1B499839"/>
    <w:rsid w:val="1B585D66"/>
    <w:rsid w:val="1B5B55C6"/>
    <w:rsid w:val="1B6192F0"/>
    <w:rsid w:val="1B64F098"/>
    <w:rsid w:val="1B6E50C9"/>
    <w:rsid w:val="1B80A9BA"/>
    <w:rsid w:val="1B866BC3"/>
    <w:rsid w:val="1B87DAC4"/>
    <w:rsid w:val="1B8A4D32"/>
    <w:rsid w:val="1B8C272E"/>
    <w:rsid w:val="1B906431"/>
    <w:rsid w:val="1B95A3F9"/>
    <w:rsid w:val="1B995D1F"/>
    <w:rsid w:val="1B9ED102"/>
    <w:rsid w:val="1BA9AB52"/>
    <w:rsid w:val="1BBCB343"/>
    <w:rsid w:val="1BC3117A"/>
    <w:rsid w:val="1BCA270D"/>
    <w:rsid w:val="1BD3751D"/>
    <w:rsid w:val="1BE8AD20"/>
    <w:rsid w:val="1BECDFC1"/>
    <w:rsid w:val="1BF1E852"/>
    <w:rsid w:val="1BF23A0B"/>
    <w:rsid w:val="1BFF6A11"/>
    <w:rsid w:val="1C022C97"/>
    <w:rsid w:val="1C03DCAF"/>
    <w:rsid w:val="1C0CB083"/>
    <w:rsid w:val="1C14C14F"/>
    <w:rsid w:val="1C23654D"/>
    <w:rsid w:val="1C28C012"/>
    <w:rsid w:val="1C2DA070"/>
    <w:rsid w:val="1C326026"/>
    <w:rsid w:val="1C3421D5"/>
    <w:rsid w:val="1C56971C"/>
    <w:rsid w:val="1C5E4E6A"/>
    <w:rsid w:val="1C71D1B1"/>
    <w:rsid w:val="1C766236"/>
    <w:rsid w:val="1C7FC087"/>
    <w:rsid w:val="1C8834FC"/>
    <w:rsid w:val="1C8FB346"/>
    <w:rsid w:val="1C93F6D0"/>
    <w:rsid w:val="1C93FB01"/>
    <w:rsid w:val="1CA7D5C3"/>
    <w:rsid w:val="1CB08C1C"/>
    <w:rsid w:val="1CB21330"/>
    <w:rsid w:val="1CBA76E3"/>
    <w:rsid w:val="1CC5154E"/>
    <w:rsid w:val="1CCAA750"/>
    <w:rsid w:val="1CD06E65"/>
    <w:rsid w:val="1CD224F5"/>
    <w:rsid w:val="1CD3001E"/>
    <w:rsid w:val="1CD7027B"/>
    <w:rsid w:val="1CD8AB51"/>
    <w:rsid w:val="1CE0E349"/>
    <w:rsid w:val="1CE32A77"/>
    <w:rsid w:val="1CE5F18E"/>
    <w:rsid w:val="1CEE85CF"/>
    <w:rsid w:val="1CF36645"/>
    <w:rsid w:val="1CFAC853"/>
    <w:rsid w:val="1CFD378B"/>
    <w:rsid w:val="1D06DFF6"/>
    <w:rsid w:val="1D0771AB"/>
    <w:rsid w:val="1D1411D8"/>
    <w:rsid w:val="1D19FECD"/>
    <w:rsid w:val="1D1CEADC"/>
    <w:rsid w:val="1D2FA37F"/>
    <w:rsid w:val="1D30403E"/>
    <w:rsid w:val="1D383E00"/>
    <w:rsid w:val="1D3A132C"/>
    <w:rsid w:val="1D3C0489"/>
    <w:rsid w:val="1D40426D"/>
    <w:rsid w:val="1D4B901E"/>
    <w:rsid w:val="1D5BC6A5"/>
    <w:rsid w:val="1D5DF373"/>
    <w:rsid w:val="1D667E02"/>
    <w:rsid w:val="1D71369B"/>
    <w:rsid w:val="1D74BCE8"/>
    <w:rsid w:val="1D782537"/>
    <w:rsid w:val="1D7CD0AF"/>
    <w:rsid w:val="1D81829B"/>
    <w:rsid w:val="1D9693F5"/>
    <w:rsid w:val="1DA4096A"/>
    <w:rsid w:val="1DA8F635"/>
    <w:rsid w:val="1DB55899"/>
    <w:rsid w:val="1DB73D4B"/>
    <w:rsid w:val="1DBBD9D7"/>
    <w:rsid w:val="1DBD418C"/>
    <w:rsid w:val="1DBFA330"/>
    <w:rsid w:val="1DC38411"/>
    <w:rsid w:val="1DD7145F"/>
    <w:rsid w:val="1DDC90C5"/>
    <w:rsid w:val="1DF55E89"/>
    <w:rsid w:val="1E112B2B"/>
    <w:rsid w:val="1E17AEFE"/>
    <w:rsid w:val="1E22C2E8"/>
    <w:rsid w:val="1E3C0FB2"/>
    <w:rsid w:val="1E418911"/>
    <w:rsid w:val="1E4F6CED"/>
    <w:rsid w:val="1E69E0A5"/>
    <w:rsid w:val="1E6DB6B5"/>
    <w:rsid w:val="1E6FF207"/>
    <w:rsid w:val="1E7F45B9"/>
    <w:rsid w:val="1E82B9A4"/>
    <w:rsid w:val="1E89CE8C"/>
    <w:rsid w:val="1E912E71"/>
    <w:rsid w:val="1E9228FE"/>
    <w:rsid w:val="1E94D7D6"/>
    <w:rsid w:val="1EC60519"/>
    <w:rsid w:val="1ECC8B25"/>
    <w:rsid w:val="1ED13D64"/>
    <w:rsid w:val="1ED1FBDB"/>
    <w:rsid w:val="1ED8B75D"/>
    <w:rsid w:val="1EDE7EC0"/>
    <w:rsid w:val="1EE4AC07"/>
    <w:rsid w:val="1EE7B6F5"/>
    <w:rsid w:val="1EE907B3"/>
    <w:rsid w:val="1EF2E4C2"/>
    <w:rsid w:val="1EFC5232"/>
    <w:rsid w:val="1EFCFA19"/>
    <w:rsid w:val="1F004847"/>
    <w:rsid w:val="1F129915"/>
    <w:rsid w:val="1F1B11F6"/>
    <w:rsid w:val="1F1D299B"/>
    <w:rsid w:val="1F2305D1"/>
    <w:rsid w:val="1F245D9A"/>
    <w:rsid w:val="1F28960F"/>
    <w:rsid w:val="1F29A334"/>
    <w:rsid w:val="1F3F25C6"/>
    <w:rsid w:val="1F419E8E"/>
    <w:rsid w:val="1F4727CC"/>
    <w:rsid w:val="1F61A90F"/>
    <w:rsid w:val="1F7086BD"/>
    <w:rsid w:val="1F79F9C5"/>
    <w:rsid w:val="1F82A597"/>
    <w:rsid w:val="1F833A52"/>
    <w:rsid w:val="1F8549D8"/>
    <w:rsid w:val="1F871C82"/>
    <w:rsid w:val="1F8B9B8F"/>
    <w:rsid w:val="1F8BDA75"/>
    <w:rsid w:val="1F8F645C"/>
    <w:rsid w:val="1F919E10"/>
    <w:rsid w:val="1FA2BE03"/>
    <w:rsid w:val="1FA4EF53"/>
    <w:rsid w:val="1FA61F41"/>
    <w:rsid w:val="1FA79EF7"/>
    <w:rsid w:val="1FAAA82E"/>
    <w:rsid w:val="1FABD080"/>
    <w:rsid w:val="1FAFF724"/>
    <w:rsid w:val="1FB0A242"/>
    <w:rsid w:val="1FC26F6D"/>
    <w:rsid w:val="1FD10654"/>
    <w:rsid w:val="1FD30BFF"/>
    <w:rsid w:val="1FD74109"/>
    <w:rsid w:val="1FD7D355"/>
    <w:rsid w:val="1FDF2682"/>
    <w:rsid w:val="1FEF1E4D"/>
    <w:rsid w:val="1FF14DFF"/>
    <w:rsid w:val="1FF258E8"/>
    <w:rsid w:val="1FFF4A64"/>
    <w:rsid w:val="200DE07F"/>
    <w:rsid w:val="20197ABE"/>
    <w:rsid w:val="201A5F09"/>
    <w:rsid w:val="201F62FC"/>
    <w:rsid w:val="202F8CDA"/>
    <w:rsid w:val="20315A62"/>
    <w:rsid w:val="2033B3D9"/>
    <w:rsid w:val="204CF49F"/>
    <w:rsid w:val="205C4FAC"/>
    <w:rsid w:val="20871BD5"/>
    <w:rsid w:val="20874CF2"/>
    <w:rsid w:val="209AAC17"/>
    <w:rsid w:val="209B3EC4"/>
    <w:rsid w:val="209F6A65"/>
    <w:rsid w:val="20A49FB4"/>
    <w:rsid w:val="20BFA274"/>
    <w:rsid w:val="20EC8572"/>
    <w:rsid w:val="20EE35EC"/>
    <w:rsid w:val="20F6334F"/>
    <w:rsid w:val="211EF42D"/>
    <w:rsid w:val="2125EA58"/>
    <w:rsid w:val="21359533"/>
    <w:rsid w:val="2135D028"/>
    <w:rsid w:val="21398D49"/>
    <w:rsid w:val="213EA636"/>
    <w:rsid w:val="214306EF"/>
    <w:rsid w:val="214967AC"/>
    <w:rsid w:val="2171DE0C"/>
    <w:rsid w:val="217A9F0F"/>
    <w:rsid w:val="217EA91A"/>
    <w:rsid w:val="21847063"/>
    <w:rsid w:val="2186467A"/>
    <w:rsid w:val="218EC205"/>
    <w:rsid w:val="219024CD"/>
    <w:rsid w:val="2199886B"/>
    <w:rsid w:val="21AED7A0"/>
    <w:rsid w:val="21E2D828"/>
    <w:rsid w:val="21FA1B14"/>
    <w:rsid w:val="2219A54D"/>
    <w:rsid w:val="22226EAE"/>
    <w:rsid w:val="222A7A04"/>
    <w:rsid w:val="222C4E70"/>
    <w:rsid w:val="222CC87E"/>
    <w:rsid w:val="2238D379"/>
    <w:rsid w:val="223E95A7"/>
    <w:rsid w:val="2243C993"/>
    <w:rsid w:val="225BDAD0"/>
    <w:rsid w:val="225D98EE"/>
    <w:rsid w:val="225FFF99"/>
    <w:rsid w:val="22629F55"/>
    <w:rsid w:val="226B9A5B"/>
    <w:rsid w:val="226C4511"/>
    <w:rsid w:val="2271BF5D"/>
    <w:rsid w:val="2281681E"/>
    <w:rsid w:val="22848B45"/>
    <w:rsid w:val="2287FC70"/>
    <w:rsid w:val="22897919"/>
    <w:rsid w:val="228A665F"/>
    <w:rsid w:val="228DF34F"/>
    <w:rsid w:val="22989A19"/>
    <w:rsid w:val="229E02E4"/>
    <w:rsid w:val="22A5A41F"/>
    <w:rsid w:val="22A8B879"/>
    <w:rsid w:val="22A942D5"/>
    <w:rsid w:val="22AB2F9C"/>
    <w:rsid w:val="22CA4385"/>
    <w:rsid w:val="22CE1EED"/>
    <w:rsid w:val="22D10F3A"/>
    <w:rsid w:val="22D4D26B"/>
    <w:rsid w:val="22D6AB28"/>
    <w:rsid w:val="22DDB2F3"/>
    <w:rsid w:val="22FD112F"/>
    <w:rsid w:val="23027A56"/>
    <w:rsid w:val="2302AC81"/>
    <w:rsid w:val="23064449"/>
    <w:rsid w:val="232FA8BA"/>
    <w:rsid w:val="23313705"/>
    <w:rsid w:val="2333B5E6"/>
    <w:rsid w:val="2342BE55"/>
    <w:rsid w:val="234FF325"/>
    <w:rsid w:val="235269F9"/>
    <w:rsid w:val="235FD2C6"/>
    <w:rsid w:val="2370C95A"/>
    <w:rsid w:val="237FB047"/>
    <w:rsid w:val="23884AC2"/>
    <w:rsid w:val="23884C19"/>
    <w:rsid w:val="239BC3FF"/>
    <w:rsid w:val="239F2CA4"/>
    <w:rsid w:val="23BD4501"/>
    <w:rsid w:val="23C62066"/>
    <w:rsid w:val="23DCA9B7"/>
    <w:rsid w:val="23EB91C3"/>
    <w:rsid w:val="23ECD126"/>
    <w:rsid w:val="23F14A18"/>
    <w:rsid w:val="23F382ED"/>
    <w:rsid w:val="23F55F69"/>
    <w:rsid w:val="23F5DD50"/>
    <w:rsid w:val="23FBFC0A"/>
    <w:rsid w:val="23FC7060"/>
    <w:rsid w:val="23FF84C8"/>
    <w:rsid w:val="24000B63"/>
    <w:rsid w:val="24162F77"/>
    <w:rsid w:val="24165F34"/>
    <w:rsid w:val="24175D49"/>
    <w:rsid w:val="241E29C2"/>
    <w:rsid w:val="241F15B7"/>
    <w:rsid w:val="242AF849"/>
    <w:rsid w:val="242D8B65"/>
    <w:rsid w:val="24386A4C"/>
    <w:rsid w:val="24393E0F"/>
    <w:rsid w:val="243C584F"/>
    <w:rsid w:val="24441A85"/>
    <w:rsid w:val="244E2C91"/>
    <w:rsid w:val="244FF915"/>
    <w:rsid w:val="2461F302"/>
    <w:rsid w:val="24638BF6"/>
    <w:rsid w:val="246EC1B8"/>
    <w:rsid w:val="24752F4E"/>
    <w:rsid w:val="24826651"/>
    <w:rsid w:val="2486E889"/>
    <w:rsid w:val="248A05F6"/>
    <w:rsid w:val="24A56101"/>
    <w:rsid w:val="24A83367"/>
    <w:rsid w:val="24AB1071"/>
    <w:rsid w:val="24B1F014"/>
    <w:rsid w:val="24B84FF0"/>
    <w:rsid w:val="24D21F47"/>
    <w:rsid w:val="24D461B3"/>
    <w:rsid w:val="24E2CC83"/>
    <w:rsid w:val="24E44429"/>
    <w:rsid w:val="24E6682F"/>
    <w:rsid w:val="24E8633A"/>
    <w:rsid w:val="24F62639"/>
    <w:rsid w:val="24FA9D90"/>
    <w:rsid w:val="2502D840"/>
    <w:rsid w:val="2507500F"/>
    <w:rsid w:val="2507AA9A"/>
    <w:rsid w:val="250E472D"/>
    <w:rsid w:val="25119500"/>
    <w:rsid w:val="25260F4A"/>
    <w:rsid w:val="2529A1E4"/>
    <w:rsid w:val="253524C6"/>
    <w:rsid w:val="25439078"/>
    <w:rsid w:val="254B4976"/>
    <w:rsid w:val="2557C5E6"/>
    <w:rsid w:val="2557C864"/>
    <w:rsid w:val="2560E5A3"/>
    <w:rsid w:val="25652630"/>
    <w:rsid w:val="2575F21B"/>
    <w:rsid w:val="2578853E"/>
    <w:rsid w:val="259C109B"/>
    <w:rsid w:val="259DFA21"/>
    <w:rsid w:val="25A44D37"/>
    <w:rsid w:val="25ABE2F5"/>
    <w:rsid w:val="25CAEF0A"/>
    <w:rsid w:val="25DA88BE"/>
    <w:rsid w:val="25EA52BE"/>
    <w:rsid w:val="25F242E1"/>
    <w:rsid w:val="260C8019"/>
    <w:rsid w:val="2619E897"/>
    <w:rsid w:val="261B615E"/>
    <w:rsid w:val="261BD252"/>
    <w:rsid w:val="2622CDBC"/>
    <w:rsid w:val="2623E03E"/>
    <w:rsid w:val="2624C250"/>
    <w:rsid w:val="26283008"/>
    <w:rsid w:val="262D7981"/>
    <w:rsid w:val="2638A84F"/>
    <w:rsid w:val="263942CA"/>
    <w:rsid w:val="263D2C18"/>
    <w:rsid w:val="26452CF6"/>
    <w:rsid w:val="264C9C7B"/>
    <w:rsid w:val="264ECAAF"/>
    <w:rsid w:val="264F08A9"/>
    <w:rsid w:val="264F1A67"/>
    <w:rsid w:val="26632777"/>
    <w:rsid w:val="26664E5D"/>
    <w:rsid w:val="266A728E"/>
    <w:rsid w:val="266C112B"/>
    <w:rsid w:val="266CF087"/>
    <w:rsid w:val="266EAFE9"/>
    <w:rsid w:val="268E4ADD"/>
    <w:rsid w:val="268ECB78"/>
    <w:rsid w:val="26911514"/>
    <w:rsid w:val="2691EFBD"/>
    <w:rsid w:val="26946CBE"/>
    <w:rsid w:val="269C4357"/>
    <w:rsid w:val="269F1764"/>
    <w:rsid w:val="26A40231"/>
    <w:rsid w:val="26CA657E"/>
    <w:rsid w:val="26D1BF64"/>
    <w:rsid w:val="26D4B882"/>
    <w:rsid w:val="26DB43BB"/>
    <w:rsid w:val="26E2A801"/>
    <w:rsid w:val="26E998CC"/>
    <w:rsid w:val="26EAC4AB"/>
    <w:rsid w:val="26F273F2"/>
    <w:rsid w:val="26FB0236"/>
    <w:rsid w:val="2709B367"/>
    <w:rsid w:val="2727BF0B"/>
    <w:rsid w:val="27280498"/>
    <w:rsid w:val="2736E136"/>
    <w:rsid w:val="2738A10A"/>
    <w:rsid w:val="273E290A"/>
    <w:rsid w:val="2745DC82"/>
    <w:rsid w:val="2748C0FF"/>
    <w:rsid w:val="274B60CC"/>
    <w:rsid w:val="274B6156"/>
    <w:rsid w:val="274B84A1"/>
    <w:rsid w:val="277078DA"/>
    <w:rsid w:val="2770C843"/>
    <w:rsid w:val="2776DB18"/>
    <w:rsid w:val="2780F6C6"/>
    <w:rsid w:val="278D18C5"/>
    <w:rsid w:val="278E459E"/>
    <w:rsid w:val="279EAE5F"/>
    <w:rsid w:val="27A35263"/>
    <w:rsid w:val="27A8EE69"/>
    <w:rsid w:val="27AE1380"/>
    <w:rsid w:val="27B7135C"/>
    <w:rsid w:val="27BF3DE9"/>
    <w:rsid w:val="27C910A5"/>
    <w:rsid w:val="27D2B1A0"/>
    <w:rsid w:val="27EA773E"/>
    <w:rsid w:val="27F44253"/>
    <w:rsid w:val="27FCDA5D"/>
    <w:rsid w:val="280C1C01"/>
    <w:rsid w:val="2815CACF"/>
    <w:rsid w:val="281E7056"/>
    <w:rsid w:val="28229F43"/>
    <w:rsid w:val="28296652"/>
    <w:rsid w:val="282C46AB"/>
    <w:rsid w:val="28313A39"/>
    <w:rsid w:val="28620D68"/>
    <w:rsid w:val="28653D81"/>
    <w:rsid w:val="28697910"/>
    <w:rsid w:val="286A521B"/>
    <w:rsid w:val="286CBA61"/>
    <w:rsid w:val="2871A0A0"/>
    <w:rsid w:val="287D59DA"/>
    <w:rsid w:val="28847FD2"/>
    <w:rsid w:val="28A42E18"/>
    <w:rsid w:val="28A5B0A2"/>
    <w:rsid w:val="28A92457"/>
    <w:rsid w:val="28BF632F"/>
    <w:rsid w:val="28C27D2A"/>
    <w:rsid w:val="28C39DBF"/>
    <w:rsid w:val="28C3A358"/>
    <w:rsid w:val="28EDD0AA"/>
    <w:rsid w:val="28F0324B"/>
    <w:rsid w:val="28F40968"/>
    <w:rsid w:val="28F74920"/>
    <w:rsid w:val="28F8739F"/>
    <w:rsid w:val="28F9A3BF"/>
    <w:rsid w:val="28FFFB73"/>
    <w:rsid w:val="2928A843"/>
    <w:rsid w:val="293D4E2B"/>
    <w:rsid w:val="293D99EA"/>
    <w:rsid w:val="2943E2DF"/>
    <w:rsid w:val="297FC408"/>
    <w:rsid w:val="2980EB6B"/>
    <w:rsid w:val="29875EDC"/>
    <w:rsid w:val="298E4ACD"/>
    <w:rsid w:val="2998958B"/>
    <w:rsid w:val="299DB2E8"/>
    <w:rsid w:val="29AA4950"/>
    <w:rsid w:val="29AB24D8"/>
    <w:rsid w:val="29C1EA6F"/>
    <w:rsid w:val="29C20932"/>
    <w:rsid w:val="29C37C06"/>
    <w:rsid w:val="29C869DD"/>
    <w:rsid w:val="29CD442D"/>
    <w:rsid w:val="29E0EE94"/>
    <w:rsid w:val="29E67401"/>
    <w:rsid w:val="29EA8829"/>
    <w:rsid w:val="29ED69D3"/>
    <w:rsid w:val="29F0AF38"/>
    <w:rsid w:val="29F8C1F9"/>
    <w:rsid w:val="2A126807"/>
    <w:rsid w:val="2A160EE5"/>
    <w:rsid w:val="2A19C34C"/>
    <w:rsid w:val="2A1CB167"/>
    <w:rsid w:val="2A2006D7"/>
    <w:rsid w:val="2A22756E"/>
    <w:rsid w:val="2A2C8740"/>
    <w:rsid w:val="2A350A7A"/>
    <w:rsid w:val="2A39B851"/>
    <w:rsid w:val="2A3C8F63"/>
    <w:rsid w:val="2A427FFD"/>
    <w:rsid w:val="2A4E6292"/>
    <w:rsid w:val="2A524990"/>
    <w:rsid w:val="2A8E5A89"/>
    <w:rsid w:val="2A926687"/>
    <w:rsid w:val="2A9CBEBD"/>
    <w:rsid w:val="2A9F01B2"/>
    <w:rsid w:val="2AAA9360"/>
    <w:rsid w:val="2AB4EE02"/>
    <w:rsid w:val="2AB59427"/>
    <w:rsid w:val="2AB79CF1"/>
    <w:rsid w:val="2AC665CF"/>
    <w:rsid w:val="2AD24582"/>
    <w:rsid w:val="2AD4C681"/>
    <w:rsid w:val="2AEC7930"/>
    <w:rsid w:val="2AFC3050"/>
    <w:rsid w:val="2AFD44DE"/>
    <w:rsid w:val="2B00A15C"/>
    <w:rsid w:val="2B039369"/>
    <w:rsid w:val="2B05DE6D"/>
    <w:rsid w:val="2B090F7D"/>
    <w:rsid w:val="2B1950BC"/>
    <w:rsid w:val="2B1975FE"/>
    <w:rsid w:val="2B1D1B42"/>
    <w:rsid w:val="2B1F3349"/>
    <w:rsid w:val="2B3719B8"/>
    <w:rsid w:val="2B415C8B"/>
    <w:rsid w:val="2B47242B"/>
    <w:rsid w:val="2B55BDA1"/>
    <w:rsid w:val="2B660E09"/>
    <w:rsid w:val="2B7356E3"/>
    <w:rsid w:val="2B735A39"/>
    <w:rsid w:val="2B7A1E9C"/>
    <w:rsid w:val="2B8B2877"/>
    <w:rsid w:val="2B8E7414"/>
    <w:rsid w:val="2B9C350D"/>
    <w:rsid w:val="2B9F1592"/>
    <w:rsid w:val="2BA0AC0D"/>
    <w:rsid w:val="2BA266B3"/>
    <w:rsid w:val="2BA46044"/>
    <w:rsid w:val="2BAC89C3"/>
    <w:rsid w:val="2BB61E36"/>
    <w:rsid w:val="2BB687C3"/>
    <w:rsid w:val="2BD69A5A"/>
    <w:rsid w:val="2BD86E0B"/>
    <w:rsid w:val="2BDF80B4"/>
    <w:rsid w:val="2BE61FB5"/>
    <w:rsid w:val="2BF1F9BE"/>
    <w:rsid w:val="2BF4CC92"/>
    <w:rsid w:val="2C05A7B6"/>
    <w:rsid w:val="2C0CD4B6"/>
    <w:rsid w:val="2C0D2423"/>
    <w:rsid w:val="2C1156CA"/>
    <w:rsid w:val="2C142E24"/>
    <w:rsid w:val="2C19017D"/>
    <w:rsid w:val="2C2852C7"/>
    <w:rsid w:val="2C40EB1B"/>
    <w:rsid w:val="2C4251AE"/>
    <w:rsid w:val="2C4323DF"/>
    <w:rsid w:val="2C55442A"/>
    <w:rsid w:val="2C5DAB13"/>
    <w:rsid w:val="2C667C26"/>
    <w:rsid w:val="2C674E55"/>
    <w:rsid w:val="2C710E92"/>
    <w:rsid w:val="2C757583"/>
    <w:rsid w:val="2C7692EC"/>
    <w:rsid w:val="2C794B31"/>
    <w:rsid w:val="2C9AB97B"/>
    <w:rsid w:val="2C9E8435"/>
    <w:rsid w:val="2CA6A3CE"/>
    <w:rsid w:val="2CCB76D2"/>
    <w:rsid w:val="2CD13F0A"/>
    <w:rsid w:val="2CD404B5"/>
    <w:rsid w:val="2CDF4ECF"/>
    <w:rsid w:val="2CF2345F"/>
    <w:rsid w:val="2CFB17D1"/>
    <w:rsid w:val="2D06BDCC"/>
    <w:rsid w:val="2D108121"/>
    <w:rsid w:val="2D1F2F6D"/>
    <w:rsid w:val="2D256CD9"/>
    <w:rsid w:val="2D264646"/>
    <w:rsid w:val="2D2B7DEC"/>
    <w:rsid w:val="2D4B5E93"/>
    <w:rsid w:val="2D5D0842"/>
    <w:rsid w:val="2D622B08"/>
    <w:rsid w:val="2D6D7248"/>
    <w:rsid w:val="2D735805"/>
    <w:rsid w:val="2D739A02"/>
    <w:rsid w:val="2D74AED0"/>
    <w:rsid w:val="2D8B72D0"/>
    <w:rsid w:val="2D96843D"/>
    <w:rsid w:val="2D973B66"/>
    <w:rsid w:val="2DA68D93"/>
    <w:rsid w:val="2DA707D3"/>
    <w:rsid w:val="2DB54832"/>
    <w:rsid w:val="2DB7E852"/>
    <w:rsid w:val="2DC44C95"/>
    <w:rsid w:val="2DC6D2A8"/>
    <w:rsid w:val="2DDA5F68"/>
    <w:rsid w:val="2DE5C3B2"/>
    <w:rsid w:val="2DEBC45E"/>
    <w:rsid w:val="2DED105E"/>
    <w:rsid w:val="2E0ACC7C"/>
    <w:rsid w:val="2E289A42"/>
    <w:rsid w:val="2E2A481E"/>
    <w:rsid w:val="2E348BF9"/>
    <w:rsid w:val="2E3700E0"/>
    <w:rsid w:val="2E385263"/>
    <w:rsid w:val="2E3CE268"/>
    <w:rsid w:val="2E3CE27F"/>
    <w:rsid w:val="2E3D909A"/>
    <w:rsid w:val="2E467397"/>
    <w:rsid w:val="2E5505E3"/>
    <w:rsid w:val="2E55EE97"/>
    <w:rsid w:val="2E59A54A"/>
    <w:rsid w:val="2E694B71"/>
    <w:rsid w:val="2E6D19FB"/>
    <w:rsid w:val="2E7BCB61"/>
    <w:rsid w:val="2E7C9325"/>
    <w:rsid w:val="2E7FD0E6"/>
    <w:rsid w:val="2EA6B900"/>
    <w:rsid w:val="2EB8522E"/>
    <w:rsid w:val="2ED51A15"/>
    <w:rsid w:val="2ED722FD"/>
    <w:rsid w:val="2EDCD2E4"/>
    <w:rsid w:val="2EE8FE81"/>
    <w:rsid w:val="2EF780A9"/>
    <w:rsid w:val="2EF943B0"/>
    <w:rsid w:val="2EFACABA"/>
    <w:rsid w:val="2EFD46B1"/>
    <w:rsid w:val="2EFE9247"/>
    <w:rsid w:val="2F008B55"/>
    <w:rsid w:val="2F0CA9D8"/>
    <w:rsid w:val="2F0D3444"/>
    <w:rsid w:val="2F0DA20F"/>
    <w:rsid w:val="2F1717A1"/>
    <w:rsid w:val="2F22DA2C"/>
    <w:rsid w:val="2F2A221A"/>
    <w:rsid w:val="2F2B4E37"/>
    <w:rsid w:val="2F2D8A38"/>
    <w:rsid w:val="2F360D6D"/>
    <w:rsid w:val="2F3B2FC1"/>
    <w:rsid w:val="2F49C1FA"/>
    <w:rsid w:val="2F5C3081"/>
    <w:rsid w:val="2F5E8642"/>
    <w:rsid w:val="2F6118D9"/>
    <w:rsid w:val="2F670A18"/>
    <w:rsid w:val="2F6ABE89"/>
    <w:rsid w:val="2F79D678"/>
    <w:rsid w:val="2F8978CD"/>
    <w:rsid w:val="2FA3B11B"/>
    <w:rsid w:val="2FA7A5C9"/>
    <w:rsid w:val="2FB0923F"/>
    <w:rsid w:val="2FC9EA44"/>
    <w:rsid w:val="2FCB20FB"/>
    <w:rsid w:val="2FF6EAE9"/>
    <w:rsid w:val="2FF81319"/>
    <w:rsid w:val="2FFD169F"/>
    <w:rsid w:val="2FFD263F"/>
    <w:rsid w:val="30100131"/>
    <w:rsid w:val="30328FEC"/>
    <w:rsid w:val="3034F717"/>
    <w:rsid w:val="3037D7DD"/>
    <w:rsid w:val="303D5BCA"/>
    <w:rsid w:val="303EEC6F"/>
    <w:rsid w:val="304430CE"/>
    <w:rsid w:val="3051B4DA"/>
    <w:rsid w:val="3060E262"/>
    <w:rsid w:val="3065B238"/>
    <w:rsid w:val="30688FA3"/>
    <w:rsid w:val="306A9220"/>
    <w:rsid w:val="306D9526"/>
    <w:rsid w:val="306F1037"/>
    <w:rsid w:val="3077B492"/>
    <w:rsid w:val="307BD0E4"/>
    <w:rsid w:val="3088D926"/>
    <w:rsid w:val="30906AC2"/>
    <w:rsid w:val="309B6BB8"/>
    <w:rsid w:val="309F8A29"/>
    <w:rsid w:val="30A4475C"/>
    <w:rsid w:val="30AB9497"/>
    <w:rsid w:val="30AF941E"/>
    <w:rsid w:val="30B0B276"/>
    <w:rsid w:val="30B9CB83"/>
    <w:rsid w:val="30C02495"/>
    <w:rsid w:val="30CFE070"/>
    <w:rsid w:val="30DB0D80"/>
    <w:rsid w:val="30F2B08B"/>
    <w:rsid w:val="31051676"/>
    <w:rsid w:val="31096007"/>
    <w:rsid w:val="3115E648"/>
    <w:rsid w:val="3119FF80"/>
    <w:rsid w:val="311D4077"/>
    <w:rsid w:val="311EE319"/>
    <w:rsid w:val="31217A20"/>
    <w:rsid w:val="3127FD21"/>
    <w:rsid w:val="3141E094"/>
    <w:rsid w:val="3145E6C0"/>
    <w:rsid w:val="3149153F"/>
    <w:rsid w:val="314B2381"/>
    <w:rsid w:val="314BF410"/>
    <w:rsid w:val="3155E956"/>
    <w:rsid w:val="31723CE8"/>
    <w:rsid w:val="31848C69"/>
    <w:rsid w:val="31914B96"/>
    <w:rsid w:val="3196772C"/>
    <w:rsid w:val="31A39183"/>
    <w:rsid w:val="31A41493"/>
    <w:rsid w:val="31A66979"/>
    <w:rsid w:val="31AA0733"/>
    <w:rsid w:val="31CEE810"/>
    <w:rsid w:val="31D2BC78"/>
    <w:rsid w:val="31D640A6"/>
    <w:rsid w:val="31D92809"/>
    <w:rsid w:val="31ED89A6"/>
    <w:rsid w:val="31EEB090"/>
    <w:rsid w:val="31F759D8"/>
    <w:rsid w:val="31FAEB04"/>
    <w:rsid w:val="31FEC05F"/>
    <w:rsid w:val="3207321F"/>
    <w:rsid w:val="32125515"/>
    <w:rsid w:val="32161067"/>
    <w:rsid w:val="32226E59"/>
    <w:rsid w:val="3222D750"/>
    <w:rsid w:val="32248837"/>
    <w:rsid w:val="32264204"/>
    <w:rsid w:val="322740A6"/>
    <w:rsid w:val="3227DB4E"/>
    <w:rsid w:val="322C28A8"/>
    <w:rsid w:val="3241E4D9"/>
    <w:rsid w:val="3248CFB6"/>
    <w:rsid w:val="325E04F9"/>
    <w:rsid w:val="3264AC83"/>
    <w:rsid w:val="3264CA80"/>
    <w:rsid w:val="3269F3DE"/>
    <w:rsid w:val="3288F5AC"/>
    <w:rsid w:val="3295E4FF"/>
    <w:rsid w:val="329C513F"/>
    <w:rsid w:val="32A74D54"/>
    <w:rsid w:val="32A8BA24"/>
    <w:rsid w:val="32AB44B7"/>
    <w:rsid w:val="32B1B465"/>
    <w:rsid w:val="32B908C1"/>
    <w:rsid w:val="32C4C3F4"/>
    <w:rsid w:val="32D2E662"/>
    <w:rsid w:val="32D65A63"/>
    <w:rsid w:val="32DB5921"/>
    <w:rsid w:val="32DB8394"/>
    <w:rsid w:val="32E00E91"/>
    <w:rsid w:val="32E2992C"/>
    <w:rsid w:val="330140FB"/>
    <w:rsid w:val="33045F5B"/>
    <w:rsid w:val="3306C950"/>
    <w:rsid w:val="3306F0D7"/>
    <w:rsid w:val="33091AD1"/>
    <w:rsid w:val="331881C0"/>
    <w:rsid w:val="3324719F"/>
    <w:rsid w:val="33249FD2"/>
    <w:rsid w:val="33269D48"/>
    <w:rsid w:val="332C104A"/>
    <w:rsid w:val="33464A54"/>
    <w:rsid w:val="3346BF5E"/>
    <w:rsid w:val="3346DD58"/>
    <w:rsid w:val="3347D5FD"/>
    <w:rsid w:val="334DD88C"/>
    <w:rsid w:val="334FF7A4"/>
    <w:rsid w:val="3353FF36"/>
    <w:rsid w:val="33741825"/>
    <w:rsid w:val="33750E0D"/>
    <w:rsid w:val="337563EA"/>
    <w:rsid w:val="33904B37"/>
    <w:rsid w:val="339B7985"/>
    <w:rsid w:val="339B99DB"/>
    <w:rsid w:val="339CBB82"/>
    <w:rsid w:val="33A95DC7"/>
    <w:rsid w:val="33AF9171"/>
    <w:rsid w:val="33BDFECE"/>
    <w:rsid w:val="33C9BF1D"/>
    <w:rsid w:val="33CE8847"/>
    <w:rsid w:val="33E3FB35"/>
    <w:rsid w:val="33EE60DC"/>
    <w:rsid w:val="33EF4828"/>
    <w:rsid w:val="33FC9DA9"/>
    <w:rsid w:val="33FE310A"/>
    <w:rsid w:val="340BA856"/>
    <w:rsid w:val="341E5C35"/>
    <w:rsid w:val="3422EF40"/>
    <w:rsid w:val="34309EDE"/>
    <w:rsid w:val="34322D53"/>
    <w:rsid w:val="3439102D"/>
    <w:rsid w:val="3440B48B"/>
    <w:rsid w:val="3445CA11"/>
    <w:rsid w:val="34506506"/>
    <w:rsid w:val="3452A2C9"/>
    <w:rsid w:val="345A4CC0"/>
    <w:rsid w:val="345C948E"/>
    <w:rsid w:val="345EA96B"/>
    <w:rsid w:val="346CC36C"/>
    <w:rsid w:val="346DD5F6"/>
    <w:rsid w:val="3473B3D8"/>
    <w:rsid w:val="3475DC9B"/>
    <w:rsid w:val="34AA7CF1"/>
    <w:rsid w:val="34AAD994"/>
    <w:rsid w:val="34AF1769"/>
    <w:rsid w:val="34B72C2C"/>
    <w:rsid w:val="34B78861"/>
    <w:rsid w:val="34C6B929"/>
    <w:rsid w:val="34CDAF53"/>
    <w:rsid w:val="34ED1168"/>
    <w:rsid w:val="3500E3A1"/>
    <w:rsid w:val="3503D61C"/>
    <w:rsid w:val="3505274E"/>
    <w:rsid w:val="3508B91A"/>
    <w:rsid w:val="352C64AB"/>
    <w:rsid w:val="35488E7C"/>
    <w:rsid w:val="35502C99"/>
    <w:rsid w:val="35555162"/>
    <w:rsid w:val="355CA3E3"/>
    <w:rsid w:val="358F702C"/>
    <w:rsid w:val="359D2911"/>
    <w:rsid w:val="359EAC8A"/>
    <w:rsid w:val="35BB6E47"/>
    <w:rsid w:val="35C49BF1"/>
    <w:rsid w:val="35DC9A0B"/>
    <w:rsid w:val="35DFDDCE"/>
    <w:rsid w:val="35E68D9A"/>
    <w:rsid w:val="35EE770A"/>
    <w:rsid w:val="36007FBE"/>
    <w:rsid w:val="3610A3A5"/>
    <w:rsid w:val="36175E8F"/>
    <w:rsid w:val="362BFE05"/>
    <w:rsid w:val="362F0995"/>
    <w:rsid w:val="36357707"/>
    <w:rsid w:val="36378F0E"/>
    <w:rsid w:val="365F5FC5"/>
    <w:rsid w:val="366AACBB"/>
    <w:rsid w:val="366B9D5C"/>
    <w:rsid w:val="366CA92F"/>
    <w:rsid w:val="3673CE47"/>
    <w:rsid w:val="3674B255"/>
    <w:rsid w:val="367B6982"/>
    <w:rsid w:val="367DEFA8"/>
    <w:rsid w:val="3685FD98"/>
    <w:rsid w:val="369BC2B5"/>
    <w:rsid w:val="369EDD90"/>
    <w:rsid w:val="36A71976"/>
    <w:rsid w:val="36AB172D"/>
    <w:rsid w:val="36AD4B48"/>
    <w:rsid w:val="36B4B9C2"/>
    <w:rsid w:val="36C1B7E5"/>
    <w:rsid w:val="36CDD662"/>
    <w:rsid w:val="36E4B19E"/>
    <w:rsid w:val="36EDEF74"/>
    <w:rsid w:val="36EE2C1F"/>
    <w:rsid w:val="36EF41F7"/>
    <w:rsid w:val="36F86934"/>
    <w:rsid w:val="36FE7474"/>
    <w:rsid w:val="36FF4EA9"/>
    <w:rsid w:val="37029D6E"/>
    <w:rsid w:val="370B047E"/>
    <w:rsid w:val="3716DC6D"/>
    <w:rsid w:val="371935DA"/>
    <w:rsid w:val="371F2D3D"/>
    <w:rsid w:val="37211D83"/>
    <w:rsid w:val="37267B08"/>
    <w:rsid w:val="372B82A6"/>
    <w:rsid w:val="372C0F4B"/>
    <w:rsid w:val="37320E11"/>
    <w:rsid w:val="3740F913"/>
    <w:rsid w:val="375592C1"/>
    <w:rsid w:val="3756F0B3"/>
    <w:rsid w:val="3761CEF3"/>
    <w:rsid w:val="377C4F15"/>
    <w:rsid w:val="377CD35B"/>
    <w:rsid w:val="379D8207"/>
    <w:rsid w:val="37A01CF3"/>
    <w:rsid w:val="37A42B85"/>
    <w:rsid w:val="37ADEC59"/>
    <w:rsid w:val="37B0C72C"/>
    <w:rsid w:val="37B7F019"/>
    <w:rsid w:val="37BB2105"/>
    <w:rsid w:val="37C6973A"/>
    <w:rsid w:val="37CA9299"/>
    <w:rsid w:val="37E198CD"/>
    <w:rsid w:val="37E40BF1"/>
    <w:rsid w:val="37F2BCC3"/>
    <w:rsid w:val="37F5F25F"/>
    <w:rsid w:val="37F7B256"/>
    <w:rsid w:val="380665DC"/>
    <w:rsid w:val="38080E7B"/>
    <w:rsid w:val="380FBA1D"/>
    <w:rsid w:val="3828E3A1"/>
    <w:rsid w:val="38308045"/>
    <w:rsid w:val="3844D5A2"/>
    <w:rsid w:val="38493AFF"/>
    <w:rsid w:val="3851F55D"/>
    <w:rsid w:val="3855B86D"/>
    <w:rsid w:val="38579636"/>
    <w:rsid w:val="385FA53D"/>
    <w:rsid w:val="38628BC4"/>
    <w:rsid w:val="3862AF89"/>
    <w:rsid w:val="3882BF3B"/>
    <w:rsid w:val="38830058"/>
    <w:rsid w:val="38875A2C"/>
    <w:rsid w:val="3888E2D9"/>
    <w:rsid w:val="3892C596"/>
    <w:rsid w:val="38A02197"/>
    <w:rsid w:val="38B353DB"/>
    <w:rsid w:val="38B9B47B"/>
    <w:rsid w:val="38BC1EBF"/>
    <w:rsid w:val="38C14FB7"/>
    <w:rsid w:val="38DB6C6E"/>
    <w:rsid w:val="38E1B4A8"/>
    <w:rsid w:val="38EA1106"/>
    <w:rsid w:val="38EA51F5"/>
    <w:rsid w:val="38EDAE71"/>
    <w:rsid w:val="38EF5D16"/>
    <w:rsid w:val="38F7126C"/>
    <w:rsid w:val="38F71C61"/>
    <w:rsid w:val="38F7D005"/>
    <w:rsid w:val="3926CA91"/>
    <w:rsid w:val="393E1F39"/>
    <w:rsid w:val="3950D2CD"/>
    <w:rsid w:val="39694EB1"/>
    <w:rsid w:val="398047C5"/>
    <w:rsid w:val="39805216"/>
    <w:rsid w:val="398074BF"/>
    <w:rsid w:val="398178AB"/>
    <w:rsid w:val="3985CF62"/>
    <w:rsid w:val="39894C33"/>
    <w:rsid w:val="398A8027"/>
    <w:rsid w:val="399BB778"/>
    <w:rsid w:val="39AF74F2"/>
    <w:rsid w:val="39B0EB97"/>
    <w:rsid w:val="39B15597"/>
    <w:rsid w:val="39BF2590"/>
    <w:rsid w:val="39BFC082"/>
    <w:rsid w:val="39C6434F"/>
    <w:rsid w:val="39CB6700"/>
    <w:rsid w:val="39CD1206"/>
    <w:rsid w:val="39D32553"/>
    <w:rsid w:val="39D6D437"/>
    <w:rsid w:val="39DD151A"/>
    <w:rsid w:val="39E1917A"/>
    <w:rsid w:val="39E53260"/>
    <w:rsid w:val="39F7D65C"/>
    <w:rsid w:val="3A02549B"/>
    <w:rsid w:val="3A051DE6"/>
    <w:rsid w:val="3A115F22"/>
    <w:rsid w:val="3A1D4B76"/>
    <w:rsid w:val="3A1DD0EE"/>
    <w:rsid w:val="3A2C051B"/>
    <w:rsid w:val="3A3319DD"/>
    <w:rsid w:val="3A3B0FBD"/>
    <w:rsid w:val="3A420083"/>
    <w:rsid w:val="3A496C08"/>
    <w:rsid w:val="3A496F8F"/>
    <w:rsid w:val="3A5492D2"/>
    <w:rsid w:val="3A72DD1D"/>
    <w:rsid w:val="3A79B1AA"/>
    <w:rsid w:val="3A7DF177"/>
    <w:rsid w:val="3A816031"/>
    <w:rsid w:val="3A81AFA4"/>
    <w:rsid w:val="3A88924D"/>
    <w:rsid w:val="3A8C36D9"/>
    <w:rsid w:val="3AA1D37E"/>
    <w:rsid w:val="3AA664FE"/>
    <w:rsid w:val="3AA869A5"/>
    <w:rsid w:val="3AB0B6E4"/>
    <w:rsid w:val="3ABBBAA5"/>
    <w:rsid w:val="3ABCCC63"/>
    <w:rsid w:val="3ACD25BC"/>
    <w:rsid w:val="3AD12611"/>
    <w:rsid w:val="3AE59C8F"/>
    <w:rsid w:val="3AECDC85"/>
    <w:rsid w:val="3AF2C07A"/>
    <w:rsid w:val="3AF2EACF"/>
    <w:rsid w:val="3AF68A8E"/>
    <w:rsid w:val="3AFCCE6D"/>
    <w:rsid w:val="3B07384B"/>
    <w:rsid w:val="3B07E27D"/>
    <w:rsid w:val="3B12FA26"/>
    <w:rsid w:val="3B2319BF"/>
    <w:rsid w:val="3B252DD0"/>
    <w:rsid w:val="3B2E5F6C"/>
    <w:rsid w:val="3B30538D"/>
    <w:rsid w:val="3B37E16F"/>
    <w:rsid w:val="3B3AE63E"/>
    <w:rsid w:val="3B3D75D0"/>
    <w:rsid w:val="3B3D8C70"/>
    <w:rsid w:val="3B40E724"/>
    <w:rsid w:val="3B411EB7"/>
    <w:rsid w:val="3B567BAC"/>
    <w:rsid w:val="3B572B04"/>
    <w:rsid w:val="3B5B8902"/>
    <w:rsid w:val="3B5BA582"/>
    <w:rsid w:val="3B707079"/>
    <w:rsid w:val="3B9585AC"/>
    <w:rsid w:val="3B967943"/>
    <w:rsid w:val="3B96E1EE"/>
    <w:rsid w:val="3B998A20"/>
    <w:rsid w:val="3B9AC22C"/>
    <w:rsid w:val="3BA64B32"/>
    <w:rsid w:val="3BC2EC2A"/>
    <w:rsid w:val="3BCA55E2"/>
    <w:rsid w:val="3BD40213"/>
    <w:rsid w:val="3BD52362"/>
    <w:rsid w:val="3BD6AB10"/>
    <w:rsid w:val="3BF46FA3"/>
    <w:rsid w:val="3BF5F9C0"/>
    <w:rsid w:val="3BFE0025"/>
    <w:rsid w:val="3BFED432"/>
    <w:rsid w:val="3C1254CA"/>
    <w:rsid w:val="3C208E13"/>
    <w:rsid w:val="3C2095F8"/>
    <w:rsid w:val="3C3B5C5C"/>
    <w:rsid w:val="3C3C62AF"/>
    <w:rsid w:val="3C58EFAA"/>
    <w:rsid w:val="3C5DBB68"/>
    <w:rsid w:val="3C6BBDC9"/>
    <w:rsid w:val="3C7456D0"/>
    <w:rsid w:val="3C81C7D7"/>
    <w:rsid w:val="3C83B1CD"/>
    <w:rsid w:val="3C894D93"/>
    <w:rsid w:val="3C8DC3D3"/>
    <w:rsid w:val="3C92D56B"/>
    <w:rsid w:val="3C993CDE"/>
    <w:rsid w:val="3C9F290B"/>
    <w:rsid w:val="3CABCE26"/>
    <w:rsid w:val="3CB5FC2E"/>
    <w:rsid w:val="3CB97BFB"/>
    <w:rsid w:val="3CC13D2E"/>
    <w:rsid w:val="3CD6FCEE"/>
    <w:rsid w:val="3CE0FA1A"/>
    <w:rsid w:val="3CECFB9D"/>
    <w:rsid w:val="3CF1004B"/>
    <w:rsid w:val="3CF5D42E"/>
    <w:rsid w:val="3D0F3170"/>
    <w:rsid w:val="3D12E484"/>
    <w:rsid w:val="3D1F4007"/>
    <w:rsid w:val="3D2AE7F1"/>
    <w:rsid w:val="3D4ADBC4"/>
    <w:rsid w:val="3D6BA084"/>
    <w:rsid w:val="3D714666"/>
    <w:rsid w:val="3D7372A9"/>
    <w:rsid w:val="3D76F746"/>
    <w:rsid w:val="3D7838BA"/>
    <w:rsid w:val="3D7C470F"/>
    <w:rsid w:val="3D8DE1DF"/>
    <w:rsid w:val="3D93BEA4"/>
    <w:rsid w:val="3D9494F4"/>
    <w:rsid w:val="3DB0A580"/>
    <w:rsid w:val="3DC0E85D"/>
    <w:rsid w:val="3DCAF5C8"/>
    <w:rsid w:val="3DCC3A18"/>
    <w:rsid w:val="3DE44D05"/>
    <w:rsid w:val="3DE51565"/>
    <w:rsid w:val="3E017154"/>
    <w:rsid w:val="3E139A7D"/>
    <w:rsid w:val="3E1F378C"/>
    <w:rsid w:val="3E271A3C"/>
    <w:rsid w:val="3E30B967"/>
    <w:rsid w:val="3E70C887"/>
    <w:rsid w:val="3E728160"/>
    <w:rsid w:val="3E72900D"/>
    <w:rsid w:val="3E84DE6F"/>
    <w:rsid w:val="3E857E9E"/>
    <w:rsid w:val="3E86B29D"/>
    <w:rsid w:val="3E8C012C"/>
    <w:rsid w:val="3EA58BDE"/>
    <w:rsid w:val="3EAED872"/>
    <w:rsid w:val="3EAF303E"/>
    <w:rsid w:val="3EB24E67"/>
    <w:rsid w:val="3EBBE95B"/>
    <w:rsid w:val="3EDC916A"/>
    <w:rsid w:val="3EDF2E04"/>
    <w:rsid w:val="3EE3A2D6"/>
    <w:rsid w:val="3EEDBFE7"/>
    <w:rsid w:val="3EF61756"/>
    <w:rsid w:val="3F05AFB4"/>
    <w:rsid w:val="3F05F74E"/>
    <w:rsid w:val="3F12C05E"/>
    <w:rsid w:val="3F21D733"/>
    <w:rsid w:val="3F277058"/>
    <w:rsid w:val="3F2CE11F"/>
    <w:rsid w:val="3F434DEE"/>
    <w:rsid w:val="3F49A8CF"/>
    <w:rsid w:val="3F4E51F9"/>
    <w:rsid w:val="3F5E9051"/>
    <w:rsid w:val="3F643B71"/>
    <w:rsid w:val="3F671FC9"/>
    <w:rsid w:val="3F6CF84D"/>
    <w:rsid w:val="3FADC0E0"/>
    <w:rsid w:val="3FAE722B"/>
    <w:rsid w:val="3FAF4EE3"/>
    <w:rsid w:val="3FB140D8"/>
    <w:rsid w:val="3FCD3AB8"/>
    <w:rsid w:val="3FD7EEBE"/>
    <w:rsid w:val="3FD90B3D"/>
    <w:rsid w:val="3FE3BB84"/>
    <w:rsid w:val="3FE9A638"/>
    <w:rsid w:val="3FF7BC97"/>
    <w:rsid w:val="3FFDC078"/>
    <w:rsid w:val="40023FE9"/>
    <w:rsid w:val="4004B1B1"/>
    <w:rsid w:val="400F100C"/>
    <w:rsid w:val="4019BC63"/>
    <w:rsid w:val="401C51CD"/>
    <w:rsid w:val="401FC6AC"/>
    <w:rsid w:val="402421C8"/>
    <w:rsid w:val="402DD412"/>
    <w:rsid w:val="4031CD5A"/>
    <w:rsid w:val="403271E1"/>
    <w:rsid w:val="40387879"/>
    <w:rsid w:val="404A4501"/>
    <w:rsid w:val="40510F96"/>
    <w:rsid w:val="4053F832"/>
    <w:rsid w:val="406620A9"/>
    <w:rsid w:val="40680951"/>
    <w:rsid w:val="406BEE5A"/>
    <w:rsid w:val="4078419F"/>
    <w:rsid w:val="407AB9A6"/>
    <w:rsid w:val="407AFAB5"/>
    <w:rsid w:val="40866B23"/>
    <w:rsid w:val="408B02ED"/>
    <w:rsid w:val="408B3FD8"/>
    <w:rsid w:val="408F033D"/>
    <w:rsid w:val="4091CBCD"/>
    <w:rsid w:val="4096F7D1"/>
    <w:rsid w:val="4098028B"/>
    <w:rsid w:val="40B27FDC"/>
    <w:rsid w:val="40C36434"/>
    <w:rsid w:val="40C41370"/>
    <w:rsid w:val="40C9D0FB"/>
    <w:rsid w:val="40CC33EB"/>
    <w:rsid w:val="40E369A7"/>
    <w:rsid w:val="40F0A3AA"/>
    <w:rsid w:val="40FAD326"/>
    <w:rsid w:val="410ACCF4"/>
    <w:rsid w:val="410D7C6E"/>
    <w:rsid w:val="410DF786"/>
    <w:rsid w:val="411213AA"/>
    <w:rsid w:val="41204919"/>
    <w:rsid w:val="413780BE"/>
    <w:rsid w:val="4147DE2A"/>
    <w:rsid w:val="41509E4C"/>
    <w:rsid w:val="41604F0E"/>
    <w:rsid w:val="416991FF"/>
    <w:rsid w:val="4169D81D"/>
    <w:rsid w:val="416A9EAA"/>
    <w:rsid w:val="4171F9F6"/>
    <w:rsid w:val="417503B5"/>
    <w:rsid w:val="417727C9"/>
    <w:rsid w:val="417A9D80"/>
    <w:rsid w:val="418BFF76"/>
    <w:rsid w:val="419B2DFE"/>
    <w:rsid w:val="41A4C59B"/>
    <w:rsid w:val="41ABFFA1"/>
    <w:rsid w:val="41C3325C"/>
    <w:rsid w:val="41C38222"/>
    <w:rsid w:val="41C4877D"/>
    <w:rsid w:val="41DA976B"/>
    <w:rsid w:val="41EBEE66"/>
    <w:rsid w:val="41EC4EBF"/>
    <w:rsid w:val="41F4E5D6"/>
    <w:rsid w:val="4207F625"/>
    <w:rsid w:val="420E5281"/>
    <w:rsid w:val="420E9436"/>
    <w:rsid w:val="420EDDA5"/>
    <w:rsid w:val="4235E940"/>
    <w:rsid w:val="423BA628"/>
    <w:rsid w:val="423FBB8A"/>
    <w:rsid w:val="4247129A"/>
    <w:rsid w:val="42482E65"/>
    <w:rsid w:val="4249C10E"/>
    <w:rsid w:val="4252F645"/>
    <w:rsid w:val="4254E6D3"/>
    <w:rsid w:val="4256F471"/>
    <w:rsid w:val="425D826D"/>
    <w:rsid w:val="425E3A28"/>
    <w:rsid w:val="42631122"/>
    <w:rsid w:val="4277D7D5"/>
    <w:rsid w:val="427883AF"/>
    <w:rsid w:val="427AC1E4"/>
    <w:rsid w:val="4282A8F5"/>
    <w:rsid w:val="42896459"/>
    <w:rsid w:val="428FB321"/>
    <w:rsid w:val="4295965A"/>
    <w:rsid w:val="42B975DE"/>
    <w:rsid w:val="42C987A0"/>
    <w:rsid w:val="42D5E38A"/>
    <w:rsid w:val="42D61FD7"/>
    <w:rsid w:val="42D6FBB0"/>
    <w:rsid w:val="42D7AB82"/>
    <w:rsid w:val="42D86AD8"/>
    <w:rsid w:val="42E00F95"/>
    <w:rsid w:val="42EB03BE"/>
    <w:rsid w:val="42F983D2"/>
    <w:rsid w:val="42FB6176"/>
    <w:rsid w:val="430331D6"/>
    <w:rsid w:val="431C370B"/>
    <w:rsid w:val="43248742"/>
    <w:rsid w:val="432B039E"/>
    <w:rsid w:val="433FA21F"/>
    <w:rsid w:val="434025E8"/>
    <w:rsid w:val="43406EDE"/>
    <w:rsid w:val="435F133C"/>
    <w:rsid w:val="436FB76C"/>
    <w:rsid w:val="4372C8E7"/>
    <w:rsid w:val="43773920"/>
    <w:rsid w:val="4383F245"/>
    <w:rsid w:val="438A8F83"/>
    <w:rsid w:val="4397E18A"/>
    <w:rsid w:val="43C37F97"/>
    <w:rsid w:val="43C3A4E4"/>
    <w:rsid w:val="43CD3DAD"/>
    <w:rsid w:val="43E3EC85"/>
    <w:rsid w:val="43E7DC9C"/>
    <w:rsid w:val="43FF9B5D"/>
    <w:rsid w:val="44002868"/>
    <w:rsid w:val="44054CD6"/>
    <w:rsid w:val="4413483E"/>
    <w:rsid w:val="44148D29"/>
    <w:rsid w:val="441EE762"/>
    <w:rsid w:val="441F0ACE"/>
    <w:rsid w:val="44215381"/>
    <w:rsid w:val="4432F8E9"/>
    <w:rsid w:val="444C0FC3"/>
    <w:rsid w:val="44622780"/>
    <w:rsid w:val="4465A59E"/>
    <w:rsid w:val="44777ED5"/>
    <w:rsid w:val="4478CD83"/>
    <w:rsid w:val="447A4D3B"/>
    <w:rsid w:val="4482479B"/>
    <w:rsid w:val="44851B9F"/>
    <w:rsid w:val="448667C0"/>
    <w:rsid w:val="4489CDDC"/>
    <w:rsid w:val="448EF348"/>
    <w:rsid w:val="4498DBF2"/>
    <w:rsid w:val="44B26677"/>
    <w:rsid w:val="44B39DE4"/>
    <w:rsid w:val="44C857A3"/>
    <w:rsid w:val="44CB0F1E"/>
    <w:rsid w:val="44DB26BD"/>
    <w:rsid w:val="44DEA7E2"/>
    <w:rsid w:val="44E45B44"/>
    <w:rsid w:val="44EB4EB9"/>
    <w:rsid w:val="44F66E5C"/>
    <w:rsid w:val="44F76937"/>
    <w:rsid w:val="44FA1670"/>
    <w:rsid w:val="4501E915"/>
    <w:rsid w:val="450C0FED"/>
    <w:rsid w:val="45177981"/>
    <w:rsid w:val="451D5AD9"/>
    <w:rsid w:val="451EDB74"/>
    <w:rsid w:val="451F30D3"/>
    <w:rsid w:val="45241091"/>
    <w:rsid w:val="452D33C5"/>
    <w:rsid w:val="453BFA25"/>
    <w:rsid w:val="453CB27E"/>
    <w:rsid w:val="4564F1B5"/>
    <w:rsid w:val="45671D8A"/>
    <w:rsid w:val="4567F324"/>
    <w:rsid w:val="456B564E"/>
    <w:rsid w:val="456CD742"/>
    <w:rsid w:val="456F3AC6"/>
    <w:rsid w:val="4576CBDE"/>
    <w:rsid w:val="458A52BA"/>
    <w:rsid w:val="45921036"/>
    <w:rsid w:val="45975C2B"/>
    <w:rsid w:val="459DFC01"/>
    <w:rsid w:val="459EED1C"/>
    <w:rsid w:val="45A17AED"/>
    <w:rsid w:val="45AE13B2"/>
    <w:rsid w:val="45BBC796"/>
    <w:rsid w:val="45C1B5FE"/>
    <w:rsid w:val="45C214B0"/>
    <w:rsid w:val="45CEA5A2"/>
    <w:rsid w:val="45D86524"/>
    <w:rsid w:val="45DC6601"/>
    <w:rsid w:val="45EF20D0"/>
    <w:rsid w:val="4604276C"/>
    <w:rsid w:val="4615BC0F"/>
    <w:rsid w:val="461A66BB"/>
    <w:rsid w:val="461DD00F"/>
    <w:rsid w:val="46212EC4"/>
    <w:rsid w:val="4632C72B"/>
    <w:rsid w:val="4643D478"/>
    <w:rsid w:val="464AF240"/>
    <w:rsid w:val="46601629"/>
    <w:rsid w:val="4661C5C9"/>
    <w:rsid w:val="4664F113"/>
    <w:rsid w:val="4675FBE7"/>
    <w:rsid w:val="4676FD4E"/>
    <w:rsid w:val="467F0076"/>
    <w:rsid w:val="4689CB3C"/>
    <w:rsid w:val="468B965A"/>
    <w:rsid w:val="46906015"/>
    <w:rsid w:val="469BB683"/>
    <w:rsid w:val="46A2E1C5"/>
    <w:rsid w:val="46B20059"/>
    <w:rsid w:val="46BC80CB"/>
    <w:rsid w:val="46C03FFD"/>
    <w:rsid w:val="46C1354F"/>
    <w:rsid w:val="46C8155D"/>
    <w:rsid w:val="46CDCE81"/>
    <w:rsid w:val="46E6B07E"/>
    <w:rsid w:val="46E8BAA1"/>
    <w:rsid w:val="46F86777"/>
    <w:rsid w:val="46F9FEF8"/>
    <w:rsid w:val="47000B6D"/>
    <w:rsid w:val="4707914D"/>
    <w:rsid w:val="470C21AE"/>
    <w:rsid w:val="470DF7A4"/>
    <w:rsid w:val="4714A10C"/>
    <w:rsid w:val="47189D16"/>
    <w:rsid w:val="471D7EFD"/>
    <w:rsid w:val="4721463B"/>
    <w:rsid w:val="4725661D"/>
    <w:rsid w:val="47286290"/>
    <w:rsid w:val="4733D79F"/>
    <w:rsid w:val="47350012"/>
    <w:rsid w:val="47534990"/>
    <w:rsid w:val="475D168F"/>
    <w:rsid w:val="475FB7F9"/>
    <w:rsid w:val="476CC961"/>
    <w:rsid w:val="476DFF5B"/>
    <w:rsid w:val="476EC9F2"/>
    <w:rsid w:val="477C9A0F"/>
    <w:rsid w:val="4783FD88"/>
    <w:rsid w:val="4785D3A0"/>
    <w:rsid w:val="4785F421"/>
    <w:rsid w:val="478A2BE6"/>
    <w:rsid w:val="479B8747"/>
    <w:rsid w:val="47B7FA1C"/>
    <w:rsid w:val="47C0DC0A"/>
    <w:rsid w:val="47C1B70E"/>
    <w:rsid w:val="47DD52A6"/>
    <w:rsid w:val="47FA1FDE"/>
    <w:rsid w:val="47FAD0F7"/>
    <w:rsid w:val="480164C1"/>
    <w:rsid w:val="480EB66C"/>
    <w:rsid w:val="481D29B3"/>
    <w:rsid w:val="482AE1C4"/>
    <w:rsid w:val="483581E4"/>
    <w:rsid w:val="483B2607"/>
    <w:rsid w:val="483F516C"/>
    <w:rsid w:val="484CBDF7"/>
    <w:rsid w:val="4857C295"/>
    <w:rsid w:val="485DCC8A"/>
    <w:rsid w:val="486624F0"/>
    <w:rsid w:val="4866DD34"/>
    <w:rsid w:val="486DBD52"/>
    <w:rsid w:val="487194DB"/>
    <w:rsid w:val="4874C199"/>
    <w:rsid w:val="48799A78"/>
    <w:rsid w:val="487B5B7E"/>
    <w:rsid w:val="488E97EF"/>
    <w:rsid w:val="48A2B6E4"/>
    <w:rsid w:val="48A9D630"/>
    <w:rsid w:val="48AF7AC6"/>
    <w:rsid w:val="48C2B484"/>
    <w:rsid w:val="48CD4E8A"/>
    <w:rsid w:val="48DDBD2B"/>
    <w:rsid w:val="48DFCAAC"/>
    <w:rsid w:val="48E316FD"/>
    <w:rsid w:val="48E8FC84"/>
    <w:rsid w:val="48FFACD4"/>
    <w:rsid w:val="49111E84"/>
    <w:rsid w:val="49249400"/>
    <w:rsid w:val="49317AFD"/>
    <w:rsid w:val="49367261"/>
    <w:rsid w:val="4936BAA2"/>
    <w:rsid w:val="4936F6BC"/>
    <w:rsid w:val="493AE131"/>
    <w:rsid w:val="49529FEE"/>
    <w:rsid w:val="496BB86E"/>
    <w:rsid w:val="4972B751"/>
    <w:rsid w:val="4975E796"/>
    <w:rsid w:val="497F4931"/>
    <w:rsid w:val="498B93BC"/>
    <w:rsid w:val="4990168A"/>
    <w:rsid w:val="49928A77"/>
    <w:rsid w:val="499B0438"/>
    <w:rsid w:val="499BCBF8"/>
    <w:rsid w:val="49A3FFBC"/>
    <w:rsid w:val="49A83B63"/>
    <w:rsid w:val="49BD1D86"/>
    <w:rsid w:val="49BE69EB"/>
    <w:rsid w:val="49C7FEA2"/>
    <w:rsid w:val="49CB7BA1"/>
    <w:rsid w:val="49D2A70F"/>
    <w:rsid w:val="49D301E3"/>
    <w:rsid w:val="49DB7AAE"/>
    <w:rsid w:val="49EC36E1"/>
    <w:rsid w:val="49F0EDED"/>
    <w:rsid w:val="4A0085BE"/>
    <w:rsid w:val="4A01B9DB"/>
    <w:rsid w:val="4A03C54B"/>
    <w:rsid w:val="4A063A9F"/>
    <w:rsid w:val="4A10F1BB"/>
    <w:rsid w:val="4A11511E"/>
    <w:rsid w:val="4A1BE530"/>
    <w:rsid w:val="4A1E8BA0"/>
    <w:rsid w:val="4A22C785"/>
    <w:rsid w:val="4A26CE89"/>
    <w:rsid w:val="4A27F044"/>
    <w:rsid w:val="4A29DAE9"/>
    <w:rsid w:val="4A31594B"/>
    <w:rsid w:val="4A479A85"/>
    <w:rsid w:val="4A5E8EC0"/>
    <w:rsid w:val="4A6556A1"/>
    <w:rsid w:val="4A7281D8"/>
    <w:rsid w:val="4A72A4BA"/>
    <w:rsid w:val="4A74C36C"/>
    <w:rsid w:val="4A79E027"/>
    <w:rsid w:val="4A7D8BDA"/>
    <w:rsid w:val="4A836991"/>
    <w:rsid w:val="4A953122"/>
    <w:rsid w:val="4AB7CB46"/>
    <w:rsid w:val="4ACA89A1"/>
    <w:rsid w:val="4ACD41F7"/>
    <w:rsid w:val="4AD1D7A6"/>
    <w:rsid w:val="4AD5A6CB"/>
    <w:rsid w:val="4AD6523B"/>
    <w:rsid w:val="4AD6E0FB"/>
    <w:rsid w:val="4AD88241"/>
    <w:rsid w:val="4ADEEF52"/>
    <w:rsid w:val="4AE1157D"/>
    <w:rsid w:val="4AE80550"/>
    <w:rsid w:val="4AE96E5C"/>
    <w:rsid w:val="4AF40D35"/>
    <w:rsid w:val="4AF85814"/>
    <w:rsid w:val="4AFCC527"/>
    <w:rsid w:val="4B13CA27"/>
    <w:rsid w:val="4B17D554"/>
    <w:rsid w:val="4B1B7425"/>
    <w:rsid w:val="4B220937"/>
    <w:rsid w:val="4B269CF2"/>
    <w:rsid w:val="4B285875"/>
    <w:rsid w:val="4B2A9AD8"/>
    <w:rsid w:val="4B334B47"/>
    <w:rsid w:val="4B360F34"/>
    <w:rsid w:val="4B55C93A"/>
    <w:rsid w:val="4B5C926F"/>
    <w:rsid w:val="4B5EF0F3"/>
    <w:rsid w:val="4B6444F6"/>
    <w:rsid w:val="4B6FAFBC"/>
    <w:rsid w:val="4B72528F"/>
    <w:rsid w:val="4B827DF1"/>
    <w:rsid w:val="4B8C8EE2"/>
    <w:rsid w:val="4B8DBF47"/>
    <w:rsid w:val="4B97B245"/>
    <w:rsid w:val="4BA8F7B4"/>
    <w:rsid w:val="4BAC7D0F"/>
    <w:rsid w:val="4BAD543C"/>
    <w:rsid w:val="4BB227F4"/>
    <w:rsid w:val="4BB853A2"/>
    <w:rsid w:val="4BBD9DC2"/>
    <w:rsid w:val="4BCBE5A9"/>
    <w:rsid w:val="4BD1A906"/>
    <w:rsid w:val="4BD5971E"/>
    <w:rsid w:val="4BE08808"/>
    <w:rsid w:val="4BEB598F"/>
    <w:rsid w:val="4BF1A688"/>
    <w:rsid w:val="4C20993B"/>
    <w:rsid w:val="4C245A0E"/>
    <w:rsid w:val="4C27D2EF"/>
    <w:rsid w:val="4C3475C4"/>
    <w:rsid w:val="4C3A5B72"/>
    <w:rsid w:val="4C3FBDCC"/>
    <w:rsid w:val="4C4039C7"/>
    <w:rsid w:val="4C47650C"/>
    <w:rsid w:val="4C47E2C4"/>
    <w:rsid w:val="4C494EAE"/>
    <w:rsid w:val="4C530033"/>
    <w:rsid w:val="4C58BF7D"/>
    <w:rsid w:val="4C58E9F6"/>
    <w:rsid w:val="4C59D621"/>
    <w:rsid w:val="4C5BAE67"/>
    <w:rsid w:val="4C73C63D"/>
    <w:rsid w:val="4C8414E1"/>
    <w:rsid w:val="4C893D90"/>
    <w:rsid w:val="4C8A8885"/>
    <w:rsid w:val="4C8A9E05"/>
    <w:rsid w:val="4C9FC52A"/>
    <w:rsid w:val="4C9FD0C5"/>
    <w:rsid w:val="4CA4ABE8"/>
    <w:rsid w:val="4CA522C0"/>
    <w:rsid w:val="4CA56E96"/>
    <w:rsid w:val="4CA758CE"/>
    <w:rsid w:val="4CAFC74D"/>
    <w:rsid w:val="4CB0E9DB"/>
    <w:rsid w:val="4CB75841"/>
    <w:rsid w:val="4CC1F43F"/>
    <w:rsid w:val="4CD89700"/>
    <w:rsid w:val="4CDA13B6"/>
    <w:rsid w:val="4CDC2307"/>
    <w:rsid w:val="4CDDCA44"/>
    <w:rsid w:val="4CE0F688"/>
    <w:rsid w:val="4CE58E82"/>
    <w:rsid w:val="4CE63EEB"/>
    <w:rsid w:val="4CE81D08"/>
    <w:rsid w:val="4CF55BC2"/>
    <w:rsid w:val="4CF988E5"/>
    <w:rsid w:val="4CFF6B2D"/>
    <w:rsid w:val="4D09652A"/>
    <w:rsid w:val="4D132C35"/>
    <w:rsid w:val="4D1AA524"/>
    <w:rsid w:val="4D355DED"/>
    <w:rsid w:val="4D394422"/>
    <w:rsid w:val="4D3CCE9B"/>
    <w:rsid w:val="4D43FFFC"/>
    <w:rsid w:val="4D447C0C"/>
    <w:rsid w:val="4D4A3A32"/>
    <w:rsid w:val="4D4B5DED"/>
    <w:rsid w:val="4D4BD772"/>
    <w:rsid w:val="4D4DCBBF"/>
    <w:rsid w:val="4D4EECC1"/>
    <w:rsid w:val="4D6189B9"/>
    <w:rsid w:val="4D6DF5C8"/>
    <w:rsid w:val="4D78E723"/>
    <w:rsid w:val="4D7BC43B"/>
    <w:rsid w:val="4D7FA820"/>
    <w:rsid w:val="4D92F0ED"/>
    <w:rsid w:val="4D931AF4"/>
    <w:rsid w:val="4D9AFDE5"/>
    <w:rsid w:val="4D9C2367"/>
    <w:rsid w:val="4DA9A33A"/>
    <w:rsid w:val="4DBCD908"/>
    <w:rsid w:val="4DC28DAF"/>
    <w:rsid w:val="4DCA8BB6"/>
    <w:rsid w:val="4DCD748B"/>
    <w:rsid w:val="4DD4B8EE"/>
    <w:rsid w:val="4DD72F2C"/>
    <w:rsid w:val="4DDD16EC"/>
    <w:rsid w:val="4DDE70CC"/>
    <w:rsid w:val="4DE737AE"/>
    <w:rsid w:val="4DEBB8E2"/>
    <w:rsid w:val="4DF0A444"/>
    <w:rsid w:val="4DF76558"/>
    <w:rsid w:val="4E0C82B3"/>
    <w:rsid w:val="4E1929E0"/>
    <w:rsid w:val="4E24679F"/>
    <w:rsid w:val="4E253DF5"/>
    <w:rsid w:val="4E2B6590"/>
    <w:rsid w:val="4E2CCD1C"/>
    <w:rsid w:val="4E2D0D85"/>
    <w:rsid w:val="4E325058"/>
    <w:rsid w:val="4E3383DD"/>
    <w:rsid w:val="4E4094BF"/>
    <w:rsid w:val="4E43F1C1"/>
    <w:rsid w:val="4E4A20C1"/>
    <w:rsid w:val="4E689E80"/>
    <w:rsid w:val="4E690112"/>
    <w:rsid w:val="4E6F2B3D"/>
    <w:rsid w:val="4E882032"/>
    <w:rsid w:val="4E8C63F0"/>
    <w:rsid w:val="4E8EE4C0"/>
    <w:rsid w:val="4E907AE2"/>
    <w:rsid w:val="4E92444B"/>
    <w:rsid w:val="4EA211D6"/>
    <w:rsid w:val="4EA4635C"/>
    <w:rsid w:val="4EAB7899"/>
    <w:rsid w:val="4EBB619C"/>
    <w:rsid w:val="4EC57662"/>
    <w:rsid w:val="4ED9A213"/>
    <w:rsid w:val="4EDADA10"/>
    <w:rsid w:val="4EE65E0D"/>
    <w:rsid w:val="4EE7E5C2"/>
    <w:rsid w:val="4EE9F409"/>
    <w:rsid w:val="4EF151F2"/>
    <w:rsid w:val="4EF5C0D2"/>
    <w:rsid w:val="4EFE47FC"/>
    <w:rsid w:val="4EFEFDC1"/>
    <w:rsid w:val="4F091743"/>
    <w:rsid w:val="4F0E544C"/>
    <w:rsid w:val="4F143E23"/>
    <w:rsid w:val="4F1A37B2"/>
    <w:rsid w:val="4F324E30"/>
    <w:rsid w:val="4F3A311C"/>
    <w:rsid w:val="4F4290DA"/>
    <w:rsid w:val="4F5AC130"/>
    <w:rsid w:val="4F6AC5F1"/>
    <w:rsid w:val="4F6F08B2"/>
    <w:rsid w:val="4F72BE60"/>
    <w:rsid w:val="4F74D8AC"/>
    <w:rsid w:val="4F841247"/>
    <w:rsid w:val="4F8E65B4"/>
    <w:rsid w:val="4F9911DB"/>
    <w:rsid w:val="4F9C37E6"/>
    <w:rsid w:val="4F9E0244"/>
    <w:rsid w:val="4F9F19C7"/>
    <w:rsid w:val="4FA04EB0"/>
    <w:rsid w:val="4FA059A4"/>
    <w:rsid w:val="4FB96A24"/>
    <w:rsid w:val="4FBAF96F"/>
    <w:rsid w:val="4FC19127"/>
    <w:rsid w:val="4FC2C894"/>
    <w:rsid w:val="4FC79684"/>
    <w:rsid w:val="4FCB6470"/>
    <w:rsid w:val="4FD2B7F3"/>
    <w:rsid w:val="4FE4D993"/>
    <w:rsid w:val="4FE54BCB"/>
    <w:rsid w:val="4FE5B929"/>
    <w:rsid w:val="4FF0AF82"/>
    <w:rsid w:val="50026521"/>
    <w:rsid w:val="5006B2D2"/>
    <w:rsid w:val="500DC59A"/>
    <w:rsid w:val="500FB303"/>
    <w:rsid w:val="501892A7"/>
    <w:rsid w:val="50355225"/>
    <w:rsid w:val="504ECDD3"/>
    <w:rsid w:val="50563EF2"/>
    <w:rsid w:val="505C4819"/>
    <w:rsid w:val="50760673"/>
    <w:rsid w:val="507C9BA8"/>
    <w:rsid w:val="5082CD5B"/>
    <w:rsid w:val="508C5C24"/>
    <w:rsid w:val="5094EC3A"/>
    <w:rsid w:val="50953D7C"/>
    <w:rsid w:val="50A41243"/>
    <w:rsid w:val="50BEADF0"/>
    <w:rsid w:val="50CD1638"/>
    <w:rsid w:val="50D4E076"/>
    <w:rsid w:val="50D6F462"/>
    <w:rsid w:val="50E36AA3"/>
    <w:rsid w:val="50E9E5EE"/>
    <w:rsid w:val="50F861B7"/>
    <w:rsid w:val="50F918F6"/>
    <w:rsid w:val="51071FBA"/>
    <w:rsid w:val="511AF925"/>
    <w:rsid w:val="512ED688"/>
    <w:rsid w:val="512F0960"/>
    <w:rsid w:val="513525A3"/>
    <w:rsid w:val="51366D71"/>
    <w:rsid w:val="5137A211"/>
    <w:rsid w:val="513C2C4F"/>
    <w:rsid w:val="513D19AB"/>
    <w:rsid w:val="5145137B"/>
    <w:rsid w:val="5151F4E0"/>
    <w:rsid w:val="51656F8C"/>
    <w:rsid w:val="516635E3"/>
    <w:rsid w:val="518B45EF"/>
    <w:rsid w:val="51996563"/>
    <w:rsid w:val="51A27045"/>
    <w:rsid w:val="51AB8E9F"/>
    <w:rsid w:val="51B395AA"/>
    <w:rsid w:val="51B3E9A7"/>
    <w:rsid w:val="51B50BAE"/>
    <w:rsid w:val="51B69C94"/>
    <w:rsid w:val="51B76E82"/>
    <w:rsid w:val="51BD6F55"/>
    <w:rsid w:val="51BDEBE5"/>
    <w:rsid w:val="51CF0101"/>
    <w:rsid w:val="51D66977"/>
    <w:rsid w:val="51D6D320"/>
    <w:rsid w:val="51E782E1"/>
    <w:rsid w:val="51EEB454"/>
    <w:rsid w:val="51F32229"/>
    <w:rsid w:val="51F8444E"/>
    <w:rsid w:val="520399CA"/>
    <w:rsid w:val="5207AC40"/>
    <w:rsid w:val="520A8F3A"/>
    <w:rsid w:val="520A9483"/>
    <w:rsid w:val="520F968A"/>
    <w:rsid w:val="5211B59C"/>
    <w:rsid w:val="521859BA"/>
    <w:rsid w:val="5218A631"/>
    <w:rsid w:val="52253256"/>
    <w:rsid w:val="522F2A4C"/>
    <w:rsid w:val="5233E962"/>
    <w:rsid w:val="523BCC74"/>
    <w:rsid w:val="5242FAA1"/>
    <w:rsid w:val="524ABAA5"/>
    <w:rsid w:val="526343CC"/>
    <w:rsid w:val="526375EE"/>
    <w:rsid w:val="527E669E"/>
    <w:rsid w:val="5283AE35"/>
    <w:rsid w:val="5284E00C"/>
    <w:rsid w:val="528636C7"/>
    <w:rsid w:val="52932DAB"/>
    <w:rsid w:val="529AD873"/>
    <w:rsid w:val="529E0EF2"/>
    <w:rsid w:val="52AEB5E1"/>
    <w:rsid w:val="52B3C321"/>
    <w:rsid w:val="52BF78E4"/>
    <w:rsid w:val="52D3C5AD"/>
    <w:rsid w:val="52D9C729"/>
    <w:rsid w:val="52DA5740"/>
    <w:rsid w:val="52DC55AF"/>
    <w:rsid w:val="52E71E05"/>
    <w:rsid w:val="53006411"/>
    <w:rsid w:val="5300BE88"/>
    <w:rsid w:val="53039F59"/>
    <w:rsid w:val="530AA991"/>
    <w:rsid w:val="531F16F2"/>
    <w:rsid w:val="532029D4"/>
    <w:rsid w:val="5334AF42"/>
    <w:rsid w:val="53391838"/>
    <w:rsid w:val="533B3B60"/>
    <w:rsid w:val="53404FD2"/>
    <w:rsid w:val="534952AB"/>
    <w:rsid w:val="536D3954"/>
    <w:rsid w:val="537E0204"/>
    <w:rsid w:val="538720A3"/>
    <w:rsid w:val="538EA02F"/>
    <w:rsid w:val="5394BA3C"/>
    <w:rsid w:val="5396AA17"/>
    <w:rsid w:val="5399650A"/>
    <w:rsid w:val="53C0702A"/>
    <w:rsid w:val="53C5B17E"/>
    <w:rsid w:val="53D43CAA"/>
    <w:rsid w:val="53D618F0"/>
    <w:rsid w:val="53D72058"/>
    <w:rsid w:val="53EA9D70"/>
    <w:rsid w:val="53EDDB98"/>
    <w:rsid w:val="53F09DA1"/>
    <w:rsid w:val="53FA15C2"/>
    <w:rsid w:val="53FF7284"/>
    <w:rsid w:val="541AF479"/>
    <w:rsid w:val="5427C668"/>
    <w:rsid w:val="5427EF59"/>
    <w:rsid w:val="542A8068"/>
    <w:rsid w:val="542BB157"/>
    <w:rsid w:val="542FDD3D"/>
    <w:rsid w:val="5430BAAA"/>
    <w:rsid w:val="543CAC4D"/>
    <w:rsid w:val="5441658B"/>
    <w:rsid w:val="54445C00"/>
    <w:rsid w:val="5448162A"/>
    <w:rsid w:val="54495C4F"/>
    <w:rsid w:val="544BB0FE"/>
    <w:rsid w:val="54504D5A"/>
    <w:rsid w:val="546437B0"/>
    <w:rsid w:val="54699130"/>
    <w:rsid w:val="54830549"/>
    <w:rsid w:val="548EBE2A"/>
    <w:rsid w:val="549EE97C"/>
    <w:rsid w:val="549F6053"/>
    <w:rsid w:val="54A52FEE"/>
    <w:rsid w:val="54A62E8E"/>
    <w:rsid w:val="54A7FF24"/>
    <w:rsid w:val="54B14CAC"/>
    <w:rsid w:val="54B56068"/>
    <w:rsid w:val="54B9469A"/>
    <w:rsid w:val="54C52DA9"/>
    <w:rsid w:val="54C7BE0F"/>
    <w:rsid w:val="54CB8B02"/>
    <w:rsid w:val="54CFBD6F"/>
    <w:rsid w:val="54DBA6B4"/>
    <w:rsid w:val="54EBE033"/>
    <w:rsid w:val="54ECFA88"/>
    <w:rsid w:val="54EFEAA9"/>
    <w:rsid w:val="553182FC"/>
    <w:rsid w:val="55431D14"/>
    <w:rsid w:val="55551A8F"/>
    <w:rsid w:val="55597F21"/>
    <w:rsid w:val="555A7966"/>
    <w:rsid w:val="555C922D"/>
    <w:rsid w:val="555FB3F4"/>
    <w:rsid w:val="556454DB"/>
    <w:rsid w:val="55648FC1"/>
    <w:rsid w:val="556DA785"/>
    <w:rsid w:val="556ED68A"/>
    <w:rsid w:val="5581B93F"/>
    <w:rsid w:val="55A2949F"/>
    <w:rsid w:val="55A4816F"/>
    <w:rsid w:val="55B00054"/>
    <w:rsid w:val="55B367BF"/>
    <w:rsid w:val="55BE85A1"/>
    <w:rsid w:val="55BFA107"/>
    <w:rsid w:val="55C91320"/>
    <w:rsid w:val="55D40900"/>
    <w:rsid w:val="55E2475C"/>
    <w:rsid w:val="55E8B553"/>
    <w:rsid w:val="55EAA727"/>
    <w:rsid w:val="55EBDBBF"/>
    <w:rsid w:val="55F60D26"/>
    <w:rsid w:val="55F9F116"/>
    <w:rsid w:val="560B2120"/>
    <w:rsid w:val="560D4E27"/>
    <w:rsid w:val="56188B6F"/>
    <w:rsid w:val="561C6547"/>
    <w:rsid w:val="562062A4"/>
    <w:rsid w:val="5624D5FC"/>
    <w:rsid w:val="563CE68B"/>
    <w:rsid w:val="5646AC77"/>
    <w:rsid w:val="564787D3"/>
    <w:rsid w:val="564B46E3"/>
    <w:rsid w:val="564CF361"/>
    <w:rsid w:val="5652C81A"/>
    <w:rsid w:val="5656B283"/>
    <w:rsid w:val="5656BCBD"/>
    <w:rsid w:val="5658A060"/>
    <w:rsid w:val="5658BD28"/>
    <w:rsid w:val="566B4C72"/>
    <w:rsid w:val="566E995C"/>
    <w:rsid w:val="566F64AF"/>
    <w:rsid w:val="56813607"/>
    <w:rsid w:val="568CA1D1"/>
    <w:rsid w:val="56937314"/>
    <w:rsid w:val="569C39F4"/>
    <w:rsid w:val="56A37DE6"/>
    <w:rsid w:val="56A5C4CE"/>
    <w:rsid w:val="56A5CD90"/>
    <w:rsid w:val="56B1E8AF"/>
    <w:rsid w:val="56B941BB"/>
    <w:rsid w:val="56C2FB50"/>
    <w:rsid w:val="56C47A8D"/>
    <w:rsid w:val="56CA23DD"/>
    <w:rsid w:val="56D7E935"/>
    <w:rsid w:val="56E06E34"/>
    <w:rsid w:val="56F04BF1"/>
    <w:rsid w:val="56F3A9E5"/>
    <w:rsid w:val="56F80AC6"/>
    <w:rsid w:val="57074A18"/>
    <w:rsid w:val="570DF9D8"/>
    <w:rsid w:val="572D762C"/>
    <w:rsid w:val="5744C1A5"/>
    <w:rsid w:val="57489B85"/>
    <w:rsid w:val="5754D7E2"/>
    <w:rsid w:val="5757D56A"/>
    <w:rsid w:val="57670FD6"/>
    <w:rsid w:val="576C7939"/>
    <w:rsid w:val="577BF0D4"/>
    <w:rsid w:val="577D7D0E"/>
    <w:rsid w:val="57907C4D"/>
    <w:rsid w:val="579C231F"/>
    <w:rsid w:val="579C6517"/>
    <w:rsid w:val="57B5CE43"/>
    <w:rsid w:val="57B9258C"/>
    <w:rsid w:val="57D1F882"/>
    <w:rsid w:val="57D6DB58"/>
    <w:rsid w:val="57D79A5E"/>
    <w:rsid w:val="57FE624E"/>
    <w:rsid w:val="58035C40"/>
    <w:rsid w:val="580E1693"/>
    <w:rsid w:val="581AA415"/>
    <w:rsid w:val="5823099A"/>
    <w:rsid w:val="5827EE12"/>
    <w:rsid w:val="582A2D4D"/>
    <w:rsid w:val="582F1631"/>
    <w:rsid w:val="583685D7"/>
    <w:rsid w:val="583C80BD"/>
    <w:rsid w:val="585AD223"/>
    <w:rsid w:val="58654941"/>
    <w:rsid w:val="5875B421"/>
    <w:rsid w:val="58761A9F"/>
    <w:rsid w:val="587964CC"/>
    <w:rsid w:val="58850F7C"/>
    <w:rsid w:val="588A419D"/>
    <w:rsid w:val="589E5C51"/>
    <w:rsid w:val="589EB63F"/>
    <w:rsid w:val="58A5C066"/>
    <w:rsid w:val="58B309DB"/>
    <w:rsid w:val="58B8A5F7"/>
    <w:rsid w:val="58C089ED"/>
    <w:rsid w:val="58CDB716"/>
    <w:rsid w:val="58CF9690"/>
    <w:rsid w:val="58E6DDA5"/>
    <w:rsid w:val="58E6F43B"/>
    <w:rsid w:val="58F1726F"/>
    <w:rsid w:val="59087567"/>
    <w:rsid w:val="590C8CCA"/>
    <w:rsid w:val="59157744"/>
    <w:rsid w:val="5915EDC6"/>
    <w:rsid w:val="592E0D46"/>
    <w:rsid w:val="593265DE"/>
    <w:rsid w:val="593EA1D9"/>
    <w:rsid w:val="59406E2E"/>
    <w:rsid w:val="5942CD2E"/>
    <w:rsid w:val="5950C81C"/>
    <w:rsid w:val="5968A86D"/>
    <w:rsid w:val="596B3A42"/>
    <w:rsid w:val="596CC578"/>
    <w:rsid w:val="596F9770"/>
    <w:rsid w:val="59762068"/>
    <w:rsid w:val="597D1EEF"/>
    <w:rsid w:val="5984A618"/>
    <w:rsid w:val="598FEBA3"/>
    <w:rsid w:val="599501E6"/>
    <w:rsid w:val="599F5E1E"/>
    <w:rsid w:val="59A9E6DB"/>
    <w:rsid w:val="59B4BE00"/>
    <w:rsid w:val="59B7D18E"/>
    <w:rsid w:val="59BF6AEE"/>
    <w:rsid w:val="59C10D86"/>
    <w:rsid w:val="59DED6C5"/>
    <w:rsid w:val="59EA3CCE"/>
    <w:rsid w:val="59EC8E84"/>
    <w:rsid w:val="59EEC3E8"/>
    <w:rsid w:val="59F8DD1F"/>
    <w:rsid w:val="5A13C853"/>
    <w:rsid w:val="5A178B04"/>
    <w:rsid w:val="5A1F2009"/>
    <w:rsid w:val="5A2A3D89"/>
    <w:rsid w:val="5A3F0BD2"/>
    <w:rsid w:val="5A421F0B"/>
    <w:rsid w:val="5A433ABD"/>
    <w:rsid w:val="5A5B7599"/>
    <w:rsid w:val="5A60AB65"/>
    <w:rsid w:val="5A67B9BB"/>
    <w:rsid w:val="5A6D27EF"/>
    <w:rsid w:val="5A77FFAE"/>
    <w:rsid w:val="5A780572"/>
    <w:rsid w:val="5A791D3E"/>
    <w:rsid w:val="5A7952CF"/>
    <w:rsid w:val="5A934768"/>
    <w:rsid w:val="5A95B761"/>
    <w:rsid w:val="5AA173BE"/>
    <w:rsid w:val="5AA370BA"/>
    <w:rsid w:val="5AAC0E33"/>
    <w:rsid w:val="5AC37ED6"/>
    <w:rsid w:val="5AD5962F"/>
    <w:rsid w:val="5AD6B182"/>
    <w:rsid w:val="5AF1B1F1"/>
    <w:rsid w:val="5AF2C0D1"/>
    <w:rsid w:val="5AF66573"/>
    <w:rsid w:val="5AFAFF49"/>
    <w:rsid w:val="5B00BC1F"/>
    <w:rsid w:val="5B0466E0"/>
    <w:rsid w:val="5B087E5D"/>
    <w:rsid w:val="5B11F947"/>
    <w:rsid w:val="5B128EA1"/>
    <w:rsid w:val="5B1EADB0"/>
    <w:rsid w:val="5B32B99D"/>
    <w:rsid w:val="5B38647C"/>
    <w:rsid w:val="5B3999F4"/>
    <w:rsid w:val="5B47FBEC"/>
    <w:rsid w:val="5B511696"/>
    <w:rsid w:val="5B52D05D"/>
    <w:rsid w:val="5B54FD6D"/>
    <w:rsid w:val="5B55AE97"/>
    <w:rsid w:val="5B596CDB"/>
    <w:rsid w:val="5B5F4E5A"/>
    <w:rsid w:val="5B650FA8"/>
    <w:rsid w:val="5B6683BA"/>
    <w:rsid w:val="5B880D4A"/>
    <w:rsid w:val="5B8C36AD"/>
    <w:rsid w:val="5B989E6E"/>
    <w:rsid w:val="5B9E7774"/>
    <w:rsid w:val="5BC4D8BE"/>
    <w:rsid w:val="5BCF10A0"/>
    <w:rsid w:val="5BD0243B"/>
    <w:rsid w:val="5BD8A7BA"/>
    <w:rsid w:val="5BDC894E"/>
    <w:rsid w:val="5BE39A77"/>
    <w:rsid w:val="5BEB60B4"/>
    <w:rsid w:val="5BEFA22C"/>
    <w:rsid w:val="5BEFC10A"/>
    <w:rsid w:val="5C0C8FAA"/>
    <w:rsid w:val="5C0FAB25"/>
    <w:rsid w:val="5C1018CC"/>
    <w:rsid w:val="5C16EF0F"/>
    <w:rsid w:val="5C17632E"/>
    <w:rsid w:val="5C24C631"/>
    <w:rsid w:val="5C334A1A"/>
    <w:rsid w:val="5C3725F4"/>
    <w:rsid w:val="5C3AB0B0"/>
    <w:rsid w:val="5C3F03C8"/>
    <w:rsid w:val="5C3F7ADF"/>
    <w:rsid w:val="5C405FF1"/>
    <w:rsid w:val="5C420A2B"/>
    <w:rsid w:val="5C46E51C"/>
    <w:rsid w:val="5C488C6F"/>
    <w:rsid w:val="5C55F5E4"/>
    <w:rsid w:val="5C5AD212"/>
    <w:rsid w:val="5C5CC018"/>
    <w:rsid w:val="5C6E9AE5"/>
    <w:rsid w:val="5C758E8C"/>
    <w:rsid w:val="5C75D238"/>
    <w:rsid w:val="5C7EE82B"/>
    <w:rsid w:val="5C90D4BF"/>
    <w:rsid w:val="5C97F5F2"/>
    <w:rsid w:val="5C98DA86"/>
    <w:rsid w:val="5C9E55BC"/>
    <w:rsid w:val="5CA135F2"/>
    <w:rsid w:val="5CB4D935"/>
    <w:rsid w:val="5CC977DE"/>
    <w:rsid w:val="5CD33CB7"/>
    <w:rsid w:val="5CE2189B"/>
    <w:rsid w:val="5CE721F3"/>
    <w:rsid w:val="5CE72C12"/>
    <w:rsid w:val="5CF22C09"/>
    <w:rsid w:val="5CF6F734"/>
    <w:rsid w:val="5CFB0E3D"/>
    <w:rsid w:val="5D0227BF"/>
    <w:rsid w:val="5D13B4ED"/>
    <w:rsid w:val="5D2348D4"/>
    <w:rsid w:val="5D25C0B9"/>
    <w:rsid w:val="5D271CDD"/>
    <w:rsid w:val="5D2C2251"/>
    <w:rsid w:val="5D2DFE8D"/>
    <w:rsid w:val="5D348E16"/>
    <w:rsid w:val="5D366BA5"/>
    <w:rsid w:val="5D37DE08"/>
    <w:rsid w:val="5D40F81A"/>
    <w:rsid w:val="5D53E7C7"/>
    <w:rsid w:val="5D5551CA"/>
    <w:rsid w:val="5D55F28B"/>
    <w:rsid w:val="5D63CEF3"/>
    <w:rsid w:val="5D73779E"/>
    <w:rsid w:val="5D7EE15C"/>
    <w:rsid w:val="5D837291"/>
    <w:rsid w:val="5D9619AB"/>
    <w:rsid w:val="5D9B15EB"/>
    <w:rsid w:val="5D9ED47C"/>
    <w:rsid w:val="5DB5430F"/>
    <w:rsid w:val="5DBB9EDE"/>
    <w:rsid w:val="5DC54B44"/>
    <w:rsid w:val="5DCE2C97"/>
    <w:rsid w:val="5DDBD81D"/>
    <w:rsid w:val="5DE34899"/>
    <w:rsid w:val="5DEF4A2C"/>
    <w:rsid w:val="5DF019D0"/>
    <w:rsid w:val="5DF8E2CA"/>
    <w:rsid w:val="5E053448"/>
    <w:rsid w:val="5E102300"/>
    <w:rsid w:val="5E129180"/>
    <w:rsid w:val="5E16A8D7"/>
    <w:rsid w:val="5E1972C6"/>
    <w:rsid w:val="5E20B82E"/>
    <w:rsid w:val="5E31E841"/>
    <w:rsid w:val="5E342316"/>
    <w:rsid w:val="5E3E1798"/>
    <w:rsid w:val="5E45036D"/>
    <w:rsid w:val="5E5213FA"/>
    <w:rsid w:val="5E58CF18"/>
    <w:rsid w:val="5E5A8553"/>
    <w:rsid w:val="5E5C3446"/>
    <w:rsid w:val="5E6D4F7B"/>
    <w:rsid w:val="5E96E31A"/>
    <w:rsid w:val="5E9733C6"/>
    <w:rsid w:val="5EBBC723"/>
    <w:rsid w:val="5EBECD5B"/>
    <w:rsid w:val="5EBF4EDD"/>
    <w:rsid w:val="5EC23D0E"/>
    <w:rsid w:val="5EC7B9C1"/>
    <w:rsid w:val="5ECAA3C9"/>
    <w:rsid w:val="5ED8206A"/>
    <w:rsid w:val="5EDD7DC4"/>
    <w:rsid w:val="5EEBB700"/>
    <w:rsid w:val="5EF2923E"/>
    <w:rsid w:val="5EF40FCC"/>
    <w:rsid w:val="5F0075B1"/>
    <w:rsid w:val="5F00A204"/>
    <w:rsid w:val="5F0233E4"/>
    <w:rsid w:val="5F089E0E"/>
    <w:rsid w:val="5F1664B8"/>
    <w:rsid w:val="5F188115"/>
    <w:rsid w:val="5F29AFA6"/>
    <w:rsid w:val="5F2EDB6D"/>
    <w:rsid w:val="5F39C304"/>
    <w:rsid w:val="5F3A3A8B"/>
    <w:rsid w:val="5F439AB8"/>
    <w:rsid w:val="5F47EC8F"/>
    <w:rsid w:val="5F4FDB65"/>
    <w:rsid w:val="5F59A0DE"/>
    <w:rsid w:val="5F5FB498"/>
    <w:rsid w:val="5F60B8E9"/>
    <w:rsid w:val="5F62C92E"/>
    <w:rsid w:val="5F651CCE"/>
    <w:rsid w:val="5F736B89"/>
    <w:rsid w:val="5FB9FBB9"/>
    <w:rsid w:val="5FBDB56E"/>
    <w:rsid w:val="5FCE5B50"/>
    <w:rsid w:val="5FD02C5A"/>
    <w:rsid w:val="5FD3500F"/>
    <w:rsid w:val="5FD497FD"/>
    <w:rsid w:val="5FEB6A81"/>
    <w:rsid w:val="5FEEBE74"/>
    <w:rsid w:val="5FF389CD"/>
    <w:rsid w:val="5FF63A70"/>
    <w:rsid w:val="6003C4F4"/>
    <w:rsid w:val="6003DC47"/>
    <w:rsid w:val="60042AC1"/>
    <w:rsid w:val="6004769E"/>
    <w:rsid w:val="6014B388"/>
    <w:rsid w:val="601A7DC7"/>
    <w:rsid w:val="602285B1"/>
    <w:rsid w:val="60338F8F"/>
    <w:rsid w:val="604C425C"/>
    <w:rsid w:val="604CA24E"/>
    <w:rsid w:val="604DD5EC"/>
    <w:rsid w:val="6060D955"/>
    <w:rsid w:val="6060F96E"/>
    <w:rsid w:val="6075CDD7"/>
    <w:rsid w:val="60769764"/>
    <w:rsid w:val="60840CCB"/>
    <w:rsid w:val="609517F9"/>
    <w:rsid w:val="609971F3"/>
    <w:rsid w:val="609E99B1"/>
    <w:rsid w:val="60A81B16"/>
    <w:rsid w:val="60AB33CF"/>
    <w:rsid w:val="60BFB262"/>
    <w:rsid w:val="60C319C4"/>
    <w:rsid w:val="60DD96A1"/>
    <w:rsid w:val="60F5F6E3"/>
    <w:rsid w:val="610049EC"/>
    <w:rsid w:val="610A7C3A"/>
    <w:rsid w:val="611E56E9"/>
    <w:rsid w:val="611E6D6B"/>
    <w:rsid w:val="61309819"/>
    <w:rsid w:val="6137AC5E"/>
    <w:rsid w:val="6146BF14"/>
    <w:rsid w:val="6148842E"/>
    <w:rsid w:val="615191A2"/>
    <w:rsid w:val="615585D6"/>
    <w:rsid w:val="6158F991"/>
    <w:rsid w:val="61621BEA"/>
    <w:rsid w:val="6163D306"/>
    <w:rsid w:val="61685B49"/>
    <w:rsid w:val="6178D04C"/>
    <w:rsid w:val="619CC876"/>
    <w:rsid w:val="61AE33A7"/>
    <w:rsid w:val="61B1FD41"/>
    <w:rsid w:val="61B77E9B"/>
    <w:rsid w:val="61BD8262"/>
    <w:rsid w:val="61C914A9"/>
    <w:rsid w:val="61CC01A1"/>
    <w:rsid w:val="61D4DC14"/>
    <w:rsid w:val="61DDDAF4"/>
    <w:rsid w:val="61F7D69C"/>
    <w:rsid w:val="61FFF005"/>
    <w:rsid w:val="62048F05"/>
    <w:rsid w:val="620619D6"/>
    <w:rsid w:val="6223DB0A"/>
    <w:rsid w:val="62302C64"/>
    <w:rsid w:val="6230D8B5"/>
    <w:rsid w:val="62745010"/>
    <w:rsid w:val="6278193B"/>
    <w:rsid w:val="62856CF7"/>
    <w:rsid w:val="628EE740"/>
    <w:rsid w:val="629CF328"/>
    <w:rsid w:val="62B583B7"/>
    <w:rsid w:val="62BA6183"/>
    <w:rsid w:val="62C38D3E"/>
    <w:rsid w:val="62D38A70"/>
    <w:rsid w:val="62D3E565"/>
    <w:rsid w:val="62EA562E"/>
    <w:rsid w:val="62EEED31"/>
    <w:rsid w:val="62F6D0B4"/>
    <w:rsid w:val="63081EA8"/>
    <w:rsid w:val="631435DD"/>
    <w:rsid w:val="6317DA33"/>
    <w:rsid w:val="63191BD0"/>
    <w:rsid w:val="6322E17C"/>
    <w:rsid w:val="632838D7"/>
    <w:rsid w:val="632AAEEC"/>
    <w:rsid w:val="633DF9F8"/>
    <w:rsid w:val="635F14FE"/>
    <w:rsid w:val="6364DA84"/>
    <w:rsid w:val="636637C8"/>
    <w:rsid w:val="63768BF1"/>
    <w:rsid w:val="6387C3EB"/>
    <w:rsid w:val="638D6230"/>
    <w:rsid w:val="63905F2A"/>
    <w:rsid w:val="63966BB5"/>
    <w:rsid w:val="63AE9AE2"/>
    <w:rsid w:val="63E4760F"/>
    <w:rsid w:val="63F12ED1"/>
    <w:rsid w:val="6409ACEE"/>
    <w:rsid w:val="6409E450"/>
    <w:rsid w:val="640AC9EF"/>
    <w:rsid w:val="640C2A3B"/>
    <w:rsid w:val="640EC07C"/>
    <w:rsid w:val="6414F222"/>
    <w:rsid w:val="641A372F"/>
    <w:rsid w:val="6431E20F"/>
    <w:rsid w:val="64340045"/>
    <w:rsid w:val="644C3BF8"/>
    <w:rsid w:val="64545E01"/>
    <w:rsid w:val="645DD8C9"/>
    <w:rsid w:val="6462E9B8"/>
    <w:rsid w:val="646385EC"/>
    <w:rsid w:val="646387E9"/>
    <w:rsid w:val="64709059"/>
    <w:rsid w:val="64837422"/>
    <w:rsid w:val="649E2ED4"/>
    <w:rsid w:val="64A1AFD5"/>
    <w:rsid w:val="64A629BA"/>
    <w:rsid w:val="64B042B3"/>
    <w:rsid w:val="64C53036"/>
    <w:rsid w:val="64CB4DCC"/>
    <w:rsid w:val="64CD81AC"/>
    <w:rsid w:val="64CEFD76"/>
    <w:rsid w:val="64E36400"/>
    <w:rsid w:val="64E45A4C"/>
    <w:rsid w:val="64EF1137"/>
    <w:rsid w:val="64FEACD1"/>
    <w:rsid w:val="650553F6"/>
    <w:rsid w:val="6510B6D5"/>
    <w:rsid w:val="65114D06"/>
    <w:rsid w:val="6526C169"/>
    <w:rsid w:val="652CC2BB"/>
    <w:rsid w:val="65363A2E"/>
    <w:rsid w:val="653A6389"/>
    <w:rsid w:val="653C1704"/>
    <w:rsid w:val="6540ECCD"/>
    <w:rsid w:val="65433746"/>
    <w:rsid w:val="6546C6F7"/>
    <w:rsid w:val="655031B0"/>
    <w:rsid w:val="6562AE97"/>
    <w:rsid w:val="656D03BE"/>
    <w:rsid w:val="65713E04"/>
    <w:rsid w:val="65732C7A"/>
    <w:rsid w:val="65905EB7"/>
    <w:rsid w:val="65934F19"/>
    <w:rsid w:val="6598332D"/>
    <w:rsid w:val="65BB9812"/>
    <w:rsid w:val="65BD9FCE"/>
    <w:rsid w:val="65BEE155"/>
    <w:rsid w:val="65C14157"/>
    <w:rsid w:val="65E18FCC"/>
    <w:rsid w:val="65F07043"/>
    <w:rsid w:val="65FC895D"/>
    <w:rsid w:val="66030AC9"/>
    <w:rsid w:val="660BA3F6"/>
    <w:rsid w:val="660CB555"/>
    <w:rsid w:val="662A6A57"/>
    <w:rsid w:val="662FD262"/>
    <w:rsid w:val="66311915"/>
    <w:rsid w:val="6631C7C2"/>
    <w:rsid w:val="663468DB"/>
    <w:rsid w:val="663D2E2D"/>
    <w:rsid w:val="66427987"/>
    <w:rsid w:val="66459ABC"/>
    <w:rsid w:val="66493085"/>
    <w:rsid w:val="664E2A69"/>
    <w:rsid w:val="66598229"/>
    <w:rsid w:val="665F400B"/>
    <w:rsid w:val="6665C620"/>
    <w:rsid w:val="6667EB94"/>
    <w:rsid w:val="66713DD6"/>
    <w:rsid w:val="6678CAD7"/>
    <w:rsid w:val="667DC94E"/>
    <w:rsid w:val="6681C811"/>
    <w:rsid w:val="6682C053"/>
    <w:rsid w:val="668FA352"/>
    <w:rsid w:val="6690B02C"/>
    <w:rsid w:val="6695EFF8"/>
    <w:rsid w:val="66984662"/>
    <w:rsid w:val="669A988A"/>
    <w:rsid w:val="669D5D8B"/>
    <w:rsid w:val="66A8065F"/>
    <w:rsid w:val="66A87B7C"/>
    <w:rsid w:val="66ADA591"/>
    <w:rsid w:val="66B92CFA"/>
    <w:rsid w:val="66C40D4F"/>
    <w:rsid w:val="66CC19CF"/>
    <w:rsid w:val="66CFA6ED"/>
    <w:rsid w:val="66DB4244"/>
    <w:rsid w:val="66E28823"/>
    <w:rsid w:val="66E9FE70"/>
    <w:rsid w:val="6708EAD1"/>
    <w:rsid w:val="670BF700"/>
    <w:rsid w:val="67100B47"/>
    <w:rsid w:val="671BA8AC"/>
    <w:rsid w:val="671EF797"/>
    <w:rsid w:val="672242BD"/>
    <w:rsid w:val="672A10D8"/>
    <w:rsid w:val="67354911"/>
    <w:rsid w:val="67368BAA"/>
    <w:rsid w:val="673893A2"/>
    <w:rsid w:val="673D7097"/>
    <w:rsid w:val="6745B492"/>
    <w:rsid w:val="674DE52C"/>
    <w:rsid w:val="675BA4CE"/>
    <w:rsid w:val="675EAC1B"/>
    <w:rsid w:val="676640F1"/>
    <w:rsid w:val="676BFEA7"/>
    <w:rsid w:val="6774A711"/>
    <w:rsid w:val="677FA59A"/>
    <w:rsid w:val="6782FF53"/>
    <w:rsid w:val="6783831E"/>
    <w:rsid w:val="67A0DA85"/>
    <w:rsid w:val="67A221D9"/>
    <w:rsid w:val="67B0A761"/>
    <w:rsid w:val="67B26328"/>
    <w:rsid w:val="67C14C26"/>
    <w:rsid w:val="67C3869D"/>
    <w:rsid w:val="67DBD8D1"/>
    <w:rsid w:val="67DCEC49"/>
    <w:rsid w:val="67F14BD8"/>
    <w:rsid w:val="67F201F1"/>
    <w:rsid w:val="6803529A"/>
    <w:rsid w:val="6803AC59"/>
    <w:rsid w:val="68071AEF"/>
    <w:rsid w:val="683D32F2"/>
    <w:rsid w:val="6842327B"/>
    <w:rsid w:val="68440AFD"/>
    <w:rsid w:val="6844191F"/>
    <w:rsid w:val="685A0D67"/>
    <w:rsid w:val="685EA05A"/>
    <w:rsid w:val="68612640"/>
    <w:rsid w:val="686F6B93"/>
    <w:rsid w:val="687C7FBF"/>
    <w:rsid w:val="68862E06"/>
    <w:rsid w:val="689E6698"/>
    <w:rsid w:val="68A0FEF0"/>
    <w:rsid w:val="68B4038B"/>
    <w:rsid w:val="68BC3D40"/>
    <w:rsid w:val="68BDA218"/>
    <w:rsid w:val="68D54EE6"/>
    <w:rsid w:val="68DB6610"/>
    <w:rsid w:val="68DC9964"/>
    <w:rsid w:val="68ED4625"/>
    <w:rsid w:val="69062AB5"/>
    <w:rsid w:val="69227F1B"/>
    <w:rsid w:val="6928BF5B"/>
    <w:rsid w:val="693F4F6F"/>
    <w:rsid w:val="694A28DD"/>
    <w:rsid w:val="69566E21"/>
    <w:rsid w:val="696E48C0"/>
    <w:rsid w:val="696E8AD4"/>
    <w:rsid w:val="697FA5E8"/>
    <w:rsid w:val="6989467B"/>
    <w:rsid w:val="698FD63E"/>
    <w:rsid w:val="6998A510"/>
    <w:rsid w:val="69A31594"/>
    <w:rsid w:val="69A6BBB4"/>
    <w:rsid w:val="69B2F2D5"/>
    <w:rsid w:val="69C1D7E7"/>
    <w:rsid w:val="69CB72E8"/>
    <w:rsid w:val="69D0460D"/>
    <w:rsid w:val="69D3424E"/>
    <w:rsid w:val="69D5DAD3"/>
    <w:rsid w:val="69E16531"/>
    <w:rsid w:val="69E24A9B"/>
    <w:rsid w:val="69E4D437"/>
    <w:rsid w:val="69E5BDEC"/>
    <w:rsid w:val="69F171AB"/>
    <w:rsid w:val="69FB17F6"/>
    <w:rsid w:val="6A0BE67C"/>
    <w:rsid w:val="6A0CD60C"/>
    <w:rsid w:val="6A0D5B4D"/>
    <w:rsid w:val="6A0D9AB7"/>
    <w:rsid w:val="6A12F315"/>
    <w:rsid w:val="6A22601B"/>
    <w:rsid w:val="6A252AD1"/>
    <w:rsid w:val="6A29DEE2"/>
    <w:rsid w:val="6A454AF0"/>
    <w:rsid w:val="6A4637B7"/>
    <w:rsid w:val="6A494360"/>
    <w:rsid w:val="6A53D97A"/>
    <w:rsid w:val="6A55ACC8"/>
    <w:rsid w:val="6A5BD6F3"/>
    <w:rsid w:val="6A6DC95F"/>
    <w:rsid w:val="6A70E714"/>
    <w:rsid w:val="6A7A6E13"/>
    <w:rsid w:val="6A80B7AD"/>
    <w:rsid w:val="6A8B24C0"/>
    <w:rsid w:val="6A936DDF"/>
    <w:rsid w:val="6AA64CE5"/>
    <w:rsid w:val="6AAC6345"/>
    <w:rsid w:val="6AAC92A2"/>
    <w:rsid w:val="6AD43E13"/>
    <w:rsid w:val="6AE48B30"/>
    <w:rsid w:val="6AE738B6"/>
    <w:rsid w:val="6AED5732"/>
    <w:rsid w:val="6AF198F9"/>
    <w:rsid w:val="6AF83F0B"/>
    <w:rsid w:val="6AFEA96C"/>
    <w:rsid w:val="6B0B0211"/>
    <w:rsid w:val="6B24EEA4"/>
    <w:rsid w:val="6B288938"/>
    <w:rsid w:val="6B29087C"/>
    <w:rsid w:val="6B2EFB92"/>
    <w:rsid w:val="6B32D0E9"/>
    <w:rsid w:val="6B360EEB"/>
    <w:rsid w:val="6B37B721"/>
    <w:rsid w:val="6B44954C"/>
    <w:rsid w:val="6B4A0716"/>
    <w:rsid w:val="6B52946F"/>
    <w:rsid w:val="6B5E4400"/>
    <w:rsid w:val="6B5EE656"/>
    <w:rsid w:val="6B60A2AA"/>
    <w:rsid w:val="6B6B3248"/>
    <w:rsid w:val="6B6F1FB7"/>
    <w:rsid w:val="6B70237D"/>
    <w:rsid w:val="6B8B14A2"/>
    <w:rsid w:val="6B8D1E25"/>
    <w:rsid w:val="6B9CE73F"/>
    <w:rsid w:val="6BB5B66E"/>
    <w:rsid w:val="6BC44C60"/>
    <w:rsid w:val="6BCF299A"/>
    <w:rsid w:val="6BD3B050"/>
    <w:rsid w:val="6BD7809E"/>
    <w:rsid w:val="6BD8F551"/>
    <w:rsid w:val="6BDE5205"/>
    <w:rsid w:val="6BE88F66"/>
    <w:rsid w:val="6BE9C798"/>
    <w:rsid w:val="6BF0012A"/>
    <w:rsid w:val="6BFCA78E"/>
    <w:rsid w:val="6C07A69A"/>
    <w:rsid w:val="6C08356C"/>
    <w:rsid w:val="6C100E60"/>
    <w:rsid w:val="6C1FE505"/>
    <w:rsid w:val="6C20EE69"/>
    <w:rsid w:val="6C29DD77"/>
    <w:rsid w:val="6C3902E9"/>
    <w:rsid w:val="6C39C0DD"/>
    <w:rsid w:val="6C3EAF05"/>
    <w:rsid w:val="6C4697B8"/>
    <w:rsid w:val="6C54E807"/>
    <w:rsid w:val="6C745355"/>
    <w:rsid w:val="6C74C139"/>
    <w:rsid w:val="6C774CE3"/>
    <w:rsid w:val="6C83ABD1"/>
    <w:rsid w:val="6C939803"/>
    <w:rsid w:val="6C9FC5F0"/>
    <w:rsid w:val="6CA2ED5E"/>
    <w:rsid w:val="6CADD762"/>
    <w:rsid w:val="6CB397C6"/>
    <w:rsid w:val="6CC599A8"/>
    <w:rsid w:val="6CCAC150"/>
    <w:rsid w:val="6CCBF760"/>
    <w:rsid w:val="6CCE6544"/>
    <w:rsid w:val="6CD83CE1"/>
    <w:rsid w:val="6CEE94AF"/>
    <w:rsid w:val="6CF3F2E1"/>
    <w:rsid w:val="6CFD9BFF"/>
    <w:rsid w:val="6D03E521"/>
    <w:rsid w:val="6D07E1E4"/>
    <w:rsid w:val="6D10A34C"/>
    <w:rsid w:val="6D129C4B"/>
    <w:rsid w:val="6D141BDB"/>
    <w:rsid w:val="6D233A83"/>
    <w:rsid w:val="6D2FFB38"/>
    <w:rsid w:val="6D32CA89"/>
    <w:rsid w:val="6D3E8281"/>
    <w:rsid w:val="6D41A2A5"/>
    <w:rsid w:val="6D462989"/>
    <w:rsid w:val="6D65E39D"/>
    <w:rsid w:val="6D6E7E5B"/>
    <w:rsid w:val="6D718BC7"/>
    <w:rsid w:val="6D770E49"/>
    <w:rsid w:val="6D7E855C"/>
    <w:rsid w:val="6D8F7B32"/>
    <w:rsid w:val="6D9193F2"/>
    <w:rsid w:val="6D92A1F4"/>
    <w:rsid w:val="6D956510"/>
    <w:rsid w:val="6D984FEA"/>
    <w:rsid w:val="6D9D3EE3"/>
    <w:rsid w:val="6D9F455B"/>
    <w:rsid w:val="6DA740F2"/>
    <w:rsid w:val="6DAC0A36"/>
    <w:rsid w:val="6DAF9071"/>
    <w:rsid w:val="6DB20D7E"/>
    <w:rsid w:val="6DB38FD9"/>
    <w:rsid w:val="6DBB6FEC"/>
    <w:rsid w:val="6DCA36C7"/>
    <w:rsid w:val="6DCA5C1B"/>
    <w:rsid w:val="6DCF3ADA"/>
    <w:rsid w:val="6DDD613A"/>
    <w:rsid w:val="6DDF8875"/>
    <w:rsid w:val="6DE00162"/>
    <w:rsid w:val="6DEAB83E"/>
    <w:rsid w:val="6DED4BAA"/>
    <w:rsid w:val="6DEED9B0"/>
    <w:rsid w:val="6DF769D2"/>
    <w:rsid w:val="6E05E090"/>
    <w:rsid w:val="6E07167F"/>
    <w:rsid w:val="6E09DE4E"/>
    <w:rsid w:val="6E25DB2A"/>
    <w:rsid w:val="6E367EC5"/>
    <w:rsid w:val="6E3F0288"/>
    <w:rsid w:val="6E3F6BAA"/>
    <w:rsid w:val="6E469A6D"/>
    <w:rsid w:val="6E4C9105"/>
    <w:rsid w:val="6E4CA30F"/>
    <w:rsid w:val="6E589EAD"/>
    <w:rsid w:val="6E5B8450"/>
    <w:rsid w:val="6E61636A"/>
    <w:rsid w:val="6E731144"/>
    <w:rsid w:val="6E79AC73"/>
    <w:rsid w:val="6E7CBC26"/>
    <w:rsid w:val="6E81055F"/>
    <w:rsid w:val="6E83D656"/>
    <w:rsid w:val="6E8FE7FB"/>
    <w:rsid w:val="6E9EF19E"/>
    <w:rsid w:val="6EA66131"/>
    <w:rsid w:val="6EAA5297"/>
    <w:rsid w:val="6EAD113A"/>
    <w:rsid w:val="6EAD47F1"/>
    <w:rsid w:val="6EB5A415"/>
    <w:rsid w:val="6EB5C2D1"/>
    <w:rsid w:val="6EE3E5CA"/>
    <w:rsid w:val="6EF3A1A7"/>
    <w:rsid w:val="6F00F0AD"/>
    <w:rsid w:val="6F0FF896"/>
    <w:rsid w:val="6F1151BE"/>
    <w:rsid w:val="6F11B4B2"/>
    <w:rsid w:val="6F1E28F0"/>
    <w:rsid w:val="6F2A8B28"/>
    <w:rsid w:val="6F3E867B"/>
    <w:rsid w:val="6F4AE95E"/>
    <w:rsid w:val="6F57CC74"/>
    <w:rsid w:val="6F6F5609"/>
    <w:rsid w:val="6F765184"/>
    <w:rsid w:val="6F7E9675"/>
    <w:rsid w:val="6F826F89"/>
    <w:rsid w:val="6F865498"/>
    <w:rsid w:val="6F8FA2E3"/>
    <w:rsid w:val="6F935601"/>
    <w:rsid w:val="6F94C047"/>
    <w:rsid w:val="6F9E89E5"/>
    <w:rsid w:val="6FA8AE18"/>
    <w:rsid w:val="6FC2A78B"/>
    <w:rsid w:val="6FCEEA5F"/>
    <w:rsid w:val="6FCF3CE1"/>
    <w:rsid w:val="6FE38647"/>
    <w:rsid w:val="6FE7848E"/>
    <w:rsid w:val="6FE9E8FD"/>
    <w:rsid w:val="6FEAD9F7"/>
    <w:rsid w:val="700C7196"/>
    <w:rsid w:val="70236177"/>
    <w:rsid w:val="702A701A"/>
    <w:rsid w:val="702BECDF"/>
    <w:rsid w:val="70328DDB"/>
    <w:rsid w:val="7077AE6E"/>
    <w:rsid w:val="7088F28C"/>
    <w:rsid w:val="708B9DB9"/>
    <w:rsid w:val="708F22BD"/>
    <w:rsid w:val="7097601A"/>
    <w:rsid w:val="709A8090"/>
    <w:rsid w:val="70ADDB6A"/>
    <w:rsid w:val="70BD5458"/>
    <w:rsid w:val="70D39FFA"/>
    <w:rsid w:val="70F0B407"/>
    <w:rsid w:val="70F12708"/>
    <w:rsid w:val="70F15CE9"/>
    <w:rsid w:val="70F9749A"/>
    <w:rsid w:val="7100A2CF"/>
    <w:rsid w:val="71147835"/>
    <w:rsid w:val="71171895"/>
    <w:rsid w:val="711D6763"/>
    <w:rsid w:val="711FEC41"/>
    <w:rsid w:val="71201A2C"/>
    <w:rsid w:val="712B3ADB"/>
    <w:rsid w:val="7134E24A"/>
    <w:rsid w:val="7137A18A"/>
    <w:rsid w:val="7137F76A"/>
    <w:rsid w:val="713AAD51"/>
    <w:rsid w:val="713D6011"/>
    <w:rsid w:val="7142BB81"/>
    <w:rsid w:val="7145A20E"/>
    <w:rsid w:val="714CA8D6"/>
    <w:rsid w:val="715480A8"/>
    <w:rsid w:val="715A5049"/>
    <w:rsid w:val="715BB76E"/>
    <w:rsid w:val="7162AB53"/>
    <w:rsid w:val="71687B73"/>
    <w:rsid w:val="716DD03A"/>
    <w:rsid w:val="716F57E1"/>
    <w:rsid w:val="718D84C1"/>
    <w:rsid w:val="7194EBAA"/>
    <w:rsid w:val="71A13325"/>
    <w:rsid w:val="71A2332D"/>
    <w:rsid w:val="71B044CD"/>
    <w:rsid w:val="71B3005B"/>
    <w:rsid w:val="71BAD418"/>
    <w:rsid w:val="71F49094"/>
    <w:rsid w:val="71FADB5D"/>
    <w:rsid w:val="71FB02DA"/>
    <w:rsid w:val="720FEB20"/>
    <w:rsid w:val="7220B52B"/>
    <w:rsid w:val="7226E810"/>
    <w:rsid w:val="722888A8"/>
    <w:rsid w:val="7233A7E0"/>
    <w:rsid w:val="723DB40D"/>
    <w:rsid w:val="7241DE0C"/>
    <w:rsid w:val="724F5265"/>
    <w:rsid w:val="72565AF0"/>
    <w:rsid w:val="7256DDC3"/>
    <w:rsid w:val="725D8AAD"/>
    <w:rsid w:val="72654D7C"/>
    <w:rsid w:val="726B69C4"/>
    <w:rsid w:val="726BEC71"/>
    <w:rsid w:val="7273BD16"/>
    <w:rsid w:val="728549D6"/>
    <w:rsid w:val="7287B367"/>
    <w:rsid w:val="728C170B"/>
    <w:rsid w:val="7292ACF9"/>
    <w:rsid w:val="7296C13C"/>
    <w:rsid w:val="729D5C58"/>
    <w:rsid w:val="729D80CF"/>
    <w:rsid w:val="729E30E5"/>
    <w:rsid w:val="72AF1999"/>
    <w:rsid w:val="72B30840"/>
    <w:rsid w:val="72B73949"/>
    <w:rsid w:val="72BAB123"/>
    <w:rsid w:val="72BC8412"/>
    <w:rsid w:val="72C15A47"/>
    <w:rsid w:val="72C7B6D3"/>
    <w:rsid w:val="72C95345"/>
    <w:rsid w:val="72F01135"/>
    <w:rsid w:val="72F0C83B"/>
    <w:rsid w:val="72FA695B"/>
    <w:rsid w:val="72FDD4DC"/>
    <w:rsid w:val="7307C918"/>
    <w:rsid w:val="730E02EE"/>
    <w:rsid w:val="73312A14"/>
    <w:rsid w:val="7347B3B2"/>
    <w:rsid w:val="734D2FED"/>
    <w:rsid w:val="7353BE83"/>
    <w:rsid w:val="7371B2F8"/>
    <w:rsid w:val="73778848"/>
    <w:rsid w:val="737CEAD8"/>
    <w:rsid w:val="7385E47B"/>
    <w:rsid w:val="738D3948"/>
    <w:rsid w:val="739D0AFD"/>
    <w:rsid w:val="73AD1A1C"/>
    <w:rsid w:val="73CACF39"/>
    <w:rsid w:val="73D4B17D"/>
    <w:rsid w:val="73D5A386"/>
    <w:rsid w:val="73DBC8EB"/>
    <w:rsid w:val="73DC4490"/>
    <w:rsid w:val="73E507D8"/>
    <w:rsid w:val="73E6C8F8"/>
    <w:rsid w:val="73F0C6BD"/>
    <w:rsid w:val="73F88589"/>
    <w:rsid w:val="74140802"/>
    <w:rsid w:val="7421B2C2"/>
    <w:rsid w:val="74363B1F"/>
    <w:rsid w:val="74384BD6"/>
    <w:rsid w:val="7439B87F"/>
    <w:rsid w:val="743E1123"/>
    <w:rsid w:val="7440AE3E"/>
    <w:rsid w:val="7442AA48"/>
    <w:rsid w:val="74448FB0"/>
    <w:rsid w:val="744B8D3A"/>
    <w:rsid w:val="744BBBAF"/>
    <w:rsid w:val="74537035"/>
    <w:rsid w:val="745AE782"/>
    <w:rsid w:val="7468EAFF"/>
    <w:rsid w:val="746EC48F"/>
    <w:rsid w:val="747AF75F"/>
    <w:rsid w:val="747BFB4C"/>
    <w:rsid w:val="748A21E3"/>
    <w:rsid w:val="749A47DE"/>
    <w:rsid w:val="74A35442"/>
    <w:rsid w:val="74B21CDD"/>
    <w:rsid w:val="74B89889"/>
    <w:rsid w:val="74BF28EF"/>
    <w:rsid w:val="74E0E001"/>
    <w:rsid w:val="74FAF5EB"/>
    <w:rsid w:val="75018DA4"/>
    <w:rsid w:val="7505B37E"/>
    <w:rsid w:val="75096B93"/>
    <w:rsid w:val="750A436F"/>
    <w:rsid w:val="7510F571"/>
    <w:rsid w:val="7514A696"/>
    <w:rsid w:val="75184FB6"/>
    <w:rsid w:val="75223278"/>
    <w:rsid w:val="752A7D72"/>
    <w:rsid w:val="752CA8EC"/>
    <w:rsid w:val="7531C3F3"/>
    <w:rsid w:val="7534FF90"/>
    <w:rsid w:val="7537EC97"/>
    <w:rsid w:val="7550E3E3"/>
    <w:rsid w:val="75592EDE"/>
    <w:rsid w:val="7560A14E"/>
    <w:rsid w:val="756A2AC0"/>
    <w:rsid w:val="756FB89C"/>
    <w:rsid w:val="7573E111"/>
    <w:rsid w:val="75807E92"/>
    <w:rsid w:val="758C484E"/>
    <w:rsid w:val="7592FDF6"/>
    <w:rsid w:val="7596DCA7"/>
    <w:rsid w:val="75B294D5"/>
    <w:rsid w:val="75BD4F71"/>
    <w:rsid w:val="75C584F4"/>
    <w:rsid w:val="75CECBEB"/>
    <w:rsid w:val="75D6BC93"/>
    <w:rsid w:val="75E25F17"/>
    <w:rsid w:val="75E82CDA"/>
    <w:rsid w:val="75E90B06"/>
    <w:rsid w:val="76051388"/>
    <w:rsid w:val="76195429"/>
    <w:rsid w:val="7629A1F9"/>
    <w:rsid w:val="7631ECC8"/>
    <w:rsid w:val="76333F9D"/>
    <w:rsid w:val="7638AF24"/>
    <w:rsid w:val="7638C10A"/>
    <w:rsid w:val="7638EA5F"/>
    <w:rsid w:val="764F86F9"/>
    <w:rsid w:val="765004BB"/>
    <w:rsid w:val="76541A93"/>
    <w:rsid w:val="76553DB3"/>
    <w:rsid w:val="7661F3A1"/>
    <w:rsid w:val="766C7F28"/>
    <w:rsid w:val="7681B759"/>
    <w:rsid w:val="76837D38"/>
    <w:rsid w:val="768CAF48"/>
    <w:rsid w:val="7693CD16"/>
    <w:rsid w:val="769BA717"/>
    <w:rsid w:val="76A296D1"/>
    <w:rsid w:val="76A4E8E7"/>
    <w:rsid w:val="76C38779"/>
    <w:rsid w:val="76C746F9"/>
    <w:rsid w:val="76C7C7B1"/>
    <w:rsid w:val="76C9201D"/>
    <w:rsid w:val="76D133BB"/>
    <w:rsid w:val="76F68690"/>
    <w:rsid w:val="770314ED"/>
    <w:rsid w:val="77037761"/>
    <w:rsid w:val="7713C40A"/>
    <w:rsid w:val="77210879"/>
    <w:rsid w:val="77290926"/>
    <w:rsid w:val="7729C4F2"/>
    <w:rsid w:val="7733A469"/>
    <w:rsid w:val="77357922"/>
    <w:rsid w:val="7745F452"/>
    <w:rsid w:val="774A41CA"/>
    <w:rsid w:val="774C365B"/>
    <w:rsid w:val="775EE8AE"/>
    <w:rsid w:val="776208C2"/>
    <w:rsid w:val="777553DD"/>
    <w:rsid w:val="777A35A9"/>
    <w:rsid w:val="778E74F7"/>
    <w:rsid w:val="77989C23"/>
    <w:rsid w:val="77A03932"/>
    <w:rsid w:val="77A822B1"/>
    <w:rsid w:val="77B0DD92"/>
    <w:rsid w:val="77BD78F0"/>
    <w:rsid w:val="77C0429B"/>
    <w:rsid w:val="77C7556B"/>
    <w:rsid w:val="77CD73C7"/>
    <w:rsid w:val="77CE47DA"/>
    <w:rsid w:val="77D7A504"/>
    <w:rsid w:val="77DB11A7"/>
    <w:rsid w:val="77F51B4A"/>
    <w:rsid w:val="77FC1A53"/>
    <w:rsid w:val="77FE0C8F"/>
    <w:rsid w:val="78072550"/>
    <w:rsid w:val="780DE136"/>
    <w:rsid w:val="780F45B9"/>
    <w:rsid w:val="781552A4"/>
    <w:rsid w:val="781E6EDA"/>
    <w:rsid w:val="782A36C6"/>
    <w:rsid w:val="782EE460"/>
    <w:rsid w:val="7839A837"/>
    <w:rsid w:val="7845743D"/>
    <w:rsid w:val="78472BF1"/>
    <w:rsid w:val="784EA08A"/>
    <w:rsid w:val="785B7AA8"/>
    <w:rsid w:val="78671C73"/>
    <w:rsid w:val="786BAF08"/>
    <w:rsid w:val="786C55E3"/>
    <w:rsid w:val="787095F6"/>
    <w:rsid w:val="7876A329"/>
    <w:rsid w:val="787D5E30"/>
    <w:rsid w:val="7884F756"/>
    <w:rsid w:val="78867398"/>
    <w:rsid w:val="788A9387"/>
    <w:rsid w:val="789480A2"/>
    <w:rsid w:val="789516AA"/>
    <w:rsid w:val="789AC689"/>
    <w:rsid w:val="78B14CB6"/>
    <w:rsid w:val="78B6F712"/>
    <w:rsid w:val="78B8ADFB"/>
    <w:rsid w:val="78BF8382"/>
    <w:rsid w:val="78C8122B"/>
    <w:rsid w:val="78D1B8EA"/>
    <w:rsid w:val="78D4064F"/>
    <w:rsid w:val="78DE3FBF"/>
    <w:rsid w:val="78E1F85A"/>
    <w:rsid w:val="78ED256E"/>
    <w:rsid w:val="78EEDA24"/>
    <w:rsid w:val="78F75D33"/>
    <w:rsid w:val="78F7FB46"/>
    <w:rsid w:val="78FA48F5"/>
    <w:rsid w:val="791399E1"/>
    <w:rsid w:val="791D2923"/>
    <w:rsid w:val="792B0BCF"/>
    <w:rsid w:val="792DB0E1"/>
    <w:rsid w:val="792EC678"/>
    <w:rsid w:val="793C6BDE"/>
    <w:rsid w:val="7944940A"/>
    <w:rsid w:val="7949B696"/>
    <w:rsid w:val="794A0F24"/>
    <w:rsid w:val="7951C9BC"/>
    <w:rsid w:val="7953C3B2"/>
    <w:rsid w:val="797DD9E8"/>
    <w:rsid w:val="7997D63C"/>
    <w:rsid w:val="79A48512"/>
    <w:rsid w:val="79A6A5A8"/>
    <w:rsid w:val="79AAAA59"/>
    <w:rsid w:val="79C21CE0"/>
    <w:rsid w:val="79E819FA"/>
    <w:rsid w:val="79E8EF47"/>
    <w:rsid w:val="79F23F62"/>
    <w:rsid w:val="79F6242F"/>
    <w:rsid w:val="7A063F0F"/>
    <w:rsid w:val="7A1BF6A4"/>
    <w:rsid w:val="7A1D5BD3"/>
    <w:rsid w:val="7A2D9A5D"/>
    <w:rsid w:val="7A3B25AC"/>
    <w:rsid w:val="7A3C9172"/>
    <w:rsid w:val="7A529B45"/>
    <w:rsid w:val="7A555577"/>
    <w:rsid w:val="7A57731A"/>
    <w:rsid w:val="7A6207BF"/>
    <w:rsid w:val="7A8CAFEB"/>
    <w:rsid w:val="7A977B35"/>
    <w:rsid w:val="7AC0B4A2"/>
    <w:rsid w:val="7AD88C0B"/>
    <w:rsid w:val="7ADBF4F1"/>
    <w:rsid w:val="7AE175F2"/>
    <w:rsid w:val="7AE9EB4E"/>
    <w:rsid w:val="7B0A063C"/>
    <w:rsid w:val="7B0EDE7D"/>
    <w:rsid w:val="7B0EEE19"/>
    <w:rsid w:val="7B17D633"/>
    <w:rsid w:val="7B183008"/>
    <w:rsid w:val="7B1A8478"/>
    <w:rsid w:val="7B29D48C"/>
    <w:rsid w:val="7B46487B"/>
    <w:rsid w:val="7B537496"/>
    <w:rsid w:val="7B57E0CD"/>
    <w:rsid w:val="7B64A706"/>
    <w:rsid w:val="7B7C40D0"/>
    <w:rsid w:val="7B93BD34"/>
    <w:rsid w:val="7B96F123"/>
    <w:rsid w:val="7B972148"/>
    <w:rsid w:val="7B9FB542"/>
    <w:rsid w:val="7BA726AB"/>
    <w:rsid w:val="7BAAABB3"/>
    <w:rsid w:val="7BB3835D"/>
    <w:rsid w:val="7BC3172B"/>
    <w:rsid w:val="7BC9A664"/>
    <w:rsid w:val="7BCC6E2A"/>
    <w:rsid w:val="7BD337CF"/>
    <w:rsid w:val="7BEDD840"/>
    <w:rsid w:val="7BEE21D6"/>
    <w:rsid w:val="7BEFA12B"/>
    <w:rsid w:val="7BF3A8D6"/>
    <w:rsid w:val="7BF6581E"/>
    <w:rsid w:val="7BFCEA5B"/>
    <w:rsid w:val="7C03CC32"/>
    <w:rsid w:val="7C1A0839"/>
    <w:rsid w:val="7C2F3ABA"/>
    <w:rsid w:val="7C362A8C"/>
    <w:rsid w:val="7C4402FF"/>
    <w:rsid w:val="7C5822C8"/>
    <w:rsid w:val="7C5BA22E"/>
    <w:rsid w:val="7C5EC23E"/>
    <w:rsid w:val="7C60C3CC"/>
    <w:rsid w:val="7C644731"/>
    <w:rsid w:val="7C682A94"/>
    <w:rsid w:val="7C6F7223"/>
    <w:rsid w:val="7C753E8A"/>
    <w:rsid w:val="7C78B46A"/>
    <w:rsid w:val="7C7A591B"/>
    <w:rsid w:val="7C8091B3"/>
    <w:rsid w:val="7C9BC2AD"/>
    <w:rsid w:val="7C9C9EBA"/>
    <w:rsid w:val="7CA1FD86"/>
    <w:rsid w:val="7CA2E9DF"/>
    <w:rsid w:val="7CA6CB6D"/>
    <w:rsid w:val="7CAA92C0"/>
    <w:rsid w:val="7CB67286"/>
    <w:rsid w:val="7CBDCBE1"/>
    <w:rsid w:val="7CCC755A"/>
    <w:rsid w:val="7CD410BA"/>
    <w:rsid w:val="7CDFA0C2"/>
    <w:rsid w:val="7CFA792C"/>
    <w:rsid w:val="7D0085F8"/>
    <w:rsid w:val="7D065CB0"/>
    <w:rsid w:val="7D08E355"/>
    <w:rsid w:val="7D10A83D"/>
    <w:rsid w:val="7D115157"/>
    <w:rsid w:val="7D1ED940"/>
    <w:rsid w:val="7D21FF4E"/>
    <w:rsid w:val="7D258AF5"/>
    <w:rsid w:val="7D26F7AC"/>
    <w:rsid w:val="7D28673F"/>
    <w:rsid w:val="7D3DA195"/>
    <w:rsid w:val="7D4C9A3B"/>
    <w:rsid w:val="7D637A51"/>
    <w:rsid w:val="7D659504"/>
    <w:rsid w:val="7D6FE193"/>
    <w:rsid w:val="7D77D6FE"/>
    <w:rsid w:val="7D80CB6F"/>
    <w:rsid w:val="7D90554D"/>
    <w:rsid w:val="7D99AA61"/>
    <w:rsid w:val="7DB0B56D"/>
    <w:rsid w:val="7DC87903"/>
    <w:rsid w:val="7DCACA7D"/>
    <w:rsid w:val="7DCDA865"/>
    <w:rsid w:val="7DD9A7F6"/>
    <w:rsid w:val="7DE74BB7"/>
    <w:rsid w:val="7DE80EF7"/>
    <w:rsid w:val="7DF3A7FC"/>
    <w:rsid w:val="7DF90D43"/>
    <w:rsid w:val="7DFCE817"/>
    <w:rsid w:val="7E0451F1"/>
    <w:rsid w:val="7E099B0A"/>
    <w:rsid w:val="7E0C9474"/>
    <w:rsid w:val="7E1003DB"/>
    <w:rsid w:val="7E2364AA"/>
    <w:rsid w:val="7E24378A"/>
    <w:rsid w:val="7E2D4479"/>
    <w:rsid w:val="7E512426"/>
    <w:rsid w:val="7E7213EC"/>
    <w:rsid w:val="7E89E827"/>
    <w:rsid w:val="7EACC8BE"/>
    <w:rsid w:val="7EBC1966"/>
    <w:rsid w:val="7EBFDF79"/>
    <w:rsid w:val="7EC18C53"/>
    <w:rsid w:val="7ED97A59"/>
    <w:rsid w:val="7EE6775A"/>
    <w:rsid w:val="7EE92C91"/>
    <w:rsid w:val="7EEB363C"/>
    <w:rsid w:val="7EFDB3E5"/>
    <w:rsid w:val="7F0C26D2"/>
    <w:rsid w:val="7F18865E"/>
    <w:rsid w:val="7F1FD1D6"/>
    <w:rsid w:val="7F212C88"/>
    <w:rsid w:val="7F2362AD"/>
    <w:rsid w:val="7F3A0C2D"/>
    <w:rsid w:val="7F4BF86F"/>
    <w:rsid w:val="7F53DE8A"/>
    <w:rsid w:val="7F5D0592"/>
    <w:rsid w:val="7F65B5E1"/>
    <w:rsid w:val="7F660562"/>
    <w:rsid w:val="7F682276"/>
    <w:rsid w:val="7F76329F"/>
    <w:rsid w:val="7F766A5D"/>
    <w:rsid w:val="7F78ACC9"/>
    <w:rsid w:val="7F87176D"/>
    <w:rsid w:val="7F926A6A"/>
    <w:rsid w:val="7F9C869C"/>
    <w:rsid w:val="7FAFA4BC"/>
    <w:rsid w:val="7FB2B5EC"/>
    <w:rsid w:val="7FB94E3C"/>
    <w:rsid w:val="7FBD6C38"/>
    <w:rsid w:val="7FC65163"/>
    <w:rsid w:val="7FC8B556"/>
    <w:rsid w:val="7FC90144"/>
    <w:rsid w:val="7FC998D8"/>
    <w:rsid w:val="7FCA907B"/>
    <w:rsid w:val="7FCC9AC9"/>
    <w:rsid w:val="7FD3D1B3"/>
    <w:rsid w:val="7FD5CBE7"/>
    <w:rsid w:val="7FDAF060"/>
    <w:rsid w:val="7FDB774B"/>
    <w:rsid w:val="7FE0027D"/>
    <w:rsid w:val="7FE7C7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B19DF"/>
  <w15:docId w15:val="{050101C7-40CB-48B6-A663-E6AC4010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lsdException w:name="heading 7" w:semiHidden="1" w:uiPriority="9" w:unhideWhenUsed="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5" w:unhideWhenUsed="1"/>
    <w:lsdException w:name="toc 5" w:semiHidden="1" w:uiPriority="5" w:unhideWhenUsed="1"/>
    <w:lsdException w:name="toc 6" w:semiHidden="1" w:uiPriority="5" w:unhideWhenUsed="1"/>
    <w:lsdException w:name="toc 7" w:semiHidden="1" w:uiPriority="5" w:unhideWhenUsed="1"/>
    <w:lsdException w:name="toc 8" w:semiHidden="1" w:uiPriority="5" w:unhideWhenUsed="1"/>
    <w:lsdException w:name="toc 9" w:semiHidden="1" w:uiPriority="5" w:unhideWhenUsed="1"/>
    <w:lsdException w:name="Normal Indent" w:semiHidden="1" w:unhideWhenUsed="1"/>
    <w:lsdException w:name="footnote text" w:semiHidden="1" w:unhideWhenUsed="1"/>
    <w:lsdException w:name="annotation text" w:semiHidden="1"/>
    <w:lsdException w:name="header" w:uiPriority="7"/>
    <w:lsdException w:name="index heading" w:semiHidden="1" w:unhideWhenUsed="1"/>
    <w:lsdException w:name="caption" w:semiHidden="1" w:uiPriority="12"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uiPriority="3"/>
    <w:lsdException w:name="List Bullet 4" w:semiHidden="1"/>
    <w:lsdException w:name="List Bullet 5" w:semiHidden="1"/>
    <w:lsdException w:name="List Number 2" w:uiPriority="9"/>
    <w:lsdException w:name="List Number 3" w:uiPriority="9"/>
    <w:lsdException w:name="List Number 4" w:semiHidden="1" w:uiPriority="9"/>
    <w:lsdException w:name="List Number 5" w:semiHidden="1" w:uiPriority="9"/>
    <w:lsdException w:name="Title" w:semiHidden="1" w:qFormat="1"/>
    <w:lsdException w:name="Closing" w:semiHidden="1"/>
    <w:lsdException w:name="Signature" w:semiHidden="1" w:unhideWhenUsed="1"/>
    <w:lsdException w:name="Default Paragraph Font" w:semiHidden="1" w:uiPriority="1" w:unhideWhenUsed="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nhideWhenUsed="1"/>
    <w:lsdException w:name="Strong" w:semiHidden="1" w:uiPriority="22" w:qFormat="1"/>
    <w:lsdException w:name="Emphasis" w:semiHidden="1"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D4338E"/>
    <w:pPr>
      <w:spacing w:before="60" w:after="60" w:line="240" w:lineRule="auto"/>
    </w:pPr>
    <w:rPr>
      <w:rFonts w:ascii="CG Times (W1)" w:hAnsi="CG Times (W1)"/>
      <w:color w:val="000000" w:themeColor="text1"/>
      <w:sz w:val="20"/>
    </w:rPr>
  </w:style>
  <w:style w:type="paragraph" w:styleId="Heading1">
    <w:name w:val="heading 1"/>
    <w:basedOn w:val="Heading1TOCNoShow"/>
    <w:next w:val="BodyText"/>
    <w:link w:val="Heading1Char"/>
    <w:uiPriority w:val="2"/>
    <w:qFormat/>
    <w:rsid w:val="00E00381"/>
    <w:pPr>
      <w:keepNext/>
      <w:keepLines/>
      <w:numPr>
        <w:ilvl w:val="0"/>
        <w:numId w:val="7"/>
      </w:numPr>
      <w:outlineLvl w:val="0"/>
    </w:pPr>
    <w:rPr>
      <w:rFonts w:ascii="KPMG Bold" w:hAnsi="KPMG Bold"/>
    </w:rPr>
  </w:style>
  <w:style w:type="paragraph" w:styleId="Heading2">
    <w:name w:val="heading 2"/>
    <w:basedOn w:val="Heading3"/>
    <w:next w:val="BodyText"/>
    <w:link w:val="Heading2Char"/>
    <w:uiPriority w:val="2"/>
    <w:qFormat/>
    <w:rsid w:val="00F81ADB"/>
    <w:pPr>
      <w:numPr>
        <w:ilvl w:val="1"/>
      </w:numPr>
      <w:outlineLvl w:val="1"/>
    </w:pPr>
    <w:rPr>
      <w:rFonts w:asciiTheme="minorHAnsi" w:hAnsiTheme="minorHAnsi"/>
      <w:color w:val="1E49E2" w:themeColor="accent1"/>
      <w:sz w:val="28"/>
    </w:rPr>
  </w:style>
  <w:style w:type="paragraph" w:styleId="Heading3">
    <w:name w:val="heading 3"/>
    <w:next w:val="BodyText"/>
    <w:link w:val="Heading3Char"/>
    <w:uiPriority w:val="2"/>
    <w:qFormat/>
    <w:rsid w:val="00777AD7"/>
    <w:pPr>
      <w:keepNext/>
      <w:keepLines/>
      <w:numPr>
        <w:ilvl w:val="2"/>
        <w:numId w:val="7"/>
      </w:numPr>
      <w:spacing w:before="200" w:after="120" w:line="240" w:lineRule="auto"/>
      <w:outlineLvl w:val="2"/>
    </w:pPr>
    <w:rPr>
      <w:rFonts w:ascii="CG Times (W1)" w:eastAsiaTheme="majorEastAsia" w:hAnsi="CG Times (W1)" w:cstheme="majorBidi"/>
      <w:b/>
      <w:color w:val="0E2370" w:themeColor="accent1" w:themeShade="7F"/>
      <w:sz w:val="24"/>
      <w:szCs w:val="24"/>
    </w:rPr>
  </w:style>
  <w:style w:type="paragraph" w:styleId="Heading4">
    <w:name w:val="heading 4"/>
    <w:next w:val="BodyText"/>
    <w:link w:val="Heading4Char"/>
    <w:uiPriority w:val="2"/>
    <w:qFormat/>
    <w:rsid w:val="009365AE"/>
    <w:pPr>
      <w:keepNext/>
      <w:keepLines/>
      <w:numPr>
        <w:ilvl w:val="3"/>
        <w:numId w:val="7"/>
      </w:numPr>
      <w:tabs>
        <w:tab w:val="num" w:pos="340"/>
      </w:tabs>
      <w:spacing w:before="120" w:after="0" w:line="240" w:lineRule="auto"/>
      <w:outlineLvl w:val="3"/>
    </w:pPr>
    <w:rPr>
      <w:rFonts w:ascii="CG Times (W1)" w:eastAsiaTheme="majorEastAsia" w:hAnsi="CG Times (W1)" w:cstheme="majorBidi"/>
      <w:iCs/>
      <w:color w:val="1E49E2" w:themeColor="accent1"/>
      <w:sz w:val="24"/>
    </w:rPr>
  </w:style>
  <w:style w:type="paragraph" w:styleId="Heading5">
    <w:name w:val="heading 5"/>
    <w:next w:val="BodyText"/>
    <w:link w:val="Heading5Char"/>
    <w:uiPriority w:val="2"/>
    <w:qFormat/>
    <w:rsid w:val="008D4CD0"/>
    <w:pPr>
      <w:keepNext/>
      <w:keepLines/>
      <w:numPr>
        <w:ilvl w:val="4"/>
        <w:numId w:val="7"/>
      </w:numPr>
      <w:tabs>
        <w:tab w:val="num" w:pos="340"/>
      </w:tabs>
      <w:spacing w:before="120" w:after="0" w:line="240" w:lineRule="auto"/>
      <w:outlineLvl w:val="4"/>
    </w:pPr>
    <w:rPr>
      <w:rFonts w:ascii="CG Times (W1)" w:eastAsiaTheme="majorEastAsia" w:hAnsi="CG Times (W1)" w:cstheme="majorBidi"/>
      <w:b/>
      <w:color w:val="000000" w:themeColor="text1"/>
      <w:sz w:val="20"/>
    </w:rPr>
  </w:style>
  <w:style w:type="paragraph" w:styleId="Heading6">
    <w:name w:val="heading 6"/>
    <w:next w:val="BodyText"/>
    <w:link w:val="Heading6Char"/>
    <w:uiPriority w:val="99"/>
    <w:semiHidden/>
    <w:rsid w:val="00C5628A"/>
    <w:pPr>
      <w:keepNext/>
      <w:keepLines/>
      <w:numPr>
        <w:ilvl w:val="5"/>
        <w:numId w:val="7"/>
      </w:numPr>
      <w:tabs>
        <w:tab w:val="num" w:pos="340"/>
      </w:tabs>
      <w:spacing w:before="40" w:after="0"/>
      <w:outlineLvl w:val="5"/>
    </w:pPr>
    <w:rPr>
      <w:rFonts w:asciiTheme="majorHAnsi" w:eastAsiaTheme="majorEastAsia" w:hAnsiTheme="majorHAnsi" w:cstheme="majorBidi"/>
      <w:color w:val="0E2370" w:themeColor="accent1" w:themeShade="7F"/>
      <w:sz w:val="20"/>
    </w:rPr>
  </w:style>
  <w:style w:type="paragraph" w:styleId="Heading7">
    <w:name w:val="heading 7"/>
    <w:next w:val="BodyText"/>
    <w:link w:val="Heading7Char"/>
    <w:uiPriority w:val="99"/>
    <w:semiHidden/>
    <w:qFormat/>
    <w:rsid w:val="00C5628A"/>
    <w:pPr>
      <w:keepNext/>
      <w:keepLines/>
      <w:numPr>
        <w:ilvl w:val="6"/>
        <w:numId w:val="7"/>
      </w:numPr>
      <w:tabs>
        <w:tab w:val="num" w:pos="340"/>
      </w:tabs>
      <w:spacing w:before="40" w:after="0"/>
      <w:outlineLvl w:val="6"/>
    </w:pPr>
    <w:rPr>
      <w:rFonts w:asciiTheme="majorHAnsi" w:eastAsiaTheme="majorEastAsia" w:hAnsiTheme="majorHAnsi" w:cstheme="majorBidi"/>
      <w:i/>
      <w:iCs/>
      <w:color w:val="0E2370" w:themeColor="accent1" w:themeShade="7F"/>
      <w:sz w:val="20"/>
    </w:rPr>
  </w:style>
  <w:style w:type="paragraph" w:styleId="Heading8">
    <w:name w:val="heading 8"/>
    <w:basedOn w:val="Normal"/>
    <w:next w:val="Normal"/>
    <w:link w:val="Heading8Char"/>
    <w:uiPriority w:val="99"/>
    <w:semiHidden/>
    <w:qFormat/>
    <w:rsid w:val="00C3054E"/>
    <w:pPr>
      <w:keepNext/>
      <w:keepLines/>
      <w:numPr>
        <w:ilvl w:val="7"/>
        <w:numId w:val="7"/>
      </w:numPr>
      <w:tabs>
        <w:tab w:val="num" w:pos="34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C3054E"/>
    <w:pPr>
      <w:keepNext/>
      <w:keepLines/>
      <w:numPr>
        <w:ilvl w:val="8"/>
        <w:numId w:val="7"/>
      </w:numPr>
      <w:tabs>
        <w:tab w:val="num" w:pos="34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1069D"/>
    <w:pPr>
      <w:spacing w:after="120" w:line="240" w:lineRule="auto"/>
    </w:pPr>
    <w:rPr>
      <w:rFonts w:ascii="CG Times (W1)" w:hAnsi="CG Times (W1)"/>
      <w:color w:val="000000" w:themeColor="text1"/>
      <w:sz w:val="20"/>
    </w:rPr>
  </w:style>
  <w:style w:type="character" w:customStyle="1" w:styleId="BodyTextChar">
    <w:name w:val="Body Text Char"/>
    <w:basedOn w:val="DefaultParagraphFont"/>
    <w:link w:val="BodyText"/>
    <w:rsid w:val="00B1069D"/>
    <w:rPr>
      <w:rFonts w:ascii="CG Times (W1)" w:hAnsi="CG Times (W1)"/>
      <w:color w:val="000000" w:themeColor="text1"/>
      <w:sz w:val="20"/>
    </w:rPr>
  </w:style>
  <w:style w:type="paragraph" w:styleId="ListBullet">
    <w:name w:val="List Bullet"/>
    <w:uiPriority w:val="99"/>
    <w:semiHidden/>
    <w:rsid w:val="009A1577"/>
    <w:pPr>
      <w:spacing w:before="60" w:after="60" w:line="240" w:lineRule="auto"/>
    </w:pPr>
    <w:rPr>
      <w:rFonts w:ascii="CG Times (W1)" w:hAnsi="CG Times (W1)"/>
      <w:color w:val="000000" w:themeColor="text1"/>
      <w:sz w:val="20"/>
    </w:rPr>
  </w:style>
  <w:style w:type="paragraph" w:styleId="ListBullet2">
    <w:name w:val="List Bullet 2"/>
    <w:uiPriority w:val="99"/>
    <w:semiHidden/>
    <w:rsid w:val="009A1577"/>
    <w:pPr>
      <w:spacing w:before="60" w:after="60" w:line="240" w:lineRule="auto"/>
    </w:pPr>
    <w:rPr>
      <w:rFonts w:ascii="CG Times (W1)" w:hAnsi="CG Times (W1)"/>
      <w:color w:val="000000" w:themeColor="text1"/>
      <w:sz w:val="20"/>
    </w:rPr>
  </w:style>
  <w:style w:type="paragraph" w:styleId="ListBullet3">
    <w:name w:val="List Bullet 3"/>
    <w:uiPriority w:val="99"/>
    <w:semiHidden/>
    <w:rsid w:val="009A1577"/>
    <w:pPr>
      <w:spacing w:before="60" w:after="60" w:line="240" w:lineRule="auto"/>
    </w:pPr>
    <w:rPr>
      <w:rFonts w:ascii="CG Times (W1)" w:hAnsi="CG Times (W1)"/>
      <w:color w:val="000000" w:themeColor="text1"/>
      <w:sz w:val="20"/>
    </w:rPr>
  </w:style>
  <w:style w:type="character" w:customStyle="1" w:styleId="Heading1Char">
    <w:name w:val="Heading 1 Char"/>
    <w:basedOn w:val="DefaultParagraphFont"/>
    <w:link w:val="Heading1"/>
    <w:uiPriority w:val="2"/>
    <w:rsid w:val="00FB2B90"/>
    <w:rPr>
      <w:rFonts w:ascii="KPMG Bold" w:eastAsiaTheme="majorEastAsia" w:hAnsi="KPMG Bold" w:cstheme="majorBidi"/>
      <w:color w:val="00338D" w:themeColor="text2"/>
      <w:sz w:val="96"/>
      <w:szCs w:val="32"/>
    </w:rPr>
  </w:style>
  <w:style w:type="character" w:customStyle="1" w:styleId="Heading2Char">
    <w:name w:val="Heading 2 Char"/>
    <w:basedOn w:val="DefaultParagraphFont"/>
    <w:link w:val="Heading2"/>
    <w:uiPriority w:val="2"/>
    <w:rsid w:val="000F4442"/>
    <w:rPr>
      <w:rFonts w:eastAsiaTheme="majorEastAsia" w:cstheme="majorBidi"/>
      <w:b/>
      <w:color w:val="1E49E2" w:themeColor="accent1"/>
      <w:sz w:val="28"/>
      <w:szCs w:val="24"/>
    </w:rPr>
  </w:style>
  <w:style w:type="character" w:customStyle="1" w:styleId="Heading3Char">
    <w:name w:val="Heading 3 Char"/>
    <w:basedOn w:val="DefaultParagraphFont"/>
    <w:link w:val="Heading3"/>
    <w:uiPriority w:val="2"/>
    <w:rsid w:val="00A64495"/>
    <w:rPr>
      <w:rFonts w:ascii="CG Times (W1)" w:eastAsiaTheme="majorEastAsia" w:hAnsi="CG Times (W1)" w:cstheme="majorBidi"/>
      <w:b/>
      <w:color w:val="0E2370" w:themeColor="accent1" w:themeShade="7F"/>
      <w:sz w:val="24"/>
      <w:szCs w:val="24"/>
    </w:rPr>
  </w:style>
  <w:style w:type="character" w:customStyle="1" w:styleId="Heading4Char">
    <w:name w:val="Heading 4 Char"/>
    <w:basedOn w:val="DefaultParagraphFont"/>
    <w:link w:val="Heading4"/>
    <w:uiPriority w:val="2"/>
    <w:rsid w:val="009B7B9D"/>
    <w:rPr>
      <w:rFonts w:ascii="CG Times (W1)" w:eastAsiaTheme="majorEastAsia" w:hAnsi="CG Times (W1)" w:cstheme="majorBidi"/>
      <w:iCs/>
      <w:color w:val="1E49E2" w:themeColor="accent1"/>
      <w:sz w:val="24"/>
    </w:rPr>
  </w:style>
  <w:style w:type="character" w:customStyle="1" w:styleId="Heading5Char">
    <w:name w:val="Heading 5 Char"/>
    <w:basedOn w:val="DefaultParagraphFont"/>
    <w:link w:val="Heading5"/>
    <w:uiPriority w:val="2"/>
    <w:rsid w:val="008D4CD0"/>
    <w:rPr>
      <w:rFonts w:ascii="CG Times (W1)" w:eastAsiaTheme="majorEastAsia" w:hAnsi="CG Times (W1)" w:cstheme="majorBidi"/>
      <w:b/>
      <w:color w:val="000000" w:themeColor="text1"/>
      <w:sz w:val="20"/>
    </w:rPr>
  </w:style>
  <w:style w:type="character" w:customStyle="1" w:styleId="Heading6Char">
    <w:name w:val="Heading 6 Char"/>
    <w:basedOn w:val="DefaultParagraphFont"/>
    <w:link w:val="Heading6"/>
    <w:uiPriority w:val="99"/>
    <w:semiHidden/>
    <w:rsid w:val="00DE7371"/>
    <w:rPr>
      <w:rFonts w:asciiTheme="majorHAnsi" w:eastAsiaTheme="majorEastAsia" w:hAnsiTheme="majorHAnsi" w:cstheme="majorBidi"/>
      <w:color w:val="0E2370" w:themeColor="accent1" w:themeShade="7F"/>
      <w:sz w:val="20"/>
    </w:rPr>
  </w:style>
  <w:style w:type="character" w:customStyle="1" w:styleId="Heading7Char">
    <w:name w:val="Heading 7 Char"/>
    <w:basedOn w:val="DefaultParagraphFont"/>
    <w:link w:val="Heading7"/>
    <w:uiPriority w:val="99"/>
    <w:semiHidden/>
    <w:rsid w:val="00DE7371"/>
    <w:rPr>
      <w:rFonts w:asciiTheme="majorHAnsi" w:eastAsiaTheme="majorEastAsia" w:hAnsiTheme="majorHAnsi" w:cstheme="majorBidi"/>
      <w:i/>
      <w:iCs/>
      <w:color w:val="0E2370" w:themeColor="accent1" w:themeShade="7F"/>
      <w:sz w:val="20"/>
    </w:rPr>
  </w:style>
  <w:style w:type="paragraph" w:customStyle="1" w:styleId="IntroText">
    <w:name w:val="Intro Text"/>
    <w:next w:val="BodyText"/>
    <w:uiPriority w:val="3"/>
    <w:qFormat/>
    <w:rsid w:val="008D4CD0"/>
    <w:pPr>
      <w:spacing w:before="320" w:after="240" w:line="240" w:lineRule="auto"/>
    </w:pPr>
    <w:rPr>
      <w:rFonts w:ascii="CG Times (W1)" w:hAnsi="CG Times (W1)"/>
      <w:color w:val="7213EA" w:themeColor="accent3"/>
      <w:sz w:val="32"/>
      <w:szCs w:val="32"/>
    </w:rPr>
  </w:style>
  <w:style w:type="paragraph" w:customStyle="1" w:styleId="CoverTitle1White">
    <w:name w:val="Cover Title 1 White"/>
    <w:basedOn w:val="BodyText"/>
    <w:next w:val="Covertitle2White"/>
    <w:uiPriority w:val="4"/>
    <w:qFormat/>
    <w:rsid w:val="00DD5430"/>
    <w:pPr>
      <w:spacing w:before="120" w:after="400" w:line="1800" w:lineRule="exact"/>
    </w:pPr>
    <w:rPr>
      <w:rFonts w:ascii="Wingdings" w:hAnsi="Wingdings"/>
      <w:color w:val="FFFFFF" w:themeColor="background1"/>
      <w:sz w:val="200"/>
      <w:szCs w:val="200"/>
    </w:rPr>
  </w:style>
  <w:style w:type="paragraph" w:customStyle="1" w:styleId="Covertitle2White">
    <w:name w:val="Cover title 2 White"/>
    <w:uiPriority w:val="4"/>
    <w:qFormat/>
    <w:rsid w:val="008D4CD0"/>
    <w:pPr>
      <w:spacing w:before="120" w:after="120" w:line="240" w:lineRule="auto"/>
    </w:pPr>
    <w:rPr>
      <w:rFonts w:ascii="CG Times (W1)" w:hAnsi="CG Times (W1)"/>
      <w:b/>
      <w:bCs/>
      <w:color w:val="FFFFFF" w:themeColor="background1"/>
      <w:sz w:val="32"/>
      <w:szCs w:val="40"/>
    </w:rPr>
  </w:style>
  <w:style w:type="paragraph" w:customStyle="1" w:styleId="CoverTitle3White">
    <w:name w:val="Cover Title 3 White"/>
    <w:uiPriority w:val="4"/>
    <w:qFormat/>
    <w:rsid w:val="008D4CD0"/>
    <w:pPr>
      <w:spacing w:before="120" w:after="120" w:line="240" w:lineRule="auto"/>
    </w:pPr>
    <w:rPr>
      <w:rFonts w:ascii="CG Times (W1)" w:hAnsi="CG Times (W1)"/>
      <w:color w:val="FFFFFF" w:themeColor="background1"/>
      <w:sz w:val="32"/>
      <w:szCs w:val="32"/>
    </w:rPr>
  </w:style>
  <w:style w:type="paragraph" w:customStyle="1" w:styleId="CoverTitle4White">
    <w:name w:val="Cover Title 4 White"/>
    <w:basedOn w:val="BodyText"/>
    <w:uiPriority w:val="4"/>
    <w:qFormat/>
    <w:rsid w:val="007C5F05"/>
    <w:rPr>
      <w:color w:val="FFFFFF" w:themeColor="background1"/>
      <w:szCs w:val="24"/>
    </w:rPr>
  </w:style>
  <w:style w:type="table" w:styleId="TableGrid">
    <w:name w:val="Table Grid"/>
    <w:aliases w:val="McLL Table General Text,Basic Table,none,CV table,NWRL Table,UDP Grid,Advisian new 5,E&amp;P Style 5,E&amp;P Table Style 4,DPS Table Grid,IHPA,Default table,Nous Table,Table,NOUS,NOUS Side Header"/>
    <w:basedOn w:val="TableNormal"/>
    <w:uiPriority w:val="39"/>
    <w:rsid w:val="00926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9261CA"/>
    <w:pPr>
      <w:spacing w:after="0" w:line="240" w:lineRule="auto"/>
    </w:pPr>
    <w:tblPr>
      <w:tblStyleRowBandSize w:val="1"/>
      <w:tblStyleColBandSize w:val="1"/>
    </w:tblPr>
    <w:tblStylePr w:type="firstRow">
      <w:rPr>
        <w:b/>
        <w:bCs/>
      </w:rPr>
      <w:tblPr/>
      <w:tcPr>
        <w:tcBorders>
          <w:bottom w:val="single" w:sz="4" w:space="0" w:color="7791ED" w:themeColor="accent1" w:themeTint="99"/>
        </w:tcBorders>
      </w:tcPr>
    </w:tblStylePr>
    <w:tblStylePr w:type="lastRow">
      <w:rPr>
        <w:b/>
        <w:bCs/>
      </w:rPr>
      <w:tblPr/>
      <w:tcPr>
        <w:tcBorders>
          <w:top w:val="single" w:sz="4" w:space="0" w:color="7791ED" w:themeColor="accent1" w:themeTint="99"/>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GridTable3-Accent1">
    <w:name w:val="Grid Table 3 Accent 1"/>
    <w:basedOn w:val="TableNormal"/>
    <w:uiPriority w:val="48"/>
    <w:rsid w:val="009261CA"/>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1" w:themeFillTint="33"/>
      </w:tcPr>
    </w:tblStylePr>
    <w:tblStylePr w:type="band1Horz">
      <w:tblPr/>
      <w:tcPr>
        <w:shd w:val="clear" w:color="auto" w:fill="D1DAF9" w:themeFill="accent1" w:themeFillTint="33"/>
      </w:tcPr>
    </w:tblStylePr>
    <w:tblStylePr w:type="neCell">
      <w:tblPr/>
      <w:tcPr>
        <w:tcBorders>
          <w:bottom w:val="single" w:sz="4" w:space="0" w:color="7791ED" w:themeColor="accent1" w:themeTint="99"/>
        </w:tcBorders>
      </w:tcPr>
    </w:tblStylePr>
    <w:tblStylePr w:type="nwCell">
      <w:tblPr/>
      <w:tcPr>
        <w:tcBorders>
          <w:bottom w:val="single" w:sz="4" w:space="0" w:color="7791ED" w:themeColor="accent1" w:themeTint="99"/>
        </w:tcBorders>
      </w:tcPr>
    </w:tblStylePr>
    <w:tblStylePr w:type="seCell">
      <w:tblPr/>
      <w:tcPr>
        <w:tcBorders>
          <w:top w:val="single" w:sz="4" w:space="0" w:color="7791ED" w:themeColor="accent1" w:themeTint="99"/>
        </w:tcBorders>
      </w:tcPr>
    </w:tblStylePr>
    <w:tblStylePr w:type="swCell">
      <w:tblPr/>
      <w:tcPr>
        <w:tcBorders>
          <w:top w:val="single" w:sz="4" w:space="0" w:color="7791ED" w:themeColor="accent1" w:themeTint="99"/>
        </w:tcBorders>
      </w:tcPr>
    </w:tblStylePr>
  </w:style>
  <w:style w:type="table" w:customStyle="1" w:styleId="KPMGTable">
    <w:name w:val="KPMG Table"/>
    <w:basedOn w:val="TableNormal"/>
    <w:uiPriority w:val="99"/>
    <w:rsid w:val="00D636CA"/>
    <w:pPr>
      <w:spacing w:after="0" w:line="240" w:lineRule="auto"/>
    </w:pPr>
    <w:rPr>
      <w:rFonts w:ascii="CG Times (W1)" w:hAnsi="CG Times (W1)"/>
      <w:sz w:val="20"/>
    </w:rPr>
    <w:tblPr>
      <w:tblBorders>
        <w:bottom w:val="single" w:sz="4" w:space="0" w:color="BFBFBF" w:themeColor="background1" w:themeShade="BF"/>
        <w:insideH w:val="single" w:sz="4" w:space="0" w:color="BFBFBF" w:themeColor="background1" w:themeShade="BF"/>
      </w:tblBorders>
    </w:tblPr>
    <w:tblStylePr w:type="firstRow">
      <w:pPr>
        <w:jc w:val="left"/>
      </w:pPr>
      <w:rPr>
        <w:rFonts w:ascii="Arial" w:hAnsi="Arial"/>
        <w:b w:val="0"/>
        <w:i w:val="0"/>
        <w:color w:val="1E49E2" w:themeColor="accent1"/>
      </w:rPr>
      <w:tblPr/>
      <w:tcPr>
        <w:tcBorders>
          <w:bottom w:val="single" w:sz="4" w:space="0" w:color="1E49E2" w:themeColor="accent1"/>
        </w:tcBorders>
        <w:shd w:val="clear" w:color="auto" w:fill="FFFFFF" w:themeFill="background1"/>
      </w:tcPr>
    </w:tblStylePr>
    <w:tblStylePr w:type="lastRow">
      <w:tblPr/>
      <w:tcPr>
        <w:tcBorders>
          <w:bottom w:val="single" w:sz="4" w:space="0" w:color="1E49E2" w:themeColor="accent1"/>
        </w:tcBorders>
      </w:tcPr>
    </w:tblStylePr>
    <w:tblStylePr w:type="firstCol">
      <w:tblPr/>
      <w:tcPr>
        <w:shd w:val="clear" w:color="auto" w:fill="F2F2F2" w:themeFill="background1" w:themeFillShade="F2"/>
      </w:tcPr>
    </w:tblStylePr>
  </w:style>
  <w:style w:type="paragraph" w:customStyle="1" w:styleId="TableHeading">
    <w:name w:val="Table Heading"/>
    <w:basedOn w:val="BodyText"/>
    <w:uiPriority w:val="6"/>
    <w:qFormat/>
    <w:rsid w:val="009261CA"/>
    <w:rPr>
      <w:b/>
      <w:color w:val="1E49E2" w:themeColor="accent1"/>
    </w:rPr>
  </w:style>
  <w:style w:type="paragraph" w:styleId="TOC1">
    <w:name w:val="toc 1"/>
    <w:basedOn w:val="Normal"/>
    <w:next w:val="Normal"/>
    <w:autoRedefine/>
    <w:uiPriority w:val="39"/>
    <w:rsid w:val="00F451CD"/>
    <w:pPr>
      <w:tabs>
        <w:tab w:val="left" w:pos="440"/>
        <w:tab w:val="right" w:leader="dot" w:pos="10204"/>
      </w:tabs>
      <w:spacing w:after="100"/>
    </w:pPr>
    <w:rPr>
      <w:b/>
    </w:rPr>
  </w:style>
  <w:style w:type="paragraph" w:styleId="Header">
    <w:name w:val="header"/>
    <w:link w:val="HeaderChar"/>
    <w:uiPriority w:val="7"/>
    <w:rsid w:val="00FD0D02"/>
    <w:pPr>
      <w:tabs>
        <w:tab w:val="center" w:pos="4513"/>
        <w:tab w:val="right" w:pos="9026"/>
      </w:tabs>
      <w:spacing w:after="60" w:line="240" w:lineRule="auto"/>
    </w:pPr>
    <w:rPr>
      <w:rFonts w:ascii="CG Times (W1)" w:hAnsi="CG Times (W1)"/>
      <w:color w:val="7F7F7F" w:themeColor="text1" w:themeTint="80"/>
      <w:sz w:val="16"/>
    </w:rPr>
  </w:style>
  <w:style w:type="character" w:customStyle="1" w:styleId="HeaderChar">
    <w:name w:val="Header Char"/>
    <w:basedOn w:val="DefaultParagraphFont"/>
    <w:link w:val="Header"/>
    <w:uiPriority w:val="7"/>
    <w:rsid w:val="00FD0D02"/>
    <w:rPr>
      <w:rFonts w:ascii="CG Times (W1)" w:hAnsi="CG Times (W1)"/>
      <w:color w:val="7F7F7F" w:themeColor="text1" w:themeTint="80"/>
      <w:sz w:val="16"/>
    </w:rPr>
  </w:style>
  <w:style w:type="paragraph" w:styleId="Footer">
    <w:name w:val="footer"/>
    <w:link w:val="FooterChar"/>
    <w:uiPriority w:val="8"/>
    <w:rsid w:val="00FD0D02"/>
    <w:pPr>
      <w:tabs>
        <w:tab w:val="center" w:pos="4513"/>
        <w:tab w:val="right" w:pos="9026"/>
      </w:tabs>
      <w:spacing w:after="60" w:line="240" w:lineRule="auto"/>
    </w:pPr>
    <w:rPr>
      <w:rFonts w:ascii="CG Times (W1)" w:hAnsi="CG Times (W1)"/>
      <w:color w:val="7F7F7F" w:themeColor="text1" w:themeTint="80"/>
      <w:sz w:val="12"/>
    </w:rPr>
  </w:style>
  <w:style w:type="character" w:customStyle="1" w:styleId="FooterChar">
    <w:name w:val="Footer Char"/>
    <w:basedOn w:val="DefaultParagraphFont"/>
    <w:link w:val="Footer"/>
    <w:uiPriority w:val="8"/>
    <w:rsid w:val="008110B5"/>
    <w:rPr>
      <w:rFonts w:ascii="CG Times (W1)" w:hAnsi="CG Times (W1)"/>
      <w:color w:val="7F7F7F" w:themeColor="text1" w:themeTint="80"/>
      <w:sz w:val="12"/>
    </w:rPr>
  </w:style>
  <w:style w:type="character" w:styleId="Hyperlink">
    <w:name w:val="Hyperlink"/>
    <w:uiPriority w:val="99"/>
    <w:rsid w:val="004A5C0B"/>
    <w:rPr>
      <w:color w:val="auto"/>
      <w:u w:val="single"/>
    </w:rPr>
  </w:style>
  <w:style w:type="paragraph" w:styleId="ListNumber">
    <w:name w:val="List Number"/>
    <w:basedOn w:val="Normal"/>
    <w:uiPriority w:val="9"/>
    <w:rsid w:val="00BD2137"/>
    <w:pPr>
      <w:numPr>
        <w:numId w:val="2"/>
      </w:numPr>
      <w:tabs>
        <w:tab w:val="num" w:pos="340"/>
      </w:tabs>
    </w:pPr>
  </w:style>
  <w:style w:type="paragraph" w:styleId="ListNumber2">
    <w:name w:val="List Number 2"/>
    <w:basedOn w:val="Normal"/>
    <w:uiPriority w:val="9"/>
    <w:rsid w:val="00BD2137"/>
    <w:pPr>
      <w:numPr>
        <w:ilvl w:val="1"/>
        <w:numId w:val="2"/>
      </w:numPr>
    </w:pPr>
  </w:style>
  <w:style w:type="paragraph" w:styleId="ListNumber3">
    <w:name w:val="List Number 3"/>
    <w:basedOn w:val="Normal"/>
    <w:uiPriority w:val="9"/>
    <w:rsid w:val="00BD2137"/>
    <w:pPr>
      <w:numPr>
        <w:ilvl w:val="2"/>
        <w:numId w:val="2"/>
      </w:numPr>
    </w:pPr>
  </w:style>
  <w:style w:type="numbering" w:customStyle="1" w:styleId="Bullets">
    <w:name w:val="Bullets"/>
    <w:uiPriority w:val="99"/>
    <w:rsid w:val="000B471F"/>
    <w:pPr>
      <w:numPr>
        <w:numId w:val="4"/>
      </w:numPr>
    </w:pPr>
  </w:style>
  <w:style w:type="paragraph" w:customStyle="1" w:styleId="CVName">
    <w:name w:val="CV Name"/>
    <w:uiPriority w:val="10"/>
    <w:qFormat/>
    <w:rsid w:val="009B0015"/>
    <w:pPr>
      <w:spacing w:before="120" w:after="0" w:line="240" w:lineRule="auto"/>
    </w:pPr>
    <w:rPr>
      <w:rFonts w:ascii="CG Times (W1)" w:hAnsi="CG Times (W1)"/>
      <w:b/>
      <w:bCs/>
      <w:color w:val="1E49E2" w:themeColor="accent1"/>
      <w:sz w:val="28"/>
      <w:szCs w:val="32"/>
    </w:rPr>
  </w:style>
  <w:style w:type="paragraph" w:customStyle="1" w:styleId="CVTitle">
    <w:name w:val="CV Title"/>
    <w:next w:val="BodyText"/>
    <w:uiPriority w:val="11"/>
    <w:qFormat/>
    <w:rsid w:val="00F84B7C"/>
    <w:pPr>
      <w:spacing w:before="60" w:after="120" w:line="240" w:lineRule="auto"/>
    </w:pPr>
    <w:rPr>
      <w:rFonts w:ascii="CG Times (W1)" w:hAnsi="CG Times (W1)"/>
      <w:b/>
      <w:bCs/>
      <w:color w:val="000000" w:themeColor="text1"/>
      <w:sz w:val="20"/>
    </w:rPr>
  </w:style>
  <w:style w:type="paragraph" w:customStyle="1" w:styleId="CVHeading">
    <w:name w:val="CV Heading"/>
    <w:basedOn w:val="BodyText"/>
    <w:link w:val="CVHeadingChar"/>
    <w:uiPriority w:val="12"/>
    <w:qFormat/>
    <w:rsid w:val="00016CC0"/>
    <w:pPr>
      <w:spacing w:before="120"/>
    </w:pPr>
    <w:rPr>
      <w:b/>
      <w:bCs/>
      <w:color w:val="00338D" w:themeColor="text2"/>
      <w:szCs w:val="24"/>
    </w:rPr>
  </w:style>
  <w:style w:type="paragraph" w:customStyle="1" w:styleId="Heading1TOCNoShow">
    <w:name w:val="Heading 1 TOC No Show"/>
    <w:next w:val="BodyText"/>
    <w:uiPriority w:val="2"/>
    <w:rsid w:val="00016CC0"/>
    <w:pPr>
      <w:numPr>
        <w:ilvl w:val="1"/>
        <w:numId w:val="1"/>
      </w:numPr>
      <w:spacing w:after="240" w:line="192" w:lineRule="auto"/>
    </w:pPr>
    <w:rPr>
      <w:rFonts w:ascii="DengXian" w:eastAsiaTheme="majorEastAsia" w:hAnsi="DengXian" w:cstheme="majorBidi"/>
      <w:color w:val="00338D" w:themeColor="text2"/>
      <w:sz w:val="96"/>
      <w:szCs w:val="32"/>
    </w:rPr>
  </w:style>
  <w:style w:type="paragraph" w:styleId="TOC2">
    <w:name w:val="toc 2"/>
    <w:basedOn w:val="Normal"/>
    <w:next w:val="Normal"/>
    <w:autoRedefine/>
    <w:uiPriority w:val="39"/>
    <w:rsid w:val="00BA282D"/>
    <w:pPr>
      <w:tabs>
        <w:tab w:val="left" w:pos="660"/>
        <w:tab w:val="right" w:leader="dot" w:pos="10204"/>
      </w:tabs>
    </w:pPr>
  </w:style>
  <w:style w:type="paragraph" w:customStyle="1" w:styleId="Bullet1stlevel">
    <w:name w:val="Bullet 1st level"/>
    <w:link w:val="Bullet1stlevelChar"/>
    <w:uiPriority w:val="1"/>
    <w:qFormat/>
    <w:rsid w:val="00DE7371"/>
    <w:pPr>
      <w:spacing w:before="60" w:after="60" w:line="240" w:lineRule="auto"/>
      <w:ind w:left="360" w:hanging="360"/>
    </w:pPr>
    <w:rPr>
      <w:rFonts w:ascii="CG Times (W1)" w:hAnsi="CG Times (W1)"/>
      <w:color w:val="000000" w:themeColor="text1"/>
      <w:sz w:val="20"/>
    </w:rPr>
  </w:style>
  <w:style w:type="paragraph" w:customStyle="1" w:styleId="Bullet2ndlevel">
    <w:name w:val="Bullet 2nd level"/>
    <w:uiPriority w:val="1"/>
    <w:qFormat/>
    <w:rsid w:val="00DE7371"/>
    <w:pPr>
      <w:numPr>
        <w:ilvl w:val="1"/>
        <w:numId w:val="3"/>
      </w:numPr>
      <w:spacing w:before="60" w:after="60" w:line="240" w:lineRule="auto"/>
    </w:pPr>
    <w:rPr>
      <w:rFonts w:ascii="CG Times (W1)" w:hAnsi="CG Times (W1)"/>
      <w:color w:val="000000" w:themeColor="text1"/>
      <w:sz w:val="20"/>
    </w:rPr>
  </w:style>
  <w:style w:type="paragraph" w:customStyle="1" w:styleId="Bullet3rdlevel">
    <w:name w:val="Bullet 3rd level"/>
    <w:uiPriority w:val="1"/>
    <w:qFormat/>
    <w:rsid w:val="000D36F7"/>
    <w:pPr>
      <w:numPr>
        <w:ilvl w:val="2"/>
        <w:numId w:val="3"/>
      </w:numPr>
      <w:spacing w:before="60" w:after="60" w:line="240" w:lineRule="auto"/>
    </w:pPr>
    <w:rPr>
      <w:rFonts w:ascii="CG Times (W1)" w:hAnsi="CG Times (W1)"/>
      <w:color w:val="000000" w:themeColor="text1"/>
      <w:sz w:val="20"/>
    </w:rPr>
  </w:style>
  <w:style w:type="character" w:styleId="UnresolvedMention">
    <w:name w:val="Unresolved Mention"/>
    <w:basedOn w:val="DefaultParagraphFont"/>
    <w:uiPriority w:val="99"/>
    <w:unhideWhenUsed/>
    <w:rsid w:val="00F94AB9"/>
    <w:rPr>
      <w:color w:val="605E5C"/>
      <w:shd w:val="clear" w:color="auto" w:fill="E1DFDD"/>
    </w:rPr>
  </w:style>
  <w:style w:type="character" w:styleId="FollowedHyperlink">
    <w:name w:val="FollowedHyperlink"/>
    <w:basedOn w:val="DefaultParagraphFont"/>
    <w:uiPriority w:val="99"/>
    <w:semiHidden/>
    <w:unhideWhenUsed/>
    <w:rsid w:val="005D48F7"/>
    <w:rPr>
      <w:color w:val="0091DA" w:themeColor="followedHyperlink"/>
      <w:u w:val="single"/>
    </w:rPr>
  </w:style>
  <w:style w:type="paragraph" w:customStyle="1" w:styleId="CredName">
    <w:name w:val="Cred Name"/>
    <w:basedOn w:val="BodyText"/>
    <w:uiPriority w:val="99"/>
    <w:qFormat/>
    <w:rsid w:val="00F05902"/>
    <w:pPr>
      <w:spacing w:before="120" w:after="0"/>
    </w:pPr>
    <w:rPr>
      <w:b/>
      <w:bCs/>
      <w:color w:val="FFFFFF" w:themeColor="background1"/>
      <w:sz w:val="28"/>
      <w:szCs w:val="28"/>
    </w:rPr>
  </w:style>
  <w:style w:type="paragraph" w:customStyle="1" w:styleId="CredProject">
    <w:name w:val="Cred Project"/>
    <w:basedOn w:val="CredName"/>
    <w:uiPriority w:val="99"/>
    <w:qFormat/>
    <w:rsid w:val="00F81ADB"/>
    <w:pPr>
      <w:spacing w:before="0"/>
    </w:pPr>
    <w:rPr>
      <w:rFonts w:asciiTheme="minorHAnsi" w:hAnsiTheme="minorHAnsi"/>
      <w:b w:val="0"/>
      <w:bCs w:val="0"/>
      <w:sz w:val="14"/>
      <w:szCs w:val="24"/>
    </w:rPr>
  </w:style>
  <w:style w:type="paragraph" w:customStyle="1" w:styleId="CredHeading">
    <w:name w:val="Cred Heading"/>
    <w:basedOn w:val="BodyText"/>
    <w:uiPriority w:val="99"/>
    <w:qFormat/>
    <w:rsid w:val="00FA713F"/>
    <w:pPr>
      <w:spacing w:before="120"/>
    </w:pPr>
    <w:rPr>
      <w:rFonts w:cs="Arial"/>
      <w:b/>
      <w:bCs/>
      <w:color w:val="1E49E2" w:themeColor="accent1"/>
      <w:kern w:val="24"/>
      <w:sz w:val="24"/>
      <w:szCs w:val="24"/>
    </w:rPr>
  </w:style>
  <w:style w:type="character" w:customStyle="1" w:styleId="Heading8Char">
    <w:name w:val="Heading 8 Char"/>
    <w:basedOn w:val="DefaultParagraphFont"/>
    <w:link w:val="Heading8"/>
    <w:uiPriority w:val="99"/>
    <w:semiHidden/>
    <w:rsid w:val="00C305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C3054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AB37FF"/>
    <w:pPr>
      <w:spacing w:before="0" w:after="160" w:line="259" w:lineRule="auto"/>
      <w:ind w:left="720"/>
      <w:contextualSpacing/>
    </w:pPr>
    <w:rPr>
      <w:color w:val="auto"/>
    </w:rPr>
  </w:style>
  <w:style w:type="paragraph" w:styleId="FootnoteText">
    <w:name w:val="footnote text"/>
    <w:basedOn w:val="Normal"/>
    <w:link w:val="FootnoteTextChar"/>
    <w:uiPriority w:val="99"/>
    <w:unhideWhenUsed/>
    <w:rsid w:val="00E57A24"/>
    <w:pPr>
      <w:spacing w:before="0" w:after="0"/>
    </w:pPr>
    <w:rPr>
      <w:szCs w:val="20"/>
    </w:rPr>
  </w:style>
  <w:style w:type="character" w:customStyle="1" w:styleId="FootnoteTextChar">
    <w:name w:val="Footnote Text Char"/>
    <w:basedOn w:val="DefaultParagraphFont"/>
    <w:link w:val="FootnoteText"/>
    <w:uiPriority w:val="99"/>
    <w:rsid w:val="00E57A24"/>
    <w:rPr>
      <w:rFonts w:ascii="Arial" w:hAnsi="Arial"/>
      <w:color w:val="000000" w:themeColor="text1"/>
      <w:sz w:val="20"/>
      <w:szCs w:val="20"/>
    </w:rPr>
  </w:style>
  <w:style w:type="character" w:styleId="FootnoteReference">
    <w:name w:val="footnote reference"/>
    <w:basedOn w:val="DefaultParagraphFont"/>
    <w:uiPriority w:val="99"/>
    <w:semiHidden/>
    <w:unhideWhenUsed/>
    <w:rsid w:val="00E57A24"/>
    <w:rPr>
      <w:vertAlign w:val="superscript"/>
    </w:rPr>
  </w:style>
  <w:style w:type="character" w:styleId="CommentReference">
    <w:name w:val="annotation reference"/>
    <w:basedOn w:val="DefaultParagraphFont"/>
    <w:uiPriority w:val="99"/>
    <w:rsid w:val="00442BFC"/>
    <w:rPr>
      <w:sz w:val="16"/>
      <w:szCs w:val="16"/>
    </w:rPr>
  </w:style>
  <w:style w:type="paragraph" w:styleId="CommentText">
    <w:name w:val="annotation text"/>
    <w:basedOn w:val="Normal"/>
    <w:link w:val="CommentTextChar"/>
    <w:uiPriority w:val="99"/>
    <w:rsid w:val="00442BFC"/>
    <w:rPr>
      <w:szCs w:val="20"/>
    </w:rPr>
  </w:style>
  <w:style w:type="character" w:customStyle="1" w:styleId="CommentTextChar">
    <w:name w:val="Comment Text Char"/>
    <w:basedOn w:val="DefaultParagraphFont"/>
    <w:link w:val="CommentText"/>
    <w:uiPriority w:val="99"/>
    <w:rsid w:val="00442BFC"/>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rsid w:val="00442BFC"/>
    <w:rPr>
      <w:b/>
      <w:bCs/>
    </w:rPr>
  </w:style>
  <w:style w:type="character" w:customStyle="1" w:styleId="CommentSubjectChar">
    <w:name w:val="Comment Subject Char"/>
    <w:basedOn w:val="CommentTextChar"/>
    <w:link w:val="CommentSubject"/>
    <w:uiPriority w:val="99"/>
    <w:semiHidden/>
    <w:rsid w:val="00442BFC"/>
    <w:rPr>
      <w:rFonts w:ascii="Arial" w:hAnsi="Arial"/>
      <w:b/>
      <w:bCs/>
      <w:color w:val="000000" w:themeColor="text1"/>
      <w:sz w:val="20"/>
      <w:szCs w:val="20"/>
    </w:rPr>
  </w:style>
  <w:style w:type="paragraph" w:styleId="Caption">
    <w:name w:val="caption"/>
    <w:basedOn w:val="Normal"/>
    <w:next w:val="Normal"/>
    <w:uiPriority w:val="12"/>
    <w:unhideWhenUsed/>
    <w:qFormat/>
    <w:rsid w:val="001D2F00"/>
    <w:pPr>
      <w:spacing w:before="0" w:after="200"/>
    </w:pPr>
    <w:rPr>
      <w:i/>
      <w:iCs/>
      <w:color w:val="00338D" w:themeColor="text2"/>
      <w:sz w:val="18"/>
      <w:szCs w:val="18"/>
    </w:rPr>
  </w:style>
  <w:style w:type="paragraph" w:styleId="EndnoteText">
    <w:name w:val="endnote text"/>
    <w:basedOn w:val="Normal"/>
    <w:link w:val="EndnoteTextChar"/>
    <w:uiPriority w:val="99"/>
    <w:semiHidden/>
    <w:unhideWhenUsed/>
    <w:rsid w:val="00597250"/>
    <w:pPr>
      <w:spacing w:before="0" w:after="0"/>
    </w:pPr>
    <w:rPr>
      <w:szCs w:val="20"/>
    </w:rPr>
  </w:style>
  <w:style w:type="character" w:customStyle="1" w:styleId="EndnoteTextChar">
    <w:name w:val="Endnote Text Char"/>
    <w:basedOn w:val="DefaultParagraphFont"/>
    <w:link w:val="EndnoteText"/>
    <w:uiPriority w:val="99"/>
    <w:semiHidden/>
    <w:rsid w:val="00597250"/>
    <w:rPr>
      <w:rFonts w:ascii="Arial" w:hAnsi="Arial"/>
      <w:color w:val="000000" w:themeColor="text1"/>
      <w:sz w:val="20"/>
      <w:szCs w:val="20"/>
    </w:rPr>
  </w:style>
  <w:style w:type="character" w:styleId="EndnoteReference">
    <w:name w:val="endnote reference"/>
    <w:basedOn w:val="DefaultParagraphFont"/>
    <w:uiPriority w:val="99"/>
    <w:semiHidden/>
    <w:unhideWhenUsed/>
    <w:rsid w:val="00597250"/>
    <w:rPr>
      <w:vertAlign w:val="superscript"/>
    </w:rPr>
  </w:style>
  <w:style w:type="paragraph" w:customStyle="1" w:styleId="Style1">
    <w:name w:val="Style1"/>
    <w:basedOn w:val="CVHeading"/>
    <w:next w:val="Bullet1stlevel"/>
    <w:link w:val="Style1Char"/>
    <w:uiPriority w:val="99"/>
    <w:qFormat/>
    <w:rsid w:val="00E520FE"/>
    <w:pPr>
      <w:ind w:left="709"/>
    </w:pPr>
    <w:rPr>
      <w:b w:val="0"/>
      <w:bCs w:val="0"/>
    </w:rPr>
  </w:style>
  <w:style w:type="paragraph" w:customStyle="1" w:styleId="Style2">
    <w:name w:val="Style2"/>
    <w:basedOn w:val="Bullet1stlevel"/>
    <w:link w:val="Style2Char"/>
    <w:uiPriority w:val="99"/>
    <w:qFormat/>
    <w:rsid w:val="00E520FE"/>
  </w:style>
  <w:style w:type="character" w:customStyle="1" w:styleId="CVHeadingChar">
    <w:name w:val="CV Heading Char"/>
    <w:basedOn w:val="BodyTextChar"/>
    <w:link w:val="CVHeading"/>
    <w:uiPriority w:val="12"/>
    <w:rsid w:val="00E520FE"/>
    <w:rPr>
      <w:rFonts w:ascii="Arial" w:hAnsi="Arial"/>
      <w:b/>
      <w:bCs/>
      <w:color w:val="00338D" w:themeColor="text2"/>
      <w:sz w:val="20"/>
      <w:szCs w:val="24"/>
    </w:rPr>
  </w:style>
  <w:style w:type="character" w:customStyle="1" w:styleId="Style1Char">
    <w:name w:val="Style1 Char"/>
    <w:basedOn w:val="CVHeadingChar"/>
    <w:link w:val="Style1"/>
    <w:uiPriority w:val="99"/>
    <w:rsid w:val="00E520FE"/>
    <w:rPr>
      <w:rFonts w:ascii="Arial" w:hAnsi="Arial"/>
      <w:b w:val="0"/>
      <w:bCs w:val="0"/>
      <w:color w:val="00338D" w:themeColor="text2"/>
      <w:sz w:val="20"/>
      <w:szCs w:val="24"/>
    </w:rPr>
  </w:style>
  <w:style w:type="character" w:customStyle="1" w:styleId="Bullet1stlevelChar">
    <w:name w:val="Bullet 1st level Char"/>
    <w:basedOn w:val="DefaultParagraphFont"/>
    <w:link w:val="Bullet1stlevel"/>
    <w:uiPriority w:val="1"/>
    <w:rsid w:val="00E520FE"/>
    <w:rPr>
      <w:rFonts w:ascii="CG Times (W1)" w:hAnsi="CG Times (W1)"/>
      <w:color w:val="000000" w:themeColor="text1"/>
      <w:sz w:val="20"/>
    </w:rPr>
  </w:style>
  <w:style w:type="character" w:customStyle="1" w:styleId="Style2Char">
    <w:name w:val="Style2 Char"/>
    <w:basedOn w:val="Bullet1stlevelChar"/>
    <w:link w:val="Style2"/>
    <w:uiPriority w:val="99"/>
    <w:rsid w:val="00E520FE"/>
    <w:rPr>
      <w:rFonts w:ascii="Arial" w:hAnsi="Arial"/>
      <w:color w:val="000000" w:themeColor="text1"/>
      <w:sz w:val="20"/>
    </w:rPr>
  </w:style>
  <w:style w:type="table" w:styleId="GridTable5Dark-Accent1">
    <w:name w:val="Grid Table 5 Dark Accent 1"/>
    <w:basedOn w:val="TableNormal"/>
    <w:uiPriority w:val="50"/>
    <w:rsid w:val="00871C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A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9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9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9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9E2" w:themeFill="accent1"/>
      </w:tcPr>
    </w:tblStylePr>
    <w:tblStylePr w:type="band1Vert">
      <w:tblPr/>
      <w:tcPr>
        <w:shd w:val="clear" w:color="auto" w:fill="A4B5F3" w:themeFill="accent1" w:themeFillTint="66"/>
      </w:tcPr>
    </w:tblStylePr>
    <w:tblStylePr w:type="band1Horz">
      <w:tblPr/>
      <w:tcPr>
        <w:shd w:val="clear" w:color="auto" w:fill="A4B5F3" w:themeFill="accent1" w:themeFillTint="66"/>
      </w:tcPr>
    </w:tblStylePr>
  </w:style>
  <w:style w:type="paragraph" w:styleId="NormalWeb">
    <w:name w:val="Normal (Web)"/>
    <w:basedOn w:val="Normal"/>
    <w:uiPriority w:val="99"/>
    <w:semiHidden/>
    <w:unhideWhenUsed/>
    <w:rsid w:val="00954050"/>
    <w:pPr>
      <w:spacing w:before="100" w:beforeAutospacing="1" w:after="100" w:afterAutospacing="1"/>
    </w:pPr>
    <w:rPr>
      <w:rFonts w:eastAsia="CG Times (W1)" w:cs="CG Times (W1)"/>
      <w:color w:val="auto"/>
      <w:sz w:val="24"/>
      <w:szCs w:val="24"/>
      <w:lang w:eastAsia="zh-CN"/>
    </w:rPr>
  </w:style>
  <w:style w:type="table" w:styleId="GridTable1Light">
    <w:name w:val="Grid Table 1 Light"/>
    <w:basedOn w:val="TableNormal"/>
    <w:uiPriority w:val="46"/>
    <w:rsid w:val="00EA3F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EF423C"/>
    <w:rPr>
      <w:color w:val="2B579A"/>
      <w:shd w:val="clear" w:color="auto" w:fill="E1DFDD"/>
    </w:rPr>
  </w:style>
  <w:style w:type="paragraph" w:styleId="Revision">
    <w:name w:val="Revision"/>
    <w:hidden/>
    <w:uiPriority w:val="99"/>
    <w:semiHidden/>
    <w:rsid w:val="00E24591"/>
    <w:pPr>
      <w:spacing w:after="0" w:line="240" w:lineRule="auto"/>
    </w:pPr>
    <w:rPr>
      <w:rFonts w:ascii="CG Times (W1)" w:hAnsi="CG Times (W1)"/>
      <w:color w:val="000000" w:themeColor="text1"/>
      <w:sz w:val="20"/>
    </w:rPr>
  </w:style>
  <w:style w:type="table" w:styleId="PlainTable1">
    <w:name w:val="Plain Table 1"/>
    <w:basedOn w:val="TableNormal"/>
    <w:uiPriority w:val="41"/>
    <w:rsid w:val="00997E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997EE4"/>
    <w:pPr>
      <w:spacing w:after="0" w:line="240" w:lineRule="auto"/>
    </w:pPr>
    <w:tblPr>
      <w:tblStyleRowBandSize w:val="1"/>
      <w:tblStyleColBandSize w:val="1"/>
      <w:tblBorders>
        <w:top w:val="single" w:sz="4" w:space="0" w:color="A4B5F3" w:themeColor="accent1" w:themeTint="66"/>
        <w:left w:val="single" w:sz="4" w:space="0" w:color="A4B5F3" w:themeColor="accent1" w:themeTint="66"/>
        <w:bottom w:val="single" w:sz="4" w:space="0" w:color="A4B5F3" w:themeColor="accent1" w:themeTint="66"/>
        <w:right w:val="single" w:sz="4" w:space="0" w:color="A4B5F3" w:themeColor="accent1" w:themeTint="66"/>
        <w:insideH w:val="single" w:sz="4" w:space="0" w:color="A4B5F3" w:themeColor="accent1" w:themeTint="66"/>
        <w:insideV w:val="single" w:sz="4" w:space="0" w:color="A4B5F3" w:themeColor="accent1" w:themeTint="66"/>
      </w:tblBorders>
    </w:tblPr>
    <w:tblStylePr w:type="firstRow">
      <w:rPr>
        <w:b/>
        <w:bCs/>
      </w:rPr>
      <w:tblPr/>
      <w:tcPr>
        <w:tcBorders>
          <w:bottom w:val="single" w:sz="12" w:space="0" w:color="7791ED" w:themeColor="accent1" w:themeTint="99"/>
        </w:tcBorders>
      </w:tcPr>
    </w:tblStylePr>
    <w:tblStylePr w:type="lastRow">
      <w:rPr>
        <w:b/>
        <w:bCs/>
      </w:rPr>
      <w:tblPr/>
      <w:tcPr>
        <w:tcBorders>
          <w:top w:val="double" w:sz="2" w:space="0" w:color="7791ED" w:themeColor="accent1" w:themeTint="99"/>
        </w:tcBorders>
      </w:tcPr>
    </w:tblStylePr>
    <w:tblStylePr w:type="firstCol">
      <w:rPr>
        <w:b/>
        <w:bCs/>
      </w:rPr>
    </w:tblStylePr>
    <w:tblStylePr w:type="lastCol">
      <w:rPr>
        <w:b/>
        <w:bCs/>
      </w:rPr>
    </w:tblStylePr>
  </w:style>
  <w:style w:type="paragraph" w:customStyle="1" w:styleId="BodyBullet">
    <w:name w:val="_Body Bullet"/>
    <w:basedOn w:val="Normal"/>
    <w:qFormat/>
    <w:rsid w:val="00F81ADB"/>
    <w:pPr>
      <w:spacing w:after="120"/>
      <w:jc w:val="both"/>
    </w:pPr>
    <w:rPr>
      <w:rFonts w:asciiTheme="minorHAnsi" w:hAnsiTheme="minorHAnsi"/>
    </w:rPr>
  </w:style>
  <w:style w:type="paragraph" w:customStyle="1" w:styleId="BodyText1">
    <w:name w:val="BodyText1"/>
    <w:basedOn w:val="Normal"/>
    <w:qFormat/>
    <w:rsid w:val="00A068E2"/>
    <w:pPr>
      <w:spacing w:before="0" w:after="160"/>
      <w:jc w:val="both"/>
    </w:pPr>
    <w:rPr>
      <w:rFonts w:ascii="Symbol" w:hAnsi="Symbol" w:cstheme="minorHAnsi"/>
      <w:sz w:val="22"/>
      <w:szCs w:val="20"/>
    </w:rPr>
  </w:style>
  <w:style w:type="paragraph" w:customStyle="1" w:styleId="BodyTextkeepwithnext">
    <w:name w:val="Body Textkeepwithnext"/>
    <w:basedOn w:val="BodyText"/>
    <w:qFormat/>
    <w:rsid w:val="00A068E2"/>
    <w:pPr>
      <w:keepNext/>
      <w:autoSpaceDE w:val="0"/>
      <w:autoSpaceDN w:val="0"/>
      <w:spacing w:before="120"/>
    </w:pPr>
    <w:rPr>
      <w:rFonts w:ascii="Symbol" w:eastAsia="CG Times (W1)" w:hAnsi="Symbol" w:cs="CG Times (W1)"/>
      <w:color w:val="auto"/>
      <w:szCs w:val="20"/>
      <w:lang w:eastAsia="en-AU" w:bidi="en-AU"/>
    </w:rPr>
  </w:style>
  <w:style w:type="table" w:styleId="GridTable4-Accent1">
    <w:name w:val="Grid Table 4 Accent 1"/>
    <w:basedOn w:val="TableNormal"/>
    <w:uiPriority w:val="49"/>
    <w:rsid w:val="00092A89"/>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color w:val="FFFFFF" w:themeColor="background1"/>
      </w:rPr>
      <w:tblPr/>
      <w:tcPr>
        <w:tcBorders>
          <w:top w:val="single" w:sz="4" w:space="0" w:color="1E49E2" w:themeColor="accent1"/>
          <w:left w:val="single" w:sz="4" w:space="0" w:color="1E49E2" w:themeColor="accent1"/>
          <w:bottom w:val="single" w:sz="4" w:space="0" w:color="1E49E2" w:themeColor="accent1"/>
          <w:right w:val="single" w:sz="4" w:space="0" w:color="1E49E2" w:themeColor="accent1"/>
          <w:insideH w:val="nil"/>
          <w:insideV w:val="nil"/>
        </w:tcBorders>
        <w:shd w:val="clear" w:color="auto" w:fill="1E49E2" w:themeFill="accent1"/>
      </w:tcPr>
    </w:tblStylePr>
    <w:tblStylePr w:type="lastRow">
      <w:rPr>
        <w:b/>
        <w:bCs/>
      </w:rPr>
      <w:tblPr/>
      <w:tcPr>
        <w:tcBorders>
          <w:top w:val="double" w:sz="4" w:space="0" w:color="1E49E2" w:themeColor="accent1"/>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paragraph" w:customStyle="1" w:styleId="Classification">
    <w:name w:val="Classification"/>
    <w:basedOn w:val="Footer"/>
    <w:qFormat/>
    <w:rsid w:val="00332E2A"/>
    <w:pPr>
      <w:spacing w:before="60" w:after="0"/>
    </w:pPr>
    <w:rPr>
      <w:color w:val="808080" w:themeColor="background1" w:themeShade="80"/>
      <w:sz w:val="16"/>
    </w:rPr>
  </w:style>
  <w:style w:type="paragraph" w:styleId="TableofFigures">
    <w:name w:val="table of figures"/>
    <w:basedOn w:val="Normal"/>
    <w:next w:val="Normal"/>
    <w:uiPriority w:val="99"/>
    <w:unhideWhenUsed/>
    <w:rsid w:val="005F27C1"/>
    <w:pPr>
      <w:spacing w:after="0"/>
    </w:pPr>
  </w:style>
  <w:style w:type="paragraph" w:styleId="TOCHeading">
    <w:name w:val="TOC Heading"/>
    <w:basedOn w:val="Heading1"/>
    <w:next w:val="Normal"/>
    <w:uiPriority w:val="39"/>
    <w:unhideWhenUsed/>
    <w:qFormat/>
    <w:rsid w:val="008C4917"/>
    <w:pPr>
      <w:spacing w:before="240" w:after="0" w:line="259" w:lineRule="auto"/>
      <w:ind w:left="0" w:firstLine="0"/>
      <w:outlineLvl w:val="9"/>
    </w:pPr>
    <w:rPr>
      <w:rFonts w:asciiTheme="majorHAnsi" w:hAnsiTheme="majorHAnsi"/>
      <w:color w:val="1635A9" w:themeColor="accent1" w:themeShade="BF"/>
      <w:sz w:val="32"/>
      <w:lang w:val="en-US"/>
    </w:rPr>
  </w:style>
  <w:style w:type="paragraph" w:styleId="TOC3">
    <w:name w:val="toc 3"/>
    <w:basedOn w:val="Normal"/>
    <w:next w:val="Normal"/>
    <w:autoRedefine/>
    <w:uiPriority w:val="39"/>
    <w:unhideWhenUsed/>
    <w:rsid w:val="00963598"/>
    <w:pPr>
      <w:spacing w:after="100"/>
      <w:ind w:left="400"/>
    </w:pPr>
  </w:style>
  <w:style w:type="character" w:customStyle="1" w:styleId="cf01">
    <w:name w:val="cf01"/>
    <w:basedOn w:val="DefaultParagraphFont"/>
    <w:rsid w:val="00514AAD"/>
    <w:rPr>
      <w:rFonts w:ascii="DengXian" w:hAnsi="DengXian" w:cs="DengXian" w:hint="default"/>
      <w:sz w:val="18"/>
      <w:szCs w:val="18"/>
    </w:rPr>
  </w:style>
  <w:style w:type="table" w:styleId="ListTable4-Accent1">
    <w:name w:val="List Table 4 Accent 1"/>
    <w:basedOn w:val="TableNormal"/>
    <w:uiPriority w:val="49"/>
    <w:rsid w:val="0033282E"/>
    <w:pPr>
      <w:spacing w:after="0" w:line="240" w:lineRule="auto"/>
    </w:p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tblBorders>
    </w:tblPr>
    <w:tblStylePr w:type="firstRow">
      <w:rPr>
        <w:b/>
        <w:bCs/>
        <w:color w:val="FFFFFF" w:themeColor="background1"/>
      </w:rPr>
      <w:tblPr/>
      <w:tcPr>
        <w:tcBorders>
          <w:top w:val="single" w:sz="4" w:space="0" w:color="1E49E2" w:themeColor="accent1"/>
          <w:left w:val="single" w:sz="4" w:space="0" w:color="1E49E2" w:themeColor="accent1"/>
          <w:bottom w:val="single" w:sz="4" w:space="0" w:color="1E49E2" w:themeColor="accent1"/>
          <w:right w:val="single" w:sz="4" w:space="0" w:color="1E49E2" w:themeColor="accent1"/>
          <w:insideH w:val="nil"/>
        </w:tcBorders>
        <w:shd w:val="clear" w:color="auto" w:fill="1E49E2" w:themeFill="accent1"/>
      </w:tcPr>
    </w:tblStylePr>
    <w:tblStylePr w:type="lastRow">
      <w:rPr>
        <w:b/>
        <w:bCs/>
      </w:rPr>
      <w:tblPr/>
      <w:tcPr>
        <w:tcBorders>
          <w:top w:val="double" w:sz="4" w:space="0" w:color="7791ED" w:themeColor="accent1" w:themeTint="99"/>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ListTable2-Accent1">
    <w:name w:val="List Table 2 Accent 1"/>
    <w:basedOn w:val="TableNormal"/>
    <w:uiPriority w:val="47"/>
    <w:rsid w:val="0033282E"/>
    <w:pPr>
      <w:spacing w:after="0" w:line="240" w:lineRule="auto"/>
    </w:pPr>
    <w:tblPr>
      <w:tblStyleRowBandSize w:val="1"/>
      <w:tblStyleColBandSize w:val="1"/>
      <w:tblBorders>
        <w:top w:val="single" w:sz="4" w:space="0" w:color="7791ED" w:themeColor="accent1" w:themeTint="99"/>
        <w:bottom w:val="single" w:sz="4" w:space="0" w:color="7791ED" w:themeColor="accent1" w:themeTint="99"/>
        <w:insideH w:val="single" w:sz="4" w:space="0" w:color="7791E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table" w:styleId="GridTable7Colorful-Accent1">
    <w:name w:val="Grid Table 7 Colorful Accent 1"/>
    <w:basedOn w:val="TableNormal"/>
    <w:uiPriority w:val="52"/>
    <w:rsid w:val="0033282E"/>
    <w:pPr>
      <w:spacing w:after="0" w:line="240" w:lineRule="auto"/>
    </w:pPr>
    <w:rPr>
      <w:color w:val="1635A9" w:themeColor="accent1" w:themeShade="BF"/>
    </w:r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AF9" w:themeFill="accent1" w:themeFillTint="33"/>
      </w:tcPr>
    </w:tblStylePr>
    <w:tblStylePr w:type="band1Horz">
      <w:tblPr/>
      <w:tcPr>
        <w:shd w:val="clear" w:color="auto" w:fill="D1DAF9" w:themeFill="accent1" w:themeFillTint="33"/>
      </w:tcPr>
    </w:tblStylePr>
    <w:tblStylePr w:type="neCell">
      <w:tblPr/>
      <w:tcPr>
        <w:tcBorders>
          <w:bottom w:val="single" w:sz="4" w:space="0" w:color="7791ED" w:themeColor="accent1" w:themeTint="99"/>
        </w:tcBorders>
      </w:tcPr>
    </w:tblStylePr>
    <w:tblStylePr w:type="nwCell">
      <w:tblPr/>
      <w:tcPr>
        <w:tcBorders>
          <w:bottom w:val="single" w:sz="4" w:space="0" w:color="7791ED" w:themeColor="accent1" w:themeTint="99"/>
        </w:tcBorders>
      </w:tcPr>
    </w:tblStylePr>
    <w:tblStylePr w:type="seCell">
      <w:tblPr/>
      <w:tcPr>
        <w:tcBorders>
          <w:top w:val="single" w:sz="4" w:space="0" w:color="7791ED" w:themeColor="accent1" w:themeTint="99"/>
        </w:tcBorders>
      </w:tcPr>
    </w:tblStylePr>
    <w:tblStylePr w:type="swCell">
      <w:tblPr/>
      <w:tcPr>
        <w:tcBorders>
          <w:top w:val="single" w:sz="4" w:space="0" w:color="7791ED" w:themeColor="accent1" w:themeTint="99"/>
        </w:tcBorders>
      </w:tcPr>
    </w:tblStylePr>
  </w:style>
  <w:style w:type="table" w:styleId="GridTable6Colorful-Accent1">
    <w:name w:val="Grid Table 6 Colorful Accent 1"/>
    <w:basedOn w:val="TableNormal"/>
    <w:uiPriority w:val="51"/>
    <w:rsid w:val="0033282E"/>
    <w:pPr>
      <w:spacing w:after="0" w:line="240" w:lineRule="auto"/>
    </w:pPr>
    <w:rPr>
      <w:color w:val="1635A9" w:themeColor="accent1" w:themeShade="BF"/>
    </w:rPr>
    <w:tblPr>
      <w:tblStyleRowBandSize w:val="1"/>
      <w:tblStyleColBandSize w:val="1"/>
      <w:tblBorders>
        <w:top w:val="single" w:sz="4" w:space="0" w:color="7791ED" w:themeColor="accent1" w:themeTint="99"/>
        <w:left w:val="single" w:sz="4" w:space="0" w:color="7791ED" w:themeColor="accent1" w:themeTint="99"/>
        <w:bottom w:val="single" w:sz="4" w:space="0" w:color="7791ED" w:themeColor="accent1" w:themeTint="99"/>
        <w:right w:val="single" w:sz="4" w:space="0" w:color="7791ED" w:themeColor="accent1" w:themeTint="99"/>
        <w:insideH w:val="single" w:sz="4" w:space="0" w:color="7791ED" w:themeColor="accent1" w:themeTint="99"/>
        <w:insideV w:val="single" w:sz="4" w:space="0" w:color="7791ED" w:themeColor="accent1" w:themeTint="99"/>
      </w:tblBorders>
    </w:tblPr>
    <w:tblStylePr w:type="firstRow">
      <w:rPr>
        <w:b/>
        <w:bCs/>
      </w:rPr>
      <w:tblPr/>
      <w:tcPr>
        <w:tcBorders>
          <w:bottom w:val="single" w:sz="12" w:space="0" w:color="7791ED" w:themeColor="accent1" w:themeTint="99"/>
        </w:tcBorders>
      </w:tcPr>
    </w:tblStylePr>
    <w:tblStylePr w:type="lastRow">
      <w:rPr>
        <w:b/>
        <w:bCs/>
      </w:rPr>
      <w:tblPr/>
      <w:tcPr>
        <w:tcBorders>
          <w:top w:val="double" w:sz="4" w:space="0" w:color="7791ED" w:themeColor="accent1" w:themeTint="99"/>
        </w:tcBorders>
      </w:tcPr>
    </w:tblStylePr>
    <w:tblStylePr w:type="firstCol">
      <w:rPr>
        <w:b/>
        <w:bCs/>
      </w:rPr>
    </w:tblStylePr>
    <w:tblStylePr w:type="lastCol">
      <w:rPr>
        <w:b/>
        <w:bCs/>
      </w:rPr>
    </w:tblStylePr>
    <w:tblStylePr w:type="band1Vert">
      <w:tblPr/>
      <w:tcPr>
        <w:shd w:val="clear" w:color="auto" w:fill="D1DAF9" w:themeFill="accent1" w:themeFillTint="33"/>
      </w:tcPr>
    </w:tblStylePr>
    <w:tblStylePr w:type="band1Horz">
      <w:tblPr/>
      <w:tcPr>
        <w:shd w:val="clear" w:color="auto" w:fill="D1DAF9" w:themeFill="accent1" w:themeFillTint="33"/>
      </w:tcPr>
    </w:tblStylePr>
  </w:style>
  <w:style w:type="character" w:styleId="Strong">
    <w:name w:val="Strong"/>
    <w:basedOn w:val="DefaultParagraphFont"/>
    <w:uiPriority w:val="22"/>
    <w:qFormat/>
    <w:rsid w:val="0075750A"/>
    <w:rPr>
      <w:b/>
      <w:bCs/>
    </w:rPr>
  </w:style>
  <w:style w:type="table" w:styleId="GridTable4-Accent2">
    <w:name w:val="Grid Table 4 Accent 2"/>
    <w:basedOn w:val="TableNormal"/>
    <w:uiPriority w:val="49"/>
    <w:rsid w:val="006361FA"/>
    <w:pPr>
      <w:spacing w:after="0" w:line="240" w:lineRule="auto"/>
    </w:pPr>
    <w:tblPr>
      <w:tblStyleRowBandSize w:val="1"/>
      <w:tblStyleColBandSize w:val="1"/>
      <w:tblBorders>
        <w:top w:val="single" w:sz="4" w:space="0" w:color="60D7FF" w:themeColor="accent2" w:themeTint="99"/>
        <w:left w:val="single" w:sz="4" w:space="0" w:color="60D7FF" w:themeColor="accent2" w:themeTint="99"/>
        <w:bottom w:val="single" w:sz="4" w:space="0" w:color="60D7FF" w:themeColor="accent2" w:themeTint="99"/>
        <w:right w:val="single" w:sz="4" w:space="0" w:color="60D7FF" w:themeColor="accent2" w:themeTint="99"/>
        <w:insideH w:val="single" w:sz="4" w:space="0" w:color="60D7FF" w:themeColor="accent2" w:themeTint="99"/>
        <w:insideV w:val="single" w:sz="4" w:space="0" w:color="60D7FF" w:themeColor="accent2" w:themeTint="99"/>
      </w:tblBorders>
    </w:tblPr>
    <w:tblStylePr w:type="firstRow">
      <w:rPr>
        <w:b/>
        <w:bCs/>
        <w:color w:val="FFFFFF" w:themeColor="background1"/>
      </w:rPr>
      <w:tblPr/>
      <w:tcPr>
        <w:tcBorders>
          <w:top w:val="single" w:sz="4" w:space="0" w:color="00B8F5" w:themeColor="accent2"/>
          <w:left w:val="single" w:sz="4" w:space="0" w:color="00B8F5" w:themeColor="accent2"/>
          <w:bottom w:val="single" w:sz="4" w:space="0" w:color="00B8F5" w:themeColor="accent2"/>
          <w:right w:val="single" w:sz="4" w:space="0" w:color="00B8F5" w:themeColor="accent2"/>
          <w:insideH w:val="nil"/>
          <w:insideV w:val="nil"/>
        </w:tcBorders>
        <w:shd w:val="clear" w:color="auto" w:fill="00B8F5" w:themeFill="accent2"/>
      </w:tcPr>
    </w:tblStylePr>
    <w:tblStylePr w:type="lastRow">
      <w:rPr>
        <w:b/>
        <w:bCs/>
      </w:rPr>
      <w:tblPr/>
      <w:tcPr>
        <w:tcBorders>
          <w:top w:val="double" w:sz="4" w:space="0" w:color="00B8F5" w:themeColor="accent2"/>
        </w:tcBorders>
      </w:tcPr>
    </w:tblStylePr>
    <w:tblStylePr w:type="firstCol">
      <w:rPr>
        <w:b/>
        <w:bCs/>
      </w:rPr>
    </w:tblStylePr>
    <w:tblStylePr w:type="lastCol">
      <w:rPr>
        <w:b/>
        <w:bCs/>
      </w:rPr>
    </w:tblStylePr>
    <w:tblStylePr w:type="band1Vert">
      <w:tblPr/>
      <w:tcPr>
        <w:shd w:val="clear" w:color="auto" w:fill="CAF1FF" w:themeFill="accent2" w:themeFillTint="33"/>
      </w:tcPr>
    </w:tblStylePr>
    <w:tblStylePr w:type="band1Horz">
      <w:tblPr/>
      <w:tcPr>
        <w:shd w:val="clear" w:color="auto" w:fill="CAF1FF" w:themeFill="accent2" w:themeFillTint="33"/>
      </w:tcPr>
    </w:tblStylePr>
  </w:style>
  <w:style w:type="table" w:styleId="PlainTable2">
    <w:name w:val="Plain Table 2"/>
    <w:basedOn w:val="TableNormal"/>
    <w:uiPriority w:val="42"/>
    <w:rsid w:val="005D64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395A7E"/>
  </w:style>
  <w:style w:type="paragraph" w:styleId="BalloonText">
    <w:name w:val="Balloon Text"/>
    <w:basedOn w:val="Normal"/>
    <w:link w:val="BalloonTextChar"/>
    <w:uiPriority w:val="99"/>
    <w:semiHidden/>
    <w:rsid w:val="00705E33"/>
    <w:pPr>
      <w:spacing w:before="0" w:after="0"/>
    </w:pPr>
    <w:rPr>
      <w:rFonts w:ascii="DengXian" w:hAnsi="DengXian" w:cs="DengXian"/>
      <w:sz w:val="18"/>
      <w:szCs w:val="18"/>
    </w:rPr>
  </w:style>
  <w:style w:type="character" w:customStyle="1" w:styleId="BalloonTextChar">
    <w:name w:val="Balloon Text Char"/>
    <w:basedOn w:val="DefaultParagraphFont"/>
    <w:link w:val="BalloonText"/>
    <w:uiPriority w:val="99"/>
    <w:semiHidden/>
    <w:rsid w:val="00705E33"/>
    <w:rPr>
      <w:rFonts w:ascii="DengXian" w:hAnsi="DengXian" w:cs="DengXian"/>
      <w:color w:val="000000" w:themeColor="text1"/>
      <w:sz w:val="18"/>
      <w:szCs w:val="18"/>
    </w:rPr>
  </w:style>
  <w:style w:type="paragraph" w:styleId="Bibliography">
    <w:name w:val="Bibliography"/>
    <w:basedOn w:val="Normal"/>
    <w:next w:val="Normal"/>
    <w:uiPriority w:val="99"/>
    <w:semiHidden/>
    <w:unhideWhenUsed/>
    <w:rsid w:val="00705E33"/>
  </w:style>
  <w:style w:type="paragraph" w:styleId="BlockText">
    <w:name w:val="Block Text"/>
    <w:basedOn w:val="Normal"/>
    <w:uiPriority w:val="99"/>
    <w:semiHidden/>
    <w:rsid w:val="00705E33"/>
    <w:pPr>
      <w:pBdr>
        <w:top w:val="single" w:sz="2" w:space="10" w:color="1E49E2" w:themeColor="accent1"/>
        <w:left w:val="single" w:sz="2" w:space="10" w:color="1E49E2" w:themeColor="accent1"/>
        <w:bottom w:val="single" w:sz="2" w:space="10" w:color="1E49E2" w:themeColor="accent1"/>
        <w:right w:val="single" w:sz="2" w:space="10" w:color="1E49E2" w:themeColor="accent1"/>
      </w:pBdr>
      <w:ind w:left="1152" w:right="1152"/>
    </w:pPr>
    <w:rPr>
      <w:rFonts w:asciiTheme="minorHAnsi" w:eastAsiaTheme="minorEastAsia" w:hAnsiTheme="minorHAnsi"/>
      <w:i/>
      <w:iCs/>
      <w:color w:val="1E49E2" w:themeColor="accent1"/>
    </w:rPr>
  </w:style>
  <w:style w:type="paragraph" w:styleId="BodyText2">
    <w:name w:val="Body Text 2"/>
    <w:basedOn w:val="Normal"/>
    <w:link w:val="BodyText2Char"/>
    <w:uiPriority w:val="99"/>
    <w:semiHidden/>
    <w:rsid w:val="00705E33"/>
    <w:pPr>
      <w:spacing w:after="120" w:line="480" w:lineRule="auto"/>
    </w:pPr>
  </w:style>
  <w:style w:type="character" w:customStyle="1" w:styleId="BodyText2Char">
    <w:name w:val="Body Text 2 Char"/>
    <w:basedOn w:val="DefaultParagraphFont"/>
    <w:link w:val="BodyText2"/>
    <w:uiPriority w:val="99"/>
    <w:semiHidden/>
    <w:rsid w:val="00705E33"/>
    <w:rPr>
      <w:rFonts w:ascii="Arial" w:hAnsi="Arial"/>
      <w:color w:val="000000" w:themeColor="text1"/>
      <w:sz w:val="20"/>
    </w:rPr>
  </w:style>
  <w:style w:type="paragraph" w:styleId="BodyText3">
    <w:name w:val="Body Text 3"/>
    <w:basedOn w:val="Normal"/>
    <w:link w:val="BodyText3Char"/>
    <w:uiPriority w:val="99"/>
    <w:semiHidden/>
    <w:rsid w:val="00705E33"/>
    <w:pPr>
      <w:spacing w:after="120"/>
    </w:pPr>
    <w:rPr>
      <w:sz w:val="16"/>
      <w:szCs w:val="16"/>
    </w:rPr>
  </w:style>
  <w:style w:type="character" w:customStyle="1" w:styleId="BodyText3Char">
    <w:name w:val="Body Text 3 Char"/>
    <w:basedOn w:val="DefaultParagraphFont"/>
    <w:link w:val="BodyText3"/>
    <w:uiPriority w:val="99"/>
    <w:semiHidden/>
    <w:rsid w:val="00705E33"/>
    <w:rPr>
      <w:rFonts w:ascii="Arial" w:hAnsi="Arial"/>
      <w:color w:val="000000" w:themeColor="text1"/>
      <w:sz w:val="16"/>
      <w:szCs w:val="16"/>
    </w:rPr>
  </w:style>
  <w:style w:type="paragraph" w:styleId="BodyTextFirstIndent">
    <w:name w:val="Body Text First Indent"/>
    <w:basedOn w:val="BodyText"/>
    <w:link w:val="BodyTextFirstIndentChar"/>
    <w:uiPriority w:val="99"/>
    <w:semiHidden/>
    <w:rsid w:val="00705E33"/>
    <w:pPr>
      <w:spacing w:before="60" w:after="60"/>
      <w:ind w:firstLine="360"/>
    </w:pPr>
  </w:style>
  <w:style w:type="character" w:customStyle="1" w:styleId="BodyTextFirstIndentChar">
    <w:name w:val="Body Text First Indent Char"/>
    <w:basedOn w:val="BodyTextChar"/>
    <w:link w:val="BodyTextFirstIndent"/>
    <w:uiPriority w:val="99"/>
    <w:semiHidden/>
    <w:rsid w:val="00705E33"/>
    <w:rPr>
      <w:rFonts w:ascii="Arial" w:hAnsi="Arial"/>
      <w:color w:val="000000" w:themeColor="text1"/>
      <w:sz w:val="20"/>
    </w:rPr>
  </w:style>
  <w:style w:type="paragraph" w:styleId="BodyTextIndent">
    <w:name w:val="Body Text Indent"/>
    <w:basedOn w:val="Normal"/>
    <w:link w:val="BodyTextIndentChar"/>
    <w:uiPriority w:val="99"/>
    <w:semiHidden/>
    <w:rsid w:val="00705E33"/>
    <w:pPr>
      <w:spacing w:after="120"/>
      <w:ind w:left="283"/>
    </w:pPr>
  </w:style>
  <w:style w:type="character" w:customStyle="1" w:styleId="BodyTextIndentChar">
    <w:name w:val="Body Text Indent Char"/>
    <w:basedOn w:val="DefaultParagraphFont"/>
    <w:link w:val="BodyTextIndent"/>
    <w:uiPriority w:val="99"/>
    <w:semiHidden/>
    <w:rsid w:val="00705E33"/>
    <w:rPr>
      <w:rFonts w:ascii="Arial" w:hAnsi="Arial"/>
      <w:color w:val="000000" w:themeColor="text1"/>
      <w:sz w:val="20"/>
    </w:rPr>
  </w:style>
  <w:style w:type="paragraph" w:styleId="BodyTextFirstIndent2">
    <w:name w:val="Body Text First Indent 2"/>
    <w:basedOn w:val="BodyTextIndent"/>
    <w:link w:val="BodyTextFirstIndent2Char"/>
    <w:uiPriority w:val="99"/>
    <w:semiHidden/>
    <w:rsid w:val="00705E33"/>
    <w:pPr>
      <w:spacing w:after="60"/>
      <w:ind w:left="360" w:firstLine="360"/>
    </w:pPr>
  </w:style>
  <w:style w:type="character" w:customStyle="1" w:styleId="BodyTextFirstIndent2Char">
    <w:name w:val="Body Text First Indent 2 Char"/>
    <w:basedOn w:val="BodyTextIndentChar"/>
    <w:link w:val="BodyTextFirstIndent2"/>
    <w:uiPriority w:val="99"/>
    <w:semiHidden/>
    <w:rsid w:val="00705E33"/>
    <w:rPr>
      <w:rFonts w:ascii="Arial" w:hAnsi="Arial"/>
      <w:color w:val="000000" w:themeColor="text1"/>
      <w:sz w:val="20"/>
    </w:rPr>
  </w:style>
  <w:style w:type="paragraph" w:styleId="BodyTextIndent2">
    <w:name w:val="Body Text Indent 2"/>
    <w:basedOn w:val="Normal"/>
    <w:link w:val="BodyTextIndent2Char"/>
    <w:uiPriority w:val="99"/>
    <w:semiHidden/>
    <w:rsid w:val="00705E33"/>
    <w:pPr>
      <w:spacing w:after="120" w:line="480" w:lineRule="auto"/>
      <w:ind w:left="283"/>
    </w:pPr>
  </w:style>
  <w:style w:type="character" w:customStyle="1" w:styleId="BodyTextIndent2Char">
    <w:name w:val="Body Text Indent 2 Char"/>
    <w:basedOn w:val="DefaultParagraphFont"/>
    <w:link w:val="BodyTextIndent2"/>
    <w:uiPriority w:val="99"/>
    <w:semiHidden/>
    <w:rsid w:val="00705E33"/>
    <w:rPr>
      <w:rFonts w:ascii="Arial" w:hAnsi="Arial"/>
      <w:color w:val="000000" w:themeColor="text1"/>
      <w:sz w:val="20"/>
    </w:rPr>
  </w:style>
  <w:style w:type="paragraph" w:styleId="BodyTextIndent3">
    <w:name w:val="Body Text Indent 3"/>
    <w:basedOn w:val="Normal"/>
    <w:link w:val="BodyTextIndent3Char"/>
    <w:uiPriority w:val="99"/>
    <w:semiHidden/>
    <w:rsid w:val="00705E3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05E33"/>
    <w:rPr>
      <w:rFonts w:ascii="Arial" w:hAnsi="Arial"/>
      <w:color w:val="000000" w:themeColor="text1"/>
      <w:sz w:val="16"/>
      <w:szCs w:val="16"/>
    </w:rPr>
  </w:style>
  <w:style w:type="paragraph" w:styleId="Closing">
    <w:name w:val="Closing"/>
    <w:basedOn w:val="Normal"/>
    <w:link w:val="ClosingChar"/>
    <w:uiPriority w:val="99"/>
    <w:semiHidden/>
    <w:rsid w:val="00705E33"/>
    <w:pPr>
      <w:spacing w:before="0" w:after="0"/>
      <w:ind w:left="4252"/>
    </w:pPr>
  </w:style>
  <w:style w:type="character" w:customStyle="1" w:styleId="ClosingChar">
    <w:name w:val="Closing Char"/>
    <w:basedOn w:val="DefaultParagraphFont"/>
    <w:link w:val="Closing"/>
    <w:uiPriority w:val="99"/>
    <w:semiHidden/>
    <w:rsid w:val="00705E33"/>
    <w:rPr>
      <w:rFonts w:ascii="Arial" w:hAnsi="Arial"/>
      <w:color w:val="000000" w:themeColor="text1"/>
      <w:sz w:val="20"/>
    </w:rPr>
  </w:style>
  <w:style w:type="paragraph" w:styleId="Date">
    <w:name w:val="Date"/>
    <w:basedOn w:val="Normal"/>
    <w:next w:val="Normal"/>
    <w:link w:val="DateChar"/>
    <w:uiPriority w:val="99"/>
    <w:semiHidden/>
    <w:rsid w:val="00705E33"/>
  </w:style>
  <w:style w:type="character" w:customStyle="1" w:styleId="DateChar">
    <w:name w:val="Date Char"/>
    <w:basedOn w:val="DefaultParagraphFont"/>
    <w:link w:val="Date"/>
    <w:uiPriority w:val="99"/>
    <w:semiHidden/>
    <w:rsid w:val="00705E33"/>
    <w:rPr>
      <w:rFonts w:ascii="Arial" w:hAnsi="Arial"/>
      <w:color w:val="000000" w:themeColor="text1"/>
      <w:sz w:val="20"/>
    </w:rPr>
  </w:style>
  <w:style w:type="paragraph" w:styleId="DocumentMap">
    <w:name w:val="Document Map"/>
    <w:basedOn w:val="Normal"/>
    <w:link w:val="DocumentMapChar"/>
    <w:uiPriority w:val="99"/>
    <w:semiHidden/>
    <w:rsid w:val="00705E33"/>
    <w:pPr>
      <w:spacing w:before="0" w:after="0"/>
    </w:pPr>
    <w:rPr>
      <w:rFonts w:ascii="DengXian" w:hAnsi="DengXian" w:cs="DengXian"/>
      <w:sz w:val="16"/>
      <w:szCs w:val="16"/>
    </w:rPr>
  </w:style>
  <w:style w:type="character" w:customStyle="1" w:styleId="DocumentMapChar">
    <w:name w:val="Document Map Char"/>
    <w:basedOn w:val="DefaultParagraphFont"/>
    <w:link w:val="DocumentMap"/>
    <w:uiPriority w:val="99"/>
    <w:semiHidden/>
    <w:rsid w:val="00705E33"/>
    <w:rPr>
      <w:rFonts w:ascii="DengXian" w:hAnsi="DengXian" w:cs="DengXian"/>
      <w:color w:val="000000" w:themeColor="text1"/>
      <w:sz w:val="16"/>
      <w:szCs w:val="16"/>
    </w:rPr>
  </w:style>
  <w:style w:type="paragraph" w:styleId="E-mailSignature">
    <w:name w:val="E-mail Signature"/>
    <w:basedOn w:val="Normal"/>
    <w:link w:val="E-mailSignatureChar"/>
    <w:uiPriority w:val="99"/>
    <w:semiHidden/>
    <w:rsid w:val="00705E33"/>
    <w:pPr>
      <w:spacing w:before="0" w:after="0"/>
    </w:pPr>
  </w:style>
  <w:style w:type="character" w:customStyle="1" w:styleId="E-mailSignatureChar">
    <w:name w:val="E-mail Signature Char"/>
    <w:basedOn w:val="DefaultParagraphFont"/>
    <w:link w:val="E-mailSignature"/>
    <w:uiPriority w:val="99"/>
    <w:semiHidden/>
    <w:rsid w:val="00705E33"/>
    <w:rPr>
      <w:rFonts w:ascii="Arial" w:hAnsi="Arial"/>
      <w:color w:val="000000" w:themeColor="text1"/>
      <w:sz w:val="20"/>
    </w:rPr>
  </w:style>
  <w:style w:type="paragraph" w:styleId="EnvelopeAddress">
    <w:name w:val="envelope address"/>
    <w:basedOn w:val="Normal"/>
    <w:uiPriority w:val="99"/>
    <w:semiHidden/>
    <w:rsid w:val="0013565F"/>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05E33"/>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705E33"/>
    <w:pPr>
      <w:spacing w:before="0" w:after="0"/>
    </w:pPr>
    <w:rPr>
      <w:i/>
      <w:iCs/>
    </w:rPr>
  </w:style>
  <w:style w:type="character" w:customStyle="1" w:styleId="HTMLAddressChar">
    <w:name w:val="HTML Address Char"/>
    <w:basedOn w:val="DefaultParagraphFont"/>
    <w:link w:val="HTMLAddress"/>
    <w:uiPriority w:val="99"/>
    <w:semiHidden/>
    <w:rsid w:val="00705E33"/>
    <w:rPr>
      <w:rFonts w:ascii="Arial" w:hAnsi="Arial"/>
      <w:i/>
      <w:iCs/>
      <w:color w:val="000000" w:themeColor="text1"/>
      <w:sz w:val="20"/>
    </w:rPr>
  </w:style>
  <w:style w:type="paragraph" w:styleId="HTMLPreformatted">
    <w:name w:val="HTML Preformatted"/>
    <w:basedOn w:val="Normal"/>
    <w:link w:val="HTMLPreformattedChar"/>
    <w:uiPriority w:val="99"/>
    <w:semiHidden/>
    <w:unhideWhenUsed/>
    <w:rsid w:val="00705E33"/>
    <w:pPr>
      <w:spacing w:before="0" w:after="0"/>
    </w:pPr>
    <w:rPr>
      <w:rFonts w:ascii="Calibri Light" w:hAnsi="Calibri Light"/>
      <w:szCs w:val="20"/>
    </w:rPr>
  </w:style>
  <w:style w:type="character" w:customStyle="1" w:styleId="HTMLPreformattedChar">
    <w:name w:val="HTML Preformatted Char"/>
    <w:basedOn w:val="DefaultParagraphFont"/>
    <w:link w:val="HTMLPreformatted"/>
    <w:uiPriority w:val="99"/>
    <w:semiHidden/>
    <w:rsid w:val="00705E33"/>
    <w:rPr>
      <w:rFonts w:ascii="Calibri Light" w:hAnsi="Calibri Light"/>
      <w:color w:val="000000" w:themeColor="text1"/>
      <w:sz w:val="20"/>
      <w:szCs w:val="20"/>
    </w:rPr>
  </w:style>
  <w:style w:type="paragraph" w:styleId="Index1">
    <w:name w:val="index 1"/>
    <w:basedOn w:val="Normal"/>
    <w:next w:val="Normal"/>
    <w:autoRedefine/>
    <w:uiPriority w:val="99"/>
    <w:semiHidden/>
    <w:unhideWhenUsed/>
    <w:rsid w:val="00705E33"/>
    <w:pPr>
      <w:spacing w:before="0" w:after="0"/>
      <w:ind w:left="200" w:hanging="200"/>
    </w:pPr>
  </w:style>
  <w:style w:type="paragraph" w:styleId="Index2">
    <w:name w:val="index 2"/>
    <w:basedOn w:val="Normal"/>
    <w:next w:val="Normal"/>
    <w:autoRedefine/>
    <w:uiPriority w:val="99"/>
    <w:semiHidden/>
    <w:unhideWhenUsed/>
    <w:rsid w:val="00705E33"/>
    <w:pPr>
      <w:spacing w:before="0" w:after="0"/>
      <w:ind w:left="400" w:hanging="200"/>
    </w:pPr>
  </w:style>
  <w:style w:type="paragraph" w:styleId="Index3">
    <w:name w:val="index 3"/>
    <w:basedOn w:val="Normal"/>
    <w:next w:val="Normal"/>
    <w:autoRedefine/>
    <w:uiPriority w:val="99"/>
    <w:semiHidden/>
    <w:unhideWhenUsed/>
    <w:rsid w:val="00705E33"/>
    <w:pPr>
      <w:spacing w:before="0" w:after="0"/>
      <w:ind w:left="600" w:hanging="200"/>
    </w:pPr>
  </w:style>
  <w:style w:type="paragraph" w:styleId="Index4">
    <w:name w:val="index 4"/>
    <w:basedOn w:val="Normal"/>
    <w:next w:val="Normal"/>
    <w:autoRedefine/>
    <w:uiPriority w:val="99"/>
    <w:semiHidden/>
    <w:unhideWhenUsed/>
    <w:rsid w:val="00705E33"/>
    <w:pPr>
      <w:spacing w:before="0" w:after="0"/>
      <w:ind w:left="800" w:hanging="200"/>
    </w:pPr>
  </w:style>
  <w:style w:type="paragraph" w:styleId="Index5">
    <w:name w:val="index 5"/>
    <w:basedOn w:val="Normal"/>
    <w:next w:val="Normal"/>
    <w:autoRedefine/>
    <w:uiPriority w:val="99"/>
    <w:semiHidden/>
    <w:unhideWhenUsed/>
    <w:rsid w:val="00705E33"/>
    <w:pPr>
      <w:spacing w:before="0" w:after="0"/>
      <w:ind w:left="1000" w:hanging="200"/>
    </w:pPr>
  </w:style>
  <w:style w:type="paragraph" w:styleId="Index6">
    <w:name w:val="index 6"/>
    <w:basedOn w:val="Normal"/>
    <w:next w:val="Normal"/>
    <w:autoRedefine/>
    <w:uiPriority w:val="99"/>
    <w:semiHidden/>
    <w:unhideWhenUsed/>
    <w:rsid w:val="00705E33"/>
    <w:pPr>
      <w:spacing w:before="0" w:after="0"/>
      <w:ind w:left="1200" w:hanging="200"/>
    </w:pPr>
  </w:style>
  <w:style w:type="paragraph" w:styleId="Index7">
    <w:name w:val="index 7"/>
    <w:basedOn w:val="Normal"/>
    <w:next w:val="Normal"/>
    <w:autoRedefine/>
    <w:uiPriority w:val="99"/>
    <w:semiHidden/>
    <w:unhideWhenUsed/>
    <w:rsid w:val="00705E33"/>
    <w:pPr>
      <w:spacing w:before="0" w:after="0"/>
      <w:ind w:left="1400" w:hanging="200"/>
    </w:pPr>
  </w:style>
  <w:style w:type="paragraph" w:styleId="Index8">
    <w:name w:val="index 8"/>
    <w:basedOn w:val="Normal"/>
    <w:next w:val="Normal"/>
    <w:autoRedefine/>
    <w:uiPriority w:val="99"/>
    <w:semiHidden/>
    <w:unhideWhenUsed/>
    <w:rsid w:val="00705E33"/>
    <w:pPr>
      <w:spacing w:before="0" w:after="0"/>
      <w:ind w:left="1600" w:hanging="200"/>
    </w:pPr>
  </w:style>
  <w:style w:type="paragraph" w:styleId="Index9">
    <w:name w:val="index 9"/>
    <w:basedOn w:val="Normal"/>
    <w:next w:val="Normal"/>
    <w:autoRedefine/>
    <w:uiPriority w:val="99"/>
    <w:semiHidden/>
    <w:unhideWhenUsed/>
    <w:rsid w:val="00705E33"/>
    <w:pPr>
      <w:spacing w:before="0" w:after="0"/>
      <w:ind w:left="1800" w:hanging="200"/>
    </w:pPr>
  </w:style>
  <w:style w:type="paragraph" w:styleId="IndexHeading">
    <w:name w:val="index heading"/>
    <w:basedOn w:val="Normal"/>
    <w:next w:val="Index1"/>
    <w:uiPriority w:val="99"/>
    <w:semiHidden/>
    <w:unhideWhenUsed/>
    <w:rsid w:val="00705E33"/>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705E33"/>
    <w:pPr>
      <w:pBdr>
        <w:top w:val="single" w:sz="4" w:space="10" w:color="1E49E2" w:themeColor="accent1"/>
        <w:bottom w:val="single" w:sz="4" w:space="10" w:color="1E49E2" w:themeColor="accent1"/>
      </w:pBdr>
      <w:spacing w:before="360" w:after="360"/>
      <w:ind w:left="864" w:right="864"/>
      <w:jc w:val="center"/>
    </w:pPr>
    <w:rPr>
      <w:i/>
      <w:iCs/>
      <w:color w:val="1E49E2" w:themeColor="accent1"/>
    </w:rPr>
  </w:style>
  <w:style w:type="character" w:customStyle="1" w:styleId="IntenseQuoteChar">
    <w:name w:val="Intense Quote Char"/>
    <w:basedOn w:val="DefaultParagraphFont"/>
    <w:link w:val="IntenseQuote"/>
    <w:uiPriority w:val="99"/>
    <w:semiHidden/>
    <w:rsid w:val="00705E33"/>
    <w:rPr>
      <w:rFonts w:ascii="Arial" w:hAnsi="Arial"/>
      <w:i/>
      <w:iCs/>
      <w:color w:val="1E49E2" w:themeColor="accent1"/>
      <w:sz w:val="20"/>
    </w:rPr>
  </w:style>
  <w:style w:type="paragraph" w:styleId="List">
    <w:name w:val="List"/>
    <w:basedOn w:val="Normal"/>
    <w:uiPriority w:val="99"/>
    <w:semiHidden/>
    <w:unhideWhenUsed/>
    <w:rsid w:val="00705E33"/>
    <w:pPr>
      <w:ind w:left="283" w:hanging="283"/>
      <w:contextualSpacing/>
    </w:pPr>
  </w:style>
  <w:style w:type="paragraph" w:styleId="List2">
    <w:name w:val="List 2"/>
    <w:basedOn w:val="Normal"/>
    <w:uiPriority w:val="99"/>
    <w:semiHidden/>
    <w:unhideWhenUsed/>
    <w:rsid w:val="00705E33"/>
    <w:pPr>
      <w:ind w:left="566" w:hanging="283"/>
      <w:contextualSpacing/>
    </w:pPr>
  </w:style>
  <w:style w:type="paragraph" w:styleId="List3">
    <w:name w:val="List 3"/>
    <w:basedOn w:val="Normal"/>
    <w:uiPriority w:val="99"/>
    <w:semiHidden/>
    <w:unhideWhenUsed/>
    <w:rsid w:val="00705E33"/>
    <w:pPr>
      <w:ind w:left="849" w:hanging="283"/>
      <w:contextualSpacing/>
    </w:pPr>
  </w:style>
  <w:style w:type="paragraph" w:styleId="List4">
    <w:name w:val="List 4"/>
    <w:basedOn w:val="Normal"/>
    <w:uiPriority w:val="99"/>
    <w:semiHidden/>
    <w:unhideWhenUsed/>
    <w:rsid w:val="00705E33"/>
    <w:pPr>
      <w:ind w:left="1132" w:hanging="283"/>
      <w:contextualSpacing/>
    </w:pPr>
  </w:style>
  <w:style w:type="paragraph" w:styleId="List5">
    <w:name w:val="List 5"/>
    <w:basedOn w:val="Normal"/>
    <w:uiPriority w:val="99"/>
    <w:semiHidden/>
    <w:unhideWhenUsed/>
    <w:rsid w:val="00705E33"/>
    <w:pPr>
      <w:ind w:left="1415" w:hanging="283"/>
      <w:contextualSpacing/>
    </w:pPr>
  </w:style>
  <w:style w:type="paragraph" w:styleId="ListBullet4">
    <w:name w:val="List Bullet 4"/>
    <w:basedOn w:val="Normal"/>
    <w:uiPriority w:val="99"/>
    <w:semiHidden/>
    <w:rsid w:val="0013565F"/>
    <w:pPr>
      <w:numPr>
        <w:numId w:val="14"/>
      </w:numPr>
      <w:contextualSpacing/>
    </w:pPr>
  </w:style>
  <w:style w:type="paragraph" w:styleId="ListBullet5">
    <w:name w:val="List Bullet 5"/>
    <w:basedOn w:val="Normal"/>
    <w:uiPriority w:val="99"/>
    <w:semiHidden/>
    <w:rsid w:val="0013565F"/>
    <w:pPr>
      <w:numPr>
        <w:numId w:val="15"/>
      </w:numPr>
      <w:contextualSpacing/>
    </w:pPr>
  </w:style>
  <w:style w:type="paragraph" w:styleId="ListContinue">
    <w:name w:val="List Continue"/>
    <w:basedOn w:val="Normal"/>
    <w:uiPriority w:val="99"/>
    <w:semiHidden/>
    <w:unhideWhenUsed/>
    <w:rsid w:val="00705E33"/>
    <w:pPr>
      <w:spacing w:after="120"/>
      <w:ind w:left="283"/>
      <w:contextualSpacing/>
    </w:pPr>
  </w:style>
  <w:style w:type="paragraph" w:styleId="ListContinue2">
    <w:name w:val="List Continue 2"/>
    <w:basedOn w:val="Normal"/>
    <w:uiPriority w:val="99"/>
    <w:semiHidden/>
    <w:unhideWhenUsed/>
    <w:rsid w:val="00705E33"/>
    <w:pPr>
      <w:spacing w:after="120"/>
      <w:ind w:left="566"/>
      <w:contextualSpacing/>
    </w:pPr>
  </w:style>
  <w:style w:type="paragraph" w:styleId="ListContinue3">
    <w:name w:val="List Continue 3"/>
    <w:basedOn w:val="Normal"/>
    <w:uiPriority w:val="99"/>
    <w:semiHidden/>
    <w:unhideWhenUsed/>
    <w:rsid w:val="00705E33"/>
    <w:pPr>
      <w:spacing w:after="120"/>
      <w:ind w:left="849"/>
      <w:contextualSpacing/>
    </w:pPr>
  </w:style>
  <w:style w:type="paragraph" w:styleId="ListContinue4">
    <w:name w:val="List Continue 4"/>
    <w:basedOn w:val="Normal"/>
    <w:uiPriority w:val="99"/>
    <w:semiHidden/>
    <w:unhideWhenUsed/>
    <w:rsid w:val="00705E33"/>
    <w:pPr>
      <w:spacing w:after="120"/>
      <w:ind w:left="1132"/>
      <w:contextualSpacing/>
    </w:pPr>
  </w:style>
  <w:style w:type="paragraph" w:styleId="ListContinue5">
    <w:name w:val="List Continue 5"/>
    <w:basedOn w:val="Normal"/>
    <w:uiPriority w:val="99"/>
    <w:semiHidden/>
    <w:unhideWhenUsed/>
    <w:rsid w:val="00705E33"/>
    <w:pPr>
      <w:spacing w:after="120"/>
      <w:ind w:left="1415"/>
      <w:contextualSpacing/>
    </w:pPr>
  </w:style>
  <w:style w:type="paragraph" w:styleId="ListNumber4">
    <w:name w:val="List Number 4"/>
    <w:basedOn w:val="Normal"/>
    <w:uiPriority w:val="9"/>
    <w:semiHidden/>
    <w:rsid w:val="0013565F"/>
    <w:pPr>
      <w:numPr>
        <w:numId w:val="16"/>
      </w:numPr>
      <w:contextualSpacing/>
    </w:pPr>
  </w:style>
  <w:style w:type="paragraph" w:styleId="ListNumber5">
    <w:name w:val="List Number 5"/>
    <w:basedOn w:val="Normal"/>
    <w:uiPriority w:val="9"/>
    <w:semiHidden/>
    <w:rsid w:val="0013565F"/>
    <w:pPr>
      <w:numPr>
        <w:numId w:val="17"/>
      </w:numPr>
      <w:contextualSpacing/>
    </w:pPr>
  </w:style>
  <w:style w:type="paragraph" w:styleId="MacroText">
    <w:name w:val="macro"/>
    <w:link w:val="MacroTextChar"/>
    <w:uiPriority w:val="99"/>
    <w:semiHidden/>
    <w:unhideWhenUsed/>
    <w:rsid w:val="00705E33"/>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alibri Light" w:hAnsi="Calibri Light"/>
      <w:color w:val="000000" w:themeColor="text1"/>
      <w:sz w:val="20"/>
      <w:szCs w:val="20"/>
    </w:rPr>
  </w:style>
  <w:style w:type="character" w:customStyle="1" w:styleId="MacroTextChar">
    <w:name w:val="Macro Text Char"/>
    <w:basedOn w:val="DefaultParagraphFont"/>
    <w:link w:val="MacroText"/>
    <w:uiPriority w:val="99"/>
    <w:semiHidden/>
    <w:rsid w:val="00705E33"/>
    <w:rPr>
      <w:rFonts w:ascii="Calibri Light" w:hAnsi="Calibri Light"/>
      <w:color w:val="000000" w:themeColor="text1"/>
      <w:sz w:val="20"/>
      <w:szCs w:val="20"/>
    </w:rPr>
  </w:style>
  <w:style w:type="paragraph" w:styleId="MessageHeader">
    <w:name w:val="Message Header"/>
    <w:basedOn w:val="Normal"/>
    <w:link w:val="MessageHeaderChar"/>
    <w:uiPriority w:val="99"/>
    <w:semiHidden/>
    <w:unhideWhenUsed/>
    <w:rsid w:val="00705E33"/>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5E33"/>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99"/>
    <w:semiHidden/>
    <w:qFormat/>
    <w:rsid w:val="00705E33"/>
    <w:pPr>
      <w:spacing w:after="0" w:line="240" w:lineRule="auto"/>
    </w:pPr>
    <w:rPr>
      <w:rFonts w:ascii="CG Times (W1)" w:hAnsi="CG Times (W1)"/>
      <w:color w:val="000000" w:themeColor="text1"/>
      <w:sz w:val="20"/>
    </w:rPr>
  </w:style>
  <w:style w:type="paragraph" w:styleId="NormalIndent">
    <w:name w:val="Normal Indent"/>
    <w:basedOn w:val="Normal"/>
    <w:uiPriority w:val="99"/>
    <w:semiHidden/>
    <w:unhideWhenUsed/>
    <w:rsid w:val="00705E33"/>
    <w:pPr>
      <w:ind w:left="720"/>
    </w:pPr>
  </w:style>
  <w:style w:type="paragraph" w:styleId="NoteHeading">
    <w:name w:val="Note Heading"/>
    <w:basedOn w:val="Normal"/>
    <w:next w:val="Normal"/>
    <w:link w:val="NoteHeadingChar"/>
    <w:uiPriority w:val="99"/>
    <w:semiHidden/>
    <w:unhideWhenUsed/>
    <w:rsid w:val="00705E33"/>
    <w:pPr>
      <w:spacing w:before="0" w:after="0"/>
    </w:pPr>
  </w:style>
  <w:style w:type="character" w:customStyle="1" w:styleId="NoteHeadingChar">
    <w:name w:val="Note Heading Char"/>
    <w:basedOn w:val="DefaultParagraphFont"/>
    <w:link w:val="NoteHeading"/>
    <w:uiPriority w:val="99"/>
    <w:semiHidden/>
    <w:rsid w:val="00705E33"/>
    <w:rPr>
      <w:rFonts w:ascii="Arial" w:hAnsi="Arial"/>
      <w:color w:val="000000" w:themeColor="text1"/>
      <w:sz w:val="20"/>
    </w:rPr>
  </w:style>
  <w:style w:type="paragraph" w:styleId="PlainText">
    <w:name w:val="Plain Text"/>
    <w:basedOn w:val="Normal"/>
    <w:link w:val="PlainTextChar"/>
    <w:uiPriority w:val="99"/>
    <w:semiHidden/>
    <w:unhideWhenUsed/>
    <w:rsid w:val="00705E33"/>
    <w:pPr>
      <w:spacing w:before="0" w:after="0"/>
    </w:pPr>
    <w:rPr>
      <w:rFonts w:ascii="Calibri Light" w:hAnsi="Calibri Light"/>
      <w:sz w:val="21"/>
      <w:szCs w:val="21"/>
    </w:rPr>
  </w:style>
  <w:style w:type="character" w:customStyle="1" w:styleId="PlainTextChar">
    <w:name w:val="Plain Text Char"/>
    <w:basedOn w:val="DefaultParagraphFont"/>
    <w:link w:val="PlainText"/>
    <w:uiPriority w:val="99"/>
    <w:semiHidden/>
    <w:rsid w:val="00705E33"/>
    <w:rPr>
      <w:rFonts w:ascii="Calibri Light" w:hAnsi="Calibri Light"/>
      <w:color w:val="000000" w:themeColor="text1"/>
      <w:sz w:val="21"/>
      <w:szCs w:val="21"/>
    </w:rPr>
  </w:style>
  <w:style w:type="paragraph" w:styleId="Quote">
    <w:name w:val="Quote"/>
    <w:basedOn w:val="Normal"/>
    <w:next w:val="Normal"/>
    <w:link w:val="QuoteChar"/>
    <w:uiPriority w:val="99"/>
    <w:semiHidden/>
    <w:qFormat/>
    <w:rsid w:val="00705E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705E33"/>
    <w:rPr>
      <w:rFonts w:ascii="Arial" w:hAnsi="Arial"/>
      <w:i/>
      <w:iCs/>
      <w:color w:val="404040" w:themeColor="text1" w:themeTint="BF"/>
      <w:sz w:val="20"/>
    </w:rPr>
  </w:style>
  <w:style w:type="paragraph" w:styleId="Salutation">
    <w:name w:val="Salutation"/>
    <w:basedOn w:val="Normal"/>
    <w:next w:val="Normal"/>
    <w:link w:val="SalutationChar"/>
    <w:uiPriority w:val="99"/>
    <w:semiHidden/>
    <w:unhideWhenUsed/>
    <w:rsid w:val="00705E33"/>
  </w:style>
  <w:style w:type="character" w:customStyle="1" w:styleId="SalutationChar">
    <w:name w:val="Salutation Char"/>
    <w:basedOn w:val="DefaultParagraphFont"/>
    <w:link w:val="Salutation"/>
    <w:uiPriority w:val="99"/>
    <w:semiHidden/>
    <w:rsid w:val="00705E33"/>
    <w:rPr>
      <w:rFonts w:ascii="Arial" w:hAnsi="Arial"/>
      <w:color w:val="000000" w:themeColor="text1"/>
      <w:sz w:val="20"/>
    </w:rPr>
  </w:style>
  <w:style w:type="paragraph" w:styleId="Signature">
    <w:name w:val="Signature"/>
    <w:basedOn w:val="Normal"/>
    <w:link w:val="SignatureChar"/>
    <w:uiPriority w:val="99"/>
    <w:semiHidden/>
    <w:unhideWhenUsed/>
    <w:rsid w:val="00705E33"/>
    <w:pPr>
      <w:spacing w:before="0" w:after="0"/>
      <w:ind w:left="4252"/>
    </w:pPr>
  </w:style>
  <w:style w:type="character" w:customStyle="1" w:styleId="SignatureChar">
    <w:name w:val="Signature Char"/>
    <w:basedOn w:val="DefaultParagraphFont"/>
    <w:link w:val="Signature"/>
    <w:uiPriority w:val="99"/>
    <w:semiHidden/>
    <w:rsid w:val="00705E33"/>
    <w:rPr>
      <w:rFonts w:ascii="Arial" w:hAnsi="Arial"/>
      <w:color w:val="000000" w:themeColor="text1"/>
      <w:sz w:val="20"/>
    </w:rPr>
  </w:style>
  <w:style w:type="paragraph" w:styleId="Subtitle">
    <w:name w:val="Subtitle"/>
    <w:basedOn w:val="Normal"/>
    <w:next w:val="Normal"/>
    <w:link w:val="SubtitleChar"/>
    <w:uiPriority w:val="99"/>
    <w:semiHidden/>
    <w:qFormat/>
    <w:rsid w:val="00705E33"/>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705E33"/>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5E33"/>
    <w:pPr>
      <w:spacing w:after="0"/>
      <w:ind w:left="200" w:hanging="200"/>
    </w:pPr>
  </w:style>
  <w:style w:type="paragraph" w:styleId="Title">
    <w:name w:val="Title"/>
    <w:basedOn w:val="Normal"/>
    <w:next w:val="Normal"/>
    <w:link w:val="TitleChar"/>
    <w:uiPriority w:val="99"/>
    <w:semiHidden/>
    <w:qFormat/>
    <w:rsid w:val="00705E33"/>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semiHidden/>
    <w:rsid w:val="00705E3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05E33"/>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5"/>
    <w:semiHidden/>
    <w:unhideWhenUsed/>
    <w:rsid w:val="00705E33"/>
    <w:pPr>
      <w:spacing w:after="100"/>
      <w:ind w:left="600"/>
    </w:pPr>
  </w:style>
  <w:style w:type="paragraph" w:styleId="TOC5">
    <w:name w:val="toc 5"/>
    <w:basedOn w:val="Normal"/>
    <w:next w:val="Normal"/>
    <w:autoRedefine/>
    <w:uiPriority w:val="5"/>
    <w:semiHidden/>
    <w:unhideWhenUsed/>
    <w:rsid w:val="00705E33"/>
    <w:pPr>
      <w:spacing w:after="100"/>
      <w:ind w:left="800"/>
    </w:pPr>
  </w:style>
  <w:style w:type="paragraph" w:styleId="TOC6">
    <w:name w:val="toc 6"/>
    <w:basedOn w:val="Normal"/>
    <w:next w:val="Normal"/>
    <w:autoRedefine/>
    <w:uiPriority w:val="5"/>
    <w:semiHidden/>
    <w:unhideWhenUsed/>
    <w:rsid w:val="00705E33"/>
    <w:pPr>
      <w:spacing w:after="100"/>
      <w:ind w:left="1000"/>
    </w:pPr>
  </w:style>
  <w:style w:type="paragraph" w:styleId="TOC7">
    <w:name w:val="toc 7"/>
    <w:basedOn w:val="Normal"/>
    <w:next w:val="Normal"/>
    <w:autoRedefine/>
    <w:uiPriority w:val="5"/>
    <w:semiHidden/>
    <w:unhideWhenUsed/>
    <w:rsid w:val="00705E33"/>
    <w:pPr>
      <w:spacing w:after="100"/>
      <w:ind w:left="1200"/>
    </w:pPr>
  </w:style>
  <w:style w:type="paragraph" w:styleId="TOC8">
    <w:name w:val="toc 8"/>
    <w:basedOn w:val="Normal"/>
    <w:next w:val="Normal"/>
    <w:autoRedefine/>
    <w:uiPriority w:val="5"/>
    <w:semiHidden/>
    <w:unhideWhenUsed/>
    <w:rsid w:val="00705E33"/>
    <w:pPr>
      <w:spacing w:after="100"/>
      <w:ind w:left="1400"/>
    </w:pPr>
  </w:style>
  <w:style w:type="paragraph" w:styleId="TOC9">
    <w:name w:val="toc 9"/>
    <w:basedOn w:val="Normal"/>
    <w:next w:val="Normal"/>
    <w:autoRedefine/>
    <w:uiPriority w:val="5"/>
    <w:semiHidden/>
    <w:unhideWhenUsed/>
    <w:rsid w:val="00705E33"/>
    <w:pPr>
      <w:spacing w:after="100"/>
      <w:ind w:left="1600"/>
    </w:pPr>
  </w:style>
  <w:style w:type="table" w:styleId="GridTable3">
    <w:name w:val="Grid Table 3"/>
    <w:basedOn w:val="TableNormal"/>
    <w:uiPriority w:val="48"/>
    <w:rsid w:val="004F76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F00E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7B4A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6B16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844D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8824A8"/>
    <w:pPr>
      <w:spacing w:after="0" w:line="240" w:lineRule="auto"/>
    </w:pPr>
    <w:tblPr>
      <w:tblStyleRowBandSize w:val="1"/>
      <w:tblStyleColBandSize w:val="1"/>
      <w:tblBorders>
        <w:top w:val="single" w:sz="4" w:space="0" w:color="FEADD7" w:themeColor="accent5" w:themeTint="66"/>
        <w:left w:val="single" w:sz="4" w:space="0" w:color="FEADD7" w:themeColor="accent5" w:themeTint="66"/>
        <w:bottom w:val="single" w:sz="4" w:space="0" w:color="FEADD7" w:themeColor="accent5" w:themeTint="66"/>
        <w:right w:val="single" w:sz="4" w:space="0" w:color="FEADD7" w:themeColor="accent5" w:themeTint="66"/>
        <w:insideH w:val="single" w:sz="4" w:space="0" w:color="FEADD7" w:themeColor="accent5" w:themeTint="66"/>
        <w:insideV w:val="single" w:sz="4" w:space="0" w:color="FEADD7" w:themeColor="accent5" w:themeTint="66"/>
      </w:tblBorders>
    </w:tblPr>
    <w:tblStylePr w:type="firstRow">
      <w:rPr>
        <w:b/>
        <w:bCs/>
      </w:rPr>
      <w:tblPr/>
      <w:tcPr>
        <w:tcBorders>
          <w:bottom w:val="single" w:sz="12" w:space="0" w:color="FD85C3" w:themeColor="accent5" w:themeTint="99"/>
        </w:tcBorders>
      </w:tcPr>
    </w:tblStylePr>
    <w:tblStylePr w:type="lastRow">
      <w:rPr>
        <w:b/>
        <w:bCs/>
      </w:rPr>
      <w:tblPr/>
      <w:tcPr>
        <w:tcBorders>
          <w:top w:val="double" w:sz="2" w:space="0" w:color="FD85C3"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555">
      <w:bodyDiv w:val="1"/>
      <w:marLeft w:val="0"/>
      <w:marRight w:val="0"/>
      <w:marTop w:val="0"/>
      <w:marBottom w:val="0"/>
      <w:divBdr>
        <w:top w:val="none" w:sz="0" w:space="0" w:color="auto"/>
        <w:left w:val="none" w:sz="0" w:space="0" w:color="auto"/>
        <w:bottom w:val="none" w:sz="0" w:space="0" w:color="auto"/>
        <w:right w:val="none" w:sz="0" w:space="0" w:color="auto"/>
      </w:divBdr>
    </w:div>
    <w:div w:id="16666964">
      <w:bodyDiv w:val="1"/>
      <w:marLeft w:val="0"/>
      <w:marRight w:val="0"/>
      <w:marTop w:val="0"/>
      <w:marBottom w:val="0"/>
      <w:divBdr>
        <w:top w:val="none" w:sz="0" w:space="0" w:color="auto"/>
        <w:left w:val="none" w:sz="0" w:space="0" w:color="auto"/>
        <w:bottom w:val="none" w:sz="0" w:space="0" w:color="auto"/>
        <w:right w:val="none" w:sz="0" w:space="0" w:color="auto"/>
      </w:divBdr>
    </w:div>
    <w:div w:id="19479034">
      <w:bodyDiv w:val="1"/>
      <w:marLeft w:val="0"/>
      <w:marRight w:val="0"/>
      <w:marTop w:val="0"/>
      <w:marBottom w:val="0"/>
      <w:divBdr>
        <w:top w:val="none" w:sz="0" w:space="0" w:color="auto"/>
        <w:left w:val="none" w:sz="0" w:space="0" w:color="auto"/>
        <w:bottom w:val="none" w:sz="0" w:space="0" w:color="auto"/>
        <w:right w:val="none" w:sz="0" w:space="0" w:color="auto"/>
      </w:divBdr>
    </w:div>
    <w:div w:id="50466846">
      <w:bodyDiv w:val="1"/>
      <w:marLeft w:val="0"/>
      <w:marRight w:val="0"/>
      <w:marTop w:val="0"/>
      <w:marBottom w:val="0"/>
      <w:divBdr>
        <w:top w:val="none" w:sz="0" w:space="0" w:color="auto"/>
        <w:left w:val="none" w:sz="0" w:space="0" w:color="auto"/>
        <w:bottom w:val="none" w:sz="0" w:space="0" w:color="auto"/>
        <w:right w:val="none" w:sz="0" w:space="0" w:color="auto"/>
      </w:divBdr>
    </w:div>
    <w:div w:id="68503527">
      <w:bodyDiv w:val="1"/>
      <w:marLeft w:val="0"/>
      <w:marRight w:val="0"/>
      <w:marTop w:val="0"/>
      <w:marBottom w:val="0"/>
      <w:divBdr>
        <w:top w:val="none" w:sz="0" w:space="0" w:color="auto"/>
        <w:left w:val="none" w:sz="0" w:space="0" w:color="auto"/>
        <w:bottom w:val="none" w:sz="0" w:space="0" w:color="auto"/>
        <w:right w:val="none" w:sz="0" w:space="0" w:color="auto"/>
      </w:divBdr>
    </w:div>
    <w:div w:id="68579232">
      <w:bodyDiv w:val="1"/>
      <w:marLeft w:val="0"/>
      <w:marRight w:val="0"/>
      <w:marTop w:val="0"/>
      <w:marBottom w:val="0"/>
      <w:divBdr>
        <w:top w:val="none" w:sz="0" w:space="0" w:color="auto"/>
        <w:left w:val="none" w:sz="0" w:space="0" w:color="auto"/>
        <w:bottom w:val="none" w:sz="0" w:space="0" w:color="auto"/>
        <w:right w:val="none" w:sz="0" w:space="0" w:color="auto"/>
      </w:divBdr>
    </w:div>
    <w:div w:id="69742885">
      <w:bodyDiv w:val="1"/>
      <w:marLeft w:val="0"/>
      <w:marRight w:val="0"/>
      <w:marTop w:val="0"/>
      <w:marBottom w:val="0"/>
      <w:divBdr>
        <w:top w:val="none" w:sz="0" w:space="0" w:color="auto"/>
        <w:left w:val="none" w:sz="0" w:space="0" w:color="auto"/>
        <w:bottom w:val="none" w:sz="0" w:space="0" w:color="auto"/>
        <w:right w:val="none" w:sz="0" w:space="0" w:color="auto"/>
      </w:divBdr>
    </w:div>
    <w:div w:id="71702716">
      <w:bodyDiv w:val="1"/>
      <w:marLeft w:val="0"/>
      <w:marRight w:val="0"/>
      <w:marTop w:val="0"/>
      <w:marBottom w:val="0"/>
      <w:divBdr>
        <w:top w:val="none" w:sz="0" w:space="0" w:color="auto"/>
        <w:left w:val="none" w:sz="0" w:space="0" w:color="auto"/>
        <w:bottom w:val="none" w:sz="0" w:space="0" w:color="auto"/>
        <w:right w:val="none" w:sz="0" w:space="0" w:color="auto"/>
      </w:divBdr>
    </w:div>
    <w:div w:id="84809618">
      <w:bodyDiv w:val="1"/>
      <w:marLeft w:val="0"/>
      <w:marRight w:val="0"/>
      <w:marTop w:val="0"/>
      <w:marBottom w:val="0"/>
      <w:divBdr>
        <w:top w:val="none" w:sz="0" w:space="0" w:color="auto"/>
        <w:left w:val="none" w:sz="0" w:space="0" w:color="auto"/>
        <w:bottom w:val="none" w:sz="0" w:space="0" w:color="auto"/>
        <w:right w:val="none" w:sz="0" w:space="0" w:color="auto"/>
      </w:divBdr>
      <w:divsChild>
        <w:div w:id="1576472985">
          <w:marLeft w:val="0"/>
          <w:marRight w:val="0"/>
          <w:marTop w:val="0"/>
          <w:marBottom w:val="0"/>
          <w:divBdr>
            <w:top w:val="none" w:sz="0" w:space="0" w:color="auto"/>
            <w:left w:val="none" w:sz="0" w:space="0" w:color="auto"/>
            <w:bottom w:val="none" w:sz="0" w:space="0" w:color="auto"/>
            <w:right w:val="none" w:sz="0" w:space="0" w:color="auto"/>
          </w:divBdr>
        </w:div>
      </w:divsChild>
    </w:div>
    <w:div w:id="93787653">
      <w:bodyDiv w:val="1"/>
      <w:marLeft w:val="0"/>
      <w:marRight w:val="0"/>
      <w:marTop w:val="0"/>
      <w:marBottom w:val="0"/>
      <w:divBdr>
        <w:top w:val="none" w:sz="0" w:space="0" w:color="auto"/>
        <w:left w:val="none" w:sz="0" w:space="0" w:color="auto"/>
        <w:bottom w:val="none" w:sz="0" w:space="0" w:color="auto"/>
        <w:right w:val="none" w:sz="0" w:space="0" w:color="auto"/>
      </w:divBdr>
      <w:divsChild>
        <w:div w:id="1299723498">
          <w:marLeft w:val="547"/>
          <w:marRight w:val="0"/>
          <w:marTop w:val="0"/>
          <w:marBottom w:val="0"/>
          <w:divBdr>
            <w:top w:val="none" w:sz="0" w:space="0" w:color="auto"/>
            <w:left w:val="none" w:sz="0" w:space="0" w:color="auto"/>
            <w:bottom w:val="none" w:sz="0" w:space="0" w:color="auto"/>
            <w:right w:val="none" w:sz="0" w:space="0" w:color="auto"/>
          </w:divBdr>
        </w:div>
      </w:divsChild>
    </w:div>
    <w:div w:id="113135060">
      <w:bodyDiv w:val="1"/>
      <w:marLeft w:val="0"/>
      <w:marRight w:val="0"/>
      <w:marTop w:val="0"/>
      <w:marBottom w:val="0"/>
      <w:divBdr>
        <w:top w:val="none" w:sz="0" w:space="0" w:color="auto"/>
        <w:left w:val="none" w:sz="0" w:space="0" w:color="auto"/>
        <w:bottom w:val="none" w:sz="0" w:space="0" w:color="auto"/>
        <w:right w:val="none" w:sz="0" w:space="0" w:color="auto"/>
      </w:divBdr>
    </w:div>
    <w:div w:id="121776888">
      <w:bodyDiv w:val="1"/>
      <w:marLeft w:val="0"/>
      <w:marRight w:val="0"/>
      <w:marTop w:val="0"/>
      <w:marBottom w:val="0"/>
      <w:divBdr>
        <w:top w:val="none" w:sz="0" w:space="0" w:color="auto"/>
        <w:left w:val="none" w:sz="0" w:space="0" w:color="auto"/>
        <w:bottom w:val="none" w:sz="0" w:space="0" w:color="auto"/>
        <w:right w:val="none" w:sz="0" w:space="0" w:color="auto"/>
      </w:divBdr>
    </w:div>
    <w:div w:id="129832755">
      <w:bodyDiv w:val="1"/>
      <w:marLeft w:val="0"/>
      <w:marRight w:val="0"/>
      <w:marTop w:val="0"/>
      <w:marBottom w:val="0"/>
      <w:divBdr>
        <w:top w:val="none" w:sz="0" w:space="0" w:color="auto"/>
        <w:left w:val="none" w:sz="0" w:space="0" w:color="auto"/>
        <w:bottom w:val="none" w:sz="0" w:space="0" w:color="auto"/>
        <w:right w:val="none" w:sz="0" w:space="0" w:color="auto"/>
      </w:divBdr>
    </w:div>
    <w:div w:id="138963917">
      <w:bodyDiv w:val="1"/>
      <w:marLeft w:val="0"/>
      <w:marRight w:val="0"/>
      <w:marTop w:val="0"/>
      <w:marBottom w:val="0"/>
      <w:divBdr>
        <w:top w:val="none" w:sz="0" w:space="0" w:color="auto"/>
        <w:left w:val="none" w:sz="0" w:space="0" w:color="auto"/>
        <w:bottom w:val="none" w:sz="0" w:space="0" w:color="auto"/>
        <w:right w:val="none" w:sz="0" w:space="0" w:color="auto"/>
      </w:divBdr>
    </w:div>
    <w:div w:id="145784738">
      <w:bodyDiv w:val="1"/>
      <w:marLeft w:val="0"/>
      <w:marRight w:val="0"/>
      <w:marTop w:val="0"/>
      <w:marBottom w:val="0"/>
      <w:divBdr>
        <w:top w:val="none" w:sz="0" w:space="0" w:color="auto"/>
        <w:left w:val="none" w:sz="0" w:space="0" w:color="auto"/>
        <w:bottom w:val="none" w:sz="0" w:space="0" w:color="auto"/>
        <w:right w:val="none" w:sz="0" w:space="0" w:color="auto"/>
      </w:divBdr>
    </w:div>
    <w:div w:id="155608659">
      <w:bodyDiv w:val="1"/>
      <w:marLeft w:val="0"/>
      <w:marRight w:val="0"/>
      <w:marTop w:val="0"/>
      <w:marBottom w:val="0"/>
      <w:divBdr>
        <w:top w:val="none" w:sz="0" w:space="0" w:color="auto"/>
        <w:left w:val="none" w:sz="0" w:space="0" w:color="auto"/>
        <w:bottom w:val="none" w:sz="0" w:space="0" w:color="auto"/>
        <w:right w:val="none" w:sz="0" w:space="0" w:color="auto"/>
      </w:divBdr>
    </w:div>
    <w:div w:id="164446536">
      <w:bodyDiv w:val="1"/>
      <w:marLeft w:val="0"/>
      <w:marRight w:val="0"/>
      <w:marTop w:val="0"/>
      <w:marBottom w:val="0"/>
      <w:divBdr>
        <w:top w:val="none" w:sz="0" w:space="0" w:color="auto"/>
        <w:left w:val="none" w:sz="0" w:space="0" w:color="auto"/>
        <w:bottom w:val="none" w:sz="0" w:space="0" w:color="auto"/>
        <w:right w:val="none" w:sz="0" w:space="0" w:color="auto"/>
      </w:divBdr>
    </w:div>
    <w:div w:id="203519822">
      <w:bodyDiv w:val="1"/>
      <w:marLeft w:val="0"/>
      <w:marRight w:val="0"/>
      <w:marTop w:val="0"/>
      <w:marBottom w:val="0"/>
      <w:divBdr>
        <w:top w:val="none" w:sz="0" w:space="0" w:color="auto"/>
        <w:left w:val="none" w:sz="0" w:space="0" w:color="auto"/>
        <w:bottom w:val="none" w:sz="0" w:space="0" w:color="auto"/>
        <w:right w:val="none" w:sz="0" w:space="0" w:color="auto"/>
      </w:divBdr>
    </w:div>
    <w:div w:id="212694750">
      <w:bodyDiv w:val="1"/>
      <w:marLeft w:val="0"/>
      <w:marRight w:val="0"/>
      <w:marTop w:val="0"/>
      <w:marBottom w:val="0"/>
      <w:divBdr>
        <w:top w:val="none" w:sz="0" w:space="0" w:color="auto"/>
        <w:left w:val="none" w:sz="0" w:space="0" w:color="auto"/>
        <w:bottom w:val="none" w:sz="0" w:space="0" w:color="auto"/>
        <w:right w:val="none" w:sz="0" w:space="0" w:color="auto"/>
      </w:divBdr>
    </w:div>
    <w:div w:id="220137918">
      <w:bodyDiv w:val="1"/>
      <w:marLeft w:val="0"/>
      <w:marRight w:val="0"/>
      <w:marTop w:val="0"/>
      <w:marBottom w:val="0"/>
      <w:divBdr>
        <w:top w:val="none" w:sz="0" w:space="0" w:color="auto"/>
        <w:left w:val="none" w:sz="0" w:space="0" w:color="auto"/>
        <w:bottom w:val="none" w:sz="0" w:space="0" w:color="auto"/>
        <w:right w:val="none" w:sz="0" w:space="0" w:color="auto"/>
      </w:divBdr>
    </w:div>
    <w:div w:id="245963858">
      <w:bodyDiv w:val="1"/>
      <w:marLeft w:val="0"/>
      <w:marRight w:val="0"/>
      <w:marTop w:val="0"/>
      <w:marBottom w:val="0"/>
      <w:divBdr>
        <w:top w:val="none" w:sz="0" w:space="0" w:color="auto"/>
        <w:left w:val="none" w:sz="0" w:space="0" w:color="auto"/>
        <w:bottom w:val="none" w:sz="0" w:space="0" w:color="auto"/>
        <w:right w:val="none" w:sz="0" w:space="0" w:color="auto"/>
      </w:divBdr>
    </w:div>
    <w:div w:id="254828861">
      <w:bodyDiv w:val="1"/>
      <w:marLeft w:val="0"/>
      <w:marRight w:val="0"/>
      <w:marTop w:val="0"/>
      <w:marBottom w:val="0"/>
      <w:divBdr>
        <w:top w:val="none" w:sz="0" w:space="0" w:color="auto"/>
        <w:left w:val="none" w:sz="0" w:space="0" w:color="auto"/>
        <w:bottom w:val="none" w:sz="0" w:space="0" w:color="auto"/>
        <w:right w:val="none" w:sz="0" w:space="0" w:color="auto"/>
      </w:divBdr>
    </w:div>
    <w:div w:id="257762167">
      <w:bodyDiv w:val="1"/>
      <w:marLeft w:val="0"/>
      <w:marRight w:val="0"/>
      <w:marTop w:val="0"/>
      <w:marBottom w:val="0"/>
      <w:divBdr>
        <w:top w:val="none" w:sz="0" w:space="0" w:color="auto"/>
        <w:left w:val="none" w:sz="0" w:space="0" w:color="auto"/>
        <w:bottom w:val="none" w:sz="0" w:space="0" w:color="auto"/>
        <w:right w:val="none" w:sz="0" w:space="0" w:color="auto"/>
      </w:divBdr>
    </w:div>
    <w:div w:id="286202226">
      <w:bodyDiv w:val="1"/>
      <w:marLeft w:val="0"/>
      <w:marRight w:val="0"/>
      <w:marTop w:val="0"/>
      <w:marBottom w:val="0"/>
      <w:divBdr>
        <w:top w:val="none" w:sz="0" w:space="0" w:color="auto"/>
        <w:left w:val="none" w:sz="0" w:space="0" w:color="auto"/>
        <w:bottom w:val="none" w:sz="0" w:space="0" w:color="auto"/>
        <w:right w:val="none" w:sz="0" w:space="0" w:color="auto"/>
      </w:divBdr>
    </w:div>
    <w:div w:id="287711544">
      <w:bodyDiv w:val="1"/>
      <w:marLeft w:val="0"/>
      <w:marRight w:val="0"/>
      <w:marTop w:val="0"/>
      <w:marBottom w:val="0"/>
      <w:divBdr>
        <w:top w:val="none" w:sz="0" w:space="0" w:color="auto"/>
        <w:left w:val="none" w:sz="0" w:space="0" w:color="auto"/>
        <w:bottom w:val="none" w:sz="0" w:space="0" w:color="auto"/>
        <w:right w:val="none" w:sz="0" w:space="0" w:color="auto"/>
      </w:divBdr>
    </w:div>
    <w:div w:id="288586908">
      <w:bodyDiv w:val="1"/>
      <w:marLeft w:val="0"/>
      <w:marRight w:val="0"/>
      <w:marTop w:val="0"/>
      <w:marBottom w:val="0"/>
      <w:divBdr>
        <w:top w:val="none" w:sz="0" w:space="0" w:color="auto"/>
        <w:left w:val="none" w:sz="0" w:space="0" w:color="auto"/>
        <w:bottom w:val="none" w:sz="0" w:space="0" w:color="auto"/>
        <w:right w:val="none" w:sz="0" w:space="0" w:color="auto"/>
      </w:divBdr>
    </w:div>
    <w:div w:id="311913923">
      <w:bodyDiv w:val="1"/>
      <w:marLeft w:val="0"/>
      <w:marRight w:val="0"/>
      <w:marTop w:val="0"/>
      <w:marBottom w:val="0"/>
      <w:divBdr>
        <w:top w:val="none" w:sz="0" w:space="0" w:color="auto"/>
        <w:left w:val="none" w:sz="0" w:space="0" w:color="auto"/>
        <w:bottom w:val="none" w:sz="0" w:space="0" w:color="auto"/>
        <w:right w:val="none" w:sz="0" w:space="0" w:color="auto"/>
      </w:divBdr>
    </w:div>
    <w:div w:id="312415496">
      <w:bodyDiv w:val="1"/>
      <w:marLeft w:val="0"/>
      <w:marRight w:val="0"/>
      <w:marTop w:val="0"/>
      <w:marBottom w:val="0"/>
      <w:divBdr>
        <w:top w:val="none" w:sz="0" w:space="0" w:color="auto"/>
        <w:left w:val="none" w:sz="0" w:space="0" w:color="auto"/>
        <w:bottom w:val="none" w:sz="0" w:space="0" w:color="auto"/>
        <w:right w:val="none" w:sz="0" w:space="0" w:color="auto"/>
      </w:divBdr>
    </w:div>
    <w:div w:id="319776512">
      <w:bodyDiv w:val="1"/>
      <w:marLeft w:val="0"/>
      <w:marRight w:val="0"/>
      <w:marTop w:val="0"/>
      <w:marBottom w:val="0"/>
      <w:divBdr>
        <w:top w:val="none" w:sz="0" w:space="0" w:color="auto"/>
        <w:left w:val="none" w:sz="0" w:space="0" w:color="auto"/>
        <w:bottom w:val="none" w:sz="0" w:space="0" w:color="auto"/>
        <w:right w:val="none" w:sz="0" w:space="0" w:color="auto"/>
      </w:divBdr>
    </w:div>
    <w:div w:id="321667538">
      <w:bodyDiv w:val="1"/>
      <w:marLeft w:val="0"/>
      <w:marRight w:val="0"/>
      <w:marTop w:val="0"/>
      <w:marBottom w:val="0"/>
      <w:divBdr>
        <w:top w:val="none" w:sz="0" w:space="0" w:color="auto"/>
        <w:left w:val="none" w:sz="0" w:space="0" w:color="auto"/>
        <w:bottom w:val="none" w:sz="0" w:space="0" w:color="auto"/>
        <w:right w:val="none" w:sz="0" w:space="0" w:color="auto"/>
      </w:divBdr>
    </w:div>
    <w:div w:id="343168102">
      <w:bodyDiv w:val="1"/>
      <w:marLeft w:val="0"/>
      <w:marRight w:val="0"/>
      <w:marTop w:val="0"/>
      <w:marBottom w:val="0"/>
      <w:divBdr>
        <w:top w:val="none" w:sz="0" w:space="0" w:color="auto"/>
        <w:left w:val="none" w:sz="0" w:space="0" w:color="auto"/>
        <w:bottom w:val="none" w:sz="0" w:space="0" w:color="auto"/>
        <w:right w:val="none" w:sz="0" w:space="0" w:color="auto"/>
      </w:divBdr>
    </w:div>
    <w:div w:id="343868423">
      <w:bodyDiv w:val="1"/>
      <w:marLeft w:val="0"/>
      <w:marRight w:val="0"/>
      <w:marTop w:val="0"/>
      <w:marBottom w:val="0"/>
      <w:divBdr>
        <w:top w:val="none" w:sz="0" w:space="0" w:color="auto"/>
        <w:left w:val="none" w:sz="0" w:space="0" w:color="auto"/>
        <w:bottom w:val="none" w:sz="0" w:space="0" w:color="auto"/>
        <w:right w:val="none" w:sz="0" w:space="0" w:color="auto"/>
      </w:divBdr>
    </w:div>
    <w:div w:id="348870176">
      <w:bodyDiv w:val="1"/>
      <w:marLeft w:val="0"/>
      <w:marRight w:val="0"/>
      <w:marTop w:val="0"/>
      <w:marBottom w:val="0"/>
      <w:divBdr>
        <w:top w:val="none" w:sz="0" w:space="0" w:color="auto"/>
        <w:left w:val="none" w:sz="0" w:space="0" w:color="auto"/>
        <w:bottom w:val="none" w:sz="0" w:space="0" w:color="auto"/>
        <w:right w:val="none" w:sz="0" w:space="0" w:color="auto"/>
      </w:divBdr>
    </w:div>
    <w:div w:id="349066717">
      <w:bodyDiv w:val="1"/>
      <w:marLeft w:val="0"/>
      <w:marRight w:val="0"/>
      <w:marTop w:val="0"/>
      <w:marBottom w:val="0"/>
      <w:divBdr>
        <w:top w:val="none" w:sz="0" w:space="0" w:color="auto"/>
        <w:left w:val="none" w:sz="0" w:space="0" w:color="auto"/>
        <w:bottom w:val="none" w:sz="0" w:space="0" w:color="auto"/>
        <w:right w:val="none" w:sz="0" w:space="0" w:color="auto"/>
      </w:divBdr>
    </w:div>
    <w:div w:id="357708193">
      <w:bodyDiv w:val="1"/>
      <w:marLeft w:val="0"/>
      <w:marRight w:val="0"/>
      <w:marTop w:val="0"/>
      <w:marBottom w:val="0"/>
      <w:divBdr>
        <w:top w:val="none" w:sz="0" w:space="0" w:color="auto"/>
        <w:left w:val="none" w:sz="0" w:space="0" w:color="auto"/>
        <w:bottom w:val="none" w:sz="0" w:space="0" w:color="auto"/>
        <w:right w:val="none" w:sz="0" w:space="0" w:color="auto"/>
      </w:divBdr>
    </w:div>
    <w:div w:id="393701243">
      <w:bodyDiv w:val="1"/>
      <w:marLeft w:val="0"/>
      <w:marRight w:val="0"/>
      <w:marTop w:val="0"/>
      <w:marBottom w:val="0"/>
      <w:divBdr>
        <w:top w:val="none" w:sz="0" w:space="0" w:color="auto"/>
        <w:left w:val="none" w:sz="0" w:space="0" w:color="auto"/>
        <w:bottom w:val="none" w:sz="0" w:space="0" w:color="auto"/>
        <w:right w:val="none" w:sz="0" w:space="0" w:color="auto"/>
      </w:divBdr>
    </w:div>
    <w:div w:id="409351912">
      <w:bodyDiv w:val="1"/>
      <w:marLeft w:val="0"/>
      <w:marRight w:val="0"/>
      <w:marTop w:val="0"/>
      <w:marBottom w:val="0"/>
      <w:divBdr>
        <w:top w:val="none" w:sz="0" w:space="0" w:color="auto"/>
        <w:left w:val="none" w:sz="0" w:space="0" w:color="auto"/>
        <w:bottom w:val="none" w:sz="0" w:space="0" w:color="auto"/>
        <w:right w:val="none" w:sz="0" w:space="0" w:color="auto"/>
      </w:divBdr>
    </w:div>
    <w:div w:id="420683879">
      <w:bodyDiv w:val="1"/>
      <w:marLeft w:val="0"/>
      <w:marRight w:val="0"/>
      <w:marTop w:val="0"/>
      <w:marBottom w:val="0"/>
      <w:divBdr>
        <w:top w:val="none" w:sz="0" w:space="0" w:color="auto"/>
        <w:left w:val="none" w:sz="0" w:space="0" w:color="auto"/>
        <w:bottom w:val="none" w:sz="0" w:space="0" w:color="auto"/>
        <w:right w:val="none" w:sz="0" w:space="0" w:color="auto"/>
      </w:divBdr>
    </w:div>
    <w:div w:id="420686677">
      <w:bodyDiv w:val="1"/>
      <w:marLeft w:val="0"/>
      <w:marRight w:val="0"/>
      <w:marTop w:val="0"/>
      <w:marBottom w:val="0"/>
      <w:divBdr>
        <w:top w:val="none" w:sz="0" w:space="0" w:color="auto"/>
        <w:left w:val="none" w:sz="0" w:space="0" w:color="auto"/>
        <w:bottom w:val="none" w:sz="0" w:space="0" w:color="auto"/>
        <w:right w:val="none" w:sz="0" w:space="0" w:color="auto"/>
      </w:divBdr>
    </w:div>
    <w:div w:id="427163657">
      <w:bodyDiv w:val="1"/>
      <w:marLeft w:val="0"/>
      <w:marRight w:val="0"/>
      <w:marTop w:val="0"/>
      <w:marBottom w:val="0"/>
      <w:divBdr>
        <w:top w:val="none" w:sz="0" w:space="0" w:color="auto"/>
        <w:left w:val="none" w:sz="0" w:space="0" w:color="auto"/>
        <w:bottom w:val="none" w:sz="0" w:space="0" w:color="auto"/>
        <w:right w:val="none" w:sz="0" w:space="0" w:color="auto"/>
      </w:divBdr>
    </w:div>
    <w:div w:id="430396930">
      <w:bodyDiv w:val="1"/>
      <w:marLeft w:val="0"/>
      <w:marRight w:val="0"/>
      <w:marTop w:val="0"/>
      <w:marBottom w:val="0"/>
      <w:divBdr>
        <w:top w:val="none" w:sz="0" w:space="0" w:color="auto"/>
        <w:left w:val="none" w:sz="0" w:space="0" w:color="auto"/>
        <w:bottom w:val="none" w:sz="0" w:space="0" w:color="auto"/>
        <w:right w:val="none" w:sz="0" w:space="0" w:color="auto"/>
      </w:divBdr>
    </w:div>
    <w:div w:id="449278126">
      <w:bodyDiv w:val="1"/>
      <w:marLeft w:val="0"/>
      <w:marRight w:val="0"/>
      <w:marTop w:val="0"/>
      <w:marBottom w:val="0"/>
      <w:divBdr>
        <w:top w:val="none" w:sz="0" w:space="0" w:color="auto"/>
        <w:left w:val="none" w:sz="0" w:space="0" w:color="auto"/>
        <w:bottom w:val="none" w:sz="0" w:space="0" w:color="auto"/>
        <w:right w:val="none" w:sz="0" w:space="0" w:color="auto"/>
      </w:divBdr>
    </w:div>
    <w:div w:id="449714517">
      <w:bodyDiv w:val="1"/>
      <w:marLeft w:val="0"/>
      <w:marRight w:val="0"/>
      <w:marTop w:val="0"/>
      <w:marBottom w:val="0"/>
      <w:divBdr>
        <w:top w:val="none" w:sz="0" w:space="0" w:color="auto"/>
        <w:left w:val="none" w:sz="0" w:space="0" w:color="auto"/>
        <w:bottom w:val="none" w:sz="0" w:space="0" w:color="auto"/>
        <w:right w:val="none" w:sz="0" w:space="0" w:color="auto"/>
      </w:divBdr>
    </w:div>
    <w:div w:id="462312764">
      <w:bodyDiv w:val="1"/>
      <w:marLeft w:val="0"/>
      <w:marRight w:val="0"/>
      <w:marTop w:val="0"/>
      <w:marBottom w:val="0"/>
      <w:divBdr>
        <w:top w:val="none" w:sz="0" w:space="0" w:color="auto"/>
        <w:left w:val="none" w:sz="0" w:space="0" w:color="auto"/>
        <w:bottom w:val="none" w:sz="0" w:space="0" w:color="auto"/>
        <w:right w:val="none" w:sz="0" w:space="0" w:color="auto"/>
      </w:divBdr>
    </w:div>
    <w:div w:id="466701190">
      <w:bodyDiv w:val="1"/>
      <w:marLeft w:val="0"/>
      <w:marRight w:val="0"/>
      <w:marTop w:val="0"/>
      <w:marBottom w:val="0"/>
      <w:divBdr>
        <w:top w:val="none" w:sz="0" w:space="0" w:color="auto"/>
        <w:left w:val="none" w:sz="0" w:space="0" w:color="auto"/>
        <w:bottom w:val="none" w:sz="0" w:space="0" w:color="auto"/>
        <w:right w:val="none" w:sz="0" w:space="0" w:color="auto"/>
      </w:divBdr>
      <w:divsChild>
        <w:div w:id="1198275205">
          <w:marLeft w:val="547"/>
          <w:marRight w:val="0"/>
          <w:marTop w:val="0"/>
          <w:marBottom w:val="0"/>
          <w:divBdr>
            <w:top w:val="none" w:sz="0" w:space="0" w:color="auto"/>
            <w:left w:val="none" w:sz="0" w:space="0" w:color="auto"/>
            <w:bottom w:val="none" w:sz="0" w:space="0" w:color="auto"/>
            <w:right w:val="none" w:sz="0" w:space="0" w:color="auto"/>
          </w:divBdr>
        </w:div>
      </w:divsChild>
    </w:div>
    <w:div w:id="468740940">
      <w:bodyDiv w:val="1"/>
      <w:marLeft w:val="0"/>
      <w:marRight w:val="0"/>
      <w:marTop w:val="0"/>
      <w:marBottom w:val="0"/>
      <w:divBdr>
        <w:top w:val="none" w:sz="0" w:space="0" w:color="auto"/>
        <w:left w:val="none" w:sz="0" w:space="0" w:color="auto"/>
        <w:bottom w:val="none" w:sz="0" w:space="0" w:color="auto"/>
        <w:right w:val="none" w:sz="0" w:space="0" w:color="auto"/>
      </w:divBdr>
    </w:div>
    <w:div w:id="471025677">
      <w:bodyDiv w:val="1"/>
      <w:marLeft w:val="0"/>
      <w:marRight w:val="0"/>
      <w:marTop w:val="0"/>
      <w:marBottom w:val="0"/>
      <w:divBdr>
        <w:top w:val="none" w:sz="0" w:space="0" w:color="auto"/>
        <w:left w:val="none" w:sz="0" w:space="0" w:color="auto"/>
        <w:bottom w:val="none" w:sz="0" w:space="0" w:color="auto"/>
        <w:right w:val="none" w:sz="0" w:space="0" w:color="auto"/>
      </w:divBdr>
    </w:div>
    <w:div w:id="480267615">
      <w:bodyDiv w:val="1"/>
      <w:marLeft w:val="0"/>
      <w:marRight w:val="0"/>
      <w:marTop w:val="0"/>
      <w:marBottom w:val="0"/>
      <w:divBdr>
        <w:top w:val="none" w:sz="0" w:space="0" w:color="auto"/>
        <w:left w:val="none" w:sz="0" w:space="0" w:color="auto"/>
        <w:bottom w:val="none" w:sz="0" w:space="0" w:color="auto"/>
        <w:right w:val="none" w:sz="0" w:space="0" w:color="auto"/>
      </w:divBdr>
    </w:div>
    <w:div w:id="497041120">
      <w:bodyDiv w:val="1"/>
      <w:marLeft w:val="0"/>
      <w:marRight w:val="0"/>
      <w:marTop w:val="0"/>
      <w:marBottom w:val="0"/>
      <w:divBdr>
        <w:top w:val="none" w:sz="0" w:space="0" w:color="auto"/>
        <w:left w:val="none" w:sz="0" w:space="0" w:color="auto"/>
        <w:bottom w:val="none" w:sz="0" w:space="0" w:color="auto"/>
        <w:right w:val="none" w:sz="0" w:space="0" w:color="auto"/>
      </w:divBdr>
    </w:div>
    <w:div w:id="502168380">
      <w:bodyDiv w:val="1"/>
      <w:marLeft w:val="0"/>
      <w:marRight w:val="0"/>
      <w:marTop w:val="0"/>
      <w:marBottom w:val="0"/>
      <w:divBdr>
        <w:top w:val="none" w:sz="0" w:space="0" w:color="auto"/>
        <w:left w:val="none" w:sz="0" w:space="0" w:color="auto"/>
        <w:bottom w:val="none" w:sz="0" w:space="0" w:color="auto"/>
        <w:right w:val="none" w:sz="0" w:space="0" w:color="auto"/>
      </w:divBdr>
    </w:div>
    <w:div w:id="509293175">
      <w:bodyDiv w:val="1"/>
      <w:marLeft w:val="0"/>
      <w:marRight w:val="0"/>
      <w:marTop w:val="0"/>
      <w:marBottom w:val="0"/>
      <w:divBdr>
        <w:top w:val="none" w:sz="0" w:space="0" w:color="auto"/>
        <w:left w:val="none" w:sz="0" w:space="0" w:color="auto"/>
        <w:bottom w:val="none" w:sz="0" w:space="0" w:color="auto"/>
        <w:right w:val="none" w:sz="0" w:space="0" w:color="auto"/>
      </w:divBdr>
    </w:div>
    <w:div w:id="513688869">
      <w:bodyDiv w:val="1"/>
      <w:marLeft w:val="0"/>
      <w:marRight w:val="0"/>
      <w:marTop w:val="0"/>
      <w:marBottom w:val="0"/>
      <w:divBdr>
        <w:top w:val="none" w:sz="0" w:space="0" w:color="auto"/>
        <w:left w:val="none" w:sz="0" w:space="0" w:color="auto"/>
        <w:bottom w:val="none" w:sz="0" w:space="0" w:color="auto"/>
        <w:right w:val="none" w:sz="0" w:space="0" w:color="auto"/>
      </w:divBdr>
    </w:div>
    <w:div w:id="515733371">
      <w:bodyDiv w:val="1"/>
      <w:marLeft w:val="0"/>
      <w:marRight w:val="0"/>
      <w:marTop w:val="0"/>
      <w:marBottom w:val="0"/>
      <w:divBdr>
        <w:top w:val="none" w:sz="0" w:space="0" w:color="auto"/>
        <w:left w:val="none" w:sz="0" w:space="0" w:color="auto"/>
        <w:bottom w:val="none" w:sz="0" w:space="0" w:color="auto"/>
        <w:right w:val="none" w:sz="0" w:space="0" w:color="auto"/>
      </w:divBdr>
    </w:div>
    <w:div w:id="531187762">
      <w:bodyDiv w:val="1"/>
      <w:marLeft w:val="0"/>
      <w:marRight w:val="0"/>
      <w:marTop w:val="0"/>
      <w:marBottom w:val="0"/>
      <w:divBdr>
        <w:top w:val="none" w:sz="0" w:space="0" w:color="auto"/>
        <w:left w:val="none" w:sz="0" w:space="0" w:color="auto"/>
        <w:bottom w:val="none" w:sz="0" w:space="0" w:color="auto"/>
        <w:right w:val="none" w:sz="0" w:space="0" w:color="auto"/>
      </w:divBdr>
    </w:div>
    <w:div w:id="531190887">
      <w:bodyDiv w:val="1"/>
      <w:marLeft w:val="0"/>
      <w:marRight w:val="0"/>
      <w:marTop w:val="0"/>
      <w:marBottom w:val="0"/>
      <w:divBdr>
        <w:top w:val="none" w:sz="0" w:space="0" w:color="auto"/>
        <w:left w:val="none" w:sz="0" w:space="0" w:color="auto"/>
        <w:bottom w:val="none" w:sz="0" w:space="0" w:color="auto"/>
        <w:right w:val="none" w:sz="0" w:space="0" w:color="auto"/>
      </w:divBdr>
    </w:div>
    <w:div w:id="539821732">
      <w:bodyDiv w:val="1"/>
      <w:marLeft w:val="0"/>
      <w:marRight w:val="0"/>
      <w:marTop w:val="0"/>
      <w:marBottom w:val="0"/>
      <w:divBdr>
        <w:top w:val="none" w:sz="0" w:space="0" w:color="auto"/>
        <w:left w:val="none" w:sz="0" w:space="0" w:color="auto"/>
        <w:bottom w:val="none" w:sz="0" w:space="0" w:color="auto"/>
        <w:right w:val="none" w:sz="0" w:space="0" w:color="auto"/>
      </w:divBdr>
    </w:div>
    <w:div w:id="543367572">
      <w:bodyDiv w:val="1"/>
      <w:marLeft w:val="0"/>
      <w:marRight w:val="0"/>
      <w:marTop w:val="0"/>
      <w:marBottom w:val="0"/>
      <w:divBdr>
        <w:top w:val="none" w:sz="0" w:space="0" w:color="auto"/>
        <w:left w:val="none" w:sz="0" w:space="0" w:color="auto"/>
        <w:bottom w:val="none" w:sz="0" w:space="0" w:color="auto"/>
        <w:right w:val="none" w:sz="0" w:space="0" w:color="auto"/>
      </w:divBdr>
    </w:div>
    <w:div w:id="550002006">
      <w:bodyDiv w:val="1"/>
      <w:marLeft w:val="0"/>
      <w:marRight w:val="0"/>
      <w:marTop w:val="0"/>
      <w:marBottom w:val="0"/>
      <w:divBdr>
        <w:top w:val="none" w:sz="0" w:space="0" w:color="auto"/>
        <w:left w:val="none" w:sz="0" w:space="0" w:color="auto"/>
        <w:bottom w:val="none" w:sz="0" w:space="0" w:color="auto"/>
        <w:right w:val="none" w:sz="0" w:space="0" w:color="auto"/>
      </w:divBdr>
    </w:div>
    <w:div w:id="557789125">
      <w:bodyDiv w:val="1"/>
      <w:marLeft w:val="0"/>
      <w:marRight w:val="0"/>
      <w:marTop w:val="0"/>
      <w:marBottom w:val="0"/>
      <w:divBdr>
        <w:top w:val="none" w:sz="0" w:space="0" w:color="auto"/>
        <w:left w:val="none" w:sz="0" w:space="0" w:color="auto"/>
        <w:bottom w:val="none" w:sz="0" w:space="0" w:color="auto"/>
        <w:right w:val="none" w:sz="0" w:space="0" w:color="auto"/>
      </w:divBdr>
    </w:div>
    <w:div w:id="563948078">
      <w:bodyDiv w:val="1"/>
      <w:marLeft w:val="0"/>
      <w:marRight w:val="0"/>
      <w:marTop w:val="0"/>
      <w:marBottom w:val="0"/>
      <w:divBdr>
        <w:top w:val="none" w:sz="0" w:space="0" w:color="auto"/>
        <w:left w:val="none" w:sz="0" w:space="0" w:color="auto"/>
        <w:bottom w:val="none" w:sz="0" w:space="0" w:color="auto"/>
        <w:right w:val="none" w:sz="0" w:space="0" w:color="auto"/>
      </w:divBdr>
    </w:div>
    <w:div w:id="582107378">
      <w:bodyDiv w:val="1"/>
      <w:marLeft w:val="0"/>
      <w:marRight w:val="0"/>
      <w:marTop w:val="0"/>
      <w:marBottom w:val="0"/>
      <w:divBdr>
        <w:top w:val="none" w:sz="0" w:space="0" w:color="auto"/>
        <w:left w:val="none" w:sz="0" w:space="0" w:color="auto"/>
        <w:bottom w:val="none" w:sz="0" w:space="0" w:color="auto"/>
        <w:right w:val="none" w:sz="0" w:space="0" w:color="auto"/>
      </w:divBdr>
    </w:div>
    <w:div w:id="591746265">
      <w:bodyDiv w:val="1"/>
      <w:marLeft w:val="0"/>
      <w:marRight w:val="0"/>
      <w:marTop w:val="0"/>
      <w:marBottom w:val="0"/>
      <w:divBdr>
        <w:top w:val="none" w:sz="0" w:space="0" w:color="auto"/>
        <w:left w:val="none" w:sz="0" w:space="0" w:color="auto"/>
        <w:bottom w:val="none" w:sz="0" w:space="0" w:color="auto"/>
        <w:right w:val="none" w:sz="0" w:space="0" w:color="auto"/>
      </w:divBdr>
    </w:div>
    <w:div w:id="598947339">
      <w:bodyDiv w:val="1"/>
      <w:marLeft w:val="0"/>
      <w:marRight w:val="0"/>
      <w:marTop w:val="0"/>
      <w:marBottom w:val="0"/>
      <w:divBdr>
        <w:top w:val="none" w:sz="0" w:space="0" w:color="auto"/>
        <w:left w:val="none" w:sz="0" w:space="0" w:color="auto"/>
        <w:bottom w:val="none" w:sz="0" w:space="0" w:color="auto"/>
        <w:right w:val="none" w:sz="0" w:space="0" w:color="auto"/>
      </w:divBdr>
    </w:div>
    <w:div w:id="601306631">
      <w:bodyDiv w:val="1"/>
      <w:marLeft w:val="0"/>
      <w:marRight w:val="0"/>
      <w:marTop w:val="0"/>
      <w:marBottom w:val="0"/>
      <w:divBdr>
        <w:top w:val="none" w:sz="0" w:space="0" w:color="auto"/>
        <w:left w:val="none" w:sz="0" w:space="0" w:color="auto"/>
        <w:bottom w:val="none" w:sz="0" w:space="0" w:color="auto"/>
        <w:right w:val="none" w:sz="0" w:space="0" w:color="auto"/>
      </w:divBdr>
    </w:div>
    <w:div w:id="605967588">
      <w:bodyDiv w:val="1"/>
      <w:marLeft w:val="0"/>
      <w:marRight w:val="0"/>
      <w:marTop w:val="0"/>
      <w:marBottom w:val="0"/>
      <w:divBdr>
        <w:top w:val="none" w:sz="0" w:space="0" w:color="auto"/>
        <w:left w:val="none" w:sz="0" w:space="0" w:color="auto"/>
        <w:bottom w:val="none" w:sz="0" w:space="0" w:color="auto"/>
        <w:right w:val="none" w:sz="0" w:space="0" w:color="auto"/>
      </w:divBdr>
    </w:div>
    <w:div w:id="614872945">
      <w:bodyDiv w:val="1"/>
      <w:marLeft w:val="0"/>
      <w:marRight w:val="0"/>
      <w:marTop w:val="0"/>
      <w:marBottom w:val="0"/>
      <w:divBdr>
        <w:top w:val="none" w:sz="0" w:space="0" w:color="auto"/>
        <w:left w:val="none" w:sz="0" w:space="0" w:color="auto"/>
        <w:bottom w:val="none" w:sz="0" w:space="0" w:color="auto"/>
        <w:right w:val="none" w:sz="0" w:space="0" w:color="auto"/>
      </w:divBdr>
    </w:div>
    <w:div w:id="620574217">
      <w:bodyDiv w:val="1"/>
      <w:marLeft w:val="0"/>
      <w:marRight w:val="0"/>
      <w:marTop w:val="0"/>
      <w:marBottom w:val="0"/>
      <w:divBdr>
        <w:top w:val="none" w:sz="0" w:space="0" w:color="auto"/>
        <w:left w:val="none" w:sz="0" w:space="0" w:color="auto"/>
        <w:bottom w:val="none" w:sz="0" w:space="0" w:color="auto"/>
        <w:right w:val="none" w:sz="0" w:space="0" w:color="auto"/>
      </w:divBdr>
    </w:div>
    <w:div w:id="636643632">
      <w:bodyDiv w:val="1"/>
      <w:marLeft w:val="0"/>
      <w:marRight w:val="0"/>
      <w:marTop w:val="0"/>
      <w:marBottom w:val="0"/>
      <w:divBdr>
        <w:top w:val="none" w:sz="0" w:space="0" w:color="auto"/>
        <w:left w:val="none" w:sz="0" w:space="0" w:color="auto"/>
        <w:bottom w:val="none" w:sz="0" w:space="0" w:color="auto"/>
        <w:right w:val="none" w:sz="0" w:space="0" w:color="auto"/>
      </w:divBdr>
    </w:div>
    <w:div w:id="649211143">
      <w:bodyDiv w:val="1"/>
      <w:marLeft w:val="0"/>
      <w:marRight w:val="0"/>
      <w:marTop w:val="0"/>
      <w:marBottom w:val="0"/>
      <w:divBdr>
        <w:top w:val="none" w:sz="0" w:space="0" w:color="auto"/>
        <w:left w:val="none" w:sz="0" w:space="0" w:color="auto"/>
        <w:bottom w:val="none" w:sz="0" w:space="0" w:color="auto"/>
        <w:right w:val="none" w:sz="0" w:space="0" w:color="auto"/>
      </w:divBdr>
    </w:div>
    <w:div w:id="674922466">
      <w:bodyDiv w:val="1"/>
      <w:marLeft w:val="0"/>
      <w:marRight w:val="0"/>
      <w:marTop w:val="0"/>
      <w:marBottom w:val="0"/>
      <w:divBdr>
        <w:top w:val="none" w:sz="0" w:space="0" w:color="auto"/>
        <w:left w:val="none" w:sz="0" w:space="0" w:color="auto"/>
        <w:bottom w:val="none" w:sz="0" w:space="0" w:color="auto"/>
        <w:right w:val="none" w:sz="0" w:space="0" w:color="auto"/>
      </w:divBdr>
      <w:divsChild>
        <w:div w:id="5251727">
          <w:marLeft w:val="1166"/>
          <w:marRight w:val="0"/>
          <w:marTop w:val="0"/>
          <w:marBottom w:val="0"/>
          <w:divBdr>
            <w:top w:val="none" w:sz="0" w:space="0" w:color="auto"/>
            <w:left w:val="none" w:sz="0" w:space="0" w:color="auto"/>
            <w:bottom w:val="none" w:sz="0" w:space="0" w:color="auto"/>
            <w:right w:val="none" w:sz="0" w:space="0" w:color="auto"/>
          </w:divBdr>
        </w:div>
        <w:div w:id="346911953">
          <w:marLeft w:val="446"/>
          <w:marRight w:val="0"/>
          <w:marTop w:val="0"/>
          <w:marBottom w:val="0"/>
          <w:divBdr>
            <w:top w:val="none" w:sz="0" w:space="0" w:color="auto"/>
            <w:left w:val="none" w:sz="0" w:space="0" w:color="auto"/>
            <w:bottom w:val="none" w:sz="0" w:space="0" w:color="auto"/>
            <w:right w:val="none" w:sz="0" w:space="0" w:color="auto"/>
          </w:divBdr>
        </w:div>
        <w:div w:id="1606379467">
          <w:marLeft w:val="1166"/>
          <w:marRight w:val="0"/>
          <w:marTop w:val="0"/>
          <w:marBottom w:val="0"/>
          <w:divBdr>
            <w:top w:val="none" w:sz="0" w:space="0" w:color="auto"/>
            <w:left w:val="none" w:sz="0" w:space="0" w:color="auto"/>
            <w:bottom w:val="none" w:sz="0" w:space="0" w:color="auto"/>
            <w:right w:val="none" w:sz="0" w:space="0" w:color="auto"/>
          </w:divBdr>
        </w:div>
        <w:div w:id="2029869186">
          <w:marLeft w:val="1166"/>
          <w:marRight w:val="0"/>
          <w:marTop w:val="0"/>
          <w:marBottom w:val="0"/>
          <w:divBdr>
            <w:top w:val="none" w:sz="0" w:space="0" w:color="auto"/>
            <w:left w:val="none" w:sz="0" w:space="0" w:color="auto"/>
            <w:bottom w:val="none" w:sz="0" w:space="0" w:color="auto"/>
            <w:right w:val="none" w:sz="0" w:space="0" w:color="auto"/>
          </w:divBdr>
        </w:div>
        <w:div w:id="2109040910">
          <w:marLeft w:val="446"/>
          <w:marRight w:val="0"/>
          <w:marTop w:val="0"/>
          <w:marBottom w:val="0"/>
          <w:divBdr>
            <w:top w:val="none" w:sz="0" w:space="0" w:color="auto"/>
            <w:left w:val="none" w:sz="0" w:space="0" w:color="auto"/>
            <w:bottom w:val="none" w:sz="0" w:space="0" w:color="auto"/>
            <w:right w:val="none" w:sz="0" w:space="0" w:color="auto"/>
          </w:divBdr>
        </w:div>
      </w:divsChild>
    </w:div>
    <w:div w:id="679237990">
      <w:bodyDiv w:val="1"/>
      <w:marLeft w:val="0"/>
      <w:marRight w:val="0"/>
      <w:marTop w:val="0"/>
      <w:marBottom w:val="0"/>
      <w:divBdr>
        <w:top w:val="none" w:sz="0" w:space="0" w:color="auto"/>
        <w:left w:val="none" w:sz="0" w:space="0" w:color="auto"/>
        <w:bottom w:val="none" w:sz="0" w:space="0" w:color="auto"/>
        <w:right w:val="none" w:sz="0" w:space="0" w:color="auto"/>
      </w:divBdr>
    </w:div>
    <w:div w:id="706217306">
      <w:bodyDiv w:val="1"/>
      <w:marLeft w:val="0"/>
      <w:marRight w:val="0"/>
      <w:marTop w:val="0"/>
      <w:marBottom w:val="0"/>
      <w:divBdr>
        <w:top w:val="none" w:sz="0" w:space="0" w:color="auto"/>
        <w:left w:val="none" w:sz="0" w:space="0" w:color="auto"/>
        <w:bottom w:val="none" w:sz="0" w:space="0" w:color="auto"/>
        <w:right w:val="none" w:sz="0" w:space="0" w:color="auto"/>
      </w:divBdr>
    </w:div>
    <w:div w:id="712851906">
      <w:bodyDiv w:val="1"/>
      <w:marLeft w:val="0"/>
      <w:marRight w:val="0"/>
      <w:marTop w:val="0"/>
      <w:marBottom w:val="0"/>
      <w:divBdr>
        <w:top w:val="none" w:sz="0" w:space="0" w:color="auto"/>
        <w:left w:val="none" w:sz="0" w:space="0" w:color="auto"/>
        <w:bottom w:val="none" w:sz="0" w:space="0" w:color="auto"/>
        <w:right w:val="none" w:sz="0" w:space="0" w:color="auto"/>
      </w:divBdr>
    </w:div>
    <w:div w:id="717241219">
      <w:bodyDiv w:val="1"/>
      <w:marLeft w:val="0"/>
      <w:marRight w:val="0"/>
      <w:marTop w:val="0"/>
      <w:marBottom w:val="0"/>
      <w:divBdr>
        <w:top w:val="none" w:sz="0" w:space="0" w:color="auto"/>
        <w:left w:val="none" w:sz="0" w:space="0" w:color="auto"/>
        <w:bottom w:val="none" w:sz="0" w:space="0" w:color="auto"/>
        <w:right w:val="none" w:sz="0" w:space="0" w:color="auto"/>
      </w:divBdr>
    </w:div>
    <w:div w:id="727456977">
      <w:bodyDiv w:val="1"/>
      <w:marLeft w:val="0"/>
      <w:marRight w:val="0"/>
      <w:marTop w:val="0"/>
      <w:marBottom w:val="0"/>
      <w:divBdr>
        <w:top w:val="none" w:sz="0" w:space="0" w:color="auto"/>
        <w:left w:val="none" w:sz="0" w:space="0" w:color="auto"/>
        <w:bottom w:val="none" w:sz="0" w:space="0" w:color="auto"/>
        <w:right w:val="none" w:sz="0" w:space="0" w:color="auto"/>
      </w:divBdr>
    </w:div>
    <w:div w:id="740519757">
      <w:bodyDiv w:val="1"/>
      <w:marLeft w:val="0"/>
      <w:marRight w:val="0"/>
      <w:marTop w:val="0"/>
      <w:marBottom w:val="0"/>
      <w:divBdr>
        <w:top w:val="none" w:sz="0" w:space="0" w:color="auto"/>
        <w:left w:val="none" w:sz="0" w:space="0" w:color="auto"/>
        <w:bottom w:val="none" w:sz="0" w:space="0" w:color="auto"/>
        <w:right w:val="none" w:sz="0" w:space="0" w:color="auto"/>
      </w:divBdr>
    </w:div>
    <w:div w:id="756251618">
      <w:bodyDiv w:val="1"/>
      <w:marLeft w:val="0"/>
      <w:marRight w:val="0"/>
      <w:marTop w:val="0"/>
      <w:marBottom w:val="0"/>
      <w:divBdr>
        <w:top w:val="none" w:sz="0" w:space="0" w:color="auto"/>
        <w:left w:val="none" w:sz="0" w:space="0" w:color="auto"/>
        <w:bottom w:val="none" w:sz="0" w:space="0" w:color="auto"/>
        <w:right w:val="none" w:sz="0" w:space="0" w:color="auto"/>
      </w:divBdr>
    </w:div>
    <w:div w:id="780075833">
      <w:bodyDiv w:val="1"/>
      <w:marLeft w:val="0"/>
      <w:marRight w:val="0"/>
      <w:marTop w:val="0"/>
      <w:marBottom w:val="0"/>
      <w:divBdr>
        <w:top w:val="none" w:sz="0" w:space="0" w:color="auto"/>
        <w:left w:val="none" w:sz="0" w:space="0" w:color="auto"/>
        <w:bottom w:val="none" w:sz="0" w:space="0" w:color="auto"/>
        <w:right w:val="none" w:sz="0" w:space="0" w:color="auto"/>
      </w:divBdr>
    </w:div>
    <w:div w:id="810944714">
      <w:bodyDiv w:val="1"/>
      <w:marLeft w:val="0"/>
      <w:marRight w:val="0"/>
      <w:marTop w:val="0"/>
      <w:marBottom w:val="0"/>
      <w:divBdr>
        <w:top w:val="none" w:sz="0" w:space="0" w:color="auto"/>
        <w:left w:val="none" w:sz="0" w:space="0" w:color="auto"/>
        <w:bottom w:val="none" w:sz="0" w:space="0" w:color="auto"/>
        <w:right w:val="none" w:sz="0" w:space="0" w:color="auto"/>
      </w:divBdr>
    </w:div>
    <w:div w:id="821042570">
      <w:bodyDiv w:val="1"/>
      <w:marLeft w:val="0"/>
      <w:marRight w:val="0"/>
      <w:marTop w:val="0"/>
      <w:marBottom w:val="0"/>
      <w:divBdr>
        <w:top w:val="none" w:sz="0" w:space="0" w:color="auto"/>
        <w:left w:val="none" w:sz="0" w:space="0" w:color="auto"/>
        <w:bottom w:val="none" w:sz="0" w:space="0" w:color="auto"/>
        <w:right w:val="none" w:sz="0" w:space="0" w:color="auto"/>
      </w:divBdr>
    </w:div>
    <w:div w:id="828180372">
      <w:bodyDiv w:val="1"/>
      <w:marLeft w:val="0"/>
      <w:marRight w:val="0"/>
      <w:marTop w:val="0"/>
      <w:marBottom w:val="0"/>
      <w:divBdr>
        <w:top w:val="none" w:sz="0" w:space="0" w:color="auto"/>
        <w:left w:val="none" w:sz="0" w:space="0" w:color="auto"/>
        <w:bottom w:val="none" w:sz="0" w:space="0" w:color="auto"/>
        <w:right w:val="none" w:sz="0" w:space="0" w:color="auto"/>
      </w:divBdr>
    </w:div>
    <w:div w:id="828790532">
      <w:bodyDiv w:val="1"/>
      <w:marLeft w:val="0"/>
      <w:marRight w:val="0"/>
      <w:marTop w:val="0"/>
      <w:marBottom w:val="0"/>
      <w:divBdr>
        <w:top w:val="none" w:sz="0" w:space="0" w:color="auto"/>
        <w:left w:val="none" w:sz="0" w:space="0" w:color="auto"/>
        <w:bottom w:val="none" w:sz="0" w:space="0" w:color="auto"/>
        <w:right w:val="none" w:sz="0" w:space="0" w:color="auto"/>
      </w:divBdr>
    </w:div>
    <w:div w:id="859315156">
      <w:bodyDiv w:val="1"/>
      <w:marLeft w:val="0"/>
      <w:marRight w:val="0"/>
      <w:marTop w:val="0"/>
      <w:marBottom w:val="0"/>
      <w:divBdr>
        <w:top w:val="none" w:sz="0" w:space="0" w:color="auto"/>
        <w:left w:val="none" w:sz="0" w:space="0" w:color="auto"/>
        <w:bottom w:val="none" w:sz="0" w:space="0" w:color="auto"/>
        <w:right w:val="none" w:sz="0" w:space="0" w:color="auto"/>
      </w:divBdr>
    </w:div>
    <w:div w:id="868299975">
      <w:bodyDiv w:val="1"/>
      <w:marLeft w:val="0"/>
      <w:marRight w:val="0"/>
      <w:marTop w:val="0"/>
      <w:marBottom w:val="0"/>
      <w:divBdr>
        <w:top w:val="none" w:sz="0" w:space="0" w:color="auto"/>
        <w:left w:val="none" w:sz="0" w:space="0" w:color="auto"/>
        <w:bottom w:val="none" w:sz="0" w:space="0" w:color="auto"/>
        <w:right w:val="none" w:sz="0" w:space="0" w:color="auto"/>
      </w:divBdr>
    </w:div>
    <w:div w:id="890846060">
      <w:bodyDiv w:val="1"/>
      <w:marLeft w:val="0"/>
      <w:marRight w:val="0"/>
      <w:marTop w:val="0"/>
      <w:marBottom w:val="0"/>
      <w:divBdr>
        <w:top w:val="none" w:sz="0" w:space="0" w:color="auto"/>
        <w:left w:val="none" w:sz="0" w:space="0" w:color="auto"/>
        <w:bottom w:val="none" w:sz="0" w:space="0" w:color="auto"/>
        <w:right w:val="none" w:sz="0" w:space="0" w:color="auto"/>
      </w:divBdr>
    </w:div>
    <w:div w:id="892305247">
      <w:bodyDiv w:val="1"/>
      <w:marLeft w:val="0"/>
      <w:marRight w:val="0"/>
      <w:marTop w:val="0"/>
      <w:marBottom w:val="0"/>
      <w:divBdr>
        <w:top w:val="none" w:sz="0" w:space="0" w:color="auto"/>
        <w:left w:val="none" w:sz="0" w:space="0" w:color="auto"/>
        <w:bottom w:val="none" w:sz="0" w:space="0" w:color="auto"/>
        <w:right w:val="none" w:sz="0" w:space="0" w:color="auto"/>
      </w:divBdr>
    </w:div>
    <w:div w:id="906454671">
      <w:bodyDiv w:val="1"/>
      <w:marLeft w:val="0"/>
      <w:marRight w:val="0"/>
      <w:marTop w:val="0"/>
      <w:marBottom w:val="0"/>
      <w:divBdr>
        <w:top w:val="none" w:sz="0" w:space="0" w:color="auto"/>
        <w:left w:val="none" w:sz="0" w:space="0" w:color="auto"/>
        <w:bottom w:val="none" w:sz="0" w:space="0" w:color="auto"/>
        <w:right w:val="none" w:sz="0" w:space="0" w:color="auto"/>
      </w:divBdr>
    </w:div>
    <w:div w:id="907181559">
      <w:bodyDiv w:val="1"/>
      <w:marLeft w:val="0"/>
      <w:marRight w:val="0"/>
      <w:marTop w:val="0"/>
      <w:marBottom w:val="0"/>
      <w:divBdr>
        <w:top w:val="none" w:sz="0" w:space="0" w:color="auto"/>
        <w:left w:val="none" w:sz="0" w:space="0" w:color="auto"/>
        <w:bottom w:val="none" w:sz="0" w:space="0" w:color="auto"/>
        <w:right w:val="none" w:sz="0" w:space="0" w:color="auto"/>
      </w:divBdr>
    </w:div>
    <w:div w:id="919757690">
      <w:bodyDiv w:val="1"/>
      <w:marLeft w:val="0"/>
      <w:marRight w:val="0"/>
      <w:marTop w:val="0"/>
      <w:marBottom w:val="0"/>
      <w:divBdr>
        <w:top w:val="none" w:sz="0" w:space="0" w:color="auto"/>
        <w:left w:val="none" w:sz="0" w:space="0" w:color="auto"/>
        <w:bottom w:val="none" w:sz="0" w:space="0" w:color="auto"/>
        <w:right w:val="none" w:sz="0" w:space="0" w:color="auto"/>
      </w:divBdr>
    </w:div>
    <w:div w:id="936794740">
      <w:bodyDiv w:val="1"/>
      <w:marLeft w:val="0"/>
      <w:marRight w:val="0"/>
      <w:marTop w:val="0"/>
      <w:marBottom w:val="0"/>
      <w:divBdr>
        <w:top w:val="none" w:sz="0" w:space="0" w:color="auto"/>
        <w:left w:val="none" w:sz="0" w:space="0" w:color="auto"/>
        <w:bottom w:val="none" w:sz="0" w:space="0" w:color="auto"/>
        <w:right w:val="none" w:sz="0" w:space="0" w:color="auto"/>
      </w:divBdr>
    </w:div>
    <w:div w:id="950432453">
      <w:bodyDiv w:val="1"/>
      <w:marLeft w:val="0"/>
      <w:marRight w:val="0"/>
      <w:marTop w:val="0"/>
      <w:marBottom w:val="0"/>
      <w:divBdr>
        <w:top w:val="none" w:sz="0" w:space="0" w:color="auto"/>
        <w:left w:val="none" w:sz="0" w:space="0" w:color="auto"/>
        <w:bottom w:val="none" w:sz="0" w:space="0" w:color="auto"/>
        <w:right w:val="none" w:sz="0" w:space="0" w:color="auto"/>
      </w:divBdr>
    </w:div>
    <w:div w:id="965237522">
      <w:bodyDiv w:val="1"/>
      <w:marLeft w:val="0"/>
      <w:marRight w:val="0"/>
      <w:marTop w:val="0"/>
      <w:marBottom w:val="0"/>
      <w:divBdr>
        <w:top w:val="none" w:sz="0" w:space="0" w:color="auto"/>
        <w:left w:val="none" w:sz="0" w:space="0" w:color="auto"/>
        <w:bottom w:val="none" w:sz="0" w:space="0" w:color="auto"/>
        <w:right w:val="none" w:sz="0" w:space="0" w:color="auto"/>
      </w:divBdr>
    </w:div>
    <w:div w:id="965429154">
      <w:bodyDiv w:val="1"/>
      <w:marLeft w:val="0"/>
      <w:marRight w:val="0"/>
      <w:marTop w:val="0"/>
      <w:marBottom w:val="0"/>
      <w:divBdr>
        <w:top w:val="none" w:sz="0" w:space="0" w:color="auto"/>
        <w:left w:val="none" w:sz="0" w:space="0" w:color="auto"/>
        <w:bottom w:val="none" w:sz="0" w:space="0" w:color="auto"/>
        <w:right w:val="none" w:sz="0" w:space="0" w:color="auto"/>
      </w:divBdr>
    </w:div>
    <w:div w:id="982732292">
      <w:bodyDiv w:val="1"/>
      <w:marLeft w:val="0"/>
      <w:marRight w:val="0"/>
      <w:marTop w:val="0"/>
      <w:marBottom w:val="0"/>
      <w:divBdr>
        <w:top w:val="none" w:sz="0" w:space="0" w:color="auto"/>
        <w:left w:val="none" w:sz="0" w:space="0" w:color="auto"/>
        <w:bottom w:val="none" w:sz="0" w:space="0" w:color="auto"/>
        <w:right w:val="none" w:sz="0" w:space="0" w:color="auto"/>
      </w:divBdr>
    </w:div>
    <w:div w:id="1002322575">
      <w:bodyDiv w:val="1"/>
      <w:marLeft w:val="0"/>
      <w:marRight w:val="0"/>
      <w:marTop w:val="0"/>
      <w:marBottom w:val="0"/>
      <w:divBdr>
        <w:top w:val="none" w:sz="0" w:space="0" w:color="auto"/>
        <w:left w:val="none" w:sz="0" w:space="0" w:color="auto"/>
        <w:bottom w:val="none" w:sz="0" w:space="0" w:color="auto"/>
        <w:right w:val="none" w:sz="0" w:space="0" w:color="auto"/>
      </w:divBdr>
    </w:div>
    <w:div w:id="1044334199">
      <w:bodyDiv w:val="1"/>
      <w:marLeft w:val="0"/>
      <w:marRight w:val="0"/>
      <w:marTop w:val="0"/>
      <w:marBottom w:val="0"/>
      <w:divBdr>
        <w:top w:val="none" w:sz="0" w:space="0" w:color="auto"/>
        <w:left w:val="none" w:sz="0" w:space="0" w:color="auto"/>
        <w:bottom w:val="none" w:sz="0" w:space="0" w:color="auto"/>
        <w:right w:val="none" w:sz="0" w:space="0" w:color="auto"/>
      </w:divBdr>
    </w:div>
    <w:div w:id="1047946636">
      <w:bodyDiv w:val="1"/>
      <w:marLeft w:val="0"/>
      <w:marRight w:val="0"/>
      <w:marTop w:val="0"/>
      <w:marBottom w:val="0"/>
      <w:divBdr>
        <w:top w:val="none" w:sz="0" w:space="0" w:color="auto"/>
        <w:left w:val="none" w:sz="0" w:space="0" w:color="auto"/>
        <w:bottom w:val="none" w:sz="0" w:space="0" w:color="auto"/>
        <w:right w:val="none" w:sz="0" w:space="0" w:color="auto"/>
      </w:divBdr>
    </w:div>
    <w:div w:id="1107307983">
      <w:bodyDiv w:val="1"/>
      <w:marLeft w:val="0"/>
      <w:marRight w:val="0"/>
      <w:marTop w:val="0"/>
      <w:marBottom w:val="0"/>
      <w:divBdr>
        <w:top w:val="none" w:sz="0" w:space="0" w:color="auto"/>
        <w:left w:val="none" w:sz="0" w:space="0" w:color="auto"/>
        <w:bottom w:val="none" w:sz="0" w:space="0" w:color="auto"/>
        <w:right w:val="none" w:sz="0" w:space="0" w:color="auto"/>
      </w:divBdr>
    </w:div>
    <w:div w:id="1111897714">
      <w:bodyDiv w:val="1"/>
      <w:marLeft w:val="0"/>
      <w:marRight w:val="0"/>
      <w:marTop w:val="0"/>
      <w:marBottom w:val="0"/>
      <w:divBdr>
        <w:top w:val="none" w:sz="0" w:space="0" w:color="auto"/>
        <w:left w:val="none" w:sz="0" w:space="0" w:color="auto"/>
        <w:bottom w:val="none" w:sz="0" w:space="0" w:color="auto"/>
        <w:right w:val="none" w:sz="0" w:space="0" w:color="auto"/>
      </w:divBdr>
      <w:divsChild>
        <w:div w:id="942151733">
          <w:marLeft w:val="0"/>
          <w:marRight w:val="0"/>
          <w:marTop w:val="0"/>
          <w:marBottom w:val="0"/>
          <w:divBdr>
            <w:top w:val="none" w:sz="0" w:space="0" w:color="auto"/>
            <w:left w:val="none" w:sz="0" w:space="0" w:color="auto"/>
            <w:bottom w:val="none" w:sz="0" w:space="0" w:color="auto"/>
            <w:right w:val="none" w:sz="0" w:space="0" w:color="auto"/>
          </w:divBdr>
        </w:div>
      </w:divsChild>
    </w:div>
    <w:div w:id="1122460802">
      <w:bodyDiv w:val="1"/>
      <w:marLeft w:val="0"/>
      <w:marRight w:val="0"/>
      <w:marTop w:val="0"/>
      <w:marBottom w:val="0"/>
      <w:divBdr>
        <w:top w:val="none" w:sz="0" w:space="0" w:color="auto"/>
        <w:left w:val="none" w:sz="0" w:space="0" w:color="auto"/>
        <w:bottom w:val="none" w:sz="0" w:space="0" w:color="auto"/>
        <w:right w:val="none" w:sz="0" w:space="0" w:color="auto"/>
      </w:divBdr>
    </w:div>
    <w:div w:id="1133712452">
      <w:bodyDiv w:val="1"/>
      <w:marLeft w:val="0"/>
      <w:marRight w:val="0"/>
      <w:marTop w:val="0"/>
      <w:marBottom w:val="0"/>
      <w:divBdr>
        <w:top w:val="none" w:sz="0" w:space="0" w:color="auto"/>
        <w:left w:val="none" w:sz="0" w:space="0" w:color="auto"/>
        <w:bottom w:val="none" w:sz="0" w:space="0" w:color="auto"/>
        <w:right w:val="none" w:sz="0" w:space="0" w:color="auto"/>
      </w:divBdr>
    </w:div>
    <w:div w:id="1151286084">
      <w:bodyDiv w:val="1"/>
      <w:marLeft w:val="0"/>
      <w:marRight w:val="0"/>
      <w:marTop w:val="0"/>
      <w:marBottom w:val="0"/>
      <w:divBdr>
        <w:top w:val="none" w:sz="0" w:space="0" w:color="auto"/>
        <w:left w:val="none" w:sz="0" w:space="0" w:color="auto"/>
        <w:bottom w:val="none" w:sz="0" w:space="0" w:color="auto"/>
        <w:right w:val="none" w:sz="0" w:space="0" w:color="auto"/>
      </w:divBdr>
    </w:div>
    <w:div w:id="1152139075">
      <w:bodyDiv w:val="1"/>
      <w:marLeft w:val="0"/>
      <w:marRight w:val="0"/>
      <w:marTop w:val="0"/>
      <w:marBottom w:val="0"/>
      <w:divBdr>
        <w:top w:val="none" w:sz="0" w:space="0" w:color="auto"/>
        <w:left w:val="none" w:sz="0" w:space="0" w:color="auto"/>
        <w:bottom w:val="none" w:sz="0" w:space="0" w:color="auto"/>
        <w:right w:val="none" w:sz="0" w:space="0" w:color="auto"/>
      </w:divBdr>
    </w:div>
    <w:div w:id="1186477977">
      <w:bodyDiv w:val="1"/>
      <w:marLeft w:val="0"/>
      <w:marRight w:val="0"/>
      <w:marTop w:val="0"/>
      <w:marBottom w:val="0"/>
      <w:divBdr>
        <w:top w:val="none" w:sz="0" w:space="0" w:color="auto"/>
        <w:left w:val="none" w:sz="0" w:space="0" w:color="auto"/>
        <w:bottom w:val="none" w:sz="0" w:space="0" w:color="auto"/>
        <w:right w:val="none" w:sz="0" w:space="0" w:color="auto"/>
      </w:divBdr>
    </w:div>
    <w:div w:id="1188715320">
      <w:bodyDiv w:val="1"/>
      <w:marLeft w:val="0"/>
      <w:marRight w:val="0"/>
      <w:marTop w:val="0"/>
      <w:marBottom w:val="0"/>
      <w:divBdr>
        <w:top w:val="none" w:sz="0" w:space="0" w:color="auto"/>
        <w:left w:val="none" w:sz="0" w:space="0" w:color="auto"/>
        <w:bottom w:val="none" w:sz="0" w:space="0" w:color="auto"/>
        <w:right w:val="none" w:sz="0" w:space="0" w:color="auto"/>
      </w:divBdr>
    </w:div>
    <w:div w:id="1195457169">
      <w:bodyDiv w:val="1"/>
      <w:marLeft w:val="0"/>
      <w:marRight w:val="0"/>
      <w:marTop w:val="0"/>
      <w:marBottom w:val="0"/>
      <w:divBdr>
        <w:top w:val="none" w:sz="0" w:space="0" w:color="auto"/>
        <w:left w:val="none" w:sz="0" w:space="0" w:color="auto"/>
        <w:bottom w:val="none" w:sz="0" w:space="0" w:color="auto"/>
        <w:right w:val="none" w:sz="0" w:space="0" w:color="auto"/>
      </w:divBdr>
    </w:div>
    <w:div w:id="1209417063">
      <w:bodyDiv w:val="1"/>
      <w:marLeft w:val="0"/>
      <w:marRight w:val="0"/>
      <w:marTop w:val="0"/>
      <w:marBottom w:val="0"/>
      <w:divBdr>
        <w:top w:val="none" w:sz="0" w:space="0" w:color="auto"/>
        <w:left w:val="none" w:sz="0" w:space="0" w:color="auto"/>
        <w:bottom w:val="none" w:sz="0" w:space="0" w:color="auto"/>
        <w:right w:val="none" w:sz="0" w:space="0" w:color="auto"/>
      </w:divBdr>
    </w:div>
    <w:div w:id="1219584118">
      <w:bodyDiv w:val="1"/>
      <w:marLeft w:val="0"/>
      <w:marRight w:val="0"/>
      <w:marTop w:val="0"/>
      <w:marBottom w:val="0"/>
      <w:divBdr>
        <w:top w:val="none" w:sz="0" w:space="0" w:color="auto"/>
        <w:left w:val="none" w:sz="0" w:space="0" w:color="auto"/>
        <w:bottom w:val="none" w:sz="0" w:space="0" w:color="auto"/>
        <w:right w:val="none" w:sz="0" w:space="0" w:color="auto"/>
      </w:divBdr>
    </w:div>
    <w:div w:id="1226140884">
      <w:bodyDiv w:val="1"/>
      <w:marLeft w:val="0"/>
      <w:marRight w:val="0"/>
      <w:marTop w:val="0"/>
      <w:marBottom w:val="0"/>
      <w:divBdr>
        <w:top w:val="none" w:sz="0" w:space="0" w:color="auto"/>
        <w:left w:val="none" w:sz="0" w:space="0" w:color="auto"/>
        <w:bottom w:val="none" w:sz="0" w:space="0" w:color="auto"/>
        <w:right w:val="none" w:sz="0" w:space="0" w:color="auto"/>
      </w:divBdr>
    </w:div>
    <w:div w:id="1230190587">
      <w:bodyDiv w:val="1"/>
      <w:marLeft w:val="0"/>
      <w:marRight w:val="0"/>
      <w:marTop w:val="0"/>
      <w:marBottom w:val="0"/>
      <w:divBdr>
        <w:top w:val="none" w:sz="0" w:space="0" w:color="auto"/>
        <w:left w:val="none" w:sz="0" w:space="0" w:color="auto"/>
        <w:bottom w:val="none" w:sz="0" w:space="0" w:color="auto"/>
        <w:right w:val="none" w:sz="0" w:space="0" w:color="auto"/>
      </w:divBdr>
    </w:div>
    <w:div w:id="1232693189">
      <w:bodyDiv w:val="1"/>
      <w:marLeft w:val="0"/>
      <w:marRight w:val="0"/>
      <w:marTop w:val="0"/>
      <w:marBottom w:val="0"/>
      <w:divBdr>
        <w:top w:val="none" w:sz="0" w:space="0" w:color="auto"/>
        <w:left w:val="none" w:sz="0" w:space="0" w:color="auto"/>
        <w:bottom w:val="none" w:sz="0" w:space="0" w:color="auto"/>
        <w:right w:val="none" w:sz="0" w:space="0" w:color="auto"/>
      </w:divBdr>
    </w:div>
    <w:div w:id="1238326624">
      <w:bodyDiv w:val="1"/>
      <w:marLeft w:val="0"/>
      <w:marRight w:val="0"/>
      <w:marTop w:val="0"/>
      <w:marBottom w:val="0"/>
      <w:divBdr>
        <w:top w:val="none" w:sz="0" w:space="0" w:color="auto"/>
        <w:left w:val="none" w:sz="0" w:space="0" w:color="auto"/>
        <w:bottom w:val="none" w:sz="0" w:space="0" w:color="auto"/>
        <w:right w:val="none" w:sz="0" w:space="0" w:color="auto"/>
      </w:divBdr>
    </w:div>
    <w:div w:id="1254125293">
      <w:bodyDiv w:val="1"/>
      <w:marLeft w:val="0"/>
      <w:marRight w:val="0"/>
      <w:marTop w:val="0"/>
      <w:marBottom w:val="0"/>
      <w:divBdr>
        <w:top w:val="none" w:sz="0" w:space="0" w:color="auto"/>
        <w:left w:val="none" w:sz="0" w:space="0" w:color="auto"/>
        <w:bottom w:val="none" w:sz="0" w:space="0" w:color="auto"/>
        <w:right w:val="none" w:sz="0" w:space="0" w:color="auto"/>
      </w:divBdr>
    </w:div>
    <w:div w:id="1288002295">
      <w:bodyDiv w:val="1"/>
      <w:marLeft w:val="0"/>
      <w:marRight w:val="0"/>
      <w:marTop w:val="0"/>
      <w:marBottom w:val="0"/>
      <w:divBdr>
        <w:top w:val="none" w:sz="0" w:space="0" w:color="auto"/>
        <w:left w:val="none" w:sz="0" w:space="0" w:color="auto"/>
        <w:bottom w:val="none" w:sz="0" w:space="0" w:color="auto"/>
        <w:right w:val="none" w:sz="0" w:space="0" w:color="auto"/>
      </w:divBdr>
    </w:div>
    <w:div w:id="1342589353">
      <w:bodyDiv w:val="1"/>
      <w:marLeft w:val="0"/>
      <w:marRight w:val="0"/>
      <w:marTop w:val="0"/>
      <w:marBottom w:val="0"/>
      <w:divBdr>
        <w:top w:val="none" w:sz="0" w:space="0" w:color="auto"/>
        <w:left w:val="none" w:sz="0" w:space="0" w:color="auto"/>
        <w:bottom w:val="none" w:sz="0" w:space="0" w:color="auto"/>
        <w:right w:val="none" w:sz="0" w:space="0" w:color="auto"/>
      </w:divBdr>
    </w:div>
    <w:div w:id="1348092200">
      <w:bodyDiv w:val="1"/>
      <w:marLeft w:val="0"/>
      <w:marRight w:val="0"/>
      <w:marTop w:val="0"/>
      <w:marBottom w:val="0"/>
      <w:divBdr>
        <w:top w:val="none" w:sz="0" w:space="0" w:color="auto"/>
        <w:left w:val="none" w:sz="0" w:space="0" w:color="auto"/>
        <w:bottom w:val="none" w:sz="0" w:space="0" w:color="auto"/>
        <w:right w:val="none" w:sz="0" w:space="0" w:color="auto"/>
      </w:divBdr>
    </w:div>
    <w:div w:id="1384403435">
      <w:bodyDiv w:val="1"/>
      <w:marLeft w:val="0"/>
      <w:marRight w:val="0"/>
      <w:marTop w:val="0"/>
      <w:marBottom w:val="0"/>
      <w:divBdr>
        <w:top w:val="none" w:sz="0" w:space="0" w:color="auto"/>
        <w:left w:val="none" w:sz="0" w:space="0" w:color="auto"/>
        <w:bottom w:val="none" w:sz="0" w:space="0" w:color="auto"/>
        <w:right w:val="none" w:sz="0" w:space="0" w:color="auto"/>
      </w:divBdr>
      <w:divsChild>
        <w:div w:id="874579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1174394">
      <w:bodyDiv w:val="1"/>
      <w:marLeft w:val="0"/>
      <w:marRight w:val="0"/>
      <w:marTop w:val="0"/>
      <w:marBottom w:val="0"/>
      <w:divBdr>
        <w:top w:val="none" w:sz="0" w:space="0" w:color="auto"/>
        <w:left w:val="none" w:sz="0" w:space="0" w:color="auto"/>
        <w:bottom w:val="none" w:sz="0" w:space="0" w:color="auto"/>
        <w:right w:val="none" w:sz="0" w:space="0" w:color="auto"/>
      </w:divBdr>
    </w:div>
    <w:div w:id="1414351557">
      <w:bodyDiv w:val="1"/>
      <w:marLeft w:val="0"/>
      <w:marRight w:val="0"/>
      <w:marTop w:val="0"/>
      <w:marBottom w:val="0"/>
      <w:divBdr>
        <w:top w:val="none" w:sz="0" w:space="0" w:color="auto"/>
        <w:left w:val="none" w:sz="0" w:space="0" w:color="auto"/>
        <w:bottom w:val="none" w:sz="0" w:space="0" w:color="auto"/>
        <w:right w:val="none" w:sz="0" w:space="0" w:color="auto"/>
      </w:divBdr>
    </w:div>
    <w:div w:id="1417827141">
      <w:bodyDiv w:val="1"/>
      <w:marLeft w:val="0"/>
      <w:marRight w:val="0"/>
      <w:marTop w:val="0"/>
      <w:marBottom w:val="0"/>
      <w:divBdr>
        <w:top w:val="none" w:sz="0" w:space="0" w:color="auto"/>
        <w:left w:val="none" w:sz="0" w:space="0" w:color="auto"/>
        <w:bottom w:val="none" w:sz="0" w:space="0" w:color="auto"/>
        <w:right w:val="none" w:sz="0" w:space="0" w:color="auto"/>
      </w:divBdr>
    </w:div>
    <w:div w:id="1434008066">
      <w:bodyDiv w:val="1"/>
      <w:marLeft w:val="0"/>
      <w:marRight w:val="0"/>
      <w:marTop w:val="0"/>
      <w:marBottom w:val="0"/>
      <w:divBdr>
        <w:top w:val="none" w:sz="0" w:space="0" w:color="auto"/>
        <w:left w:val="none" w:sz="0" w:space="0" w:color="auto"/>
        <w:bottom w:val="none" w:sz="0" w:space="0" w:color="auto"/>
        <w:right w:val="none" w:sz="0" w:space="0" w:color="auto"/>
      </w:divBdr>
    </w:div>
    <w:div w:id="1445929697">
      <w:bodyDiv w:val="1"/>
      <w:marLeft w:val="0"/>
      <w:marRight w:val="0"/>
      <w:marTop w:val="0"/>
      <w:marBottom w:val="0"/>
      <w:divBdr>
        <w:top w:val="none" w:sz="0" w:space="0" w:color="auto"/>
        <w:left w:val="none" w:sz="0" w:space="0" w:color="auto"/>
        <w:bottom w:val="none" w:sz="0" w:space="0" w:color="auto"/>
        <w:right w:val="none" w:sz="0" w:space="0" w:color="auto"/>
      </w:divBdr>
    </w:div>
    <w:div w:id="1447887064">
      <w:bodyDiv w:val="1"/>
      <w:marLeft w:val="0"/>
      <w:marRight w:val="0"/>
      <w:marTop w:val="0"/>
      <w:marBottom w:val="0"/>
      <w:divBdr>
        <w:top w:val="none" w:sz="0" w:space="0" w:color="auto"/>
        <w:left w:val="none" w:sz="0" w:space="0" w:color="auto"/>
        <w:bottom w:val="none" w:sz="0" w:space="0" w:color="auto"/>
        <w:right w:val="none" w:sz="0" w:space="0" w:color="auto"/>
      </w:divBdr>
    </w:div>
    <w:div w:id="1460152536">
      <w:bodyDiv w:val="1"/>
      <w:marLeft w:val="0"/>
      <w:marRight w:val="0"/>
      <w:marTop w:val="0"/>
      <w:marBottom w:val="0"/>
      <w:divBdr>
        <w:top w:val="none" w:sz="0" w:space="0" w:color="auto"/>
        <w:left w:val="none" w:sz="0" w:space="0" w:color="auto"/>
        <w:bottom w:val="none" w:sz="0" w:space="0" w:color="auto"/>
        <w:right w:val="none" w:sz="0" w:space="0" w:color="auto"/>
      </w:divBdr>
    </w:div>
    <w:div w:id="1478064134">
      <w:bodyDiv w:val="1"/>
      <w:marLeft w:val="0"/>
      <w:marRight w:val="0"/>
      <w:marTop w:val="0"/>
      <w:marBottom w:val="0"/>
      <w:divBdr>
        <w:top w:val="none" w:sz="0" w:space="0" w:color="auto"/>
        <w:left w:val="none" w:sz="0" w:space="0" w:color="auto"/>
        <w:bottom w:val="none" w:sz="0" w:space="0" w:color="auto"/>
        <w:right w:val="none" w:sz="0" w:space="0" w:color="auto"/>
      </w:divBdr>
    </w:div>
    <w:div w:id="1514219322">
      <w:bodyDiv w:val="1"/>
      <w:marLeft w:val="0"/>
      <w:marRight w:val="0"/>
      <w:marTop w:val="0"/>
      <w:marBottom w:val="0"/>
      <w:divBdr>
        <w:top w:val="none" w:sz="0" w:space="0" w:color="auto"/>
        <w:left w:val="none" w:sz="0" w:space="0" w:color="auto"/>
        <w:bottom w:val="none" w:sz="0" w:space="0" w:color="auto"/>
        <w:right w:val="none" w:sz="0" w:space="0" w:color="auto"/>
      </w:divBdr>
      <w:divsChild>
        <w:div w:id="1922374117">
          <w:marLeft w:val="0"/>
          <w:marRight w:val="0"/>
          <w:marTop w:val="0"/>
          <w:marBottom w:val="0"/>
          <w:divBdr>
            <w:top w:val="none" w:sz="0" w:space="0" w:color="auto"/>
            <w:left w:val="none" w:sz="0" w:space="0" w:color="auto"/>
            <w:bottom w:val="none" w:sz="0" w:space="0" w:color="auto"/>
            <w:right w:val="none" w:sz="0" w:space="0" w:color="auto"/>
          </w:divBdr>
        </w:div>
      </w:divsChild>
    </w:div>
    <w:div w:id="1555506670">
      <w:bodyDiv w:val="1"/>
      <w:marLeft w:val="0"/>
      <w:marRight w:val="0"/>
      <w:marTop w:val="0"/>
      <w:marBottom w:val="0"/>
      <w:divBdr>
        <w:top w:val="none" w:sz="0" w:space="0" w:color="auto"/>
        <w:left w:val="none" w:sz="0" w:space="0" w:color="auto"/>
        <w:bottom w:val="none" w:sz="0" w:space="0" w:color="auto"/>
        <w:right w:val="none" w:sz="0" w:space="0" w:color="auto"/>
      </w:divBdr>
    </w:div>
    <w:div w:id="1558935778">
      <w:bodyDiv w:val="1"/>
      <w:marLeft w:val="0"/>
      <w:marRight w:val="0"/>
      <w:marTop w:val="0"/>
      <w:marBottom w:val="0"/>
      <w:divBdr>
        <w:top w:val="none" w:sz="0" w:space="0" w:color="auto"/>
        <w:left w:val="none" w:sz="0" w:space="0" w:color="auto"/>
        <w:bottom w:val="none" w:sz="0" w:space="0" w:color="auto"/>
        <w:right w:val="none" w:sz="0" w:space="0" w:color="auto"/>
      </w:divBdr>
    </w:div>
    <w:div w:id="1558975240">
      <w:bodyDiv w:val="1"/>
      <w:marLeft w:val="0"/>
      <w:marRight w:val="0"/>
      <w:marTop w:val="0"/>
      <w:marBottom w:val="0"/>
      <w:divBdr>
        <w:top w:val="none" w:sz="0" w:space="0" w:color="auto"/>
        <w:left w:val="none" w:sz="0" w:space="0" w:color="auto"/>
        <w:bottom w:val="none" w:sz="0" w:space="0" w:color="auto"/>
        <w:right w:val="none" w:sz="0" w:space="0" w:color="auto"/>
      </w:divBdr>
    </w:div>
    <w:div w:id="1609703354">
      <w:bodyDiv w:val="1"/>
      <w:marLeft w:val="0"/>
      <w:marRight w:val="0"/>
      <w:marTop w:val="0"/>
      <w:marBottom w:val="0"/>
      <w:divBdr>
        <w:top w:val="none" w:sz="0" w:space="0" w:color="auto"/>
        <w:left w:val="none" w:sz="0" w:space="0" w:color="auto"/>
        <w:bottom w:val="none" w:sz="0" w:space="0" w:color="auto"/>
        <w:right w:val="none" w:sz="0" w:space="0" w:color="auto"/>
      </w:divBdr>
    </w:div>
    <w:div w:id="1646079278">
      <w:bodyDiv w:val="1"/>
      <w:marLeft w:val="0"/>
      <w:marRight w:val="0"/>
      <w:marTop w:val="0"/>
      <w:marBottom w:val="0"/>
      <w:divBdr>
        <w:top w:val="none" w:sz="0" w:space="0" w:color="auto"/>
        <w:left w:val="none" w:sz="0" w:space="0" w:color="auto"/>
        <w:bottom w:val="none" w:sz="0" w:space="0" w:color="auto"/>
        <w:right w:val="none" w:sz="0" w:space="0" w:color="auto"/>
      </w:divBdr>
    </w:div>
    <w:div w:id="1648590376">
      <w:bodyDiv w:val="1"/>
      <w:marLeft w:val="0"/>
      <w:marRight w:val="0"/>
      <w:marTop w:val="0"/>
      <w:marBottom w:val="0"/>
      <w:divBdr>
        <w:top w:val="none" w:sz="0" w:space="0" w:color="auto"/>
        <w:left w:val="none" w:sz="0" w:space="0" w:color="auto"/>
        <w:bottom w:val="none" w:sz="0" w:space="0" w:color="auto"/>
        <w:right w:val="none" w:sz="0" w:space="0" w:color="auto"/>
      </w:divBdr>
    </w:div>
    <w:div w:id="1653824060">
      <w:bodyDiv w:val="1"/>
      <w:marLeft w:val="0"/>
      <w:marRight w:val="0"/>
      <w:marTop w:val="0"/>
      <w:marBottom w:val="0"/>
      <w:divBdr>
        <w:top w:val="none" w:sz="0" w:space="0" w:color="auto"/>
        <w:left w:val="none" w:sz="0" w:space="0" w:color="auto"/>
        <w:bottom w:val="none" w:sz="0" w:space="0" w:color="auto"/>
        <w:right w:val="none" w:sz="0" w:space="0" w:color="auto"/>
      </w:divBdr>
    </w:div>
    <w:div w:id="1654020088">
      <w:bodyDiv w:val="1"/>
      <w:marLeft w:val="0"/>
      <w:marRight w:val="0"/>
      <w:marTop w:val="0"/>
      <w:marBottom w:val="0"/>
      <w:divBdr>
        <w:top w:val="none" w:sz="0" w:space="0" w:color="auto"/>
        <w:left w:val="none" w:sz="0" w:space="0" w:color="auto"/>
        <w:bottom w:val="none" w:sz="0" w:space="0" w:color="auto"/>
        <w:right w:val="none" w:sz="0" w:space="0" w:color="auto"/>
      </w:divBdr>
    </w:div>
    <w:div w:id="1673214981">
      <w:bodyDiv w:val="1"/>
      <w:marLeft w:val="0"/>
      <w:marRight w:val="0"/>
      <w:marTop w:val="0"/>
      <w:marBottom w:val="0"/>
      <w:divBdr>
        <w:top w:val="none" w:sz="0" w:space="0" w:color="auto"/>
        <w:left w:val="none" w:sz="0" w:space="0" w:color="auto"/>
        <w:bottom w:val="none" w:sz="0" w:space="0" w:color="auto"/>
        <w:right w:val="none" w:sz="0" w:space="0" w:color="auto"/>
      </w:divBdr>
    </w:div>
    <w:div w:id="1673221750">
      <w:bodyDiv w:val="1"/>
      <w:marLeft w:val="0"/>
      <w:marRight w:val="0"/>
      <w:marTop w:val="0"/>
      <w:marBottom w:val="0"/>
      <w:divBdr>
        <w:top w:val="none" w:sz="0" w:space="0" w:color="auto"/>
        <w:left w:val="none" w:sz="0" w:space="0" w:color="auto"/>
        <w:bottom w:val="none" w:sz="0" w:space="0" w:color="auto"/>
        <w:right w:val="none" w:sz="0" w:space="0" w:color="auto"/>
      </w:divBdr>
    </w:div>
    <w:div w:id="1682511264">
      <w:bodyDiv w:val="1"/>
      <w:marLeft w:val="0"/>
      <w:marRight w:val="0"/>
      <w:marTop w:val="0"/>
      <w:marBottom w:val="0"/>
      <w:divBdr>
        <w:top w:val="none" w:sz="0" w:space="0" w:color="auto"/>
        <w:left w:val="none" w:sz="0" w:space="0" w:color="auto"/>
        <w:bottom w:val="none" w:sz="0" w:space="0" w:color="auto"/>
        <w:right w:val="none" w:sz="0" w:space="0" w:color="auto"/>
      </w:divBdr>
    </w:div>
    <w:div w:id="1689676667">
      <w:bodyDiv w:val="1"/>
      <w:marLeft w:val="0"/>
      <w:marRight w:val="0"/>
      <w:marTop w:val="0"/>
      <w:marBottom w:val="0"/>
      <w:divBdr>
        <w:top w:val="none" w:sz="0" w:space="0" w:color="auto"/>
        <w:left w:val="none" w:sz="0" w:space="0" w:color="auto"/>
        <w:bottom w:val="none" w:sz="0" w:space="0" w:color="auto"/>
        <w:right w:val="none" w:sz="0" w:space="0" w:color="auto"/>
      </w:divBdr>
    </w:div>
    <w:div w:id="1701399596">
      <w:bodyDiv w:val="1"/>
      <w:marLeft w:val="0"/>
      <w:marRight w:val="0"/>
      <w:marTop w:val="0"/>
      <w:marBottom w:val="0"/>
      <w:divBdr>
        <w:top w:val="none" w:sz="0" w:space="0" w:color="auto"/>
        <w:left w:val="none" w:sz="0" w:space="0" w:color="auto"/>
        <w:bottom w:val="none" w:sz="0" w:space="0" w:color="auto"/>
        <w:right w:val="none" w:sz="0" w:space="0" w:color="auto"/>
      </w:divBdr>
    </w:div>
    <w:div w:id="1714957507">
      <w:bodyDiv w:val="1"/>
      <w:marLeft w:val="0"/>
      <w:marRight w:val="0"/>
      <w:marTop w:val="0"/>
      <w:marBottom w:val="0"/>
      <w:divBdr>
        <w:top w:val="none" w:sz="0" w:space="0" w:color="auto"/>
        <w:left w:val="none" w:sz="0" w:space="0" w:color="auto"/>
        <w:bottom w:val="none" w:sz="0" w:space="0" w:color="auto"/>
        <w:right w:val="none" w:sz="0" w:space="0" w:color="auto"/>
      </w:divBdr>
    </w:div>
    <w:div w:id="1724332545">
      <w:bodyDiv w:val="1"/>
      <w:marLeft w:val="0"/>
      <w:marRight w:val="0"/>
      <w:marTop w:val="0"/>
      <w:marBottom w:val="0"/>
      <w:divBdr>
        <w:top w:val="none" w:sz="0" w:space="0" w:color="auto"/>
        <w:left w:val="none" w:sz="0" w:space="0" w:color="auto"/>
        <w:bottom w:val="none" w:sz="0" w:space="0" w:color="auto"/>
        <w:right w:val="none" w:sz="0" w:space="0" w:color="auto"/>
      </w:divBdr>
    </w:div>
    <w:div w:id="1739356641">
      <w:bodyDiv w:val="1"/>
      <w:marLeft w:val="0"/>
      <w:marRight w:val="0"/>
      <w:marTop w:val="0"/>
      <w:marBottom w:val="0"/>
      <w:divBdr>
        <w:top w:val="none" w:sz="0" w:space="0" w:color="auto"/>
        <w:left w:val="none" w:sz="0" w:space="0" w:color="auto"/>
        <w:bottom w:val="none" w:sz="0" w:space="0" w:color="auto"/>
        <w:right w:val="none" w:sz="0" w:space="0" w:color="auto"/>
      </w:divBdr>
    </w:div>
    <w:div w:id="1748111805">
      <w:bodyDiv w:val="1"/>
      <w:marLeft w:val="0"/>
      <w:marRight w:val="0"/>
      <w:marTop w:val="0"/>
      <w:marBottom w:val="0"/>
      <w:divBdr>
        <w:top w:val="none" w:sz="0" w:space="0" w:color="auto"/>
        <w:left w:val="none" w:sz="0" w:space="0" w:color="auto"/>
        <w:bottom w:val="none" w:sz="0" w:space="0" w:color="auto"/>
        <w:right w:val="none" w:sz="0" w:space="0" w:color="auto"/>
      </w:divBdr>
    </w:div>
    <w:div w:id="1750225994">
      <w:bodyDiv w:val="1"/>
      <w:marLeft w:val="0"/>
      <w:marRight w:val="0"/>
      <w:marTop w:val="0"/>
      <w:marBottom w:val="0"/>
      <w:divBdr>
        <w:top w:val="none" w:sz="0" w:space="0" w:color="auto"/>
        <w:left w:val="none" w:sz="0" w:space="0" w:color="auto"/>
        <w:bottom w:val="none" w:sz="0" w:space="0" w:color="auto"/>
        <w:right w:val="none" w:sz="0" w:space="0" w:color="auto"/>
      </w:divBdr>
    </w:div>
    <w:div w:id="1755201961">
      <w:bodyDiv w:val="1"/>
      <w:marLeft w:val="0"/>
      <w:marRight w:val="0"/>
      <w:marTop w:val="0"/>
      <w:marBottom w:val="0"/>
      <w:divBdr>
        <w:top w:val="none" w:sz="0" w:space="0" w:color="auto"/>
        <w:left w:val="none" w:sz="0" w:space="0" w:color="auto"/>
        <w:bottom w:val="none" w:sz="0" w:space="0" w:color="auto"/>
        <w:right w:val="none" w:sz="0" w:space="0" w:color="auto"/>
      </w:divBdr>
    </w:div>
    <w:div w:id="1766681781">
      <w:bodyDiv w:val="1"/>
      <w:marLeft w:val="0"/>
      <w:marRight w:val="0"/>
      <w:marTop w:val="0"/>
      <w:marBottom w:val="0"/>
      <w:divBdr>
        <w:top w:val="none" w:sz="0" w:space="0" w:color="auto"/>
        <w:left w:val="none" w:sz="0" w:space="0" w:color="auto"/>
        <w:bottom w:val="none" w:sz="0" w:space="0" w:color="auto"/>
        <w:right w:val="none" w:sz="0" w:space="0" w:color="auto"/>
      </w:divBdr>
    </w:div>
    <w:div w:id="1795247628">
      <w:bodyDiv w:val="1"/>
      <w:marLeft w:val="0"/>
      <w:marRight w:val="0"/>
      <w:marTop w:val="0"/>
      <w:marBottom w:val="0"/>
      <w:divBdr>
        <w:top w:val="none" w:sz="0" w:space="0" w:color="auto"/>
        <w:left w:val="none" w:sz="0" w:space="0" w:color="auto"/>
        <w:bottom w:val="none" w:sz="0" w:space="0" w:color="auto"/>
        <w:right w:val="none" w:sz="0" w:space="0" w:color="auto"/>
      </w:divBdr>
    </w:div>
    <w:div w:id="1809860334">
      <w:bodyDiv w:val="1"/>
      <w:marLeft w:val="0"/>
      <w:marRight w:val="0"/>
      <w:marTop w:val="0"/>
      <w:marBottom w:val="0"/>
      <w:divBdr>
        <w:top w:val="none" w:sz="0" w:space="0" w:color="auto"/>
        <w:left w:val="none" w:sz="0" w:space="0" w:color="auto"/>
        <w:bottom w:val="none" w:sz="0" w:space="0" w:color="auto"/>
        <w:right w:val="none" w:sz="0" w:space="0" w:color="auto"/>
      </w:divBdr>
    </w:div>
    <w:div w:id="1812795299">
      <w:bodyDiv w:val="1"/>
      <w:marLeft w:val="0"/>
      <w:marRight w:val="0"/>
      <w:marTop w:val="0"/>
      <w:marBottom w:val="0"/>
      <w:divBdr>
        <w:top w:val="none" w:sz="0" w:space="0" w:color="auto"/>
        <w:left w:val="none" w:sz="0" w:space="0" w:color="auto"/>
        <w:bottom w:val="none" w:sz="0" w:space="0" w:color="auto"/>
        <w:right w:val="none" w:sz="0" w:space="0" w:color="auto"/>
      </w:divBdr>
    </w:div>
    <w:div w:id="1831823763">
      <w:bodyDiv w:val="1"/>
      <w:marLeft w:val="0"/>
      <w:marRight w:val="0"/>
      <w:marTop w:val="0"/>
      <w:marBottom w:val="0"/>
      <w:divBdr>
        <w:top w:val="none" w:sz="0" w:space="0" w:color="auto"/>
        <w:left w:val="none" w:sz="0" w:space="0" w:color="auto"/>
        <w:bottom w:val="none" w:sz="0" w:space="0" w:color="auto"/>
        <w:right w:val="none" w:sz="0" w:space="0" w:color="auto"/>
      </w:divBdr>
    </w:div>
    <w:div w:id="1875729698">
      <w:bodyDiv w:val="1"/>
      <w:marLeft w:val="0"/>
      <w:marRight w:val="0"/>
      <w:marTop w:val="0"/>
      <w:marBottom w:val="0"/>
      <w:divBdr>
        <w:top w:val="none" w:sz="0" w:space="0" w:color="auto"/>
        <w:left w:val="none" w:sz="0" w:space="0" w:color="auto"/>
        <w:bottom w:val="none" w:sz="0" w:space="0" w:color="auto"/>
        <w:right w:val="none" w:sz="0" w:space="0" w:color="auto"/>
      </w:divBdr>
    </w:div>
    <w:div w:id="1880507571">
      <w:bodyDiv w:val="1"/>
      <w:marLeft w:val="0"/>
      <w:marRight w:val="0"/>
      <w:marTop w:val="0"/>
      <w:marBottom w:val="0"/>
      <w:divBdr>
        <w:top w:val="none" w:sz="0" w:space="0" w:color="auto"/>
        <w:left w:val="none" w:sz="0" w:space="0" w:color="auto"/>
        <w:bottom w:val="none" w:sz="0" w:space="0" w:color="auto"/>
        <w:right w:val="none" w:sz="0" w:space="0" w:color="auto"/>
      </w:divBdr>
    </w:div>
    <w:div w:id="1913158442">
      <w:bodyDiv w:val="1"/>
      <w:marLeft w:val="0"/>
      <w:marRight w:val="0"/>
      <w:marTop w:val="0"/>
      <w:marBottom w:val="0"/>
      <w:divBdr>
        <w:top w:val="none" w:sz="0" w:space="0" w:color="auto"/>
        <w:left w:val="none" w:sz="0" w:space="0" w:color="auto"/>
        <w:bottom w:val="none" w:sz="0" w:space="0" w:color="auto"/>
        <w:right w:val="none" w:sz="0" w:space="0" w:color="auto"/>
      </w:divBdr>
    </w:div>
    <w:div w:id="1919291656">
      <w:bodyDiv w:val="1"/>
      <w:marLeft w:val="0"/>
      <w:marRight w:val="0"/>
      <w:marTop w:val="0"/>
      <w:marBottom w:val="0"/>
      <w:divBdr>
        <w:top w:val="none" w:sz="0" w:space="0" w:color="auto"/>
        <w:left w:val="none" w:sz="0" w:space="0" w:color="auto"/>
        <w:bottom w:val="none" w:sz="0" w:space="0" w:color="auto"/>
        <w:right w:val="none" w:sz="0" w:space="0" w:color="auto"/>
      </w:divBdr>
    </w:div>
    <w:div w:id="1921522616">
      <w:bodyDiv w:val="1"/>
      <w:marLeft w:val="0"/>
      <w:marRight w:val="0"/>
      <w:marTop w:val="0"/>
      <w:marBottom w:val="0"/>
      <w:divBdr>
        <w:top w:val="none" w:sz="0" w:space="0" w:color="auto"/>
        <w:left w:val="none" w:sz="0" w:space="0" w:color="auto"/>
        <w:bottom w:val="none" w:sz="0" w:space="0" w:color="auto"/>
        <w:right w:val="none" w:sz="0" w:space="0" w:color="auto"/>
      </w:divBdr>
    </w:div>
    <w:div w:id="1922786707">
      <w:bodyDiv w:val="1"/>
      <w:marLeft w:val="0"/>
      <w:marRight w:val="0"/>
      <w:marTop w:val="0"/>
      <w:marBottom w:val="0"/>
      <w:divBdr>
        <w:top w:val="none" w:sz="0" w:space="0" w:color="auto"/>
        <w:left w:val="none" w:sz="0" w:space="0" w:color="auto"/>
        <w:bottom w:val="none" w:sz="0" w:space="0" w:color="auto"/>
        <w:right w:val="none" w:sz="0" w:space="0" w:color="auto"/>
      </w:divBdr>
    </w:div>
    <w:div w:id="1924947316">
      <w:bodyDiv w:val="1"/>
      <w:marLeft w:val="0"/>
      <w:marRight w:val="0"/>
      <w:marTop w:val="0"/>
      <w:marBottom w:val="0"/>
      <w:divBdr>
        <w:top w:val="none" w:sz="0" w:space="0" w:color="auto"/>
        <w:left w:val="none" w:sz="0" w:space="0" w:color="auto"/>
        <w:bottom w:val="none" w:sz="0" w:space="0" w:color="auto"/>
        <w:right w:val="none" w:sz="0" w:space="0" w:color="auto"/>
      </w:divBdr>
    </w:div>
    <w:div w:id="1926760625">
      <w:bodyDiv w:val="1"/>
      <w:marLeft w:val="0"/>
      <w:marRight w:val="0"/>
      <w:marTop w:val="0"/>
      <w:marBottom w:val="0"/>
      <w:divBdr>
        <w:top w:val="none" w:sz="0" w:space="0" w:color="auto"/>
        <w:left w:val="none" w:sz="0" w:space="0" w:color="auto"/>
        <w:bottom w:val="none" w:sz="0" w:space="0" w:color="auto"/>
        <w:right w:val="none" w:sz="0" w:space="0" w:color="auto"/>
      </w:divBdr>
    </w:div>
    <w:div w:id="1944072980">
      <w:bodyDiv w:val="1"/>
      <w:marLeft w:val="0"/>
      <w:marRight w:val="0"/>
      <w:marTop w:val="0"/>
      <w:marBottom w:val="0"/>
      <w:divBdr>
        <w:top w:val="none" w:sz="0" w:space="0" w:color="auto"/>
        <w:left w:val="none" w:sz="0" w:space="0" w:color="auto"/>
        <w:bottom w:val="none" w:sz="0" w:space="0" w:color="auto"/>
        <w:right w:val="none" w:sz="0" w:space="0" w:color="auto"/>
      </w:divBdr>
    </w:div>
    <w:div w:id="1956672947">
      <w:bodyDiv w:val="1"/>
      <w:marLeft w:val="0"/>
      <w:marRight w:val="0"/>
      <w:marTop w:val="0"/>
      <w:marBottom w:val="0"/>
      <w:divBdr>
        <w:top w:val="none" w:sz="0" w:space="0" w:color="auto"/>
        <w:left w:val="none" w:sz="0" w:space="0" w:color="auto"/>
        <w:bottom w:val="none" w:sz="0" w:space="0" w:color="auto"/>
        <w:right w:val="none" w:sz="0" w:space="0" w:color="auto"/>
      </w:divBdr>
    </w:div>
    <w:div w:id="1979217365">
      <w:bodyDiv w:val="1"/>
      <w:marLeft w:val="0"/>
      <w:marRight w:val="0"/>
      <w:marTop w:val="0"/>
      <w:marBottom w:val="0"/>
      <w:divBdr>
        <w:top w:val="none" w:sz="0" w:space="0" w:color="auto"/>
        <w:left w:val="none" w:sz="0" w:space="0" w:color="auto"/>
        <w:bottom w:val="none" w:sz="0" w:space="0" w:color="auto"/>
        <w:right w:val="none" w:sz="0" w:space="0" w:color="auto"/>
      </w:divBdr>
    </w:div>
    <w:div w:id="1993899168">
      <w:bodyDiv w:val="1"/>
      <w:marLeft w:val="0"/>
      <w:marRight w:val="0"/>
      <w:marTop w:val="0"/>
      <w:marBottom w:val="0"/>
      <w:divBdr>
        <w:top w:val="none" w:sz="0" w:space="0" w:color="auto"/>
        <w:left w:val="none" w:sz="0" w:space="0" w:color="auto"/>
        <w:bottom w:val="none" w:sz="0" w:space="0" w:color="auto"/>
        <w:right w:val="none" w:sz="0" w:space="0" w:color="auto"/>
      </w:divBdr>
    </w:div>
    <w:div w:id="2008898493">
      <w:bodyDiv w:val="1"/>
      <w:marLeft w:val="0"/>
      <w:marRight w:val="0"/>
      <w:marTop w:val="0"/>
      <w:marBottom w:val="0"/>
      <w:divBdr>
        <w:top w:val="none" w:sz="0" w:space="0" w:color="auto"/>
        <w:left w:val="none" w:sz="0" w:space="0" w:color="auto"/>
        <w:bottom w:val="none" w:sz="0" w:space="0" w:color="auto"/>
        <w:right w:val="none" w:sz="0" w:space="0" w:color="auto"/>
      </w:divBdr>
    </w:div>
    <w:div w:id="2010213229">
      <w:bodyDiv w:val="1"/>
      <w:marLeft w:val="0"/>
      <w:marRight w:val="0"/>
      <w:marTop w:val="0"/>
      <w:marBottom w:val="0"/>
      <w:divBdr>
        <w:top w:val="none" w:sz="0" w:space="0" w:color="auto"/>
        <w:left w:val="none" w:sz="0" w:space="0" w:color="auto"/>
        <w:bottom w:val="none" w:sz="0" w:space="0" w:color="auto"/>
        <w:right w:val="none" w:sz="0" w:space="0" w:color="auto"/>
      </w:divBdr>
    </w:div>
    <w:div w:id="2017421891">
      <w:bodyDiv w:val="1"/>
      <w:marLeft w:val="0"/>
      <w:marRight w:val="0"/>
      <w:marTop w:val="0"/>
      <w:marBottom w:val="0"/>
      <w:divBdr>
        <w:top w:val="none" w:sz="0" w:space="0" w:color="auto"/>
        <w:left w:val="none" w:sz="0" w:space="0" w:color="auto"/>
        <w:bottom w:val="none" w:sz="0" w:space="0" w:color="auto"/>
        <w:right w:val="none" w:sz="0" w:space="0" w:color="auto"/>
      </w:divBdr>
    </w:div>
    <w:div w:id="2038581976">
      <w:bodyDiv w:val="1"/>
      <w:marLeft w:val="0"/>
      <w:marRight w:val="0"/>
      <w:marTop w:val="0"/>
      <w:marBottom w:val="0"/>
      <w:divBdr>
        <w:top w:val="none" w:sz="0" w:space="0" w:color="auto"/>
        <w:left w:val="none" w:sz="0" w:space="0" w:color="auto"/>
        <w:bottom w:val="none" w:sz="0" w:space="0" w:color="auto"/>
        <w:right w:val="none" w:sz="0" w:space="0" w:color="auto"/>
      </w:divBdr>
    </w:div>
    <w:div w:id="2045060158">
      <w:bodyDiv w:val="1"/>
      <w:marLeft w:val="0"/>
      <w:marRight w:val="0"/>
      <w:marTop w:val="0"/>
      <w:marBottom w:val="0"/>
      <w:divBdr>
        <w:top w:val="none" w:sz="0" w:space="0" w:color="auto"/>
        <w:left w:val="none" w:sz="0" w:space="0" w:color="auto"/>
        <w:bottom w:val="none" w:sz="0" w:space="0" w:color="auto"/>
        <w:right w:val="none" w:sz="0" w:space="0" w:color="auto"/>
      </w:divBdr>
    </w:div>
    <w:div w:id="2090612113">
      <w:bodyDiv w:val="1"/>
      <w:marLeft w:val="0"/>
      <w:marRight w:val="0"/>
      <w:marTop w:val="0"/>
      <w:marBottom w:val="0"/>
      <w:divBdr>
        <w:top w:val="none" w:sz="0" w:space="0" w:color="auto"/>
        <w:left w:val="none" w:sz="0" w:space="0" w:color="auto"/>
        <w:bottom w:val="none" w:sz="0" w:space="0" w:color="auto"/>
        <w:right w:val="none" w:sz="0" w:space="0" w:color="auto"/>
      </w:divBdr>
    </w:div>
    <w:div w:id="2102947502">
      <w:bodyDiv w:val="1"/>
      <w:marLeft w:val="0"/>
      <w:marRight w:val="0"/>
      <w:marTop w:val="0"/>
      <w:marBottom w:val="0"/>
      <w:divBdr>
        <w:top w:val="none" w:sz="0" w:space="0" w:color="auto"/>
        <w:left w:val="none" w:sz="0" w:space="0" w:color="auto"/>
        <w:bottom w:val="none" w:sz="0" w:space="0" w:color="auto"/>
        <w:right w:val="none" w:sz="0" w:space="0" w:color="auto"/>
      </w:divBdr>
    </w:div>
    <w:div w:id="2109886794">
      <w:bodyDiv w:val="1"/>
      <w:marLeft w:val="0"/>
      <w:marRight w:val="0"/>
      <w:marTop w:val="0"/>
      <w:marBottom w:val="0"/>
      <w:divBdr>
        <w:top w:val="none" w:sz="0" w:space="0" w:color="auto"/>
        <w:left w:val="none" w:sz="0" w:space="0" w:color="auto"/>
        <w:bottom w:val="none" w:sz="0" w:space="0" w:color="auto"/>
        <w:right w:val="none" w:sz="0" w:space="0" w:color="auto"/>
      </w:divBdr>
    </w:div>
    <w:div w:id="2123642852">
      <w:bodyDiv w:val="1"/>
      <w:marLeft w:val="0"/>
      <w:marRight w:val="0"/>
      <w:marTop w:val="0"/>
      <w:marBottom w:val="0"/>
      <w:divBdr>
        <w:top w:val="none" w:sz="0" w:space="0" w:color="auto"/>
        <w:left w:val="none" w:sz="0" w:space="0" w:color="auto"/>
        <w:bottom w:val="none" w:sz="0" w:space="0" w:color="auto"/>
        <w:right w:val="none" w:sz="0" w:space="0" w:color="auto"/>
      </w:divBdr>
    </w:div>
    <w:div w:id="2126190404">
      <w:bodyDiv w:val="1"/>
      <w:marLeft w:val="0"/>
      <w:marRight w:val="0"/>
      <w:marTop w:val="0"/>
      <w:marBottom w:val="0"/>
      <w:divBdr>
        <w:top w:val="none" w:sz="0" w:space="0" w:color="auto"/>
        <w:left w:val="none" w:sz="0" w:space="0" w:color="auto"/>
        <w:bottom w:val="none" w:sz="0" w:space="0" w:color="auto"/>
        <w:right w:val="none" w:sz="0" w:space="0" w:color="auto"/>
      </w:divBdr>
    </w:div>
    <w:div w:id="2132896480">
      <w:bodyDiv w:val="1"/>
      <w:marLeft w:val="0"/>
      <w:marRight w:val="0"/>
      <w:marTop w:val="0"/>
      <w:marBottom w:val="0"/>
      <w:divBdr>
        <w:top w:val="none" w:sz="0" w:space="0" w:color="auto"/>
        <w:left w:val="none" w:sz="0" w:space="0" w:color="auto"/>
        <w:bottom w:val="none" w:sz="0" w:space="0" w:color="auto"/>
        <w:right w:val="none" w:sz="0" w:space="0" w:color="auto"/>
      </w:divBdr>
    </w:div>
    <w:div w:id="2138374696">
      <w:bodyDiv w:val="1"/>
      <w:marLeft w:val="0"/>
      <w:marRight w:val="0"/>
      <w:marTop w:val="0"/>
      <w:marBottom w:val="0"/>
      <w:divBdr>
        <w:top w:val="none" w:sz="0" w:space="0" w:color="auto"/>
        <w:left w:val="none" w:sz="0" w:space="0" w:color="auto"/>
        <w:bottom w:val="none" w:sz="0" w:space="0" w:color="auto"/>
        <w:right w:val="none" w:sz="0" w:space="0" w:color="auto"/>
      </w:divBdr>
    </w:div>
    <w:div w:id="2140410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image" Target="media/image29.emf"/><Relationship Id="rId63" Type="http://schemas.openxmlformats.org/officeDocument/2006/relationships/image" Target="media/image44.png"/><Relationship Id="rId68" Type="http://schemas.openxmlformats.org/officeDocument/2006/relationships/image" Target="media/image48.png"/><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hyperlink" Target="https://consult.dcceew.gov.au/neps-consultation-paper" TargetMode="Externa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microsoft.com/office/2007/relationships/hdphoto" Target="media/hdphoto1.wdp"/><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header" Target="header2.xml"/><Relationship Id="rId41" Type="http://schemas.openxmlformats.org/officeDocument/2006/relationships/image" Target="media/image24.sv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hyperlink" Target="https://www.energy.gov.au/publications/commercial-buildings-energy-consumption-baseline-study-2022" TargetMode="Externa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kpmgaust.sharepoint.com/sites/AU-BuildingEnergyRatings/Shared%20Documents/General/5%20Report/Archive/DCCEEW_Buildings%20Final%20Draft%20Report%201Feb24.docx"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eader" Target="header3.xml"/><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hyperlink" Target="https://www.energy.gov.au/government-priorities/energy-ministers/energy-ministers-publications/trajectory-low-energy-buildings"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2.sv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0.wmf"/><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7.png"/><Relationship Id="rId66" Type="http://schemas.microsoft.com/office/2007/relationships/hdphoto" Target="media/hdphoto2.wdp"/></Relationships>
</file>

<file path=word/_rels/footer5.xml.rels><?xml version="1.0" encoding="UTF-8" standalone="yes"?>
<Relationships xmlns="http://schemas.openxmlformats.org/package/2006/relationships"><Relationship Id="rId1" Type="http://schemas.openxmlformats.org/officeDocument/2006/relationships/image" Target="media/image57.emf"/></Relationships>
</file>

<file path=word/_rels/footnotes.xml.rels><?xml version="1.0" encoding="UTF-8" standalone="yes"?>
<Relationships xmlns="http://schemas.openxmlformats.org/package/2006/relationships"><Relationship Id="rId117" Type="http://schemas.openxmlformats.org/officeDocument/2006/relationships/hyperlink" Target="https://energyadvicehub.org/esos-faqs/" TargetMode="External"/><Relationship Id="rId21" Type="http://schemas.openxmlformats.org/officeDocument/2006/relationships/hyperlink" Target="https://www.iea.org/energy-system/buildings" TargetMode="External"/><Relationship Id="rId42" Type="http://schemas.openxmlformats.org/officeDocument/2006/relationships/hyperlink" Target="https://database.aceee.org/state/building-energy-disclosure" TargetMode="External"/><Relationship Id="rId63" Type="http://schemas.openxmlformats.org/officeDocument/2006/relationships/hyperlink" Target="https://www.bmwk.de/Redaktion/EN/Dossier/enhancing-energy-efficiency-in-buildings.html" TargetMode="External"/><Relationship Id="rId84" Type="http://schemas.openxmlformats.org/officeDocument/2006/relationships/hyperlink" Target="https://iea.blob.core.windows.net/assets/3470b395-cfdd-44a9-9184-0537cf069c3d/Japan2021_EnergyPolicyReview.pdf" TargetMode="External"/><Relationship Id="rId138" Type="http://schemas.openxmlformats.org/officeDocument/2006/relationships/hyperlink" Target="https://sustainable.dc.gov/sites/default/files/dc/sites/sustainable/page_content/attachments/SDC_ProgressReport2022_FINAL-1r.pdf" TargetMode="External"/><Relationship Id="rId159" Type="http://schemas.openxmlformats.org/officeDocument/2006/relationships/hyperlink" Target="https://www.gov.uk/government/publications/improving-the-energy-efficiency-of-our-buildings" TargetMode="External"/><Relationship Id="rId170" Type="http://schemas.openxmlformats.org/officeDocument/2006/relationships/hyperlink" Target="https://www.nyc.gov/site/sustainablebuildings/ll97/local-law-97.page" TargetMode="External"/><Relationship Id="rId107" Type="http://schemas.openxmlformats.org/officeDocument/2006/relationships/hyperlink" Target="https://www.corporatesustainabilitystrategies.com/wp-content/uploads/2016/01/Assessing-the-Value-of-Green-Buildings.pdf" TargetMode="External"/><Relationship Id="rId11" Type="http://schemas.openxmlformats.org/officeDocument/2006/relationships/hyperlink" Target="https://www.iea.org/reports/australia-2023/executive-summary" TargetMode="External"/><Relationship Id="rId32" Type="http://schemas.openxmlformats.org/officeDocument/2006/relationships/hyperlink" Target="https://assets.publishing.service.gov.uk/government/uploads/system/uploads/attachment_data/file/666186/A_guide_to_energy_performance_certificates_for_the_construction_sale_and_let_of_non-dwellings.pdf" TargetMode="External"/><Relationship Id="rId53" Type="http://schemas.openxmlformats.org/officeDocument/2006/relationships/hyperlink" Target="https://energyadvicehub.org/explained-the-new-mandatory-energy-performance-rating-framework-for-large-commercial-and-industrial-buildings/" TargetMode="External"/><Relationship Id="rId74" Type="http://schemas.openxmlformats.org/officeDocument/2006/relationships/hyperlink" Target="https://www.energy.ca.gov/sites/default/files/2022-12/CEC-400-2022-010_CMF.pdf" TargetMode="External"/><Relationship Id="rId128" Type="http://schemas.openxmlformats.org/officeDocument/2006/relationships/hyperlink" Target="https://think.ing.com/articles/energy-performance-of-buildings-directive-review-how-banks-affected" TargetMode="External"/><Relationship Id="rId149" Type="http://schemas.openxmlformats.org/officeDocument/2006/relationships/hyperlink" Target="https://www.iea.org/policies/2511-building-regulations-2018-br18" TargetMode="External"/><Relationship Id="rId5" Type="http://schemas.openxmlformats.org/officeDocument/2006/relationships/hyperlink" Target="https://www.energy.gov.au/government-priorities/buildings" TargetMode="External"/><Relationship Id="rId95" Type="http://schemas.openxmlformats.org/officeDocument/2006/relationships/hyperlink" Target="https://www.energystar.gov/sites/default/files/buildings/tools/DataTrends_Savings_20121002.pdf" TargetMode="External"/><Relationship Id="rId160" Type="http://schemas.openxmlformats.org/officeDocument/2006/relationships/hyperlink" Target="https://energyadvicehub.org/explained-the-new-mandatory-energy-performance-rating-framework-for-large-commercial-and-industrial-buildings/" TargetMode="External"/><Relationship Id="rId181" Type="http://schemas.openxmlformats.org/officeDocument/2006/relationships/hyperlink" Target="https://www.leonardgray.co.uk/2016/11/new-energy-efficiency-rules-the-implications-for-commercial-landlords/" TargetMode="External"/><Relationship Id="rId22" Type="http://schemas.openxmlformats.org/officeDocument/2006/relationships/hyperlink" Target="https://www.dcceew.gov.au/sites/default/files/documents/national-greenhouse-accounts-factors-2022.pdf" TargetMode="External"/><Relationship Id="rId43" Type="http://schemas.openxmlformats.org/officeDocument/2006/relationships/hyperlink" Target="https://www.nyc.gov/site/sustainablebuildings/ll97/local-law-97.page" TargetMode="External"/><Relationship Id="rId64" Type="http://schemas.openxmlformats.org/officeDocument/2006/relationships/hyperlink" Target="https://iea.blob.core.windows.net/assets/993f67a2-054e-41ba-9adb-f782358a4e73/3.JapansRoadmaptoCarbonNeutralityintheBuildingandHousingSectors.pdf" TargetMode="External"/><Relationship Id="rId118" Type="http://schemas.openxmlformats.org/officeDocument/2006/relationships/hyperlink" Target="https://www.commbank.com.au/articles/newsroom/2021/09/Commercial-Property-Green-Loans.html" TargetMode="External"/><Relationship Id="rId139" Type="http://schemas.openxmlformats.org/officeDocument/2006/relationships/hyperlink" Target="https://www.commerce.wa.gov/growing-the-economy/energy/buildings/early-adopter-incentive-program/" TargetMode="External"/><Relationship Id="rId85" Type="http://schemas.openxmlformats.org/officeDocument/2006/relationships/hyperlink" Target="https://dc.beam-portal.org/helpdesk/kb/BEPS/80/" TargetMode="External"/><Relationship Id="rId150" Type="http://schemas.openxmlformats.org/officeDocument/2006/relationships/hyperlink" Target="https://energy.ec.europa.eu/system/files/2020-08/fr_annual_report_eed_2020_tra_0.pdf" TargetMode="External"/><Relationship Id="rId171" Type="http://schemas.openxmlformats.org/officeDocument/2006/relationships/hyperlink" Target="https://www.onenineelms.co.uk/2023/03/10/how-many-buildings-are-in-new-york/" TargetMode="External"/><Relationship Id="rId12" Type="http://schemas.openxmlformats.org/officeDocument/2006/relationships/hyperlink" Target="https://www.finance.gov.au/government/aps-net-zero-emissions-2030" TargetMode="External"/><Relationship Id="rId33" Type="http://schemas.openxmlformats.org/officeDocument/2006/relationships/hyperlink" Target="https://energyadvicehub.org/explained-the-new-mandatory-energy-performance-rating-framework-for-large-commercial-and-industrial-buildings/" TargetMode="External"/><Relationship Id="rId108" Type="http://schemas.openxmlformats.org/officeDocument/2006/relationships/hyperlink" Target="https://sustainable.dc.gov/sites/default/files/dc/sites/sustainable/page_content/attachments/SDC%20Final%20Plan_0.pdf" TargetMode="External"/><Relationship Id="rId129" Type="http://schemas.openxmlformats.org/officeDocument/2006/relationships/hyperlink" Target="https://dc.beam-portal.org/helpdesk/kb/BEPS/79/" TargetMode="External"/><Relationship Id="rId54" Type="http://schemas.openxmlformats.org/officeDocument/2006/relationships/hyperlink" Target="https://www.toronto.ca/business-economy/business-operation-growth/green-your-business/energy-and-water-reporting-and-benchmarking/" TargetMode="External"/><Relationship Id="rId75" Type="http://schemas.openxmlformats.org/officeDocument/2006/relationships/hyperlink" Target="https://www.burohappold.com/news/how-denmark-leads-the-way-in-decarbonising-the-construction-industry/" TargetMode="External"/><Relationship Id="rId96" Type="http://schemas.openxmlformats.org/officeDocument/2006/relationships/hyperlink" Target="https://link.springer.com/article/10.1007/s10018-020-00271-w" TargetMode="External"/><Relationship Id="rId140" Type="http://schemas.openxmlformats.org/officeDocument/2006/relationships/hyperlink" Target="https://www.nyc.gov/assets/buildings/local_laws/ll97of2019.pdf" TargetMode="External"/><Relationship Id="rId161" Type="http://schemas.openxmlformats.org/officeDocument/2006/relationships/hyperlink" Target="https://assets.publishing.service.gov.uk/government/uploads/system/uploads/attachment_data/file/970519/performance-based-policy-framework-ci-buildings--strategy-paper.pdf" TargetMode="External"/><Relationship Id="rId182" Type="http://schemas.openxmlformats.org/officeDocument/2006/relationships/hyperlink" Target="https://find-energy-certificate.service.gov.uk/energy-certificate/0794-1512-8572-8605-7202" TargetMode="External"/><Relationship Id="rId6" Type="http://schemas.openxmlformats.org/officeDocument/2006/relationships/hyperlink" Target="https://www.energy.gov.au/sites/default/files/The%20Commercial%20Buildings%20Energy%20Consumption%20Baseline%20Study%202022.pdf" TargetMode="External"/><Relationship Id="rId23" Type="http://schemas.openxmlformats.org/officeDocument/2006/relationships/hyperlink" Target="https://ukgbc.org/our-work/climate-change-mitigation/" TargetMode="External"/><Relationship Id="rId119" Type="http://schemas.openxmlformats.org/officeDocument/2006/relationships/hyperlink" Target="https://www.unepfi.org/wordpress/wp-content/uploads/2021/04/GFANZ-Launch-press-release.pdf" TargetMode="External"/><Relationship Id="rId44" Type="http://schemas.openxmlformats.org/officeDocument/2006/relationships/hyperlink" Target="https://www.iea.org/policies/863-building-energy-efficiency-act" TargetMode="External"/><Relationship Id="rId65" Type="http://schemas.openxmlformats.org/officeDocument/2006/relationships/hyperlink" Target="https://www.oeko.de/fileadmin/oekodoc/Phase-out_fossil_heating.pdf" TargetMode="External"/><Relationship Id="rId86" Type="http://schemas.openxmlformats.org/officeDocument/2006/relationships/hyperlink" Target="https://www.consilium.europa.eu/en/press/press-releases/2022/10/25/fit-for-55-council-agrees-on-stricter-rules-for-energy-performance-of-buildings/" TargetMode="External"/><Relationship Id="rId130" Type="http://schemas.openxmlformats.org/officeDocument/2006/relationships/hyperlink" Target="https://www.eib.nl/pdf/verplicht_energielabel_voor_%20kantoren.pdf" TargetMode="External"/><Relationship Id="rId151" Type="http://schemas.openxmlformats.org/officeDocument/2006/relationships/hyperlink" Target="https://ec.europa.eu/commission/presscorner/detail/en/QANDA_21_6686" TargetMode="External"/><Relationship Id="rId172" Type="http://schemas.openxmlformats.org/officeDocument/2006/relationships/hyperlink" Target="https://www.nyc.gov/site/sustainablebuildings/requirements/covered-buildings.page" TargetMode="External"/><Relationship Id="rId13" Type="http://schemas.openxmlformats.org/officeDocument/2006/relationships/hyperlink" Target="https://www.energy.gov.au/government-priorities/buildings/government-buildings" TargetMode="External"/><Relationship Id="rId18" Type="http://schemas.openxmlformats.org/officeDocument/2006/relationships/hyperlink" Target="https://www.planning.nsw.gov.au/policy-and-legislation/buildings/sustainable-buildings-sepp" TargetMode="External"/><Relationship Id="rId39" Type="http://schemas.openxmlformats.org/officeDocument/2006/relationships/hyperlink" Target="https://www.energystar.gov/buildings?s=mega" TargetMode="External"/><Relationship Id="rId109" Type="http://schemas.openxmlformats.org/officeDocument/2006/relationships/hyperlink" Target="https://www.dgs.ca.gov/OS/Resources/Page-Content/Office-of-Sustainability-Resources-List-Folder/California-LEED-Certified-State-Buildings" TargetMode="External"/><Relationship Id="rId34" Type="http://schemas.openxmlformats.org/officeDocument/2006/relationships/hyperlink" Target="https://www.cibse.org/media/25qlbioh/introducing-performance-based-ratings-commercial-industrial-offices-above-1000m-england-wales.pdf" TargetMode="External"/><Relationship Id="rId50" Type="http://schemas.openxmlformats.org/officeDocument/2006/relationships/hyperlink" Target="https://www.cibse.org/policy-insight/consultations/closed-consultations/a-performance-based-policy-framework-in-large-commercial-and-industrial-buildings" TargetMode="External"/><Relationship Id="rId55" Type="http://schemas.openxmlformats.org/officeDocument/2006/relationships/hyperlink" Target="https://energyadvicehub.org/nabers-uk-energy-efficiency-rating-scheme-for-uk-offices-launches-to-help-businesses-meet-net-zero/" TargetMode="External"/><Relationship Id="rId76" Type="http://schemas.openxmlformats.org/officeDocument/2006/relationships/hyperlink" Target="https://link.springer.com/article/10.1007/s10018-020-00271-w" TargetMode="External"/><Relationship Id="rId97" Type="http://schemas.openxmlformats.org/officeDocument/2006/relationships/hyperlink" Target="https://www.oecd.org/env/cc/47514572.pdf" TargetMode="External"/><Relationship Id="rId104" Type="http://schemas.openxmlformats.org/officeDocument/2006/relationships/hyperlink" Target="https://www.energystar.gov/ia/partners/publications/pubdocs/Summary_of_the_Financial_Benefits_23June06_FINAL.pdf" TargetMode="External"/><Relationship Id="rId120" Type="http://schemas.openxmlformats.org/officeDocument/2006/relationships/hyperlink" Target="https://www.barclays.co.uk/mortgages/green-home-mortgage/" TargetMode="External"/><Relationship Id="rId125" Type="http://schemas.openxmlformats.org/officeDocument/2006/relationships/hyperlink" Target="https://www.environment.gov.au/system/files/energy/files/hvac-factsheet-split-incentives.pdf" TargetMode="External"/><Relationship Id="rId141" Type="http://schemas.openxmlformats.org/officeDocument/2006/relationships/hyperlink" Target="https://www.energy.gov/scep/slsc/commercial-property-assessed-clean-energy-pace-toolkit" TargetMode="External"/><Relationship Id="rId146" Type="http://schemas.openxmlformats.org/officeDocument/2006/relationships/hyperlink" Target="https://www.iea.org/reports/multiple-benefits-of-energy-efficiency/energy-prices" TargetMode="External"/><Relationship Id="rId167" Type="http://schemas.openxmlformats.org/officeDocument/2006/relationships/hyperlink" Target="https://database.aceee.org/state/building-energy-disclosure" TargetMode="External"/><Relationship Id="rId7" Type="http://schemas.openxmlformats.org/officeDocument/2006/relationships/hyperlink" Target="https://www.energy.gov.au/sites/default/files/The%20Commercial%20Buildings%20Energy%20Consumption%20Baseline%20Study%202022.pdf" TargetMode="External"/><Relationship Id="rId71" Type="http://schemas.openxmlformats.org/officeDocument/2006/relationships/hyperlink" Target="https://iea.blob.core.windows.net/assets/3470b395-cfdd-44a9-9184-0537cf069c3d/Japan2021_EnergyPolicyReview.pdf" TargetMode="External"/><Relationship Id="rId92" Type="http://schemas.openxmlformats.org/officeDocument/2006/relationships/hyperlink" Target="https://journal-buildingscities.org/articles/10.5334/bc.139" TargetMode="External"/><Relationship Id="rId162" Type="http://schemas.openxmlformats.org/officeDocument/2006/relationships/hyperlink" Target="https://energyadvicehub.org/explained-the-new-mandatory-energy-performance-rating-framework-for-large-commercial-and-industrial-buildings/" TargetMode="External"/><Relationship Id="rId183" Type="http://schemas.openxmlformats.org/officeDocument/2006/relationships/hyperlink" Target="https://harperjames.co.uk/article/epc-regulations-for-commercial-property/" TargetMode="External"/><Relationship Id="rId2" Type="http://schemas.openxmlformats.org/officeDocument/2006/relationships/hyperlink" Target="https://www.abcb.gov.au/sites/default/files/resources/2022/UTNCC-Building-classifications.PDF" TargetMode="External"/><Relationship Id="rId29" Type="http://schemas.openxmlformats.org/officeDocument/2006/relationships/hyperlink" Target="https://www.energystar.gov/sites/default/files/tools/ES_Government-Factsheet_121914.pdf" TargetMode="External"/><Relationship Id="rId24" Type="http://schemas.openxmlformats.org/officeDocument/2006/relationships/hyperlink" Target="https://www.cegsolutions.com/blog-1/important-updates-for-dc-building-owners-on-the-dc-building-energy-performance-standards" TargetMode="External"/><Relationship Id="rId40" Type="http://schemas.openxmlformats.org/officeDocument/2006/relationships/hyperlink" Target="https://opendata.dc.gov/pages/mayor-environment" TargetMode="External"/><Relationship Id="rId45" Type="http://schemas.openxmlformats.org/officeDocument/2006/relationships/hyperlink" Target="https://www.mlit.go.jp/common/001134876.pdf" TargetMode="External"/><Relationship Id="rId66" Type="http://schemas.openxmlformats.org/officeDocument/2006/relationships/hyperlink" Target="https://www.gov.uk/buy-sell-your-home/energy-performance-certificates" TargetMode="External"/><Relationship Id="rId87" Type="http://schemas.openxmlformats.org/officeDocument/2006/relationships/hyperlink" Target="https://energypost.eu/eu-buildings-renovations-get-ready-for-minimum-energy-performance-standards-meps/" TargetMode="External"/><Relationship Id="rId110" Type="http://schemas.openxmlformats.org/officeDocument/2006/relationships/hyperlink" Target="https://www.onenineelms.co.uk/2023/03/10/how-many-buildings-are-in-new-york/" TargetMode="External"/><Relationship Id="rId115" Type="http://schemas.openxmlformats.org/officeDocument/2006/relationships/hyperlink" Target="https://www.energystar.gov/sites/default/files/buildings/tools/DataTrends_Savings_20121002.pdf" TargetMode="External"/><Relationship Id="rId131" Type="http://schemas.openxmlformats.org/officeDocument/2006/relationships/hyperlink" Target="https://www.raponline.org/wp-content/uploads/2020/07/rap-ls-ms-meps-case-studies-2020-july-28.pdf" TargetMode="External"/><Relationship Id="rId136" Type="http://schemas.openxmlformats.org/officeDocument/2006/relationships/hyperlink" Target="https://publications.jrc.ec.europa.eu/repository/bitstream/JRC101251/ldna28058enn.pdf" TargetMode="External"/><Relationship Id="rId157" Type="http://schemas.openxmlformats.org/officeDocument/2006/relationships/hyperlink" Target="https://www.dgs.ca.gov/OS/Resources/Page-Content/Office-of-Sustainability-Resources-List-Folder/California-LEED-Certified-State-Buildings" TargetMode="External"/><Relationship Id="rId178" Type="http://schemas.openxmlformats.org/officeDocument/2006/relationships/hyperlink" Target="http://bpie.eu/wp-content/uploads/2015/10/Energy-Performance-Certificates-EPC-across-the-EU.-A-mapping-of-national-approaches-2014.pdf" TargetMode="External"/><Relationship Id="rId61" Type="http://schemas.openxmlformats.org/officeDocument/2006/relationships/hyperlink" Target="https://www.energy.gov.au/sites/default/files/BEET%2010%20Minimum%20Energy%20Standards%20for%20Rented%20Properties%20-%20An%20International%20Review.pdf" TargetMode="External"/><Relationship Id="rId82" Type="http://schemas.openxmlformats.org/officeDocument/2006/relationships/hyperlink" Target="https://www.bmwk.de/Redaktion/EN/Dossier/enhancing-energy-efficiency-in-buildings.html" TargetMode="External"/><Relationship Id="rId152" Type="http://schemas.openxmlformats.org/officeDocument/2006/relationships/hyperlink" Target="https://energyadvicehub.org/does-your-commercial-building-meet-the-new-minimum-energy-efficiency-standards/" TargetMode="External"/><Relationship Id="rId173" Type="http://schemas.openxmlformats.org/officeDocument/2006/relationships/hyperlink" Target="https://www.energystar.gov/about" TargetMode="External"/><Relationship Id="rId19" Type="http://schemas.openxmlformats.org/officeDocument/2006/relationships/hyperlink" Target="https://www.energy.gov.au/publications/australian-energy-update-2020" TargetMode="External"/><Relationship Id="rId14" Type="http://schemas.openxmlformats.org/officeDocument/2006/relationships/hyperlink" Target="https://www.energy.gov.au/government-priorities/buildings/government-buildings" TargetMode="External"/><Relationship Id="rId30" Type="http://schemas.openxmlformats.org/officeDocument/2006/relationships/hyperlink" Target="https://www.cim.io/blog/the-green-mark-certification-scheme-explained" TargetMode="External"/><Relationship Id="rId35" Type="http://schemas.openxmlformats.org/officeDocument/2006/relationships/hyperlink" Target="https://perspectives.se.com/blog-stream/decret-tertiaire" TargetMode="External"/><Relationship Id="rId56" Type="http://schemas.openxmlformats.org/officeDocument/2006/relationships/hyperlink" Target="https://assets.publishing.service.gov.uk/government/uploads/system/uploads/attachment_data/file/970519/performance-based-policy-framework-ci-buildings--strategy-paper.pdf" TargetMode="External"/><Relationship Id="rId77" Type="http://schemas.openxmlformats.org/officeDocument/2006/relationships/hyperlink" Target="https://assets.kpmg.com/content/dam/kpmg/us/pdf/2022/12/tnf-fit-55-dec22-2022.pdf" TargetMode="External"/><Relationship Id="rId100" Type="http://schemas.openxmlformats.org/officeDocument/2006/relationships/hyperlink" Target="https://www.energystar.gov/sites/default/files/buildings/tools/DataTrends_Savings_20121002.pdf" TargetMode="External"/><Relationship Id="rId105" Type="http://schemas.openxmlformats.org/officeDocument/2006/relationships/hyperlink" Target="https://www.corporatesustainabilitystrategies.com/wp-content/uploads/2016/01/Assessing-the-Value-of-Green-Buildings.pdf" TargetMode="External"/><Relationship Id="rId126" Type="http://schemas.openxmlformats.org/officeDocument/2006/relationships/hyperlink" Target="https://pics.uvic.ca/sites/default/files/uploads/publications/On-Bill%20Financing%20FINAL.pdf" TargetMode="External"/><Relationship Id="rId147" Type="http://schemas.openxmlformats.org/officeDocument/2006/relationships/hyperlink" Target="https://www.dcceew.gov.au/environment/protection/ozone/montreal-protocol" TargetMode="External"/><Relationship Id="rId168" Type="http://schemas.openxmlformats.org/officeDocument/2006/relationships/hyperlink" Target="https://www.energystar.gov/buildings?s=mega" TargetMode="External"/><Relationship Id="rId8" Type="http://schemas.openxmlformats.org/officeDocument/2006/relationships/hyperlink" Target="https://www.dcceew.gov.au/sites/default/files/documents/national-greenhouse-accounts-factors-2022.pdf" TargetMode="External"/><Relationship Id="rId51" Type="http://schemas.openxmlformats.org/officeDocument/2006/relationships/hyperlink" Target="https://assets.publishing.service.gov.uk/government/uploads/system/uploads/attachment_data/file/1044598/6.7408_BEIS_Clean_Heat_Heat___Buildings_Strategy_Stage_2_v5_WEB.pdf" TargetMode="External"/><Relationship Id="rId72" Type="http://schemas.openxmlformats.org/officeDocument/2006/relationships/hyperlink" Target="https://centaur.reading.ac.uk/111089/" TargetMode="External"/><Relationship Id="rId93" Type="http://schemas.openxmlformats.org/officeDocument/2006/relationships/hyperlink" Target="https://dc.beam-portal.org/helpdesk/kb/BEPS/79/" TargetMode="External"/><Relationship Id="rId98" Type="http://schemas.openxmlformats.org/officeDocument/2006/relationships/hyperlink" Target="https://iea.blob.core.windows.net/assets/3470b395-cfdd-44a9-9184-0537cf069c3d/Japan2021_EnergyPolicyReview.pdf" TargetMode="External"/><Relationship Id="rId121" Type="http://schemas.openxmlformats.org/officeDocument/2006/relationships/hyperlink" Target="https://www.commbank.com.au/articles/newsroom/2021/09/Commercial-Property-Green-Loans.html" TargetMode="External"/><Relationship Id="rId142" Type="http://schemas.openxmlformats.org/officeDocument/2006/relationships/hyperlink" Target="https://energy.ec.europa.eu/topics/energy-efficiency/energy-efficient-buildings/nearly-zero-energy-buildings_en" TargetMode="External"/><Relationship Id="rId163" Type="http://schemas.openxmlformats.org/officeDocument/2006/relationships/hyperlink" Target="https://perspectives.se.com/blog-stream/decret-tertiaire" TargetMode="External"/><Relationship Id="rId184" Type="http://schemas.openxmlformats.org/officeDocument/2006/relationships/hyperlink" Target="https://www.slideshare.net/ceciliabengtson/koreas-energy-standards-labeling" TargetMode="External"/><Relationship Id="rId3" Type="http://schemas.openxmlformats.org/officeDocument/2006/relationships/hyperlink" Target="https://www.legislation.gov.au/Details/C2022A00037" TargetMode="External"/><Relationship Id="rId25" Type="http://schemas.openxmlformats.org/officeDocument/2006/relationships/hyperlink" Target="https://www.energy.gov.au/sites/default/files/existing_building_energy_efficiency_renovation_-_international_review_of_regulatory_policies_-_september_2017_-_ipeec.pdf" TargetMode="External"/><Relationship Id="rId46" Type="http://schemas.openxmlformats.org/officeDocument/2006/relationships/hyperlink" Target="https://energyefficiencyhub.org/wp-content/uploads/2023/02/S1-1.pdf" TargetMode="External"/><Relationship Id="rId67" Type="http://schemas.openxmlformats.org/officeDocument/2006/relationships/hyperlink" Target="https://www.gov.uk/guidance/domestic-private-rented-property-minimum-energy-efficiency-standard-landlord-guidance" TargetMode="External"/><Relationship Id="rId116" Type="http://schemas.openxmlformats.org/officeDocument/2006/relationships/hyperlink" Target="https://dcgreenbank.com/product/dc-pace/" TargetMode="External"/><Relationship Id="rId137" Type="http://schemas.openxmlformats.org/officeDocument/2006/relationships/hyperlink" Target="https://www.commerce.wa.gov/growing-the-economy/energy/buildings/early-adopter-incentive-program/" TargetMode="External"/><Relationship Id="rId158" Type="http://schemas.openxmlformats.org/officeDocument/2006/relationships/hyperlink" Target="https://www.iea.org/commentaries/global-heat-pump-sales-continue-double-digit-growth" TargetMode="External"/><Relationship Id="rId20" Type="http://schemas.openxmlformats.org/officeDocument/2006/relationships/hyperlink" Target="https://www.energy.gov.au/sites/default/files/The%20Commercial%20Buildings%20Energy%20Consumption%20Baseline%20Study%202022.pdf" TargetMode="External"/><Relationship Id="rId41" Type="http://schemas.openxmlformats.org/officeDocument/2006/relationships/hyperlink" Target="https://www.commerce.wa.gov/growing-the-economy/energy/buildings/how-to-comply/" TargetMode="External"/><Relationship Id="rId62" Type="http://schemas.openxmlformats.org/officeDocument/2006/relationships/hyperlink" Target="https://www.oeko.de/fileadmin/oekodoc/Phase-out_fossil_heating.pdf" TargetMode="External"/><Relationship Id="rId83" Type="http://schemas.openxmlformats.org/officeDocument/2006/relationships/hyperlink" Target="https://dco.energy.or.kr/renew_eng/energy/buildings/worksheet.aspx" TargetMode="External"/><Relationship Id="rId88" Type="http://schemas.openxmlformats.org/officeDocument/2006/relationships/hyperlink" Target="https://www.thegef.org/sites/default/files/publications/EEBuilding_WEB_2.pdf" TargetMode="External"/><Relationship Id="rId111" Type="http://schemas.openxmlformats.org/officeDocument/2006/relationships/hyperlink" Target="https://www.nyc.gov/site/sustainablebuildings/requirements/covered-buildings.page" TargetMode="External"/><Relationship Id="rId132" Type="http://schemas.openxmlformats.org/officeDocument/2006/relationships/hyperlink" Target="https://www.sciencedirect.com/science/article/abs/pii/S0301421517308157" TargetMode="External"/><Relationship Id="rId153" Type="http://schemas.openxmlformats.org/officeDocument/2006/relationships/hyperlink" Target="https://www.dcceew.gov.au/sites/default/files/documents/national-greenhouse-accounts-factors-2022.pdf" TargetMode="External"/><Relationship Id="rId174" Type="http://schemas.openxmlformats.org/officeDocument/2006/relationships/hyperlink" Target="https://library.cee1.org/system/files/library/13175/Final_National_Awareness_of_ENERGY_STAR_2016_040617_508c.pdf" TargetMode="External"/><Relationship Id="rId179" Type="http://schemas.openxmlformats.org/officeDocument/2006/relationships/hyperlink" Target="https://energy.ec.europa.eu/topics/energy-efficiency/energy-efficient-buildings/energy-performance-buildings-directive_en" TargetMode="External"/><Relationship Id="rId15" Type="http://schemas.openxmlformats.org/officeDocument/2006/relationships/hyperlink" Target="https://www.energy.gov.au/government-priorities/buildings/government-buildings" TargetMode="External"/><Relationship Id="rId36" Type="http://schemas.openxmlformats.org/officeDocument/2006/relationships/hyperlink" Target="https://bmhavocats.com/en/2019/11/08/france-accelerates-its-energy-transition-on-commercial-and-industrial-buildings/" TargetMode="External"/><Relationship Id="rId57" Type="http://schemas.openxmlformats.org/officeDocument/2006/relationships/hyperlink" Target="https://www.dcceew.gov.au/sites/default/files/documents/minimum-energy-standards-rented-properties-international-review.pdf" TargetMode="External"/><Relationship Id="rId106" Type="http://schemas.openxmlformats.org/officeDocument/2006/relationships/hyperlink" Target="https://css.umich.edu/publications/factsheets/built-environment/commercial-buildings-factsheet" TargetMode="External"/><Relationship Id="rId127" Type="http://schemas.openxmlformats.org/officeDocument/2006/relationships/hyperlink" Target="https://onlinelibrary.wiley.com/doi/full/10.1111/ropr.12302" TargetMode="External"/><Relationship Id="rId10" Type="http://schemas.openxmlformats.org/officeDocument/2006/relationships/hyperlink" Target="https://consult.dcceew.gov.au/neps-consultation-paper" TargetMode="External"/><Relationship Id="rId31" Type="http://schemas.openxmlformats.org/officeDocument/2006/relationships/hyperlink" Target="https://www.gov.uk/government/publications/improving-the-energy-efficiency-of-our-buildings" TargetMode="External"/><Relationship Id="rId52" Type="http://schemas.openxmlformats.org/officeDocument/2006/relationships/hyperlink" Target="https://assets.publishing.service.gov.uk/government/uploads/system/uploads/attachment_data/file/936567/10_POINT_PLAN_BOOKLET.pdf" TargetMode="External"/><Relationship Id="rId73" Type="http://schemas.openxmlformats.org/officeDocument/2006/relationships/hyperlink" Target="https://www.raponline.org/wp-content/uploads/2020/07/rap-ls-ms-meps-case-studies-2020-july-28.pdf" TargetMode="External"/><Relationship Id="rId78" Type="http://schemas.openxmlformats.org/officeDocument/2006/relationships/hyperlink" Target="https://www.gov.uk/guidance/apply-for-the-green-homes-grant-scheme" TargetMode="External"/><Relationship Id="rId94" Type="http://schemas.openxmlformats.org/officeDocument/2006/relationships/hyperlink" Target="https://dc.beam-portal.org/helpdesk/kb/BEPS/79/" TargetMode="External"/><Relationship Id="rId99" Type="http://schemas.openxmlformats.org/officeDocument/2006/relationships/hyperlink" Target="https://www.mdpi.com/2071-1050/7/12/16086" TargetMode="External"/><Relationship Id="rId101" Type="http://schemas.openxmlformats.org/officeDocument/2006/relationships/hyperlink" Target="https://www.gov.uk/government/news/energy-efficiency-what-you-need-to-know" TargetMode="External"/><Relationship Id="rId122" Type="http://schemas.openxmlformats.org/officeDocument/2006/relationships/hyperlink" Target="https://coebank.org/en/news-and-publications/news/ceb-approves-loan-increase-netherlands-national-heating-fund-achieve-energy-efficiency/" TargetMode="External"/><Relationship Id="rId143" Type="http://schemas.openxmlformats.org/officeDocument/2006/relationships/hyperlink" Target="https://www.dcceew.gov.au/environment/protection/ozone/montreal-protocol" TargetMode="External"/><Relationship Id="rId148" Type="http://schemas.openxmlformats.org/officeDocument/2006/relationships/hyperlink" Target="https://www.energy.gov.au/government-priorities/buildings/government-buildings" TargetMode="External"/><Relationship Id="rId164" Type="http://schemas.openxmlformats.org/officeDocument/2006/relationships/hyperlink" Target="https://www.bmi.bund.de/EN/topics/building-housing/building/energy-efficient-construction-renovation/buildings-energy-act/buildings-energy-act-node.html" TargetMode="External"/><Relationship Id="rId169" Type="http://schemas.openxmlformats.org/officeDocument/2006/relationships/hyperlink" Target="https://database.aceee.org/state/building-energy-disclosure" TargetMode="External"/><Relationship Id="rId185" Type="http://schemas.openxmlformats.org/officeDocument/2006/relationships/hyperlink" Target="https://www.researchgate.net/figure/Energy-Label-for-Buildings-in-Germany-Source-Marco-Klaue-fotoliacom_fig30_304040140" TargetMode="External"/><Relationship Id="rId4" Type="http://schemas.openxmlformats.org/officeDocument/2006/relationships/hyperlink" Target="https://www.energy.gov.au/sites/default/files/The%20Commercial%20Buildings%20Energy%20Consumption%20Baseline%20Study%202022.pdf" TargetMode="External"/><Relationship Id="rId9" Type="http://schemas.openxmlformats.org/officeDocument/2006/relationships/hyperlink" Target="https://www.energy.gov.au/sites/default/files/The%20Commercial%20Buildings%20Energy%20Consumption%20Baseline%20Study%202022.pdf" TargetMode="External"/><Relationship Id="rId180" Type="http://schemas.openxmlformats.org/officeDocument/2006/relationships/hyperlink" Target="https://www.darwingray.com/2022-01-24-epcs-for-commercial-buildings-what-you-need-to-know-for-2023/" TargetMode="External"/><Relationship Id="rId26" Type="http://schemas.openxmlformats.org/officeDocument/2006/relationships/hyperlink" Target="https://assets.publishing.service.gov.uk/government/uploads/system/uploads/attachment_data/file/922660/EPC_Action_Plan.pdf" TargetMode="External"/><Relationship Id="rId47" Type="http://schemas.openxmlformats.org/officeDocument/2006/relationships/hyperlink" Target="https://www.lexology.com/library/detail.aspx?g=2f4b5bb5-72be-4791-b8b8-c8450c87a4da" TargetMode="External"/><Relationship Id="rId68" Type="http://schemas.openxmlformats.org/officeDocument/2006/relationships/hyperlink" Target="https://eur-lex.europa.eu/legal-content/EN/TXT/PDF/?uri=CELEX:32010L0031" TargetMode="External"/><Relationship Id="rId89" Type="http://schemas.openxmlformats.org/officeDocument/2006/relationships/hyperlink" Target="https://www.theccc.org.uk/publication/reducing-uk-emissions-2020-progress-report-to-parliament/" TargetMode="External"/><Relationship Id="rId112" Type="http://schemas.openxmlformats.org/officeDocument/2006/relationships/hyperlink" Target="https://eta-publications.lbl.gov/sites/default/files/pigman_aceee_summer_study_2022_preprint.pdf" TargetMode="External"/><Relationship Id="rId133" Type="http://schemas.openxmlformats.org/officeDocument/2006/relationships/hyperlink" Target="https://longevity-partners.com/news/energy-regulations-in-france-news-and-implications/" TargetMode="External"/><Relationship Id="rId154" Type="http://schemas.openxmlformats.org/officeDocument/2006/relationships/hyperlink" Target="https://www.eesc.europa.eu/sites/default/files/files/qe-05-22-310-en-n.pdf" TargetMode="External"/><Relationship Id="rId175" Type="http://schemas.openxmlformats.org/officeDocument/2006/relationships/hyperlink" Target="https://www.energystar.gov/partner_resources/international_partners" TargetMode="External"/><Relationship Id="rId16" Type="http://schemas.openxmlformats.org/officeDocument/2006/relationships/hyperlink" Target="https://www.infrastructure.nsw.gov.au/media/3696/infr9941-decarbonising-infrastructure-delivery.pdf" TargetMode="External"/><Relationship Id="rId37" Type="http://schemas.openxmlformats.org/officeDocument/2006/relationships/hyperlink" Target="https://www.bmi.bund.de/EN/topics/building-housing/building/energy-efficient-construction-renovation/buildings-energy-act/buildings-energy-act-node.html" TargetMode="External"/><Relationship Id="rId58" Type="http://schemas.openxmlformats.org/officeDocument/2006/relationships/hyperlink" Target="https://www.raponline.org/wp-content/uploads/2021/03/rap-meps-germany-2021-march.pdf" TargetMode="External"/><Relationship Id="rId79" Type="http://schemas.openxmlformats.org/officeDocument/2006/relationships/hyperlink" Target="https://senergys.de/en/what-is-the-federal-funding-for-efficient-buildings-beg/" TargetMode="External"/><Relationship Id="rId102" Type="http://schemas.openxmlformats.org/officeDocument/2006/relationships/hyperlink" Target="https://epbd-ca.eu/ca-outcomes/outcomes-2015-2018/book-2018/countries/norway" TargetMode="External"/><Relationship Id="rId123" Type="http://schemas.openxmlformats.org/officeDocument/2006/relationships/hyperlink" Target="https://danskebank.com/-/media/danske-bank-com/pdf/investor-relations/debt/green-bonds/danske-bank-green-finance-framework-november-2022.pdf?rev=f710173447f64748846a7f203024ac60&amp;hash=C33AF7D48BE4243CFF27DE3147FEB655" TargetMode="External"/><Relationship Id="rId144" Type="http://schemas.openxmlformats.org/officeDocument/2006/relationships/hyperlink" Target="https://www.planning.nsw.gov.au/sites/default/files/2023-03/sustainable-buildings-sepp-overview.pdf" TargetMode="External"/><Relationship Id="rId90" Type="http://schemas.openxmlformats.org/officeDocument/2006/relationships/hyperlink" Target="https://assets.publishing.service.gov.uk/government/uploads/system/uploads/attachment_data/file/970519/performance-based-policy-framework-ci-buildings--strategy-paper.pdf" TargetMode="External"/><Relationship Id="rId165" Type="http://schemas.openxmlformats.org/officeDocument/2006/relationships/hyperlink" Target="https://www.iea.org/policies/863-building-energy-efficiency-act" TargetMode="External"/><Relationship Id="rId186" Type="http://schemas.openxmlformats.org/officeDocument/2006/relationships/hyperlink" Target="https://www.nyc.gov/assets/buildings/pdf/bldgs_ee_rating.pdf" TargetMode="External"/><Relationship Id="rId27" Type="http://schemas.openxmlformats.org/officeDocument/2006/relationships/hyperlink" Target="https://www.aceee.org/files/proceedings/2014/data/papers/6-277.pdf" TargetMode="External"/><Relationship Id="rId48" Type="http://schemas.openxmlformats.org/officeDocument/2006/relationships/hyperlink" Target="https://www.mlit.go.jp/common/001134876.pdf" TargetMode="External"/><Relationship Id="rId69" Type="http://schemas.openxmlformats.org/officeDocument/2006/relationships/hyperlink" Target="https://www.simmons-simmons.com/en/publications/ckmxbrsri18pm0a34fznd79y4/mees-implementing-the-epc-b-target-by-2030v" TargetMode="External"/><Relationship Id="rId113" Type="http://schemas.openxmlformats.org/officeDocument/2006/relationships/hyperlink" Target="https://www.efenergia.com/wp-content/uploads/20130619-energy_performance_certificates_in_buildings.pdf" TargetMode="External"/><Relationship Id="rId134" Type="http://schemas.openxmlformats.org/officeDocument/2006/relationships/hyperlink" Target="https://perspectives.se.com/blog-stream/decret-tertiaire" TargetMode="External"/><Relationship Id="rId80" Type="http://schemas.openxmlformats.org/officeDocument/2006/relationships/hyperlink" Target="https://www.consilium.europa.eu/en/infographics/fit-for-55-social-climate-fund/" TargetMode="External"/><Relationship Id="rId155" Type="http://schemas.openxmlformats.org/officeDocument/2006/relationships/hyperlink" Target="https://energypost.eu/eu-buildings-renovations-get-ready-for-minimum-energy-performance-standards-meps/" TargetMode="External"/><Relationship Id="rId176" Type="http://schemas.openxmlformats.org/officeDocument/2006/relationships/hyperlink" Target="https://www.energystar.gov/buildings/benchmark/understand_metrics/property_types/eligible_for_score" TargetMode="External"/><Relationship Id="rId17" Type="http://schemas.openxmlformats.org/officeDocument/2006/relationships/hyperlink" Target="https://gbca-web.s3.amazonaws.com/media/documents/embodied-carbon--embodied-energy-in-australias-buildings-2021-07-22-final-public.pdf" TargetMode="External"/><Relationship Id="rId38" Type="http://schemas.openxmlformats.org/officeDocument/2006/relationships/hyperlink" Target="https://database.aceee.org/state/building-energy-disclosure" TargetMode="External"/><Relationship Id="rId59" Type="http://schemas.openxmlformats.org/officeDocument/2006/relationships/hyperlink" Target="https://urldefense.com/v3/__https:/www.raponline.org/wp-content/uploads/2021/03/rap-meps-germany-2021-march.pdf__;!!E1R1dd1bLLODlQ4!CxnEV-Z8WNqt-Sno-6xYqUqfXIrx-ddZOEjt0_GRe0Fu3EeAmZ1Pq6-Rtaq4_McQsUT8hiIcDyHLbGKMjldDaQN4oKq7pcZ8_w$" TargetMode="External"/><Relationship Id="rId103" Type="http://schemas.openxmlformats.org/officeDocument/2006/relationships/hyperlink" Target="https://iea.blob.core.windows.net/assets/3470b395-cfdd-44a9-9184-0537cf069c3d/Japan2021_EnergyPolicyReview.pdf" TargetMode="External"/><Relationship Id="rId124" Type="http://schemas.openxmlformats.org/officeDocument/2006/relationships/hyperlink" Target="https://energypost.eu/eu-buildings-renovations-get-ready-for-minimum-energy-performance-standards-meps/" TargetMode="External"/><Relationship Id="rId70" Type="http://schemas.openxmlformats.org/officeDocument/2006/relationships/hyperlink" Target="https://www.simmons-simmons.com/en/publications/ckmxbrsri18pm0a34fznd79y4/mees-implementing-the-epc-b-target-by-2030v" TargetMode="External"/><Relationship Id="rId91" Type="http://schemas.openxmlformats.org/officeDocument/2006/relationships/hyperlink" Target="https://energyadvicehub.org/esos-faqs/" TargetMode="External"/><Relationship Id="rId145" Type="http://schemas.openxmlformats.org/officeDocument/2006/relationships/hyperlink" Target="https://everybuildingcounts.com.au/" TargetMode="External"/><Relationship Id="rId166" Type="http://schemas.openxmlformats.org/officeDocument/2006/relationships/hyperlink" Target="https://www.mlit.go.jp/common/001134876.pdf" TargetMode="External"/><Relationship Id="rId187" Type="http://schemas.openxmlformats.org/officeDocument/2006/relationships/hyperlink" Target="https://dc.beam-portal.org/helpdesk/kb/BEPS/4/" TargetMode="External"/><Relationship Id="rId1" Type="http://schemas.openxmlformats.org/officeDocument/2006/relationships/hyperlink" Target="https://www.energy.gov.au/government-priorities/buildings/commercial-buildings" TargetMode="External"/><Relationship Id="rId28" Type="http://schemas.openxmlformats.org/officeDocument/2006/relationships/hyperlink" Target="https://www.researchgate.net/publication/329134059_Do_Consumers_Care_about_the_Energy_Efficiency_of_Buildings_Understanding_Residential_Choice_Based_on_Energy_Performance_Certificates" TargetMode="External"/><Relationship Id="rId49" Type="http://schemas.openxmlformats.org/officeDocument/2006/relationships/hyperlink" Target="https://assets.publishing.service.gov.uk/government/uploads/system/uploads/attachment_data/file/970229/Industrial_Decarbonisation_Strategy_March_2021.pdf" TargetMode="External"/><Relationship Id="rId114" Type="http://schemas.openxmlformats.org/officeDocument/2006/relationships/hyperlink" Target="https://www.energystar.gov/sites/default/files/buildings/tools/DataTrends_Savings_20121002.pdf" TargetMode="External"/><Relationship Id="rId60" Type="http://schemas.openxmlformats.org/officeDocument/2006/relationships/hyperlink" Target="https://reader.elsevier.com/reader/sd/pii/S0959652623005000?token=26FCA4B48D829506034D2F13497AE62E49154E90AEA059F484B008165BF1087C05E98273698A65F88105A2BA41A9755D&amp;originRegion=us-east-1&amp;originCreation=20230411062920" TargetMode="External"/><Relationship Id="rId81" Type="http://schemas.openxmlformats.org/officeDocument/2006/relationships/hyperlink" Target="https://ec.europa.eu/commission/presscorner/detail/en/mex_23_1301" TargetMode="External"/><Relationship Id="rId135" Type="http://schemas.openxmlformats.org/officeDocument/2006/relationships/hyperlink" Target="https://www.ncbi.nlm.nih.gov/pmc/articles/PMC4819331/" TargetMode="External"/><Relationship Id="rId156" Type="http://schemas.openxmlformats.org/officeDocument/2006/relationships/hyperlink" Target="https://sustainable.dc.gov/sites/default/files/dc/sites/sustainable/page_content/attachments/SDC%20Final%20Plan_0.pdf" TargetMode="External"/><Relationship Id="rId177" Type="http://schemas.openxmlformats.org/officeDocument/2006/relationships/hyperlink" Target="http://bpie.eu/wp-content/uploads/2015/10/Energy-Performance-Certificates-EPC-across-the-EU.-A-mapping-of-national-approaches-201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2022_projects\%5e855565313MKT%20Brand%20Guidelines%202022%20Update\Templates%20updated\V1\Proposal%20templates\%5ePhil\02_WORD%20TEMPLATE.dotx" TargetMode="External"/></Relationships>
</file>

<file path=word/theme/theme1.xml><?xml version="1.0" encoding="utf-8"?>
<a:theme xmlns:a="http://schemas.openxmlformats.org/drawingml/2006/main" name="Office Theme">
  <a:themeElements>
    <a:clrScheme name="KPMG 2022 Brand">
      <a:dk1>
        <a:srgbClr val="000000"/>
      </a:dk1>
      <a:lt1>
        <a:sysClr val="window" lastClr="FFFFFF"/>
      </a:lt1>
      <a:dk2>
        <a:srgbClr val="00338D"/>
      </a:dk2>
      <a:lt2>
        <a:srgbClr val="F0F0F0"/>
      </a:lt2>
      <a:accent1>
        <a:srgbClr val="1E49E2"/>
      </a:accent1>
      <a:accent2>
        <a:srgbClr val="00B8F5"/>
      </a:accent2>
      <a:accent3>
        <a:srgbClr val="7213EA"/>
      </a:accent3>
      <a:accent4>
        <a:srgbClr val="00A3A1"/>
      </a:accent4>
      <a:accent5>
        <a:srgbClr val="FD349C"/>
      </a:accent5>
      <a:accent6>
        <a:srgbClr val="7030A0"/>
      </a:accent6>
      <a:hlink>
        <a:srgbClr val="0091DA"/>
      </a:hlink>
      <a:folHlink>
        <a:srgbClr val="0091D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1e3a6f-90f2-4bee-94aa-8b51ed367850">
      <Terms xmlns="http://schemas.microsoft.com/office/infopath/2007/PartnerControls"/>
    </lcf76f155ced4ddcb4097134ff3c332f>
    <TaxCatchAll xmlns="81c01dc6-2c49-4730-b140-874c95cac377" xsi:nil="true"/>
    <_Flow_SignoffStatus xmlns="1a1e3a6f-90f2-4bee-94aa-8b51ed367850" xsi:nil="true"/>
    <ec8963811f66454d90035b41c545792f xmlns="81c01dc6-2c49-4730-b140-874c95cac377">
      <Terms xmlns="http://schemas.microsoft.com/office/infopath/2007/PartnerControls"/>
    </ec8963811f66454d90035b41c545792f>
    <SharedWithUsers xmlns="4c70a926-dbaa-45f1-afc0-26a9639aec76">
      <UserInfo>
        <DisplayName>Kavanagh, Tanya</DisplayName>
        <AccountId>69</AccountId>
        <AccountType/>
      </UserInfo>
      <UserInfo>
        <DisplayName>Trinca, Alex</DisplayName>
        <AccountId>661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35C6DC1D5D994DBC42D8A7CB1B134F" ma:contentTypeVersion="26" ma:contentTypeDescription="Create a new document." ma:contentTypeScope="" ma:versionID="de0491a022f1377b828612114e35aafd">
  <xsd:schema xmlns:xsd="http://www.w3.org/2001/XMLSchema" xmlns:xs="http://www.w3.org/2001/XMLSchema" xmlns:p="http://schemas.microsoft.com/office/2006/metadata/properties" xmlns:ns2="1a1e3a6f-90f2-4bee-94aa-8b51ed367850" xmlns:ns3="81c01dc6-2c49-4730-b140-874c95cac377" xmlns:ns4="4c70a926-dbaa-45f1-afc0-26a9639aec76" targetNamespace="http://schemas.microsoft.com/office/2006/metadata/properties" ma:root="true" ma:fieldsID="23d4a0e720f51b08e621270dcbe057b2" ns2:_="" ns3:_="" ns4:_="">
    <xsd:import namespace="1a1e3a6f-90f2-4bee-94aa-8b51ed367850"/>
    <xsd:import namespace="81c01dc6-2c49-4730-b140-874c95cac377"/>
    <xsd:import namespace="4c70a926-dbaa-45f1-afc0-26a9639aec76"/>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4:SharedWithUsers" minOccurs="0"/>
                <xsd:element ref="ns4:SharedWithDetails" minOccurs="0"/>
                <xsd:element ref="ns2:MediaServiceObjectDetectorVersions" minOccurs="0"/>
                <xsd:element ref="ns2:_Flow_SignoffStatus" minOccurs="0"/>
                <xsd:element ref="ns3:ec8963811f66454d90035b41c545792f"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e3a6f-90f2-4bee-94aa-8b51ed367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34cfa41-87e7-495b-8786-25a9ab2375f4}" ma:internalName="TaxCatchAll" ma:showField="CatchAllData" ma:web="4c70a926-dbaa-45f1-afc0-26a9639aec76">
      <xsd:complexType>
        <xsd:complexContent>
          <xsd:extension base="dms:MultiChoiceLookup">
            <xsd:sequence>
              <xsd:element name="Value" type="dms:Lookup" maxOccurs="unbounded" minOccurs="0" nillable="true"/>
            </xsd:sequence>
          </xsd:extension>
        </xsd:complexContent>
      </xsd:complexType>
    </xsd:element>
    <xsd:element name="ec8963811f66454d90035b41c545792f" ma:index="23" nillable="true" ma:taxonomy="true" ma:internalName="ec8963811f66454d90035b41c545792f" ma:taxonomyFieldName="Topic" ma:displayName="Topic" ma:default="" ma:fieldId="{ec896381-1f66-454d-9003-5b41c545792f}" ma:sspId="7881b4ab-c2b0-4b32-8bb7-29fb05a8de77" ma:termSetId="4d0ee169-b0f3-4659-8cb8-a3102d9d5ca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5F2FE-DAB5-489C-A7B4-6684047905FF}">
  <ds:schemaRefs>
    <ds:schemaRef ds:uri="http://schemas.microsoft.com/office/2006/metadata/properties"/>
    <ds:schemaRef ds:uri="http://schemas.microsoft.com/office/infopath/2007/PartnerControls"/>
    <ds:schemaRef ds:uri="1a1e3a6f-90f2-4bee-94aa-8b51ed367850"/>
    <ds:schemaRef ds:uri="81c01dc6-2c49-4730-b140-874c95cac377"/>
  </ds:schemaRefs>
</ds:datastoreItem>
</file>

<file path=customXml/itemProps2.xml><?xml version="1.0" encoding="utf-8"?>
<ds:datastoreItem xmlns:ds="http://schemas.openxmlformats.org/officeDocument/2006/customXml" ds:itemID="{A364D6F9-E144-413E-B554-A6B7B8002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e3a6f-90f2-4bee-94aa-8b51ed367850"/>
    <ds:schemaRef ds:uri="81c01dc6-2c49-4730-b140-874c95cac377"/>
    <ds:schemaRef ds:uri="4c70a926-dbaa-45f1-afc0-26a9639ae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4258E-302F-4080-BC10-81E1451F5F09}">
  <ds:schemaRefs>
    <ds:schemaRef ds:uri="http://schemas.openxmlformats.org/officeDocument/2006/bibliography"/>
  </ds:schemaRefs>
</ds:datastoreItem>
</file>

<file path=customXml/itemProps4.xml><?xml version="1.0" encoding="utf-8"?>
<ds:datastoreItem xmlns:ds="http://schemas.openxmlformats.org/officeDocument/2006/customXml" ds:itemID="{D5267E47-3CF4-493F-BBD3-177BE31EFD5D}">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02_WORD TEMPLATE</Template>
  <TotalTime>329</TotalTime>
  <Pages>111</Pages>
  <Words>42755</Words>
  <Characters>243707</Characters>
  <Application>Microsoft Office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Final Report for the Department of Climate Change, Energy, the Environment and Water</vt:lpstr>
    </vt:vector>
  </TitlesOfParts>
  <Company/>
  <LinksUpToDate>false</LinksUpToDate>
  <CharactersWithSpaces>285891</CharactersWithSpaces>
  <SharedDoc>false</SharedDoc>
  <HLinks>
    <vt:vector size="1842" baseType="variant">
      <vt:variant>
        <vt:i4>4784145</vt:i4>
      </vt:variant>
      <vt:variant>
        <vt:i4>1068</vt:i4>
      </vt:variant>
      <vt:variant>
        <vt:i4>0</vt:i4>
      </vt:variant>
      <vt:variant>
        <vt:i4>5</vt:i4>
      </vt:variant>
      <vt:variant>
        <vt:lpwstr>https://consult.dcceew.gov.au/neps-consultation-paper</vt:lpwstr>
      </vt:variant>
      <vt:variant>
        <vt:lpwstr/>
      </vt:variant>
      <vt:variant>
        <vt:i4>2883687</vt:i4>
      </vt:variant>
      <vt:variant>
        <vt:i4>1065</vt:i4>
      </vt:variant>
      <vt:variant>
        <vt:i4>0</vt:i4>
      </vt:variant>
      <vt:variant>
        <vt:i4>5</vt:i4>
      </vt:variant>
      <vt:variant>
        <vt:lpwstr>https://www.energy.gov.au/government-priorities/energy-ministers/energy-ministers-publications/trajectory-low-energy-buildings</vt:lpwstr>
      </vt:variant>
      <vt:variant>
        <vt:lpwstr/>
      </vt:variant>
      <vt:variant>
        <vt:i4>7667826</vt:i4>
      </vt:variant>
      <vt:variant>
        <vt:i4>1005</vt:i4>
      </vt:variant>
      <vt:variant>
        <vt:i4>0</vt:i4>
      </vt:variant>
      <vt:variant>
        <vt:i4>5</vt:i4>
      </vt:variant>
      <vt:variant>
        <vt:lpwstr>https://www.energy.gov.au/publications/commercial-buildings-energy-consumption-baseline-study-2022</vt:lpwstr>
      </vt:variant>
      <vt:variant>
        <vt:lpwstr/>
      </vt:variant>
      <vt:variant>
        <vt:i4>1048638</vt:i4>
      </vt:variant>
      <vt:variant>
        <vt:i4>734</vt:i4>
      </vt:variant>
      <vt:variant>
        <vt:i4>0</vt:i4>
      </vt:variant>
      <vt:variant>
        <vt:i4>5</vt:i4>
      </vt:variant>
      <vt:variant>
        <vt:lpwstr/>
      </vt:variant>
      <vt:variant>
        <vt:lpwstr>_Toc157687033</vt:lpwstr>
      </vt:variant>
      <vt:variant>
        <vt:i4>1048638</vt:i4>
      </vt:variant>
      <vt:variant>
        <vt:i4>728</vt:i4>
      </vt:variant>
      <vt:variant>
        <vt:i4>0</vt:i4>
      </vt:variant>
      <vt:variant>
        <vt:i4>5</vt:i4>
      </vt:variant>
      <vt:variant>
        <vt:lpwstr/>
      </vt:variant>
      <vt:variant>
        <vt:lpwstr>_Toc157687032</vt:lpwstr>
      </vt:variant>
      <vt:variant>
        <vt:i4>1048638</vt:i4>
      </vt:variant>
      <vt:variant>
        <vt:i4>722</vt:i4>
      </vt:variant>
      <vt:variant>
        <vt:i4>0</vt:i4>
      </vt:variant>
      <vt:variant>
        <vt:i4>5</vt:i4>
      </vt:variant>
      <vt:variant>
        <vt:lpwstr/>
      </vt:variant>
      <vt:variant>
        <vt:lpwstr>_Toc157687031</vt:lpwstr>
      </vt:variant>
      <vt:variant>
        <vt:i4>1048638</vt:i4>
      </vt:variant>
      <vt:variant>
        <vt:i4>716</vt:i4>
      </vt:variant>
      <vt:variant>
        <vt:i4>0</vt:i4>
      </vt:variant>
      <vt:variant>
        <vt:i4>5</vt:i4>
      </vt:variant>
      <vt:variant>
        <vt:lpwstr/>
      </vt:variant>
      <vt:variant>
        <vt:lpwstr>_Toc157687030</vt:lpwstr>
      </vt:variant>
      <vt:variant>
        <vt:i4>1114174</vt:i4>
      </vt:variant>
      <vt:variant>
        <vt:i4>710</vt:i4>
      </vt:variant>
      <vt:variant>
        <vt:i4>0</vt:i4>
      </vt:variant>
      <vt:variant>
        <vt:i4>5</vt:i4>
      </vt:variant>
      <vt:variant>
        <vt:lpwstr/>
      </vt:variant>
      <vt:variant>
        <vt:lpwstr>_Toc157687029</vt:lpwstr>
      </vt:variant>
      <vt:variant>
        <vt:i4>1114174</vt:i4>
      </vt:variant>
      <vt:variant>
        <vt:i4>704</vt:i4>
      </vt:variant>
      <vt:variant>
        <vt:i4>0</vt:i4>
      </vt:variant>
      <vt:variant>
        <vt:i4>5</vt:i4>
      </vt:variant>
      <vt:variant>
        <vt:lpwstr/>
      </vt:variant>
      <vt:variant>
        <vt:lpwstr>_Toc157687028</vt:lpwstr>
      </vt:variant>
      <vt:variant>
        <vt:i4>1114174</vt:i4>
      </vt:variant>
      <vt:variant>
        <vt:i4>698</vt:i4>
      </vt:variant>
      <vt:variant>
        <vt:i4>0</vt:i4>
      </vt:variant>
      <vt:variant>
        <vt:i4>5</vt:i4>
      </vt:variant>
      <vt:variant>
        <vt:lpwstr/>
      </vt:variant>
      <vt:variant>
        <vt:lpwstr>_Toc157687027</vt:lpwstr>
      </vt:variant>
      <vt:variant>
        <vt:i4>8323185</vt:i4>
      </vt:variant>
      <vt:variant>
        <vt:i4>692</vt:i4>
      </vt:variant>
      <vt:variant>
        <vt:i4>0</vt:i4>
      </vt:variant>
      <vt:variant>
        <vt:i4>5</vt:i4>
      </vt:variant>
      <vt:variant>
        <vt:lpwstr>https://kpmgaust.sharepoint.com/sites/AU-BuildingEnergyRatings/Shared Documents/General/5 Report/Archive/DCCEEW_Buildings Final Draft Report 1Feb24.docx</vt:lpwstr>
      </vt:variant>
      <vt:variant>
        <vt:lpwstr>_Toc157687026</vt:lpwstr>
      </vt:variant>
      <vt:variant>
        <vt:i4>1114174</vt:i4>
      </vt:variant>
      <vt:variant>
        <vt:i4>686</vt:i4>
      </vt:variant>
      <vt:variant>
        <vt:i4>0</vt:i4>
      </vt:variant>
      <vt:variant>
        <vt:i4>5</vt:i4>
      </vt:variant>
      <vt:variant>
        <vt:lpwstr/>
      </vt:variant>
      <vt:variant>
        <vt:lpwstr>_Toc157687025</vt:lpwstr>
      </vt:variant>
      <vt:variant>
        <vt:i4>1114174</vt:i4>
      </vt:variant>
      <vt:variant>
        <vt:i4>680</vt:i4>
      </vt:variant>
      <vt:variant>
        <vt:i4>0</vt:i4>
      </vt:variant>
      <vt:variant>
        <vt:i4>5</vt:i4>
      </vt:variant>
      <vt:variant>
        <vt:lpwstr/>
      </vt:variant>
      <vt:variant>
        <vt:lpwstr>_Toc157687024</vt:lpwstr>
      </vt:variant>
      <vt:variant>
        <vt:i4>1114174</vt:i4>
      </vt:variant>
      <vt:variant>
        <vt:i4>674</vt:i4>
      </vt:variant>
      <vt:variant>
        <vt:i4>0</vt:i4>
      </vt:variant>
      <vt:variant>
        <vt:i4>5</vt:i4>
      </vt:variant>
      <vt:variant>
        <vt:lpwstr/>
      </vt:variant>
      <vt:variant>
        <vt:lpwstr>_Toc157687023</vt:lpwstr>
      </vt:variant>
      <vt:variant>
        <vt:i4>1114174</vt:i4>
      </vt:variant>
      <vt:variant>
        <vt:i4>668</vt:i4>
      </vt:variant>
      <vt:variant>
        <vt:i4>0</vt:i4>
      </vt:variant>
      <vt:variant>
        <vt:i4>5</vt:i4>
      </vt:variant>
      <vt:variant>
        <vt:lpwstr/>
      </vt:variant>
      <vt:variant>
        <vt:lpwstr>_Toc157687022</vt:lpwstr>
      </vt:variant>
      <vt:variant>
        <vt:i4>1114174</vt:i4>
      </vt:variant>
      <vt:variant>
        <vt:i4>662</vt:i4>
      </vt:variant>
      <vt:variant>
        <vt:i4>0</vt:i4>
      </vt:variant>
      <vt:variant>
        <vt:i4>5</vt:i4>
      </vt:variant>
      <vt:variant>
        <vt:lpwstr/>
      </vt:variant>
      <vt:variant>
        <vt:lpwstr>_Toc157687021</vt:lpwstr>
      </vt:variant>
      <vt:variant>
        <vt:i4>1114174</vt:i4>
      </vt:variant>
      <vt:variant>
        <vt:i4>656</vt:i4>
      </vt:variant>
      <vt:variant>
        <vt:i4>0</vt:i4>
      </vt:variant>
      <vt:variant>
        <vt:i4>5</vt:i4>
      </vt:variant>
      <vt:variant>
        <vt:lpwstr/>
      </vt:variant>
      <vt:variant>
        <vt:lpwstr>_Toc157687020</vt:lpwstr>
      </vt:variant>
      <vt:variant>
        <vt:i4>1179710</vt:i4>
      </vt:variant>
      <vt:variant>
        <vt:i4>650</vt:i4>
      </vt:variant>
      <vt:variant>
        <vt:i4>0</vt:i4>
      </vt:variant>
      <vt:variant>
        <vt:i4>5</vt:i4>
      </vt:variant>
      <vt:variant>
        <vt:lpwstr/>
      </vt:variant>
      <vt:variant>
        <vt:lpwstr>_Toc157687019</vt:lpwstr>
      </vt:variant>
      <vt:variant>
        <vt:i4>1179710</vt:i4>
      </vt:variant>
      <vt:variant>
        <vt:i4>644</vt:i4>
      </vt:variant>
      <vt:variant>
        <vt:i4>0</vt:i4>
      </vt:variant>
      <vt:variant>
        <vt:i4>5</vt:i4>
      </vt:variant>
      <vt:variant>
        <vt:lpwstr/>
      </vt:variant>
      <vt:variant>
        <vt:lpwstr>_Toc157687018</vt:lpwstr>
      </vt:variant>
      <vt:variant>
        <vt:i4>1179710</vt:i4>
      </vt:variant>
      <vt:variant>
        <vt:i4>638</vt:i4>
      </vt:variant>
      <vt:variant>
        <vt:i4>0</vt:i4>
      </vt:variant>
      <vt:variant>
        <vt:i4>5</vt:i4>
      </vt:variant>
      <vt:variant>
        <vt:lpwstr/>
      </vt:variant>
      <vt:variant>
        <vt:lpwstr>_Toc157687017</vt:lpwstr>
      </vt:variant>
      <vt:variant>
        <vt:i4>1179710</vt:i4>
      </vt:variant>
      <vt:variant>
        <vt:i4>632</vt:i4>
      </vt:variant>
      <vt:variant>
        <vt:i4>0</vt:i4>
      </vt:variant>
      <vt:variant>
        <vt:i4>5</vt:i4>
      </vt:variant>
      <vt:variant>
        <vt:lpwstr/>
      </vt:variant>
      <vt:variant>
        <vt:lpwstr>_Toc157687016</vt:lpwstr>
      </vt:variant>
      <vt:variant>
        <vt:i4>1179710</vt:i4>
      </vt:variant>
      <vt:variant>
        <vt:i4>626</vt:i4>
      </vt:variant>
      <vt:variant>
        <vt:i4>0</vt:i4>
      </vt:variant>
      <vt:variant>
        <vt:i4>5</vt:i4>
      </vt:variant>
      <vt:variant>
        <vt:lpwstr/>
      </vt:variant>
      <vt:variant>
        <vt:lpwstr>_Toc157687015</vt:lpwstr>
      </vt:variant>
      <vt:variant>
        <vt:i4>1179710</vt:i4>
      </vt:variant>
      <vt:variant>
        <vt:i4>620</vt:i4>
      </vt:variant>
      <vt:variant>
        <vt:i4>0</vt:i4>
      </vt:variant>
      <vt:variant>
        <vt:i4>5</vt:i4>
      </vt:variant>
      <vt:variant>
        <vt:lpwstr/>
      </vt:variant>
      <vt:variant>
        <vt:lpwstr>_Toc157687014</vt:lpwstr>
      </vt:variant>
      <vt:variant>
        <vt:i4>1179710</vt:i4>
      </vt:variant>
      <vt:variant>
        <vt:i4>614</vt:i4>
      </vt:variant>
      <vt:variant>
        <vt:i4>0</vt:i4>
      </vt:variant>
      <vt:variant>
        <vt:i4>5</vt:i4>
      </vt:variant>
      <vt:variant>
        <vt:lpwstr/>
      </vt:variant>
      <vt:variant>
        <vt:lpwstr>_Toc157687013</vt:lpwstr>
      </vt:variant>
      <vt:variant>
        <vt:i4>1179710</vt:i4>
      </vt:variant>
      <vt:variant>
        <vt:i4>608</vt:i4>
      </vt:variant>
      <vt:variant>
        <vt:i4>0</vt:i4>
      </vt:variant>
      <vt:variant>
        <vt:i4>5</vt:i4>
      </vt:variant>
      <vt:variant>
        <vt:lpwstr/>
      </vt:variant>
      <vt:variant>
        <vt:lpwstr>_Toc157687012</vt:lpwstr>
      </vt:variant>
      <vt:variant>
        <vt:i4>1179710</vt:i4>
      </vt:variant>
      <vt:variant>
        <vt:i4>602</vt:i4>
      </vt:variant>
      <vt:variant>
        <vt:i4>0</vt:i4>
      </vt:variant>
      <vt:variant>
        <vt:i4>5</vt:i4>
      </vt:variant>
      <vt:variant>
        <vt:lpwstr/>
      </vt:variant>
      <vt:variant>
        <vt:lpwstr>_Toc157687011</vt:lpwstr>
      </vt:variant>
      <vt:variant>
        <vt:i4>1179710</vt:i4>
      </vt:variant>
      <vt:variant>
        <vt:i4>596</vt:i4>
      </vt:variant>
      <vt:variant>
        <vt:i4>0</vt:i4>
      </vt:variant>
      <vt:variant>
        <vt:i4>5</vt:i4>
      </vt:variant>
      <vt:variant>
        <vt:lpwstr/>
      </vt:variant>
      <vt:variant>
        <vt:lpwstr>_Toc157687010</vt:lpwstr>
      </vt:variant>
      <vt:variant>
        <vt:i4>1245246</vt:i4>
      </vt:variant>
      <vt:variant>
        <vt:i4>590</vt:i4>
      </vt:variant>
      <vt:variant>
        <vt:i4>0</vt:i4>
      </vt:variant>
      <vt:variant>
        <vt:i4>5</vt:i4>
      </vt:variant>
      <vt:variant>
        <vt:lpwstr/>
      </vt:variant>
      <vt:variant>
        <vt:lpwstr>_Toc157687009</vt:lpwstr>
      </vt:variant>
      <vt:variant>
        <vt:i4>1245246</vt:i4>
      </vt:variant>
      <vt:variant>
        <vt:i4>584</vt:i4>
      </vt:variant>
      <vt:variant>
        <vt:i4>0</vt:i4>
      </vt:variant>
      <vt:variant>
        <vt:i4>5</vt:i4>
      </vt:variant>
      <vt:variant>
        <vt:lpwstr/>
      </vt:variant>
      <vt:variant>
        <vt:lpwstr>_Toc157687008</vt:lpwstr>
      </vt:variant>
      <vt:variant>
        <vt:i4>1245246</vt:i4>
      </vt:variant>
      <vt:variant>
        <vt:i4>578</vt:i4>
      </vt:variant>
      <vt:variant>
        <vt:i4>0</vt:i4>
      </vt:variant>
      <vt:variant>
        <vt:i4>5</vt:i4>
      </vt:variant>
      <vt:variant>
        <vt:lpwstr/>
      </vt:variant>
      <vt:variant>
        <vt:lpwstr>_Toc157687007</vt:lpwstr>
      </vt:variant>
      <vt:variant>
        <vt:i4>1245246</vt:i4>
      </vt:variant>
      <vt:variant>
        <vt:i4>572</vt:i4>
      </vt:variant>
      <vt:variant>
        <vt:i4>0</vt:i4>
      </vt:variant>
      <vt:variant>
        <vt:i4>5</vt:i4>
      </vt:variant>
      <vt:variant>
        <vt:lpwstr/>
      </vt:variant>
      <vt:variant>
        <vt:lpwstr>_Toc157687006</vt:lpwstr>
      </vt:variant>
      <vt:variant>
        <vt:i4>1245246</vt:i4>
      </vt:variant>
      <vt:variant>
        <vt:i4>563</vt:i4>
      </vt:variant>
      <vt:variant>
        <vt:i4>0</vt:i4>
      </vt:variant>
      <vt:variant>
        <vt:i4>5</vt:i4>
      </vt:variant>
      <vt:variant>
        <vt:lpwstr/>
      </vt:variant>
      <vt:variant>
        <vt:lpwstr>_Toc157687005</vt:lpwstr>
      </vt:variant>
      <vt:variant>
        <vt:i4>1245246</vt:i4>
      </vt:variant>
      <vt:variant>
        <vt:i4>557</vt:i4>
      </vt:variant>
      <vt:variant>
        <vt:i4>0</vt:i4>
      </vt:variant>
      <vt:variant>
        <vt:i4>5</vt:i4>
      </vt:variant>
      <vt:variant>
        <vt:lpwstr/>
      </vt:variant>
      <vt:variant>
        <vt:lpwstr>_Toc157687004</vt:lpwstr>
      </vt:variant>
      <vt:variant>
        <vt:i4>1245246</vt:i4>
      </vt:variant>
      <vt:variant>
        <vt:i4>551</vt:i4>
      </vt:variant>
      <vt:variant>
        <vt:i4>0</vt:i4>
      </vt:variant>
      <vt:variant>
        <vt:i4>5</vt:i4>
      </vt:variant>
      <vt:variant>
        <vt:lpwstr/>
      </vt:variant>
      <vt:variant>
        <vt:lpwstr>_Toc157687003</vt:lpwstr>
      </vt:variant>
      <vt:variant>
        <vt:i4>1245246</vt:i4>
      </vt:variant>
      <vt:variant>
        <vt:i4>545</vt:i4>
      </vt:variant>
      <vt:variant>
        <vt:i4>0</vt:i4>
      </vt:variant>
      <vt:variant>
        <vt:i4>5</vt:i4>
      </vt:variant>
      <vt:variant>
        <vt:lpwstr/>
      </vt:variant>
      <vt:variant>
        <vt:lpwstr>_Toc157687002</vt:lpwstr>
      </vt:variant>
      <vt:variant>
        <vt:i4>1245246</vt:i4>
      </vt:variant>
      <vt:variant>
        <vt:i4>539</vt:i4>
      </vt:variant>
      <vt:variant>
        <vt:i4>0</vt:i4>
      </vt:variant>
      <vt:variant>
        <vt:i4>5</vt:i4>
      </vt:variant>
      <vt:variant>
        <vt:lpwstr/>
      </vt:variant>
      <vt:variant>
        <vt:lpwstr>_Toc157687001</vt:lpwstr>
      </vt:variant>
      <vt:variant>
        <vt:i4>1245246</vt:i4>
      </vt:variant>
      <vt:variant>
        <vt:i4>533</vt:i4>
      </vt:variant>
      <vt:variant>
        <vt:i4>0</vt:i4>
      </vt:variant>
      <vt:variant>
        <vt:i4>5</vt:i4>
      </vt:variant>
      <vt:variant>
        <vt:lpwstr/>
      </vt:variant>
      <vt:variant>
        <vt:lpwstr>_Toc157687000</vt:lpwstr>
      </vt:variant>
      <vt:variant>
        <vt:i4>1769527</vt:i4>
      </vt:variant>
      <vt:variant>
        <vt:i4>527</vt:i4>
      </vt:variant>
      <vt:variant>
        <vt:i4>0</vt:i4>
      </vt:variant>
      <vt:variant>
        <vt:i4>5</vt:i4>
      </vt:variant>
      <vt:variant>
        <vt:lpwstr/>
      </vt:variant>
      <vt:variant>
        <vt:lpwstr>_Toc157686999</vt:lpwstr>
      </vt:variant>
      <vt:variant>
        <vt:i4>1769527</vt:i4>
      </vt:variant>
      <vt:variant>
        <vt:i4>521</vt:i4>
      </vt:variant>
      <vt:variant>
        <vt:i4>0</vt:i4>
      </vt:variant>
      <vt:variant>
        <vt:i4>5</vt:i4>
      </vt:variant>
      <vt:variant>
        <vt:lpwstr/>
      </vt:variant>
      <vt:variant>
        <vt:lpwstr>_Toc157686998</vt:lpwstr>
      </vt:variant>
      <vt:variant>
        <vt:i4>1769527</vt:i4>
      </vt:variant>
      <vt:variant>
        <vt:i4>515</vt:i4>
      </vt:variant>
      <vt:variant>
        <vt:i4>0</vt:i4>
      </vt:variant>
      <vt:variant>
        <vt:i4>5</vt:i4>
      </vt:variant>
      <vt:variant>
        <vt:lpwstr/>
      </vt:variant>
      <vt:variant>
        <vt:lpwstr>_Toc157686997</vt:lpwstr>
      </vt:variant>
      <vt:variant>
        <vt:i4>1769527</vt:i4>
      </vt:variant>
      <vt:variant>
        <vt:i4>509</vt:i4>
      </vt:variant>
      <vt:variant>
        <vt:i4>0</vt:i4>
      </vt:variant>
      <vt:variant>
        <vt:i4>5</vt:i4>
      </vt:variant>
      <vt:variant>
        <vt:lpwstr/>
      </vt:variant>
      <vt:variant>
        <vt:lpwstr>_Toc157686996</vt:lpwstr>
      </vt:variant>
      <vt:variant>
        <vt:i4>1769527</vt:i4>
      </vt:variant>
      <vt:variant>
        <vt:i4>503</vt:i4>
      </vt:variant>
      <vt:variant>
        <vt:i4>0</vt:i4>
      </vt:variant>
      <vt:variant>
        <vt:i4>5</vt:i4>
      </vt:variant>
      <vt:variant>
        <vt:lpwstr/>
      </vt:variant>
      <vt:variant>
        <vt:lpwstr>_Toc157686995</vt:lpwstr>
      </vt:variant>
      <vt:variant>
        <vt:i4>1769527</vt:i4>
      </vt:variant>
      <vt:variant>
        <vt:i4>497</vt:i4>
      </vt:variant>
      <vt:variant>
        <vt:i4>0</vt:i4>
      </vt:variant>
      <vt:variant>
        <vt:i4>5</vt:i4>
      </vt:variant>
      <vt:variant>
        <vt:lpwstr/>
      </vt:variant>
      <vt:variant>
        <vt:lpwstr>_Toc157686994</vt:lpwstr>
      </vt:variant>
      <vt:variant>
        <vt:i4>1769527</vt:i4>
      </vt:variant>
      <vt:variant>
        <vt:i4>491</vt:i4>
      </vt:variant>
      <vt:variant>
        <vt:i4>0</vt:i4>
      </vt:variant>
      <vt:variant>
        <vt:i4>5</vt:i4>
      </vt:variant>
      <vt:variant>
        <vt:lpwstr/>
      </vt:variant>
      <vt:variant>
        <vt:lpwstr>_Toc157686993</vt:lpwstr>
      </vt:variant>
      <vt:variant>
        <vt:i4>1769527</vt:i4>
      </vt:variant>
      <vt:variant>
        <vt:i4>485</vt:i4>
      </vt:variant>
      <vt:variant>
        <vt:i4>0</vt:i4>
      </vt:variant>
      <vt:variant>
        <vt:i4>5</vt:i4>
      </vt:variant>
      <vt:variant>
        <vt:lpwstr/>
      </vt:variant>
      <vt:variant>
        <vt:lpwstr>_Toc157686992</vt:lpwstr>
      </vt:variant>
      <vt:variant>
        <vt:i4>1769527</vt:i4>
      </vt:variant>
      <vt:variant>
        <vt:i4>479</vt:i4>
      </vt:variant>
      <vt:variant>
        <vt:i4>0</vt:i4>
      </vt:variant>
      <vt:variant>
        <vt:i4>5</vt:i4>
      </vt:variant>
      <vt:variant>
        <vt:lpwstr/>
      </vt:variant>
      <vt:variant>
        <vt:lpwstr>_Toc157686991</vt:lpwstr>
      </vt:variant>
      <vt:variant>
        <vt:i4>1769527</vt:i4>
      </vt:variant>
      <vt:variant>
        <vt:i4>473</vt:i4>
      </vt:variant>
      <vt:variant>
        <vt:i4>0</vt:i4>
      </vt:variant>
      <vt:variant>
        <vt:i4>5</vt:i4>
      </vt:variant>
      <vt:variant>
        <vt:lpwstr/>
      </vt:variant>
      <vt:variant>
        <vt:lpwstr>_Toc157686990</vt:lpwstr>
      </vt:variant>
      <vt:variant>
        <vt:i4>1703991</vt:i4>
      </vt:variant>
      <vt:variant>
        <vt:i4>467</vt:i4>
      </vt:variant>
      <vt:variant>
        <vt:i4>0</vt:i4>
      </vt:variant>
      <vt:variant>
        <vt:i4>5</vt:i4>
      </vt:variant>
      <vt:variant>
        <vt:lpwstr/>
      </vt:variant>
      <vt:variant>
        <vt:lpwstr>_Toc157686989</vt:lpwstr>
      </vt:variant>
      <vt:variant>
        <vt:i4>1703991</vt:i4>
      </vt:variant>
      <vt:variant>
        <vt:i4>461</vt:i4>
      </vt:variant>
      <vt:variant>
        <vt:i4>0</vt:i4>
      </vt:variant>
      <vt:variant>
        <vt:i4>5</vt:i4>
      </vt:variant>
      <vt:variant>
        <vt:lpwstr/>
      </vt:variant>
      <vt:variant>
        <vt:lpwstr>_Toc157686988</vt:lpwstr>
      </vt:variant>
      <vt:variant>
        <vt:i4>1703991</vt:i4>
      </vt:variant>
      <vt:variant>
        <vt:i4>455</vt:i4>
      </vt:variant>
      <vt:variant>
        <vt:i4>0</vt:i4>
      </vt:variant>
      <vt:variant>
        <vt:i4>5</vt:i4>
      </vt:variant>
      <vt:variant>
        <vt:lpwstr/>
      </vt:variant>
      <vt:variant>
        <vt:lpwstr>_Toc157686987</vt:lpwstr>
      </vt:variant>
      <vt:variant>
        <vt:i4>1703991</vt:i4>
      </vt:variant>
      <vt:variant>
        <vt:i4>449</vt:i4>
      </vt:variant>
      <vt:variant>
        <vt:i4>0</vt:i4>
      </vt:variant>
      <vt:variant>
        <vt:i4>5</vt:i4>
      </vt:variant>
      <vt:variant>
        <vt:lpwstr/>
      </vt:variant>
      <vt:variant>
        <vt:lpwstr>_Toc157686986</vt:lpwstr>
      </vt:variant>
      <vt:variant>
        <vt:i4>1703991</vt:i4>
      </vt:variant>
      <vt:variant>
        <vt:i4>443</vt:i4>
      </vt:variant>
      <vt:variant>
        <vt:i4>0</vt:i4>
      </vt:variant>
      <vt:variant>
        <vt:i4>5</vt:i4>
      </vt:variant>
      <vt:variant>
        <vt:lpwstr/>
      </vt:variant>
      <vt:variant>
        <vt:lpwstr>_Toc157686985</vt:lpwstr>
      </vt:variant>
      <vt:variant>
        <vt:i4>1703991</vt:i4>
      </vt:variant>
      <vt:variant>
        <vt:i4>437</vt:i4>
      </vt:variant>
      <vt:variant>
        <vt:i4>0</vt:i4>
      </vt:variant>
      <vt:variant>
        <vt:i4>5</vt:i4>
      </vt:variant>
      <vt:variant>
        <vt:lpwstr/>
      </vt:variant>
      <vt:variant>
        <vt:lpwstr>_Toc157686984</vt:lpwstr>
      </vt:variant>
      <vt:variant>
        <vt:i4>1703991</vt:i4>
      </vt:variant>
      <vt:variant>
        <vt:i4>431</vt:i4>
      </vt:variant>
      <vt:variant>
        <vt:i4>0</vt:i4>
      </vt:variant>
      <vt:variant>
        <vt:i4>5</vt:i4>
      </vt:variant>
      <vt:variant>
        <vt:lpwstr/>
      </vt:variant>
      <vt:variant>
        <vt:lpwstr>_Toc157686983</vt:lpwstr>
      </vt:variant>
      <vt:variant>
        <vt:i4>1703991</vt:i4>
      </vt:variant>
      <vt:variant>
        <vt:i4>425</vt:i4>
      </vt:variant>
      <vt:variant>
        <vt:i4>0</vt:i4>
      </vt:variant>
      <vt:variant>
        <vt:i4>5</vt:i4>
      </vt:variant>
      <vt:variant>
        <vt:lpwstr/>
      </vt:variant>
      <vt:variant>
        <vt:lpwstr>_Toc157686982</vt:lpwstr>
      </vt:variant>
      <vt:variant>
        <vt:i4>1703991</vt:i4>
      </vt:variant>
      <vt:variant>
        <vt:i4>419</vt:i4>
      </vt:variant>
      <vt:variant>
        <vt:i4>0</vt:i4>
      </vt:variant>
      <vt:variant>
        <vt:i4>5</vt:i4>
      </vt:variant>
      <vt:variant>
        <vt:lpwstr/>
      </vt:variant>
      <vt:variant>
        <vt:lpwstr>_Toc157686981</vt:lpwstr>
      </vt:variant>
      <vt:variant>
        <vt:i4>1703991</vt:i4>
      </vt:variant>
      <vt:variant>
        <vt:i4>413</vt:i4>
      </vt:variant>
      <vt:variant>
        <vt:i4>0</vt:i4>
      </vt:variant>
      <vt:variant>
        <vt:i4>5</vt:i4>
      </vt:variant>
      <vt:variant>
        <vt:lpwstr/>
      </vt:variant>
      <vt:variant>
        <vt:lpwstr>_Toc157686980</vt:lpwstr>
      </vt:variant>
      <vt:variant>
        <vt:i4>1376311</vt:i4>
      </vt:variant>
      <vt:variant>
        <vt:i4>407</vt:i4>
      </vt:variant>
      <vt:variant>
        <vt:i4>0</vt:i4>
      </vt:variant>
      <vt:variant>
        <vt:i4>5</vt:i4>
      </vt:variant>
      <vt:variant>
        <vt:lpwstr/>
      </vt:variant>
      <vt:variant>
        <vt:lpwstr>_Toc157686979</vt:lpwstr>
      </vt:variant>
      <vt:variant>
        <vt:i4>1376311</vt:i4>
      </vt:variant>
      <vt:variant>
        <vt:i4>401</vt:i4>
      </vt:variant>
      <vt:variant>
        <vt:i4>0</vt:i4>
      </vt:variant>
      <vt:variant>
        <vt:i4>5</vt:i4>
      </vt:variant>
      <vt:variant>
        <vt:lpwstr/>
      </vt:variant>
      <vt:variant>
        <vt:lpwstr>_Toc157686978</vt:lpwstr>
      </vt:variant>
      <vt:variant>
        <vt:i4>1376311</vt:i4>
      </vt:variant>
      <vt:variant>
        <vt:i4>395</vt:i4>
      </vt:variant>
      <vt:variant>
        <vt:i4>0</vt:i4>
      </vt:variant>
      <vt:variant>
        <vt:i4>5</vt:i4>
      </vt:variant>
      <vt:variant>
        <vt:lpwstr/>
      </vt:variant>
      <vt:variant>
        <vt:lpwstr>_Toc157686977</vt:lpwstr>
      </vt:variant>
      <vt:variant>
        <vt:i4>1376311</vt:i4>
      </vt:variant>
      <vt:variant>
        <vt:i4>389</vt:i4>
      </vt:variant>
      <vt:variant>
        <vt:i4>0</vt:i4>
      </vt:variant>
      <vt:variant>
        <vt:i4>5</vt:i4>
      </vt:variant>
      <vt:variant>
        <vt:lpwstr/>
      </vt:variant>
      <vt:variant>
        <vt:lpwstr>_Toc157686976</vt:lpwstr>
      </vt:variant>
      <vt:variant>
        <vt:i4>1376311</vt:i4>
      </vt:variant>
      <vt:variant>
        <vt:i4>383</vt:i4>
      </vt:variant>
      <vt:variant>
        <vt:i4>0</vt:i4>
      </vt:variant>
      <vt:variant>
        <vt:i4>5</vt:i4>
      </vt:variant>
      <vt:variant>
        <vt:lpwstr/>
      </vt:variant>
      <vt:variant>
        <vt:lpwstr>_Toc157686975</vt:lpwstr>
      </vt:variant>
      <vt:variant>
        <vt:i4>1376311</vt:i4>
      </vt:variant>
      <vt:variant>
        <vt:i4>377</vt:i4>
      </vt:variant>
      <vt:variant>
        <vt:i4>0</vt:i4>
      </vt:variant>
      <vt:variant>
        <vt:i4>5</vt:i4>
      </vt:variant>
      <vt:variant>
        <vt:lpwstr/>
      </vt:variant>
      <vt:variant>
        <vt:lpwstr>_Toc157686974</vt:lpwstr>
      </vt:variant>
      <vt:variant>
        <vt:i4>1376311</vt:i4>
      </vt:variant>
      <vt:variant>
        <vt:i4>371</vt:i4>
      </vt:variant>
      <vt:variant>
        <vt:i4>0</vt:i4>
      </vt:variant>
      <vt:variant>
        <vt:i4>5</vt:i4>
      </vt:variant>
      <vt:variant>
        <vt:lpwstr/>
      </vt:variant>
      <vt:variant>
        <vt:lpwstr>_Toc157686973</vt:lpwstr>
      </vt:variant>
      <vt:variant>
        <vt:i4>1376311</vt:i4>
      </vt:variant>
      <vt:variant>
        <vt:i4>365</vt:i4>
      </vt:variant>
      <vt:variant>
        <vt:i4>0</vt:i4>
      </vt:variant>
      <vt:variant>
        <vt:i4>5</vt:i4>
      </vt:variant>
      <vt:variant>
        <vt:lpwstr/>
      </vt:variant>
      <vt:variant>
        <vt:lpwstr>_Toc157686972</vt:lpwstr>
      </vt:variant>
      <vt:variant>
        <vt:i4>1376311</vt:i4>
      </vt:variant>
      <vt:variant>
        <vt:i4>359</vt:i4>
      </vt:variant>
      <vt:variant>
        <vt:i4>0</vt:i4>
      </vt:variant>
      <vt:variant>
        <vt:i4>5</vt:i4>
      </vt:variant>
      <vt:variant>
        <vt:lpwstr/>
      </vt:variant>
      <vt:variant>
        <vt:lpwstr>_Toc157686971</vt:lpwstr>
      </vt:variant>
      <vt:variant>
        <vt:i4>1376311</vt:i4>
      </vt:variant>
      <vt:variant>
        <vt:i4>353</vt:i4>
      </vt:variant>
      <vt:variant>
        <vt:i4>0</vt:i4>
      </vt:variant>
      <vt:variant>
        <vt:i4>5</vt:i4>
      </vt:variant>
      <vt:variant>
        <vt:lpwstr/>
      </vt:variant>
      <vt:variant>
        <vt:lpwstr>_Toc157686970</vt:lpwstr>
      </vt:variant>
      <vt:variant>
        <vt:i4>1310775</vt:i4>
      </vt:variant>
      <vt:variant>
        <vt:i4>347</vt:i4>
      </vt:variant>
      <vt:variant>
        <vt:i4>0</vt:i4>
      </vt:variant>
      <vt:variant>
        <vt:i4>5</vt:i4>
      </vt:variant>
      <vt:variant>
        <vt:lpwstr/>
      </vt:variant>
      <vt:variant>
        <vt:lpwstr>_Toc157686969</vt:lpwstr>
      </vt:variant>
      <vt:variant>
        <vt:i4>1310775</vt:i4>
      </vt:variant>
      <vt:variant>
        <vt:i4>341</vt:i4>
      </vt:variant>
      <vt:variant>
        <vt:i4>0</vt:i4>
      </vt:variant>
      <vt:variant>
        <vt:i4>5</vt:i4>
      </vt:variant>
      <vt:variant>
        <vt:lpwstr/>
      </vt:variant>
      <vt:variant>
        <vt:lpwstr>_Toc157686968</vt:lpwstr>
      </vt:variant>
      <vt:variant>
        <vt:i4>1310775</vt:i4>
      </vt:variant>
      <vt:variant>
        <vt:i4>335</vt:i4>
      </vt:variant>
      <vt:variant>
        <vt:i4>0</vt:i4>
      </vt:variant>
      <vt:variant>
        <vt:i4>5</vt:i4>
      </vt:variant>
      <vt:variant>
        <vt:lpwstr/>
      </vt:variant>
      <vt:variant>
        <vt:lpwstr>_Toc157686967</vt:lpwstr>
      </vt:variant>
      <vt:variant>
        <vt:i4>1310775</vt:i4>
      </vt:variant>
      <vt:variant>
        <vt:i4>329</vt:i4>
      </vt:variant>
      <vt:variant>
        <vt:i4>0</vt:i4>
      </vt:variant>
      <vt:variant>
        <vt:i4>5</vt:i4>
      </vt:variant>
      <vt:variant>
        <vt:lpwstr/>
      </vt:variant>
      <vt:variant>
        <vt:lpwstr>_Toc157686966</vt:lpwstr>
      </vt:variant>
      <vt:variant>
        <vt:i4>1310775</vt:i4>
      </vt:variant>
      <vt:variant>
        <vt:i4>323</vt:i4>
      </vt:variant>
      <vt:variant>
        <vt:i4>0</vt:i4>
      </vt:variant>
      <vt:variant>
        <vt:i4>5</vt:i4>
      </vt:variant>
      <vt:variant>
        <vt:lpwstr/>
      </vt:variant>
      <vt:variant>
        <vt:lpwstr>_Toc157686965</vt:lpwstr>
      </vt:variant>
      <vt:variant>
        <vt:i4>1310775</vt:i4>
      </vt:variant>
      <vt:variant>
        <vt:i4>317</vt:i4>
      </vt:variant>
      <vt:variant>
        <vt:i4>0</vt:i4>
      </vt:variant>
      <vt:variant>
        <vt:i4>5</vt:i4>
      </vt:variant>
      <vt:variant>
        <vt:lpwstr/>
      </vt:variant>
      <vt:variant>
        <vt:lpwstr>_Toc157686964</vt:lpwstr>
      </vt:variant>
      <vt:variant>
        <vt:i4>1310775</vt:i4>
      </vt:variant>
      <vt:variant>
        <vt:i4>311</vt:i4>
      </vt:variant>
      <vt:variant>
        <vt:i4>0</vt:i4>
      </vt:variant>
      <vt:variant>
        <vt:i4>5</vt:i4>
      </vt:variant>
      <vt:variant>
        <vt:lpwstr/>
      </vt:variant>
      <vt:variant>
        <vt:lpwstr>_Toc157686963</vt:lpwstr>
      </vt:variant>
      <vt:variant>
        <vt:i4>1310775</vt:i4>
      </vt:variant>
      <vt:variant>
        <vt:i4>305</vt:i4>
      </vt:variant>
      <vt:variant>
        <vt:i4>0</vt:i4>
      </vt:variant>
      <vt:variant>
        <vt:i4>5</vt:i4>
      </vt:variant>
      <vt:variant>
        <vt:lpwstr/>
      </vt:variant>
      <vt:variant>
        <vt:lpwstr>_Toc157686962</vt:lpwstr>
      </vt:variant>
      <vt:variant>
        <vt:i4>1310775</vt:i4>
      </vt:variant>
      <vt:variant>
        <vt:i4>299</vt:i4>
      </vt:variant>
      <vt:variant>
        <vt:i4>0</vt:i4>
      </vt:variant>
      <vt:variant>
        <vt:i4>5</vt:i4>
      </vt:variant>
      <vt:variant>
        <vt:lpwstr/>
      </vt:variant>
      <vt:variant>
        <vt:lpwstr>_Toc157686961</vt:lpwstr>
      </vt:variant>
      <vt:variant>
        <vt:i4>1179699</vt:i4>
      </vt:variant>
      <vt:variant>
        <vt:i4>290</vt:i4>
      </vt:variant>
      <vt:variant>
        <vt:i4>0</vt:i4>
      </vt:variant>
      <vt:variant>
        <vt:i4>5</vt:i4>
      </vt:variant>
      <vt:variant>
        <vt:lpwstr/>
      </vt:variant>
      <vt:variant>
        <vt:lpwstr>_Toc154059399</vt:lpwstr>
      </vt:variant>
      <vt:variant>
        <vt:i4>1179699</vt:i4>
      </vt:variant>
      <vt:variant>
        <vt:i4>284</vt:i4>
      </vt:variant>
      <vt:variant>
        <vt:i4>0</vt:i4>
      </vt:variant>
      <vt:variant>
        <vt:i4>5</vt:i4>
      </vt:variant>
      <vt:variant>
        <vt:lpwstr/>
      </vt:variant>
      <vt:variant>
        <vt:lpwstr>_Toc154059398</vt:lpwstr>
      </vt:variant>
      <vt:variant>
        <vt:i4>1179699</vt:i4>
      </vt:variant>
      <vt:variant>
        <vt:i4>278</vt:i4>
      </vt:variant>
      <vt:variant>
        <vt:i4>0</vt:i4>
      </vt:variant>
      <vt:variant>
        <vt:i4>5</vt:i4>
      </vt:variant>
      <vt:variant>
        <vt:lpwstr/>
      </vt:variant>
      <vt:variant>
        <vt:lpwstr>_Toc154059397</vt:lpwstr>
      </vt:variant>
      <vt:variant>
        <vt:i4>1179699</vt:i4>
      </vt:variant>
      <vt:variant>
        <vt:i4>272</vt:i4>
      </vt:variant>
      <vt:variant>
        <vt:i4>0</vt:i4>
      </vt:variant>
      <vt:variant>
        <vt:i4>5</vt:i4>
      </vt:variant>
      <vt:variant>
        <vt:lpwstr/>
      </vt:variant>
      <vt:variant>
        <vt:lpwstr>_Toc154059396</vt:lpwstr>
      </vt:variant>
      <vt:variant>
        <vt:i4>1179699</vt:i4>
      </vt:variant>
      <vt:variant>
        <vt:i4>266</vt:i4>
      </vt:variant>
      <vt:variant>
        <vt:i4>0</vt:i4>
      </vt:variant>
      <vt:variant>
        <vt:i4>5</vt:i4>
      </vt:variant>
      <vt:variant>
        <vt:lpwstr/>
      </vt:variant>
      <vt:variant>
        <vt:lpwstr>_Toc154059395</vt:lpwstr>
      </vt:variant>
      <vt:variant>
        <vt:i4>1179699</vt:i4>
      </vt:variant>
      <vt:variant>
        <vt:i4>260</vt:i4>
      </vt:variant>
      <vt:variant>
        <vt:i4>0</vt:i4>
      </vt:variant>
      <vt:variant>
        <vt:i4>5</vt:i4>
      </vt:variant>
      <vt:variant>
        <vt:lpwstr/>
      </vt:variant>
      <vt:variant>
        <vt:lpwstr>_Toc154059394</vt:lpwstr>
      </vt:variant>
      <vt:variant>
        <vt:i4>1179699</vt:i4>
      </vt:variant>
      <vt:variant>
        <vt:i4>254</vt:i4>
      </vt:variant>
      <vt:variant>
        <vt:i4>0</vt:i4>
      </vt:variant>
      <vt:variant>
        <vt:i4>5</vt:i4>
      </vt:variant>
      <vt:variant>
        <vt:lpwstr/>
      </vt:variant>
      <vt:variant>
        <vt:lpwstr>_Toc154059393</vt:lpwstr>
      </vt:variant>
      <vt:variant>
        <vt:i4>1179699</vt:i4>
      </vt:variant>
      <vt:variant>
        <vt:i4>248</vt:i4>
      </vt:variant>
      <vt:variant>
        <vt:i4>0</vt:i4>
      </vt:variant>
      <vt:variant>
        <vt:i4>5</vt:i4>
      </vt:variant>
      <vt:variant>
        <vt:lpwstr/>
      </vt:variant>
      <vt:variant>
        <vt:lpwstr>_Toc154059392</vt:lpwstr>
      </vt:variant>
      <vt:variant>
        <vt:i4>1179699</vt:i4>
      </vt:variant>
      <vt:variant>
        <vt:i4>242</vt:i4>
      </vt:variant>
      <vt:variant>
        <vt:i4>0</vt:i4>
      </vt:variant>
      <vt:variant>
        <vt:i4>5</vt:i4>
      </vt:variant>
      <vt:variant>
        <vt:lpwstr/>
      </vt:variant>
      <vt:variant>
        <vt:lpwstr>_Toc154059391</vt:lpwstr>
      </vt:variant>
      <vt:variant>
        <vt:i4>1179699</vt:i4>
      </vt:variant>
      <vt:variant>
        <vt:i4>236</vt:i4>
      </vt:variant>
      <vt:variant>
        <vt:i4>0</vt:i4>
      </vt:variant>
      <vt:variant>
        <vt:i4>5</vt:i4>
      </vt:variant>
      <vt:variant>
        <vt:lpwstr/>
      </vt:variant>
      <vt:variant>
        <vt:lpwstr>_Toc154059390</vt:lpwstr>
      </vt:variant>
      <vt:variant>
        <vt:i4>1245235</vt:i4>
      </vt:variant>
      <vt:variant>
        <vt:i4>230</vt:i4>
      </vt:variant>
      <vt:variant>
        <vt:i4>0</vt:i4>
      </vt:variant>
      <vt:variant>
        <vt:i4>5</vt:i4>
      </vt:variant>
      <vt:variant>
        <vt:lpwstr/>
      </vt:variant>
      <vt:variant>
        <vt:lpwstr>_Toc154059389</vt:lpwstr>
      </vt:variant>
      <vt:variant>
        <vt:i4>1245235</vt:i4>
      </vt:variant>
      <vt:variant>
        <vt:i4>224</vt:i4>
      </vt:variant>
      <vt:variant>
        <vt:i4>0</vt:i4>
      </vt:variant>
      <vt:variant>
        <vt:i4>5</vt:i4>
      </vt:variant>
      <vt:variant>
        <vt:lpwstr/>
      </vt:variant>
      <vt:variant>
        <vt:lpwstr>_Toc154059388</vt:lpwstr>
      </vt:variant>
      <vt:variant>
        <vt:i4>1245235</vt:i4>
      </vt:variant>
      <vt:variant>
        <vt:i4>218</vt:i4>
      </vt:variant>
      <vt:variant>
        <vt:i4>0</vt:i4>
      </vt:variant>
      <vt:variant>
        <vt:i4>5</vt:i4>
      </vt:variant>
      <vt:variant>
        <vt:lpwstr/>
      </vt:variant>
      <vt:variant>
        <vt:lpwstr>_Toc154059387</vt:lpwstr>
      </vt:variant>
      <vt:variant>
        <vt:i4>1245235</vt:i4>
      </vt:variant>
      <vt:variant>
        <vt:i4>212</vt:i4>
      </vt:variant>
      <vt:variant>
        <vt:i4>0</vt:i4>
      </vt:variant>
      <vt:variant>
        <vt:i4>5</vt:i4>
      </vt:variant>
      <vt:variant>
        <vt:lpwstr/>
      </vt:variant>
      <vt:variant>
        <vt:lpwstr>_Toc154059386</vt:lpwstr>
      </vt:variant>
      <vt:variant>
        <vt:i4>1245235</vt:i4>
      </vt:variant>
      <vt:variant>
        <vt:i4>206</vt:i4>
      </vt:variant>
      <vt:variant>
        <vt:i4>0</vt:i4>
      </vt:variant>
      <vt:variant>
        <vt:i4>5</vt:i4>
      </vt:variant>
      <vt:variant>
        <vt:lpwstr/>
      </vt:variant>
      <vt:variant>
        <vt:lpwstr>_Toc154059385</vt:lpwstr>
      </vt:variant>
      <vt:variant>
        <vt:i4>1245235</vt:i4>
      </vt:variant>
      <vt:variant>
        <vt:i4>200</vt:i4>
      </vt:variant>
      <vt:variant>
        <vt:i4>0</vt:i4>
      </vt:variant>
      <vt:variant>
        <vt:i4>5</vt:i4>
      </vt:variant>
      <vt:variant>
        <vt:lpwstr/>
      </vt:variant>
      <vt:variant>
        <vt:lpwstr>_Toc154059384</vt:lpwstr>
      </vt:variant>
      <vt:variant>
        <vt:i4>1245235</vt:i4>
      </vt:variant>
      <vt:variant>
        <vt:i4>194</vt:i4>
      </vt:variant>
      <vt:variant>
        <vt:i4>0</vt:i4>
      </vt:variant>
      <vt:variant>
        <vt:i4>5</vt:i4>
      </vt:variant>
      <vt:variant>
        <vt:lpwstr/>
      </vt:variant>
      <vt:variant>
        <vt:lpwstr>_Toc154059383</vt:lpwstr>
      </vt:variant>
      <vt:variant>
        <vt:i4>1245235</vt:i4>
      </vt:variant>
      <vt:variant>
        <vt:i4>188</vt:i4>
      </vt:variant>
      <vt:variant>
        <vt:i4>0</vt:i4>
      </vt:variant>
      <vt:variant>
        <vt:i4>5</vt:i4>
      </vt:variant>
      <vt:variant>
        <vt:lpwstr/>
      </vt:variant>
      <vt:variant>
        <vt:lpwstr>_Toc154059382</vt:lpwstr>
      </vt:variant>
      <vt:variant>
        <vt:i4>1245235</vt:i4>
      </vt:variant>
      <vt:variant>
        <vt:i4>182</vt:i4>
      </vt:variant>
      <vt:variant>
        <vt:i4>0</vt:i4>
      </vt:variant>
      <vt:variant>
        <vt:i4>5</vt:i4>
      </vt:variant>
      <vt:variant>
        <vt:lpwstr/>
      </vt:variant>
      <vt:variant>
        <vt:lpwstr>_Toc154059381</vt:lpwstr>
      </vt:variant>
      <vt:variant>
        <vt:i4>1245235</vt:i4>
      </vt:variant>
      <vt:variant>
        <vt:i4>176</vt:i4>
      </vt:variant>
      <vt:variant>
        <vt:i4>0</vt:i4>
      </vt:variant>
      <vt:variant>
        <vt:i4>5</vt:i4>
      </vt:variant>
      <vt:variant>
        <vt:lpwstr/>
      </vt:variant>
      <vt:variant>
        <vt:lpwstr>_Toc154059380</vt:lpwstr>
      </vt:variant>
      <vt:variant>
        <vt:i4>1835059</vt:i4>
      </vt:variant>
      <vt:variant>
        <vt:i4>170</vt:i4>
      </vt:variant>
      <vt:variant>
        <vt:i4>0</vt:i4>
      </vt:variant>
      <vt:variant>
        <vt:i4>5</vt:i4>
      </vt:variant>
      <vt:variant>
        <vt:lpwstr/>
      </vt:variant>
      <vt:variant>
        <vt:lpwstr>_Toc154059379</vt:lpwstr>
      </vt:variant>
      <vt:variant>
        <vt:i4>1835059</vt:i4>
      </vt:variant>
      <vt:variant>
        <vt:i4>164</vt:i4>
      </vt:variant>
      <vt:variant>
        <vt:i4>0</vt:i4>
      </vt:variant>
      <vt:variant>
        <vt:i4>5</vt:i4>
      </vt:variant>
      <vt:variant>
        <vt:lpwstr/>
      </vt:variant>
      <vt:variant>
        <vt:lpwstr>_Toc154059378</vt:lpwstr>
      </vt:variant>
      <vt:variant>
        <vt:i4>1835059</vt:i4>
      </vt:variant>
      <vt:variant>
        <vt:i4>158</vt:i4>
      </vt:variant>
      <vt:variant>
        <vt:i4>0</vt:i4>
      </vt:variant>
      <vt:variant>
        <vt:i4>5</vt:i4>
      </vt:variant>
      <vt:variant>
        <vt:lpwstr/>
      </vt:variant>
      <vt:variant>
        <vt:lpwstr>_Toc154059377</vt:lpwstr>
      </vt:variant>
      <vt:variant>
        <vt:i4>1835059</vt:i4>
      </vt:variant>
      <vt:variant>
        <vt:i4>152</vt:i4>
      </vt:variant>
      <vt:variant>
        <vt:i4>0</vt:i4>
      </vt:variant>
      <vt:variant>
        <vt:i4>5</vt:i4>
      </vt:variant>
      <vt:variant>
        <vt:lpwstr/>
      </vt:variant>
      <vt:variant>
        <vt:lpwstr>_Toc154059376</vt:lpwstr>
      </vt:variant>
      <vt:variant>
        <vt:i4>1835059</vt:i4>
      </vt:variant>
      <vt:variant>
        <vt:i4>146</vt:i4>
      </vt:variant>
      <vt:variant>
        <vt:i4>0</vt:i4>
      </vt:variant>
      <vt:variant>
        <vt:i4>5</vt:i4>
      </vt:variant>
      <vt:variant>
        <vt:lpwstr/>
      </vt:variant>
      <vt:variant>
        <vt:lpwstr>_Toc154059375</vt:lpwstr>
      </vt:variant>
      <vt:variant>
        <vt:i4>1835059</vt:i4>
      </vt:variant>
      <vt:variant>
        <vt:i4>140</vt:i4>
      </vt:variant>
      <vt:variant>
        <vt:i4>0</vt:i4>
      </vt:variant>
      <vt:variant>
        <vt:i4>5</vt:i4>
      </vt:variant>
      <vt:variant>
        <vt:lpwstr/>
      </vt:variant>
      <vt:variant>
        <vt:lpwstr>_Toc154059374</vt:lpwstr>
      </vt:variant>
      <vt:variant>
        <vt:i4>1835059</vt:i4>
      </vt:variant>
      <vt:variant>
        <vt:i4>134</vt:i4>
      </vt:variant>
      <vt:variant>
        <vt:i4>0</vt:i4>
      </vt:variant>
      <vt:variant>
        <vt:i4>5</vt:i4>
      </vt:variant>
      <vt:variant>
        <vt:lpwstr/>
      </vt:variant>
      <vt:variant>
        <vt:lpwstr>_Toc154059373</vt:lpwstr>
      </vt:variant>
      <vt:variant>
        <vt:i4>1835059</vt:i4>
      </vt:variant>
      <vt:variant>
        <vt:i4>128</vt:i4>
      </vt:variant>
      <vt:variant>
        <vt:i4>0</vt:i4>
      </vt:variant>
      <vt:variant>
        <vt:i4>5</vt:i4>
      </vt:variant>
      <vt:variant>
        <vt:lpwstr/>
      </vt:variant>
      <vt:variant>
        <vt:lpwstr>_Toc154059372</vt:lpwstr>
      </vt:variant>
      <vt:variant>
        <vt:i4>1835059</vt:i4>
      </vt:variant>
      <vt:variant>
        <vt:i4>122</vt:i4>
      </vt:variant>
      <vt:variant>
        <vt:i4>0</vt:i4>
      </vt:variant>
      <vt:variant>
        <vt:i4>5</vt:i4>
      </vt:variant>
      <vt:variant>
        <vt:lpwstr/>
      </vt:variant>
      <vt:variant>
        <vt:lpwstr>_Toc154059371</vt:lpwstr>
      </vt:variant>
      <vt:variant>
        <vt:i4>1835059</vt:i4>
      </vt:variant>
      <vt:variant>
        <vt:i4>116</vt:i4>
      </vt:variant>
      <vt:variant>
        <vt:i4>0</vt:i4>
      </vt:variant>
      <vt:variant>
        <vt:i4>5</vt:i4>
      </vt:variant>
      <vt:variant>
        <vt:lpwstr/>
      </vt:variant>
      <vt:variant>
        <vt:lpwstr>_Toc154059370</vt:lpwstr>
      </vt:variant>
      <vt:variant>
        <vt:i4>1900595</vt:i4>
      </vt:variant>
      <vt:variant>
        <vt:i4>110</vt:i4>
      </vt:variant>
      <vt:variant>
        <vt:i4>0</vt:i4>
      </vt:variant>
      <vt:variant>
        <vt:i4>5</vt:i4>
      </vt:variant>
      <vt:variant>
        <vt:lpwstr/>
      </vt:variant>
      <vt:variant>
        <vt:lpwstr>_Toc154059369</vt:lpwstr>
      </vt:variant>
      <vt:variant>
        <vt:i4>1900595</vt:i4>
      </vt:variant>
      <vt:variant>
        <vt:i4>104</vt:i4>
      </vt:variant>
      <vt:variant>
        <vt:i4>0</vt:i4>
      </vt:variant>
      <vt:variant>
        <vt:i4>5</vt:i4>
      </vt:variant>
      <vt:variant>
        <vt:lpwstr/>
      </vt:variant>
      <vt:variant>
        <vt:lpwstr>_Toc154059368</vt:lpwstr>
      </vt:variant>
      <vt:variant>
        <vt:i4>1900595</vt:i4>
      </vt:variant>
      <vt:variant>
        <vt:i4>98</vt:i4>
      </vt:variant>
      <vt:variant>
        <vt:i4>0</vt:i4>
      </vt:variant>
      <vt:variant>
        <vt:i4>5</vt:i4>
      </vt:variant>
      <vt:variant>
        <vt:lpwstr/>
      </vt:variant>
      <vt:variant>
        <vt:lpwstr>_Toc154059367</vt:lpwstr>
      </vt:variant>
      <vt:variant>
        <vt:i4>1900595</vt:i4>
      </vt:variant>
      <vt:variant>
        <vt:i4>92</vt:i4>
      </vt:variant>
      <vt:variant>
        <vt:i4>0</vt:i4>
      </vt:variant>
      <vt:variant>
        <vt:i4>5</vt:i4>
      </vt:variant>
      <vt:variant>
        <vt:lpwstr/>
      </vt:variant>
      <vt:variant>
        <vt:lpwstr>_Toc154059366</vt:lpwstr>
      </vt:variant>
      <vt:variant>
        <vt:i4>1900595</vt:i4>
      </vt:variant>
      <vt:variant>
        <vt:i4>86</vt:i4>
      </vt:variant>
      <vt:variant>
        <vt:i4>0</vt:i4>
      </vt:variant>
      <vt:variant>
        <vt:i4>5</vt:i4>
      </vt:variant>
      <vt:variant>
        <vt:lpwstr/>
      </vt:variant>
      <vt:variant>
        <vt:lpwstr>_Toc154059365</vt:lpwstr>
      </vt:variant>
      <vt:variant>
        <vt:i4>1900595</vt:i4>
      </vt:variant>
      <vt:variant>
        <vt:i4>80</vt:i4>
      </vt:variant>
      <vt:variant>
        <vt:i4>0</vt:i4>
      </vt:variant>
      <vt:variant>
        <vt:i4>5</vt:i4>
      </vt:variant>
      <vt:variant>
        <vt:lpwstr/>
      </vt:variant>
      <vt:variant>
        <vt:lpwstr>_Toc154059364</vt:lpwstr>
      </vt:variant>
      <vt:variant>
        <vt:i4>1900595</vt:i4>
      </vt:variant>
      <vt:variant>
        <vt:i4>74</vt:i4>
      </vt:variant>
      <vt:variant>
        <vt:i4>0</vt:i4>
      </vt:variant>
      <vt:variant>
        <vt:i4>5</vt:i4>
      </vt:variant>
      <vt:variant>
        <vt:lpwstr/>
      </vt:variant>
      <vt:variant>
        <vt:lpwstr>_Toc154059363</vt:lpwstr>
      </vt:variant>
      <vt:variant>
        <vt:i4>1900595</vt:i4>
      </vt:variant>
      <vt:variant>
        <vt:i4>68</vt:i4>
      </vt:variant>
      <vt:variant>
        <vt:i4>0</vt:i4>
      </vt:variant>
      <vt:variant>
        <vt:i4>5</vt:i4>
      </vt:variant>
      <vt:variant>
        <vt:lpwstr/>
      </vt:variant>
      <vt:variant>
        <vt:lpwstr>_Toc154059362</vt:lpwstr>
      </vt:variant>
      <vt:variant>
        <vt:i4>1900595</vt:i4>
      </vt:variant>
      <vt:variant>
        <vt:i4>62</vt:i4>
      </vt:variant>
      <vt:variant>
        <vt:i4>0</vt:i4>
      </vt:variant>
      <vt:variant>
        <vt:i4>5</vt:i4>
      </vt:variant>
      <vt:variant>
        <vt:lpwstr/>
      </vt:variant>
      <vt:variant>
        <vt:lpwstr>_Toc154059361</vt:lpwstr>
      </vt:variant>
      <vt:variant>
        <vt:i4>1900595</vt:i4>
      </vt:variant>
      <vt:variant>
        <vt:i4>56</vt:i4>
      </vt:variant>
      <vt:variant>
        <vt:i4>0</vt:i4>
      </vt:variant>
      <vt:variant>
        <vt:i4>5</vt:i4>
      </vt:variant>
      <vt:variant>
        <vt:lpwstr/>
      </vt:variant>
      <vt:variant>
        <vt:lpwstr>_Toc154059360</vt:lpwstr>
      </vt:variant>
      <vt:variant>
        <vt:i4>1966131</vt:i4>
      </vt:variant>
      <vt:variant>
        <vt:i4>50</vt:i4>
      </vt:variant>
      <vt:variant>
        <vt:i4>0</vt:i4>
      </vt:variant>
      <vt:variant>
        <vt:i4>5</vt:i4>
      </vt:variant>
      <vt:variant>
        <vt:lpwstr/>
      </vt:variant>
      <vt:variant>
        <vt:lpwstr>_Toc154059359</vt:lpwstr>
      </vt:variant>
      <vt:variant>
        <vt:i4>1966131</vt:i4>
      </vt:variant>
      <vt:variant>
        <vt:i4>44</vt:i4>
      </vt:variant>
      <vt:variant>
        <vt:i4>0</vt:i4>
      </vt:variant>
      <vt:variant>
        <vt:i4>5</vt:i4>
      </vt:variant>
      <vt:variant>
        <vt:lpwstr/>
      </vt:variant>
      <vt:variant>
        <vt:lpwstr>_Toc154059358</vt:lpwstr>
      </vt:variant>
      <vt:variant>
        <vt:i4>1966131</vt:i4>
      </vt:variant>
      <vt:variant>
        <vt:i4>38</vt:i4>
      </vt:variant>
      <vt:variant>
        <vt:i4>0</vt:i4>
      </vt:variant>
      <vt:variant>
        <vt:i4>5</vt:i4>
      </vt:variant>
      <vt:variant>
        <vt:lpwstr/>
      </vt:variant>
      <vt:variant>
        <vt:lpwstr>_Toc154059357</vt:lpwstr>
      </vt:variant>
      <vt:variant>
        <vt:i4>1966131</vt:i4>
      </vt:variant>
      <vt:variant>
        <vt:i4>32</vt:i4>
      </vt:variant>
      <vt:variant>
        <vt:i4>0</vt:i4>
      </vt:variant>
      <vt:variant>
        <vt:i4>5</vt:i4>
      </vt:variant>
      <vt:variant>
        <vt:lpwstr/>
      </vt:variant>
      <vt:variant>
        <vt:lpwstr>_Toc154059356</vt:lpwstr>
      </vt:variant>
      <vt:variant>
        <vt:i4>7274607</vt:i4>
      </vt:variant>
      <vt:variant>
        <vt:i4>564</vt:i4>
      </vt:variant>
      <vt:variant>
        <vt:i4>0</vt:i4>
      </vt:variant>
      <vt:variant>
        <vt:i4>5</vt:i4>
      </vt:variant>
      <vt:variant>
        <vt:lpwstr>https://dc.beam-portal.org/helpdesk/kb/BEPS/4/</vt:lpwstr>
      </vt:variant>
      <vt:variant>
        <vt:lpwstr/>
      </vt:variant>
      <vt:variant>
        <vt:i4>6815861</vt:i4>
      </vt:variant>
      <vt:variant>
        <vt:i4>561</vt:i4>
      </vt:variant>
      <vt:variant>
        <vt:i4>0</vt:i4>
      </vt:variant>
      <vt:variant>
        <vt:i4>5</vt:i4>
      </vt:variant>
      <vt:variant>
        <vt:lpwstr>https://www.nyc.gov/assets/buildings/pdf/bldgs_ee_rating.pdf</vt:lpwstr>
      </vt:variant>
      <vt:variant>
        <vt:lpwstr/>
      </vt:variant>
      <vt:variant>
        <vt:i4>3604530</vt:i4>
      </vt:variant>
      <vt:variant>
        <vt:i4>558</vt:i4>
      </vt:variant>
      <vt:variant>
        <vt:i4>0</vt:i4>
      </vt:variant>
      <vt:variant>
        <vt:i4>5</vt:i4>
      </vt:variant>
      <vt:variant>
        <vt:lpwstr>https://www.researchgate.net/figure/Energy-Label-for-Buildings-in-Germany-Source-Marco-Klaue-fotoliacom_fig30_304040140</vt:lpwstr>
      </vt:variant>
      <vt:variant>
        <vt:lpwstr/>
      </vt:variant>
      <vt:variant>
        <vt:i4>7602288</vt:i4>
      </vt:variant>
      <vt:variant>
        <vt:i4>555</vt:i4>
      </vt:variant>
      <vt:variant>
        <vt:i4>0</vt:i4>
      </vt:variant>
      <vt:variant>
        <vt:i4>5</vt:i4>
      </vt:variant>
      <vt:variant>
        <vt:lpwstr>https://www.slideshare.net/ceciliabengtson/koreas-energy-standards-labeling</vt:lpwstr>
      </vt:variant>
      <vt:variant>
        <vt:lpwstr/>
      </vt:variant>
      <vt:variant>
        <vt:i4>2424880</vt:i4>
      </vt:variant>
      <vt:variant>
        <vt:i4>552</vt:i4>
      </vt:variant>
      <vt:variant>
        <vt:i4>0</vt:i4>
      </vt:variant>
      <vt:variant>
        <vt:i4>5</vt:i4>
      </vt:variant>
      <vt:variant>
        <vt:lpwstr>https://harperjames.co.uk/article/epc-regulations-for-commercial-property/</vt:lpwstr>
      </vt:variant>
      <vt:variant>
        <vt:lpwstr/>
      </vt:variant>
      <vt:variant>
        <vt:i4>6619174</vt:i4>
      </vt:variant>
      <vt:variant>
        <vt:i4>549</vt:i4>
      </vt:variant>
      <vt:variant>
        <vt:i4>0</vt:i4>
      </vt:variant>
      <vt:variant>
        <vt:i4>5</vt:i4>
      </vt:variant>
      <vt:variant>
        <vt:lpwstr>https://find-energy-certificate.service.gov.uk/energy-certificate/0794-1512-8572-8605-7202</vt:lpwstr>
      </vt:variant>
      <vt:variant>
        <vt:lpwstr/>
      </vt:variant>
      <vt:variant>
        <vt:i4>5308491</vt:i4>
      </vt:variant>
      <vt:variant>
        <vt:i4>546</vt:i4>
      </vt:variant>
      <vt:variant>
        <vt:i4>0</vt:i4>
      </vt:variant>
      <vt:variant>
        <vt:i4>5</vt:i4>
      </vt:variant>
      <vt:variant>
        <vt:lpwstr>https://www.leonardgray.co.uk/2016/11/new-energy-efficiency-rules-the-implications-for-commercial-landlords/</vt:lpwstr>
      </vt:variant>
      <vt:variant>
        <vt:lpwstr/>
      </vt:variant>
      <vt:variant>
        <vt:i4>7209022</vt:i4>
      </vt:variant>
      <vt:variant>
        <vt:i4>543</vt:i4>
      </vt:variant>
      <vt:variant>
        <vt:i4>0</vt:i4>
      </vt:variant>
      <vt:variant>
        <vt:i4>5</vt:i4>
      </vt:variant>
      <vt:variant>
        <vt:lpwstr>https://www.darwingray.com/2022-01-24-epcs-for-commercial-buildings-what-you-need-to-know-for-2023/</vt:lpwstr>
      </vt:variant>
      <vt:variant>
        <vt:lpwstr/>
      </vt:variant>
      <vt:variant>
        <vt:i4>1507371</vt:i4>
      </vt:variant>
      <vt:variant>
        <vt:i4>540</vt:i4>
      </vt:variant>
      <vt:variant>
        <vt:i4>0</vt:i4>
      </vt:variant>
      <vt:variant>
        <vt:i4>5</vt:i4>
      </vt:variant>
      <vt:variant>
        <vt:lpwstr>https://energy.ec.europa.eu/topics/energy-efficiency/energy-efficient-buildings/energy-performance-buildings-directive_en</vt:lpwstr>
      </vt:variant>
      <vt:variant>
        <vt:lpwstr/>
      </vt:variant>
      <vt:variant>
        <vt:i4>6750317</vt:i4>
      </vt:variant>
      <vt:variant>
        <vt:i4>537</vt:i4>
      </vt:variant>
      <vt:variant>
        <vt:i4>0</vt:i4>
      </vt:variant>
      <vt:variant>
        <vt:i4>5</vt:i4>
      </vt:variant>
      <vt:variant>
        <vt:lpwstr>http://bpie.eu/wp-content/uploads/2015/10/Energy-Performance-Certificates-EPC-across-the-EU.-A-mapping-of-national-approaches-2014.pdf</vt:lpwstr>
      </vt:variant>
      <vt:variant>
        <vt:lpwstr/>
      </vt:variant>
      <vt:variant>
        <vt:i4>6750317</vt:i4>
      </vt:variant>
      <vt:variant>
        <vt:i4>534</vt:i4>
      </vt:variant>
      <vt:variant>
        <vt:i4>0</vt:i4>
      </vt:variant>
      <vt:variant>
        <vt:i4>5</vt:i4>
      </vt:variant>
      <vt:variant>
        <vt:lpwstr>http://bpie.eu/wp-content/uploads/2015/10/Energy-Performance-Certificates-EPC-across-the-EU.-A-mapping-of-national-approaches-2014.pdf</vt:lpwstr>
      </vt:variant>
      <vt:variant>
        <vt:lpwstr/>
      </vt:variant>
      <vt:variant>
        <vt:i4>5374029</vt:i4>
      </vt:variant>
      <vt:variant>
        <vt:i4>531</vt:i4>
      </vt:variant>
      <vt:variant>
        <vt:i4>0</vt:i4>
      </vt:variant>
      <vt:variant>
        <vt:i4>5</vt:i4>
      </vt:variant>
      <vt:variant>
        <vt:lpwstr>https://www.energystar.gov/buildings/benchmark/understand_metrics/property_types/eligible_for_score</vt:lpwstr>
      </vt:variant>
      <vt:variant>
        <vt:lpwstr/>
      </vt:variant>
      <vt:variant>
        <vt:i4>3866742</vt:i4>
      </vt:variant>
      <vt:variant>
        <vt:i4>528</vt:i4>
      </vt:variant>
      <vt:variant>
        <vt:i4>0</vt:i4>
      </vt:variant>
      <vt:variant>
        <vt:i4>5</vt:i4>
      </vt:variant>
      <vt:variant>
        <vt:lpwstr>https://www.energystar.gov/partner_resources/international_partners</vt:lpwstr>
      </vt:variant>
      <vt:variant>
        <vt:lpwstr/>
      </vt:variant>
      <vt:variant>
        <vt:i4>1376263</vt:i4>
      </vt:variant>
      <vt:variant>
        <vt:i4>525</vt:i4>
      </vt:variant>
      <vt:variant>
        <vt:i4>0</vt:i4>
      </vt:variant>
      <vt:variant>
        <vt:i4>5</vt:i4>
      </vt:variant>
      <vt:variant>
        <vt:lpwstr>https://library.cee1.org/system/files/library/13175/Final_National_Awareness_of_ENERGY_STAR_2016_040617_508c.pdf</vt:lpwstr>
      </vt:variant>
      <vt:variant>
        <vt:lpwstr/>
      </vt:variant>
      <vt:variant>
        <vt:i4>4194380</vt:i4>
      </vt:variant>
      <vt:variant>
        <vt:i4>522</vt:i4>
      </vt:variant>
      <vt:variant>
        <vt:i4>0</vt:i4>
      </vt:variant>
      <vt:variant>
        <vt:i4>5</vt:i4>
      </vt:variant>
      <vt:variant>
        <vt:lpwstr>https://www.energystar.gov/about</vt:lpwstr>
      </vt:variant>
      <vt:variant>
        <vt:lpwstr/>
      </vt:variant>
      <vt:variant>
        <vt:i4>1507400</vt:i4>
      </vt:variant>
      <vt:variant>
        <vt:i4>519</vt:i4>
      </vt:variant>
      <vt:variant>
        <vt:i4>0</vt:i4>
      </vt:variant>
      <vt:variant>
        <vt:i4>5</vt:i4>
      </vt:variant>
      <vt:variant>
        <vt:lpwstr>https://www.nyc.gov/site/sustainablebuildings/requirements/covered-buildings.page</vt:lpwstr>
      </vt:variant>
      <vt:variant>
        <vt:lpwstr/>
      </vt:variant>
      <vt:variant>
        <vt:i4>5242906</vt:i4>
      </vt:variant>
      <vt:variant>
        <vt:i4>516</vt:i4>
      </vt:variant>
      <vt:variant>
        <vt:i4>0</vt:i4>
      </vt:variant>
      <vt:variant>
        <vt:i4>5</vt:i4>
      </vt:variant>
      <vt:variant>
        <vt:lpwstr>https://www.onenineelms.co.uk/2023/03/10/how-many-buildings-are-in-new-york/</vt:lpwstr>
      </vt:variant>
      <vt:variant>
        <vt:lpwstr>:~:text=An%20Overview%20of%20the%20Buildings%20in%20NYC&amp;text=According%20to%20one%20estimate%2C%20there,buildings%20within%20the%20city%20limits.</vt:lpwstr>
      </vt:variant>
      <vt:variant>
        <vt:i4>2031643</vt:i4>
      </vt:variant>
      <vt:variant>
        <vt:i4>513</vt:i4>
      </vt:variant>
      <vt:variant>
        <vt:i4>0</vt:i4>
      </vt:variant>
      <vt:variant>
        <vt:i4>5</vt:i4>
      </vt:variant>
      <vt:variant>
        <vt:lpwstr>https://www.nyc.gov/site/sustainablebuildings/ll97/local-law-97.page</vt:lpwstr>
      </vt:variant>
      <vt:variant>
        <vt:lpwstr>:~:text=Under%20this%20groundbreaking%20law%2C%20most,coming%20into%20effect%20in%202030.</vt:lpwstr>
      </vt:variant>
      <vt:variant>
        <vt:i4>3670136</vt:i4>
      </vt:variant>
      <vt:variant>
        <vt:i4>510</vt:i4>
      </vt:variant>
      <vt:variant>
        <vt:i4>0</vt:i4>
      </vt:variant>
      <vt:variant>
        <vt:i4>5</vt:i4>
      </vt:variant>
      <vt:variant>
        <vt:lpwstr>https://database.aceee.org/state/building-energy-disclosure</vt:lpwstr>
      </vt:variant>
      <vt:variant>
        <vt:lpwstr/>
      </vt:variant>
      <vt:variant>
        <vt:i4>3211307</vt:i4>
      </vt:variant>
      <vt:variant>
        <vt:i4>507</vt:i4>
      </vt:variant>
      <vt:variant>
        <vt:i4>0</vt:i4>
      </vt:variant>
      <vt:variant>
        <vt:i4>5</vt:i4>
      </vt:variant>
      <vt:variant>
        <vt:lpwstr>https://www.energystar.gov/buildings?s=mega</vt:lpwstr>
      </vt:variant>
      <vt:variant>
        <vt:lpwstr/>
      </vt:variant>
      <vt:variant>
        <vt:i4>3670136</vt:i4>
      </vt:variant>
      <vt:variant>
        <vt:i4>504</vt:i4>
      </vt:variant>
      <vt:variant>
        <vt:i4>0</vt:i4>
      </vt:variant>
      <vt:variant>
        <vt:i4>5</vt:i4>
      </vt:variant>
      <vt:variant>
        <vt:lpwstr>https://database.aceee.org/state/building-energy-disclosure</vt:lpwstr>
      </vt:variant>
      <vt:variant>
        <vt:lpwstr/>
      </vt:variant>
      <vt:variant>
        <vt:i4>7274592</vt:i4>
      </vt:variant>
      <vt:variant>
        <vt:i4>501</vt:i4>
      </vt:variant>
      <vt:variant>
        <vt:i4>0</vt:i4>
      </vt:variant>
      <vt:variant>
        <vt:i4>5</vt:i4>
      </vt:variant>
      <vt:variant>
        <vt:lpwstr>https://www.mlit.go.jp/common/001134876.pdf</vt:lpwstr>
      </vt:variant>
      <vt:variant>
        <vt:lpwstr/>
      </vt:variant>
      <vt:variant>
        <vt:i4>2621475</vt:i4>
      </vt:variant>
      <vt:variant>
        <vt:i4>498</vt:i4>
      </vt:variant>
      <vt:variant>
        <vt:i4>0</vt:i4>
      </vt:variant>
      <vt:variant>
        <vt:i4>5</vt:i4>
      </vt:variant>
      <vt:variant>
        <vt:lpwstr>https://www.iea.org/policies/863-building-energy-efficiency-act</vt:lpwstr>
      </vt:variant>
      <vt:variant>
        <vt:lpwstr/>
      </vt:variant>
      <vt:variant>
        <vt:i4>2228331</vt:i4>
      </vt:variant>
      <vt:variant>
        <vt:i4>495</vt:i4>
      </vt:variant>
      <vt:variant>
        <vt:i4>0</vt:i4>
      </vt:variant>
      <vt:variant>
        <vt:i4>5</vt:i4>
      </vt:variant>
      <vt:variant>
        <vt:lpwstr>https://www.bmi.bund.de/EN/topics/building-housing/building/energy-efficient-construction-renovation/buildings-energy-act/buildings-energy-act-node.html</vt:lpwstr>
      </vt:variant>
      <vt:variant>
        <vt:lpwstr>:~:text=The%20new%20Buildings%20Energy%20Act%20sets%20out%20requirements%20for%20the,of%20renewable%20energy%20in%20buildings.&amp;text=The%20new%20Buildings%20Energy%20Act%20was%20promulgated%20in%20the,Gazette%20on%2013%20August%202020.</vt:lpwstr>
      </vt:variant>
      <vt:variant>
        <vt:i4>2752559</vt:i4>
      </vt:variant>
      <vt:variant>
        <vt:i4>492</vt:i4>
      </vt:variant>
      <vt:variant>
        <vt:i4>0</vt:i4>
      </vt:variant>
      <vt:variant>
        <vt:i4>5</vt:i4>
      </vt:variant>
      <vt:variant>
        <vt:lpwstr>https://perspectives.se.com/blog-stream/decret-tertiaire</vt:lpwstr>
      </vt:variant>
      <vt:variant>
        <vt:lpwstr>:~:text=Article%20175%20of%20the%20Law,buildings%20subject%20to%20the%20obligation.</vt:lpwstr>
      </vt:variant>
      <vt:variant>
        <vt:i4>7405630</vt:i4>
      </vt:variant>
      <vt:variant>
        <vt:i4>489</vt:i4>
      </vt:variant>
      <vt:variant>
        <vt:i4>0</vt:i4>
      </vt:variant>
      <vt:variant>
        <vt:i4>5</vt:i4>
      </vt:variant>
      <vt:variant>
        <vt:lpwstr>https://energyadvicehub.org/explained-the-new-mandatory-energy-performance-rating-framework-for-large-commercial-and-industrial-buildings/</vt:lpwstr>
      </vt:variant>
      <vt:variant>
        <vt:lpwstr/>
      </vt:variant>
      <vt:variant>
        <vt:i4>5701737</vt:i4>
      </vt:variant>
      <vt:variant>
        <vt:i4>486</vt:i4>
      </vt:variant>
      <vt:variant>
        <vt:i4>0</vt:i4>
      </vt:variant>
      <vt:variant>
        <vt:i4>5</vt:i4>
      </vt:variant>
      <vt:variant>
        <vt:lpwstr>https://assets.publishing.service.gov.uk/government/uploads/system/uploads/attachment_data/file/970519/performance-based-policy-framework-ci-buildings--strategy-paper.pdf</vt:lpwstr>
      </vt:variant>
      <vt:variant>
        <vt:lpwstr/>
      </vt:variant>
      <vt:variant>
        <vt:i4>7405630</vt:i4>
      </vt:variant>
      <vt:variant>
        <vt:i4>483</vt:i4>
      </vt:variant>
      <vt:variant>
        <vt:i4>0</vt:i4>
      </vt:variant>
      <vt:variant>
        <vt:i4>5</vt:i4>
      </vt:variant>
      <vt:variant>
        <vt:lpwstr>https://energyadvicehub.org/explained-the-new-mandatory-energy-performance-rating-framework-for-large-commercial-and-industrial-buildings/</vt:lpwstr>
      </vt:variant>
      <vt:variant>
        <vt:lpwstr/>
      </vt:variant>
      <vt:variant>
        <vt:i4>3604586</vt:i4>
      </vt:variant>
      <vt:variant>
        <vt:i4>480</vt:i4>
      </vt:variant>
      <vt:variant>
        <vt:i4>0</vt:i4>
      </vt:variant>
      <vt:variant>
        <vt:i4>5</vt:i4>
      </vt:variant>
      <vt:variant>
        <vt:lpwstr>https://www.gov.uk/government/publications/improving-the-energy-efficiency-of-our-buildings</vt:lpwstr>
      </vt:variant>
      <vt:variant>
        <vt:lpwstr>:~:text=The%20Energy%20Performance%20of%20Buildings%20Directive%20is%20an%20EU%20measure,of%20carbon%20produced%20by%20buildings.</vt:lpwstr>
      </vt:variant>
      <vt:variant>
        <vt:i4>327703</vt:i4>
      </vt:variant>
      <vt:variant>
        <vt:i4>477</vt:i4>
      </vt:variant>
      <vt:variant>
        <vt:i4>0</vt:i4>
      </vt:variant>
      <vt:variant>
        <vt:i4>5</vt:i4>
      </vt:variant>
      <vt:variant>
        <vt:lpwstr>https://www.iea.org/commentaries/global-heat-pump-sales-continue-double-digit-growth</vt:lpwstr>
      </vt:variant>
      <vt:variant>
        <vt:lpwstr/>
      </vt:variant>
      <vt:variant>
        <vt:i4>4587527</vt:i4>
      </vt:variant>
      <vt:variant>
        <vt:i4>474</vt:i4>
      </vt:variant>
      <vt:variant>
        <vt:i4>0</vt:i4>
      </vt:variant>
      <vt:variant>
        <vt:i4>5</vt:i4>
      </vt:variant>
      <vt:variant>
        <vt:lpwstr>https://www.dgs.ca.gov/OS/Resources/Page-Content/Office-of-Sustainability-Resources-List-Folder/California-LEED-Certified-State-Buildings</vt:lpwstr>
      </vt:variant>
      <vt:variant>
        <vt:lpwstr/>
      </vt:variant>
      <vt:variant>
        <vt:i4>6946917</vt:i4>
      </vt:variant>
      <vt:variant>
        <vt:i4>471</vt:i4>
      </vt:variant>
      <vt:variant>
        <vt:i4>0</vt:i4>
      </vt:variant>
      <vt:variant>
        <vt:i4>5</vt:i4>
      </vt:variant>
      <vt:variant>
        <vt:lpwstr>https://sustainable.dc.gov/sites/default/files/dc/sites/sustainable/page_content/attachments/SDC Final Plan_0.pdf</vt:lpwstr>
      </vt:variant>
      <vt:variant>
        <vt:lpwstr/>
      </vt:variant>
      <vt:variant>
        <vt:i4>8257590</vt:i4>
      </vt:variant>
      <vt:variant>
        <vt:i4>468</vt:i4>
      </vt:variant>
      <vt:variant>
        <vt:i4>0</vt:i4>
      </vt:variant>
      <vt:variant>
        <vt:i4>5</vt:i4>
      </vt:variant>
      <vt:variant>
        <vt:lpwstr>https://energypost.eu/eu-buildings-renovations-get-ready-for-minimum-energy-performance-standards-meps/</vt:lpwstr>
      </vt:variant>
      <vt:variant>
        <vt:lpwstr/>
      </vt:variant>
      <vt:variant>
        <vt:i4>7929958</vt:i4>
      </vt:variant>
      <vt:variant>
        <vt:i4>465</vt:i4>
      </vt:variant>
      <vt:variant>
        <vt:i4>0</vt:i4>
      </vt:variant>
      <vt:variant>
        <vt:i4>5</vt:i4>
      </vt:variant>
      <vt:variant>
        <vt:lpwstr>https://www.eesc.europa.eu/sites/default/files/files/qe-05-22-310-en-n.pdf</vt:lpwstr>
      </vt:variant>
      <vt:variant>
        <vt:lpwstr/>
      </vt:variant>
      <vt:variant>
        <vt:i4>1048577</vt:i4>
      </vt:variant>
      <vt:variant>
        <vt:i4>462</vt:i4>
      </vt:variant>
      <vt:variant>
        <vt:i4>0</vt:i4>
      </vt:variant>
      <vt:variant>
        <vt:i4>5</vt:i4>
      </vt:variant>
      <vt:variant>
        <vt:lpwstr>https://www.dcceew.gov.au/sites/default/files/documents/national-greenhouse-accounts-factors-2022.pdf</vt:lpwstr>
      </vt:variant>
      <vt:variant>
        <vt:lpwstr/>
      </vt:variant>
      <vt:variant>
        <vt:i4>786438</vt:i4>
      </vt:variant>
      <vt:variant>
        <vt:i4>459</vt:i4>
      </vt:variant>
      <vt:variant>
        <vt:i4>0</vt:i4>
      </vt:variant>
      <vt:variant>
        <vt:i4>5</vt:i4>
      </vt:variant>
      <vt:variant>
        <vt:lpwstr>https://energyadvicehub.org/does-your-commercial-building-meet-the-new-minimum-energy-efficiency-standards/</vt:lpwstr>
      </vt:variant>
      <vt:variant>
        <vt:lpwstr>:~:text=The%20government%20has%20confirmed,place%2C%20as%20an%20interim%20step.</vt:lpwstr>
      </vt:variant>
      <vt:variant>
        <vt:i4>458820</vt:i4>
      </vt:variant>
      <vt:variant>
        <vt:i4>456</vt:i4>
      </vt:variant>
      <vt:variant>
        <vt:i4>0</vt:i4>
      </vt:variant>
      <vt:variant>
        <vt:i4>5</vt:i4>
      </vt:variant>
      <vt:variant>
        <vt:lpwstr>https://ec.europa.eu/commission/presscorner/detail/en/QANDA_21_6686</vt:lpwstr>
      </vt:variant>
      <vt:variant>
        <vt:lpwstr/>
      </vt:variant>
      <vt:variant>
        <vt:i4>6946852</vt:i4>
      </vt:variant>
      <vt:variant>
        <vt:i4>453</vt:i4>
      </vt:variant>
      <vt:variant>
        <vt:i4>0</vt:i4>
      </vt:variant>
      <vt:variant>
        <vt:i4>5</vt:i4>
      </vt:variant>
      <vt:variant>
        <vt:lpwstr>https://energy.ec.europa.eu/system/files/2020-08/fr_annual_report_eed_2020_tra_0.pdf</vt:lpwstr>
      </vt:variant>
      <vt:variant>
        <vt:lpwstr/>
      </vt:variant>
      <vt:variant>
        <vt:i4>917597</vt:i4>
      </vt:variant>
      <vt:variant>
        <vt:i4>450</vt:i4>
      </vt:variant>
      <vt:variant>
        <vt:i4>0</vt:i4>
      </vt:variant>
      <vt:variant>
        <vt:i4>5</vt:i4>
      </vt:variant>
      <vt:variant>
        <vt:lpwstr>https://www.iea.org/policies/2511-building-regulations-2018-br18</vt:lpwstr>
      </vt:variant>
      <vt:variant>
        <vt:lpwstr/>
      </vt:variant>
      <vt:variant>
        <vt:i4>7143478</vt:i4>
      </vt:variant>
      <vt:variant>
        <vt:i4>447</vt:i4>
      </vt:variant>
      <vt:variant>
        <vt:i4>0</vt:i4>
      </vt:variant>
      <vt:variant>
        <vt:i4>5</vt:i4>
      </vt:variant>
      <vt:variant>
        <vt:lpwstr>https://www.energy.gov.au/government-priorities/buildings/government-buildings</vt:lpwstr>
      </vt:variant>
      <vt:variant>
        <vt:lpwstr/>
      </vt:variant>
      <vt:variant>
        <vt:i4>2556029</vt:i4>
      </vt:variant>
      <vt:variant>
        <vt:i4>444</vt:i4>
      </vt:variant>
      <vt:variant>
        <vt:i4>0</vt:i4>
      </vt:variant>
      <vt:variant>
        <vt:i4>5</vt:i4>
      </vt:variant>
      <vt:variant>
        <vt:lpwstr>https://www.dcceew.gov.au/environment/protection/ozone/montreal-protocol</vt:lpwstr>
      </vt:variant>
      <vt:variant>
        <vt:lpwstr>:~:text=The%20Montreal%20Protocol%20sets%20binding,such%20as%20hydrochlorofluorocarbons%20(HCFCs).</vt:lpwstr>
      </vt:variant>
      <vt:variant>
        <vt:i4>6094855</vt:i4>
      </vt:variant>
      <vt:variant>
        <vt:i4>441</vt:i4>
      </vt:variant>
      <vt:variant>
        <vt:i4>0</vt:i4>
      </vt:variant>
      <vt:variant>
        <vt:i4>5</vt:i4>
      </vt:variant>
      <vt:variant>
        <vt:lpwstr>https://www.iea.org/reports/multiple-benefits-of-energy-efficiency/energy-prices</vt:lpwstr>
      </vt:variant>
      <vt:variant>
        <vt:lpwstr/>
      </vt:variant>
      <vt:variant>
        <vt:i4>7077939</vt:i4>
      </vt:variant>
      <vt:variant>
        <vt:i4>438</vt:i4>
      </vt:variant>
      <vt:variant>
        <vt:i4>0</vt:i4>
      </vt:variant>
      <vt:variant>
        <vt:i4>5</vt:i4>
      </vt:variant>
      <vt:variant>
        <vt:lpwstr>https://everybuildingcounts.com.au/</vt:lpwstr>
      </vt:variant>
      <vt:variant>
        <vt:lpwstr/>
      </vt:variant>
      <vt:variant>
        <vt:i4>7143480</vt:i4>
      </vt:variant>
      <vt:variant>
        <vt:i4>435</vt:i4>
      </vt:variant>
      <vt:variant>
        <vt:i4>0</vt:i4>
      </vt:variant>
      <vt:variant>
        <vt:i4>5</vt:i4>
      </vt:variant>
      <vt:variant>
        <vt:lpwstr>https://www.planning.nsw.gov.au/sites/default/files/2023-03/sustainable-buildings-sepp-overview.pdf</vt:lpwstr>
      </vt:variant>
      <vt:variant>
        <vt:lpwstr/>
      </vt:variant>
      <vt:variant>
        <vt:i4>2556029</vt:i4>
      </vt:variant>
      <vt:variant>
        <vt:i4>432</vt:i4>
      </vt:variant>
      <vt:variant>
        <vt:i4>0</vt:i4>
      </vt:variant>
      <vt:variant>
        <vt:i4>5</vt:i4>
      </vt:variant>
      <vt:variant>
        <vt:lpwstr>https://www.dcceew.gov.au/environment/protection/ozone/montreal-protocol</vt:lpwstr>
      </vt:variant>
      <vt:variant>
        <vt:lpwstr>:~:text=The%20Montreal%20Protocol%20sets%20binding,such%20as%20hydrochlorofluorocarbons%20(HCFCs).</vt:lpwstr>
      </vt:variant>
      <vt:variant>
        <vt:i4>1376358</vt:i4>
      </vt:variant>
      <vt:variant>
        <vt:i4>429</vt:i4>
      </vt:variant>
      <vt:variant>
        <vt:i4>0</vt:i4>
      </vt:variant>
      <vt:variant>
        <vt:i4>5</vt:i4>
      </vt:variant>
      <vt:variant>
        <vt:lpwstr>https://energy.ec.europa.eu/topics/energy-efficiency/energy-efficient-buildings/nearly-zero-energy-buildings_en</vt:lpwstr>
      </vt:variant>
      <vt:variant>
        <vt:lpwstr>:~:text=Implementation%2C%20monitoring%20and%20reporting,-EU%20countries%20share&amp;text=The%20Commission%20monitors%20the%20progress,all%20new%20buildings%20are%20NZEBs.</vt:lpwstr>
      </vt:variant>
      <vt:variant>
        <vt:i4>8323188</vt:i4>
      </vt:variant>
      <vt:variant>
        <vt:i4>426</vt:i4>
      </vt:variant>
      <vt:variant>
        <vt:i4>0</vt:i4>
      </vt:variant>
      <vt:variant>
        <vt:i4>5</vt:i4>
      </vt:variant>
      <vt:variant>
        <vt:lpwstr>https://www.energy.gov/scep/slsc/commercial-property-assessed-clean-energy-pace-toolkit</vt:lpwstr>
      </vt:variant>
      <vt:variant>
        <vt:lpwstr/>
      </vt:variant>
      <vt:variant>
        <vt:i4>3997725</vt:i4>
      </vt:variant>
      <vt:variant>
        <vt:i4>423</vt:i4>
      </vt:variant>
      <vt:variant>
        <vt:i4>0</vt:i4>
      </vt:variant>
      <vt:variant>
        <vt:i4>5</vt:i4>
      </vt:variant>
      <vt:variant>
        <vt:lpwstr>https://www.nyc.gov/assets/buildings/local_laws/ll97of2019.pdf</vt:lpwstr>
      </vt:variant>
      <vt:variant>
        <vt:lpwstr/>
      </vt:variant>
      <vt:variant>
        <vt:i4>1114177</vt:i4>
      </vt:variant>
      <vt:variant>
        <vt:i4>420</vt:i4>
      </vt:variant>
      <vt:variant>
        <vt:i4>0</vt:i4>
      </vt:variant>
      <vt:variant>
        <vt:i4>5</vt:i4>
      </vt:variant>
      <vt:variant>
        <vt:lpwstr>https://www.commerce.wa.gov/growing-the-economy/energy/buildings/early-adopter-incentive-program/</vt:lpwstr>
      </vt:variant>
      <vt:variant>
        <vt:lpwstr/>
      </vt:variant>
      <vt:variant>
        <vt:i4>7995408</vt:i4>
      </vt:variant>
      <vt:variant>
        <vt:i4>417</vt:i4>
      </vt:variant>
      <vt:variant>
        <vt:i4>0</vt:i4>
      </vt:variant>
      <vt:variant>
        <vt:i4>5</vt:i4>
      </vt:variant>
      <vt:variant>
        <vt:lpwstr>https://sustainable.dc.gov/sites/default/files/dc/sites/sustainable/page_content/attachments/SDC_ProgressReport2022_FINAL-1r.pdf</vt:lpwstr>
      </vt:variant>
      <vt:variant>
        <vt:lpwstr/>
      </vt:variant>
      <vt:variant>
        <vt:i4>1114177</vt:i4>
      </vt:variant>
      <vt:variant>
        <vt:i4>414</vt:i4>
      </vt:variant>
      <vt:variant>
        <vt:i4>0</vt:i4>
      </vt:variant>
      <vt:variant>
        <vt:i4>5</vt:i4>
      </vt:variant>
      <vt:variant>
        <vt:lpwstr>https://www.commerce.wa.gov/growing-the-economy/energy/buildings/early-adopter-incentive-program/</vt:lpwstr>
      </vt:variant>
      <vt:variant>
        <vt:lpwstr/>
      </vt:variant>
      <vt:variant>
        <vt:i4>4784149</vt:i4>
      </vt:variant>
      <vt:variant>
        <vt:i4>411</vt:i4>
      </vt:variant>
      <vt:variant>
        <vt:i4>0</vt:i4>
      </vt:variant>
      <vt:variant>
        <vt:i4>5</vt:i4>
      </vt:variant>
      <vt:variant>
        <vt:lpwstr>https://publications.jrc.ec.europa.eu/repository/bitstream/JRC101251/ldna28058enn.pdf</vt:lpwstr>
      </vt:variant>
      <vt:variant>
        <vt:lpwstr/>
      </vt:variant>
      <vt:variant>
        <vt:i4>1245248</vt:i4>
      </vt:variant>
      <vt:variant>
        <vt:i4>408</vt:i4>
      </vt:variant>
      <vt:variant>
        <vt:i4>0</vt:i4>
      </vt:variant>
      <vt:variant>
        <vt:i4>5</vt:i4>
      </vt:variant>
      <vt:variant>
        <vt:lpwstr>https://www.ncbi.nlm.nih.gov/pmc/articles/PMC4819331/</vt:lpwstr>
      </vt:variant>
      <vt:variant>
        <vt:lpwstr/>
      </vt:variant>
      <vt:variant>
        <vt:i4>4849673</vt:i4>
      </vt:variant>
      <vt:variant>
        <vt:i4>405</vt:i4>
      </vt:variant>
      <vt:variant>
        <vt:i4>0</vt:i4>
      </vt:variant>
      <vt:variant>
        <vt:i4>5</vt:i4>
      </vt:variant>
      <vt:variant>
        <vt:lpwstr>https://perspectives.se.com/blog-stream/decret-tertiaire</vt:lpwstr>
      </vt:variant>
      <vt:variant>
        <vt:lpwstr/>
      </vt:variant>
      <vt:variant>
        <vt:i4>3735650</vt:i4>
      </vt:variant>
      <vt:variant>
        <vt:i4>402</vt:i4>
      </vt:variant>
      <vt:variant>
        <vt:i4>0</vt:i4>
      </vt:variant>
      <vt:variant>
        <vt:i4>5</vt:i4>
      </vt:variant>
      <vt:variant>
        <vt:lpwstr>https://longevity-partners.com/news/energy-regulations-in-france-news-and-implications/</vt:lpwstr>
      </vt:variant>
      <vt:variant>
        <vt:lpwstr/>
      </vt:variant>
      <vt:variant>
        <vt:i4>2424942</vt:i4>
      </vt:variant>
      <vt:variant>
        <vt:i4>399</vt:i4>
      </vt:variant>
      <vt:variant>
        <vt:i4>0</vt:i4>
      </vt:variant>
      <vt:variant>
        <vt:i4>5</vt:i4>
      </vt:variant>
      <vt:variant>
        <vt:lpwstr>https://www.sciencedirect.com/science/article/abs/pii/S0301421517308157</vt:lpwstr>
      </vt:variant>
      <vt:variant>
        <vt:lpwstr/>
      </vt:variant>
      <vt:variant>
        <vt:i4>589836</vt:i4>
      </vt:variant>
      <vt:variant>
        <vt:i4>396</vt:i4>
      </vt:variant>
      <vt:variant>
        <vt:i4>0</vt:i4>
      </vt:variant>
      <vt:variant>
        <vt:i4>5</vt:i4>
      </vt:variant>
      <vt:variant>
        <vt:lpwstr>https://www.raponline.org/wp-content/uploads/2020/07/rap-ls-ms-meps-case-studies-2020-july-28.pdf</vt:lpwstr>
      </vt:variant>
      <vt:variant>
        <vt:lpwstr/>
      </vt:variant>
      <vt:variant>
        <vt:i4>7405586</vt:i4>
      </vt:variant>
      <vt:variant>
        <vt:i4>393</vt:i4>
      </vt:variant>
      <vt:variant>
        <vt:i4>0</vt:i4>
      </vt:variant>
      <vt:variant>
        <vt:i4>5</vt:i4>
      </vt:variant>
      <vt:variant>
        <vt:lpwstr>https://www.eib.nl/pdf/verplicht_energielabel_voor_ kantoren.pdf</vt:lpwstr>
      </vt:variant>
      <vt:variant>
        <vt:lpwstr/>
      </vt:variant>
      <vt:variant>
        <vt:i4>7929964</vt:i4>
      </vt:variant>
      <vt:variant>
        <vt:i4>390</vt:i4>
      </vt:variant>
      <vt:variant>
        <vt:i4>0</vt:i4>
      </vt:variant>
      <vt:variant>
        <vt:i4>5</vt:i4>
      </vt:variant>
      <vt:variant>
        <vt:lpwstr>https://dc.beam-portal.org/helpdesk/kb/BEPS/79/</vt:lpwstr>
      </vt:variant>
      <vt:variant>
        <vt:lpwstr/>
      </vt:variant>
      <vt:variant>
        <vt:i4>8257573</vt:i4>
      </vt:variant>
      <vt:variant>
        <vt:i4>387</vt:i4>
      </vt:variant>
      <vt:variant>
        <vt:i4>0</vt:i4>
      </vt:variant>
      <vt:variant>
        <vt:i4>5</vt:i4>
      </vt:variant>
      <vt:variant>
        <vt:lpwstr>https://think.ing.com/articles/energy-performance-of-buildings-directive-review-how-banks-affected</vt:lpwstr>
      </vt:variant>
      <vt:variant>
        <vt:lpwstr/>
      </vt:variant>
      <vt:variant>
        <vt:i4>4063359</vt:i4>
      </vt:variant>
      <vt:variant>
        <vt:i4>384</vt:i4>
      </vt:variant>
      <vt:variant>
        <vt:i4>0</vt:i4>
      </vt:variant>
      <vt:variant>
        <vt:i4>5</vt:i4>
      </vt:variant>
      <vt:variant>
        <vt:lpwstr>https://onlinelibrary.wiley.com/doi/full/10.1111/ropr.12302</vt:lpwstr>
      </vt:variant>
      <vt:variant>
        <vt:lpwstr/>
      </vt:variant>
      <vt:variant>
        <vt:i4>4718622</vt:i4>
      </vt:variant>
      <vt:variant>
        <vt:i4>381</vt:i4>
      </vt:variant>
      <vt:variant>
        <vt:i4>0</vt:i4>
      </vt:variant>
      <vt:variant>
        <vt:i4>5</vt:i4>
      </vt:variant>
      <vt:variant>
        <vt:lpwstr>https://pics.uvic.ca/sites/default/files/uploads/publications/On-Bill Financing FINAL.pdf</vt:lpwstr>
      </vt:variant>
      <vt:variant>
        <vt:lpwstr/>
      </vt:variant>
      <vt:variant>
        <vt:i4>327752</vt:i4>
      </vt:variant>
      <vt:variant>
        <vt:i4>378</vt:i4>
      </vt:variant>
      <vt:variant>
        <vt:i4>0</vt:i4>
      </vt:variant>
      <vt:variant>
        <vt:i4>5</vt:i4>
      </vt:variant>
      <vt:variant>
        <vt:lpwstr>https://www.environment.gov.au/system/files/energy/files/hvac-factsheet-split-incentives.pdf</vt:lpwstr>
      </vt:variant>
      <vt:variant>
        <vt:lpwstr/>
      </vt:variant>
      <vt:variant>
        <vt:i4>8257590</vt:i4>
      </vt:variant>
      <vt:variant>
        <vt:i4>375</vt:i4>
      </vt:variant>
      <vt:variant>
        <vt:i4>0</vt:i4>
      </vt:variant>
      <vt:variant>
        <vt:i4>5</vt:i4>
      </vt:variant>
      <vt:variant>
        <vt:lpwstr>https://energypost.eu/eu-buildings-renovations-get-ready-for-minimum-energy-performance-standards-meps/</vt:lpwstr>
      </vt:variant>
      <vt:variant>
        <vt:lpwstr/>
      </vt:variant>
      <vt:variant>
        <vt:i4>6684733</vt:i4>
      </vt:variant>
      <vt:variant>
        <vt:i4>372</vt:i4>
      </vt:variant>
      <vt:variant>
        <vt:i4>0</vt:i4>
      </vt:variant>
      <vt:variant>
        <vt:i4>5</vt:i4>
      </vt:variant>
      <vt:variant>
        <vt:lpwstr>https://danskebank.com/-/media/danske-bank-com/pdf/investor-relations/debt/green-bonds/danske-bank-green-finance-framework-november-2022.pdf?rev=f710173447f64748846a7f203024ac60&amp;hash=C33AF7D48BE4243CFF27DE3147FEB655</vt:lpwstr>
      </vt:variant>
      <vt:variant>
        <vt:lpwstr/>
      </vt:variant>
      <vt:variant>
        <vt:i4>851987</vt:i4>
      </vt:variant>
      <vt:variant>
        <vt:i4>369</vt:i4>
      </vt:variant>
      <vt:variant>
        <vt:i4>0</vt:i4>
      </vt:variant>
      <vt:variant>
        <vt:i4>5</vt:i4>
      </vt:variant>
      <vt:variant>
        <vt:lpwstr>https://coebank.org/en/news-and-publications/news/ceb-approves-loan-increase-netherlands-national-heating-fund-achieve-energy-efficiency/</vt:lpwstr>
      </vt:variant>
      <vt:variant>
        <vt:lpwstr/>
      </vt:variant>
      <vt:variant>
        <vt:i4>6946876</vt:i4>
      </vt:variant>
      <vt:variant>
        <vt:i4>366</vt:i4>
      </vt:variant>
      <vt:variant>
        <vt:i4>0</vt:i4>
      </vt:variant>
      <vt:variant>
        <vt:i4>5</vt:i4>
      </vt:variant>
      <vt:variant>
        <vt:lpwstr>https://www.commbank.com.au/articles/newsroom/2021/09/Commercial-Property-Green-Loans.html</vt:lpwstr>
      </vt:variant>
      <vt:variant>
        <vt:lpwstr/>
      </vt:variant>
      <vt:variant>
        <vt:i4>4784193</vt:i4>
      </vt:variant>
      <vt:variant>
        <vt:i4>363</vt:i4>
      </vt:variant>
      <vt:variant>
        <vt:i4>0</vt:i4>
      </vt:variant>
      <vt:variant>
        <vt:i4>5</vt:i4>
      </vt:variant>
      <vt:variant>
        <vt:lpwstr>https://www.barclays.co.uk/mortgages/green-home-mortgage/</vt:lpwstr>
      </vt:variant>
      <vt:variant>
        <vt:lpwstr/>
      </vt:variant>
      <vt:variant>
        <vt:i4>3538978</vt:i4>
      </vt:variant>
      <vt:variant>
        <vt:i4>360</vt:i4>
      </vt:variant>
      <vt:variant>
        <vt:i4>0</vt:i4>
      </vt:variant>
      <vt:variant>
        <vt:i4>5</vt:i4>
      </vt:variant>
      <vt:variant>
        <vt:lpwstr>https://www.unepfi.org/wordpress/wp-content/uploads/2021/04/GFANZ-Launch-press-release.pdf</vt:lpwstr>
      </vt:variant>
      <vt:variant>
        <vt:lpwstr/>
      </vt:variant>
      <vt:variant>
        <vt:i4>6946876</vt:i4>
      </vt:variant>
      <vt:variant>
        <vt:i4>357</vt:i4>
      </vt:variant>
      <vt:variant>
        <vt:i4>0</vt:i4>
      </vt:variant>
      <vt:variant>
        <vt:i4>5</vt:i4>
      </vt:variant>
      <vt:variant>
        <vt:lpwstr>https://www.commbank.com.au/articles/newsroom/2021/09/Commercial-Property-Green-Loans.html</vt:lpwstr>
      </vt:variant>
      <vt:variant>
        <vt:lpwstr/>
      </vt:variant>
      <vt:variant>
        <vt:i4>2228324</vt:i4>
      </vt:variant>
      <vt:variant>
        <vt:i4>354</vt:i4>
      </vt:variant>
      <vt:variant>
        <vt:i4>0</vt:i4>
      </vt:variant>
      <vt:variant>
        <vt:i4>5</vt:i4>
      </vt:variant>
      <vt:variant>
        <vt:lpwstr>https://energyadvicehub.org/esos-faqs/</vt:lpwstr>
      </vt:variant>
      <vt:variant>
        <vt:lpwstr/>
      </vt:variant>
      <vt:variant>
        <vt:i4>95</vt:i4>
      </vt:variant>
      <vt:variant>
        <vt:i4>351</vt:i4>
      </vt:variant>
      <vt:variant>
        <vt:i4>0</vt:i4>
      </vt:variant>
      <vt:variant>
        <vt:i4>5</vt:i4>
      </vt:variant>
      <vt:variant>
        <vt:lpwstr>https://dcgreenbank.com/product/dc-pace/</vt:lpwstr>
      </vt:variant>
      <vt:variant>
        <vt:lpwstr>:~:text=What%20is%20PACE%3F,through%20the%20city%27s%20property%20assessment.</vt:lpwstr>
      </vt:variant>
      <vt:variant>
        <vt:i4>3276855</vt:i4>
      </vt:variant>
      <vt:variant>
        <vt:i4>348</vt:i4>
      </vt:variant>
      <vt:variant>
        <vt:i4>0</vt:i4>
      </vt:variant>
      <vt:variant>
        <vt:i4>5</vt:i4>
      </vt:variant>
      <vt:variant>
        <vt:lpwstr>https://www.energystar.gov/sites/default/files/buildings/tools/DataTrends_Savings_20121002.pdf</vt:lpwstr>
      </vt:variant>
      <vt:variant>
        <vt:lpwstr/>
      </vt:variant>
      <vt:variant>
        <vt:i4>3276855</vt:i4>
      </vt:variant>
      <vt:variant>
        <vt:i4>345</vt:i4>
      </vt:variant>
      <vt:variant>
        <vt:i4>0</vt:i4>
      </vt:variant>
      <vt:variant>
        <vt:i4>5</vt:i4>
      </vt:variant>
      <vt:variant>
        <vt:lpwstr>https://www.energystar.gov/sites/default/files/buildings/tools/DataTrends_Savings_20121002.pdf</vt:lpwstr>
      </vt:variant>
      <vt:variant>
        <vt:lpwstr/>
      </vt:variant>
      <vt:variant>
        <vt:i4>5439513</vt:i4>
      </vt:variant>
      <vt:variant>
        <vt:i4>342</vt:i4>
      </vt:variant>
      <vt:variant>
        <vt:i4>0</vt:i4>
      </vt:variant>
      <vt:variant>
        <vt:i4>5</vt:i4>
      </vt:variant>
      <vt:variant>
        <vt:lpwstr>https://www.efenergia.com/wp-content/uploads/20130619-energy_performance_certificates_in_buildings.pdf</vt:lpwstr>
      </vt:variant>
      <vt:variant>
        <vt:lpwstr/>
      </vt:variant>
      <vt:variant>
        <vt:i4>7733277</vt:i4>
      </vt:variant>
      <vt:variant>
        <vt:i4>339</vt:i4>
      </vt:variant>
      <vt:variant>
        <vt:i4>0</vt:i4>
      </vt:variant>
      <vt:variant>
        <vt:i4>5</vt:i4>
      </vt:variant>
      <vt:variant>
        <vt:lpwstr>https://eta-publications.lbl.gov/sites/default/files/pigman_aceee_summer_study_2022_preprint.pdf</vt:lpwstr>
      </vt:variant>
      <vt:variant>
        <vt:lpwstr/>
      </vt:variant>
      <vt:variant>
        <vt:i4>1507400</vt:i4>
      </vt:variant>
      <vt:variant>
        <vt:i4>336</vt:i4>
      </vt:variant>
      <vt:variant>
        <vt:i4>0</vt:i4>
      </vt:variant>
      <vt:variant>
        <vt:i4>5</vt:i4>
      </vt:variant>
      <vt:variant>
        <vt:lpwstr>https://www.nyc.gov/site/sustainablebuildings/requirements/covered-buildings.page</vt:lpwstr>
      </vt:variant>
      <vt:variant>
        <vt:lpwstr/>
      </vt:variant>
      <vt:variant>
        <vt:i4>5242906</vt:i4>
      </vt:variant>
      <vt:variant>
        <vt:i4>333</vt:i4>
      </vt:variant>
      <vt:variant>
        <vt:i4>0</vt:i4>
      </vt:variant>
      <vt:variant>
        <vt:i4>5</vt:i4>
      </vt:variant>
      <vt:variant>
        <vt:lpwstr>https://www.onenineelms.co.uk/2023/03/10/how-many-buildings-are-in-new-york/</vt:lpwstr>
      </vt:variant>
      <vt:variant>
        <vt:lpwstr>:~:text=An%20Overview%20of%20the%20Buildings%20in%20NYC&amp;text=According%20to%20one%20estimate%2C%20there,buildings%20within%20the%20city%20limits.</vt:lpwstr>
      </vt:variant>
      <vt:variant>
        <vt:i4>4587527</vt:i4>
      </vt:variant>
      <vt:variant>
        <vt:i4>330</vt:i4>
      </vt:variant>
      <vt:variant>
        <vt:i4>0</vt:i4>
      </vt:variant>
      <vt:variant>
        <vt:i4>5</vt:i4>
      </vt:variant>
      <vt:variant>
        <vt:lpwstr>https://www.dgs.ca.gov/OS/Resources/Page-Content/Office-of-Sustainability-Resources-List-Folder/California-LEED-Certified-State-Buildings</vt:lpwstr>
      </vt:variant>
      <vt:variant>
        <vt:lpwstr/>
      </vt:variant>
      <vt:variant>
        <vt:i4>6946917</vt:i4>
      </vt:variant>
      <vt:variant>
        <vt:i4>327</vt:i4>
      </vt:variant>
      <vt:variant>
        <vt:i4>0</vt:i4>
      </vt:variant>
      <vt:variant>
        <vt:i4>5</vt:i4>
      </vt:variant>
      <vt:variant>
        <vt:lpwstr>https://sustainable.dc.gov/sites/default/files/dc/sites/sustainable/page_content/attachments/SDC Final Plan_0.pdf</vt:lpwstr>
      </vt:variant>
      <vt:variant>
        <vt:lpwstr/>
      </vt:variant>
      <vt:variant>
        <vt:i4>6488113</vt:i4>
      </vt:variant>
      <vt:variant>
        <vt:i4>324</vt:i4>
      </vt:variant>
      <vt:variant>
        <vt:i4>0</vt:i4>
      </vt:variant>
      <vt:variant>
        <vt:i4>5</vt:i4>
      </vt:variant>
      <vt:variant>
        <vt:lpwstr>https://www.corporatesustainabilitystrategies.com/wp-content/uploads/2016/01/Assessing-the-Value-of-Green-Buildings.pdf</vt:lpwstr>
      </vt:variant>
      <vt:variant>
        <vt:lpwstr/>
      </vt:variant>
      <vt:variant>
        <vt:i4>5177439</vt:i4>
      </vt:variant>
      <vt:variant>
        <vt:i4>321</vt:i4>
      </vt:variant>
      <vt:variant>
        <vt:i4>0</vt:i4>
      </vt:variant>
      <vt:variant>
        <vt:i4>5</vt:i4>
      </vt:variant>
      <vt:variant>
        <vt:lpwstr>https://css.umich.edu/publications/factsheets/built-environment/commercial-buildings-factsheet</vt:lpwstr>
      </vt:variant>
      <vt:variant>
        <vt:lpwstr>:~:text=In%20the%20U.S.%2C%205.9%20million,in%20floor%20space%20since%201979.&amp;text=By%202050%2C%20commercial%20building%20floor,a%2035%25%20increase%20from%202021.</vt:lpwstr>
      </vt:variant>
      <vt:variant>
        <vt:i4>6488113</vt:i4>
      </vt:variant>
      <vt:variant>
        <vt:i4>318</vt:i4>
      </vt:variant>
      <vt:variant>
        <vt:i4>0</vt:i4>
      </vt:variant>
      <vt:variant>
        <vt:i4>5</vt:i4>
      </vt:variant>
      <vt:variant>
        <vt:lpwstr>https://www.corporatesustainabilitystrategies.com/wp-content/uploads/2016/01/Assessing-the-Value-of-Green-Buildings.pdf</vt:lpwstr>
      </vt:variant>
      <vt:variant>
        <vt:lpwstr/>
      </vt:variant>
      <vt:variant>
        <vt:i4>1507394</vt:i4>
      </vt:variant>
      <vt:variant>
        <vt:i4>315</vt:i4>
      </vt:variant>
      <vt:variant>
        <vt:i4>0</vt:i4>
      </vt:variant>
      <vt:variant>
        <vt:i4>5</vt:i4>
      </vt:variant>
      <vt:variant>
        <vt:lpwstr>https://www.energystar.gov/ia/partners/publications/pubdocs/Summary_of_the_Financial_Benefits_23June06_FINAL.pdf</vt:lpwstr>
      </vt:variant>
      <vt:variant>
        <vt:lpwstr/>
      </vt:variant>
      <vt:variant>
        <vt:i4>4194349</vt:i4>
      </vt:variant>
      <vt:variant>
        <vt:i4>312</vt:i4>
      </vt:variant>
      <vt:variant>
        <vt:i4>0</vt:i4>
      </vt:variant>
      <vt:variant>
        <vt:i4>5</vt:i4>
      </vt:variant>
      <vt:variant>
        <vt:lpwstr>https://iea.blob.core.windows.net/assets/3470b395-cfdd-44a9-9184-0537cf069c3d/Japan2021_EnergyPolicyReview.pdf</vt:lpwstr>
      </vt:variant>
      <vt:variant>
        <vt:lpwstr/>
      </vt:variant>
      <vt:variant>
        <vt:i4>1966109</vt:i4>
      </vt:variant>
      <vt:variant>
        <vt:i4>309</vt:i4>
      </vt:variant>
      <vt:variant>
        <vt:i4>0</vt:i4>
      </vt:variant>
      <vt:variant>
        <vt:i4>5</vt:i4>
      </vt:variant>
      <vt:variant>
        <vt:lpwstr>https://epbd-ca.eu/ca-outcomes/outcomes-2015-2018/book-2018/countries/norway</vt:lpwstr>
      </vt:variant>
      <vt:variant>
        <vt:lpwstr/>
      </vt:variant>
      <vt:variant>
        <vt:i4>3670075</vt:i4>
      </vt:variant>
      <vt:variant>
        <vt:i4>306</vt:i4>
      </vt:variant>
      <vt:variant>
        <vt:i4>0</vt:i4>
      </vt:variant>
      <vt:variant>
        <vt:i4>5</vt:i4>
      </vt:variant>
      <vt:variant>
        <vt:lpwstr>https://www.gov.uk/government/news/energy-efficiency-what-you-need-to-know</vt:lpwstr>
      </vt:variant>
      <vt:variant>
        <vt:lpwstr/>
      </vt:variant>
      <vt:variant>
        <vt:i4>3276855</vt:i4>
      </vt:variant>
      <vt:variant>
        <vt:i4>303</vt:i4>
      </vt:variant>
      <vt:variant>
        <vt:i4>0</vt:i4>
      </vt:variant>
      <vt:variant>
        <vt:i4>5</vt:i4>
      </vt:variant>
      <vt:variant>
        <vt:lpwstr>https://www.energystar.gov/sites/default/files/buildings/tools/DataTrends_Savings_20121002.pdf</vt:lpwstr>
      </vt:variant>
      <vt:variant>
        <vt:lpwstr/>
      </vt:variant>
      <vt:variant>
        <vt:i4>4456453</vt:i4>
      </vt:variant>
      <vt:variant>
        <vt:i4>300</vt:i4>
      </vt:variant>
      <vt:variant>
        <vt:i4>0</vt:i4>
      </vt:variant>
      <vt:variant>
        <vt:i4>5</vt:i4>
      </vt:variant>
      <vt:variant>
        <vt:lpwstr>https://www.mdpi.com/2071-1050/7/12/16086</vt:lpwstr>
      </vt:variant>
      <vt:variant>
        <vt:lpwstr/>
      </vt:variant>
      <vt:variant>
        <vt:i4>4194349</vt:i4>
      </vt:variant>
      <vt:variant>
        <vt:i4>297</vt:i4>
      </vt:variant>
      <vt:variant>
        <vt:i4>0</vt:i4>
      </vt:variant>
      <vt:variant>
        <vt:i4>5</vt:i4>
      </vt:variant>
      <vt:variant>
        <vt:lpwstr>https://iea.blob.core.windows.net/assets/3470b395-cfdd-44a9-9184-0537cf069c3d/Japan2021_EnergyPolicyReview.pdf</vt:lpwstr>
      </vt:variant>
      <vt:variant>
        <vt:lpwstr/>
      </vt:variant>
      <vt:variant>
        <vt:i4>589909</vt:i4>
      </vt:variant>
      <vt:variant>
        <vt:i4>294</vt:i4>
      </vt:variant>
      <vt:variant>
        <vt:i4>0</vt:i4>
      </vt:variant>
      <vt:variant>
        <vt:i4>5</vt:i4>
      </vt:variant>
      <vt:variant>
        <vt:lpwstr>https://www.oecd.org/env/cc/47514572.pdf</vt:lpwstr>
      </vt:variant>
      <vt:variant>
        <vt:lpwstr/>
      </vt:variant>
      <vt:variant>
        <vt:i4>4980751</vt:i4>
      </vt:variant>
      <vt:variant>
        <vt:i4>291</vt:i4>
      </vt:variant>
      <vt:variant>
        <vt:i4>0</vt:i4>
      </vt:variant>
      <vt:variant>
        <vt:i4>5</vt:i4>
      </vt:variant>
      <vt:variant>
        <vt:lpwstr>https://link.springer.com/article/10.1007/s10018-020-00271-w</vt:lpwstr>
      </vt:variant>
      <vt:variant>
        <vt:lpwstr/>
      </vt:variant>
      <vt:variant>
        <vt:i4>3276855</vt:i4>
      </vt:variant>
      <vt:variant>
        <vt:i4>288</vt:i4>
      </vt:variant>
      <vt:variant>
        <vt:i4>0</vt:i4>
      </vt:variant>
      <vt:variant>
        <vt:i4>5</vt:i4>
      </vt:variant>
      <vt:variant>
        <vt:lpwstr>https://www.energystar.gov/sites/default/files/buildings/tools/DataTrends_Savings_20121002.pdf</vt:lpwstr>
      </vt:variant>
      <vt:variant>
        <vt:lpwstr/>
      </vt:variant>
      <vt:variant>
        <vt:i4>7929964</vt:i4>
      </vt:variant>
      <vt:variant>
        <vt:i4>285</vt:i4>
      </vt:variant>
      <vt:variant>
        <vt:i4>0</vt:i4>
      </vt:variant>
      <vt:variant>
        <vt:i4>5</vt:i4>
      </vt:variant>
      <vt:variant>
        <vt:lpwstr>https://dc.beam-portal.org/helpdesk/kb/BEPS/79/</vt:lpwstr>
      </vt:variant>
      <vt:variant>
        <vt:lpwstr/>
      </vt:variant>
      <vt:variant>
        <vt:i4>7929964</vt:i4>
      </vt:variant>
      <vt:variant>
        <vt:i4>282</vt:i4>
      </vt:variant>
      <vt:variant>
        <vt:i4>0</vt:i4>
      </vt:variant>
      <vt:variant>
        <vt:i4>5</vt:i4>
      </vt:variant>
      <vt:variant>
        <vt:lpwstr>https://dc.beam-portal.org/helpdesk/kb/BEPS/79/</vt:lpwstr>
      </vt:variant>
      <vt:variant>
        <vt:lpwstr/>
      </vt:variant>
      <vt:variant>
        <vt:i4>3473443</vt:i4>
      </vt:variant>
      <vt:variant>
        <vt:i4>279</vt:i4>
      </vt:variant>
      <vt:variant>
        <vt:i4>0</vt:i4>
      </vt:variant>
      <vt:variant>
        <vt:i4>5</vt:i4>
      </vt:variant>
      <vt:variant>
        <vt:lpwstr>https://journal-buildingscities.org/articles/10.5334/bc.139</vt:lpwstr>
      </vt:variant>
      <vt:variant>
        <vt:lpwstr/>
      </vt:variant>
      <vt:variant>
        <vt:i4>2228324</vt:i4>
      </vt:variant>
      <vt:variant>
        <vt:i4>276</vt:i4>
      </vt:variant>
      <vt:variant>
        <vt:i4>0</vt:i4>
      </vt:variant>
      <vt:variant>
        <vt:i4>5</vt:i4>
      </vt:variant>
      <vt:variant>
        <vt:lpwstr>https://energyadvicehub.org/esos-faqs/</vt:lpwstr>
      </vt:variant>
      <vt:variant>
        <vt:lpwstr/>
      </vt:variant>
      <vt:variant>
        <vt:i4>5701737</vt:i4>
      </vt:variant>
      <vt:variant>
        <vt:i4>273</vt:i4>
      </vt:variant>
      <vt:variant>
        <vt:i4>0</vt:i4>
      </vt:variant>
      <vt:variant>
        <vt:i4>5</vt:i4>
      </vt:variant>
      <vt:variant>
        <vt:lpwstr>https://assets.publishing.service.gov.uk/government/uploads/system/uploads/attachment_data/file/970519/performance-based-policy-framework-ci-buildings--strategy-paper.pdf</vt:lpwstr>
      </vt:variant>
      <vt:variant>
        <vt:lpwstr/>
      </vt:variant>
      <vt:variant>
        <vt:i4>2556028</vt:i4>
      </vt:variant>
      <vt:variant>
        <vt:i4>270</vt:i4>
      </vt:variant>
      <vt:variant>
        <vt:i4>0</vt:i4>
      </vt:variant>
      <vt:variant>
        <vt:i4>5</vt:i4>
      </vt:variant>
      <vt:variant>
        <vt:lpwstr>https://www.theccc.org.uk/publication/reducing-uk-emissions-2020-progress-report-to-parliament/</vt:lpwstr>
      </vt:variant>
      <vt:variant>
        <vt:lpwstr/>
      </vt:variant>
      <vt:variant>
        <vt:i4>5636185</vt:i4>
      </vt:variant>
      <vt:variant>
        <vt:i4>267</vt:i4>
      </vt:variant>
      <vt:variant>
        <vt:i4>0</vt:i4>
      </vt:variant>
      <vt:variant>
        <vt:i4>5</vt:i4>
      </vt:variant>
      <vt:variant>
        <vt:lpwstr>https://www.thegef.org/sites/default/files/publications/EEBuilding_WEB_2.pdf</vt:lpwstr>
      </vt:variant>
      <vt:variant>
        <vt:lpwstr/>
      </vt:variant>
      <vt:variant>
        <vt:i4>8257590</vt:i4>
      </vt:variant>
      <vt:variant>
        <vt:i4>264</vt:i4>
      </vt:variant>
      <vt:variant>
        <vt:i4>0</vt:i4>
      </vt:variant>
      <vt:variant>
        <vt:i4>5</vt:i4>
      </vt:variant>
      <vt:variant>
        <vt:lpwstr>https://energypost.eu/eu-buildings-renovations-get-ready-for-minimum-energy-performance-standards-meps/</vt:lpwstr>
      </vt:variant>
      <vt:variant>
        <vt:lpwstr/>
      </vt:variant>
      <vt:variant>
        <vt:i4>2752551</vt:i4>
      </vt:variant>
      <vt:variant>
        <vt:i4>261</vt:i4>
      </vt:variant>
      <vt:variant>
        <vt:i4>0</vt:i4>
      </vt:variant>
      <vt:variant>
        <vt:i4>5</vt:i4>
      </vt:variant>
      <vt:variant>
        <vt:lpwstr>https://www.consilium.europa.eu/en/press/press-releases/2022/10/25/fit-for-55-council-agrees-on-stricter-rules-for-energy-performance-of-buildings/</vt:lpwstr>
      </vt:variant>
      <vt:variant>
        <vt:lpwstr/>
      </vt:variant>
      <vt:variant>
        <vt:i4>7340131</vt:i4>
      </vt:variant>
      <vt:variant>
        <vt:i4>258</vt:i4>
      </vt:variant>
      <vt:variant>
        <vt:i4>0</vt:i4>
      </vt:variant>
      <vt:variant>
        <vt:i4>5</vt:i4>
      </vt:variant>
      <vt:variant>
        <vt:lpwstr>https://dc.beam-portal.org/helpdesk/kb/BEPS/80/</vt:lpwstr>
      </vt:variant>
      <vt:variant>
        <vt:lpwstr/>
      </vt:variant>
      <vt:variant>
        <vt:i4>4194349</vt:i4>
      </vt:variant>
      <vt:variant>
        <vt:i4>255</vt:i4>
      </vt:variant>
      <vt:variant>
        <vt:i4>0</vt:i4>
      </vt:variant>
      <vt:variant>
        <vt:i4>5</vt:i4>
      </vt:variant>
      <vt:variant>
        <vt:lpwstr>https://iea.blob.core.windows.net/assets/3470b395-cfdd-44a9-9184-0537cf069c3d/Japan2021_EnergyPolicyReview.pdf</vt:lpwstr>
      </vt:variant>
      <vt:variant>
        <vt:lpwstr/>
      </vt:variant>
      <vt:variant>
        <vt:i4>4128843</vt:i4>
      </vt:variant>
      <vt:variant>
        <vt:i4>252</vt:i4>
      </vt:variant>
      <vt:variant>
        <vt:i4>0</vt:i4>
      </vt:variant>
      <vt:variant>
        <vt:i4>5</vt:i4>
      </vt:variant>
      <vt:variant>
        <vt:lpwstr>https://dco.energy.or.kr/renew_eng/energy/buildings/worksheet.aspx</vt:lpwstr>
      </vt:variant>
      <vt:variant>
        <vt:lpwstr/>
      </vt:variant>
      <vt:variant>
        <vt:i4>6553696</vt:i4>
      </vt:variant>
      <vt:variant>
        <vt:i4>249</vt:i4>
      </vt:variant>
      <vt:variant>
        <vt:i4>0</vt:i4>
      </vt:variant>
      <vt:variant>
        <vt:i4>5</vt:i4>
      </vt:variant>
      <vt:variant>
        <vt:lpwstr>https://www.bmwk.de/Redaktion/EN/Dossier/enhancing-energy-efficiency-in-buildings.html</vt:lpwstr>
      </vt:variant>
      <vt:variant>
        <vt:lpwstr/>
      </vt:variant>
      <vt:variant>
        <vt:i4>6946858</vt:i4>
      </vt:variant>
      <vt:variant>
        <vt:i4>246</vt:i4>
      </vt:variant>
      <vt:variant>
        <vt:i4>0</vt:i4>
      </vt:variant>
      <vt:variant>
        <vt:i4>5</vt:i4>
      </vt:variant>
      <vt:variant>
        <vt:lpwstr>https://ec.europa.eu/commission/presscorner/detail/en/mex_23_1301</vt:lpwstr>
      </vt:variant>
      <vt:variant>
        <vt:lpwstr/>
      </vt:variant>
      <vt:variant>
        <vt:i4>786513</vt:i4>
      </vt:variant>
      <vt:variant>
        <vt:i4>243</vt:i4>
      </vt:variant>
      <vt:variant>
        <vt:i4>0</vt:i4>
      </vt:variant>
      <vt:variant>
        <vt:i4>5</vt:i4>
      </vt:variant>
      <vt:variant>
        <vt:lpwstr>https://www.consilium.europa.eu/en/infographics/fit-for-55-social-climate-fund/</vt:lpwstr>
      </vt:variant>
      <vt:variant>
        <vt:lpwstr>:~:text=The%20fund%20will%20help%20tackle,prices%20that%20started%20in%202021.</vt:lpwstr>
      </vt:variant>
      <vt:variant>
        <vt:i4>7405676</vt:i4>
      </vt:variant>
      <vt:variant>
        <vt:i4>240</vt:i4>
      </vt:variant>
      <vt:variant>
        <vt:i4>0</vt:i4>
      </vt:variant>
      <vt:variant>
        <vt:i4>5</vt:i4>
      </vt:variant>
      <vt:variant>
        <vt:lpwstr>https://senergys.de/en/what-is-the-federal-funding-for-efficient-buildings-beg/</vt:lpwstr>
      </vt:variant>
      <vt:variant>
        <vt:lpwstr/>
      </vt:variant>
      <vt:variant>
        <vt:i4>131167</vt:i4>
      </vt:variant>
      <vt:variant>
        <vt:i4>237</vt:i4>
      </vt:variant>
      <vt:variant>
        <vt:i4>0</vt:i4>
      </vt:variant>
      <vt:variant>
        <vt:i4>5</vt:i4>
      </vt:variant>
      <vt:variant>
        <vt:lpwstr>https://www.gov.uk/guidance/apply-for-the-green-homes-grant-scheme</vt:lpwstr>
      </vt:variant>
      <vt:variant>
        <vt:lpwstr>:~:text=Your%20voucher%20covers%20up%20to,cost%20of%20your%20chosen%20improvements.</vt:lpwstr>
      </vt:variant>
      <vt:variant>
        <vt:i4>6225989</vt:i4>
      </vt:variant>
      <vt:variant>
        <vt:i4>234</vt:i4>
      </vt:variant>
      <vt:variant>
        <vt:i4>0</vt:i4>
      </vt:variant>
      <vt:variant>
        <vt:i4>5</vt:i4>
      </vt:variant>
      <vt:variant>
        <vt:lpwstr>https://assets.kpmg.com/content/dam/kpmg/us/pdf/2022/12/tnf-fit-55-dec22-2022.pdf</vt:lpwstr>
      </vt:variant>
      <vt:variant>
        <vt:lpwstr/>
      </vt:variant>
      <vt:variant>
        <vt:i4>4980751</vt:i4>
      </vt:variant>
      <vt:variant>
        <vt:i4>231</vt:i4>
      </vt:variant>
      <vt:variant>
        <vt:i4>0</vt:i4>
      </vt:variant>
      <vt:variant>
        <vt:i4>5</vt:i4>
      </vt:variant>
      <vt:variant>
        <vt:lpwstr>https://link.springer.com/article/10.1007/s10018-020-00271-w</vt:lpwstr>
      </vt:variant>
      <vt:variant>
        <vt:lpwstr/>
      </vt:variant>
      <vt:variant>
        <vt:i4>3735653</vt:i4>
      </vt:variant>
      <vt:variant>
        <vt:i4>228</vt:i4>
      </vt:variant>
      <vt:variant>
        <vt:i4>0</vt:i4>
      </vt:variant>
      <vt:variant>
        <vt:i4>5</vt:i4>
      </vt:variant>
      <vt:variant>
        <vt:lpwstr>https://www.burohappold.com/news/how-denmark-leads-the-way-in-decarbonising-the-construction-industry/</vt:lpwstr>
      </vt:variant>
      <vt:variant>
        <vt:lpwstr/>
      </vt:variant>
      <vt:variant>
        <vt:i4>4128776</vt:i4>
      </vt:variant>
      <vt:variant>
        <vt:i4>225</vt:i4>
      </vt:variant>
      <vt:variant>
        <vt:i4>0</vt:i4>
      </vt:variant>
      <vt:variant>
        <vt:i4>5</vt:i4>
      </vt:variant>
      <vt:variant>
        <vt:lpwstr>https://www.energy.ca.gov/sites/default/files/2022-12/CEC-400-2022-010_CMF.pdf</vt:lpwstr>
      </vt:variant>
      <vt:variant>
        <vt:lpwstr/>
      </vt:variant>
      <vt:variant>
        <vt:i4>589836</vt:i4>
      </vt:variant>
      <vt:variant>
        <vt:i4>222</vt:i4>
      </vt:variant>
      <vt:variant>
        <vt:i4>0</vt:i4>
      </vt:variant>
      <vt:variant>
        <vt:i4>5</vt:i4>
      </vt:variant>
      <vt:variant>
        <vt:lpwstr>https://www.raponline.org/wp-content/uploads/2020/07/rap-ls-ms-meps-case-studies-2020-july-28.pdf</vt:lpwstr>
      </vt:variant>
      <vt:variant>
        <vt:lpwstr/>
      </vt:variant>
      <vt:variant>
        <vt:i4>1769567</vt:i4>
      </vt:variant>
      <vt:variant>
        <vt:i4>219</vt:i4>
      </vt:variant>
      <vt:variant>
        <vt:i4>0</vt:i4>
      </vt:variant>
      <vt:variant>
        <vt:i4>5</vt:i4>
      </vt:variant>
      <vt:variant>
        <vt:lpwstr>https://centaur.reading.ac.uk/111089/</vt:lpwstr>
      </vt:variant>
      <vt:variant>
        <vt:lpwstr/>
      </vt:variant>
      <vt:variant>
        <vt:i4>4194349</vt:i4>
      </vt:variant>
      <vt:variant>
        <vt:i4>216</vt:i4>
      </vt:variant>
      <vt:variant>
        <vt:i4>0</vt:i4>
      </vt:variant>
      <vt:variant>
        <vt:i4>5</vt:i4>
      </vt:variant>
      <vt:variant>
        <vt:lpwstr>https://iea.blob.core.windows.net/assets/3470b395-cfdd-44a9-9184-0537cf069c3d/Japan2021_EnergyPolicyReview.pdf</vt:lpwstr>
      </vt:variant>
      <vt:variant>
        <vt:lpwstr/>
      </vt:variant>
      <vt:variant>
        <vt:i4>6225945</vt:i4>
      </vt:variant>
      <vt:variant>
        <vt:i4>213</vt:i4>
      </vt:variant>
      <vt:variant>
        <vt:i4>0</vt:i4>
      </vt:variant>
      <vt:variant>
        <vt:i4>5</vt:i4>
      </vt:variant>
      <vt:variant>
        <vt:lpwstr>https://www.simmons-simmons.com/en/publications/ckmxbrsri18pm0a34fznd79y4/mees-implementing-the-epc-b-target-by-2030v</vt:lpwstr>
      </vt:variant>
      <vt:variant>
        <vt:lpwstr/>
      </vt:variant>
      <vt:variant>
        <vt:i4>6225945</vt:i4>
      </vt:variant>
      <vt:variant>
        <vt:i4>210</vt:i4>
      </vt:variant>
      <vt:variant>
        <vt:i4>0</vt:i4>
      </vt:variant>
      <vt:variant>
        <vt:i4>5</vt:i4>
      </vt:variant>
      <vt:variant>
        <vt:lpwstr>https://www.simmons-simmons.com/en/publications/ckmxbrsri18pm0a34fznd79y4/mees-implementing-the-epc-b-target-by-2030v</vt:lpwstr>
      </vt:variant>
      <vt:variant>
        <vt:lpwstr/>
      </vt:variant>
      <vt:variant>
        <vt:i4>1835017</vt:i4>
      </vt:variant>
      <vt:variant>
        <vt:i4>207</vt:i4>
      </vt:variant>
      <vt:variant>
        <vt:i4>0</vt:i4>
      </vt:variant>
      <vt:variant>
        <vt:i4>5</vt:i4>
      </vt:variant>
      <vt:variant>
        <vt:lpwstr>https://eur-lex.europa.eu/legal-content/EN/TXT/PDF/?uri=CELEX:32010L0031</vt:lpwstr>
      </vt:variant>
      <vt:variant>
        <vt:lpwstr/>
      </vt:variant>
      <vt:variant>
        <vt:i4>983043</vt:i4>
      </vt:variant>
      <vt:variant>
        <vt:i4>204</vt:i4>
      </vt:variant>
      <vt:variant>
        <vt:i4>0</vt:i4>
      </vt:variant>
      <vt:variant>
        <vt:i4>5</vt:i4>
      </vt:variant>
      <vt:variant>
        <vt:lpwstr>https://www.gov.uk/guidance/domestic-private-rented-property-minimum-energy-efficiency-standard-landlord-guidance</vt:lpwstr>
      </vt:variant>
      <vt:variant>
        <vt:lpwstr/>
      </vt:variant>
      <vt:variant>
        <vt:i4>458757</vt:i4>
      </vt:variant>
      <vt:variant>
        <vt:i4>201</vt:i4>
      </vt:variant>
      <vt:variant>
        <vt:i4>0</vt:i4>
      </vt:variant>
      <vt:variant>
        <vt:i4>5</vt:i4>
      </vt:variant>
      <vt:variant>
        <vt:lpwstr>https://www.gov.uk/buy-sell-your-home/energy-performance-certificates</vt:lpwstr>
      </vt:variant>
      <vt:variant>
        <vt:lpwstr/>
      </vt:variant>
      <vt:variant>
        <vt:i4>1048605</vt:i4>
      </vt:variant>
      <vt:variant>
        <vt:i4>198</vt:i4>
      </vt:variant>
      <vt:variant>
        <vt:i4>0</vt:i4>
      </vt:variant>
      <vt:variant>
        <vt:i4>5</vt:i4>
      </vt:variant>
      <vt:variant>
        <vt:lpwstr>https://www.oeko.de/fileadmin/oekodoc/Phase-out_fossil_heating.pdf</vt:lpwstr>
      </vt:variant>
      <vt:variant>
        <vt:lpwstr/>
      </vt:variant>
      <vt:variant>
        <vt:i4>4587588</vt:i4>
      </vt:variant>
      <vt:variant>
        <vt:i4>195</vt:i4>
      </vt:variant>
      <vt:variant>
        <vt:i4>0</vt:i4>
      </vt:variant>
      <vt:variant>
        <vt:i4>5</vt:i4>
      </vt:variant>
      <vt:variant>
        <vt:lpwstr>https://iea.blob.core.windows.net/assets/993f67a2-054e-41ba-9adb-f782358a4e73/3.JapansRoadmaptoCarbonNeutralityintheBuildingandHousingSectors.pdf</vt:lpwstr>
      </vt:variant>
      <vt:variant>
        <vt:lpwstr/>
      </vt:variant>
      <vt:variant>
        <vt:i4>6553696</vt:i4>
      </vt:variant>
      <vt:variant>
        <vt:i4>192</vt:i4>
      </vt:variant>
      <vt:variant>
        <vt:i4>0</vt:i4>
      </vt:variant>
      <vt:variant>
        <vt:i4>5</vt:i4>
      </vt:variant>
      <vt:variant>
        <vt:lpwstr>https://www.bmwk.de/Redaktion/EN/Dossier/enhancing-energy-efficiency-in-buildings.html</vt:lpwstr>
      </vt:variant>
      <vt:variant>
        <vt:lpwstr/>
      </vt:variant>
      <vt:variant>
        <vt:i4>1048605</vt:i4>
      </vt:variant>
      <vt:variant>
        <vt:i4>189</vt:i4>
      </vt:variant>
      <vt:variant>
        <vt:i4>0</vt:i4>
      </vt:variant>
      <vt:variant>
        <vt:i4>5</vt:i4>
      </vt:variant>
      <vt:variant>
        <vt:lpwstr>https://www.oeko.de/fileadmin/oekodoc/Phase-out_fossil_heating.pdf</vt:lpwstr>
      </vt:variant>
      <vt:variant>
        <vt:lpwstr/>
      </vt:variant>
      <vt:variant>
        <vt:i4>7012398</vt:i4>
      </vt:variant>
      <vt:variant>
        <vt:i4>186</vt:i4>
      </vt:variant>
      <vt:variant>
        <vt:i4>0</vt:i4>
      </vt:variant>
      <vt:variant>
        <vt:i4>5</vt:i4>
      </vt:variant>
      <vt:variant>
        <vt:lpwstr>https://www.energy.gov.au/sites/default/files/BEET 10 Minimum Energy Standards for Rented Properties - An International Review.pdf</vt:lpwstr>
      </vt:variant>
      <vt:variant>
        <vt:lpwstr/>
      </vt:variant>
      <vt:variant>
        <vt:i4>2752550</vt:i4>
      </vt:variant>
      <vt:variant>
        <vt:i4>183</vt:i4>
      </vt:variant>
      <vt:variant>
        <vt:i4>0</vt:i4>
      </vt:variant>
      <vt:variant>
        <vt:i4>5</vt:i4>
      </vt:variant>
      <vt:variant>
        <vt:lpwstr>https://reader.elsevier.com/reader/sd/pii/S0959652623005000?token=26FCA4B48D829506034D2F13497AE62E49154E90AEA059F484B008165BF1087C05E98273698A65F88105A2BA41A9755D&amp;originRegion=us-east-1&amp;originCreation=20230411062920</vt:lpwstr>
      </vt:variant>
      <vt:variant>
        <vt:lpwstr/>
      </vt:variant>
      <vt:variant>
        <vt:i4>1376366</vt:i4>
      </vt:variant>
      <vt:variant>
        <vt:i4>180</vt:i4>
      </vt:variant>
      <vt:variant>
        <vt:i4>0</vt:i4>
      </vt:variant>
      <vt:variant>
        <vt:i4>5</vt:i4>
      </vt:variant>
      <vt:variant>
        <vt:lpwstr>https://urldefense.com/v3/__https:/www.raponline.org/wp-content/uploads/2021/03/rap-meps-germany-2021-march.pdf__;!!E1R1dd1bLLODlQ4!CxnEV-Z8WNqt-Sno-6xYqUqfXIrx-ddZOEjt0_GRe0Fu3EeAmZ1Pq6-Rtaq4_McQsUT8hiIcDyHLbGKMjldDaQN4oKq7pcZ8_w$</vt:lpwstr>
      </vt:variant>
      <vt:variant>
        <vt:lpwstr/>
      </vt:variant>
      <vt:variant>
        <vt:i4>5570640</vt:i4>
      </vt:variant>
      <vt:variant>
        <vt:i4>177</vt:i4>
      </vt:variant>
      <vt:variant>
        <vt:i4>0</vt:i4>
      </vt:variant>
      <vt:variant>
        <vt:i4>5</vt:i4>
      </vt:variant>
      <vt:variant>
        <vt:lpwstr>https://www.raponline.org/wp-content/uploads/2021/03/rap-meps-germany-2021-march.pdf</vt:lpwstr>
      </vt:variant>
      <vt:variant>
        <vt:lpwstr/>
      </vt:variant>
      <vt:variant>
        <vt:i4>4128816</vt:i4>
      </vt:variant>
      <vt:variant>
        <vt:i4>174</vt:i4>
      </vt:variant>
      <vt:variant>
        <vt:i4>0</vt:i4>
      </vt:variant>
      <vt:variant>
        <vt:i4>5</vt:i4>
      </vt:variant>
      <vt:variant>
        <vt:lpwstr>https://www.dcceew.gov.au/sites/default/files/documents/minimum-energy-standards-rented-properties-international-review.pdf</vt:lpwstr>
      </vt:variant>
      <vt:variant>
        <vt:lpwstr/>
      </vt:variant>
      <vt:variant>
        <vt:i4>5701737</vt:i4>
      </vt:variant>
      <vt:variant>
        <vt:i4>171</vt:i4>
      </vt:variant>
      <vt:variant>
        <vt:i4>0</vt:i4>
      </vt:variant>
      <vt:variant>
        <vt:i4>5</vt:i4>
      </vt:variant>
      <vt:variant>
        <vt:lpwstr>https://assets.publishing.service.gov.uk/government/uploads/system/uploads/attachment_data/file/970519/performance-based-policy-framework-ci-buildings--strategy-paper.pdf</vt:lpwstr>
      </vt:variant>
      <vt:variant>
        <vt:lpwstr/>
      </vt:variant>
      <vt:variant>
        <vt:i4>7667808</vt:i4>
      </vt:variant>
      <vt:variant>
        <vt:i4>168</vt:i4>
      </vt:variant>
      <vt:variant>
        <vt:i4>0</vt:i4>
      </vt:variant>
      <vt:variant>
        <vt:i4>5</vt:i4>
      </vt:variant>
      <vt:variant>
        <vt:lpwstr>https://energyadvicehub.org/nabers-uk-energy-efficiency-rating-scheme-for-uk-offices-launches-to-help-businesses-meet-net-zero/</vt:lpwstr>
      </vt:variant>
      <vt:variant>
        <vt:lpwstr/>
      </vt:variant>
      <vt:variant>
        <vt:i4>6881387</vt:i4>
      </vt:variant>
      <vt:variant>
        <vt:i4>165</vt:i4>
      </vt:variant>
      <vt:variant>
        <vt:i4>0</vt:i4>
      </vt:variant>
      <vt:variant>
        <vt:i4>5</vt:i4>
      </vt:variant>
      <vt:variant>
        <vt:lpwstr>https://www.toronto.ca/business-economy/business-operation-growth/green-your-business/energy-and-water-reporting-and-benchmarking/</vt:lpwstr>
      </vt:variant>
      <vt:variant>
        <vt:lpwstr/>
      </vt:variant>
      <vt:variant>
        <vt:i4>7405630</vt:i4>
      </vt:variant>
      <vt:variant>
        <vt:i4>159</vt:i4>
      </vt:variant>
      <vt:variant>
        <vt:i4>0</vt:i4>
      </vt:variant>
      <vt:variant>
        <vt:i4>5</vt:i4>
      </vt:variant>
      <vt:variant>
        <vt:lpwstr>https://energyadvicehub.org/explained-the-new-mandatory-energy-performance-rating-framework-for-large-commercial-and-industrial-buildings/</vt:lpwstr>
      </vt:variant>
      <vt:variant>
        <vt:lpwstr/>
      </vt:variant>
      <vt:variant>
        <vt:i4>2883643</vt:i4>
      </vt:variant>
      <vt:variant>
        <vt:i4>156</vt:i4>
      </vt:variant>
      <vt:variant>
        <vt:i4>0</vt:i4>
      </vt:variant>
      <vt:variant>
        <vt:i4>5</vt:i4>
      </vt:variant>
      <vt:variant>
        <vt:lpwstr>https://assets.publishing.service.gov.uk/government/uploads/system/uploads/attachment_data/file/936567/10_POINT_PLAN_BOOKLET.pdf</vt:lpwstr>
      </vt:variant>
      <vt:variant>
        <vt:lpwstr/>
      </vt:variant>
      <vt:variant>
        <vt:i4>105</vt:i4>
      </vt:variant>
      <vt:variant>
        <vt:i4>153</vt:i4>
      </vt:variant>
      <vt:variant>
        <vt:i4>0</vt:i4>
      </vt:variant>
      <vt:variant>
        <vt:i4>5</vt:i4>
      </vt:variant>
      <vt:variant>
        <vt:lpwstr>https://assets.publishing.service.gov.uk/government/uploads/system/uploads/attachment_data/file/1044598/6.7408_BEIS_Clean_Heat_Heat___Buildings_Strategy_Stage_2_v5_WEB.pdf</vt:lpwstr>
      </vt:variant>
      <vt:variant>
        <vt:lpwstr/>
      </vt:variant>
      <vt:variant>
        <vt:i4>4522011</vt:i4>
      </vt:variant>
      <vt:variant>
        <vt:i4>150</vt:i4>
      </vt:variant>
      <vt:variant>
        <vt:i4>0</vt:i4>
      </vt:variant>
      <vt:variant>
        <vt:i4>5</vt:i4>
      </vt:variant>
      <vt:variant>
        <vt:lpwstr>https://www.cibse.org/policy-insight/consultations/closed-consultations/a-performance-based-policy-framework-in-large-commercial-and-industrial-buildings</vt:lpwstr>
      </vt:variant>
      <vt:variant>
        <vt:lpwstr/>
      </vt:variant>
      <vt:variant>
        <vt:i4>2687007</vt:i4>
      </vt:variant>
      <vt:variant>
        <vt:i4>147</vt:i4>
      </vt:variant>
      <vt:variant>
        <vt:i4>0</vt:i4>
      </vt:variant>
      <vt:variant>
        <vt:i4>5</vt:i4>
      </vt:variant>
      <vt:variant>
        <vt:lpwstr>https://assets.publishing.service.gov.uk/government/uploads/system/uploads/attachment_data/file/970229/Industrial_Decarbonisation_Strategy_March_2021.pdf</vt:lpwstr>
      </vt:variant>
      <vt:variant>
        <vt:lpwstr/>
      </vt:variant>
      <vt:variant>
        <vt:i4>7274592</vt:i4>
      </vt:variant>
      <vt:variant>
        <vt:i4>144</vt:i4>
      </vt:variant>
      <vt:variant>
        <vt:i4>0</vt:i4>
      </vt:variant>
      <vt:variant>
        <vt:i4>5</vt:i4>
      </vt:variant>
      <vt:variant>
        <vt:lpwstr>https://www.mlit.go.jp/common/001134876.pdf</vt:lpwstr>
      </vt:variant>
      <vt:variant>
        <vt:lpwstr/>
      </vt:variant>
      <vt:variant>
        <vt:i4>2490465</vt:i4>
      </vt:variant>
      <vt:variant>
        <vt:i4>141</vt:i4>
      </vt:variant>
      <vt:variant>
        <vt:i4>0</vt:i4>
      </vt:variant>
      <vt:variant>
        <vt:i4>5</vt:i4>
      </vt:variant>
      <vt:variant>
        <vt:lpwstr>https://www.lexology.com/library/detail.aspx?g=2f4b5bb5-72be-4791-b8b8-c8450c87a4da</vt:lpwstr>
      </vt:variant>
      <vt:variant>
        <vt:lpwstr/>
      </vt:variant>
      <vt:variant>
        <vt:i4>7143547</vt:i4>
      </vt:variant>
      <vt:variant>
        <vt:i4>138</vt:i4>
      </vt:variant>
      <vt:variant>
        <vt:i4>0</vt:i4>
      </vt:variant>
      <vt:variant>
        <vt:i4>5</vt:i4>
      </vt:variant>
      <vt:variant>
        <vt:lpwstr>https://energyefficiencyhub.org/wp-content/uploads/2023/02/S1-1.pdf</vt:lpwstr>
      </vt:variant>
      <vt:variant>
        <vt:lpwstr/>
      </vt:variant>
      <vt:variant>
        <vt:i4>7274592</vt:i4>
      </vt:variant>
      <vt:variant>
        <vt:i4>135</vt:i4>
      </vt:variant>
      <vt:variant>
        <vt:i4>0</vt:i4>
      </vt:variant>
      <vt:variant>
        <vt:i4>5</vt:i4>
      </vt:variant>
      <vt:variant>
        <vt:lpwstr>https://www.mlit.go.jp/common/001134876.pdf</vt:lpwstr>
      </vt:variant>
      <vt:variant>
        <vt:lpwstr/>
      </vt:variant>
      <vt:variant>
        <vt:i4>2621475</vt:i4>
      </vt:variant>
      <vt:variant>
        <vt:i4>132</vt:i4>
      </vt:variant>
      <vt:variant>
        <vt:i4>0</vt:i4>
      </vt:variant>
      <vt:variant>
        <vt:i4>5</vt:i4>
      </vt:variant>
      <vt:variant>
        <vt:lpwstr>https://www.iea.org/policies/863-building-energy-efficiency-act</vt:lpwstr>
      </vt:variant>
      <vt:variant>
        <vt:lpwstr/>
      </vt:variant>
      <vt:variant>
        <vt:i4>2031643</vt:i4>
      </vt:variant>
      <vt:variant>
        <vt:i4>129</vt:i4>
      </vt:variant>
      <vt:variant>
        <vt:i4>0</vt:i4>
      </vt:variant>
      <vt:variant>
        <vt:i4>5</vt:i4>
      </vt:variant>
      <vt:variant>
        <vt:lpwstr>https://www.nyc.gov/site/sustainablebuildings/ll97/local-law-97.page</vt:lpwstr>
      </vt:variant>
      <vt:variant>
        <vt:lpwstr>:~:text=Under%20this%20groundbreaking%20law%2C%20most,coming%20into%20effect%20in%202030.</vt:lpwstr>
      </vt:variant>
      <vt:variant>
        <vt:i4>3670136</vt:i4>
      </vt:variant>
      <vt:variant>
        <vt:i4>126</vt:i4>
      </vt:variant>
      <vt:variant>
        <vt:i4>0</vt:i4>
      </vt:variant>
      <vt:variant>
        <vt:i4>5</vt:i4>
      </vt:variant>
      <vt:variant>
        <vt:lpwstr>https://database.aceee.org/state/building-energy-disclosure</vt:lpwstr>
      </vt:variant>
      <vt:variant>
        <vt:lpwstr/>
      </vt:variant>
      <vt:variant>
        <vt:i4>4128802</vt:i4>
      </vt:variant>
      <vt:variant>
        <vt:i4>123</vt:i4>
      </vt:variant>
      <vt:variant>
        <vt:i4>0</vt:i4>
      </vt:variant>
      <vt:variant>
        <vt:i4>5</vt:i4>
      </vt:variant>
      <vt:variant>
        <vt:lpwstr>https://www.commerce.wa.gov/growing-the-economy/energy/buildings/how-to-comply/</vt:lpwstr>
      </vt:variant>
      <vt:variant>
        <vt:lpwstr/>
      </vt:variant>
      <vt:variant>
        <vt:i4>6684782</vt:i4>
      </vt:variant>
      <vt:variant>
        <vt:i4>120</vt:i4>
      </vt:variant>
      <vt:variant>
        <vt:i4>0</vt:i4>
      </vt:variant>
      <vt:variant>
        <vt:i4>5</vt:i4>
      </vt:variant>
      <vt:variant>
        <vt:lpwstr>https://opendata.dc.gov/pages/mayor-environment</vt:lpwstr>
      </vt:variant>
      <vt:variant>
        <vt:lpwstr/>
      </vt:variant>
      <vt:variant>
        <vt:i4>3211307</vt:i4>
      </vt:variant>
      <vt:variant>
        <vt:i4>117</vt:i4>
      </vt:variant>
      <vt:variant>
        <vt:i4>0</vt:i4>
      </vt:variant>
      <vt:variant>
        <vt:i4>5</vt:i4>
      </vt:variant>
      <vt:variant>
        <vt:lpwstr>https://www.energystar.gov/buildings?s=mega</vt:lpwstr>
      </vt:variant>
      <vt:variant>
        <vt:lpwstr/>
      </vt:variant>
      <vt:variant>
        <vt:i4>3670136</vt:i4>
      </vt:variant>
      <vt:variant>
        <vt:i4>114</vt:i4>
      </vt:variant>
      <vt:variant>
        <vt:i4>0</vt:i4>
      </vt:variant>
      <vt:variant>
        <vt:i4>5</vt:i4>
      </vt:variant>
      <vt:variant>
        <vt:lpwstr>https://database.aceee.org/state/building-energy-disclosure</vt:lpwstr>
      </vt:variant>
      <vt:variant>
        <vt:lpwstr/>
      </vt:variant>
      <vt:variant>
        <vt:i4>2228331</vt:i4>
      </vt:variant>
      <vt:variant>
        <vt:i4>111</vt:i4>
      </vt:variant>
      <vt:variant>
        <vt:i4>0</vt:i4>
      </vt:variant>
      <vt:variant>
        <vt:i4>5</vt:i4>
      </vt:variant>
      <vt:variant>
        <vt:lpwstr>https://www.bmi.bund.de/EN/topics/building-housing/building/energy-efficient-construction-renovation/buildings-energy-act/buildings-energy-act-node.html</vt:lpwstr>
      </vt:variant>
      <vt:variant>
        <vt:lpwstr>:~:text=The%20new%20Buildings%20Energy%20Act%20sets%20out%20requirements%20for%20the,of%20renewable%20energy%20in%20buildings.&amp;text=The%20new%20Buildings%20Energy%20Act%20was%20promulgated%20in%20the,Gazette%20on%2013%20August%202020.</vt:lpwstr>
      </vt:variant>
      <vt:variant>
        <vt:i4>1376268</vt:i4>
      </vt:variant>
      <vt:variant>
        <vt:i4>108</vt:i4>
      </vt:variant>
      <vt:variant>
        <vt:i4>0</vt:i4>
      </vt:variant>
      <vt:variant>
        <vt:i4>5</vt:i4>
      </vt:variant>
      <vt:variant>
        <vt:lpwstr>https://bmhavocats.com/en/2019/11/08/france-accelerates-its-energy-transition-on-commercial-and-industrial-buildings/</vt:lpwstr>
      </vt:variant>
      <vt:variant>
        <vt:lpwstr/>
      </vt:variant>
      <vt:variant>
        <vt:i4>2752559</vt:i4>
      </vt:variant>
      <vt:variant>
        <vt:i4>105</vt:i4>
      </vt:variant>
      <vt:variant>
        <vt:i4>0</vt:i4>
      </vt:variant>
      <vt:variant>
        <vt:i4>5</vt:i4>
      </vt:variant>
      <vt:variant>
        <vt:lpwstr>https://perspectives.se.com/blog-stream/decret-tertiaire</vt:lpwstr>
      </vt:variant>
      <vt:variant>
        <vt:lpwstr>:~:text=Article%20175%20of%20the%20Law,buildings%20subject%20to%20the%20obligation.</vt:lpwstr>
      </vt:variant>
      <vt:variant>
        <vt:i4>8323105</vt:i4>
      </vt:variant>
      <vt:variant>
        <vt:i4>102</vt:i4>
      </vt:variant>
      <vt:variant>
        <vt:i4>0</vt:i4>
      </vt:variant>
      <vt:variant>
        <vt:i4>5</vt:i4>
      </vt:variant>
      <vt:variant>
        <vt:lpwstr>https://www.cibse.org/media/25qlbioh/introducing-performance-based-ratings-commercial-industrial-offices-above-1000m-england-wales.pdf</vt:lpwstr>
      </vt:variant>
      <vt:variant>
        <vt:lpwstr/>
      </vt:variant>
      <vt:variant>
        <vt:i4>7405630</vt:i4>
      </vt:variant>
      <vt:variant>
        <vt:i4>99</vt:i4>
      </vt:variant>
      <vt:variant>
        <vt:i4>0</vt:i4>
      </vt:variant>
      <vt:variant>
        <vt:i4>5</vt:i4>
      </vt:variant>
      <vt:variant>
        <vt:lpwstr>https://energyadvicehub.org/explained-the-new-mandatory-energy-performance-rating-framework-for-large-commercial-and-industrial-buildings/</vt:lpwstr>
      </vt:variant>
      <vt:variant>
        <vt:lpwstr/>
      </vt:variant>
      <vt:variant>
        <vt:i4>6160386</vt:i4>
      </vt:variant>
      <vt:variant>
        <vt:i4>93</vt:i4>
      </vt:variant>
      <vt:variant>
        <vt:i4>0</vt:i4>
      </vt:variant>
      <vt:variant>
        <vt:i4>5</vt:i4>
      </vt:variant>
      <vt:variant>
        <vt:lpwstr>https://assets.publishing.service.gov.uk/government/uploads/system/uploads/attachment_data/file/666186/A_guide_to_energy_performance_certificates_for_the_construction_sale_and_let_of_non-dwellings.pdf</vt:lpwstr>
      </vt:variant>
      <vt:variant>
        <vt:lpwstr/>
      </vt:variant>
      <vt:variant>
        <vt:i4>3604586</vt:i4>
      </vt:variant>
      <vt:variant>
        <vt:i4>90</vt:i4>
      </vt:variant>
      <vt:variant>
        <vt:i4>0</vt:i4>
      </vt:variant>
      <vt:variant>
        <vt:i4>5</vt:i4>
      </vt:variant>
      <vt:variant>
        <vt:lpwstr>https://www.gov.uk/government/publications/improving-the-energy-efficiency-of-our-buildings</vt:lpwstr>
      </vt:variant>
      <vt:variant>
        <vt:lpwstr>:~:text=The%20Energy%20Performance%20of%20Buildings%20Directive%20is%20an%20EU%20measure,of%20carbon%20produced%20by%20buildings.</vt:lpwstr>
      </vt:variant>
      <vt:variant>
        <vt:i4>196631</vt:i4>
      </vt:variant>
      <vt:variant>
        <vt:i4>87</vt:i4>
      </vt:variant>
      <vt:variant>
        <vt:i4>0</vt:i4>
      </vt:variant>
      <vt:variant>
        <vt:i4>5</vt:i4>
      </vt:variant>
      <vt:variant>
        <vt:lpwstr>https://www.cim.io/blog/the-green-mark-certification-scheme-explained</vt:lpwstr>
      </vt:variant>
      <vt:variant>
        <vt:lpwstr/>
      </vt:variant>
      <vt:variant>
        <vt:i4>983046</vt:i4>
      </vt:variant>
      <vt:variant>
        <vt:i4>84</vt:i4>
      </vt:variant>
      <vt:variant>
        <vt:i4>0</vt:i4>
      </vt:variant>
      <vt:variant>
        <vt:i4>5</vt:i4>
      </vt:variant>
      <vt:variant>
        <vt:lpwstr>https://www.energystar.gov/sites/default/files/tools/ES_Government-Factsheet_121914.pdf</vt:lpwstr>
      </vt:variant>
      <vt:variant>
        <vt:lpwstr/>
      </vt:variant>
      <vt:variant>
        <vt:i4>7143511</vt:i4>
      </vt:variant>
      <vt:variant>
        <vt:i4>81</vt:i4>
      </vt:variant>
      <vt:variant>
        <vt:i4>0</vt:i4>
      </vt:variant>
      <vt:variant>
        <vt:i4>5</vt:i4>
      </vt:variant>
      <vt:variant>
        <vt:lpwstr>https://www.researchgate.net/publication/329134059_Do_Consumers_Care_about_the_Energy_Efficiency_of_Buildings_Understanding_Residential_Choice_Based_on_Energy_Performance_Certificates</vt:lpwstr>
      </vt:variant>
      <vt:variant>
        <vt:lpwstr/>
      </vt:variant>
      <vt:variant>
        <vt:i4>2228338</vt:i4>
      </vt:variant>
      <vt:variant>
        <vt:i4>78</vt:i4>
      </vt:variant>
      <vt:variant>
        <vt:i4>0</vt:i4>
      </vt:variant>
      <vt:variant>
        <vt:i4>5</vt:i4>
      </vt:variant>
      <vt:variant>
        <vt:lpwstr>https://www.aceee.org/files/proceedings/2014/data/papers/6-277.pdf</vt:lpwstr>
      </vt:variant>
      <vt:variant>
        <vt:lpwstr/>
      </vt:variant>
      <vt:variant>
        <vt:i4>3080215</vt:i4>
      </vt:variant>
      <vt:variant>
        <vt:i4>75</vt:i4>
      </vt:variant>
      <vt:variant>
        <vt:i4>0</vt:i4>
      </vt:variant>
      <vt:variant>
        <vt:i4>5</vt:i4>
      </vt:variant>
      <vt:variant>
        <vt:lpwstr>https://assets.publishing.service.gov.uk/government/uploads/system/uploads/attachment_data/file/922660/EPC_Action_Plan.pdf</vt:lpwstr>
      </vt:variant>
      <vt:variant>
        <vt:lpwstr/>
      </vt:variant>
      <vt:variant>
        <vt:i4>7667792</vt:i4>
      </vt:variant>
      <vt:variant>
        <vt:i4>72</vt:i4>
      </vt:variant>
      <vt:variant>
        <vt:i4>0</vt:i4>
      </vt:variant>
      <vt:variant>
        <vt:i4>5</vt:i4>
      </vt:variant>
      <vt:variant>
        <vt:lpwstr>https://www.energy.gov.au/sites/default/files/existing_building_energy_efficiency_renovation_-_international_review_of_regulatory_policies_-_september_2017_-_ipeec.pdf</vt:lpwstr>
      </vt:variant>
      <vt:variant>
        <vt:lpwstr/>
      </vt:variant>
      <vt:variant>
        <vt:i4>655451</vt:i4>
      </vt:variant>
      <vt:variant>
        <vt:i4>69</vt:i4>
      </vt:variant>
      <vt:variant>
        <vt:i4>0</vt:i4>
      </vt:variant>
      <vt:variant>
        <vt:i4>5</vt:i4>
      </vt:variant>
      <vt:variant>
        <vt:lpwstr>https://www.cegsolutions.com/blog-1/important-updates-for-dc-building-owners-on-the-dc-building-energy-performance-standards</vt:lpwstr>
      </vt:variant>
      <vt:variant>
        <vt:lpwstr/>
      </vt:variant>
      <vt:variant>
        <vt:i4>1507408</vt:i4>
      </vt:variant>
      <vt:variant>
        <vt:i4>66</vt:i4>
      </vt:variant>
      <vt:variant>
        <vt:i4>0</vt:i4>
      </vt:variant>
      <vt:variant>
        <vt:i4>5</vt:i4>
      </vt:variant>
      <vt:variant>
        <vt:lpwstr>https://ukgbc.org/our-work/climate-change-mitigation/</vt:lpwstr>
      </vt:variant>
      <vt:variant>
        <vt:lpwstr/>
      </vt:variant>
      <vt:variant>
        <vt:i4>1048577</vt:i4>
      </vt:variant>
      <vt:variant>
        <vt:i4>63</vt:i4>
      </vt:variant>
      <vt:variant>
        <vt:i4>0</vt:i4>
      </vt:variant>
      <vt:variant>
        <vt:i4>5</vt:i4>
      </vt:variant>
      <vt:variant>
        <vt:lpwstr>https://www.dcceew.gov.au/sites/default/files/documents/national-greenhouse-accounts-factors-2022.pdf</vt:lpwstr>
      </vt:variant>
      <vt:variant>
        <vt:lpwstr/>
      </vt:variant>
      <vt:variant>
        <vt:i4>6684779</vt:i4>
      </vt:variant>
      <vt:variant>
        <vt:i4>60</vt:i4>
      </vt:variant>
      <vt:variant>
        <vt:i4>0</vt:i4>
      </vt:variant>
      <vt:variant>
        <vt:i4>5</vt:i4>
      </vt:variant>
      <vt:variant>
        <vt:lpwstr>https://www.iea.org/energy-system/buildings</vt:lpwstr>
      </vt:variant>
      <vt:variant>
        <vt:lpwstr/>
      </vt:variant>
      <vt:variant>
        <vt:i4>4849735</vt:i4>
      </vt:variant>
      <vt:variant>
        <vt:i4>57</vt:i4>
      </vt:variant>
      <vt:variant>
        <vt:i4>0</vt:i4>
      </vt:variant>
      <vt:variant>
        <vt:i4>5</vt:i4>
      </vt:variant>
      <vt:variant>
        <vt:lpwstr>https://www.energy.gov.au/sites/default/files/The Commercial Buildings Energy Consumption Baseline Study 2022.pdf</vt:lpwstr>
      </vt:variant>
      <vt:variant>
        <vt:lpwstr/>
      </vt:variant>
      <vt:variant>
        <vt:i4>852054</vt:i4>
      </vt:variant>
      <vt:variant>
        <vt:i4>54</vt:i4>
      </vt:variant>
      <vt:variant>
        <vt:i4>0</vt:i4>
      </vt:variant>
      <vt:variant>
        <vt:i4>5</vt:i4>
      </vt:variant>
      <vt:variant>
        <vt:lpwstr>https://www.energy.gov.au/publications/australian-energy-update-2020</vt:lpwstr>
      </vt:variant>
      <vt:variant>
        <vt:lpwstr/>
      </vt:variant>
      <vt:variant>
        <vt:i4>7143548</vt:i4>
      </vt:variant>
      <vt:variant>
        <vt:i4>51</vt:i4>
      </vt:variant>
      <vt:variant>
        <vt:i4>0</vt:i4>
      </vt:variant>
      <vt:variant>
        <vt:i4>5</vt:i4>
      </vt:variant>
      <vt:variant>
        <vt:lpwstr>https://www.planning.nsw.gov.au/policy-and-legislation/buildings/sustainable-buildings-sepp</vt:lpwstr>
      </vt:variant>
      <vt:variant>
        <vt:lpwstr/>
      </vt:variant>
      <vt:variant>
        <vt:i4>3080252</vt:i4>
      </vt:variant>
      <vt:variant>
        <vt:i4>48</vt:i4>
      </vt:variant>
      <vt:variant>
        <vt:i4>0</vt:i4>
      </vt:variant>
      <vt:variant>
        <vt:i4>5</vt:i4>
      </vt:variant>
      <vt:variant>
        <vt:lpwstr>https://gbca-web.s3.amazonaws.com/media/documents/embodied-carbon--embodied-energy-in-australias-buildings-2021-07-22-final-public.pdf</vt:lpwstr>
      </vt:variant>
      <vt:variant>
        <vt:lpwstr/>
      </vt:variant>
      <vt:variant>
        <vt:i4>8126574</vt:i4>
      </vt:variant>
      <vt:variant>
        <vt:i4>45</vt:i4>
      </vt:variant>
      <vt:variant>
        <vt:i4>0</vt:i4>
      </vt:variant>
      <vt:variant>
        <vt:i4>5</vt:i4>
      </vt:variant>
      <vt:variant>
        <vt:lpwstr>https://www.infrastructure.nsw.gov.au/media/3696/infr9941-decarbonising-infrastructure-delivery.pdf</vt:lpwstr>
      </vt:variant>
      <vt:variant>
        <vt:lpwstr/>
      </vt:variant>
      <vt:variant>
        <vt:i4>3997813</vt:i4>
      </vt:variant>
      <vt:variant>
        <vt:i4>42</vt:i4>
      </vt:variant>
      <vt:variant>
        <vt:i4>0</vt:i4>
      </vt:variant>
      <vt:variant>
        <vt:i4>5</vt:i4>
      </vt:variant>
      <vt:variant>
        <vt:lpwstr>https://www.energy.gov.au/government-priorities/buildings/government-buildings</vt:lpwstr>
      </vt:variant>
      <vt:variant>
        <vt:lpwstr>toc-anchor-energy-efficiency-in-government-operations</vt:lpwstr>
      </vt:variant>
      <vt:variant>
        <vt:i4>3997813</vt:i4>
      </vt:variant>
      <vt:variant>
        <vt:i4>39</vt:i4>
      </vt:variant>
      <vt:variant>
        <vt:i4>0</vt:i4>
      </vt:variant>
      <vt:variant>
        <vt:i4>5</vt:i4>
      </vt:variant>
      <vt:variant>
        <vt:lpwstr>https://www.energy.gov.au/government-priorities/buildings/government-buildings</vt:lpwstr>
      </vt:variant>
      <vt:variant>
        <vt:lpwstr>toc-anchor-energy-efficiency-in-government-operations</vt:lpwstr>
      </vt:variant>
      <vt:variant>
        <vt:i4>3997813</vt:i4>
      </vt:variant>
      <vt:variant>
        <vt:i4>36</vt:i4>
      </vt:variant>
      <vt:variant>
        <vt:i4>0</vt:i4>
      </vt:variant>
      <vt:variant>
        <vt:i4>5</vt:i4>
      </vt:variant>
      <vt:variant>
        <vt:lpwstr>https://www.energy.gov.au/government-priorities/buildings/government-buildings</vt:lpwstr>
      </vt:variant>
      <vt:variant>
        <vt:lpwstr>toc-anchor-energy-efficiency-in-government-operations</vt:lpwstr>
      </vt:variant>
      <vt:variant>
        <vt:i4>262222</vt:i4>
      </vt:variant>
      <vt:variant>
        <vt:i4>33</vt:i4>
      </vt:variant>
      <vt:variant>
        <vt:i4>0</vt:i4>
      </vt:variant>
      <vt:variant>
        <vt:i4>5</vt:i4>
      </vt:variant>
      <vt:variant>
        <vt:lpwstr>https://www.finance.gov.au/government/aps-net-zero-emissions-2030</vt:lpwstr>
      </vt:variant>
      <vt:variant>
        <vt:lpwstr>:~:text=The%20Government%20has%20set%20a,when%20considering%20value%20for%20money</vt:lpwstr>
      </vt:variant>
      <vt:variant>
        <vt:i4>5701727</vt:i4>
      </vt:variant>
      <vt:variant>
        <vt:i4>30</vt:i4>
      </vt:variant>
      <vt:variant>
        <vt:i4>0</vt:i4>
      </vt:variant>
      <vt:variant>
        <vt:i4>5</vt:i4>
      </vt:variant>
      <vt:variant>
        <vt:lpwstr>https://www.iea.org/reports/australia-2023/executive-summary</vt:lpwstr>
      </vt:variant>
      <vt:variant>
        <vt:lpwstr/>
      </vt:variant>
      <vt:variant>
        <vt:i4>4784145</vt:i4>
      </vt:variant>
      <vt:variant>
        <vt:i4>27</vt:i4>
      </vt:variant>
      <vt:variant>
        <vt:i4>0</vt:i4>
      </vt:variant>
      <vt:variant>
        <vt:i4>5</vt:i4>
      </vt:variant>
      <vt:variant>
        <vt:lpwstr>https://consult.dcceew.gov.au/neps-consultation-paper</vt:lpwstr>
      </vt:variant>
      <vt:variant>
        <vt:lpwstr/>
      </vt:variant>
      <vt:variant>
        <vt:i4>4849735</vt:i4>
      </vt:variant>
      <vt:variant>
        <vt:i4>24</vt:i4>
      </vt:variant>
      <vt:variant>
        <vt:i4>0</vt:i4>
      </vt:variant>
      <vt:variant>
        <vt:i4>5</vt:i4>
      </vt:variant>
      <vt:variant>
        <vt:lpwstr>https://www.energy.gov.au/sites/default/files/The Commercial Buildings Energy Consumption Baseline Study 2022.pdf</vt:lpwstr>
      </vt:variant>
      <vt:variant>
        <vt:lpwstr/>
      </vt:variant>
      <vt:variant>
        <vt:i4>1048577</vt:i4>
      </vt:variant>
      <vt:variant>
        <vt:i4>21</vt:i4>
      </vt:variant>
      <vt:variant>
        <vt:i4>0</vt:i4>
      </vt:variant>
      <vt:variant>
        <vt:i4>5</vt:i4>
      </vt:variant>
      <vt:variant>
        <vt:lpwstr>https://www.dcceew.gov.au/sites/default/files/documents/national-greenhouse-accounts-factors-2022.pdf</vt:lpwstr>
      </vt:variant>
      <vt:variant>
        <vt:lpwstr/>
      </vt:variant>
      <vt:variant>
        <vt:i4>4849735</vt:i4>
      </vt:variant>
      <vt:variant>
        <vt:i4>18</vt:i4>
      </vt:variant>
      <vt:variant>
        <vt:i4>0</vt:i4>
      </vt:variant>
      <vt:variant>
        <vt:i4>5</vt:i4>
      </vt:variant>
      <vt:variant>
        <vt:lpwstr>https://www.energy.gov.au/sites/default/files/The Commercial Buildings Energy Consumption Baseline Study 2022.pdf</vt:lpwstr>
      </vt:variant>
      <vt:variant>
        <vt:lpwstr/>
      </vt:variant>
      <vt:variant>
        <vt:i4>4849735</vt:i4>
      </vt:variant>
      <vt:variant>
        <vt:i4>15</vt:i4>
      </vt:variant>
      <vt:variant>
        <vt:i4>0</vt:i4>
      </vt:variant>
      <vt:variant>
        <vt:i4>5</vt:i4>
      </vt:variant>
      <vt:variant>
        <vt:lpwstr>https://www.energy.gov.au/sites/default/files/The Commercial Buildings Energy Consumption Baseline Study 2022.pdf</vt:lpwstr>
      </vt:variant>
      <vt:variant>
        <vt:lpwstr/>
      </vt:variant>
      <vt:variant>
        <vt:i4>4522015</vt:i4>
      </vt:variant>
      <vt:variant>
        <vt:i4>12</vt:i4>
      </vt:variant>
      <vt:variant>
        <vt:i4>0</vt:i4>
      </vt:variant>
      <vt:variant>
        <vt:i4>5</vt:i4>
      </vt:variant>
      <vt:variant>
        <vt:lpwstr>https://www.energy.gov.au/government-priorities/buildings</vt:lpwstr>
      </vt:variant>
      <vt:variant>
        <vt:lpwstr/>
      </vt:variant>
      <vt:variant>
        <vt:i4>4849735</vt:i4>
      </vt:variant>
      <vt:variant>
        <vt:i4>9</vt:i4>
      </vt:variant>
      <vt:variant>
        <vt:i4>0</vt:i4>
      </vt:variant>
      <vt:variant>
        <vt:i4>5</vt:i4>
      </vt:variant>
      <vt:variant>
        <vt:lpwstr>https://www.energy.gov.au/sites/default/files/The Commercial Buildings Energy Consumption Baseline Study 2022.pdf</vt:lpwstr>
      </vt:variant>
      <vt:variant>
        <vt:lpwstr/>
      </vt:variant>
      <vt:variant>
        <vt:i4>7667748</vt:i4>
      </vt:variant>
      <vt:variant>
        <vt:i4>6</vt:i4>
      </vt:variant>
      <vt:variant>
        <vt:i4>0</vt:i4>
      </vt:variant>
      <vt:variant>
        <vt:i4>5</vt:i4>
      </vt:variant>
      <vt:variant>
        <vt:lpwstr>https://www.legislation.gov.au/Details/C2022A00037</vt:lpwstr>
      </vt:variant>
      <vt:variant>
        <vt:lpwstr/>
      </vt:variant>
      <vt:variant>
        <vt:i4>458844</vt:i4>
      </vt:variant>
      <vt:variant>
        <vt:i4>3</vt:i4>
      </vt:variant>
      <vt:variant>
        <vt:i4>0</vt:i4>
      </vt:variant>
      <vt:variant>
        <vt:i4>5</vt:i4>
      </vt:variant>
      <vt:variant>
        <vt:lpwstr>https://www.abcb.gov.au/sites/default/files/resources/2022/UTNCC-Building-classifications.PDF</vt:lpwstr>
      </vt:variant>
      <vt:variant>
        <vt:lpwstr/>
      </vt:variant>
      <vt:variant>
        <vt:i4>7143487</vt:i4>
      </vt:variant>
      <vt:variant>
        <vt:i4>0</vt:i4>
      </vt:variant>
      <vt:variant>
        <vt:i4>0</vt:i4>
      </vt:variant>
      <vt:variant>
        <vt:i4>5</vt:i4>
      </vt:variant>
      <vt:variant>
        <vt:lpwstr>https://www.energy.gov.au/government-priorities/buildings/commercial-buildings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Department of Climate Change, Energy, the Environment and Water</dc:title>
  <dc:subject/>
  <dc:creator>Kpmg</dc:creator>
  <cp:keywords/>
  <dc:description/>
  <cp:lastModifiedBy>Trinca, Alex</cp:lastModifiedBy>
  <cp:revision>113</cp:revision>
  <cp:lastPrinted>2024-03-28T05:56:00Z</cp:lastPrinted>
  <dcterms:created xsi:type="dcterms:W3CDTF">2024-04-03T03:32:00Z</dcterms:created>
  <dcterms:modified xsi:type="dcterms:W3CDTF">2024-04-04T04:28:00Z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0x010100AE35C6DC1D5D994DBC42D8A7CB1B134F</vt:lpwstr>
  </property>
  <property fmtid="{D5CDD505-2E9C-101B-9397-08002B2CF9AE}" pid="3" name="CandC_Tax_InstanceTerms3TaxHTField">
    <vt:lpwstr/>
  </property>
  <property fmtid="{D5CDD505-2E9C-101B-9397-08002B2CF9AE}" pid="4" name="CandC_Tax_InstanceTerms4">
    <vt:lpwstr/>
  </property>
  <property fmtid="{D5CDD505-2E9C-101B-9397-08002B2CF9AE}" pid="5" name="CandC_Tax_4">
    <vt:lpwstr/>
  </property>
  <property fmtid="{D5CDD505-2E9C-101B-9397-08002B2CF9AE}" pid="6" name="CandC_Tax_AlliancesTaxHTField">
    <vt:lpwstr/>
  </property>
  <property fmtid="{D5CDD505-2E9C-101B-9397-08002B2CF9AE}" pid="7" name="CandC_Tax_InstanceTerms5">
    <vt:lpwstr/>
  </property>
  <property fmtid="{D5CDD505-2E9C-101B-9397-08002B2CF9AE}" pid="8" name="CandC_Tax_7">
    <vt:lpwstr/>
  </property>
  <property fmtid="{D5CDD505-2E9C-101B-9397-08002B2CF9AE}" pid="9" name="CandC_Tax_2">
    <vt:lpwstr>74;#Client Experience ＆ Brand|8469e600-d7a1-43f4-a7ff-08bae8c6401f</vt:lpwstr>
  </property>
  <property fmtid="{D5CDD505-2E9C-101B-9397-08002B2CF9AE}" pid="10" name="CandC_Tax_Tools">
    <vt:lpwstr/>
  </property>
  <property fmtid="{D5CDD505-2E9C-101B-9397-08002B2CF9AE}" pid="11" name="CandC_Tax_InstanceTerms4TaxHTField">
    <vt:lpwstr/>
  </property>
  <property fmtid="{D5CDD505-2E9C-101B-9397-08002B2CF9AE}" pid="12" name="CandC_Tax_ToolsTaxHTField">
    <vt:lpwstr/>
  </property>
  <property fmtid="{D5CDD505-2E9C-101B-9397-08002B2CF9AE}" pid="13" name="CandC_Tax_InstanceTerms3">
    <vt:lpwstr/>
  </property>
  <property fmtid="{D5CDD505-2E9C-101B-9397-08002B2CF9AE}" pid="14" name="CandC_Tax_5">
    <vt:lpwstr/>
  </property>
  <property fmtid="{D5CDD505-2E9C-101B-9397-08002B2CF9AE}" pid="15" name="CandC_Tax_InstanceTerms2TaxHTField">
    <vt:lpwstr/>
  </property>
  <property fmtid="{D5CDD505-2E9C-101B-9397-08002B2CF9AE}" pid="16" name="CandC_Tax_8">
    <vt:lpwstr>48;#Proposal templates|47dfdb92-e9ab-4e17-b839-fb0fd65e92c6</vt:lpwstr>
  </property>
  <property fmtid="{D5CDD505-2E9C-101B-9397-08002B2CF9AE}" pid="17" name="CandC_Tax_3">
    <vt:lpwstr/>
  </property>
  <property fmtid="{D5CDD505-2E9C-101B-9397-08002B2CF9AE}" pid="18" name="CandC_Tax_InstanceTerms5TaxHTField">
    <vt:lpwstr/>
  </property>
  <property fmtid="{D5CDD505-2E9C-101B-9397-08002B2CF9AE}" pid="19" name="CandC_Tax_6">
    <vt:lpwstr/>
  </property>
  <property fmtid="{D5CDD505-2E9C-101B-9397-08002B2CF9AE}" pid="20" name="CandC_Tax_1">
    <vt:lpwstr>23;#English|a2bee10e-57ed-4e79-bc85-39d62b9a3066</vt:lpwstr>
  </property>
  <property fmtid="{D5CDD505-2E9C-101B-9397-08002B2CF9AE}" pid="21" name="CandC_Tax_Alliances">
    <vt:lpwstr/>
  </property>
  <property fmtid="{D5CDD505-2E9C-101B-9397-08002B2CF9AE}" pid="22" name="CandC_Tax_ESGTaxHTField">
    <vt:lpwstr/>
  </property>
  <property fmtid="{D5CDD505-2E9C-101B-9397-08002B2CF9AE}" pid="23" name="CandC_Tax_ESG">
    <vt:lpwstr/>
  </property>
  <property fmtid="{D5CDD505-2E9C-101B-9397-08002B2CF9AE}" pid="24" name="CandC_Tax_InstanceTerms2">
    <vt:lpwstr/>
  </property>
  <property fmtid="{D5CDD505-2E9C-101B-9397-08002B2CF9AE}" pid="25" name="GrammarlyDocumentId">
    <vt:lpwstr>f59b70a43ba81b32c317bf009b5916b1467f30ebe28139f39b937a4831a36750</vt:lpwstr>
  </property>
  <property fmtid="{D5CDD505-2E9C-101B-9397-08002B2CF9AE}" pid="26" name="MediaServiceImageTags">
    <vt:lpwstr/>
  </property>
  <property fmtid="{D5CDD505-2E9C-101B-9397-08002B2CF9AE}" pid="27" name="Topic">
    <vt:lpwstr/>
  </property>
</Properties>
</file>